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wmf" ContentType="image/x-wmf"/>
  <Default Extension="rels" ContentType="application/vnd.openxmlformats-package.relationships+xml"/>
  <Default Extension="xml" ContentType="application/xml"/>
  <Default Extension="vsdx" ContentType="application/vnd.ms-visio.drawing"/>
  <Default Extension="xlsx" ContentType="application/vnd.openxmlformats-officedocument.spreadsheetml.sheet"/>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charts/chart12.xml" ContentType="application/vnd.openxmlformats-officedocument.drawingml.chart+xml"/>
  <Override PartName="/word/theme/themeOverride12.xml" ContentType="application/vnd.openxmlformats-officedocument.themeOverride+xml"/>
  <Override PartName="/word/charts/chart13.xml" ContentType="application/vnd.openxmlformats-officedocument.drawingml.chart+xml"/>
  <Override PartName="/word/theme/themeOverride13.xml" ContentType="application/vnd.openxmlformats-officedocument.themeOverride+xml"/>
  <Override PartName="/word/charts/chart14.xml" ContentType="application/vnd.openxmlformats-officedocument.drawingml.chart+xml"/>
  <Override PartName="/word/theme/themeOverride14.xml" ContentType="application/vnd.openxmlformats-officedocument.themeOverride+xml"/>
  <Override PartName="/word/charts/chart15.xml" ContentType="application/vnd.openxmlformats-officedocument.drawingml.chart+xml"/>
  <Override PartName="/word/theme/themeOverride15.xml" ContentType="application/vnd.openxmlformats-officedocument.themeOverride+xml"/>
  <Override PartName="/word/charts/chart16.xml" ContentType="application/vnd.openxmlformats-officedocument.drawingml.chart+xml"/>
  <Override PartName="/word/theme/themeOverride16.xml" ContentType="application/vnd.openxmlformats-officedocument.themeOverride+xml"/>
  <Override PartName="/word/charts/chart17.xml" ContentType="application/vnd.openxmlformats-officedocument.drawingml.chart+xml"/>
  <Override PartName="/word/theme/themeOverride17.xml" ContentType="application/vnd.openxmlformats-officedocument.themeOverride+xml"/>
  <Override PartName="/word/charts/chart18.xml" ContentType="application/vnd.openxmlformats-officedocument.drawingml.chart+xml"/>
  <Override PartName="/word/theme/themeOverride18.xml" ContentType="application/vnd.openxmlformats-officedocument.themeOverride+xml"/>
  <Override PartName="/word/charts/chart19.xml" ContentType="application/vnd.openxmlformats-officedocument.drawingml.chart+xml"/>
  <Override PartName="/word/theme/themeOverride19.xml" ContentType="application/vnd.openxmlformats-officedocument.themeOverride+xml"/>
  <Override PartName="/word/charts/chart20.xml" ContentType="application/vnd.openxmlformats-officedocument.drawingml.chart+xml"/>
  <Override PartName="/word/theme/themeOverride20.xml" ContentType="application/vnd.openxmlformats-officedocument.themeOverride+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theme/themeOverride21.xml" ContentType="application/vnd.openxmlformats-officedocument.themeOverride+xml"/>
  <Override PartName="/word/charts/chart24.xml" ContentType="application/vnd.openxmlformats-officedocument.drawingml.chart+xml"/>
  <Override PartName="/word/theme/themeOverride22.xml" ContentType="application/vnd.openxmlformats-officedocument.themeOverride+xml"/>
  <Override PartName="/word/charts/chart25.xml" ContentType="application/vnd.openxmlformats-officedocument.drawingml.chart+xml"/>
  <Override PartName="/word/theme/themeOverride23.xml" ContentType="application/vnd.openxmlformats-officedocument.themeOverride+xml"/>
  <Override PartName="/word/charts/chart26.xml" ContentType="application/vnd.openxmlformats-officedocument.drawingml.chart+xml"/>
  <Override PartName="/word/theme/themeOverride24.xml" ContentType="application/vnd.openxmlformats-officedocument.themeOverride+xml"/>
  <Override PartName="/word/charts/chart27.xml" ContentType="application/vnd.openxmlformats-officedocument.drawingml.chart+xml"/>
  <Override PartName="/word/theme/themeOverride25.xml" ContentType="application/vnd.openxmlformats-officedocument.themeOverride+xml"/>
  <Override PartName="/word/charts/chart28.xml" ContentType="application/vnd.openxmlformats-officedocument.drawingml.chart+xml"/>
  <Override PartName="/word/theme/themeOverride26.xml" ContentType="application/vnd.openxmlformats-officedocument.themeOverride+xml"/>
  <Override PartName="/word/charts/chart29.xml" ContentType="application/vnd.openxmlformats-officedocument.drawingml.chart+xml"/>
  <Override PartName="/word/theme/themeOverride27.xml" ContentType="application/vnd.openxmlformats-officedocument.themeOverride+xml"/>
  <Override PartName="/word/charts/chart30.xml" ContentType="application/vnd.openxmlformats-officedocument.drawingml.chart+xml"/>
  <Override PartName="/word/theme/themeOverride28.xml" ContentType="application/vnd.openxmlformats-officedocument.themeOverride+xml"/>
  <Override PartName="/word/charts/chart31.xml" ContentType="application/vnd.openxmlformats-officedocument.drawingml.chart+xml"/>
  <Override PartName="/word/theme/themeOverride29.xml" ContentType="application/vnd.openxmlformats-officedocument.themeOverride+xml"/>
  <Override PartName="/word/charts/chart32.xml" ContentType="application/vnd.openxmlformats-officedocument.drawingml.chart+xml"/>
  <Override PartName="/word/theme/themeOverride30.xml" ContentType="application/vnd.openxmlformats-officedocument.themeOverride+xml"/>
  <Override PartName="/word/charts/chart33.xml" ContentType="application/vnd.openxmlformats-officedocument.drawingml.chart+xml"/>
  <Override PartName="/word/theme/themeOverride31.xml" ContentType="application/vnd.openxmlformats-officedocument.themeOverride+xml"/>
  <Override PartName="/word/charts/chart34.xml" ContentType="application/vnd.openxmlformats-officedocument.drawingml.chart+xml"/>
  <Override PartName="/word/theme/themeOverride32.xml" ContentType="application/vnd.openxmlformats-officedocument.themeOverride+xml"/>
  <Override PartName="/word/charts/chart35.xml" ContentType="application/vnd.openxmlformats-officedocument.drawingml.chart+xml"/>
  <Override PartName="/word/theme/themeOverride33.xml" ContentType="application/vnd.openxmlformats-officedocument.themeOverride+xml"/>
  <Override PartName="/word/charts/chart36.xml" ContentType="application/vnd.openxmlformats-officedocument.drawingml.chart+xml"/>
  <Override PartName="/word/charts/chart37.xml" ContentType="application/vnd.openxmlformats-officedocument.drawingml.chart+xml"/>
  <Override PartName="/word/charts/chart38.xml" ContentType="application/vnd.openxmlformats-officedocument.drawingml.chart+xml"/>
  <Override PartName="/word/theme/themeOverride34.xml" ContentType="application/vnd.openxmlformats-officedocument.themeOverride+xml"/>
  <Override PartName="/word/charts/chart39.xml" ContentType="application/vnd.openxmlformats-officedocument.drawingml.chart+xml"/>
  <Override PartName="/word/theme/themeOverride35.xml" ContentType="application/vnd.openxmlformats-officedocument.themeOverride+xml"/>
  <Override PartName="/word/charts/chart40.xml" ContentType="application/vnd.openxmlformats-officedocument.drawingml.chart+xml"/>
  <Override PartName="/word/charts/chart41.xml" ContentType="application/vnd.openxmlformats-officedocument.drawingml.chart+xml"/>
  <Override PartName="/word/charts/chart42.xml" ContentType="application/vnd.openxmlformats-officedocument.drawingml.chart+xml"/>
  <Override PartName="/word/charts/chart43.xml" ContentType="application/vnd.openxmlformats-officedocument.drawingml.chart+xml"/>
  <Override PartName="/word/charts/chart44.xml" ContentType="application/vnd.openxmlformats-officedocument.drawingml.chart+xml"/>
  <Override PartName="/word/charts/chart45.xml" ContentType="application/vnd.openxmlformats-officedocument.drawingml.chart+xml"/>
  <Override PartName="/word/charts/chart46.xml" ContentType="application/vnd.openxmlformats-officedocument.drawingml.chart+xml"/>
  <Override PartName="/word/theme/themeOverride36.xml" ContentType="application/vnd.openxmlformats-officedocument.themeOverride+xml"/>
  <Override PartName="/word/charts/chart47.xml" ContentType="application/vnd.openxmlformats-officedocument.drawingml.chart+xml"/>
  <Override PartName="/word/theme/themeOverride37.xml" ContentType="application/vnd.openxmlformats-officedocument.themeOverride+xml"/>
  <Override PartName="/word/charts/chart48.xml" ContentType="application/vnd.openxmlformats-officedocument.drawingml.chart+xml"/>
  <Override PartName="/word/theme/themeOverride38.xml" ContentType="application/vnd.openxmlformats-officedocument.themeOverride+xml"/>
  <Override PartName="/word/charts/chart49.xml" ContentType="application/vnd.openxmlformats-officedocument.drawingml.chart+xml"/>
  <Override PartName="/word/theme/themeOverride39.xml" ContentType="application/vnd.openxmlformats-officedocument.themeOverride+xml"/>
  <Override PartName="/word/charts/chart50.xml" ContentType="application/vnd.openxmlformats-officedocument.drawingml.chart+xml"/>
  <Override PartName="/word/theme/themeOverride40.xml" ContentType="application/vnd.openxmlformats-officedocument.themeOverride+xml"/>
  <Override PartName="/word/charts/chart51.xml" ContentType="application/vnd.openxmlformats-officedocument.drawingml.chart+xml"/>
  <Override PartName="/word/theme/themeOverride4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7711" w:rsidRDefault="00F815BE">
      <w:pPr>
        <w:jc w:val="center"/>
        <w:rPr>
          <w:rFonts w:ascii="Book Antiqua" w:hAnsi="Book Antiqua"/>
          <w:b/>
          <w:sz w:val="24"/>
        </w:rPr>
      </w:pPr>
      <w:r>
        <w:rPr>
          <w:rFonts w:ascii="Book Antiqua" w:hAnsi="Book Antiqua"/>
          <w:b/>
          <w:sz w:val="24"/>
        </w:rPr>
        <w:t>Секция. ПРОБЛЕМЫ ФОРМИРОВАНИЯ И РАЗВИТИЯ СОВРЕМЕННОГО ПОТРЕБИТЕЛЬСКОГО РЫНКА</w:t>
      </w:r>
    </w:p>
    <w:p w:rsidR="00517711" w:rsidRDefault="00F815BE">
      <w:pPr>
        <w:pStyle w:val="Default"/>
        <w:rPr>
          <w:b/>
          <w:sz w:val="20"/>
        </w:rPr>
      </w:pPr>
      <w:r>
        <w:rPr>
          <w:b/>
          <w:sz w:val="20"/>
        </w:rPr>
        <w:t>Рубрика: Тенденции развития маркетинга в России и за рубежом</w:t>
      </w:r>
    </w:p>
    <w:p w:rsidR="00517711" w:rsidRDefault="00517711">
      <w:pPr>
        <w:pStyle w:val="Default"/>
        <w:jc w:val="both"/>
        <w:rPr>
          <w:sz w:val="20"/>
        </w:rPr>
      </w:pPr>
    </w:p>
    <w:p w:rsidR="00517711" w:rsidRDefault="00F815BE">
      <w:pPr>
        <w:pStyle w:val="Default"/>
        <w:jc w:val="both"/>
        <w:rPr>
          <w:sz w:val="20"/>
        </w:rPr>
      </w:pPr>
      <w:r>
        <w:rPr>
          <w:sz w:val="20"/>
        </w:rPr>
        <w:t>УДК 338.46</w:t>
      </w:r>
    </w:p>
    <w:p w:rsidR="00517711" w:rsidRDefault="00517711">
      <w:pPr>
        <w:pStyle w:val="Default"/>
        <w:jc w:val="both"/>
      </w:pPr>
    </w:p>
    <w:p w:rsidR="00517711" w:rsidRDefault="00F815BE">
      <w:pPr>
        <w:pStyle w:val="Default"/>
        <w:jc w:val="center"/>
        <w:rPr>
          <w:rFonts w:ascii="Book Antiqua" w:hAnsi="Book Antiqua"/>
          <w:sz w:val="26"/>
          <w:szCs w:val="26"/>
        </w:rPr>
      </w:pPr>
      <w:r>
        <w:rPr>
          <w:rFonts w:ascii="Book Antiqua" w:hAnsi="Book Antiqua"/>
          <w:b/>
          <w:bCs/>
          <w:sz w:val="26"/>
          <w:szCs w:val="26"/>
        </w:rPr>
        <w:t>ИССЛЕДОВАНИЕ ОТНОШЕНИЯ К ВЫБРАННОЙ ПРОФЕССИИ В ПРОЦЕССЕ ОБУЧЕНИЯ В ВУЗЕ</w:t>
      </w:r>
    </w:p>
    <w:p w:rsidR="00517711" w:rsidRDefault="00F815BE">
      <w:pPr>
        <w:pStyle w:val="Default"/>
        <w:tabs>
          <w:tab w:val="left" w:pos="6615"/>
        </w:tabs>
        <w:rPr>
          <w:b/>
        </w:rPr>
      </w:pPr>
      <w:r>
        <w:rPr>
          <w:b/>
        </w:rPr>
        <w:tab/>
      </w:r>
    </w:p>
    <w:p w:rsidR="00517711" w:rsidRDefault="00F815BE">
      <w:pPr>
        <w:pStyle w:val="Default"/>
        <w:jc w:val="center"/>
        <w:rPr>
          <w:rFonts w:ascii="Arial" w:hAnsi="Arial" w:cs="Arial"/>
          <w:b/>
        </w:rPr>
      </w:pPr>
      <w:r>
        <w:rPr>
          <w:rFonts w:ascii="Arial" w:hAnsi="Arial" w:cs="Arial"/>
          <w:b/>
        </w:rPr>
        <w:t>Герасименко Екатерина Артуровна, Потрясаева Анастасия Евгеньевна</w:t>
      </w:r>
    </w:p>
    <w:p w:rsidR="00517711" w:rsidRDefault="00F815BE">
      <w:pPr>
        <w:pStyle w:val="Default"/>
        <w:jc w:val="center"/>
      </w:pPr>
      <w:r>
        <w:rPr>
          <w:rFonts w:ascii="Arial" w:hAnsi="Arial" w:cs="Arial"/>
        </w:rPr>
        <w:t>бакалавры группы БТД-16-ЛО</w:t>
      </w:r>
    </w:p>
    <w:p w:rsidR="00517711" w:rsidRDefault="00517711">
      <w:pPr>
        <w:pStyle w:val="Default"/>
        <w:jc w:val="center"/>
        <w:rPr>
          <w:i/>
          <w:iCs/>
        </w:rPr>
      </w:pPr>
    </w:p>
    <w:p w:rsidR="00517711" w:rsidRDefault="00F815BE">
      <w:pPr>
        <w:pStyle w:val="Default"/>
        <w:jc w:val="center"/>
        <w:rPr>
          <w:sz w:val="21"/>
          <w:szCs w:val="21"/>
        </w:rPr>
      </w:pPr>
      <w:r>
        <w:rPr>
          <w:i/>
          <w:iCs/>
          <w:sz w:val="21"/>
          <w:szCs w:val="21"/>
        </w:rPr>
        <w:t>Владивостокский государственный университет экономики и сервиса</w:t>
      </w:r>
    </w:p>
    <w:p w:rsidR="00517711" w:rsidRDefault="00F815BE">
      <w:pPr>
        <w:pStyle w:val="Default"/>
        <w:jc w:val="center"/>
        <w:rPr>
          <w:sz w:val="21"/>
          <w:szCs w:val="21"/>
        </w:rPr>
      </w:pPr>
      <w:r>
        <w:rPr>
          <w:i/>
          <w:iCs/>
          <w:sz w:val="21"/>
          <w:szCs w:val="21"/>
        </w:rPr>
        <w:t>Россия. Владивосток</w:t>
      </w:r>
    </w:p>
    <w:p w:rsidR="00517711" w:rsidRDefault="00517711">
      <w:pPr>
        <w:pStyle w:val="Default"/>
        <w:jc w:val="center"/>
      </w:pPr>
    </w:p>
    <w:p w:rsidR="00517711" w:rsidRPr="008A2A0D" w:rsidRDefault="00F815BE">
      <w:pPr>
        <w:pStyle w:val="Default"/>
        <w:jc w:val="center"/>
        <w:rPr>
          <w:sz w:val="20"/>
        </w:rPr>
      </w:pPr>
      <w:r>
        <w:rPr>
          <w:sz w:val="20"/>
          <w:lang w:val="en-US"/>
        </w:rPr>
        <w:t>E</w:t>
      </w:r>
      <w:r w:rsidRPr="008A2A0D">
        <w:rPr>
          <w:sz w:val="20"/>
        </w:rPr>
        <w:t>-</w:t>
      </w:r>
      <w:r>
        <w:rPr>
          <w:sz w:val="20"/>
          <w:lang w:val="en-US"/>
        </w:rPr>
        <w:t>mail</w:t>
      </w:r>
      <w:r w:rsidRPr="008A2A0D">
        <w:rPr>
          <w:sz w:val="20"/>
        </w:rPr>
        <w:t xml:space="preserve">: </w:t>
      </w:r>
      <w:r>
        <w:rPr>
          <w:sz w:val="20"/>
          <w:lang w:val="en-US"/>
        </w:rPr>
        <w:t>Yoshimurka</w:t>
      </w:r>
      <w:r w:rsidRPr="008A2A0D">
        <w:rPr>
          <w:sz w:val="20"/>
        </w:rPr>
        <w:t>1488@</w:t>
      </w:r>
      <w:r>
        <w:rPr>
          <w:sz w:val="20"/>
          <w:lang w:val="en-US"/>
        </w:rPr>
        <w:t>gmail</w:t>
      </w:r>
      <w:r w:rsidRPr="008A2A0D">
        <w:rPr>
          <w:sz w:val="20"/>
        </w:rPr>
        <w:t>.</w:t>
      </w:r>
      <w:r>
        <w:rPr>
          <w:sz w:val="20"/>
          <w:lang w:val="en-US"/>
        </w:rPr>
        <w:t>com</w:t>
      </w:r>
      <w:r w:rsidRPr="008A2A0D">
        <w:rPr>
          <w:sz w:val="20"/>
        </w:rPr>
        <w:t xml:space="preserve">; </w:t>
      </w:r>
      <w:r>
        <w:rPr>
          <w:sz w:val="20"/>
        </w:rPr>
        <w:t>тел</w:t>
      </w:r>
      <w:r w:rsidRPr="008A2A0D">
        <w:rPr>
          <w:sz w:val="20"/>
        </w:rPr>
        <w:t>.: 89146717818</w:t>
      </w:r>
    </w:p>
    <w:p w:rsidR="00517711" w:rsidRDefault="00F815BE">
      <w:pPr>
        <w:pStyle w:val="Default"/>
        <w:jc w:val="center"/>
        <w:rPr>
          <w:sz w:val="20"/>
        </w:rPr>
      </w:pPr>
      <w:r>
        <w:rPr>
          <w:sz w:val="20"/>
        </w:rPr>
        <w:t>ул. Гоголя, 41, г. Владивосток, Приморский край, Россия, 690014</w:t>
      </w:r>
    </w:p>
    <w:p w:rsidR="00517711" w:rsidRDefault="00517711">
      <w:pPr>
        <w:pStyle w:val="Default"/>
        <w:jc w:val="both"/>
        <w:rPr>
          <w:i/>
          <w:iCs/>
        </w:rPr>
      </w:pPr>
    </w:p>
    <w:p w:rsidR="00517711" w:rsidRDefault="00517711">
      <w:pPr>
        <w:pStyle w:val="Default"/>
        <w:jc w:val="both"/>
        <w:rPr>
          <w:i/>
          <w:iCs/>
        </w:rPr>
      </w:pPr>
    </w:p>
    <w:p w:rsidR="00517711" w:rsidRDefault="00F815BE">
      <w:pPr>
        <w:pStyle w:val="Default"/>
        <w:ind w:firstLine="709"/>
        <w:jc w:val="both"/>
        <w:rPr>
          <w:sz w:val="22"/>
        </w:rPr>
      </w:pPr>
      <w:r>
        <w:rPr>
          <w:i/>
          <w:sz w:val="22"/>
          <w:shd w:val="clear" w:color="auto" w:fill="FFFFFF"/>
        </w:rPr>
        <w:t xml:space="preserve">Сегодня в России наблюдается обострение проблемы трудоустройства выпускников вузов. </w:t>
      </w:r>
      <w:r>
        <w:rPr>
          <w:i/>
          <w:sz w:val="22"/>
        </w:rPr>
        <w:t xml:space="preserve">При поступлении абитуриенты ориентируются на субъективный образ профессии. Студенты разочаровываются в выбранном профиле специальности. Возникает необходимость внешнего воздействия на процесс формирования образа профессии. В работе представлены результаты </w:t>
      </w:r>
      <w:r>
        <w:rPr>
          <w:i/>
          <w:sz w:val="22"/>
          <w:shd w:val="clear" w:color="auto" w:fill="FFFFFF"/>
        </w:rPr>
        <w:t xml:space="preserve">исследования процессов, влияющих на профессиональное самоопределение студентов вузов. Исследования </w:t>
      </w:r>
      <w:r>
        <w:rPr>
          <w:i/>
          <w:sz w:val="22"/>
        </w:rPr>
        <w:t>основаны на онлайн-опросе студентов края.</w:t>
      </w:r>
    </w:p>
    <w:p w:rsidR="00517711" w:rsidRDefault="00F815BE">
      <w:pPr>
        <w:pStyle w:val="Default"/>
        <w:ind w:firstLine="709"/>
        <w:jc w:val="both"/>
        <w:rPr>
          <w:i/>
          <w:iCs/>
          <w:sz w:val="22"/>
        </w:rPr>
      </w:pPr>
      <w:r>
        <w:rPr>
          <w:b/>
          <w:bCs/>
          <w:i/>
          <w:iCs/>
          <w:sz w:val="22"/>
        </w:rPr>
        <w:t>Ключевые слова и словосочетания</w:t>
      </w:r>
      <w:r>
        <w:rPr>
          <w:i/>
          <w:iCs/>
          <w:sz w:val="22"/>
        </w:rPr>
        <w:t xml:space="preserve">: </w:t>
      </w:r>
      <w:r>
        <w:rPr>
          <w:i/>
          <w:sz w:val="22"/>
        </w:rPr>
        <w:t xml:space="preserve">высшее образование, студенческая молодежь, анкетный опрос, </w:t>
      </w:r>
      <w:r>
        <w:rPr>
          <w:i/>
          <w:sz w:val="22"/>
          <w:shd w:val="clear" w:color="auto" w:fill="FFFFFF"/>
        </w:rPr>
        <w:t>профессиональное самоопределение студентов, образ профессии, рынок труда, трудоустройство.</w:t>
      </w:r>
    </w:p>
    <w:p w:rsidR="00517711" w:rsidRDefault="00517711">
      <w:pPr>
        <w:pStyle w:val="Default"/>
        <w:ind w:firstLine="709"/>
        <w:jc w:val="both"/>
      </w:pPr>
    </w:p>
    <w:p w:rsidR="00517711" w:rsidRDefault="00F815BE">
      <w:pPr>
        <w:pStyle w:val="Default"/>
        <w:jc w:val="center"/>
        <w:rPr>
          <w:rFonts w:ascii="Book Antiqua" w:hAnsi="Book Antiqua"/>
          <w:sz w:val="26"/>
          <w:szCs w:val="26"/>
          <w:lang w:val="en-US"/>
        </w:rPr>
      </w:pPr>
      <w:r>
        <w:rPr>
          <w:rFonts w:ascii="Book Antiqua" w:hAnsi="Book Antiqua"/>
          <w:b/>
          <w:bCs/>
          <w:sz w:val="26"/>
          <w:szCs w:val="26"/>
          <w:lang w:val="en-US"/>
        </w:rPr>
        <w:t>THE STUDY OF ATTITUDES TOWARD THE CHOSEN PROFESSION IN THE PROCESS OF STUDYING AT A UNIVERSITY</w:t>
      </w:r>
    </w:p>
    <w:p w:rsidR="00517711" w:rsidRDefault="00517711">
      <w:pPr>
        <w:pStyle w:val="Default"/>
        <w:jc w:val="both"/>
        <w:rPr>
          <w:rFonts w:ascii="Book Antiqua" w:hAnsi="Book Antiqua"/>
          <w:i/>
          <w:iCs/>
          <w:sz w:val="26"/>
          <w:szCs w:val="26"/>
          <w:lang w:val="en-US"/>
        </w:rPr>
      </w:pPr>
    </w:p>
    <w:p w:rsidR="00517711" w:rsidRDefault="00F815BE">
      <w:pPr>
        <w:pStyle w:val="Default"/>
        <w:ind w:firstLine="709"/>
        <w:jc w:val="both"/>
        <w:rPr>
          <w:sz w:val="22"/>
          <w:lang w:val="en-US"/>
        </w:rPr>
      </w:pPr>
      <w:r>
        <w:rPr>
          <w:i/>
          <w:iCs/>
          <w:sz w:val="22"/>
          <w:lang w:val="en-US"/>
        </w:rPr>
        <w:t>Today in Russia there is an aggravation of the problem of employment of graduates of universities. At admission entrants are guided by the subjective image of the profession. Students are disappointed in the chosen specialty profile. There is a need for external influence on the process of forming the image of the profession. The paper presents the results of a study of processes affecting the professional self-determination of university students. The research is based on an online survey of the students of the region.</w:t>
      </w:r>
    </w:p>
    <w:p w:rsidR="00517711" w:rsidRDefault="00F815BE">
      <w:pPr>
        <w:pStyle w:val="Default"/>
        <w:ind w:firstLine="709"/>
        <w:jc w:val="both"/>
        <w:rPr>
          <w:i/>
          <w:iCs/>
          <w:sz w:val="22"/>
          <w:lang w:val="en-US"/>
        </w:rPr>
      </w:pPr>
      <w:r>
        <w:rPr>
          <w:b/>
          <w:bCs/>
          <w:i/>
          <w:iCs/>
          <w:sz w:val="22"/>
          <w:lang w:val="en-US"/>
        </w:rPr>
        <w:t>Keywords</w:t>
      </w:r>
      <w:r>
        <w:rPr>
          <w:i/>
          <w:iCs/>
          <w:sz w:val="22"/>
          <w:lang w:val="en-US"/>
        </w:rPr>
        <w:t>: higher education, student youth, questionnaire survey, professional self-determination of students, profession image, labor market, job placement.</w:t>
      </w:r>
    </w:p>
    <w:p w:rsidR="00517711" w:rsidRDefault="00517711">
      <w:pPr>
        <w:pStyle w:val="Default"/>
        <w:ind w:firstLine="709"/>
        <w:jc w:val="both"/>
        <w:rPr>
          <w:lang w:val="en-US"/>
        </w:rPr>
      </w:pP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Актуальность темы. В настоящее время многие </w:t>
      </w:r>
      <w:r>
        <w:rPr>
          <w:rFonts w:ascii="Times New Roman" w:hAnsi="Times New Roman" w:cs="Times New Roman"/>
          <w:color w:val="000000"/>
          <w:sz w:val="20"/>
          <w:szCs w:val="20"/>
        </w:rPr>
        <w:t xml:space="preserve">выпускники не работают по специальности, приобретенной в вузе. </w:t>
      </w:r>
      <w:r>
        <w:rPr>
          <w:rFonts w:ascii="Times New Roman" w:hAnsi="Times New Roman" w:cs="Times New Roman"/>
          <w:color w:val="000000"/>
          <w:sz w:val="20"/>
          <w:szCs w:val="20"/>
          <w:lang w:eastAsia="ru-RU"/>
        </w:rPr>
        <w:t>При поступлении в вуз абитуриенты ориентируются на субъективный образ профессии.</w:t>
      </w:r>
      <w:r>
        <w:rPr>
          <w:rFonts w:ascii="Times New Roman" w:hAnsi="Times New Roman" w:cs="Times New Roman"/>
          <w:color w:val="000000"/>
          <w:sz w:val="20"/>
          <w:szCs w:val="20"/>
        </w:rPr>
        <w:t xml:space="preserve"> Обучаясь в вузе, многие студенты разочаровываются в выбранном профиле специальности, что приводит к снижению интереса к учебному процессу. Поэтому возникает необходимость внешнего воздействия на процесс формирования образа будущей профессии.</w:t>
      </w:r>
    </w:p>
    <w:p w:rsidR="00517711" w:rsidRDefault="00F815BE">
      <w:pPr>
        <w:spacing w:after="0" w:line="240" w:lineRule="auto"/>
        <w:ind w:firstLine="709"/>
        <w:jc w:val="both"/>
        <w:rPr>
          <w:rFonts w:ascii="Times New Roman" w:hAnsi="Times New Roman" w:cs="Times New Roman"/>
          <w:b/>
          <w:i/>
          <w:color w:val="000000"/>
          <w:sz w:val="20"/>
          <w:szCs w:val="20"/>
          <w:shd w:val="clear" w:color="auto" w:fill="FFFFFF"/>
        </w:rPr>
      </w:pPr>
      <w:r>
        <w:rPr>
          <w:rFonts w:ascii="Times New Roman" w:hAnsi="Times New Roman" w:cs="Times New Roman"/>
          <w:color w:val="000000"/>
          <w:sz w:val="20"/>
          <w:szCs w:val="20"/>
          <w:shd w:val="clear" w:color="auto" w:fill="FFFFFF"/>
        </w:rPr>
        <w:t>Целью настоящей работы является исследование процессов, влияющих на профессиональное самоопределение студентов вузов на примере вузов Приморского края.</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sz w:val="20"/>
          <w:szCs w:val="20"/>
        </w:rPr>
        <w:t>Основными задачами исследования в рамках поставленной цели являются следующие:</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sz w:val="20"/>
          <w:szCs w:val="20"/>
        </w:rPr>
        <w:t>– исследование процессов, влияющих на трансформацию образа профессии у студентов в процессе обучения в вузе;</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rPr>
        <w:t>– оценка влияния ц</w:t>
      </w:r>
      <w:r>
        <w:rPr>
          <w:rFonts w:ascii="Times New Roman" w:hAnsi="Times New Roman" w:cs="Times New Roman"/>
          <w:color w:val="000000"/>
          <w:sz w:val="20"/>
          <w:szCs w:val="20"/>
          <w:shd w:val="clear" w:color="auto" w:fill="FFFFFF"/>
        </w:rPr>
        <w:t>енностных ориентаций студентов на самоопределение студентов в будущей профессии.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color w:val="000000"/>
          <w:sz w:val="20"/>
          <w:szCs w:val="20"/>
        </w:rPr>
        <w:t xml:space="preserve">Результаты исследования процессов, влияющих на </w:t>
      </w:r>
      <w:r>
        <w:rPr>
          <w:rFonts w:ascii="Times New Roman" w:hAnsi="Times New Roman" w:cs="Times New Roman"/>
          <w:color w:val="000000"/>
          <w:sz w:val="20"/>
          <w:szCs w:val="20"/>
          <w:shd w:val="clear" w:color="auto" w:fill="FFFFFF"/>
        </w:rPr>
        <w:t>профессиональное самоопределение студентов, необходимо использовать при определении содержания комплекса психолого-педагогических воздействий и разработке организационных мероприятий, способствующих выработке активной позиции студентов в овладении профессией в соответствии с выбранным профилем специальности.</w:t>
      </w:r>
    </w:p>
    <w:p w:rsidR="00517711" w:rsidRDefault="00F815BE">
      <w:pPr>
        <w:spacing w:after="0" w:line="240" w:lineRule="auto"/>
        <w:ind w:firstLine="709"/>
        <w:jc w:val="both"/>
        <w:rPr>
          <w:rFonts w:ascii="Times New Roman" w:hAnsi="Times New Roman" w:cs="Times New Roman"/>
          <w:color w:val="000000"/>
          <w:sz w:val="20"/>
          <w:szCs w:val="20"/>
          <w:lang w:eastAsia="ru-RU"/>
        </w:rPr>
      </w:pPr>
      <w:r>
        <w:rPr>
          <w:rFonts w:ascii="Times New Roman" w:hAnsi="Times New Roman" w:cs="Times New Roman"/>
          <w:color w:val="000000"/>
          <w:sz w:val="20"/>
          <w:szCs w:val="20"/>
        </w:rPr>
        <w:lastRenderedPageBreak/>
        <w:t>Проблема занятости молодых людей является одной из наиболее острых социальных-экономических проблем мирового сообщества в ХХI веке.</w:t>
      </w:r>
      <w:r>
        <w:rPr>
          <w:rFonts w:ascii="Times New Roman" w:hAnsi="Times New Roman" w:cs="Times New Roman"/>
          <w:color w:val="000000"/>
          <w:sz w:val="20"/>
          <w:szCs w:val="20"/>
          <w:shd w:val="clear" w:color="auto" w:fill="FFFFFF"/>
        </w:rPr>
        <w:t xml:space="preserve"> В последние годы в России наблюдается обострение проблемы трудоустройства выпускников вузов. В настоящее время </w:t>
      </w:r>
      <w:r>
        <w:rPr>
          <w:rFonts w:ascii="Times New Roman" w:hAnsi="Times New Roman" w:cs="Times New Roman"/>
          <w:color w:val="000000"/>
          <w:sz w:val="20"/>
          <w:szCs w:val="20"/>
          <w:shd w:val="clear" w:color="auto" w:fill="FFFFFF" w:themeFill="background1"/>
        </w:rPr>
        <w:t xml:space="preserve">от 25 до 30% выпускников вузов не могут найти себе работу после окончания вуза </w:t>
      </w:r>
      <w:r>
        <w:rPr>
          <w:rFonts w:ascii="Times New Roman" w:hAnsi="Times New Roman" w:cs="Times New Roman"/>
          <w:color w:val="000000"/>
          <w:sz w:val="20"/>
          <w:szCs w:val="20"/>
        </w:rPr>
        <w:t xml:space="preserve">[1]. Структура подготовки специалистов не всегда соответствует потребностям рынка труда региона [2]. В связи с этим </w:t>
      </w:r>
      <w:r>
        <w:rPr>
          <w:rFonts w:ascii="Times New Roman" w:hAnsi="Times New Roman" w:cs="Times New Roman"/>
          <w:color w:val="000000"/>
          <w:sz w:val="20"/>
          <w:szCs w:val="20"/>
          <w:lang w:eastAsia="ru-RU"/>
        </w:rPr>
        <w:t xml:space="preserve">государство вынуждено нести дополнительные затраты на перепрофилирование кадров, потери, связанные с текучестью кадров. </w:t>
      </w:r>
      <w:r>
        <w:rPr>
          <w:rFonts w:ascii="Times New Roman" w:hAnsi="Times New Roman" w:cs="Times New Roman"/>
          <w:color w:val="000000"/>
          <w:sz w:val="20"/>
          <w:szCs w:val="20"/>
        </w:rPr>
        <w:t xml:space="preserve">По данным </w:t>
      </w:r>
      <w:r>
        <w:rPr>
          <w:rFonts w:ascii="Times New Roman" w:hAnsi="Times New Roman" w:cs="Times New Roman"/>
          <w:color w:val="000000"/>
          <w:sz w:val="20"/>
          <w:szCs w:val="20"/>
          <w:shd w:val="clear" w:color="auto" w:fill="FFFFFF"/>
        </w:rPr>
        <w:t>исследований экспертно-аналитического центра РАНХиГС,</w:t>
      </w:r>
      <w:r>
        <w:rPr>
          <w:rFonts w:ascii="Times New Roman" w:hAnsi="Times New Roman" w:cs="Times New Roman"/>
          <w:color w:val="000000"/>
          <w:sz w:val="20"/>
          <w:szCs w:val="20"/>
        </w:rPr>
        <w:t xml:space="preserve"> только около 20% выпускников вузов работают по профилю специальности, приобретенной в вузе.</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sz w:val="20"/>
          <w:szCs w:val="20"/>
          <w:shd w:val="clear" w:color="auto" w:fill="FFFFFF"/>
        </w:rPr>
        <w:t xml:space="preserve">В связи коммерциализацией высшего образования абитуриенты часто выбирают не тот профиль специальности, на котором они </w:t>
      </w:r>
      <w:r>
        <w:rPr>
          <w:rFonts w:ascii="Times New Roman" w:hAnsi="Times New Roman" w:cs="Times New Roman"/>
          <w:color w:val="000000"/>
          <w:sz w:val="20"/>
          <w:szCs w:val="20"/>
        </w:rPr>
        <w:t>действительно хотели бы учиться.</w:t>
      </w:r>
      <w:r>
        <w:rPr>
          <w:rFonts w:ascii="Times New Roman" w:hAnsi="Times New Roman" w:cs="Times New Roman"/>
          <w:color w:val="000000"/>
          <w:sz w:val="20"/>
          <w:szCs w:val="20"/>
          <w:shd w:val="clear" w:color="auto" w:fill="FFFFFF"/>
        </w:rPr>
        <w:t xml:space="preserve"> </w:t>
      </w:r>
      <w:r>
        <w:rPr>
          <w:rFonts w:ascii="Times New Roman" w:hAnsi="Times New Roman" w:cs="Times New Roman"/>
          <w:color w:val="000000"/>
          <w:sz w:val="20"/>
          <w:szCs w:val="20"/>
        </w:rPr>
        <w:t>В связи с ограниченным числом бюджетных мест в вузах многие абитуриенты подают документы в разные вузы и на разные факультеты. В результате поступают на те профили специальности, на которые смогли набрать достаточное количество баллов или найти средства на обучение.</w:t>
      </w:r>
    </w:p>
    <w:p w:rsidR="00517711" w:rsidRDefault="00F815BE">
      <w:pPr>
        <w:spacing w:after="0" w:line="240" w:lineRule="auto"/>
        <w:ind w:firstLine="709"/>
        <w:jc w:val="both"/>
        <w:rPr>
          <w:rFonts w:ascii="Times New Roman" w:hAnsi="Times New Roman" w:cs="Times New Roman"/>
          <w:i/>
          <w:color w:val="000000"/>
          <w:sz w:val="20"/>
          <w:szCs w:val="20"/>
          <w:shd w:val="clear" w:color="auto" w:fill="FFFFFF"/>
        </w:rPr>
      </w:pPr>
      <w:r>
        <w:rPr>
          <w:rFonts w:ascii="Times New Roman" w:hAnsi="Times New Roman" w:cs="Times New Roman"/>
          <w:color w:val="000000"/>
          <w:sz w:val="20"/>
          <w:szCs w:val="20"/>
        </w:rPr>
        <w:t xml:space="preserve">Формирование образа профессии продолжается весь период обучения студентов вузе. </w:t>
      </w:r>
      <w:r>
        <w:rPr>
          <w:rFonts w:ascii="Times New Roman" w:hAnsi="Times New Roman" w:cs="Times New Roman"/>
          <w:color w:val="000000"/>
          <w:sz w:val="20"/>
          <w:szCs w:val="20"/>
          <w:shd w:val="clear" w:color="auto" w:fill="FFFFFF"/>
        </w:rPr>
        <w:t>Специфика профессионального самоопределения на этапе обучения в вузе состоит в оценке студентами уже совершенного выбора университета и профиля специальности, построении профессиональных планов на будущее, оценка своих перспектив по трудоустройству, получении первого опыта профессиональной деятельности.</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rPr>
        <w:t xml:space="preserve">На практике, обучаясь в вузе, многие студенты разочаровываются в выбранной профессии. Снижается интерес к предметам, появляются сомнения в правильности своего выбора. Поэтому возникает необходимость внешнего воздействия на процесс формирования образа будущей профессии. Поэтому </w:t>
      </w:r>
      <w:r>
        <w:rPr>
          <w:rFonts w:ascii="Times New Roman" w:hAnsi="Times New Roman" w:cs="Times New Roman"/>
          <w:color w:val="000000"/>
          <w:sz w:val="20"/>
          <w:szCs w:val="20"/>
          <w:shd w:val="clear" w:color="auto" w:fill="FFFFFF" w:themeFill="background1"/>
        </w:rPr>
        <w:t xml:space="preserve">исследование </w:t>
      </w:r>
      <w:r>
        <w:rPr>
          <w:rFonts w:ascii="Times New Roman" w:hAnsi="Times New Roman" w:cs="Times New Roman"/>
          <w:color w:val="000000"/>
          <w:sz w:val="20"/>
          <w:szCs w:val="20"/>
        </w:rPr>
        <w:t>процессов, влияющих на формирование позитивного образа будущей профессии</w:t>
      </w:r>
      <w:r>
        <w:rPr>
          <w:rFonts w:ascii="Times New Roman" w:hAnsi="Times New Roman" w:cs="Times New Roman"/>
          <w:color w:val="000000"/>
          <w:sz w:val="20"/>
          <w:szCs w:val="20"/>
          <w:shd w:val="clear" w:color="auto" w:fill="F5F5F5"/>
        </w:rPr>
        <w:t xml:space="preserve"> </w:t>
      </w:r>
      <w:r>
        <w:rPr>
          <w:rFonts w:ascii="Times New Roman" w:hAnsi="Times New Roman" w:cs="Times New Roman"/>
          <w:color w:val="000000"/>
          <w:sz w:val="20"/>
          <w:szCs w:val="20"/>
          <w:shd w:val="clear" w:color="auto" w:fill="FFFFFF" w:themeFill="background1"/>
        </w:rPr>
        <w:t>является актуальной научной задачей.</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На оценку студентами своих перспектив трудоустройства оказывают влияние ценностные ориентации студентов. Ценностные ориентации являются важнейшей составляющей процесса профессионального самоопределения студентов. Разочарование студентов в выбранном профиле специальности является признаком профессиональной депривации. Негативные проявления, связанные с образовательной депривацией рассматриваются в работах </w:t>
      </w:r>
      <w:r>
        <w:rPr>
          <w:rFonts w:ascii="Times New Roman" w:hAnsi="Times New Roman" w:cs="Times New Roman"/>
          <w:sz w:val="20"/>
          <w:szCs w:val="20"/>
          <w:shd w:val="clear" w:color="auto" w:fill="FFFFFF"/>
        </w:rPr>
        <w:t>[3, 7]</w:t>
      </w:r>
      <w:r>
        <w:rPr>
          <w:rFonts w:ascii="Times New Roman" w:hAnsi="Times New Roman" w:cs="Times New Roman"/>
          <w:color w:val="000000"/>
          <w:sz w:val="20"/>
          <w:szCs w:val="20"/>
          <w:shd w:val="clear" w:color="auto" w:fill="FFFFFF"/>
        </w:rPr>
        <w:t>. Однако, этой проблеме в последние годы уделяется недостаточно внимания. Между тем, в последние годы в связи с усложнением обстановки с трудоустройством выпускников вузов эта проблема требует особого внимания.</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Настоящее исследование основано на анкетном опросе студентов вузов Приморского края [6]. Анкетный опрос был организован в форме онлайн-опроса в сети интернет. В опросе приняли участие более 600 студентов вузов Приморского края. Структура опрошенных студентов: 58% – студентов </w:t>
      </w:r>
      <w:r>
        <w:rPr>
          <w:rFonts w:ascii="Times New Roman" w:hAnsi="Times New Roman" w:cs="Times New Roman"/>
          <w:color w:val="000000"/>
          <w:sz w:val="20"/>
          <w:szCs w:val="20"/>
          <w:lang w:val="en-US"/>
        </w:rPr>
        <w:t>II</w:t>
      </w:r>
      <w:r>
        <w:rPr>
          <w:rFonts w:ascii="Times New Roman" w:hAnsi="Times New Roman" w:cs="Times New Roman"/>
          <w:color w:val="000000"/>
          <w:sz w:val="20"/>
          <w:szCs w:val="20"/>
        </w:rPr>
        <w:t xml:space="preserve">-го курса; 27% – студентов </w:t>
      </w:r>
      <w:r>
        <w:rPr>
          <w:rFonts w:ascii="Times New Roman" w:hAnsi="Times New Roman" w:cs="Times New Roman"/>
          <w:color w:val="000000"/>
          <w:sz w:val="20"/>
          <w:szCs w:val="20"/>
          <w:lang w:val="en-US"/>
        </w:rPr>
        <w:t>III</w:t>
      </w:r>
      <w:r>
        <w:rPr>
          <w:rFonts w:ascii="Times New Roman" w:hAnsi="Times New Roman" w:cs="Times New Roman"/>
          <w:color w:val="000000"/>
          <w:sz w:val="20"/>
          <w:szCs w:val="20"/>
        </w:rPr>
        <w:t xml:space="preserve">-го курса, остальные студенты старших курсов.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sz w:val="20"/>
          <w:szCs w:val="20"/>
        </w:rPr>
        <w:t>Выбор профиля специальности на основе особой склонности к профессии осуществляют только около 15% абитуриентов. Это контингент, который часто целенаправленно приходит поступать в вуз на специальность, о которой давно мечтал, и, возможно, имеет некоторые навыки по данному профилю подготовки. Это высокомотивированные абитуриенты, которые крайне редко испытывают разочарование в своем выборе в период обучения в вузе.</w:t>
      </w:r>
    </w:p>
    <w:p w:rsidR="00517711" w:rsidRDefault="00F815BE">
      <w:pPr>
        <w:spacing w:after="0" w:line="240" w:lineRule="auto"/>
        <w:ind w:firstLine="709"/>
        <w:jc w:val="both"/>
        <w:rPr>
          <w:rFonts w:ascii="Times New Roman" w:hAnsi="Times New Roman" w:cs="Times New Roman"/>
          <w:color w:val="000000"/>
          <w:sz w:val="20"/>
          <w:szCs w:val="20"/>
          <w:lang w:eastAsia="ru-RU"/>
        </w:rPr>
      </w:pPr>
      <w:r>
        <w:rPr>
          <w:rFonts w:ascii="Times New Roman" w:hAnsi="Times New Roman" w:cs="Times New Roman"/>
          <w:color w:val="000000"/>
          <w:sz w:val="20"/>
          <w:szCs w:val="20"/>
        </w:rPr>
        <w:t xml:space="preserve">Некоторая часть студентов была разочарована в выборе специальности. При ответах на вопрос анкеты </w:t>
      </w:r>
      <w:r>
        <w:rPr>
          <w:rFonts w:ascii="Times New Roman" w:hAnsi="Times New Roman" w:cs="Times New Roman"/>
          <w:color w:val="000000"/>
          <w:sz w:val="20"/>
          <w:szCs w:val="20"/>
          <w:shd w:val="clear" w:color="auto" w:fill="FFFFFF"/>
        </w:rPr>
        <w:t>«</w:t>
      </w:r>
      <w:r>
        <w:rPr>
          <w:rFonts w:ascii="Times New Roman" w:hAnsi="Times New Roman" w:cs="Times New Roman"/>
          <w:color w:val="000000"/>
          <w:sz w:val="20"/>
          <w:szCs w:val="20"/>
          <w:lang w:eastAsia="ru-RU"/>
        </w:rPr>
        <w:t>Если бы Вы сегодня поступали в вуз, Вы бы выбрали ту же специальность?», ответы распределились следующим образом:</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rPr>
        <w:t xml:space="preserve">– </w:t>
      </w:r>
      <w:r>
        <w:rPr>
          <w:rFonts w:ascii="Times New Roman" w:hAnsi="Times New Roman" w:cs="Times New Roman"/>
          <w:color w:val="000000"/>
          <w:sz w:val="20"/>
          <w:szCs w:val="20"/>
          <w:lang w:eastAsia="ru-RU"/>
        </w:rPr>
        <w:t xml:space="preserve">выбрал бы ту же специальность </w:t>
      </w:r>
      <w:r>
        <w:rPr>
          <w:rFonts w:ascii="Times New Roman" w:hAnsi="Times New Roman" w:cs="Times New Roman"/>
          <w:color w:val="000000"/>
          <w:sz w:val="20"/>
          <w:szCs w:val="20"/>
        </w:rPr>
        <w:t>– 65%;</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Pr>
          <w:rFonts w:ascii="Times New Roman" w:hAnsi="Times New Roman" w:cs="Times New Roman"/>
          <w:color w:val="000000"/>
          <w:sz w:val="20"/>
          <w:szCs w:val="20"/>
          <w:lang w:eastAsia="ru-RU"/>
        </w:rPr>
        <w:t xml:space="preserve">нет, я бы поступал на другую специальность, потому что я разочаровался в этой специальности </w:t>
      </w:r>
      <w:r>
        <w:rPr>
          <w:rFonts w:ascii="Times New Roman" w:hAnsi="Times New Roman" w:cs="Times New Roman"/>
          <w:color w:val="000000"/>
          <w:sz w:val="20"/>
          <w:szCs w:val="20"/>
        </w:rPr>
        <w:t>– 14%;</w:t>
      </w:r>
    </w:p>
    <w:p w:rsidR="00517711" w:rsidRDefault="00F815BE">
      <w:pPr>
        <w:spacing w:after="0" w:line="240" w:lineRule="auto"/>
        <w:ind w:firstLine="709"/>
        <w:jc w:val="both"/>
        <w:rPr>
          <w:rFonts w:ascii="Times New Roman" w:hAnsi="Times New Roman" w:cs="Times New Roman"/>
          <w:color w:val="000000"/>
          <w:sz w:val="20"/>
          <w:szCs w:val="20"/>
          <w:lang w:eastAsia="ru-RU"/>
        </w:rPr>
      </w:pPr>
      <w:r>
        <w:rPr>
          <w:rFonts w:ascii="Times New Roman" w:hAnsi="Times New Roman" w:cs="Times New Roman"/>
          <w:color w:val="000000"/>
          <w:sz w:val="20"/>
          <w:szCs w:val="20"/>
        </w:rPr>
        <w:t xml:space="preserve">– </w:t>
      </w:r>
      <w:r>
        <w:rPr>
          <w:rFonts w:ascii="Times New Roman" w:hAnsi="Times New Roman" w:cs="Times New Roman"/>
          <w:color w:val="000000"/>
          <w:sz w:val="20"/>
          <w:szCs w:val="20"/>
          <w:lang w:eastAsia="ru-RU"/>
        </w:rPr>
        <w:t xml:space="preserve">я до сих пор не разобрался в этом вопросе </w:t>
      </w:r>
      <w:r>
        <w:rPr>
          <w:rFonts w:ascii="Times New Roman" w:hAnsi="Times New Roman" w:cs="Times New Roman"/>
          <w:color w:val="000000"/>
          <w:sz w:val="20"/>
          <w:szCs w:val="20"/>
        </w:rPr>
        <w:t>– 21%.</w:t>
      </w:r>
    </w:p>
    <w:p w:rsidR="00517711" w:rsidRDefault="00F815BE">
      <w:pPr>
        <w:spacing w:after="0" w:line="240" w:lineRule="auto"/>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rPr>
        <w:t xml:space="preserve">У большинства студентов происходит уточнение представлений о выбранной специальности. Для оценки трансформации представлений о выбранной специальности у студентов использовались вопросы, требующие ответов в форме оценок респондентов в порядковой шкале </w:t>
      </w:r>
      <w:r>
        <w:rPr>
          <w:rFonts w:ascii="Times New Roman" w:hAnsi="Times New Roman" w:cs="Times New Roman"/>
          <w:color w:val="000000"/>
          <w:sz w:val="20"/>
          <w:szCs w:val="20"/>
          <w:shd w:val="clear" w:color="auto" w:fill="FFFFFF"/>
        </w:rPr>
        <w:t>Лайкерта. Результаты обработки данных пяти ответов уточняющих представления студентов по выбору специальности представлены в табл. 1.</w:t>
      </w:r>
    </w:p>
    <w:p w:rsidR="00517711" w:rsidRDefault="00F815BE">
      <w:pPr>
        <w:spacing w:after="0" w:line="240" w:lineRule="auto"/>
        <w:jc w:val="right"/>
        <w:rPr>
          <w:rFonts w:ascii="Times New Roman" w:hAnsi="Times New Roman" w:cs="Times New Roman"/>
          <w:i/>
          <w:color w:val="000000"/>
          <w:sz w:val="20"/>
          <w:szCs w:val="20"/>
          <w:lang w:eastAsia="ru-RU"/>
        </w:rPr>
      </w:pPr>
      <w:r>
        <w:rPr>
          <w:rFonts w:ascii="Times New Roman" w:hAnsi="Times New Roman" w:cs="Times New Roman"/>
          <w:i/>
          <w:color w:val="000000"/>
          <w:sz w:val="20"/>
          <w:szCs w:val="20"/>
          <w:lang w:eastAsia="ru-RU"/>
        </w:rPr>
        <w:t>Таблица. 1</w:t>
      </w:r>
    </w:p>
    <w:p w:rsidR="00517711" w:rsidRDefault="00F815BE">
      <w:pPr>
        <w:spacing w:after="0" w:line="240" w:lineRule="auto"/>
        <w:jc w:val="center"/>
        <w:rPr>
          <w:rFonts w:ascii="Times New Roman" w:hAnsi="Times New Roman" w:cs="Times New Roman"/>
          <w:b/>
          <w:color w:val="000000"/>
          <w:sz w:val="20"/>
          <w:szCs w:val="20"/>
          <w:lang w:eastAsia="ru-RU"/>
        </w:rPr>
      </w:pPr>
      <w:r>
        <w:rPr>
          <w:rFonts w:ascii="Times New Roman" w:hAnsi="Times New Roman" w:cs="Times New Roman"/>
          <w:b/>
          <w:color w:val="000000"/>
          <w:sz w:val="20"/>
          <w:szCs w:val="20"/>
          <w:lang w:eastAsia="ru-RU"/>
        </w:rPr>
        <w:t xml:space="preserve">Оценка </w:t>
      </w:r>
      <w:r>
        <w:rPr>
          <w:rFonts w:ascii="Times New Roman" w:hAnsi="Times New Roman" w:cs="Times New Roman"/>
          <w:b/>
          <w:color w:val="000000"/>
          <w:sz w:val="20"/>
          <w:szCs w:val="20"/>
        </w:rPr>
        <w:t>трансформации представлений о выбранной специальности у студентов в процессе обучения в вузе</w:t>
      </w:r>
    </w:p>
    <w:tbl>
      <w:tblPr>
        <w:tblW w:w="9761" w:type="dxa"/>
        <w:tblInd w:w="93" w:type="dxa"/>
        <w:tblLook w:val="04A0" w:firstRow="1" w:lastRow="0" w:firstColumn="1" w:lastColumn="0" w:noHBand="0" w:noVBand="1"/>
      </w:tblPr>
      <w:tblGrid>
        <w:gridCol w:w="406"/>
        <w:gridCol w:w="6138"/>
        <w:gridCol w:w="643"/>
        <w:gridCol w:w="583"/>
        <w:gridCol w:w="704"/>
        <w:gridCol w:w="583"/>
        <w:gridCol w:w="704"/>
      </w:tblGrid>
      <w:tr w:rsidR="00517711">
        <w:trPr>
          <w:trHeight w:val="579"/>
        </w:trPr>
        <w:tc>
          <w:tcPr>
            <w:tcW w:w="407" w:type="dxa"/>
            <w:vMerge w:val="restart"/>
            <w:tcBorders>
              <w:top w:val="single" w:sz="4" w:space="0" w:color="auto"/>
              <w:left w:val="single" w:sz="4" w:space="0" w:color="auto"/>
              <w:right w:val="none" w:sz="4" w:space="0" w:color="000000"/>
            </w:tcBorders>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w:t>
            </w:r>
          </w:p>
        </w:tc>
        <w:tc>
          <w:tcPr>
            <w:tcW w:w="6140" w:type="dxa"/>
            <w:vMerge w:val="restart"/>
            <w:tcBorders>
              <w:top w:val="single" w:sz="4" w:space="0" w:color="auto"/>
              <w:left w:val="single" w:sz="4" w:space="0" w:color="auto"/>
              <w:right w:val="none" w:sz="4" w:space="0" w:color="000000"/>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Вопросы анкеты</w:t>
            </w:r>
          </w:p>
        </w:tc>
        <w:tc>
          <w:tcPr>
            <w:tcW w:w="3214" w:type="dxa"/>
            <w:gridSpan w:val="5"/>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 xml:space="preserve">Оценки по шкале </w:t>
            </w:r>
            <w:r>
              <w:rPr>
                <w:rFonts w:ascii="Times New Roman" w:hAnsi="Times New Roman" w:cs="Times New Roman"/>
                <w:color w:val="000000"/>
                <w:sz w:val="20"/>
                <w:szCs w:val="20"/>
                <w:shd w:val="clear" w:color="auto" w:fill="FFFFFF"/>
              </w:rPr>
              <w:t>Лайкерта</w:t>
            </w:r>
          </w:p>
        </w:tc>
      </w:tr>
      <w:tr w:rsidR="00517711">
        <w:trPr>
          <w:trHeight w:val="417"/>
        </w:trPr>
        <w:tc>
          <w:tcPr>
            <w:tcW w:w="407" w:type="dxa"/>
            <w:vMerge/>
            <w:tcBorders>
              <w:left w:val="single" w:sz="4" w:space="0" w:color="auto"/>
              <w:bottom w:val="single" w:sz="4" w:space="0" w:color="auto"/>
              <w:right w:val="none" w:sz="4" w:space="0" w:color="000000"/>
            </w:tcBorders>
          </w:tcPr>
          <w:p w:rsidR="00517711" w:rsidRDefault="00517711">
            <w:pPr>
              <w:spacing w:after="0" w:line="240" w:lineRule="auto"/>
              <w:jc w:val="center"/>
              <w:rPr>
                <w:rFonts w:ascii="Times New Roman" w:hAnsi="Times New Roman" w:cs="Times New Roman"/>
                <w:color w:val="000000"/>
                <w:sz w:val="20"/>
                <w:szCs w:val="20"/>
                <w:lang w:eastAsia="ru-RU"/>
              </w:rPr>
            </w:pPr>
          </w:p>
        </w:tc>
        <w:tc>
          <w:tcPr>
            <w:tcW w:w="6140" w:type="dxa"/>
            <w:vMerge/>
            <w:tcBorders>
              <w:left w:val="single" w:sz="4" w:space="0" w:color="auto"/>
              <w:bottom w:val="single" w:sz="4" w:space="0" w:color="auto"/>
              <w:right w:val="none" w:sz="4" w:space="0" w:color="000000"/>
            </w:tcBorders>
            <w:noWrap/>
            <w:vAlign w:val="center"/>
          </w:tcPr>
          <w:p w:rsidR="00517711" w:rsidRDefault="00517711">
            <w:pPr>
              <w:spacing w:after="0" w:line="240" w:lineRule="auto"/>
              <w:jc w:val="center"/>
              <w:rPr>
                <w:rFonts w:ascii="Times New Roman" w:hAnsi="Times New Roman" w:cs="Times New Roman"/>
                <w:color w:val="000000"/>
                <w:sz w:val="20"/>
                <w:szCs w:val="20"/>
                <w:lang w:eastAsia="ru-RU"/>
              </w:rPr>
            </w:pPr>
          </w:p>
        </w:tc>
        <w:tc>
          <w:tcPr>
            <w:tcW w:w="643"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w:t>
            </w:r>
          </w:p>
        </w:tc>
        <w:tc>
          <w:tcPr>
            <w:tcW w:w="580" w:type="dxa"/>
            <w:tcBorders>
              <w:top w:val="single" w:sz="4" w:space="0" w:color="auto"/>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w:t>
            </w:r>
          </w:p>
        </w:tc>
        <w:tc>
          <w:tcPr>
            <w:tcW w:w="704" w:type="dxa"/>
            <w:tcBorders>
              <w:top w:val="single" w:sz="4" w:space="0" w:color="auto"/>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w:t>
            </w:r>
          </w:p>
        </w:tc>
        <w:tc>
          <w:tcPr>
            <w:tcW w:w="583" w:type="dxa"/>
            <w:tcBorders>
              <w:top w:val="single" w:sz="4" w:space="0" w:color="auto"/>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w:t>
            </w:r>
          </w:p>
        </w:tc>
        <w:tc>
          <w:tcPr>
            <w:tcW w:w="704" w:type="dxa"/>
            <w:tcBorders>
              <w:top w:val="single" w:sz="4" w:space="0" w:color="auto"/>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w:t>
            </w:r>
          </w:p>
        </w:tc>
      </w:tr>
      <w:tr w:rsidR="00517711">
        <w:trPr>
          <w:trHeight w:val="340"/>
        </w:trPr>
        <w:tc>
          <w:tcPr>
            <w:tcW w:w="407" w:type="dxa"/>
            <w:tcBorders>
              <w:top w:val="single" w:sz="4" w:space="0" w:color="auto"/>
              <w:left w:val="single" w:sz="4" w:space="0" w:color="auto"/>
              <w:bottom w:val="single" w:sz="4" w:space="0" w:color="auto"/>
              <w:right w:val="none" w:sz="4" w:space="0" w:color="000000"/>
            </w:tcBorders>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6140" w:type="dxa"/>
            <w:tcBorders>
              <w:top w:val="single" w:sz="4" w:space="0" w:color="auto"/>
              <w:left w:val="single" w:sz="4" w:space="0" w:color="auto"/>
              <w:bottom w:val="single" w:sz="4" w:space="0" w:color="auto"/>
              <w:right w:val="none" w:sz="4" w:space="0" w:color="000000"/>
            </w:tcBorders>
            <w:noWrap/>
            <w:vAlign w:val="center"/>
          </w:tcPr>
          <w:p w:rsidR="00517711" w:rsidRDefault="00F815BE">
            <w:pPr>
              <w:spacing w:after="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Оцените, с позиций сегодняшнего дня, свой выбор специальности, по которой Вы обучаетесь.</w:t>
            </w:r>
          </w:p>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lang w:eastAsia="ru-RU"/>
              </w:rPr>
              <w:t>(← абсолютно ошибочный выбор; абсолютно правильный выбор →)</w:t>
            </w:r>
          </w:p>
        </w:tc>
        <w:tc>
          <w:tcPr>
            <w:tcW w:w="643" w:type="dxa"/>
            <w:tcBorders>
              <w:top w:val="none" w:sz="4" w:space="0" w:color="000000"/>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580"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704"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24%</w:t>
            </w:r>
          </w:p>
        </w:tc>
        <w:tc>
          <w:tcPr>
            <w:tcW w:w="5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35%</w:t>
            </w:r>
          </w:p>
        </w:tc>
        <w:tc>
          <w:tcPr>
            <w:tcW w:w="704"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32%</w:t>
            </w:r>
          </w:p>
        </w:tc>
      </w:tr>
      <w:tr w:rsidR="00517711">
        <w:trPr>
          <w:trHeight w:val="340"/>
        </w:trPr>
        <w:tc>
          <w:tcPr>
            <w:tcW w:w="407" w:type="dxa"/>
            <w:tcBorders>
              <w:top w:val="single" w:sz="4" w:space="0" w:color="auto"/>
              <w:left w:val="single" w:sz="4" w:space="0" w:color="auto"/>
              <w:bottom w:val="single" w:sz="4" w:space="0" w:color="auto"/>
              <w:right w:val="none" w:sz="4" w:space="0" w:color="000000"/>
            </w:tcBorders>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6140" w:type="dxa"/>
            <w:tcBorders>
              <w:top w:val="single" w:sz="4" w:space="0" w:color="auto"/>
              <w:left w:val="single" w:sz="4" w:space="0" w:color="auto"/>
              <w:bottom w:val="single" w:sz="4" w:space="0" w:color="auto"/>
              <w:right w:val="none" w:sz="4" w:space="0" w:color="000000"/>
            </w:tcBorders>
            <w:noWrap/>
            <w:vAlign w:val="center"/>
          </w:tcPr>
          <w:p w:rsidR="00517711" w:rsidRDefault="00F815BE">
            <w:pPr>
              <w:spacing w:after="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Оцените Ваши представления сегодня о том, в чем будет состоять работа по выбранной специальности после окончания вуза.</w:t>
            </w:r>
          </w:p>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lang w:eastAsia="ru-RU"/>
              </w:rPr>
              <w:t>(← совершенно не представляю; очень хорошо представляю →)</w:t>
            </w:r>
          </w:p>
        </w:tc>
        <w:tc>
          <w:tcPr>
            <w:tcW w:w="643" w:type="dxa"/>
            <w:tcBorders>
              <w:top w:val="none" w:sz="4" w:space="0" w:color="000000"/>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580"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704"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28%</w:t>
            </w:r>
          </w:p>
        </w:tc>
        <w:tc>
          <w:tcPr>
            <w:tcW w:w="5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34%</w:t>
            </w:r>
          </w:p>
        </w:tc>
        <w:tc>
          <w:tcPr>
            <w:tcW w:w="704"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29%</w:t>
            </w:r>
          </w:p>
        </w:tc>
      </w:tr>
      <w:tr w:rsidR="00517711">
        <w:trPr>
          <w:trHeight w:val="340"/>
        </w:trPr>
        <w:tc>
          <w:tcPr>
            <w:tcW w:w="407" w:type="dxa"/>
            <w:tcBorders>
              <w:top w:val="single" w:sz="4" w:space="0" w:color="auto"/>
              <w:left w:val="single" w:sz="4" w:space="0" w:color="auto"/>
              <w:bottom w:val="single" w:sz="4" w:space="0" w:color="auto"/>
              <w:right w:val="none" w:sz="4" w:space="0" w:color="000000"/>
            </w:tcBorders>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6140" w:type="dxa"/>
            <w:tcBorders>
              <w:top w:val="single" w:sz="4" w:space="0" w:color="auto"/>
              <w:left w:val="single" w:sz="4" w:space="0" w:color="auto"/>
              <w:bottom w:val="single" w:sz="4" w:space="0" w:color="auto"/>
              <w:right w:val="none" w:sz="4" w:space="0" w:color="000000"/>
            </w:tcBorders>
            <w:noWrap/>
            <w:vAlign w:val="center"/>
          </w:tcPr>
          <w:p w:rsidR="00517711" w:rsidRDefault="00F815BE">
            <w:pPr>
              <w:spacing w:after="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 xml:space="preserve">Влияет ли прохождение производственной практики на расширение </w:t>
            </w:r>
            <w:r>
              <w:rPr>
                <w:rFonts w:ascii="Times New Roman" w:hAnsi="Times New Roman" w:cs="Times New Roman"/>
                <w:color w:val="000000"/>
                <w:sz w:val="20"/>
                <w:szCs w:val="20"/>
                <w:lang w:eastAsia="ru-RU"/>
              </w:rPr>
              <w:lastRenderedPageBreak/>
              <w:t>представления о будущей работе после окончания вуза?</w:t>
            </w:r>
          </w:p>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lang w:eastAsia="ru-RU"/>
              </w:rPr>
              <w:t>(</w:t>
            </w:r>
            <w:r>
              <w:rPr>
                <w:rFonts w:ascii="Times New Roman" w:hAnsi="Times New Roman" w:cs="Times New Roman"/>
                <w:color w:val="000000"/>
                <w:sz w:val="20"/>
                <w:szCs w:val="20"/>
              </w:rPr>
              <w:t>← не влияет на расширение представления о будущей работе</w:t>
            </w:r>
          </w:p>
          <w:p w:rsidR="00517711" w:rsidRDefault="00F815BE">
            <w:pPr>
              <w:spacing w:after="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влияет на расширение представления о будущей работе→)</w:t>
            </w:r>
          </w:p>
        </w:tc>
        <w:tc>
          <w:tcPr>
            <w:tcW w:w="643" w:type="dxa"/>
            <w:tcBorders>
              <w:top w:val="none" w:sz="4" w:space="0" w:color="000000"/>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4%</w:t>
            </w:r>
          </w:p>
        </w:tc>
        <w:tc>
          <w:tcPr>
            <w:tcW w:w="580"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704"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16%</w:t>
            </w:r>
          </w:p>
        </w:tc>
        <w:tc>
          <w:tcPr>
            <w:tcW w:w="5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30%</w:t>
            </w:r>
          </w:p>
        </w:tc>
        <w:tc>
          <w:tcPr>
            <w:tcW w:w="704"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44%</w:t>
            </w:r>
          </w:p>
        </w:tc>
      </w:tr>
      <w:tr w:rsidR="00517711">
        <w:trPr>
          <w:trHeight w:val="340"/>
        </w:trPr>
        <w:tc>
          <w:tcPr>
            <w:tcW w:w="407" w:type="dxa"/>
            <w:tcBorders>
              <w:top w:val="single" w:sz="4" w:space="0" w:color="auto"/>
              <w:left w:val="single" w:sz="4" w:space="0" w:color="auto"/>
              <w:bottom w:val="single" w:sz="4" w:space="0" w:color="auto"/>
              <w:right w:val="none" w:sz="4" w:space="0" w:color="000000"/>
            </w:tcBorders>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6140" w:type="dxa"/>
            <w:tcBorders>
              <w:top w:val="single" w:sz="4" w:space="0" w:color="auto"/>
              <w:left w:val="single" w:sz="4" w:space="0" w:color="auto"/>
              <w:bottom w:val="single" w:sz="4" w:space="0" w:color="auto"/>
              <w:right w:val="none" w:sz="4" w:space="0" w:color="000000"/>
            </w:tcBorders>
            <w:noWrap/>
            <w:vAlign w:val="center"/>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lang w:eastAsia="ru-RU"/>
              </w:rPr>
              <w:t xml:space="preserve">Оцените степень Вашей уверенности в трудоустройстве после окончания вуза </w:t>
            </w:r>
            <w:r>
              <w:rPr>
                <w:rFonts w:ascii="Times New Roman" w:hAnsi="Times New Roman" w:cs="Times New Roman"/>
                <w:color w:val="000000"/>
                <w:sz w:val="20"/>
                <w:szCs w:val="20"/>
              </w:rPr>
              <w:t>(← Слабая; Сильная →)</w:t>
            </w:r>
          </w:p>
        </w:tc>
        <w:tc>
          <w:tcPr>
            <w:tcW w:w="643" w:type="dxa"/>
            <w:tcBorders>
              <w:top w:val="none" w:sz="4" w:space="0" w:color="000000"/>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580"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w:t>
            </w:r>
          </w:p>
        </w:tc>
        <w:tc>
          <w:tcPr>
            <w:tcW w:w="704"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26%</w:t>
            </w:r>
          </w:p>
        </w:tc>
        <w:tc>
          <w:tcPr>
            <w:tcW w:w="5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31%</w:t>
            </w:r>
          </w:p>
        </w:tc>
        <w:tc>
          <w:tcPr>
            <w:tcW w:w="704"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29%</w:t>
            </w:r>
          </w:p>
        </w:tc>
      </w:tr>
      <w:tr w:rsidR="00517711">
        <w:trPr>
          <w:trHeight w:val="340"/>
        </w:trPr>
        <w:tc>
          <w:tcPr>
            <w:tcW w:w="407" w:type="dxa"/>
            <w:tcBorders>
              <w:top w:val="single" w:sz="4" w:space="0" w:color="auto"/>
              <w:left w:val="single" w:sz="4" w:space="0" w:color="auto"/>
              <w:bottom w:val="single" w:sz="4" w:space="0" w:color="auto"/>
              <w:right w:val="none" w:sz="4" w:space="0" w:color="000000"/>
            </w:tcBorders>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6140" w:type="dxa"/>
            <w:tcBorders>
              <w:top w:val="single" w:sz="4" w:space="0" w:color="auto"/>
              <w:left w:val="single" w:sz="4" w:space="0" w:color="auto"/>
              <w:bottom w:val="single" w:sz="4" w:space="0" w:color="auto"/>
              <w:right w:val="none" w:sz="4" w:space="0" w:color="000000"/>
            </w:tcBorders>
            <w:noWrap/>
            <w:vAlign w:val="center"/>
          </w:tcPr>
          <w:p w:rsidR="00517711" w:rsidRDefault="00F815BE">
            <w:pPr>
              <w:spacing w:after="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Оцените степень Вашей уверенности во влиянии хорошей успеваемости в вузе на трудоустройство после окончания вуза.</w:t>
            </w:r>
          </w:p>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успеваемость не влияет на возможности трудоустройства</w:t>
            </w:r>
          </w:p>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успеваемость влияет на возможности трудоустройства →)</w:t>
            </w:r>
          </w:p>
        </w:tc>
        <w:tc>
          <w:tcPr>
            <w:tcW w:w="643"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12%</w:t>
            </w:r>
          </w:p>
        </w:tc>
        <w:tc>
          <w:tcPr>
            <w:tcW w:w="580" w:type="dxa"/>
            <w:tcBorders>
              <w:top w:val="single" w:sz="4" w:space="0" w:color="auto"/>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704" w:type="dxa"/>
            <w:tcBorders>
              <w:top w:val="single" w:sz="4" w:space="0" w:color="auto"/>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34%</w:t>
            </w:r>
          </w:p>
        </w:tc>
        <w:tc>
          <w:tcPr>
            <w:tcW w:w="583" w:type="dxa"/>
            <w:tcBorders>
              <w:top w:val="single" w:sz="4" w:space="0" w:color="auto"/>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27%</w:t>
            </w:r>
          </w:p>
        </w:tc>
        <w:tc>
          <w:tcPr>
            <w:tcW w:w="704" w:type="dxa"/>
            <w:tcBorders>
              <w:top w:val="single" w:sz="4" w:space="0" w:color="auto"/>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18%</w:t>
            </w:r>
          </w:p>
        </w:tc>
      </w:tr>
    </w:tbl>
    <w:p w:rsidR="00517711" w:rsidRDefault="00517711">
      <w:pPr>
        <w:spacing w:after="0" w:line="240" w:lineRule="auto"/>
        <w:jc w:val="both"/>
        <w:rPr>
          <w:rFonts w:ascii="Times New Roman" w:hAnsi="Times New Roman" w:cs="Times New Roman"/>
          <w:color w:val="000000"/>
          <w:sz w:val="20"/>
          <w:szCs w:val="20"/>
          <w:lang w:eastAsia="ru-RU"/>
        </w:rPr>
      </w:pPr>
    </w:p>
    <w:p w:rsidR="00517711" w:rsidRDefault="00F815BE">
      <w:pPr>
        <w:spacing w:after="0" w:line="240" w:lineRule="auto"/>
        <w:ind w:firstLine="709"/>
        <w:jc w:val="both"/>
        <w:rPr>
          <w:rFonts w:ascii="Times New Roman" w:hAnsi="Times New Roman" w:cs="Times New Roman"/>
          <w:color w:val="000000"/>
          <w:sz w:val="20"/>
          <w:szCs w:val="20"/>
          <w:lang w:eastAsia="ru-RU"/>
        </w:rPr>
      </w:pPr>
      <w:r>
        <w:rPr>
          <w:rFonts w:ascii="Times New Roman" w:hAnsi="Times New Roman" w:cs="Times New Roman"/>
          <w:color w:val="000000"/>
          <w:sz w:val="20"/>
          <w:szCs w:val="20"/>
          <w:shd w:val="clear" w:color="auto" w:fill="FFFFFF"/>
        </w:rPr>
        <w:t>В связи с недостаточной уверенностью в трудоустройстве после окончания вуза многие студенты допускают работу не по специальности обучения. На вопрос анкеты: «</w:t>
      </w:r>
      <w:r>
        <w:rPr>
          <w:rFonts w:ascii="Times New Roman" w:hAnsi="Times New Roman" w:cs="Times New Roman"/>
          <w:color w:val="000000"/>
          <w:sz w:val="20"/>
          <w:szCs w:val="20"/>
          <w:lang w:eastAsia="ru-RU"/>
        </w:rPr>
        <w:t xml:space="preserve">Собираетесь ли вы работать по выбранной специализации после окончания вуза?», дали следующие ответы: </w:t>
      </w:r>
    </w:p>
    <w:p w:rsidR="00517711" w:rsidRDefault="00F815BE">
      <w:pPr>
        <w:spacing w:after="0" w:line="240" w:lineRule="auto"/>
        <w:ind w:firstLine="709"/>
        <w:jc w:val="both"/>
        <w:rPr>
          <w:rFonts w:ascii="Times New Roman" w:hAnsi="Times New Roman" w:cs="Times New Roman"/>
          <w:color w:val="000000"/>
          <w:sz w:val="20"/>
          <w:szCs w:val="20"/>
          <w:lang w:eastAsia="ru-RU"/>
        </w:rPr>
      </w:pPr>
      <w:r>
        <w:rPr>
          <w:rFonts w:ascii="Times New Roman" w:hAnsi="Times New Roman" w:cs="Times New Roman"/>
          <w:color w:val="000000"/>
          <w:sz w:val="20"/>
          <w:szCs w:val="20"/>
        </w:rPr>
        <w:t>– д</w:t>
      </w:r>
      <w:r>
        <w:rPr>
          <w:rFonts w:ascii="Times New Roman" w:hAnsi="Times New Roman" w:cs="Times New Roman"/>
          <w:color w:val="000000"/>
          <w:sz w:val="20"/>
          <w:szCs w:val="20"/>
          <w:lang w:eastAsia="ru-RU"/>
        </w:rPr>
        <w:t xml:space="preserve">а, и не допускаю работу не по специальности </w:t>
      </w:r>
      <w:r>
        <w:rPr>
          <w:rFonts w:ascii="Times New Roman" w:hAnsi="Times New Roman" w:cs="Times New Roman"/>
          <w:color w:val="000000"/>
          <w:sz w:val="20"/>
          <w:szCs w:val="20"/>
        </w:rPr>
        <w:t xml:space="preserve">– </w:t>
      </w:r>
      <w:r>
        <w:rPr>
          <w:rFonts w:ascii="Times New Roman" w:hAnsi="Times New Roman" w:cs="Times New Roman"/>
          <w:color w:val="000000"/>
          <w:sz w:val="20"/>
          <w:szCs w:val="20"/>
          <w:lang w:eastAsia="ru-RU"/>
        </w:rPr>
        <w:t>23% респондентов;</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sz w:val="20"/>
          <w:szCs w:val="20"/>
        </w:rPr>
        <w:t>– д</w:t>
      </w:r>
      <w:r>
        <w:rPr>
          <w:rFonts w:ascii="Times New Roman" w:hAnsi="Times New Roman" w:cs="Times New Roman"/>
          <w:color w:val="000000"/>
          <w:sz w:val="20"/>
          <w:szCs w:val="20"/>
          <w:lang w:eastAsia="ru-RU"/>
        </w:rPr>
        <w:t xml:space="preserve">а, но допускаю работу не по специальности </w:t>
      </w:r>
      <w:r>
        <w:rPr>
          <w:rFonts w:ascii="Times New Roman" w:hAnsi="Times New Roman" w:cs="Times New Roman"/>
          <w:color w:val="000000"/>
          <w:sz w:val="20"/>
          <w:szCs w:val="20"/>
        </w:rPr>
        <w:t>– 68% респондентов;</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sz w:val="20"/>
          <w:szCs w:val="20"/>
        </w:rPr>
        <w:t>– н</w:t>
      </w:r>
      <w:r>
        <w:rPr>
          <w:rFonts w:ascii="Times New Roman" w:hAnsi="Times New Roman" w:cs="Times New Roman"/>
          <w:color w:val="000000"/>
          <w:sz w:val="20"/>
          <w:szCs w:val="20"/>
          <w:lang w:eastAsia="ru-RU"/>
        </w:rPr>
        <w:t xml:space="preserve">ет, не собираюсь работать по специальности </w:t>
      </w:r>
      <w:r>
        <w:rPr>
          <w:rFonts w:ascii="Times New Roman" w:hAnsi="Times New Roman" w:cs="Times New Roman"/>
          <w:color w:val="000000"/>
          <w:sz w:val="20"/>
          <w:szCs w:val="20"/>
        </w:rPr>
        <w:t>– 9% респондентов.</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sz w:val="20"/>
          <w:szCs w:val="20"/>
        </w:rPr>
        <w:t>В анкетном опросе исследовался вопрос о том, как сегодня выпускники собираются трудоустраиваться. В табл. 2 представлены оценки приоритетов различных способов трудоустройства сегодняшними студентами. Из таблицы видно, что нет одного способа поиска работы, который был бы предпочтительней всех остальных.</w:t>
      </w:r>
    </w:p>
    <w:p w:rsidR="00517711" w:rsidRDefault="00F815BE">
      <w:pPr>
        <w:spacing w:after="0" w:line="240" w:lineRule="auto"/>
        <w:jc w:val="right"/>
        <w:rPr>
          <w:rFonts w:ascii="Times New Roman" w:hAnsi="Times New Roman" w:cs="Times New Roman"/>
          <w:i/>
          <w:color w:val="000000"/>
          <w:sz w:val="20"/>
          <w:szCs w:val="20"/>
          <w:lang w:eastAsia="ru-RU"/>
        </w:rPr>
      </w:pPr>
      <w:r>
        <w:rPr>
          <w:rFonts w:ascii="Times New Roman" w:hAnsi="Times New Roman" w:cs="Times New Roman"/>
          <w:i/>
          <w:color w:val="000000"/>
          <w:sz w:val="20"/>
          <w:szCs w:val="20"/>
          <w:lang w:eastAsia="ru-RU"/>
        </w:rPr>
        <w:t>Таблица. 2</w:t>
      </w:r>
    </w:p>
    <w:p w:rsidR="00517711" w:rsidRDefault="00F815BE">
      <w:pPr>
        <w:spacing w:after="0" w:line="240" w:lineRule="auto"/>
        <w:jc w:val="center"/>
        <w:rPr>
          <w:rFonts w:ascii="Times New Roman" w:hAnsi="Times New Roman" w:cs="Times New Roman"/>
          <w:b/>
          <w:color w:val="000000"/>
          <w:sz w:val="20"/>
          <w:szCs w:val="20"/>
          <w:lang w:eastAsia="ru-RU"/>
        </w:rPr>
      </w:pPr>
      <w:r>
        <w:rPr>
          <w:rFonts w:ascii="Times New Roman" w:hAnsi="Times New Roman" w:cs="Times New Roman"/>
          <w:b/>
          <w:color w:val="000000"/>
          <w:sz w:val="20"/>
          <w:szCs w:val="20"/>
          <w:lang w:eastAsia="ru-RU"/>
        </w:rPr>
        <w:t>Распределение оценок по различным способам трудоустройства</w:t>
      </w:r>
    </w:p>
    <w:tbl>
      <w:tblPr>
        <w:tblW w:w="9074" w:type="dxa"/>
        <w:tblInd w:w="93" w:type="dxa"/>
        <w:tblLook w:val="04A0" w:firstRow="1" w:lastRow="0" w:firstColumn="1" w:lastColumn="0" w:noHBand="0" w:noVBand="1"/>
      </w:tblPr>
      <w:tblGrid>
        <w:gridCol w:w="876"/>
        <w:gridCol w:w="4783"/>
        <w:gridCol w:w="683"/>
        <w:gridCol w:w="683"/>
        <w:gridCol w:w="683"/>
        <w:gridCol w:w="683"/>
        <w:gridCol w:w="683"/>
      </w:tblGrid>
      <w:tr w:rsidR="00517711">
        <w:trPr>
          <w:trHeight w:val="393"/>
        </w:trPr>
        <w:tc>
          <w:tcPr>
            <w:tcW w:w="876" w:type="dxa"/>
            <w:vMerge w:val="restart"/>
            <w:tcBorders>
              <w:top w:val="single" w:sz="4" w:space="0" w:color="auto"/>
              <w:left w:val="single" w:sz="4" w:space="0" w:color="auto"/>
              <w:right w:val="none" w:sz="4" w:space="0" w:color="000000"/>
            </w:tcBorders>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Номер</w:t>
            </w:r>
          </w:p>
        </w:tc>
        <w:tc>
          <w:tcPr>
            <w:tcW w:w="4783" w:type="dxa"/>
            <w:vMerge w:val="restart"/>
            <w:tcBorders>
              <w:top w:val="single" w:sz="4" w:space="0" w:color="auto"/>
              <w:left w:val="single" w:sz="4" w:space="0" w:color="auto"/>
              <w:right w:val="none" w:sz="4" w:space="0" w:color="000000"/>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Способы поиска работы по окончании вуза</w:t>
            </w:r>
          </w:p>
        </w:tc>
        <w:tc>
          <w:tcPr>
            <w:tcW w:w="3415" w:type="dxa"/>
            <w:gridSpan w:val="5"/>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Оценки приоритетов</w:t>
            </w:r>
          </w:p>
        </w:tc>
      </w:tr>
      <w:tr w:rsidR="00517711">
        <w:trPr>
          <w:trHeight w:val="255"/>
        </w:trPr>
        <w:tc>
          <w:tcPr>
            <w:tcW w:w="876" w:type="dxa"/>
            <w:vMerge/>
            <w:tcBorders>
              <w:left w:val="single" w:sz="4" w:space="0" w:color="auto"/>
              <w:bottom w:val="single" w:sz="4" w:space="0" w:color="auto"/>
              <w:right w:val="none" w:sz="4" w:space="0" w:color="000000"/>
            </w:tcBorders>
          </w:tcPr>
          <w:p w:rsidR="00517711" w:rsidRDefault="00517711">
            <w:pPr>
              <w:spacing w:after="0" w:line="240" w:lineRule="auto"/>
              <w:jc w:val="center"/>
              <w:rPr>
                <w:rFonts w:ascii="Times New Roman" w:hAnsi="Times New Roman" w:cs="Times New Roman"/>
                <w:color w:val="000000"/>
                <w:sz w:val="20"/>
                <w:szCs w:val="20"/>
                <w:lang w:eastAsia="ru-RU"/>
              </w:rPr>
            </w:pPr>
          </w:p>
        </w:tc>
        <w:tc>
          <w:tcPr>
            <w:tcW w:w="4783" w:type="dxa"/>
            <w:vMerge/>
            <w:tcBorders>
              <w:left w:val="single" w:sz="4" w:space="0" w:color="auto"/>
              <w:bottom w:val="single" w:sz="4" w:space="0" w:color="auto"/>
              <w:right w:val="none" w:sz="4" w:space="0" w:color="000000"/>
            </w:tcBorders>
            <w:noWrap/>
            <w:vAlign w:val="center"/>
          </w:tcPr>
          <w:p w:rsidR="00517711" w:rsidRDefault="00517711">
            <w:pPr>
              <w:spacing w:after="0" w:line="240" w:lineRule="auto"/>
              <w:jc w:val="center"/>
              <w:rPr>
                <w:rFonts w:ascii="Times New Roman" w:hAnsi="Times New Roman" w:cs="Times New Roman"/>
                <w:color w:val="000000"/>
                <w:sz w:val="20"/>
                <w:szCs w:val="20"/>
                <w:lang w:eastAsia="ru-RU"/>
              </w:rPr>
            </w:pPr>
          </w:p>
        </w:tc>
        <w:tc>
          <w:tcPr>
            <w:tcW w:w="683"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w:t>
            </w:r>
          </w:p>
        </w:tc>
        <w:tc>
          <w:tcPr>
            <w:tcW w:w="683" w:type="dxa"/>
            <w:tcBorders>
              <w:top w:val="single" w:sz="4" w:space="0" w:color="auto"/>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w:t>
            </w:r>
          </w:p>
        </w:tc>
        <w:tc>
          <w:tcPr>
            <w:tcW w:w="683" w:type="dxa"/>
            <w:tcBorders>
              <w:top w:val="single" w:sz="4" w:space="0" w:color="auto"/>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w:t>
            </w:r>
          </w:p>
        </w:tc>
        <w:tc>
          <w:tcPr>
            <w:tcW w:w="683" w:type="dxa"/>
            <w:tcBorders>
              <w:top w:val="single" w:sz="4" w:space="0" w:color="auto"/>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w:t>
            </w:r>
          </w:p>
        </w:tc>
        <w:tc>
          <w:tcPr>
            <w:tcW w:w="683" w:type="dxa"/>
            <w:tcBorders>
              <w:top w:val="single" w:sz="4" w:space="0" w:color="auto"/>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w:t>
            </w:r>
          </w:p>
        </w:tc>
      </w:tr>
      <w:tr w:rsidR="00517711">
        <w:trPr>
          <w:trHeight w:val="340"/>
        </w:trPr>
        <w:tc>
          <w:tcPr>
            <w:tcW w:w="876" w:type="dxa"/>
            <w:tcBorders>
              <w:top w:val="single" w:sz="4" w:space="0" w:color="auto"/>
              <w:left w:val="single" w:sz="4" w:space="0" w:color="auto"/>
              <w:bottom w:val="single" w:sz="4" w:space="0" w:color="auto"/>
              <w:right w:val="none" w:sz="4" w:space="0" w:color="000000"/>
            </w:tcBorders>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4783" w:type="dxa"/>
            <w:tcBorders>
              <w:top w:val="single" w:sz="4" w:space="0" w:color="auto"/>
              <w:left w:val="single" w:sz="4" w:space="0" w:color="auto"/>
              <w:bottom w:val="single" w:sz="4" w:space="0" w:color="auto"/>
              <w:right w:val="none" w:sz="4" w:space="0" w:color="000000"/>
            </w:tcBorders>
            <w:noWrap/>
            <w:vAlign w:val="center"/>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Ярмарки специалистов, устраиваемые в вашем Вузе</w:t>
            </w:r>
          </w:p>
        </w:tc>
        <w:tc>
          <w:tcPr>
            <w:tcW w:w="683" w:type="dxa"/>
            <w:tcBorders>
              <w:top w:val="none" w:sz="4" w:space="0" w:color="000000"/>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22%</w:t>
            </w:r>
          </w:p>
        </w:tc>
        <w:tc>
          <w:tcPr>
            <w:tcW w:w="6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22%</w:t>
            </w:r>
          </w:p>
        </w:tc>
        <w:tc>
          <w:tcPr>
            <w:tcW w:w="6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20%</w:t>
            </w:r>
          </w:p>
        </w:tc>
        <w:tc>
          <w:tcPr>
            <w:tcW w:w="6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20%</w:t>
            </w:r>
          </w:p>
        </w:tc>
        <w:tc>
          <w:tcPr>
            <w:tcW w:w="6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16%</w:t>
            </w:r>
          </w:p>
        </w:tc>
      </w:tr>
      <w:tr w:rsidR="00517711">
        <w:trPr>
          <w:trHeight w:val="340"/>
        </w:trPr>
        <w:tc>
          <w:tcPr>
            <w:tcW w:w="876" w:type="dxa"/>
            <w:tcBorders>
              <w:top w:val="single" w:sz="4" w:space="0" w:color="auto"/>
              <w:left w:val="single" w:sz="4" w:space="0" w:color="auto"/>
              <w:bottom w:val="single" w:sz="4" w:space="0" w:color="auto"/>
              <w:right w:val="none" w:sz="4" w:space="0" w:color="000000"/>
            </w:tcBorders>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4783" w:type="dxa"/>
            <w:tcBorders>
              <w:top w:val="single" w:sz="4" w:space="0" w:color="auto"/>
              <w:left w:val="single" w:sz="4" w:space="0" w:color="auto"/>
              <w:bottom w:val="single" w:sz="4" w:space="0" w:color="auto"/>
              <w:right w:val="none" w:sz="4" w:space="0" w:color="000000"/>
            </w:tcBorders>
            <w:noWrap/>
            <w:vAlign w:val="center"/>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Бюро по трудоустройству</w:t>
            </w:r>
          </w:p>
        </w:tc>
        <w:tc>
          <w:tcPr>
            <w:tcW w:w="683" w:type="dxa"/>
            <w:tcBorders>
              <w:top w:val="none" w:sz="4" w:space="0" w:color="000000"/>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19%</w:t>
            </w:r>
          </w:p>
        </w:tc>
        <w:tc>
          <w:tcPr>
            <w:tcW w:w="6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25%</w:t>
            </w:r>
          </w:p>
        </w:tc>
        <w:tc>
          <w:tcPr>
            <w:tcW w:w="6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22%</w:t>
            </w:r>
          </w:p>
        </w:tc>
        <w:tc>
          <w:tcPr>
            <w:tcW w:w="6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19%</w:t>
            </w:r>
          </w:p>
        </w:tc>
        <w:tc>
          <w:tcPr>
            <w:tcW w:w="6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16%</w:t>
            </w:r>
          </w:p>
        </w:tc>
      </w:tr>
      <w:tr w:rsidR="00517711">
        <w:trPr>
          <w:trHeight w:val="340"/>
        </w:trPr>
        <w:tc>
          <w:tcPr>
            <w:tcW w:w="876" w:type="dxa"/>
            <w:tcBorders>
              <w:top w:val="single" w:sz="4" w:space="0" w:color="auto"/>
              <w:left w:val="single" w:sz="4" w:space="0" w:color="auto"/>
              <w:bottom w:val="single" w:sz="4" w:space="0" w:color="auto"/>
              <w:right w:val="none" w:sz="4" w:space="0" w:color="000000"/>
            </w:tcBorders>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4783" w:type="dxa"/>
            <w:tcBorders>
              <w:top w:val="single" w:sz="4" w:space="0" w:color="auto"/>
              <w:left w:val="single" w:sz="4" w:space="0" w:color="auto"/>
              <w:bottom w:val="single" w:sz="4" w:space="0" w:color="auto"/>
              <w:right w:val="none" w:sz="4" w:space="0" w:color="000000"/>
            </w:tcBorders>
            <w:noWrap/>
            <w:vAlign w:val="center"/>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Поиск вакансий в интернет</w:t>
            </w:r>
          </w:p>
        </w:tc>
        <w:tc>
          <w:tcPr>
            <w:tcW w:w="683" w:type="dxa"/>
            <w:tcBorders>
              <w:top w:val="none" w:sz="4" w:space="0" w:color="000000"/>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17%</w:t>
            </w:r>
          </w:p>
        </w:tc>
        <w:tc>
          <w:tcPr>
            <w:tcW w:w="6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18%</w:t>
            </w:r>
          </w:p>
        </w:tc>
        <w:tc>
          <w:tcPr>
            <w:tcW w:w="6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18%</w:t>
            </w:r>
          </w:p>
        </w:tc>
        <w:tc>
          <w:tcPr>
            <w:tcW w:w="6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19%</w:t>
            </w:r>
          </w:p>
        </w:tc>
        <w:tc>
          <w:tcPr>
            <w:tcW w:w="6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28%</w:t>
            </w:r>
          </w:p>
        </w:tc>
      </w:tr>
      <w:tr w:rsidR="00517711">
        <w:trPr>
          <w:trHeight w:val="340"/>
        </w:trPr>
        <w:tc>
          <w:tcPr>
            <w:tcW w:w="876" w:type="dxa"/>
            <w:tcBorders>
              <w:top w:val="single" w:sz="4" w:space="0" w:color="auto"/>
              <w:left w:val="single" w:sz="4" w:space="0" w:color="auto"/>
              <w:bottom w:val="single" w:sz="4" w:space="0" w:color="auto"/>
              <w:right w:val="none" w:sz="4" w:space="0" w:color="000000"/>
            </w:tcBorders>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4783" w:type="dxa"/>
            <w:tcBorders>
              <w:top w:val="single" w:sz="4" w:space="0" w:color="auto"/>
              <w:left w:val="single" w:sz="4" w:space="0" w:color="auto"/>
              <w:bottom w:val="single" w:sz="4" w:space="0" w:color="auto"/>
              <w:right w:val="none" w:sz="4" w:space="0" w:color="000000"/>
            </w:tcBorders>
            <w:noWrap/>
            <w:vAlign w:val="center"/>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Рассчитываю на помощь родственников и знакомых</w:t>
            </w:r>
          </w:p>
        </w:tc>
        <w:tc>
          <w:tcPr>
            <w:tcW w:w="683" w:type="dxa"/>
            <w:tcBorders>
              <w:top w:val="none" w:sz="4" w:space="0" w:color="000000"/>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25%</w:t>
            </w:r>
          </w:p>
        </w:tc>
        <w:tc>
          <w:tcPr>
            <w:tcW w:w="6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22%</w:t>
            </w:r>
          </w:p>
        </w:tc>
        <w:tc>
          <w:tcPr>
            <w:tcW w:w="6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17%</w:t>
            </w:r>
          </w:p>
        </w:tc>
        <w:tc>
          <w:tcPr>
            <w:tcW w:w="6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23%</w:t>
            </w:r>
          </w:p>
        </w:tc>
        <w:tc>
          <w:tcPr>
            <w:tcW w:w="6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14%</w:t>
            </w:r>
          </w:p>
        </w:tc>
      </w:tr>
    </w:tbl>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При выборе места работы студенты учитывают множество факторов. В анкете было предложено студентам выделить три наиболее важных для них фактора, которые они будут учитывать при выборе места работы. Оценки значимости факторов выбора места работы представлены на рис. 1.</w:t>
      </w:r>
    </w:p>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noProof/>
          <w:color w:val="000000"/>
          <w:sz w:val="20"/>
          <w:szCs w:val="20"/>
          <w:lang w:eastAsia="ru-RU"/>
        </w:rPr>
        <w:drawing>
          <wp:inline distT="0" distB="0" distL="0" distR="0">
            <wp:extent cx="4321173" cy="2571750"/>
            <wp:effectExtent l="0" t="0" r="0" b="0"/>
            <wp:docPr id="1" name="Диаграмма 137"/>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Рис. 1. Оценки факторов, учитываемых студентами при выборе места работы</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color w:val="000000"/>
          <w:sz w:val="20"/>
          <w:szCs w:val="20"/>
          <w:shd w:val="clear" w:color="auto" w:fill="FFFFFF"/>
        </w:rPr>
        <w:t>Подавляющее количество выпускников (93%) как важнейший фактор определи фактор «хорошая заработная плата». Далее следует фактор «возможность карьерного роста» (68%). Этот фактор, в принципе, имеет высокую корреляцию с перспективой роста заработной платы. На третьем месте фактор «стабильность и уверенность в завтрашнем дне» (51%).</w:t>
      </w:r>
    </w:p>
    <w:p w:rsidR="00517711" w:rsidRDefault="00F815BE">
      <w:pPr>
        <w:spacing w:after="0" w:line="240" w:lineRule="auto"/>
        <w:ind w:firstLine="709"/>
        <w:jc w:val="both"/>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 xml:space="preserve">Однако, фактор </w:t>
      </w:r>
      <w:r>
        <w:rPr>
          <w:rFonts w:ascii="Times New Roman" w:hAnsi="Times New Roman" w:cs="Times New Roman"/>
          <w:color w:val="000000"/>
          <w:sz w:val="20"/>
          <w:szCs w:val="20"/>
          <w:shd w:val="clear" w:color="auto" w:fill="FFFFFF"/>
        </w:rPr>
        <w:t>«хорошая заработная плата» обладает высокой степенью неопределенности. Поэтому, чтобы конкретизировать понимание сегодня студентами, что является, по их мнению, хорошее заработной платой в анкете был представлен следующий вопрос: «</w:t>
      </w:r>
      <w:r>
        <w:rPr>
          <w:rFonts w:ascii="Times New Roman" w:hAnsi="Times New Roman" w:cs="Times New Roman"/>
          <w:color w:val="000000"/>
          <w:sz w:val="20"/>
          <w:szCs w:val="20"/>
          <w:lang w:eastAsia="ru-RU"/>
        </w:rPr>
        <w:t xml:space="preserve">Укажите уровень зарплаты, на который Вы рассчитываете после окончания вуза?». По результатам анализа ответов студентов были определены четыре группы по своим притязаниям на заработную плату после окончания вуза. Представители первой группы согласились бы на предложение работы при уровне зарплаты до 30 тыс. рублей (19% респондентов), представителей второй группы устроила бы заработная плата от 31 до 40 тыс. рублей (25% респондентов), </w:t>
      </w:r>
      <w:r>
        <w:rPr>
          <w:rFonts w:ascii="Times New Roman" w:hAnsi="Times New Roman" w:cs="Times New Roman"/>
          <w:color w:val="000000"/>
          <w:sz w:val="20"/>
          <w:szCs w:val="20"/>
          <w:lang w:eastAsia="ru-RU"/>
        </w:rPr>
        <w:lastRenderedPageBreak/>
        <w:t xml:space="preserve">третья группа студентов хотела бы получать заработную плату в интервале от 41 до 55 тыс. рублей (31% респондентов), наибольшие претензии по зарплате имеют представители четвертой группы </w:t>
      </w:r>
      <w:r>
        <w:rPr>
          <w:rFonts w:ascii="Times New Roman" w:hAnsi="Times New Roman" w:cs="Times New Roman"/>
          <w:color w:val="000000"/>
          <w:sz w:val="20"/>
          <w:szCs w:val="20"/>
        </w:rPr>
        <w:t xml:space="preserve">– от 56 </w:t>
      </w:r>
      <w:r>
        <w:rPr>
          <w:rFonts w:ascii="Times New Roman" w:hAnsi="Times New Roman" w:cs="Times New Roman"/>
          <w:color w:val="000000"/>
          <w:sz w:val="20"/>
          <w:szCs w:val="20"/>
          <w:lang w:eastAsia="ru-RU"/>
        </w:rPr>
        <w:t xml:space="preserve">тыс. рублей и выше (34% респондентов). </w:t>
      </w:r>
    </w:p>
    <w:p w:rsidR="00517711" w:rsidRDefault="00F815BE">
      <w:pPr>
        <w:spacing w:after="0" w:line="240" w:lineRule="auto"/>
        <w:ind w:firstLine="709"/>
        <w:jc w:val="both"/>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Изменения процесса профессионального самоопределения молодежи определяются качественными изменениями социума [4, 5]. В частности, за последние годы в молодежной среде произошла переоценка факторов, способствующих успеху (рис. 2).</w:t>
      </w:r>
    </w:p>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noProof/>
          <w:color w:val="000000"/>
          <w:sz w:val="20"/>
          <w:szCs w:val="20"/>
          <w:lang w:eastAsia="ru-RU"/>
        </w:rPr>
        <w:drawing>
          <wp:inline distT="0" distB="0" distL="0" distR="0">
            <wp:extent cx="4970143" cy="2752088"/>
            <wp:effectExtent l="0" t="0" r="0" b="0"/>
            <wp:docPr id="2" name="Диаграмма 138"/>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Рис. 2. Оценка факторов, способствующих жизненному успеху</w:t>
      </w:r>
    </w:p>
    <w:p w:rsidR="00517711" w:rsidRDefault="00F815BE">
      <w:pPr>
        <w:spacing w:after="0" w:line="240" w:lineRule="auto"/>
        <w:ind w:firstLine="709"/>
        <w:jc w:val="both"/>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Сегодняшние студенты гороздо больше ценят «инициативность и предприимчивость», больше верят в «удачу и счастливый случай». Это явные признаки ориентации на самостоятельность и возможность организации собственного бизнеса. Отрицательная тенденция проявляется в том, что студенты стали меньше ценить уровень образования. Последнее вызвано недооценкой образования рынком труда.</w:t>
      </w:r>
    </w:p>
    <w:p w:rsidR="00517711" w:rsidRDefault="00F815BE">
      <w:pPr>
        <w:spacing w:after="0" w:line="240" w:lineRule="auto"/>
        <w:ind w:firstLine="709"/>
        <w:jc w:val="both"/>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Стремление к независимости проявляется в том, что большинство студентов положительно оценивают перспективу создания собственного бизнеса. Эта перспектива не пугает сегодняшних студентов:</w:t>
      </w:r>
    </w:p>
    <w:p w:rsidR="00517711" w:rsidRDefault="00F815BE">
      <w:pPr>
        <w:tabs>
          <w:tab w:val="left" w:pos="1053"/>
        </w:tabs>
        <w:spacing w:after="0" w:line="240" w:lineRule="auto"/>
        <w:ind w:firstLine="709"/>
        <w:jc w:val="both"/>
        <w:rPr>
          <w:rFonts w:ascii="Times New Roman" w:hAnsi="Times New Roman" w:cs="Times New Roman"/>
          <w:color w:val="000000"/>
          <w:sz w:val="20"/>
          <w:szCs w:val="20"/>
          <w:lang w:eastAsia="ru-RU"/>
        </w:rPr>
      </w:pPr>
      <w:r>
        <w:rPr>
          <w:rFonts w:ascii="Times New Roman" w:hAnsi="Times New Roman" w:cs="Times New Roman"/>
          <w:color w:val="000000"/>
          <w:sz w:val="20"/>
          <w:szCs w:val="20"/>
        </w:rPr>
        <w:t>– д</w:t>
      </w:r>
      <w:r>
        <w:rPr>
          <w:rFonts w:ascii="Times New Roman" w:hAnsi="Times New Roman" w:cs="Times New Roman"/>
          <w:color w:val="000000"/>
          <w:sz w:val="20"/>
          <w:szCs w:val="20"/>
          <w:lang w:eastAsia="ru-RU"/>
        </w:rPr>
        <w:t xml:space="preserve">а, возможно, я буду пытаться открыть свой бизнес сразу после окончания вуза </w:t>
      </w:r>
      <w:r>
        <w:rPr>
          <w:rFonts w:ascii="Times New Roman" w:hAnsi="Times New Roman" w:cs="Times New Roman"/>
          <w:color w:val="000000"/>
          <w:sz w:val="20"/>
          <w:szCs w:val="20"/>
        </w:rPr>
        <w:t>– 31%;</w:t>
      </w:r>
    </w:p>
    <w:p w:rsidR="00517711" w:rsidRDefault="00F815BE">
      <w:pPr>
        <w:tabs>
          <w:tab w:val="left" w:pos="1053"/>
        </w:tabs>
        <w:spacing w:after="0" w:line="240" w:lineRule="auto"/>
        <w:ind w:firstLine="709"/>
        <w:jc w:val="both"/>
        <w:rPr>
          <w:rFonts w:ascii="Times New Roman" w:hAnsi="Times New Roman" w:cs="Times New Roman"/>
          <w:color w:val="000000"/>
          <w:sz w:val="20"/>
          <w:szCs w:val="20"/>
          <w:lang w:eastAsia="ru-RU"/>
        </w:rPr>
      </w:pPr>
      <w:r>
        <w:rPr>
          <w:rFonts w:ascii="Times New Roman" w:hAnsi="Times New Roman" w:cs="Times New Roman"/>
          <w:color w:val="000000"/>
          <w:sz w:val="20"/>
          <w:szCs w:val="20"/>
        </w:rPr>
        <w:t>– д</w:t>
      </w:r>
      <w:r>
        <w:rPr>
          <w:rFonts w:ascii="Times New Roman" w:hAnsi="Times New Roman" w:cs="Times New Roman"/>
          <w:color w:val="000000"/>
          <w:sz w:val="20"/>
          <w:szCs w:val="20"/>
          <w:lang w:eastAsia="ru-RU"/>
        </w:rPr>
        <w:t xml:space="preserve">а, возможно, я буду пытаться открыть свой бизнес, но только через пару лет после окончания вуза </w:t>
      </w:r>
      <w:r>
        <w:rPr>
          <w:rFonts w:ascii="Times New Roman" w:hAnsi="Times New Roman" w:cs="Times New Roman"/>
          <w:color w:val="000000"/>
          <w:sz w:val="20"/>
          <w:szCs w:val="20"/>
        </w:rPr>
        <w:t xml:space="preserve">– </w:t>
      </w:r>
      <w:r>
        <w:rPr>
          <w:rFonts w:ascii="Times New Roman" w:hAnsi="Times New Roman" w:cs="Times New Roman"/>
          <w:color w:val="000000"/>
          <w:sz w:val="20"/>
          <w:szCs w:val="20"/>
          <w:lang w:eastAsia="ru-RU"/>
        </w:rPr>
        <w:t>48%;</w:t>
      </w:r>
    </w:p>
    <w:p w:rsidR="00517711" w:rsidRDefault="00F815BE">
      <w:pPr>
        <w:tabs>
          <w:tab w:val="left" w:pos="1053"/>
        </w:tabs>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sz w:val="20"/>
          <w:szCs w:val="20"/>
        </w:rPr>
        <w:t>– н</w:t>
      </w:r>
      <w:r>
        <w:rPr>
          <w:rFonts w:ascii="Times New Roman" w:hAnsi="Times New Roman" w:cs="Times New Roman"/>
          <w:color w:val="000000"/>
          <w:sz w:val="20"/>
          <w:szCs w:val="20"/>
          <w:lang w:eastAsia="ru-RU"/>
        </w:rPr>
        <w:t xml:space="preserve">ет, собственный бизнес не для меня </w:t>
      </w:r>
      <w:r>
        <w:rPr>
          <w:rFonts w:ascii="Times New Roman" w:hAnsi="Times New Roman" w:cs="Times New Roman"/>
          <w:color w:val="000000"/>
          <w:sz w:val="20"/>
          <w:szCs w:val="20"/>
        </w:rPr>
        <w:t>– 21%/.</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rPr>
        <w:t>Ц</w:t>
      </w:r>
      <w:r>
        <w:rPr>
          <w:rFonts w:ascii="Times New Roman" w:hAnsi="Times New Roman" w:cs="Times New Roman"/>
          <w:color w:val="000000"/>
          <w:sz w:val="20"/>
          <w:szCs w:val="20"/>
          <w:shd w:val="clear" w:color="auto" w:fill="FFFFFF"/>
        </w:rPr>
        <w:t>енностные ориентиры современного студенчества характеризуют ответы на вопрос об оценке жизненных перспектив: «</w:t>
      </w:r>
      <w:r>
        <w:rPr>
          <w:rFonts w:ascii="Times New Roman" w:hAnsi="Times New Roman" w:cs="Times New Roman"/>
          <w:color w:val="000000"/>
          <w:sz w:val="20"/>
          <w:szCs w:val="20"/>
        </w:rPr>
        <w:t>При каких условиях Вы лет через 10 сможете сказать, что Ваша жизнь удалась?». К наиболее значимым признакам успешности относятся:</w:t>
      </w:r>
    </w:p>
    <w:p w:rsidR="00517711" w:rsidRDefault="00F815BE">
      <w:pPr>
        <w:tabs>
          <w:tab w:val="left" w:pos="3886"/>
        </w:tabs>
        <w:spacing w:after="0" w:line="240" w:lineRule="auto"/>
        <w:ind w:firstLine="709"/>
        <w:jc w:val="both"/>
        <w:rPr>
          <w:rFonts w:ascii="Times New Roman" w:hAnsi="Times New Roman" w:cs="Times New Roman"/>
          <w:color w:val="000000"/>
          <w:sz w:val="20"/>
          <w:szCs w:val="20"/>
          <w:lang w:eastAsia="ru-RU"/>
        </w:rPr>
      </w:pPr>
      <w:r>
        <w:rPr>
          <w:rFonts w:ascii="Times New Roman" w:hAnsi="Times New Roman" w:cs="Times New Roman"/>
          <w:color w:val="000000"/>
          <w:sz w:val="20"/>
          <w:szCs w:val="20"/>
        </w:rPr>
        <w:t xml:space="preserve">– </w:t>
      </w:r>
      <w:r>
        <w:rPr>
          <w:rFonts w:ascii="Times New Roman" w:hAnsi="Times New Roman" w:cs="Times New Roman"/>
          <w:color w:val="000000"/>
          <w:sz w:val="20"/>
          <w:szCs w:val="20"/>
          <w:lang w:eastAsia="ru-RU"/>
        </w:rPr>
        <w:t xml:space="preserve">хорошая семья дети </w:t>
      </w:r>
      <w:r>
        <w:rPr>
          <w:rFonts w:ascii="Times New Roman" w:hAnsi="Times New Roman" w:cs="Times New Roman"/>
          <w:color w:val="000000"/>
          <w:sz w:val="20"/>
          <w:szCs w:val="20"/>
        </w:rPr>
        <w:t xml:space="preserve">– </w:t>
      </w:r>
      <w:r>
        <w:rPr>
          <w:rFonts w:ascii="Times New Roman" w:hAnsi="Times New Roman" w:cs="Times New Roman"/>
          <w:color w:val="000000"/>
          <w:sz w:val="20"/>
          <w:szCs w:val="20"/>
          <w:lang w:eastAsia="ru-RU"/>
        </w:rPr>
        <w:t>57%;</w:t>
      </w:r>
    </w:p>
    <w:p w:rsidR="00517711" w:rsidRDefault="00F815BE">
      <w:pPr>
        <w:tabs>
          <w:tab w:val="left" w:pos="3886"/>
        </w:tabs>
        <w:spacing w:after="0" w:line="240" w:lineRule="auto"/>
        <w:ind w:firstLine="709"/>
        <w:jc w:val="both"/>
        <w:rPr>
          <w:rFonts w:ascii="Times New Roman" w:hAnsi="Times New Roman" w:cs="Times New Roman"/>
          <w:color w:val="000000"/>
          <w:sz w:val="20"/>
          <w:szCs w:val="20"/>
          <w:lang w:eastAsia="ru-RU"/>
        </w:rPr>
      </w:pPr>
      <w:r>
        <w:rPr>
          <w:rFonts w:ascii="Times New Roman" w:hAnsi="Times New Roman" w:cs="Times New Roman"/>
          <w:color w:val="000000"/>
          <w:sz w:val="20"/>
          <w:szCs w:val="20"/>
        </w:rPr>
        <w:t xml:space="preserve">– </w:t>
      </w:r>
      <w:r>
        <w:rPr>
          <w:rFonts w:ascii="Times New Roman" w:hAnsi="Times New Roman" w:cs="Times New Roman"/>
          <w:color w:val="000000"/>
          <w:sz w:val="20"/>
          <w:szCs w:val="20"/>
          <w:lang w:eastAsia="ru-RU"/>
        </w:rPr>
        <w:t xml:space="preserve">высокооплачиваемая работа </w:t>
      </w:r>
      <w:r>
        <w:rPr>
          <w:rFonts w:ascii="Times New Roman" w:hAnsi="Times New Roman" w:cs="Times New Roman"/>
          <w:color w:val="000000"/>
          <w:sz w:val="20"/>
          <w:szCs w:val="20"/>
        </w:rPr>
        <w:t xml:space="preserve">– </w:t>
      </w:r>
      <w:r>
        <w:rPr>
          <w:rFonts w:ascii="Times New Roman" w:hAnsi="Times New Roman" w:cs="Times New Roman"/>
          <w:color w:val="000000"/>
          <w:sz w:val="20"/>
          <w:szCs w:val="20"/>
          <w:lang w:eastAsia="ru-RU"/>
        </w:rPr>
        <w:t>45%;</w:t>
      </w:r>
    </w:p>
    <w:p w:rsidR="00517711" w:rsidRDefault="00F815BE">
      <w:pPr>
        <w:tabs>
          <w:tab w:val="left" w:pos="3886"/>
        </w:tabs>
        <w:spacing w:after="0" w:line="240" w:lineRule="auto"/>
        <w:ind w:firstLine="709"/>
        <w:jc w:val="both"/>
        <w:rPr>
          <w:rFonts w:ascii="Times New Roman" w:hAnsi="Times New Roman" w:cs="Times New Roman"/>
          <w:color w:val="000000"/>
          <w:sz w:val="20"/>
          <w:szCs w:val="20"/>
          <w:lang w:eastAsia="ru-RU"/>
        </w:rPr>
      </w:pPr>
      <w:r>
        <w:rPr>
          <w:rFonts w:ascii="Times New Roman" w:hAnsi="Times New Roman" w:cs="Times New Roman"/>
          <w:color w:val="000000"/>
          <w:sz w:val="20"/>
          <w:szCs w:val="20"/>
        </w:rPr>
        <w:t xml:space="preserve">– </w:t>
      </w:r>
      <w:r>
        <w:rPr>
          <w:rFonts w:ascii="Times New Roman" w:hAnsi="Times New Roman" w:cs="Times New Roman"/>
          <w:color w:val="000000"/>
          <w:sz w:val="20"/>
          <w:szCs w:val="20"/>
          <w:lang w:eastAsia="ru-RU"/>
        </w:rPr>
        <w:t xml:space="preserve">успешная профессиональная карьера </w:t>
      </w:r>
      <w:r>
        <w:rPr>
          <w:rFonts w:ascii="Times New Roman" w:hAnsi="Times New Roman" w:cs="Times New Roman"/>
          <w:color w:val="000000"/>
          <w:sz w:val="20"/>
          <w:szCs w:val="20"/>
        </w:rPr>
        <w:t xml:space="preserve">– </w:t>
      </w:r>
      <w:r>
        <w:rPr>
          <w:rFonts w:ascii="Times New Roman" w:hAnsi="Times New Roman" w:cs="Times New Roman"/>
          <w:color w:val="000000"/>
          <w:sz w:val="20"/>
          <w:szCs w:val="20"/>
          <w:lang w:eastAsia="ru-RU"/>
        </w:rPr>
        <w:t>36%;</w:t>
      </w:r>
    </w:p>
    <w:p w:rsidR="00517711" w:rsidRDefault="00F815BE">
      <w:pPr>
        <w:tabs>
          <w:tab w:val="left" w:pos="3886"/>
        </w:tabs>
        <w:spacing w:after="0" w:line="240" w:lineRule="auto"/>
        <w:ind w:firstLine="709"/>
        <w:jc w:val="both"/>
        <w:rPr>
          <w:rFonts w:ascii="Times New Roman" w:hAnsi="Times New Roman" w:cs="Times New Roman"/>
          <w:color w:val="000000"/>
          <w:sz w:val="20"/>
          <w:szCs w:val="20"/>
          <w:lang w:eastAsia="ru-RU"/>
        </w:rPr>
      </w:pPr>
      <w:r>
        <w:rPr>
          <w:rFonts w:ascii="Times New Roman" w:hAnsi="Times New Roman" w:cs="Times New Roman"/>
          <w:color w:val="000000"/>
          <w:sz w:val="20"/>
          <w:szCs w:val="20"/>
        </w:rPr>
        <w:t xml:space="preserve">– </w:t>
      </w:r>
      <w:r>
        <w:rPr>
          <w:rFonts w:ascii="Times New Roman" w:hAnsi="Times New Roman" w:cs="Times New Roman"/>
          <w:color w:val="000000"/>
          <w:sz w:val="20"/>
          <w:szCs w:val="20"/>
          <w:lang w:eastAsia="ru-RU"/>
        </w:rPr>
        <w:t xml:space="preserve">внутренняя свобода самостоятельность </w:t>
      </w:r>
      <w:r>
        <w:rPr>
          <w:rFonts w:ascii="Times New Roman" w:hAnsi="Times New Roman" w:cs="Times New Roman"/>
          <w:color w:val="000000"/>
          <w:sz w:val="20"/>
          <w:szCs w:val="20"/>
        </w:rPr>
        <w:t xml:space="preserve">– </w:t>
      </w:r>
      <w:r>
        <w:rPr>
          <w:rFonts w:ascii="Times New Roman" w:hAnsi="Times New Roman" w:cs="Times New Roman"/>
          <w:color w:val="000000"/>
          <w:sz w:val="20"/>
          <w:szCs w:val="20"/>
          <w:lang w:eastAsia="ru-RU"/>
        </w:rPr>
        <w:t>34%;</w:t>
      </w:r>
    </w:p>
    <w:p w:rsidR="00517711" w:rsidRDefault="00F815BE">
      <w:pPr>
        <w:tabs>
          <w:tab w:val="left" w:pos="3886"/>
        </w:tabs>
        <w:spacing w:after="0" w:line="240" w:lineRule="auto"/>
        <w:ind w:firstLine="709"/>
        <w:jc w:val="both"/>
        <w:rPr>
          <w:rFonts w:ascii="Times New Roman" w:hAnsi="Times New Roman" w:cs="Times New Roman"/>
          <w:color w:val="000000"/>
          <w:sz w:val="20"/>
          <w:szCs w:val="20"/>
          <w:lang w:eastAsia="ru-RU"/>
        </w:rPr>
      </w:pPr>
      <w:r>
        <w:rPr>
          <w:rFonts w:ascii="Times New Roman" w:hAnsi="Times New Roman" w:cs="Times New Roman"/>
          <w:color w:val="000000"/>
          <w:sz w:val="20"/>
          <w:szCs w:val="20"/>
        </w:rPr>
        <w:t xml:space="preserve">– </w:t>
      </w:r>
      <w:r>
        <w:rPr>
          <w:rFonts w:ascii="Times New Roman" w:hAnsi="Times New Roman" w:cs="Times New Roman"/>
          <w:color w:val="000000"/>
          <w:sz w:val="20"/>
          <w:szCs w:val="20"/>
          <w:lang w:eastAsia="ru-RU"/>
        </w:rPr>
        <w:t xml:space="preserve">хорошие жилищные условия </w:t>
      </w:r>
      <w:r>
        <w:rPr>
          <w:rFonts w:ascii="Times New Roman" w:hAnsi="Times New Roman" w:cs="Times New Roman"/>
          <w:color w:val="000000"/>
          <w:sz w:val="20"/>
          <w:szCs w:val="20"/>
        </w:rPr>
        <w:t xml:space="preserve">– </w:t>
      </w:r>
      <w:r>
        <w:rPr>
          <w:rFonts w:ascii="Times New Roman" w:hAnsi="Times New Roman" w:cs="Times New Roman"/>
          <w:color w:val="000000"/>
          <w:sz w:val="20"/>
          <w:szCs w:val="20"/>
          <w:lang w:eastAsia="ru-RU"/>
        </w:rPr>
        <w:t>34%;</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rPr>
        <w:t xml:space="preserve">– </w:t>
      </w:r>
      <w:r>
        <w:rPr>
          <w:rFonts w:ascii="Times New Roman" w:hAnsi="Times New Roman" w:cs="Times New Roman"/>
          <w:color w:val="000000"/>
          <w:sz w:val="20"/>
          <w:szCs w:val="20"/>
          <w:shd w:val="clear" w:color="auto" w:fill="FFFFFF"/>
        </w:rPr>
        <w:t xml:space="preserve">интересная содержательная работа </w:t>
      </w:r>
      <w:r>
        <w:rPr>
          <w:rFonts w:ascii="Times New Roman" w:hAnsi="Times New Roman" w:cs="Times New Roman"/>
          <w:color w:val="000000"/>
          <w:sz w:val="20"/>
          <w:szCs w:val="20"/>
        </w:rPr>
        <w:t xml:space="preserve">– </w:t>
      </w:r>
      <w:r>
        <w:rPr>
          <w:rFonts w:ascii="Times New Roman" w:hAnsi="Times New Roman" w:cs="Times New Roman"/>
          <w:color w:val="000000"/>
          <w:sz w:val="20"/>
          <w:szCs w:val="20"/>
          <w:lang w:eastAsia="ru-RU"/>
        </w:rPr>
        <w:t>33%.</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b/>
          <w:i/>
          <w:color w:val="000000"/>
          <w:sz w:val="20"/>
          <w:szCs w:val="20"/>
          <w:shd w:val="clear" w:color="auto" w:fill="FFFFFF"/>
        </w:rPr>
        <w:t xml:space="preserve">Выводы исследования. </w:t>
      </w:r>
      <w:r>
        <w:rPr>
          <w:rFonts w:ascii="Times New Roman" w:hAnsi="Times New Roman" w:cs="Times New Roman"/>
          <w:color w:val="000000"/>
          <w:sz w:val="20"/>
          <w:szCs w:val="20"/>
          <w:shd w:val="clear" w:color="auto" w:fill="FFFFFF"/>
        </w:rPr>
        <w:t xml:space="preserve">Очень важно, чтобы студенты в процессе обучения </w:t>
      </w:r>
      <w:r>
        <w:rPr>
          <w:rFonts w:ascii="Times New Roman" w:hAnsi="Times New Roman" w:cs="Times New Roman"/>
          <w:color w:val="000000"/>
          <w:sz w:val="20"/>
          <w:szCs w:val="20"/>
        </w:rPr>
        <w:t>нашли свое место в жизни, представляли, где и кем они будут работать, что от них требуется для успешного трудоустройства.</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Результаты исследования процессов, влияющих на </w:t>
      </w:r>
      <w:r>
        <w:rPr>
          <w:rFonts w:ascii="Times New Roman" w:hAnsi="Times New Roman" w:cs="Times New Roman"/>
          <w:color w:val="000000"/>
          <w:sz w:val="20"/>
          <w:szCs w:val="20"/>
          <w:shd w:val="clear" w:color="auto" w:fill="FFFFFF"/>
        </w:rPr>
        <w:t xml:space="preserve">профессиональное самоопределение студентов, необходимо использовать при определении содержания комплекса психолого-педагогических воздействий и разработке организационных мероприятий, способствующих выработке активной позиции студентов в овладении профессией в соответствии с выбранным профилем специальности. </w:t>
      </w:r>
      <w:r>
        <w:rPr>
          <w:rFonts w:ascii="Times New Roman" w:hAnsi="Times New Roman" w:cs="Times New Roman"/>
          <w:color w:val="000000"/>
          <w:sz w:val="20"/>
          <w:szCs w:val="20"/>
        </w:rPr>
        <w:t>Понимание характера и динамики трансформации образа профессии в сознании студентов позволяет корректировать систему подготовки студентов с целью формирования у них более полной картины по возможностям профессионального совершенствования, тем самым способствуя их профессиональному развитию, а, вследствие этого, повышению востребованности и конкурентоспособности выпускников.</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__________________________________________________________________________</w:t>
      </w:r>
    </w:p>
    <w:p w:rsidR="00517711" w:rsidRDefault="00F815BE">
      <w:pPr>
        <w:spacing w:after="0" w:line="240" w:lineRule="auto"/>
        <w:ind w:firstLine="709"/>
        <w:jc w:val="both"/>
        <w:rPr>
          <w:rFonts w:ascii="Times New Roman" w:hAnsi="Times New Roman" w:cs="Times New Roman"/>
          <w:color w:val="000000"/>
          <w:sz w:val="20"/>
          <w:szCs w:val="20"/>
          <w:shd w:val="clear" w:color="auto" w:fill="F5F5F5"/>
        </w:rPr>
      </w:pPr>
      <w:r>
        <w:rPr>
          <w:rFonts w:ascii="Times New Roman" w:hAnsi="Times New Roman" w:cs="Times New Roman"/>
          <w:iCs/>
          <w:color w:val="000000"/>
          <w:sz w:val="20"/>
          <w:szCs w:val="20"/>
          <w:shd w:val="clear" w:color="auto" w:fill="F5F5F5"/>
        </w:rPr>
        <w:t xml:space="preserve">1. Варшавская Е.Я., Стукен Т.Ю. Российская молодежь вне сферы занятости и образования: анализ региональной дифференциации // </w:t>
      </w:r>
      <w:r>
        <w:rPr>
          <w:rFonts w:ascii="Times New Roman" w:hAnsi="Times New Roman" w:cs="Times New Roman"/>
          <w:color w:val="000000"/>
          <w:sz w:val="20"/>
          <w:szCs w:val="20"/>
          <w:shd w:val="clear" w:color="auto" w:fill="F5F5F5"/>
        </w:rPr>
        <w:t>Регион: Экономика и Социология. 2017.</w:t>
      </w:r>
      <w:r>
        <w:rPr>
          <w:rStyle w:val="apple-converted-space"/>
          <w:rFonts w:ascii="Times New Roman" w:hAnsi="Times New Roman"/>
          <w:color w:val="000000"/>
          <w:sz w:val="20"/>
          <w:szCs w:val="20"/>
          <w:shd w:val="clear" w:color="auto" w:fill="F5F5F5"/>
        </w:rPr>
        <w:t> </w:t>
      </w:r>
      <w:r>
        <w:rPr>
          <w:rFonts w:ascii="Times New Roman" w:hAnsi="Times New Roman" w:cs="Times New Roman"/>
          <w:color w:val="000000"/>
          <w:sz w:val="20"/>
          <w:szCs w:val="20"/>
          <w:shd w:val="clear" w:color="auto" w:fill="F5F5F5"/>
        </w:rPr>
        <w:t>№ 1 (93). С. 121-141.</w:t>
      </w:r>
    </w:p>
    <w:p w:rsidR="00517711" w:rsidRDefault="00F815BE">
      <w:pPr>
        <w:spacing w:after="0" w:line="240" w:lineRule="auto"/>
        <w:ind w:firstLine="709"/>
        <w:jc w:val="both"/>
        <w:rPr>
          <w:rFonts w:ascii="Times New Roman" w:hAnsi="Times New Roman" w:cs="Times New Roman"/>
          <w:color w:val="000000"/>
          <w:sz w:val="20"/>
          <w:szCs w:val="20"/>
          <w:shd w:val="clear" w:color="auto" w:fill="F5F5F5"/>
        </w:rPr>
      </w:pPr>
      <w:r>
        <w:rPr>
          <w:rFonts w:ascii="Times New Roman" w:hAnsi="Times New Roman" w:cs="Times New Roman"/>
          <w:iCs/>
          <w:color w:val="000000"/>
          <w:sz w:val="20"/>
          <w:szCs w:val="20"/>
          <w:shd w:val="clear" w:color="auto" w:fill="F5F5F5"/>
        </w:rPr>
        <w:t xml:space="preserve">2. Журавлева И.И., Тимошкова Н.Д. Исследование проблем трудоустройства молодежи // </w:t>
      </w:r>
      <w:r>
        <w:rPr>
          <w:rFonts w:ascii="Times New Roman" w:hAnsi="Times New Roman" w:cs="Times New Roman"/>
          <w:color w:val="000000"/>
          <w:sz w:val="20"/>
          <w:szCs w:val="20"/>
          <w:shd w:val="clear" w:color="auto" w:fill="F5F5F5"/>
        </w:rPr>
        <w:t>Бизнес-образование в экономике знаний. 2017.</w:t>
      </w:r>
      <w:r>
        <w:rPr>
          <w:rStyle w:val="apple-converted-space"/>
          <w:rFonts w:ascii="Times New Roman" w:hAnsi="Times New Roman"/>
          <w:color w:val="000000"/>
          <w:sz w:val="20"/>
          <w:szCs w:val="20"/>
          <w:shd w:val="clear" w:color="auto" w:fill="F5F5F5"/>
        </w:rPr>
        <w:t> </w:t>
      </w:r>
      <w:r>
        <w:rPr>
          <w:rFonts w:ascii="Times New Roman" w:hAnsi="Times New Roman" w:cs="Times New Roman"/>
          <w:color w:val="000000"/>
          <w:sz w:val="20"/>
          <w:szCs w:val="20"/>
          <w:shd w:val="clear" w:color="auto" w:fill="F5F5F5"/>
        </w:rPr>
        <w:t>№ 1 (6). С. 44-48.</w:t>
      </w:r>
    </w:p>
    <w:p w:rsidR="00517711" w:rsidRDefault="00F815BE">
      <w:pPr>
        <w:pStyle w:val="1"/>
        <w:shd w:val="clear" w:color="auto" w:fill="FFFFFF"/>
        <w:spacing w:before="0" w:beforeAutospacing="0" w:after="0" w:afterAutospacing="0"/>
        <w:ind w:firstLine="709"/>
        <w:jc w:val="both"/>
        <w:rPr>
          <w:b w:val="0"/>
          <w:color w:val="000000"/>
          <w:sz w:val="20"/>
          <w:szCs w:val="20"/>
          <w:shd w:val="clear" w:color="auto" w:fill="F5F5F5"/>
        </w:rPr>
      </w:pPr>
      <w:r>
        <w:rPr>
          <w:b w:val="0"/>
          <w:iCs/>
          <w:color w:val="000000"/>
          <w:sz w:val="20"/>
          <w:szCs w:val="20"/>
          <w:shd w:val="clear" w:color="auto" w:fill="FFFFFF" w:themeFill="background1"/>
        </w:rPr>
        <w:t xml:space="preserve">3. Крылова А.В. Преодоление депривации у студентов в образовательном процессе // </w:t>
      </w:r>
      <w:r>
        <w:rPr>
          <w:b w:val="0"/>
          <w:color w:val="000000"/>
          <w:sz w:val="20"/>
          <w:szCs w:val="20"/>
          <w:shd w:val="clear" w:color="auto" w:fill="FFFFFF" w:themeFill="background1"/>
        </w:rPr>
        <w:t>Вестник Санкт-Петербургского университета. Серия 12. Психология. Социология. Педагогика. 2010.</w:t>
      </w:r>
      <w:r>
        <w:rPr>
          <w:rStyle w:val="apple-converted-space"/>
          <w:b w:val="0"/>
          <w:color w:val="000000"/>
          <w:sz w:val="20"/>
          <w:szCs w:val="20"/>
          <w:shd w:val="clear" w:color="auto" w:fill="FFFFFF" w:themeFill="background1"/>
        </w:rPr>
        <w:t> </w:t>
      </w:r>
      <w:r>
        <w:rPr>
          <w:b w:val="0"/>
          <w:color w:val="000000"/>
          <w:sz w:val="20"/>
          <w:szCs w:val="20"/>
          <w:shd w:val="clear" w:color="auto" w:fill="FFFFFF" w:themeFill="background1"/>
        </w:rPr>
        <w:t>№ 4. С. 133-139.</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iCs/>
          <w:color w:val="000000" w:themeColor="text1"/>
          <w:sz w:val="20"/>
          <w:szCs w:val="20"/>
        </w:rPr>
        <w:lastRenderedPageBreak/>
        <w:t xml:space="preserve">4. Мартышенко Н.С., Мартышенко С.Н. Современные тенденции изменения структуры времяпрепровождения студентов // </w:t>
      </w:r>
      <w:r>
        <w:rPr>
          <w:rFonts w:ascii="Times New Roman" w:hAnsi="Times New Roman" w:cs="Times New Roman"/>
          <w:color w:val="000000" w:themeColor="text1"/>
          <w:sz w:val="20"/>
          <w:szCs w:val="20"/>
        </w:rPr>
        <w:t>Социально-экономические явления и процессы. – 2013.</w:t>
      </w:r>
      <w:r>
        <w:rPr>
          <w:rStyle w:val="apple-converted-space"/>
          <w:rFonts w:ascii="Times New Roman" w:hAnsi="Times New Roman"/>
          <w:color w:val="000000" w:themeColor="text1"/>
          <w:sz w:val="20"/>
          <w:szCs w:val="20"/>
        </w:rPr>
        <w:t> </w:t>
      </w:r>
      <w:r>
        <w:rPr>
          <w:rFonts w:ascii="Times New Roman" w:hAnsi="Times New Roman" w:cs="Times New Roman"/>
          <w:color w:val="000000" w:themeColor="text1"/>
          <w:sz w:val="20"/>
          <w:szCs w:val="20"/>
        </w:rPr>
        <w:t>– № 1 (47). – С. 112-116.</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iCs/>
          <w:sz w:val="20"/>
          <w:szCs w:val="20"/>
          <w:shd w:val="clear" w:color="auto" w:fill="FFFFFF" w:themeFill="background1"/>
        </w:rPr>
        <w:t xml:space="preserve">5. Мартышенко С.Н. Концептуальные модели управления качеством жизни. Аналитический обзор // </w:t>
      </w:r>
      <w:r>
        <w:rPr>
          <w:rFonts w:ascii="Times New Roman" w:hAnsi="Times New Roman" w:cs="Times New Roman"/>
          <w:sz w:val="20"/>
          <w:szCs w:val="20"/>
          <w:shd w:val="clear" w:color="auto" w:fill="FFFFFF" w:themeFill="background1"/>
        </w:rPr>
        <w:t xml:space="preserve">Региональная экономика и управление: электронный научный журнал. </w:t>
      </w:r>
      <w:r>
        <w:rPr>
          <w:rFonts w:ascii="Times New Roman" w:hAnsi="Times New Roman" w:cs="Times New Roman"/>
          <w:color w:val="000000"/>
          <w:sz w:val="20"/>
          <w:szCs w:val="20"/>
          <w:shd w:val="clear" w:color="auto" w:fill="FFFFFF" w:themeFill="background1"/>
        </w:rPr>
        <w:t xml:space="preserve">– </w:t>
      </w:r>
      <w:r>
        <w:rPr>
          <w:rFonts w:ascii="Times New Roman" w:hAnsi="Times New Roman" w:cs="Times New Roman"/>
          <w:sz w:val="20"/>
          <w:szCs w:val="20"/>
          <w:shd w:val="clear" w:color="auto" w:fill="FFFFFF" w:themeFill="background1"/>
        </w:rPr>
        <w:t>2014.</w:t>
      </w:r>
      <w:r>
        <w:rPr>
          <w:rStyle w:val="apple-converted-space"/>
          <w:rFonts w:ascii="Times New Roman" w:hAnsi="Times New Roman"/>
          <w:sz w:val="20"/>
          <w:szCs w:val="20"/>
          <w:shd w:val="clear" w:color="auto" w:fill="FFFFFF" w:themeFill="background1"/>
        </w:rPr>
        <w:t> </w:t>
      </w:r>
      <w:r>
        <w:rPr>
          <w:rFonts w:ascii="Times New Roman" w:hAnsi="Times New Roman" w:cs="Times New Roman"/>
          <w:color w:val="000000"/>
          <w:sz w:val="20"/>
          <w:szCs w:val="20"/>
          <w:shd w:val="clear" w:color="auto" w:fill="FFFFFF" w:themeFill="background1"/>
        </w:rPr>
        <w:t xml:space="preserve">– </w:t>
      </w:r>
      <w:r>
        <w:rPr>
          <w:rFonts w:ascii="Times New Roman" w:hAnsi="Times New Roman" w:cs="Times New Roman"/>
          <w:sz w:val="20"/>
          <w:szCs w:val="20"/>
          <w:shd w:val="clear" w:color="auto" w:fill="FFFFFF" w:themeFill="background1"/>
        </w:rPr>
        <w:t xml:space="preserve">№ 2. </w:t>
      </w:r>
      <w:r>
        <w:rPr>
          <w:rFonts w:ascii="Times New Roman" w:hAnsi="Times New Roman" w:cs="Times New Roman"/>
          <w:color w:val="000000"/>
          <w:sz w:val="20"/>
          <w:szCs w:val="20"/>
          <w:shd w:val="clear" w:color="auto" w:fill="FFFFFF" w:themeFill="background1"/>
        </w:rPr>
        <w:t xml:space="preserve">– </w:t>
      </w:r>
      <w:r>
        <w:rPr>
          <w:rFonts w:ascii="Times New Roman" w:hAnsi="Times New Roman" w:cs="Times New Roman"/>
          <w:sz w:val="20"/>
          <w:szCs w:val="20"/>
          <w:shd w:val="clear" w:color="auto" w:fill="FFFFFF" w:themeFill="background1"/>
        </w:rPr>
        <w:t>С. 80-92.</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iCs/>
          <w:color w:val="000000" w:themeColor="text1"/>
          <w:sz w:val="20"/>
          <w:szCs w:val="20"/>
        </w:rPr>
        <w:t xml:space="preserve">6. Мартышенко С.Н., Мартышенко Н.С., Кустов Д.А. Инструментальные средства обработки анкетных данных в </w:t>
      </w:r>
      <w:r>
        <w:rPr>
          <w:rFonts w:ascii="Times New Roman" w:hAnsi="Times New Roman" w:cs="Times New Roman"/>
          <w:iCs/>
          <w:color w:val="000000" w:themeColor="text1"/>
          <w:sz w:val="20"/>
          <w:szCs w:val="20"/>
          <w:lang w:val="en-US"/>
        </w:rPr>
        <w:t>EXCEL</w:t>
      </w:r>
      <w:r>
        <w:rPr>
          <w:rFonts w:ascii="Times New Roman" w:hAnsi="Times New Roman" w:cs="Times New Roman"/>
          <w:iCs/>
          <w:color w:val="000000" w:themeColor="text1"/>
          <w:sz w:val="20"/>
          <w:szCs w:val="20"/>
        </w:rPr>
        <w:t xml:space="preserve"> // </w:t>
      </w:r>
      <w:r>
        <w:rPr>
          <w:rFonts w:ascii="Times New Roman" w:hAnsi="Times New Roman" w:cs="Times New Roman"/>
          <w:color w:val="000000" w:themeColor="text1"/>
          <w:sz w:val="20"/>
          <w:szCs w:val="20"/>
        </w:rPr>
        <w:t>Информационные технологии моделирования и управления. – 2007.</w:t>
      </w:r>
      <w:r>
        <w:rPr>
          <w:rStyle w:val="apple-converted-space"/>
          <w:rFonts w:ascii="Times New Roman" w:hAnsi="Times New Roman"/>
          <w:color w:val="000000" w:themeColor="text1"/>
          <w:sz w:val="20"/>
          <w:szCs w:val="20"/>
        </w:rPr>
        <w:t> </w:t>
      </w:r>
      <w:r>
        <w:rPr>
          <w:rFonts w:ascii="Times New Roman" w:hAnsi="Times New Roman" w:cs="Times New Roman"/>
          <w:color w:val="000000" w:themeColor="text1"/>
          <w:sz w:val="20"/>
          <w:szCs w:val="20"/>
        </w:rPr>
        <w:t>– № 1 (35). – С. 112-120.</w:t>
      </w:r>
    </w:p>
    <w:p w:rsidR="00517711" w:rsidRDefault="00F815BE">
      <w:pPr>
        <w:pStyle w:val="1"/>
        <w:shd w:val="clear" w:color="auto" w:fill="FFFFFF"/>
        <w:spacing w:before="0" w:beforeAutospacing="0" w:after="0" w:afterAutospacing="0"/>
        <w:ind w:firstLine="709"/>
        <w:jc w:val="both"/>
        <w:rPr>
          <w:b w:val="0"/>
          <w:color w:val="000000"/>
          <w:sz w:val="20"/>
          <w:szCs w:val="20"/>
          <w:highlight w:val="yellow"/>
          <w:shd w:val="clear" w:color="auto" w:fill="F5F5F5"/>
        </w:rPr>
      </w:pPr>
      <w:r>
        <w:rPr>
          <w:b w:val="0"/>
          <w:color w:val="000000"/>
          <w:sz w:val="20"/>
          <w:szCs w:val="20"/>
          <w:shd w:val="clear" w:color="auto" w:fill="FFFFFF"/>
        </w:rPr>
        <w:t xml:space="preserve">7. Маслов Е. Б. Влияние профессиональной депривации на мотивацию студентов //Педагогика и психология образования. – 2011. – №. 4. </w:t>
      </w:r>
      <w:r>
        <w:rPr>
          <w:b w:val="0"/>
          <w:color w:val="000000"/>
          <w:sz w:val="20"/>
          <w:szCs w:val="20"/>
          <w:shd w:val="clear" w:color="auto" w:fill="FFFFFF" w:themeFill="background1"/>
        </w:rPr>
        <w:t>С. 81-84.</w:t>
      </w:r>
    </w:p>
    <w:p w:rsidR="00517711" w:rsidRDefault="00517711">
      <w:pPr>
        <w:spacing w:after="0" w:line="360" w:lineRule="auto"/>
        <w:jc w:val="both"/>
        <w:rPr>
          <w:rFonts w:ascii="Times New Roman" w:hAnsi="Times New Roman" w:cs="Times New Roman"/>
          <w:b/>
          <w:sz w:val="20"/>
          <w:szCs w:val="28"/>
        </w:rPr>
      </w:pPr>
    </w:p>
    <w:p w:rsidR="00517711" w:rsidRDefault="00F815BE">
      <w:pPr>
        <w:pStyle w:val="Default"/>
        <w:rPr>
          <w:b/>
          <w:sz w:val="20"/>
        </w:rPr>
      </w:pPr>
      <w:r>
        <w:rPr>
          <w:b/>
          <w:sz w:val="20"/>
        </w:rPr>
        <w:t>Рубрика: Проблемы формирования и развития современного потребительского рынка</w:t>
      </w:r>
    </w:p>
    <w:p w:rsidR="00517711" w:rsidRDefault="00517711">
      <w:pPr>
        <w:pStyle w:val="Default"/>
        <w:jc w:val="both"/>
        <w:rPr>
          <w:sz w:val="20"/>
        </w:rPr>
      </w:pPr>
    </w:p>
    <w:p w:rsidR="00517711" w:rsidRDefault="00F815BE">
      <w:pPr>
        <w:pStyle w:val="Default"/>
        <w:jc w:val="both"/>
        <w:rPr>
          <w:sz w:val="20"/>
        </w:rPr>
      </w:pPr>
      <w:r>
        <w:rPr>
          <w:sz w:val="20"/>
        </w:rPr>
        <w:t>УДК 339:004.738.5</w:t>
      </w:r>
    </w:p>
    <w:p w:rsidR="00517711" w:rsidRDefault="00517711">
      <w:pPr>
        <w:pStyle w:val="Default"/>
        <w:jc w:val="both"/>
      </w:pPr>
    </w:p>
    <w:p w:rsidR="00517711" w:rsidRDefault="00F815BE">
      <w:pPr>
        <w:pStyle w:val="Default"/>
        <w:jc w:val="center"/>
        <w:rPr>
          <w:rFonts w:ascii="Book Antiqua" w:hAnsi="Book Antiqua"/>
          <w:sz w:val="26"/>
          <w:szCs w:val="26"/>
        </w:rPr>
      </w:pPr>
      <w:r>
        <w:rPr>
          <w:rFonts w:ascii="Book Antiqua" w:hAnsi="Book Antiqua"/>
          <w:b/>
          <w:bCs/>
          <w:sz w:val="26"/>
          <w:szCs w:val="26"/>
        </w:rPr>
        <w:t>ПРОБЛЕМЫ РАЗВИТИЯ РЫНКА ИНТЕРНЕТ-ТОРГОВЛИ В МОЛОДЕЖНОЙ СРЕДЕ</w:t>
      </w:r>
    </w:p>
    <w:p w:rsidR="00517711" w:rsidRDefault="00517711">
      <w:pPr>
        <w:pStyle w:val="Default"/>
        <w:jc w:val="center"/>
      </w:pPr>
    </w:p>
    <w:p w:rsidR="00517711" w:rsidRDefault="00F815BE">
      <w:pPr>
        <w:pStyle w:val="Default"/>
        <w:jc w:val="center"/>
        <w:rPr>
          <w:rFonts w:ascii="Arial" w:hAnsi="Arial" w:cs="Arial"/>
          <w:b/>
        </w:rPr>
      </w:pPr>
      <w:r>
        <w:rPr>
          <w:rFonts w:ascii="Arial" w:hAnsi="Arial" w:cs="Arial"/>
          <w:b/>
        </w:rPr>
        <w:t>Гутников Сергей Николаевич, Пяткова Полина Тимуровна</w:t>
      </w:r>
    </w:p>
    <w:p w:rsidR="00517711" w:rsidRDefault="00F815BE">
      <w:pPr>
        <w:pStyle w:val="Default"/>
        <w:jc w:val="center"/>
        <w:rPr>
          <w:rFonts w:ascii="Arial" w:hAnsi="Arial" w:cs="Arial"/>
        </w:rPr>
      </w:pPr>
      <w:r>
        <w:rPr>
          <w:rFonts w:ascii="Arial" w:hAnsi="Arial" w:cs="Arial"/>
        </w:rPr>
        <w:t>бакалавры группы БТД-16-ЛО</w:t>
      </w:r>
    </w:p>
    <w:p w:rsidR="00517711" w:rsidRDefault="00517711">
      <w:pPr>
        <w:pStyle w:val="Default"/>
        <w:jc w:val="center"/>
        <w:rPr>
          <w:i/>
          <w:iCs/>
        </w:rPr>
      </w:pPr>
    </w:p>
    <w:p w:rsidR="00517711" w:rsidRDefault="00F815BE">
      <w:pPr>
        <w:pStyle w:val="Default"/>
        <w:jc w:val="center"/>
        <w:rPr>
          <w:sz w:val="21"/>
          <w:szCs w:val="21"/>
        </w:rPr>
      </w:pPr>
      <w:r>
        <w:rPr>
          <w:i/>
          <w:iCs/>
          <w:sz w:val="21"/>
          <w:szCs w:val="21"/>
        </w:rPr>
        <w:t>Владивостокский государственный университет экономики и сервиса</w:t>
      </w:r>
    </w:p>
    <w:p w:rsidR="00517711" w:rsidRDefault="00F815BE">
      <w:pPr>
        <w:pStyle w:val="Default"/>
        <w:jc w:val="center"/>
        <w:rPr>
          <w:sz w:val="21"/>
          <w:szCs w:val="21"/>
        </w:rPr>
      </w:pPr>
      <w:r>
        <w:rPr>
          <w:i/>
          <w:iCs/>
          <w:sz w:val="21"/>
          <w:szCs w:val="21"/>
        </w:rPr>
        <w:t>Россия. Владивосток</w:t>
      </w:r>
    </w:p>
    <w:p w:rsidR="00517711" w:rsidRDefault="00517711">
      <w:pPr>
        <w:pStyle w:val="Default"/>
        <w:jc w:val="center"/>
      </w:pPr>
    </w:p>
    <w:p w:rsidR="00517711" w:rsidRPr="008A2A0D" w:rsidRDefault="00F815BE">
      <w:pPr>
        <w:pStyle w:val="Default"/>
        <w:jc w:val="center"/>
        <w:rPr>
          <w:sz w:val="20"/>
        </w:rPr>
      </w:pPr>
      <w:r>
        <w:rPr>
          <w:sz w:val="20"/>
          <w:lang w:val="en-US"/>
        </w:rPr>
        <w:t>E</w:t>
      </w:r>
      <w:r w:rsidRPr="008A2A0D">
        <w:rPr>
          <w:sz w:val="20"/>
        </w:rPr>
        <w:t>-</w:t>
      </w:r>
      <w:r>
        <w:rPr>
          <w:sz w:val="20"/>
          <w:lang w:val="en-US"/>
        </w:rPr>
        <w:t>mail</w:t>
      </w:r>
      <w:r w:rsidRPr="008A2A0D">
        <w:rPr>
          <w:sz w:val="20"/>
        </w:rPr>
        <w:t xml:space="preserve">: </w:t>
      </w:r>
      <w:r>
        <w:rPr>
          <w:sz w:val="20"/>
          <w:lang w:val="en-US"/>
        </w:rPr>
        <w:t>Ppyatkova</w:t>
      </w:r>
      <w:r w:rsidRPr="008A2A0D">
        <w:rPr>
          <w:sz w:val="20"/>
        </w:rPr>
        <w:t>1998@</w:t>
      </w:r>
      <w:r>
        <w:rPr>
          <w:sz w:val="20"/>
          <w:lang w:val="en-US"/>
        </w:rPr>
        <w:t>mail</w:t>
      </w:r>
      <w:r w:rsidRPr="008A2A0D">
        <w:rPr>
          <w:sz w:val="20"/>
        </w:rPr>
        <w:t>.</w:t>
      </w:r>
      <w:r>
        <w:rPr>
          <w:sz w:val="20"/>
          <w:lang w:val="en-US"/>
        </w:rPr>
        <w:t>ru</w:t>
      </w:r>
      <w:r w:rsidRPr="008A2A0D">
        <w:rPr>
          <w:sz w:val="20"/>
        </w:rPr>
        <w:t xml:space="preserve">; </w:t>
      </w:r>
      <w:r>
        <w:rPr>
          <w:sz w:val="20"/>
        </w:rPr>
        <w:t>тел</w:t>
      </w:r>
      <w:r w:rsidRPr="008A2A0D">
        <w:rPr>
          <w:sz w:val="20"/>
        </w:rPr>
        <w:t>.: 89146717818</w:t>
      </w:r>
    </w:p>
    <w:p w:rsidR="00517711" w:rsidRDefault="00F815BE">
      <w:pPr>
        <w:pStyle w:val="Default"/>
        <w:jc w:val="center"/>
        <w:rPr>
          <w:sz w:val="20"/>
        </w:rPr>
      </w:pPr>
      <w:r>
        <w:rPr>
          <w:sz w:val="20"/>
        </w:rPr>
        <w:t>ул. Гоголя, 41, г. Владивосток, Приморский край, Россия, 690014</w:t>
      </w:r>
    </w:p>
    <w:p w:rsidR="00517711" w:rsidRDefault="00517711">
      <w:pPr>
        <w:pStyle w:val="Default"/>
        <w:jc w:val="both"/>
        <w:rPr>
          <w:i/>
          <w:iCs/>
        </w:rPr>
      </w:pPr>
    </w:p>
    <w:p w:rsidR="00517711" w:rsidRDefault="00517711">
      <w:pPr>
        <w:pStyle w:val="Default"/>
        <w:jc w:val="both"/>
        <w:rPr>
          <w:i/>
          <w:iCs/>
        </w:rPr>
      </w:pPr>
    </w:p>
    <w:p w:rsidR="00517711" w:rsidRDefault="00F815BE">
      <w:pPr>
        <w:pStyle w:val="Default"/>
        <w:ind w:firstLine="709"/>
        <w:jc w:val="both"/>
        <w:rPr>
          <w:i/>
          <w:iCs/>
          <w:sz w:val="22"/>
        </w:rPr>
      </w:pPr>
      <w:r>
        <w:rPr>
          <w:i/>
          <w:sz w:val="22"/>
        </w:rPr>
        <w:t>Рост рынка Интернет-торговли будет осуществлять, в основном, за счет вхождения сегодняшней молодежи в сегмент более состоятельных потребителей. Для исследования п</w:t>
      </w:r>
      <w:r>
        <w:rPr>
          <w:bCs/>
          <w:i/>
          <w:sz w:val="22"/>
        </w:rPr>
        <w:t xml:space="preserve">роблем развития рынка Интернет-торговли в молодежной среде была разработана специализированная анкета. В работе представлены некоторые результаты обработки анкетных данных. </w:t>
      </w:r>
      <w:r>
        <w:rPr>
          <w:i/>
          <w:sz w:val="22"/>
        </w:rPr>
        <w:t>Результаты исследований могут быть полезны при составлении маркетингового плана развития интернет-магазина.</w:t>
      </w:r>
    </w:p>
    <w:p w:rsidR="00517711" w:rsidRDefault="00F815BE">
      <w:pPr>
        <w:pStyle w:val="Default"/>
        <w:ind w:firstLine="709"/>
        <w:jc w:val="both"/>
        <w:rPr>
          <w:i/>
          <w:sz w:val="22"/>
        </w:rPr>
      </w:pPr>
      <w:r>
        <w:rPr>
          <w:b/>
          <w:bCs/>
          <w:i/>
          <w:iCs/>
          <w:sz w:val="22"/>
        </w:rPr>
        <w:t>Ключевые слова и словосочетания</w:t>
      </w:r>
      <w:r>
        <w:rPr>
          <w:i/>
          <w:iCs/>
          <w:sz w:val="22"/>
        </w:rPr>
        <w:t xml:space="preserve">: </w:t>
      </w:r>
      <w:r>
        <w:rPr>
          <w:i/>
          <w:sz w:val="22"/>
        </w:rPr>
        <w:t>электронная коммерция, Интернет-торговля, социальные сети, интернет-магазины, интернет-маркетинг.</w:t>
      </w:r>
    </w:p>
    <w:p w:rsidR="00517711" w:rsidRDefault="00517711">
      <w:pPr>
        <w:pStyle w:val="Default"/>
        <w:ind w:firstLine="709"/>
        <w:jc w:val="both"/>
      </w:pPr>
    </w:p>
    <w:p w:rsidR="00517711" w:rsidRDefault="00F815BE">
      <w:pPr>
        <w:pStyle w:val="Default"/>
        <w:jc w:val="center"/>
        <w:rPr>
          <w:rFonts w:ascii="Book Antiqua" w:hAnsi="Book Antiqua"/>
          <w:sz w:val="26"/>
          <w:szCs w:val="26"/>
          <w:lang w:val="en-US"/>
        </w:rPr>
      </w:pPr>
      <w:r>
        <w:rPr>
          <w:rFonts w:ascii="Book Antiqua" w:hAnsi="Book Antiqua"/>
          <w:b/>
          <w:bCs/>
          <w:sz w:val="26"/>
          <w:szCs w:val="26"/>
          <w:lang w:val="en-US"/>
        </w:rPr>
        <w:t>PROBLEMS OF DEVELOPMENT OF INTERNET MARKET IN THE YOUTH ENVIRONMENT</w:t>
      </w:r>
    </w:p>
    <w:p w:rsidR="00517711" w:rsidRDefault="00517711">
      <w:pPr>
        <w:pStyle w:val="Default"/>
        <w:jc w:val="both"/>
        <w:rPr>
          <w:i/>
          <w:iCs/>
          <w:lang w:val="en-US"/>
        </w:rPr>
      </w:pPr>
    </w:p>
    <w:p w:rsidR="00517711" w:rsidRDefault="00F815BE">
      <w:pPr>
        <w:pStyle w:val="Default"/>
        <w:ind w:firstLine="709"/>
        <w:jc w:val="both"/>
        <w:rPr>
          <w:sz w:val="22"/>
          <w:lang w:val="en-US"/>
        </w:rPr>
      </w:pPr>
      <w:r>
        <w:rPr>
          <w:i/>
          <w:iCs/>
          <w:sz w:val="22"/>
          <w:lang w:val="en-US"/>
        </w:rPr>
        <w:t>The growth of the Internet trading market will be realized, mainly, due to the entry of today's youth into the segment of more affluent consumers. To study the problems of the development of the Internet market in the youth environment, a specialized questionnaire was developed. The paper presents some results of processing personal data. The results of research can be useful in the development of a marketing plan for the development of an online store.</w:t>
      </w:r>
    </w:p>
    <w:p w:rsidR="00517711" w:rsidRDefault="00F815BE">
      <w:pPr>
        <w:pStyle w:val="Default"/>
        <w:ind w:firstLine="709"/>
        <w:jc w:val="both"/>
        <w:rPr>
          <w:i/>
          <w:iCs/>
          <w:sz w:val="22"/>
          <w:lang w:val="en-US"/>
        </w:rPr>
      </w:pPr>
      <w:r>
        <w:rPr>
          <w:b/>
          <w:bCs/>
          <w:i/>
          <w:iCs/>
          <w:sz w:val="22"/>
          <w:lang w:val="en-US"/>
        </w:rPr>
        <w:t>Keywords</w:t>
      </w:r>
      <w:r>
        <w:rPr>
          <w:i/>
          <w:iCs/>
          <w:sz w:val="22"/>
          <w:lang w:val="en-US"/>
        </w:rPr>
        <w:t>: e-commerce, Internet commerce, social networks, online shopping, Internet marketing.</w:t>
      </w:r>
    </w:p>
    <w:p w:rsidR="00517711" w:rsidRDefault="00F815BE">
      <w:pPr>
        <w:pStyle w:val="Default"/>
        <w:ind w:firstLine="709"/>
        <w:jc w:val="both"/>
        <w:rPr>
          <w:lang w:val="en-US"/>
        </w:rPr>
      </w:pPr>
      <w:r>
        <w:rPr>
          <w:i/>
          <w:iCs/>
          <w:lang w:val="en-US"/>
        </w:rPr>
        <w:t xml:space="preserve">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В последние годы в России наблюдается значительный рост объема продаж товаров и услуг, которые приобретаются через интернет. Однако, российский рынок Интернет-торговли существенно отстает от уровня развития рынка развитых стран. Сегодня рынок Интернет-торговли оценивается приблизительно в 3% от общих продаж. Например, суммарная доля рынка Интернет-продаж в США, Великобритании и Японии оценивается в 55 % [1]. </w:t>
      </w:r>
      <w:r>
        <w:rPr>
          <w:rFonts w:ascii="Times New Roman" w:hAnsi="Times New Roman" w:cs="Times New Roman"/>
          <w:sz w:val="20"/>
          <w:szCs w:val="20"/>
        </w:rPr>
        <w:t>Электронная коммерция</w:t>
      </w:r>
      <w:r>
        <w:rPr>
          <w:rFonts w:ascii="Times New Roman" w:hAnsi="Times New Roman" w:cs="Times New Roman"/>
          <w:color w:val="000000" w:themeColor="text1"/>
          <w:sz w:val="20"/>
          <w:szCs w:val="20"/>
        </w:rPr>
        <w:t xml:space="preserve"> в России сталкивается с жесткой конкуренцией со стороны зарубежных компаний, и прежде всего, китайских. Объем трансграничной Интернет-торговли в России составляет 65% от общего объема продаж, а внутренней торговли - 35%.</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Выход организации в интернет среду позволяет ей, с одной стороны, повысить результативность продвижения товаров, работ и услуг, открыть новые рынки сбыта, развить взаимоотношения с клиентами и, с другой стороны, способствует снижению финансовых и временных затрат </w:t>
      </w:r>
      <w:r>
        <w:rPr>
          <w:rFonts w:ascii="Times New Roman" w:hAnsi="Times New Roman" w:cs="Times New Roman"/>
          <w:color w:val="000000" w:themeColor="text1"/>
          <w:sz w:val="20"/>
          <w:szCs w:val="20"/>
        </w:rPr>
        <w:t>[2]</w:t>
      </w:r>
      <w:r>
        <w:rPr>
          <w:rFonts w:ascii="Times New Roman" w:hAnsi="Times New Roman" w:cs="Times New Roman"/>
          <w:sz w:val="20"/>
          <w:szCs w:val="20"/>
        </w:rPr>
        <w:t xml:space="preserve">. Особое достоинство услуг </w:t>
      </w:r>
      <w:r>
        <w:rPr>
          <w:rFonts w:ascii="Times New Roman" w:hAnsi="Times New Roman" w:cs="Times New Roman"/>
          <w:sz w:val="20"/>
          <w:szCs w:val="20"/>
        </w:rPr>
        <w:lastRenderedPageBreak/>
        <w:t xml:space="preserve">Интернет-торговли – возможность адресной рекламы, стимулирование покупателя скидками, акциями, бонусами, подарками, что окупается за счёт экономии от масштаба. Потребитель тоже выигрывает за счет того, что цены в Интернет-магазинах обычно ниже из-за низкой себестоимости организации магазина, при этом совершать покупку можно удаленно, что открывает широкий спектр возможностей взаимодействия с поставщиками </w:t>
      </w:r>
      <w:r>
        <w:rPr>
          <w:rFonts w:ascii="Times New Roman" w:hAnsi="Times New Roman" w:cs="Times New Roman"/>
          <w:color w:val="000000" w:themeColor="text1"/>
          <w:sz w:val="20"/>
          <w:szCs w:val="20"/>
        </w:rPr>
        <w:t>[6]</w:t>
      </w:r>
      <w:r>
        <w:rPr>
          <w:rFonts w:ascii="Times New Roman" w:hAnsi="Times New Roman" w:cs="Times New Roman"/>
          <w:sz w:val="20"/>
          <w:szCs w:val="20"/>
        </w:rPr>
        <w:t>.</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sz w:val="20"/>
          <w:szCs w:val="20"/>
        </w:rPr>
        <w:t xml:space="preserve">Отставание российского рынка Интернет-торговли в основном объясняется двумя причинами. Во-первых, это недостаточное развитие и доступность скоростного интернета. Во-вторых, недостаточно развитая культура использования Интернет в повседневной жизни, особенно у возрастных категорий потребителей (старше 30 лет). Сегодня достаточно значима привычка совершать покупки традиционным способом. Современная молодежь, в основном, обладает навыками общения и поиска информации в сети Интернет, но большинство молодых людей не обладает достаточным количеством денежных средств для совершения покупок, необходимых для удовлетворения всех своих потребностей [3]. Рост рынка Интернет-торговли будет осуществляться, в основном, за счет вхождения сегодняшней молодежи в сегмент более состоятельных потребителей. В настоящее время закладывается новый уклад жизни, основанный на использовании компьютерных технологий [4]. Поэтому исследования поведения молодых людей на рынке Интернет-торговли является актуальной проблемой. </w:t>
      </w:r>
    </w:p>
    <w:p w:rsidR="00517711" w:rsidRDefault="00F815BE">
      <w:pPr>
        <w:spacing w:after="0" w:line="240" w:lineRule="auto"/>
        <w:ind w:firstLine="709"/>
        <w:jc w:val="both"/>
        <w:rPr>
          <w:rFonts w:ascii="Times New Roman" w:hAnsi="Times New Roman" w:cs="Times New Roman"/>
          <w:bCs/>
          <w:sz w:val="20"/>
          <w:szCs w:val="20"/>
        </w:rPr>
      </w:pPr>
      <w:r>
        <w:rPr>
          <w:rFonts w:ascii="Times New Roman" w:hAnsi="Times New Roman" w:cs="Times New Roman"/>
          <w:sz w:val="20"/>
          <w:szCs w:val="20"/>
        </w:rPr>
        <w:t>Целью настоящей работы является исследование п</w:t>
      </w:r>
      <w:r>
        <w:rPr>
          <w:rFonts w:ascii="Times New Roman" w:hAnsi="Times New Roman" w:cs="Times New Roman"/>
          <w:bCs/>
          <w:sz w:val="20"/>
          <w:szCs w:val="20"/>
        </w:rPr>
        <w:t>роблем развития рынка Интернет-торговли в молодежной среде.</w:t>
      </w:r>
    </w:p>
    <w:p w:rsidR="00517711" w:rsidRDefault="00F815BE">
      <w:pPr>
        <w:spacing w:after="0" w:line="240" w:lineRule="auto"/>
        <w:ind w:firstLine="709"/>
        <w:jc w:val="both"/>
        <w:rPr>
          <w:rFonts w:ascii="Times New Roman" w:hAnsi="Times New Roman" w:cs="Times New Roman"/>
          <w:bCs/>
          <w:sz w:val="20"/>
          <w:szCs w:val="20"/>
        </w:rPr>
      </w:pPr>
      <w:r>
        <w:rPr>
          <w:rFonts w:ascii="Times New Roman" w:hAnsi="Times New Roman" w:cs="Times New Roman"/>
          <w:bCs/>
          <w:sz w:val="20"/>
          <w:szCs w:val="20"/>
        </w:rPr>
        <w:t>Для анализа рынка Интернет-торговли была разработана специальная анкета. Всего с помощью анкеты было опрошено более 800 молодых людей, проживающих на территории Приморского края. Около половины анкет было собрано в традиционной форме, то есть на бумажном носителе (440 анкет). Другая половина анкет была собрана в результате онлайн-опроса (430 анкет). Всего анкета включала 28 вопросов. Каждый вопрос можно рассматривать как отдельную задачу, раскрывающую содержание исследования. Для обработки анкетных данных были использованы компьютерные технологии анализа анкетных данных, разработанные на кафедре Международного маркетинга и торговли ВГУЭС [5].</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bCs/>
          <w:sz w:val="20"/>
          <w:szCs w:val="20"/>
        </w:rPr>
        <w:t>К числу результатов, обладающих научной новизной, можно отнести широкое использование технологии обработки качественных данных открытых вопросов [7]. В частности технология обработки качественных данных была использована для определения списка сайтов, пользующихся наибольшей популярностью в молодежной среде.</w:t>
      </w:r>
    </w:p>
    <w:p w:rsidR="00517711" w:rsidRDefault="00F815BE">
      <w:pPr>
        <w:spacing w:after="0" w:line="240" w:lineRule="auto"/>
        <w:ind w:firstLine="709"/>
        <w:jc w:val="both"/>
        <w:rPr>
          <w:rFonts w:ascii="Times New Roman" w:hAnsi="Times New Roman" w:cs="Times New Roman"/>
          <w:sz w:val="20"/>
          <w:szCs w:val="20"/>
          <w:lang w:val="en-US"/>
        </w:rPr>
      </w:pPr>
      <w:r>
        <w:rPr>
          <w:rFonts w:ascii="Times New Roman" w:hAnsi="Times New Roman" w:cs="Times New Roman"/>
          <w:sz w:val="20"/>
          <w:szCs w:val="20"/>
        </w:rPr>
        <w:t>Рассмотрим несколько задач, которые решались в процессе рассматриваемого исследования. Для оценки структуры покупок на 14 наиболее посещаемых сайтах респондентам был предложен вопрос: «Укажите ваши предпочтения по покупке товаров на сайтах популярных магазинов». При ответе на вопрос необходимо было заполнить таблицу, отметив одну позицию в каждой строке (табл. 1).</w:t>
      </w:r>
    </w:p>
    <w:p w:rsidR="00517711" w:rsidRDefault="00F815BE">
      <w:pPr>
        <w:spacing w:after="0" w:line="240" w:lineRule="auto"/>
        <w:ind w:firstLine="709"/>
        <w:jc w:val="right"/>
        <w:rPr>
          <w:rFonts w:ascii="Times New Roman" w:hAnsi="Times New Roman" w:cs="Times New Roman"/>
          <w:i/>
          <w:sz w:val="20"/>
          <w:szCs w:val="20"/>
        </w:rPr>
      </w:pPr>
      <w:r>
        <w:rPr>
          <w:rFonts w:ascii="Times New Roman" w:hAnsi="Times New Roman" w:cs="Times New Roman"/>
          <w:i/>
          <w:sz w:val="20"/>
          <w:szCs w:val="20"/>
        </w:rPr>
        <w:t>Таблица 1</w:t>
      </w:r>
    </w:p>
    <w:p w:rsidR="00517711" w:rsidRDefault="00F815BE">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Структура предпочтений потребителей по осуществлению покупок в сети Интернет</w:t>
      </w:r>
    </w:p>
    <w:tbl>
      <w:tblPr>
        <w:tblW w:w="976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
        <w:gridCol w:w="2051"/>
        <w:gridCol w:w="1823"/>
        <w:gridCol w:w="1482"/>
        <w:gridCol w:w="1701"/>
        <w:gridCol w:w="2188"/>
      </w:tblGrid>
      <w:tr w:rsidR="00517711">
        <w:trPr>
          <w:trHeight w:val="677"/>
        </w:trPr>
        <w:tc>
          <w:tcPr>
            <w:tcW w:w="516" w:type="dxa"/>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w:t>
            </w:r>
          </w:p>
        </w:tc>
        <w:tc>
          <w:tcPr>
            <w:tcW w:w="2051"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Интернет-магазин</w:t>
            </w:r>
          </w:p>
        </w:tc>
        <w:tc>
          <w:tcPr>
            <w:tcW w:w="1823"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Никогда не посещал</w:t>
            </w:r>
          </w:p>
        </w:tc>
        <w:tc>
          <w:tcPr>
            <w:tcW w:w="1482"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Посещал, но не покупал</w:t>
            </w:r>
          </w:p>
        </w:tc>
        <w:tc>
          <w:tcPr>
            <w:tcW w:w="1701"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Несколько раз покупал</w:t>
            </w:r>
          </w:p>
        </w:tc>
        <w:tc>
          <w:tcPr>
            <w:tcW w:w="2188"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Покупаю чаще, чем на</w:t>
            </w:r>
          </w:p>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других сайтах</w:t>
            </w:r>
          </w:p>
        </w:tc>
      </w:tr>
      <w:tr w:rsidR="00517711">
        <w:trPr>
          <w:trHeight w:val="288"/>
        </w:trPr>
        <w:tc>
          <w:tcPr>
            <w:tcW w:w="516" w:type="dxa"/>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w:t>
            </w:r>
          </w:p>
        </w:tc>
        <w:tc>
          <w:tcPr>
            <w:tcW w:w="2051" w:type="dxa"/>
            <w:noWrap/>
            <w:vAlign w:val="bottom"/>
          </w:tcPr>
          <w:p w:rsidR="00517711" w:rsidRDefault="00F815BE">
            <w:pPr>
              <w:spacing w:after="0" w:line="240" w:lineRule="auto"/>
              <w:rPr>
                <w:rFonts w:ascii="Times New Roman" w:hAnsi="Times New Roman" w:cs="Times New Roman"/>
                <w:color w:val="000000"/>
                <w:sz w:val="20"/>
                <w:szCs w:val="20"/>
                <w:lang w:val="en-US" w:eastAsia="ru-RU"/>
              </w:rPr>
            </w:pPr>
            <w:r>
              <w:rPr>
                <w:rFonts w:ascii="Times New Roman" w:hAnsi="Times New Roman" w:cs="Times New Roman"/>
                <w:color w:val="000000"/>
                <w:sz w:val="20"/>
                <w:szCs w:val="20"/>
                <w:lang w:val="en-US" w:eastAsia="ru-RU"/>
              </w:rPr>
              <w:t>AliExpress</w:t>
            </w:r>
          </w:p>
        </w:tc>
        <w:tc>
          <w:tcPr>
            <w:tcW w:w="1823"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15%</w:t>
            </w:r>
          </w:p>
        </w:tc>
        <w:tc>
          <w:tcPr>
            <w:tcW w:w="1482"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17%</w:t>
            </w:r>
          </w:p>
        </w:tc>
        <w:tc>
          <w:tcPr>
            <w:tcW w:w="1701"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37%</w:t>
            </w:r>
          </w:p>
        </w:tc>
        <w:tc>
          <w:tcPr>
            <w:tcW w:w="2188"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32%</w:t>
            </w:r>
          </w:p>
        </w:tc>
      </w:tr>
      <w:tr w:rsidR="00517711">
        <w:trPr>
          <w:trHeight w:val="288"/>
        </w:trPr>
        <w:tc>
          <w:tcPr>
            <w:tcW w:w="516" w:type="dxa"/>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w:t>
            </w:r>
          </w:p>
        </w:tc>
        <w:tc>
          <w:tcPr>
            <w:tcW w:w="2051" w:type="dxa"/>
            <w:noWrap/>
            <w:vAlign w:val="bottom"/>
          </w:tcPr>
          <w:p w:rsidR="00517711" w:rsidRDefault="00F815BE">
            <w:pPr>
              <w:spacing w:after="0" w:line="240" w:lineRule="auto"/>
              <w:rPr>
                <w:rFonts w:ascii="Times New Roman" w:hAnsi="Times New Roman" w:cs="Times New Roman"/>
                <w:color w:val="000000"/>
                <w:sz w:val="20"/>
                <w:szCs w:val="20"/>
                <w:lang w:val="en-US" w:eastAsia="ru-RU"/>
              </w:rPr>
            </w:pPr>
            <w:r>
              <w:rPr>
                <w:rFonts w:ascii="Times New Roman" w:hAnsi="Times New Roman" w:cs="Times New Roman"/>
                <w:color w:val="000000"/>
                <w:sz w:val="20"/>
                <w:szCs w:val="20"/>
                <w:lang w:val="en-US" w:eastAsia="ru-RU"/>
              </w:rPr>
              <w:t>100SP</w:t>
            </w:r>
          </w:p>
        </w:tc>
        <w:tc>
          <w:tcPr>
            <w:tcW w:w="1823"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42%</w:t>
            </w:r>
          </w:p>
        </w:tc>
        <w:tc>
          <w:tcPr>
            <w:tcW w:w="1482"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25%</w:t>
            </w:r>
          </w:p>
        </w:tc>
        <w:tc>
          <w:tcPr>
            <w:tcW w:w="1701"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18%</w:t>
            </w:r>
          </w:p>
        </w:tc>
        <w:tc>
          <w:tcPr>
            <w:tcW w:w="2188"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14%</w:t>
            </w:r>
          </w:p>
        </w:tc>
      </w:tr>
      <w:tr w:rsidR="00517711">
        <w:trPr>
          <w:trHeight w:val="288"/>
        </w:trPr>
        <w:tc>
          <w:tcPr>
            <w:tcW w:w="516" w:type="dxa"/>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w:t>
            </w:r>
          </w:p>
        </w:tc>
        <w:tc>
          <w:tcPr>
            <w:tcW w:w="2051" w:type="dxa"/>
            <w:noWrap/>
            <w:vAlign w:val="bottom"/>
          </w:tcPr>
          <w:p w:rsidR="00517711" w:rsidRDefault="00F815BE">
            <w:pPr>
              <w:spacing w:after="0" w:line="240" w:lineRule="auto"/>
              <w:rPr>
                <w:rFonts w:ascii="Times New Roman" w:hAnsi="Times New Roman" w:cs="Times New Roman"/>
                <w:color w:val="000000"/>
                <w:sz w:val="20"/>
                <w:szCs w:val="20"/>
                <w:lang w:val="en-US" w:eastAsia="ru-RU"/>
              </w:rPr>
            </w:pPr>
            <w:r>
              <w:rPr>
                <w:rFonts w:ascii="Times New Roman" w:hAnsi="Times New Roman" w:cs="Times New Roman"/>
                <w:color w:val="000000"/>
                <w:sz w:val="20"/>
                <w:szCs w:val="20"/>
                <w:lang w:val="en-US" w:eastAsia="ru-RU"/>
              </w:rPr>
              <w:t>Taobao</w:t>
            </w:r>
          </w:p>
        </w:tc>
        <w:tc>
          <w:tcPr>
            <w:tcW w:w="1823"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35%</w:t>
            </w:r>
          </w:p>
        </w:tc>
        <w:tc>
          <w:tcPr>
            <w:tcW w:w="1482"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28%</w:t>
            </w:r>
          </w:p>
        </w:tc>
        <w:tc>
          <w:tcPr>
            <w:tcW w:w="1701"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25%</w:t>
            </w:r>
          </w:p>
        </w:tc>
        <w:tc>
          <w:tcPr>
            <w:tcW w:w="2188"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12%</w:t>
            </w:r>
          </w:p>
        </w:tc>
      </w:tr>
      <w:tr w:rsidR="00517711">
        <w:trPr>
          <w:trHeight w:val="288"/>
        </w:trPr>
        <w:tc>
          <w:tcPr>
            <w:tcW w:w="516" w:type="dxa"/>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w:t>
            </w:r>
          </w:p>
        </w:tc>
        <w:tc>
          <w:tcPr>
            <w:tcW w:w="2051" w:type="dxa"/>
            <w:noWrap/>
            <w:vAlign w:val="bottom"/>
          </w:tcPr>
          <w:p w:rsidR="00517711" w:rsidRDefault="00F815BE">
            <w:pPr>
              <w:spacing w:after="0" w:line="240" w:lineRule="auto"/>
              <w:rPr>
                <w:rFonts w:ascii="Times New Roman" w:hAnsi="Times New Roman" w:cs="Times New Roman"/>
                <w:color w:val="000000"/>
                <w:sz w:val="20"/>
                <w:szCs w:val="20"/>
                <w:lang w:val="en-US" w:eastAsia="ru-RU"/>
              </w:rPr>
            </w:pPr>
            <w:r>
              <w:rPr>
                <w:rFonts w:ascii="Times New Roman" w:hAnsi="Times New Roman" w:cs="Times New Roman"/>
                <w:color w:val="000000"/>
                <w:sz w:val="20"/>
                <w:szCs w:val="20"/>
                <w:lang w:val="en-US" w:eastAsia="ru-RU"/>
              </w:rPr>
              <w:t>Ozon</w:t>
            </w:r>
          </w:p>
        </w:tc>
        <w:tc>
          <w:tcPr>
            <w:tcW w:w="1823"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52%</w:t>
            </w:r>
          </w:p>
        </w:tc>
        <w:tc>
          <w:tcPr>
            <w:tcW w:w="1482"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31%</w:t>
            </w:r>
          </w:p>
        </w:tc>
        <w:tc>
          <w:tcPr>
            <w:tcW w:w="1701"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15%</w:t>
            </w:r>
          </w:p>
        </w:tc>
        <w:tc>
          <w:tcPr>
            <w:tcW w:w="2188"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w:t>
            </w:r>
          </w:p>
        </w:tc>
      </w:tr>
      <w:tr w:rsidR="00517711">
        <w:trPr>
          <w:trHeight w:val="288"/>
        </w:trPr>
        <w:tc>
          <w:tcPr>
            <w:tcW w:w="516" w:type="dxa"/>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w:t>
            </w:r>
          </w:p>
        </w:tc>
        <w:tc>
          <w:tcPr>
            <w:tcW w:w="2051" w:type="dxa"/>
            <w:noWrap/>
            <w:vAlign w:val="bottom"/>
          </w:tcPr>
          <w:p w:rsidR="00517711" w:rsidRDefault="00F815BE">
            <w:pPr>
              <w:spacing w:after="0" w:line="240" w:lineRule="auto"/>
              <w:rPr>
                <w:rFonts w:ascii="Times New Roman" w:hAnsi="Times New Roman" w:cs="Times New Roman"/>
                <w:color w:val="000000"/>
                <w:sz w:val="20"/>
                <w:szCs w:val="20"/>
                <w:lang w:val="en-US" w:eastAsia="ru-RU"/>
              </w:rPr>
            </w:pPr>
            <w:r>
              <w:rPr>
                <w:rFonts w:ascii="Times New Roman" w:hAnsi="Times New Roman" w:cs="Times New Roman"/>
                <w:color w:val="000000"/>
                <w:sz w:val="20"/>
                <w:szCs w:val="20"/>
                <w:lang w:val="en-US" w:eastAsia="ru-RU"/>
              </w:rPr>
              <w:t>Lamoda</w:t>
            </w:r>
          </w:p>
        </w:tc>
        <w:tc>
          <w:tcPr>
            <w:tcW w:w="1823"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48%</w:t>
            </w:r>
          </w:p>
        </w:tc>
        <w:tc>
          <w:tcPr>
            <w:tcW w:w="1482"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31%</w:t>
            </w:r>
          </w:p>
        </w:tc>
        <w:tc>
          <w:tcPr>
            <w:tcW w:w="1701"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16%</w:t>
            </w:r>
          </w:p>
        </w:tc>
        <w:tc>
          <w:tcPr>
            <w:tcW w:w="2188"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w:t>
            </w:r>
          </w:p>
        </w:tc>
      </w:tr>
      <w:tr w:rsidR="00517711">
        <w:trPr>
          <w:trHeight w:val="288"/>
        </w:trPr>
        <w:tc>
          <w:tcPr>
            <w:tcW w:w="516" w:type="dxa"/>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6</w:t>
            </w:r>
          </w:p>
        </w:tc>
        <w:tc>
          <w:tcPr>
            <w:tcW w:w="2051" w:type="dxa"/>
            <w:noWrap/>
            <w:vAlign w:val="bottom"/>
          </w:tcPr>
          <w:p w:rsidR="00517711" w:rsidRDefault="00F815BE">
            <w:pPr>
              <w:spacing w:after="0" w:line="240" w:lineRule="auto"/>
              <w:rPr>
                <w:rFonts w:ascii="Times New Roman" w:hAnsi="Times New Roman" w:cs="Times New Roman"/>
                <w:color w:val="000000"/>
                <w:sz w:val="20"/>
                <w:szCs w:val="20"/>
                <w:lang w:val="en-US" w:eastAsia="ru-RU"/>
              </w:rPr>
            </w:pPr>
            <w:r>
              <w:rPr>
                <w:rFonts w:ascii="Times New Roman" w:hAnsi="Times New Roman" w:cs="Times New Roman"/>
                <w:color w:val="000000"/>
                <w:sz w:val="20"/>
                <w:szCs w:val="20"/>
                <w:lang w:val="en-US" w:eastAsia="ru-RU"/>
              </w:rPr>
              <w:t>Wildberries</w:t>
            </w:r>
          </w:p>
        </w:tc>
        <w:tc>
          <w:tcPr>
            <w:tcW w:w="1823"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54%</w:t>
            </w:r>
          </w:p>
        </w:tc>
        <w:tc>
          <w:tcPr>
            <w:tcW w:w="1482"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24%</w:t>
            </w:r>
          </w:p>
        </w:tc>
        <w:tc>
          <w:tcPr>
            <w:tcW w:w="1701"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14%</w:t>
            </w:r>
          </w:p>
        </w:tc>
        <w:tc>
          <w:tcPr>
            <w:tcW w:w="2188"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7%</w:t>
            </w:r>
          </w:p>
        </w:tc>
      </w:tr>
      <w:tr w:rsidR="00517711">
        <w:trPr>
          <w:trHeight w:val="288"/>
        </w:trPr>
        <w:tc>
          <w:tcPr>
            <w:tcW w:w="516" w:type="dxa"/>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7</w:t>
            </w:r>
          </w:p>
        </w:tc>
        <w:tc>
          <w:tcPr>
            <w:tcW w:w="2051" w:type="dxa"/>
            <w:noWrap/>
            <w:vAlign w:val="bottom"/>
          </w:tcPr>
          <w:p w:rsidR="00517711" w:rsidRDefault="00F815BE">
            <w:pPr>
              <w:spacing w:after="0" w:line="240" w:lineRule="auto"/>
              <w:rPr>
                <w:rFonts w:ascii="Times New Roman" w:hAnsi="Times New Roman" w:cs="Times New Roman"/>
                <w:color w:val="000000"/>
                <w:sz w:val="20"/>
                <w:szCs w:val="20"/>
                <w:lang w:val="en-US" w:eastAsia="ru-RU"/>
              </w:rPr>
            </w:pPr>
            <w:r>
              <w:rPr>
                <w:rFonts w:ascii="Times New Roman" w:hAnsi="Times New Roman" w:cs="Times New Roman"/>
                <w:color w:val="000000"/>
                <w:sz w:val="20"/>
                <w:szCs w:val="20"/>
                <w:lang w:val="en-US" w:eastAsia="ru-RU"/>
              </w:rPr>
              <w:t>eBay</w:t>
            </w:r>
          </w:p>
        </w:tc>
        <w:tc>
          <w:tcPr>
            <w:tcW w:w="1823"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46%</w:t>
            </w:r>
          </w:p>
        </w:tc>
        <w:tc>
          <w:tcPr>
            <w:tcW w:w="1482"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33%</w:t>
            </w:r>
          </w:p>
        </w:tc>
        <w:tc>
          <w:tcPr>
            <w:tcW w:w="1701"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18%</w:t>
            </w:r>
          </w:p>
        </w:tc>
        <w:tc>
          <w:tcPr>
            <w:tcW w:w="2188"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w:t>
            </w:r>
          </w:p>
        </w:tc>
      </w:tr>
      <w:tr w:rsidR="00517711">
        <w:trPr>
          <w:trHeight w:val="288"/>
        </w:trPr>
        <w:tc>
          <w:tcPr>
            <w:tcW w:w="516" w:type="dxa"/>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8</w:t>
            </w:r>
          </w:p>
        </w:tc>
        <w:tc>
          <w:tcPr>
            <w:tcW w:w="2051" w:type="dxa"/>
            <w:noWrap/>
            <w:vAlign w:val="bottom"/>
          </w:tcPr>
          <w:p w:rsidR="00517711" w:rsidRDefault="00F815BE">
            <w:pPr>
              <w:spacing w:after="0" w:line="240" w:lineRule="auto"/>
              <w:rPr>
                <w:rFonts w:ascii="Times New Roman" w:hAnsi="Times New Roman" w:cs="Times New Roman"/>
                <w:color w:val="000000"/>
                <w:sz w:val="20"/>
                <w:szCs w:val="20"/>
                <w:lang w:val="en-US" w:eastAsia="ru-RU"/>
              </w:rPr>
            </w:pPr>
            <w:r>
              <w:rPr>
                <w:rFonts w:ascii="Times New Roman" w:hAnsi="Times New Roman" w:cs="Times New Roman"/>
                <w:color w:val="000000"/>
                <w:sz w:val="20"/>
                <w:szCs w:val="20"/>
                <w:lang w:val="en-US" w:eastAsia="ru-RU"/>
              </w:rPr>
              <w:t>Asos</w:t>
            </w:r>
          </w:p>
        </w:tc>
        <w:tc>
          <w:tcPr>
            <w:tcW w:w="1823"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64%</w:t>
            </w:r>
          </w:p>
        </w:tc>
        <w:tc>
          <w:tcPr>
            <w:tcW w:w="1482"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21%</w:t>
            </w:r>
          </w:p>
        </w:tc>
        <w:tc>
          <w:tcPr>
            <w:tcW w:w="1701"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9%</w:t>
            </w:r>
          </w:p>
        </w:tc>
        <w:tc>
          <w:tcPr>
            <w:tcW w:w="2188"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7%</w:t>
            </w:r>
          </w:p>
        </w:tc>
      </w:tr>
      <w:tr w:rsidR="00517711">
        <w:trPr>
          <w:trHeight w:val="288"/>
        </w:trPr>
        <w:tc>
          <w:tcPr>
            <w:tcW w:w="516" w:type="dxa"/>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9</w:t>
            </w:r>
          </w:p>
        </w:tc>
        <w:tc>
          <w:tcPr>
            <w:tcW w:w="2051" w:type="dxa"/>
            <w:noWrap/>
            <w:vAlign w:val="bottom"/>
          </w:tcPr>
          <w:p w:rsidR="00517711" w:rsidRDefault="00F815BE">
            <w:pPr>
              <w:spacing w:after="0" w:line="240" w:lineRule="auto"/>
              <w:rPr>
                <w:rFonts w:ascii="Times New Roman" w:hAnsi="Times New Roman" w:cs="Times New Roman"/>
                <w:color w:val="000000"/>
                <w:sz w:val="20"/>
                <w:szCs w:val="20"/>
                <w:lang w:val="en-US" w:eastAsia="ru-RU"/>
              </w:rPr>
            </w:pPr>
            <w:r>
              <w:rPr>
                <w:rFonts w:ascii="Times New Roman" w:hAnsi="Times New Roman" w:cs="Times New Roman"/>
                <w:color w:val="000000"/>
                <w:sz w:val="20"/>
                <w:szCs w:val="20"/>
                <w:lang w:val="en-US" w:eastAsia="ru-RU"/>
              </w:rPr>
              <w:t>Zara</w:t>
            </w:r>
          </w:p>
        </w:tc>
        <w:tc>
          <w:tcPr>
            <w:tcW w:w="1823"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56%</w:t>
            </w:r>
          </w:p>
        </w:tc>
        <w:tc>
          <w:tcPr>
            <w:tcW w:w="1482"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27%</w:t>
            </w:r>
          </w:p>
        </w:tc>
        <w:tc>
          <w:tcPr>
            <w:tcW w:w="1701"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10%</w:t>
            </w:r>
          </w:p>
        </w:tc>
        <w:tc>
          <w:tcPr>
            <w:tcW w:w="2188"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6%</w:t>
            </w:r>
          </w:p>
        </w:tc>
      </w:tr>
      <w:tr w:rsidR="00517711">
        <w:trPr>
          <w:trHeight w:val="288"/>
        </w:trPr>
        <w:tc>
          <w:tcPr>
            <w:tcW w:w="516" w:type="dxa"/>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10</w:t>
            </w:r>
          </w:p>
        </w:tc>
        <w:tc>
          <w:tcPr>
            <w:tcW w:w="2051" w:type="dxa"/>
            <w:noWrap/>
            <w:vAlign w:val="bottom"/>
          </w:tcPr>
          <w:p w:rsidR="00517711" w:rsidRDefault="00F815BE">
            <w:pPr>
              <w:spacing w:after="0" w:line="240" w:lineRule="auto"/>
              <w:rPr>
                <w:rFonts w:ascii="Times New Roman" w:hAnsi="Times New Roman" w:cs="Times New Roman"/>
                <w:color w:val="000000"/>
                <w:sz w:val="20"/>
                <w:szCs w:val="20"/>
                <w:lang w:val="en-US" w:eastAsia="ru-RU"/>
              </w:rPr>
            </w:pPr>
            <w:r>
              <w:rPr>
                <w:rFonts w:ascii="Times New Roman" w:hAnsi="Times New Roman" w:cs="Times New Roman"/>
                <w:color w:val="000000"/>
                <w:sz w:val="20"/>
                <w:szCs w:val="20"/>
                <w:lang w:val="en-US" w:eastAsia="ru-RU"/>
              </w:rPr>
              <w:t>Технопоинт</w:t>
            </w:r>
          </w:p>
        </w:tc>
        <w:tc>
          <w:tcPr>
            <w:tcW w:w="1823"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49%</w:t>
            </w:r>
          </w:p>
        </w:tc>
        <w:tc>
          <w:tcPr>
            <w:tcW w:w="1482"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17%</w:t>
            </w:r>
          </w:p>
        </w:tc>
        <w:tc>
          <w:tcPr>
            <w:tcW w:w="1701"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25%</w:t>
            </w:r>
          </w:p>
        </w:tc>
        <w:tc>
          <w:tcPr>
            <w:tcW w:w="2188"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9%</w:t>
            </w:r>
          </w:p>
        </w:tc>
      </w:tr>
      <w:tr w:rsidR="00517711">
        <w:trPr>
          <w:trHeight w:val="288"/>
        </w:trPr>
        <w:tc>
          <w:tcPr>
            <w:tcW w:w="516" w:type="dxa"/>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11</w:t>
            </w:r>
          </w:p>
        </w:tc>
        <w:tc>
          <w:tcPr>
            <w:tcW w:w="2051" w:type="dxa"/>
            <w:noWrap/>
            <w:vAlign w:val="bottom"/>
          </w:tcPr>
          <w:p w:rsidR="00517711" w:rsidRDefault="00F815BE">
            <w:pPr>
              <w:spacing w:after="0" w:line="240" w:lineRule="auto"/>
              <w:rPr>
                <w:rFonts w:ascii="Times New Roman" w:hAnsi="Times New Roman" w:cs="Times New Roman"/>
                <w:color w:val="000000"/>
                <w:sz w:val="20"/>
                <w:szCs w:val="20"/>
                <w:lang w:val="en-US" w:eastAsia="ru-RU"/>
              </w:rPr>
            </w:pPr>
            <w:r>
              <w:rPr>
                <w:rFonts w:ascii="Times New Roman" w:hAnsi="Times New Roman" w:cs="Times New Roman"/>
                <w:color w:val="000000"/>
                <w:sz w:val="20"/>
                <w:szCs w:val="20"/>
                <w:lang w:val="en-US" w:eastAsia="ru-RU"/>
              </w:rPr>
              <w:t>Вещичка</w:t>
            </w:r>
          </w:p>
        </w:tc>
        <w:tc>
          <w:tcPr>
            <w:tcW w:w="1823"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71%</w:t>
            </w:r>
          </w:p>
        </w:tc>
        <w:tc>
          <w:tcPr>
            <w:tcW w:w="1482"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20%</w:t>
            </w:r>
          </w:p>
        </w:tc>
        <w:tc>
          <w:tcPr>
            <w:tcW w:w="1701"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7%</w:t>
            </w:r>
          </w:p>
        </w:tc>
        <w:tc>
          <w:tcPr>
            <w:tcW w:w="2188"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w:t>
            </w:r>
          </w:p>
        </w:tc>
      </w:tr>
      <w:tr w:rsidR="00517711">
        <w:trPr>
          <w:trHeight w:val="288"/>
        </w:trPr>
        <w:tc>
          <w:tcPr>
            <w:tcW w:w="516" w:type="dxa"/>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12</w:t>
            </w:r>
          </w:p>
        </w:tc>
        <w:tc>
          <w:tcPr>
            <w:tcW w:w="2051" w:type="dxa"/>
            <w:noWrap/>
            <w:vAlign w:val="bottom"/>
          </w:tcPr>
          <w:p w:rsidR="00517711" w:rsidRDefault="00F815BE">
            <w:pPr>
              <w:spacing w:after="0" w:line="240" w:lineRule="auto"/>
              <w:rPr>
                <w:rFonts w:ascii="Times New Roman" w:hAnsi="Times New Roman" w:cs="Times New Roman"/>
                <w:color w:val="000000"/>
                <w:sz w:val="20"/>
                <w:szCs w:val="20"/>
                <w:lang w:val="en-US" w:eastAsia="ru-RU"/>
              </w:rPr>
            </w:pPr>
            <w:r>
              <w:rPr>
                <w:rFonts w:ascii="Times New Roman" w:hAnsi="Times New Roman" w:cs="Times New Roman"/>
                <w:color w:val="000000"/>
                <w:sz w:val="20"/>
                <w:szCs w:val="20"/>
                <w:lang w:val="en-US" w:eastAsia="ru-RU"/>
              </w:rPr>
              <w:t>Farpost</w:t>
            </w:r>
          </w:p>
        </w:tc>
        <w:tc>
          <w:tcPr>
            <w:tcW w:w="1823"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26%</w:t>
            </w:r>
          </w:p>
        </w:tc>
        <w:tc>
          <w:tcPr>
            <w:tcW w:w="1482"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26%</w:t>
            </w:r>
          </w:p>
        </w:tc>
        <w:tc>
          <w:tcPr>
            <w:tcW w:w="1701"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38%</w:t>
            </w:r>
          </w:p>
        </w:tc>
        <w:tc>
          <w:tcPr>
            <w:tcW w:w="2188"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10%</w:t>
            </w:r>
          </w:p>
        </w:tc>
      </w:tr>
      <w:tr w:rsidR="00517711">
        <w:trPr>
          <w:trHeight w:val="288"/>
        </w:trPr>
        <w:tc>
          <w:tcPr>
            <w:tcW w:w="516" w:type="dxa"/>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13</w:t>
            </w:r>
          </w:p>
        </w:tc>
        <w:tc>
          <w:tcPr>
            <w:tcW w:w="2051" w:type="dxa"/>
            <w:noWrap/>
            <w:vAlign w:val="bottom"/>
          </w:tcPr>
          <w:p w:rsidR="00517711" w:rsidRDefault="00F815BE">
            <w:pPr>
              <w:spacing w:after="0" w:line="240" w:lineRule="auto"/>
              <w:rPr>
                <w:rFonts w:ascii="Times New Roman" w:hAnsi="Times New Roman" w:cs="Times New Roman"/>
                <w:color w:val="000000"/>
                <w:sz w:val="20"/>
                <w:szCs w:val="20"/>
                <w:lang w:val="en-US" w:eastAsia="ru-RU"/>
              </w:rPr>
            </w:pPr>
            <w:r>
              <w:rPr>
                <w:rFonts w:ascii="Times New Roman" w:hAnsi="Times New Roman" w:cs="Times New Roman"/>
                <w:color w:val="000000"/>
                <w:sz w:val="20"/>
                <w:szCs w:val="20"/>
                <w:lang w:val="en-US" w:eastAsia="ru-RU"/>
              </w:rPr>
              <w:t>Avito</w:t>
            </w:r>
          </w:p>
        </w:tc>
        <w:tc>
          <w:tcPr>
            <w:tcW w:w="1823"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51%</w:t>
            </w:r>
          </w:p>
        </w:tc>
        <w:tc>
          <w:tcPr>
            <w:tcW w:w="1482"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33%</w:t>
            </w:r>
          </w:p>
        </w:tc>
        <w:tc>
          <w:tcPr>
            <w:tcW w:w="1701"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12%</w:t>
            </w:r>
          </w:p>
        </w:tc>
        <w:tc>
          <w:tcPr>
            <w:tcW w:w="2188"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w:t>
            </w:r>
          </w:p>
        </w:tc>
      </w:tr>
      <w:tr w:rsidR="00517711">
        <w:trPr>
          <w:trHeight w:val="288"/>
        </w:trPr>
        <w:tc>
          <w:tcPr>
            <w:tcW w:w="516" w:type="dxa"/>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14</w:t>
            </w:r>
          </w:p>
        </w:tc>
        <w:tc>
          <w:tcPr>
            <w:tcW w:w="2051" w:type="dxa"/>
            <w:noWrap/>
            <w:vAlign w:val="bottom"/>
          </w:tcPr>
          <w:p w:rsidR="00517711" w:rsidRDefault="00F815BE">
            <w:pPr>
              <w:spacing w:after="0" w:line="240" w:lineRule="auto"/>
              <w:rPr>
                <w:rFonts w:ascii="Times New Roman" w:hAnsi="Times New Roman" w:cs="Times New Roman"/>
                <w:color w:val="000000"/>
                <w:sz w:val="20"/>
                <w:szCs w:val="20"/>
                <w:lang w:val="en-US" w:eastAsia="ru-RU"/>
              </w:rPr>
            </w:pPr>
            <w:r>
              <w:rPr>
                <w:rFonts w:ascii="Times New Roman" w:hAnsi="Times New Roman" w:cs="Times New Roman"/>
                <w:color w:val="000000"/>
                <w:sz w:val="20"/>
                <w:szCs w:val="20"/>
                <w:lang w:val="en-US" w:eastAsia="ru-RU"/>
              </w:rPr>
              <w:t>Izobility</w:t>
            </w:r>
          </w:p>
        </w:tc>
        <w:tc>
          <w:tcPr>
            <w:tcW w:w="1823"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82%</w:t>
            </w:r>
          </w:p>
        </w:tc>
        <w:tc>
          <w:tcPr>
            <w:tcW w:w="1482"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13%</w:t>
            </w:r>
          </w:p>
        </w:tc>
        <w:tc>
          <w:tcPr>
            <w:tcW w:w="1701"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w:t>
            </w:r>
          </w:p>
        </w:tc>
        <w:tc>
          <w:tcPr>
            <w:tcW w:w="2188"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w:t>
            </w:r>
          </w:p>
        </w:tc>
      </w:tr>
    </w:tbl>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Чаще других молодые люди осуществляют покупки в трех Интерненет-магазинах: «</w:t>
      </w:r>
      <w:r>
        <w:rPr>
          <w:rFonts w:ascii="Times New Roman" w:hAnsi="Times New Roman" w:cs="Times New Roman"/>
          <w:color w:val="000000"/>
          <w:sz w:val="20"/>
          <w:szCs w:val="20"/>
          <w:lang w:eastAsia="ru-RU"/>
        </w:rPr>
        <w:t>AliExpress», «100SP», «Taobao». Это специализированные сайты по продаже, в основном, одежды и обуви. Но молодежь использует Интернет не только для покупки одежды, но и других товаров и услуг. Для оценки проникновения интернет в сектора торговли различными категориями товаров был использован вопрос: «</w:t>
      </w:r>
      <w:r>
        <w:rPr>
          <w:rFonts w:ascii="Times New Roman" w:hAnsi="Times New Roman" w:cs="Times New Roman"/>
          <w:sz w:val="20"/>
          <w:szCs w:val="20"/>
        </w:rPr>
        <w:t xml:space="preserve">Оцените долю своих покупок в % по видам товаров в интернет-магазинах (на сайтах) по сравнению с другими способами покупки (обычный магазин и т.п.)». При ответах на этот вопрос также необходимо было заполнить таблицу. В столбцах таблицы указаны различные варианты доли покупки в Интернет по отношению к другим способам покупки </w:t>
      </w:r>
      <w:r>
        <w:rPr>
          <w:rFonts w:ascii="Times New Roman" w:hAnsi="Times New Roman" w:cs="Times New Roman"/>
          <w:sz w:val="20"/>
          <w:szCs w:val="20"/>
        </w:rPr>
        <w:lastRenderedPageBreak/>
        <w:t>(табл. 2). Кроме одежды, через интернет приобретают косметику (табл. 2). Достаточно распространено приобретение через ннтернет б</w:t>
      </w:r>
      <w:r>
        <w:rPr>
          <w:rFonts w:ascii="Times New Roman" w:hAnsi="Times New Roman" w:cs="Times New Roman"/>
          <w:color w:val="000000"/>
          <w:sz w:val="20"/>
          <w:szCs w:val="20"/>
          <w:lang w:eastAsia="ru-RU"/>
        </w:rPr>
        <w:t>илетов в театр, кино, на концерт.</w:t>
      </w:r>
    </w:p>
    <w:p w:rsidR="00517711" w:rsidRDefault="00F815BE">
      <w:pPr>
        <w:spacing w:after="0" w:line="240" w:lineRule="auto"/>
        <w:ind w:firstLine="709"/>
        <w:jc w:val="right"/>
        <w:rPr>
          <w:rFonts w:ascii="Times New Roman" w:hAnsi="Times New Roman" w:cs="Times New Roman"/>
          <w:i/>
          <w:sz w:val="20"/>
          <w:szCs w:val="20"/>
        </w:rPr>
      </w:pPr>
      <w:r>
        <w:rPr>
          <w:rFonts w:ascii="Times New Roman" w:hAnsi="Times New Roman" w:cs="Times New Roman"/>
          <w:i/>
          <w:sz w:val="20"/>
          <w:szCs w:val="20"/>
        </w:rPr>
        <w:t>Таблица 2</w:t>
      </w:r>
    </w:p>
    <w:p w:rsidR="00517711" w:rsidRDefault="00F815BE">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Структура покупок по видам покупок, осуществляемых в сети Интернет</w:t>
      </w:r>
    </w:p>
    <w:tbl>
      <w:tblPr>
        <w:tblW w:w="9200" w:type="dxa"/>
        <w:tblLayout w:type="fixed"/>
        <w:tblCellMar>
          <w:left w:w="40" w:type="dxa"/>
          <w:right w:w="40" w:type="dxa"/>
        </w:tblCellMar>
        <w:tblLook w:val="04A0" w:firstRow="1" w:lastRow="0" w:firstColumn="1" w:lastColumn="0" w:noHBand="0" w:noVBand="1"/>
      </w:tblPr>
      <w:tblGrid>
        <w:gridCol w:w="336"/>
        <w:gridCol w:w="1692"/>
        <w:gridCol w:w="652"/>
        <w:gridCol w:w="652"/>
        <w:gridCol w:w="652"/>
        <w:gridCol w:w="652"/>
        <w:gridCol w:w="652"/>
        <w:gridCol w:w="652"/>
        <w:gridCol w:w="652"/>
        <w:gridCol w:w="652"/>
        <w:gridCol w:w="652"/>
        <w:gridCol w:w="652"/>
        <w:gridCol w:w="652"/>
      </w:tblGrid>
      <w:tr w:rsidR="00517711">
        <w:trPr>
          <w:cantSplit/>
          <w:trHeight w:val="1265"/>
        </w:trPr>
        <w:tc>
          <w:tcPr>
            <w:tcW w:w="336"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w:t>
            </w:r>
          </w:p>
        </w:tc>
        <w:tc>
          <w:tcPr>
            <w:tcW w:w="169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Виды товаров</w:t>
            </w:r>
          </w:p>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и услуг</w:t>
            </w:r>
          </w:p>
        </w:tc>
        <w:tc>
          <w:tcPr>
            <w:tcW w:w="652" w:type="dxa"/>
            <w:tcBorders>
              <w:top w:val="single" w:sz="4" w:space="0" w:color="auto"/>
              <w:left w:val="single" w:sz="4" w:space="0" w:color="auto"/>
              <w:bottom w:val="single" w:sz="4" w:space="0" w:color="auto"/>
              <w:right w:val="single" w:sz="4" w:space="0" w:color="auto"/>
            </w:tcBorders>
            <w:noWrap/>
            <w:textDirection w:val="btLr"/>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Не покупаю</w:t>
            </w:r>
          </w:p>
        </w:tc>
        <w:tc>
          <w:tcPr>
            <w:tcW w:w="652" w:type="dxa"/>
            <w:tcBorders>
              <w:top w:val="single" w:sz="4" w:space="0" w:color="auto"/>
              <w:left w:val="single" w:sz="4" w:space="0" w:color="auto"/>
              <w:bottom w:val="single" w:sz="4" w:space="0" w:color="auto"/>
              <w:right w:val="single" w:sz="4" w:space="0" w:color="auto"/>
            </w:tcBorders>
            <w:noWrap/>
            <w:textDirection w:val="btLr"/>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До 10%</w:t>
            </w:r>
          </w:p>
        </w:tc>
        <w:tc>
          <w:tcPr>
            <w:tcW w:w="652" w:type="dxa"/>
            <w:tcBorders>
              <w:top w:val="single" w:sz="4" w:space="0" w:color="auto"/>
              <w:left w:val="single" w:sz="4" w:space="0" w:color="auto"/>
              <w:bottom w:val="single" w:sz="4" w:space="0" w:color="auto"/>
              <w:right w:val="single" w:sz="4" w:space="0" w:color="auto"/>
            </w:tcBorders>
            <w:noWrap/>
            <w:textDirection w:val="btLr"/>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11-20%</w:t>
            </w:r>
          </w:p>
        </w:tc>
        <w:tc>
          <w:tcPr>
            <w:tcW w:w="652" w:type="dxa"/>
            <w:tcBorders>
              <w:top w:val="single" w:sz="4" w:space="0" w:color="auto"/>
              <w:left w:val="single" w:sz="4" w:space="0" w:color="auto"/>
              <w:bottom w:val="single" w:sz="4" w:space="0" w:color="auto"/>
              <w:right w:val="single" w:sz="4" w:space="0" w:color="auto"/>
            </w:tcBorders>
            <w:noWrap/>
            <w:textDirection w:val="btLr"/>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21-30%</w:t>
            </w:r>
          </w:p>
        </w:tc>
        <w:tc>
          <w:tcPr>
            <w:tcW w:w="652" w:type="dxa"/>
            <w:tcBorders>
              <w:top w:val="single" w:sz="4" w:space="0" w:color="auto"/>
              <w:left w:val="single" w:sz="4" w:space="0" w:color="auto"/>
              <w:bottom w:val="single" w:sz="4" w:space="0" w:color="auto"/>
              <w:right w:val="single" w:sz="4" w:space="0" w:color="auto"/>
            </w:tcBorders>
            <w:noWrap/>
            <w:textDirection w:val="btLr"/>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31-40%</w:t>
            </w:r>
          </w:p>
        </w:tc>
        <w:tc>
          <w:tcPr>
            <w:tcW w:w="652" w:type="dxa"/>
            <w:tcBorders>
              <w:top w:val="single" w:sz="4" w:space="0" w:color="auto"/>
              <w:left w:val="single" w:sz="4" w:space="0" w:color="auto"/>
              <w:bottom w:val="single" w:sz="4" w:space="0" w:color="auto"/>
              <w:right w:val="single" w:sz="4" w:space="0" w:color="auto"/>
            </w:tcBorders>
            <w:noWrap/>
            <w:textDirection w:val="btLr"/>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41-50%</w:t>
            </w:r>
          </w:p>
        </w:tc>
        <w:tc>
          <w:tcPr>
            <w:tcW w:w="652" w:type="dxa"/>
            <w:tcBorders>
              <w:top w:val="single" w:sz="4" w:space="0" w:color="auto"/>
              <w:left w:val="single" w:sz="4" w:space="0" w:color="auto"/>
              <w:bottom w:val="single" w:sz="4" w:space="0" w:color="auto"/>
              <w:right w:val="single" w:sz="4" w:space="0" w:color="auto"/>
            </w:tcBorders>
            <w:noWrap/>
            <w:textDirection w:val="btLr"/>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51-60%</w:t>
            </w:r>
          </w:p>
        </w:tc>
        <w:tc>
          <w:tcPr>
            <w:tcW w:w="652" w:type="dxa"/>
            <w:tcBorders>
              <w:top w:val="single" w:sz="4" w:space="0" w:color="auto"/>
              <w:left w:val="single" w:sz="4" w:space="0" w:color="auto"/>
              <w:bottom w:val="single" w:sz="4" w:space="0" w:color="auto"/>
              <w:right w:val="single" w:sz="4" w:space="0" w:color="auto"/>
            </w:tcBorders>
            <w:noWrap/>
            <w:textDirection w:val="btLr"/>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61-70%</w:t>
            </w:r>
          </w:p>
        </w:tc>
        <w:tc>
          <w:tcPr>
            <w:tcW w:w="652" w:type="dxa"/>
            <w:tcBorders>
              <w:top w:val="single" w:sz="4" w:space="0" w:color="auto"/>
              <w:left w:val="single" w:sz="4" w:space="0" w:color="auto"/>
              <w:bottom w:val="single" w:sz="4" w:space="0" w:color="auto"/>
              <w:right w:val="single" w:sz="4" w:space="0" w:color="auto"/>
            </w:tcBorders>
            <w:noWrap/>
            <w:textDirection w:val="btLr"/>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71-80%</w:t>
            </w:r>
          </w:p>
        </w:tc>
        <w:tc>
          <w:tcPr>
            <w:tcW w:w="652" w:type="dxa"/>
            <w:tcBorders>
              <w:top w:val="single" w:sz="4" w:space="0" w:color="auto"/>
              <w:left w:val="single" w:sz="4" w:space="0" w:color="auto"/>
              <w:bottom w:val="single" w:sz="4" w:space="0" w:color="auto"/>
              <w:right w:val="single" w:sz="4" w:space="0" w:color="auto"/>
            </w:tcBorders>
            <w:noWrap/>
            <w:textDirection w:val="btLr"/>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81-90%</w:t>
            </w:r>
          </w:p>
        </w:tc>
        <w:tc>
          <w:tcPr>
            <w:tcW w:w="652" w:type="dxa"/>
            <w:tcBorders>
              <w:top w:val="single" w:sz="4" w:space="0" w:color="auto"/>
              <w:left w:val="single" w:sz="4" w:space="0" w:color="auto"/>
              <w:bottom w:val="single" w:sz="4" w:space="0" w:color="auto"/>
              <w:right w:val="single" w:sz="4" w:space="0" w:color="auto"/>
            </w:tcBorders>
            <w:noWrap/>
            <w:textDirection w:val="btLr"/>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100%</w:t>
            </w:r>
          </w:p>
        </w:tc>
      </w:tr>
      <w:tr w:rsidR="00517711">
        <w:trPr>
          <w:trHeight w:val="288"/>
        </w:trPr>
        <w:tc>
          <w:tcPr>
            <w:tcW w:w="336"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w:t>
            </w:r>
          </w:p>
        </w:tc>
        <w:tc>
          <w:tcPr>
            <w:tcW w:w="1692" w:type="dxa"/>
            <w:tcBorders>
              <w:top w:val="single" w:sz="4" w:space="0" w:color="auto"/>
              <w:left w:val="single" w:sz="4" w:space="0" w:color="auto"/>
              <w:bottom w:val="single" w:sz="4" w:space="0" w:color="auto"/>
              <w:right w:val="single" w:sz="4" w:space="0" w:color="auto"/>
            </w:tcBorders>
            <w:noWrap/>
            <w:vAlign w:val="bottom"/>
          </w:tcPr>
          <w:p w:rsidR="00517711" w:rsidRDefault="00F815BE">
            <w:pPr>
              <w:spacing w:before="40" w:after="4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Книги, канцтовары</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before="40" w:after="4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61,8%</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21,2%</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5,6%</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2,8%</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2,6%</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1,9%</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1,2%</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1,6%</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0,5%</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0,5%</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0,5%</w:t>
            </w:r>
          </w:p>
        </w:tc>
      </w:tr>
      <w:tr w:rsidR="00517711">
        <w:trPr>
          <w:trHeight w:val="288"/>
        </w:trPr>
        <w:tc>
          <w:tcPr>
            <w:tcW w:w="336"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w:t>
            </w:r>
          </w:p>
        </w:tc>
        <w:tc>
          <w:tcPr>
            <w:tcW w:w="1692" w:type="dxa"/>
            <w:tcBorders>
              <w:top w:val="single" w:sz="4" w:space="0" w:color="auto"/>
              <w:left w:val="single" w:sz="4" w:space="0" w:color="auto"/>
              <w:bottom w:val="single" w:sz="4" w:space="0" w:color="auto"/>
              <w:right w:val="single" w:sz="4" w:space="0" w:color="auto"/>
            </w:tcBorders>
            <w:noWrap/>
            <w:vAlign w:val="bottom"/>
          </w:tcPr>
          <w:p w:rsidR="00517711" w:rsidRDefault="00F815BE">
            <w:pPr>
              <w:spacing w:before="40" w:after="4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Компьютеры и комплектующие</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before="40" w:after="4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64,1%</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19,3%</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4,7%</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3,5%</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1,6%</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2,8%</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1,6%</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1,6%</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0,7%</w:t>
            </w:r>
          </w:p>
        </w:tc>
      </w:tr>
      <w:tr w:rsidR="00517711">
        <w:trPr>
          <w:trHeight w:val="288"/>
        </w:trPr>
        <w:tc>
          <w:tcPr>
            <w:tcW w:w="336"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w:t>
            </w:r>
          </w:p>
        </w:tc>
        <w:tc>
          <w:tcPr>
            <w:tcW w:w="1692" w:type="dxa"/>
            <w:tcBorders>
              <w:top w:val="single" w:sz="4" w:space="0" w:color="auto"/>
              <w:left w:val="single" w:sz="4" w:space="0" w:color="auto"/>
              <w:bottom w:val="single" w:sz="4" w:space="0" w:color="auto"/>
              <w:right w:val="single" w:sz="4" w:space="0" w:color="auto"/>
            </w:tcBorders>
            <w:noWrap/>
            <w:vAlign w:val="bottom"/>
          </w:tcPr>
          <w:p w:rsidR="00517711" w:rsidRDefault="00F815BE">
            <w:pPr>
              <w:spacing w:before="40" w:after="4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Бытовая техника</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before="40" w:after="4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66,0%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17,9%</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7,2%</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3,5%</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1,4%</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1,2%</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0,7%</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1,4%</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0,7%</w:t>
            </w:r>
          </w:p>
        </w:tc>
      </w:tr>
      <w:tr w:rsidR="00517711">
        <w:trPr>
          <w:trHeight w:val="288"/>
        </w:trPr>
        <w:tc>
          <w:tcPr>
            <w:tcW w:w="336"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w:t>
            </w:r>
          </w:p>
        </w:tc>
        <w:tc>
          <w:tcPr>
            <w:tcW w:w="1692" w:type="dxa"/>
            <w:tcBorders>
              <w:top w:val="single" w:sz="4" w:space="0" w:color="auto"/>
              <w:left w:val="single" w:sz="4" w:space="0" w:color="auto"/>
              <w:bottom w:val="single" w:sz="4" w:space="0" w:color="auto"/>
              <w:right w:val="single" w:sz="4" w:space="0" w:color="auto"/>
            </w:tcBorders>
            <w:noWrap/>
            <w:vAlign w:val="bottom"/>
          </w:tcPr>
          <w:p w:rsidR="00517711" w:rsidRDefault="00F815BE">
            <w:pPr>
              <w:spacing w:before="40" w:after="4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Программное обеспечение</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before="40" w:after="4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73,7%</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10,7%</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4,4%</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1,4%</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2,1%</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0,9%</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1,4%</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1,4%</w:t>
            </w:r>
          </w:p>
        </w:tc>
      </w:tr>
      <w:tr w:rsidR="00517711">
        <w:trPr>
          <w:trHeight w:val="288"/>
        </w:trPr>
        <w:tc>
          <w:tcPr>
            <w:tcW w:w="336"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w:t>
            </w:r>
          </w:p>
        </w:tc>
        <w:tc>
          <w:tcPr>
            <w:tcW w:w="1692" w:type="dxa"/>
            <w:tcBorders>
              <w:top w:val="single" w:sz="4" w:space="0" w:color="auto"/>
              <w:left w:val="single" w:sz="4" w:space="0" w:color="auto"/>
              <w:bottom w:val="single" w:sz="4" w:space="0" w:color="auto"/>
              <w:right w:val="single" w:sz="4" w:space="0" w:color="auto"/>
            </w:tcBorders>
            <w:noWrap/>
            <w:vAlign w:val="bottom"/>
          </w:tcPr>
          <w:p w:rsidR="00517711" w:rsidRDefault="00F815BE">
            <w:pPr>
              <w:spacing w:before="40" w:after="4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Фильмы</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before="40" w:after="4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75,1%</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11,4%</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4,9%</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2,1%</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2,1%</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1,9%</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0,5%</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0,7%</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1,4%</w:t>
            </w:r>
          </w:p>
        </w:tc>
      </w:tr>
      <w:tr w:rsidR="00517711">
        <w:trPr>
          <w:trHeight w:val="288"/>
        </w:trPr>
        <w:tc>
          <w:tcPr>
            <w:tcW w:w="336"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6</w:t>
            </w:r>
          </w:p>
        </w:tc>
        <w:tc>
          <w:tcPr>
            <w:tcW w:w="1692" w:type="dxa"/>
            <w:tcBorders>
              <w:top w:val="single" w:sz="4" w:space="0" w:color="auto"/>
              <w:left w:val="single" w:sz="4" w:space="0" w:color="auto"/>
              <w:bottom w:val="single" w:sz="4" w:space="0" w:color="auto"/>
              <w:right w:val="single" w:sz="4" w:space="0" w:color="auto"/>
            </w:tcBorders>
            <w:noWrap/>
            <w:vAlign w:val="bottom"/>
          </w:tcPr>
          <w:p w:rsidR="00517711" w:rsidRDefault="00F815BE">
            <w:pPr>
              <w:spacing w:before="40" w:after="4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Музыкальные диски</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before="40" w:after="4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82,1%</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7,2%</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4,2%</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2,6%</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1,2%</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1,4%</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0,2%</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0,5%</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0,2%</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0,2%</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0,2%</w:t>
            </w:r>
          </w:p>
        </w:tc>
      </w:tr>
      <w:tr w:rsidR="00517711">
        <w:trPr>
          <w:trHeight w:val="288"/>
        </w:trPr>
        <w:tc>
          <w:tcPr>
            <w:tcW w:w="336"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7</w:t>
            </w:r>
          </w:p>
        </w:tc>
        <w:tc>
          <w:tcPr>
            <w:tcW w:w="1692" w:type="dxa"/>
            <w:tcBorders>
              <w:top w:val="single" w:sz="4" w:space="0" w:color="auto"/>
              <w:left w:val="single" w:sz="4" w:space="0" w:color="auto"/>
              <w:bottom w:val="single" w:sz="4" w:space="0" w:color="auto"/>
              <w:right w:val="single" w:sz="4" w:space="0" w:color="auto"/>
            </w:tcBorders>
            <w:noWrap/>
            <w:vAlign w:val="bottom"/>
          </w:tcPr>
          <w:p w:rsidR="00517711" w:rsidRDefault="00F815BE">
            <w:pPr>
              <w:spacing w:before="40" w:after="4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Косметика, парфюмерия</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before="40" w:after="4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45,0%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24,0%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10,7%</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6,8%</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2,3%</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4,4%</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1,4%</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2,3%</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1,2%</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0,7%</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1,2%</w:t>
            </w:r>
          </w:p>
        </w:tc>
      </w:tr>
      <w:tr w:rsidR="00517711">
        <w:trPr>
          <w:trHeight w:val="288"/>
        </w:trPr>
        <w:tc>
          <w:tcPr>
            <w:tcW w:w="336"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8</w:t>
            </w:r>
          </w:p>
        </w:tc>
        <w:tc>
          <w:tcPr>
            <w:tcW w:w="1692" w:type="dxa"/>
            <w:tcBorders>
              <w:top w:val="single" w:sz="4" w:space="0" w:color="auto"/>
              <w:left w:val="single" w:sz="4" w:space="0" w:color="auto"/>
              <w:bottom w:val="single" w:sz="4" w:space="0" w:color="auto"/>
              <w:right w:val="single" w:sz="4" w:space="0" w:color="auto"/>
            </w:tcBorders>
            <w:noWrap/>
            <w:vAlign w:val="bottom"/>
          </w:tcPr>
          <w:p w:rsidR="00517711" w:rsidRDefault="00F815BE">
            <w:pPr>
              <w:spacing w:before="40" w:after="4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Билеты в театр, кино, на концерт</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before="40" w:after="4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33,1%</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25,2%</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11,7%</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6,8%</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4,2%</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5,1%</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2,8%</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1,6%</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1,6%</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4,0%</w:t>
            </w:r>
          </w:p>
        </w:tc>
      </w:tr>
      <w:tr w:rsidR="00517711">
        <w:trPr>
          <w:trHeight w:val="288"/>
        </w:trPr>
        <w:tc>
          <w:tcPr>
            <w:tcW w:w="336"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9</w:t>
            </w:r>
          </w:p>
        </w:tc>
        <w:tc>
          <w:tcPr>
            <w:tcW w:w="1692" w:type="dxa"/>
            <w:tcBorders>
              <w:top w:val="single" w:sz="4" w:space="0" w:color="auto"/>
              <w:left w:val="single" w:sz="4" w:space="0" w:color="auto"/>
              <w:bottom w:val="single" w:sz="4" w:space="0" w:color="auto"/>
              <w:right w:val="single" w:sz="4" w:space="0" w:color="auto"/>
            </w:tcBorders>
            <w:noWrap/>
            <w:vAlign w:val="bottom"/>
          </w:tcPr>
          <w:p w:rsidR="00517711" w:rsidRDefault="00F815BE">
            <w:pPr>
              <w:spacing w:before="40" w:after="4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Продукты питания</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before="40" w:after="4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67,8%</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13,5%</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5,4%</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4,2%</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1,6%</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0,9%</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0,9%</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0,2%</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2,3%</w:t>
            </w:r>
          </w:p>
        </w:tc>
      </w:tr>
      <w:tr w:rsidR="00517711">
        <w:trPr>
          <w:trHeight w:val="288"/>
        </w:trPr>
        <w:tc>
          <w:tcPr>
            <w:tcW w:w="336"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10</w:t>
            </w:r>
          </w:p>
        </w:tc>
        <w:tc>
          <w:tcPr>
            <w:tcW w:w="1692" w:type="dxa"/>
            <w:tcBorders>
              <w:top w:val="single" w:sz="4" w:space="0" w:color="auto"/>
              <w:left w:val="single" w:sz="4" w:space="0" w:color="auto"/>
              <w:bottom w:val="single" w:sz="4" w:space="0" w:color="auto"/>
              <w:right w:val="single" w:sz="4" w:space="0" w:color="auto"/>
            </w:tcBorders>
            <w:noWrap/>
            <w:vAlign w:val="bottom"/>
          </w:tcPr>
          <w:p w:rsidR="00517711" w:rsidRDefault="00F815BE">
            <w:pPr>
              <w:spacing w:before="40" w:after="4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Одежду</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before="40" w:after="4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13,8%</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24,7%</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13,8%</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10,5%</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7,7%</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6,3%</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5,6%</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6,3%</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2,6%</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5,8%</w:t>
            </w:r>
          </w:p>
        </w:tc>
      </w:tr>
      <w:tr w:rsidR="00517711">
        <w:trPr>
          <w:trHeight w:val="288"/>
        </w:trPr>
        <w:tc>
          <w:tcPr>
            <w:tcW w:w="336"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11</w:t>
            </w:r>
          </w:p>
        </w:tc>
        <w:tc>
          <w:tcPr>
            <w:tcW w:w="1692" w:type="dxa"/>
            <w:tcBorders>
              <w:top w:val="single" w:sz="4" w:space="0" w:color="auto"/>
              <w:left w:val="single" w:sz="4" w:space="0" w:color="auto"/>
              <w:bottom w:val="single" w:sz="4" w:space="0" w:color="auto"/>
              <w:right w:val="single" w:sz="4" w:space="0" w:color="auto"/>
            </w:tcBorders>
            <w:noWrap/>
            <w:vAlign w:val="bottom"/>
          </w:tcPr>
          <w:p w:rsidR="00517711" w:rsidRDefault="00F815BE">
            <w:pPr>
              <w:spacing w:before="40" w:after="4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Обувь</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before="40" w:after="4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30,5%</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23,5%</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11,0%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8,9%</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5,8%</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5,4%</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4,7%</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1,6%</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2,6%</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3,0%</w:t>
            </w:r>
          </w:p>
        </w:tc>
      </w:tr>
      <w:tr w:rsidR="00517711">
        <w:trPr>
          <w:trHeight w:val="288"/>
        </w:trPr>
        <w:tc>
          <w:tcPr>
            <w:tcW w:w="336"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12</w:t>
            </w:r>
          </w:p>
        </w:tc>
        <w:tc>
          <w:tcPr>
            <w:tcW w:w="1692" w:type="dxa"/>
            <w:tcBorders>
              <w:top w:val="single" w:sz="4" w:space="0" w:color="auto"/>
              <w:left w:val="single" w:sz="4" w:space="0" w:color="auto"/>
              <w:bottom w:val="single" w:sz="4" w:space="0" w:color="auto"/>
              <w:right w:val="single" w:sz="4" w:space="0" w:color="auto"/>
            </w:tcBorders>
            <w:noWrap/>
            <w:vAlign w:val="bottom"/>
          </w:tcPr>
          <w:p w:rsidR="00517711" w:rsidRDefault="00F815BE">
            <w:pPr>
              <w:spacing w:before="40" w:after="4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Товары для детей</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before="40" w:after="4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68,3%</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11,4%</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7,0%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2,1%</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1,4%</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1,2%</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1,2%</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2,3%</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0,9%</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1,2%</w:t>
            </w:r>
          </w:p>
        </w:tc>
      </w:tr>
      <w:tr w:rsidR="00517711">
        <w:trPr>
          <w:trHeight w:val="288"/>
        </w:trPr>
        <w:tc>
          <w:tcPr>
            <w:tcW w:w="336"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13</w:t>
            </w:r>
          </w:p>
        </w:tc>
        <w:tc>
          <w:tcPr>
            <w:tcW w:w="1692" w:type="dxa"/>
            <w:tcBorders>
              <w:top w:val="single" w:sz="4" w:space="0" w:color="auto"/>
              <w:left w:val="single" w:sz="4" w:space="0" w:color="auto"/>
              <w:bottom w:val="single" w:sz="4" w:space="0" w:color="auto"/>
              <w:right w:val="single" w:sz="4" w:space="0" w:color="auto"/>
            </w:tcBorders>
            <w:noWrap/>
            <w:vAlign w:val="bottom"/>
          </w:tcPr>
          <w:p w:rsidR="00517711" w:rsidRDefault="00F815BE">
            <w:pPr>
              <w:spacing w:before="40" w:after="4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Лекарства</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before="40" w:after="4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50,3%</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17,7%</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9,6%</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3,7%</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3,3%</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0,9%</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0,7%</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3,7%</w:t>
            </w:r>
          </w:p>
        </w:tc>
      </w:tr>
      <w:tr w:rsidR="00517711">
        <w:trPr>
          <w:trHeight w:val="288"/>
        </w:trPr>
        <w:tc>
          <w:tcPr>
            <w:tcW w:w="336"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14</w:t>
            </w:r>
          </w:p>
        </w:tc>
        <w:tc>
          <w:tcPr>
            <w:tcW w:w="1692" w:type="dxa"/>
            <w:tcBorders>
              <w:top w:val="single" w:sz="4" w:space="0" w:color="auto"/>
              <w:left w:val="single" w:sz="4" w:space="0" w:color="auto"/>
              <w:bottom w:val="single" w:sz="4" w:space="0" w:color="auto"/>
              <w:right w:val="single" w:sz="4" w:space="0" w:color="auto"/>
            </w:tcBorders>
            <w:noWrap/>
            <w:vAlign w:val="bottom"/>
          </w:tcPr>
          <w:p w:rsidR="00517711" w:rsidRDefault="00F815BE">
            <w:pPr>
              <w:spacing w:before="40" w:after="4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Билеты на поезд или самолет</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before="40" w:after="4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40,6%</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20,5%</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9,3%</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4,4%</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4,4%</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1,9%</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3,5%</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5,4%</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0,5%</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2,6%</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7,0%</w:t>
            </w:r>
          </w:p>
        </w:tc>
      </w:tr>
      <w:tr w:rsidR="00517711">
        <w:trPr>
          <w:trHeight w:val="288"/>
        </w:trPr>
        <w:tc>
          <w:tcPr>
            <w:tcW w:w="2028" w:type="dxa"/>
            <w:gridSpan w:val="2"/>
            <w:tcBorders>
              <w:top w:val="single" w:sz="4" w:space="0" w:color="auto"/>
              <w:left w:val="single" w:sz="4" w:space="0" w:color="auto"/>
              <w:bottom w:val="single" w:sz="4" w:space="0" w:color="auto"/>
              <w:right w:val="single" w:sz="4" w:space="0" w:color="auto"/>
            </w:tcBorders>
            <w:noWrap/>
            <w:vAlign w:val="center"/>
          </w:tcPr>
          <w:p w:rsidR="00517711" w:rsidRDefault="00F815BE">
            <w:pPr>
              <w:spacing w:before="60" w:after="6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Средние значения</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55,1%</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17,7%</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7,8%</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4,7%</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1,9%</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2,6%</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0,9%</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0,9%</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2,4%</w:t>
            </w:r>
          </w:p>
        </w:tc>
      </w:tr>
    </w:tbl>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На расширение покупок в сети Интернет оказывают влияние опасения расхождения между потребительскими ожиданиями и фактически приобретенными товарами и услугами. Для оценки таких расхождений в анкете был использован вопрос: «Чего Вы больше всего опасаетесь при интернет-покупках?». В данном случае был использован вопрос со списком из 9-ти альтернатив. Более всего, при покупке в Интернет, молодые люди опасаются получить товар или услугу, не соответствующие заявленному качеству (рис. 1).</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Одним из ключевых вопросов анкеты является открытый вопрос: «При каких условиях (кроме цены) Вы стали бы обращаться к услугам интернет-магазина чаще, чем сейчас?». В результате обработки ответов на этот вопрос была выявлена 21 типология вариантов ответов. Наибольшую частоту встречаемости имели следующие варианты:</w:t>
      </w:r>
    </w:p>
    <w:p w:rsidR="00517711" w:rsidRDefault="00F815BE">
      <w:pPr>
        <w:tabs>
          <w:tab w:val="left" w:pos="4453"/>
        </w:tabs>
        <w:spacing w:after="0" w:line="240" w:lineRule="auto"/>
        <w:ind w:firstLine="709"/>
        <w:rPr>
          <w:rFonts w:ascii="Times New Roman" w:hAnsi="Times New Roman" w:cs="Times New Roman"/>
          <w:color w:val="000000"/>
          <w:sz w:val="20"/>
          <w:szCs w:val="20"/>
          <w:lang w:eastAsia="ru-RU"/>
        </w:rPr>
      </w:pPr>
      <w:r>
        <w:rPr>
          <w:rFonts w:ascii="Times New Roman" w:hAnsi="Times New Roman" w:cs="Times New Roman"/>
          <w:color w:val="000000" w:themeColor="text1"/>
          <w:sz w:val="20"/>
          <w:szCs w:val="20"/>
        </w:rPr>
        <w:t xml:space="preserve">– </w:t>
      </w:r>
      <w:r>
        <w:rPr>
          <w:rFonts w:ascii="Times New Roman" w:hAnsi="Times New Roman" w:cs="Times New Roman"/>
          <w:color w:val="000000"/>
          <w:sz w:val="20"/>
          <w:szCs w:val="20"/>
          <w:lang w:eastAsia="ru-RU"/>
        </w:rPr>
        <w:t xml:space="preserve">уменьшение сроков доставки </w:t>
      </w:r>
      <w:r>
        <w:rPr>
          <w:rFonts w:ascii="Times New Roman" w:hAnsi="Times New Roman" w:cs="Times New Roman"/>
          <w:color w:val="000000" w:themeColor="text1"/>
          <w:sz w:val="20"/>
          <w:szCs w:val="20"/>
        </w:rPr>
        <w:t xml:space="preserve">– </w:t>
      </w:r>
      <w:r>
        <w:rPr>
          <w:rFonts w:ascii="Times New Roman" w:hAnsi="Times New Roman" w:cs="Times New Roman"/>
          <w:color w:val="000000"/>
          <w:sz w:val="20"/>
          <w:szCs w:val="20"/>
          <w:lang w:eastAsia="ru-RU"/>
        </w:rPr>
        <w:t>29%;</w:t>
      </w:r>
    </w:p>
    <w:p w:rsidR="00517711" w:rsidRDefault="00F815BE">
      <w:pPr>
        <w:tabs>
          <w:tab w:val="left" w:pos="4453"/>
        </w:tabs>
        <w:spacing w:after="0" w:line="240" w:lineRule="auto"/>
        <w:ind w:firstLine="709"/>
        <w:rPr>
          <w:rFonts w:ascii="Times New Roman" w:hAnsi="Times New Roman" w:cs="Times New Roman"/>
          <w:color w:val="000000"/>
          <w:sz w:val="20"/>
          <w:szCs w:val="20"/>
          <w:lang w:eastAsia="ru-RU"/>
        </w:rPr>
      </w:pPr>
      <w:r>
        <w:rPr>
          <w:rFonts w:ascii="Times New Roman" w:hAnsi="Times New Roman" w:cs="Times New Roman"/>
          <w:color w:val="000000" w:themeColor="text1"/>
          <w:sz w:val="20"/>
          <w:szCs w:val="20"/>
        </w:rPr>
        <w:t xml:space="preserve">– </w:t>
      </w:r>
      <w:r>
        <w:rPr>
          <w:rFonts w:ascii="Times New Roman" w:hAnsi="Times New Roman" w:cs="Times New Roman"/>
          <w:color w:val="000000"/>
          <w:sz w:val="20"/>
          <w:szCs w:val="20"/>
          <w:lang w:eastAsia="ru-RU"/>
        </w:rPr>
        <w:t xml:space="preserve">больший ассортимент товаров </w:t>
      </w:r>
      <w:r>
        <w:rPr>
          <w:rFonts w:ascii="Times New Roman" w:hAnsi="Times New Roman" w:cs="Times New Roman"/>
          <w:color w:val="000000" w:themeColor="text1"/>
          <w:sz w:val="20"/>
          <w:szCs w:val="20"/>
        </w:rPr>
        <w:t xml:space="preserve">– </w:t>
      </w:r>
      <w:r>
        <w:rPr>
          <w:rFonts w:ascii="Times New Roman" w:hAnsi="Times New Roman" w:cs="Times New Roman"/>
          <w:color w:val="000000"/>
          <w:sz w:val="20"/>
          <w:szCs w:val="20"/>
          <w:lang w:eastAsia="ru-RU"/>
        </w:rPr>
        <w:t>12%;</w:t>
      </w:r>
    </w:p>
    <w:p w:rsidR="00517711" w:rsidRDefault="00F815BE">
      <w:pPr>
        <w:tabs>
          <w:tab w:val="left" w:pos="4453"/>
        </w:tabs>
        <w:spacing w:after="0" w:line="240" w:lineRule="auto"/>
        <w:ind w:firstLine="709"/>
        <w:rPr>
          <w:rFonts w:ascii="Times New Roman" w:hAnsi="Times New Roman" w:cs="Times New Roman"/>
          <w:color w:val="000000"/>
          <w:sz w:val="20"/>
          <w:szCs w:val="20"/>
          <w:lang w:eastAsia="ru-RU"/>
        </w:rPr>
      </w:pPr>
      <w:r>
        <w:rPr>
          <w:rFonts w:ascii="Times New Roman" w:hAnsi="Times New Roman" w:cs="Times New Roman"/>
          <w:color w:val="000000" w:themeColor="text1"/>
          <w:sz w:val="20"/>
          <w:szCs w:val="20"/>
        </w:rPr>
        <w:t xml:space="preserve">– </w:t>
      </w:r>
      <w:r>
        <w:rPr>
          <w:rFonts w:ascii="Times New Roman" w:hAnsi="Times New Roman" w:cs="Times New Roman"/>
          <w:color w:val="000000"/>
          <w:sz w:val="20"/>
          <w:szCs w:val="20"/>
          <w:lang w:eastAsia="ru-RU"/>
        </w:rPr>
        <w:t xml:space="preserve">совершенствование сервиса обслуживания </w:t>
      </w:r>
      <w:r>
        <w:rPr>
          <w:rFonts w:ascii="Times New Roman" w:hAnsi="Times New Roman" w:cs="Times New Roman"/>
          <w:color w:val="000000" w:themeColor="text1"/>
          <w:sz w:val="20"/>
          <w:szCs w:val="20"/>
        </w:rPr>
        <w:t xml:space="preserve">– </w:t>
      </w:r>
      <w:r>
        <w:rPr>
          <w:rFonts w:ascii="Times New Roman" w:hAnsi="Times New Roman" w:cs="Times New Roman"/>
          <w:color w:val="000000"/>
          <w:sz w:val="20"/>
          <w:szCs w:val="20"/>
          <w:lang w:eastAsia="ru-RU"/>
        </w:rPr>
        <w:t>11%;</w:t>
      </w:r>
    </w:p>
    <w:p w:rsidR="00517711" w:rsidRDefault="00F815BE">
      <w:pPr>
        <w:tabs>
          <w:tab w:val="left" w:pos="4453"/>
        </w:tabs>
        <w:spacing w:after="0" w:line="240" w:lineRule="auto"/>
        <w:ind w:firstLine="709"/>
        <w:rPr>
          <w:rFonts w:ascii="Times New Roman" w:hAnsi="Times New Roman" w:cs="Times New Roman"/>
          <w:color w:val="000000"/>
          <w:sz w:val="20"/>
          <w:szCs w:val="20"/>
          <w:lang w:eastAsia="ru-RU"/>
        </w:rPr>
      </w:pPr>
      <w:r>
        <w:rPr>
          <w:rFonts w:ascii="Times New Roman" w:hAnsi="Times New Roman" w:cs="Times New Roman"/>
          <w:color w:val="000000" w:themeColor="text1"/>
          <w:sz w:val="20"/>
          <w:szCs w:val="20"/>
        </w:rPr>
        <w:t xml:space="preserve">– </w:t>
      </w:r>
      <w:r>
        <w:rPr>
          <w:rFonts w:ascii="Times New Roman" w:hAnsi="Times New Roman" w:cs="Times New Roman"/>
          <w:color w:val="000000"/>
          <w:sz w:val="20"/>
          <w:szCs w:val="20"/>
          <w:lang w:eastAsia="ru-RU"/>
        </w:rPr>
        <w:t xml:space="preserve">повышение качества товара </w:t>
      </w:r>
      <w:r>
        <w:rPr>
          <w:rFonts w:ascii="Times New Roman" w:hAnsi="Times New Roman" w:cs="Times New Roman"/>
          <w:color w:val="000000" w:themeColor="text1"/>
          <w:sz w:val="20"/>
          <w:szCs w:val="20"/>
        </w:rPr>
        <w:t xml:space="preserve">– </w:t>
      </w:r>
      <w:r>
        <w:rPr>
          <w:rFonts w:ascii="Times New Roman" w:hAnsi="Times New Roman" w:cs="Times New Roman"/>
          <w:color w:val="000000"/>
          <w:sz w:val="20"/>
          <w:szCs w:val="20"/>
          <w:lang w:eastAsia="ru-RU"/>
        </w:rPr>
        <w:t>10%.</w:t>
      </w:r>
    </w:p>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lang w:eastAsia="ru-RU"/>
        </w:rPr>
        <w:lastRenderedPageBreak/>
        <w:drawing>
          <wp:inline distT="0" distB="0" distL="0" distR="0">
            <wp:extent cx="5819773" cy="3143250"/>
            <wp:effectExtent l="0" t="0" r="0" b="0"/>
            <wp:docPr id="3" name="Диаграмма 139"/>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17711" w:rsidRDefault="00517711">
      <w:pPr>
        <w:spacing w:after="0" w:line="240" w:lineRule="auto"/>
        <w:jc w:val="both"/>
        <w:rPr>
          <w:rFonts w:ascii="Times New Roman" w:hAnsi="Times New Roman" w:cs="Times New Roman"/>
          <w:sz w:val="20"/>
          <w:szCs w:val="20"/>
          <w:lang w:val="en-US"/>
        </w:rPr>
      </w:pP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Рис. 1. Частотный ряд возможных расхождений в ожидаемых свойствах покупки в Интернет</w:t>
      </w:r>
    </w:p>
    <w:p w:rsidR="00517711" w:rsidRDefault="00517711">
      <w:pPr>
        <w:spacing w:after="0" w:line="240" w:lineRule="auto"/>
        <w:ind w:firstLine="709"/>
        <w:jc w:val="both"/>
        <w:rPr>
          <w:rFonts w:ascii="Times New Roman" w:hAnsi="Times New Roman" w:cs="Times New Roman"/>
          <w:sz w:val="20"/>
          <w:szCs w:val="20"/>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Результаты исследований могут быть полезны при составлении маркетингового плана развития интернет-магазина, который является главной составляющей успеха не только электронной торговли, но и традиционных магазинов, которые в скором времени будут испытывать на себе более существенную конкуренцию со стороны электронной торговли.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__________________________________________________________________________</w:t>
      </w:r>
    </w:p>
    <w:p w:rsidR="00517711" w:rsidRDefault="00F815BE">
      <w:pPr>
        <w:spacing w:after="0" w:line="240" w:lineRule="auto"/>
        <w:ind w:firstLine="709"/>
        <w:jc w:val="both"/>
        <w:rPr>
          <w:rFonts w:ascii="Times New Roman" w:hAnsi="Times New Roman" w:cs="Times New Roman"/>
          <w:iCs/>
          <w:color w:val="000000"/>
          <w:sz w:val="20"/>
          <w:szCs w:val="20"/>
          <w:shd w:val="clear" w:color="auto" w:fill="F5F5F5"/>
        </w:rPr>
      </w:pPr>
      <w:r>
        <w:rPr>
          <w:rFonts w:ascii="Times New Roman" w:hAnsi="Times New Roman" w:cs="Times New Roman"/>
          <w:iCs/>
          <w:color w:val="000000" w:themeColor="text1"/>
          <w:sz w:val="20"/>
          <w:szCs w:val="20"/>
          <w:shd w:val="clear" w:color="auto" w:fill="F5F5F5"/>
        </w:rPr>
        <w:t xml:space="preserve">1. Белобородова А.Л., Мартынова О.В. Развитие Интернет-торговли в Росси: тенденции, проблемы, перспективы / А.Л. Белобородова, О.В. Мартынова // </w:t>
      </w:r>
      <w:r>
        <w:rPr>
          <w:rFonts w:ascii="Times New Roman" w:hAnsi="Times New Roman" w:cs="Times New Roman"/>
          <w:color w:val="000000" w:themeColor="text1"/>
          <w:sz w:val="20"/>
          <w:szCs w:val="20"/>
          <w:shd w:val="clear" w:color="auto" w:fill="F5F5F5"/>
        </w:rPr>
        <w:t>Казанский экономический вестник. 2016.</w:t>
      </w:r>
      <w:r>
        <w:rPr>
          <w:rStyle w:val="apple-converted-space"/>
          <w:rFonts w:ascii="Times New Roman" w:hAnsi="Times New Roman"/>
          <w:color w:val="000000" w:themeColor="text1"/>
          <w:sz w:val="20"/>
          <w:szCs w:val="20"/>
          <w:shd w:val="clear" w:color="auto" w:fill="F5F5F5"/>
        </w:rPr>
        <w:t> </w:t>
      </w:r>
      <w:r>
        <w:rPr>
          <w:rFonts w:ascii="Times New Roman" w:hAnsi="Times New Roman" w:cs="Times New Roman"/>
          <w:color w:val="000000" w:themeColor="text1"/>
          <w:sz w:val="20"/>
          <w:szCs w:val="20"/>
          <w:shd w:val="clear" w:color="auto" w:fill="F5F5F5"/>
        </w:rPr>
        <w:t>№ 2 (22). С. 70-75.</w:t>
      </w:r>
    </w:p>
    <w:p w:rsidR="00517711" w:rsidRDefault="00F815BE">
      <w:pPr>
        <w:spacing w:after="0" w:line="240" w:lineRule="auto"/>
        <w:ind w:firstLine="709"/>
        <w:jc w:val="both"/>
        <w:rPr>
          <w:rFonts w:ascii="Times New Roman" w:hAnsi="Times New Roman" w:cs="Times New Roman"/>
          <w:color w:val="000000"/>
          <w:sz w:val="20"/>
          <w:szCs w:val="20"/>
          <w:shd w:val="clear" w:color="auto" w:fill="F5F5F5"/>
        </w:rPr>
      </w:pPr>
      <w:r>
        <w:rPr>
          <w:rFonts w:ascii="Times New Roman" w:hAnsi="Times New Roman" w:cs="Times New Roman"/>
          <w:iCs/>
          <w:color w:val="000000" w:themeColor="text1"/>
          <w:sz w:val="20"/>
          <w:szCs w:val="20"/>
          <w:shd w:val="clear" w:color="auto" w:fill="F5F5F5"/>
        </w:rPr>
        <w:t xml:space="preserve">2. Лопаткин Д.С., Голикова О.М. Оценка современного состояния Интернет-торговли в Российской федерации / Д.С. Лопаткин, О.М. Голикова // </w:t>
      </w:r>
      <w:r>
        <w:rPr>
          <w:rFonts w:ascii="Times New Roman" w:hAnsi="Times New Roman" w:cs="Times New Roman"/>
          <w:color w:val="000000" w:themeColor="text1"/>
          <w:sz w:val="20"/>
          <w:szCs w:val="20"/>
          <w:shd w:val="clear" w:color="auto" w:fill="F5F5F5"/>
        </w:rPr>
        <w:t xml:space="preserve">Азимут научных исследований: экономика и управление. </w:t>
      </w:r>
      <w:r>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shd w:val="clear" w:color="auto" w:fill="F5F5F5"/>
        </w:rPr>
        <w:t xml:space="preserve">2016. </w:t>
      </w:r>
      <w:r>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shd w:val="clear" w:color="auto" w:fill="F5F5F5"/>
        </w:rPr>
        <w:t>Т. 5.</w:t>
      </w:r>
      <w:r>
        <w:rPr>
          <w:rStyle w:val="apple-converted-space"/>
          <w:rFonts w:ascii="Times New Roman" w:hAnsi="Times New Roman"/>
          <w:color w:val="000000" w:themeColor="text1"/>
          <w:sz w:val="20"/>
          <w:szCs w:val="20"/>
          <w:shd w:val="clear" w:color="auto" w:fill="F5F5F5"/>
        </w:rPr>
        <w:t> </w:t>
      </w:r>
      <w:r>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shd w:val="clear" w:color="auto" w:fill="F5F5F5"/>
        </w:rPr>
        <w:t xml:space="preserve">№ 4 (17). </w:t>
      </w:r>
      <w:r>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shd w:val="clear" w:color="auto" w:fill="F5F5F5"/>
        </w:rPr>
        <w:t>С. 259-261.</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iCs/>
          <w:color w:val="000000" w:themeColor="text1"/>
          <w:sz w:val="20"/>
          <w:szCs w:val="20"/>
        </w:rPr>
        <w:t xml:space="preserve">3. Мартышенко Н.С., Мартышенко С.Н. Современные тенденции изменения структуры времяпрепровождения студентов / Н.С. Мартышенко, С.Н. Мартышенко // </w:t>
      </w:r>
      <w:r>
        <w:rPr>
          <w:rFonts w:ascii="Times New Roman" w:hAnsi="Times New Roman" w:cs="Times New Roman"/>
          <w:color w:val="000000" w:themeColor="text1"/>
          <w:sz w:val="20"/>
          <w:szCs w:val="20"/>
        </w:rPr>
        <w:t>Социально-экономические явления и процессы. – 2013.</w:t>
      </w:r>
      <w:r>
        <w:rPr>
          <w:rStyle w:val="apple-converted-space"/>
          <w:rFonts w:ascii="Times New Roman" w:hAnsi="Times New Roman"/>
          <w:color w:val="000000" w:themeColor="text1"/>
          <w:sz w:val="20"/>
          <w:szCs w:val="20"/>
        </w:rPr>
        <w:t> </w:t>
      </w:r>
      <w:r>
        <w:rPr>
          <w:rFonts w:ascii="Times New Roman" w:hAnsi="Times New Roman" w:cs="Times New Roman"/>
          <w:color w:val="000000" w:themeColor="text1"/>
          <w:sz w:val="20"/>
          <w:szCs w:val="20"/>
        </w:rPr>
        <w:t>– № 1 (47). – С. 112-116.</w:t>
      </w:r>
    </w:p>
    <w:p w:rsidR="00517711" w:rsidRDefault="00F815BE">
      <w:pPr>
        <w:spacing w:after="0" w:line="240" w:lineRule="auto"/>
        <w:ind w:firstLine="709"/>
        <w:jc w:val="both"/>
        <w:rPr>
          <w:rFonts w:ascii="Times New Roman" w:hAnsi="Times New Roman" w:cs="Times New Roman"/>
          <w:sz w:val="20"/>
          <w:szCs w:val="20"/>
          <w:shd w:val="clear" w:color="auto" w:fill="F5F5F5"/>
        </w:rPr>
      </w:pPr>
      <w:r>
        <w:rPr>
          <w:rFonts w:ascii="Times New Roman" w:hAnsi="Times New Roman" w:cs="Times New Roman"/>
          <w:iCs/>
          <w:sz w:val="20"/>
          <w:szCs w:val="20"/>
          <w:shd w:val="clear" w:color="auto" w:fill="F5F5F5"/>
        </w:rPr>
        <w:t xml:space="preserve">4. Мартышенко С.Н. Концептуальные модели управления качеством жизни. Аналитический обзор / </w:t>
      </w:r>
      <w:r>
        <w:rPr>
          <w:rFonts w:ascii="Times New Roman" w:hAnsi="Times New Roman" w:cs="Times New Roman"/>
          <w:iCs/>
          <w:color w:val="000000" w:themeColor="text1"/>
          <w:sz w:val="20"/>
          <w:szCs w:val="20"/>
        </w:rPr>
        <w:t xml:space="preserve">С.Н. Мартышенко </w:t>
      </w:r>
      <w:r>
        <w:rPr>
          <w:rFonts w:ascii="Times New Roman" w:hAnsi="Times New Roman" w:cs="Times New Roman"/>
          <w:iCs/>
          <w:sz w:val="20"/>
          <w:szCs w:val="20"/>
          <w:shd w:val="clear" w:color="auto" w:fill="F5F5F5"/>
        </w:rPr>
        <w:t xml:space="preserve">// </w:t>
      </w:r>
      <w:r>
        <w:rPr>
          <w:rFonts w:ascii="Times New Roman" w:hAnsi="Times New Roman" w:cs="Times New Roman"/>
          <w:sz w:val="20"/>
          <w:szCs w:val="20"/>
          <w:shd w:val="clear" w:color="auto" w:fill="F5F5F5"/>
        </w:rPr>
        <w:t xml:space="preserve">Региональная экономика и управление: электронный научный журнал. </w:t>
      </w:r>
      <w:r>
        <w:rPr>
          <w:rFonts w:ascii="Times New Roman" w:hAnsi="Times New Roman" w:cs="Times New Roman"/>
          <w:color w:val="000000"/>
          <w:sz w:val="20"/>
          <w:szCs w:val="20"/>
        </w:rPr>
        <w:t xml:space="preserve">– </w:t>
      </w:r>
      <w:r>
        <w:rPr>
          <w:rFonts w:ascii="Times New Roman" w:hAnsi="Times New Roman" w:cs="Times New Roman"/>
          <w:sz w:val="20"/>
          <w:szCs w:val="20"/>
          <w:shd w:val="clear" w:color="auto" w:fill="F5F5F5"/>
        </w:rPr>
        <w:t>2014.</w:t>
      </w:r>
      <w:r>
        <w:rPr>
          <w:rStyle w:val="apple-converted-space"/>
          <w:rFonts w:ascii="Times New Roman" w:hAnsi="Times New Roman"/>
          <w:sz w:val="20"/>
          <w:szCs w:val="20"/>
          <w:shd w:val="clear" w:color="auto" w:fill="F5F5F5"/>
        </w:rPr>
        <w:t> </w:t>
      </w:r>
      <w:r>
        <w:rPr>
          <w:rFonts w:ascii="Times New Roman" w:hAnsi="Times New Roman" w:cs="Times New Roman"/>
          <w:color w:val="000000"/>
          <w:sz w:val="20"/>
          <w:szCs w:val="20"/>
        </w:rPr>
        <w:t xml:space="preserve">– </w:t>
      </w:r>
      <w:r>
        <w:rPr>
          <w:rFonts w:ascii="Times New Roman" w:hAnsi="Times New Roman" w:cs="Times New Roman"/>
          <w:sz w:val="20"/>
          <w:szCs w:val="20"/>
          <w:shd w:val="clear" w:color="auto" w:fill="F5F5F5"/>
        </w:rPr>
        <w:t xml:space="preserve">№ 2. </w:t>
      </w:r>
      <w:r>
        <w:rPr>
          <w:rFonts w:ascii="Times New Roman" w:hAnsi="Times New Roman" w:cs="Times New Roman"/>
          <w:color w:val="000000"/>
          <w:sz w:val="20"/>
          <w:szCs w:val="20"/>
        </w:rPr>
        <w:t xml:space="preserve">– </w:t>
      </w:r>
      <w:r>
        <w:rPr>
          <w:rFonts w:ascii="Times New Roman" w:hAnsi="Times New Roman" w:cs="Times New Roman"/>
          <w:sz w:val="20"/>
          <w:szCs w:val="20"/>
          <w:shd w:val="clear" w:color="auto" w:fill="F5F5F5"/>
        </w:rPr>
        <w:t>С. 80-92.</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iCs/>
          <w:color w:val="000000" w:themeColor="text1"/>
          <w:sz w:val="20"/>
          <w:szCs w:val="20"/>
        </w:rPr>
        <w:t xml:space="preserve">5. Мартышенко С.Н., Мартышенко Н.С., Кустов Д.А. Инструментальные средства обработки анкетных данных в </w:t>
      </w:r>
      <w:r>
        <w:rPr>
          <w:rFonts w:ascii="Times New Roman" w:hAnsi="Times New Roman" w:cs="Times New Roman"/>
          <w:iCs/>
          <w:color w:val="000000" w:themeColor="text1"/>
          <w:sz w:val="20"/>
          <w:szCs w:val="20"/>
          <w:lang w:val="en-US"/>
        </w:rPr>
        <w:t>EXCEL</w:t>
      </w:r>
      <w:r>
        <w:rPr>
          <w:rFonts w:ascii="Times New Roman" w:hAnsi="Times New Roman" w:cs="Times New Roman"/>
          <w:iCs/>
          <w:color w:val="000000" w:themeColor="text1"/>
          <w:sz w:val="20"/>
          <w:szCs w:val="20"/>
        </w:rPr>
        <w:t xml:space="preserve"> / С.Н. Мартышенко, Н.С. Мартышенко, Д.А. Кустов // </w:t>
      </w:r>
      <w:r>
        <w:rPr>
          <w:rFonts w:ascii="Times New Roman" w:hAnsi="Times New Roman" w:cs="Times New Roman"/>
          <w:color w:val="000000" w:themeColor="text1"/>
          <w:sz w:val="20"/>
          <w:szCs w:val="20"/>
        </w:rPr>
        <w:t>Информационные технологии моделирования и управления. – 2007.</w:t>
      </w:r>
      <w:r>
        <w:rPr>
          <w:rStyle w:val="apple-converted-space"/>
          <w:rFonts w:ascii="Times New Roman" w:hAnsi="Times New Roman"/>
          <w:color w:val="000000" w:themeColor="text1"/>
          <w:sz w:val="20"/>
          <w:szCs w:val="20"/>
        </w:rPr>
        <w:t> </w:t>
      </w:r>
      <w:r>
        <w:rPr>
          <w:rFonts w:ascii="Times New Roman" w:hAnsi="Times New Roman" w:cs="Times New Roman"/>
          <w:color w:val="000000" w:themeColor="text1"/>
          <w:sz w:val="20"/>
          <w:szCs w:val="20"/>
        </w:rPr>
        <w:t>– № 1 (35). – С. 112-120.</w:t>
      </w:r>
    </w:p>
    <w:p w:rsidR="00517711" w:rsidRDefault="00F815BE">
      <w:pPr>
        <w:spacing w:after="0" w:line="240" w:lineRule="auto"/>
        <w:ind w:firstLine="709"/>
        <w:jc w:val="both"/>
        <w:rPr>
          <w:rFonts w:ascii="Times New Roman" w:hAnsi="Times New Roman" w:cs="Times New Roman"/>
          <w:color w:val="000000"/>
          <w:sz w:val="20"/>
          <w:szCs w:val="20"/>
          <w:shd w:val="clear" w:color="auto" w:fill="F5F5F5"/>
        </w:rPr>
      </w:pPr>
      <w:r>
        <w:rPr>
          <w:rFonts w:ascii="Times New Roman" w:hAnsi="Times New Roman" w:cs="Times New Roman"/>
          <w:iCs/>
          <w:color w:val="000000" w:themeColor="text1"/>
          <w:sz w:val="20"/>
          <w:szCs w:val="20"/>
          <w:shd w:val="clear" w:color="auto" w:fill="F5F5F5"/>
        </w:rPr>
        <w:t xml:space="preserve">6. Поляков В.А., Лунькова А.А. Некоторые особенности функционирования Интернет-торговли в России / В.А. Поляков, А.А. Лунькова // </w:t>
      </w:r>
      <w:r>
        <w:rPr>
          <w:rFonts w:ascii="Times New Roman" w:hAnsi="Times New Roman" w:cs="Times New Roman"/>
          <w:color w:val="000000" w:themeColor="text1"/>
          <w:sz w:val="20"/>
          <w:szCs w:val="20"/>
          <w:shd w:val="clear" w:color="auto" w:fill="F5F5F5"/>
        </w:rPr>
        <w:t xml:space="preserve">Вестник Тульского филиала Финуниверситета. </w:t>
      </w:r>
      <w:r>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shd w:val="clear" w:color="auto" w:fill="F5F5F5"/>
        </w:rPr>
        <w:t>2017.</w:t>
      </w:r>
      <w:r>
        <w:rPr>
          <w:rStyle w:val="apple-converted-space"/>
          <w:rFonts w:ascii="Times New Roman" w:hAnsi="Times New Roman"/>
          <w:color w:val="000000" w:themeColor="text1"/>
          <w:sz w:val="20"/>
          <w:szCs w:val="20"/>
          <w:shd w:val="clear" w:color="auto" w:fill="F5F5F5"/>
        </w:rPr>
        <w:t> </w:t>
      </w:r>
      <w:r>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shd w:val="clear" w:color="auto" w:fill="F5F5F5"/>
        </w:rPr>
        <w:t xml:space="preserve">№ 1. </w:t>
      </w:r>
      <w:r>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shd w:val="clear" w:color="auto" w:fill="F5F5F5"/>
        </w:rPr>
        <w:t>С. 179-181.</w:t>
      </w:r>
    </w:p>
    <w:p w:rsidR="00517711" w:rsidRDefault="00F815BE">
      <w:pPr>
        <w:spacing w:after="0" w:line="240" w:lineRule="auto"/>
        <w:ind w:firstLine="709"/>
        <w:jc w:val="both"/>
        <w:rPr>
          <w:rFonts w:ascii="Times New Roman" w:hAnsi="Times New Roman" w:cs="Times New Roman"/>
          <w:color w:val="000000"/>
          <w:sz w:val="20"/>
          <w:szCs w:val="20"/>
          <w:shd w:val="clear" w:color="auto" w:fill="F5F5F5"/>
          <w:lang w:val="en-US"/>
        </w:rPr>
      </w:pPr>
      <w:r>
        <w:rPr>
          <w:rFonts w:ascii="Times New Roman" w:hAnsi="Times New Roman" w:cs="Times New Roman"/>
          <w:color w:val="000000"/>
          <w:sz w:val="20"/>
          <w:szCs w:val="20"/>
          <w:lang w:val="en-US" w:eastAsia="ru-RU"/>
        </w:rPr>
        <w:t xml:space="preserve">7. Martyshenko S. N., Egorov E. A., 2011. Information Technology for Increasing Qualitative </w:t>
      </w:r>
      <w:hyperlink r:id="rId10" w:history="1">
        <w:r>
          <w:rPr>
            <w:rStyle w:val="aa"/>
            <w:rFonts w:ascii="Times New Roman" w:hAnsi="Times New Roman" w:cs="Times New Roman"/>
            <w:color w:val="000000"/>
            <w:sz w:val="20"/>
            <w:szCs w:val="20"/>
            <w:shd w:val="clear" w:color="auto" w:fill="F5F5F5"/>
            <w:lang w:val="en-US"/>
          </w:rPr>
          <w:t>Journal of Modern Applied Statistical Methods</w:t>
        </w:r>
      </w:hyperlink>
      <w:r>
        <w:rPr>
          <w:rFonts w:ascii="Times New Roman" w:hAnsi="Times New Roman" w:cs="Times New Roman"/>
          <w:color w:val="000000"/>
          <w:sz w:val="20"/>
          <w:szCs w:val="20"/>
          <w:shd w:val="clear" w:color="auto" w:fill="F5F5F5"/>
          <w:lang w:val="en-US"/>
        </w:rPr>
        <w:t xml:space="preserve">. </w:t>
      </w:r>
      <w:r>
        <w:rPr>
          <w:rFonts w:ascii="Times New Roman" w:hAnsi="Times New Roman" w:cs="Times New Roman"/>
          <w:color w:val="000000"/>
          <w:sz w:val="20"/>
          <w:szCs w:val="20"/>
          <w:lang w:val="en-US"/>
        </w:rPr>
        <w:t xml:space="preserve">– </w:t>
      </w:r>
      <w:r>
        <w:rPr>
          <w:rFonts w:ascii="Times New Roman" w:hAnsi="Times New Roman" w:cs="Times New Roman"/>
          <w:color w:val="000000"/>
          <w:sz w:val="20"/>
          <w:szCs w:val="20"/>
          <w:shd w:val="clear" w:color="auto" w:fill="F5F5F5"/>
          <w:lang w:val="en-US"/>
        </w:rPr>
        <w:t xml:space="preserve">2011. </w:t>
      </w:r>
      <w:r>
        <w:rPr>
          <w:rFonts w:ascii="Times New Roman" w:hAnsi="Times New Roman" w:cs="Times New Roman"/>
          <w:color w:val="000000"/>
          <w:sz w:val="20"/>
          <w:szCs w:val="20"/>
          <w:lang w:val="en-US"/>
        </w:rPr>
        <w:t xml:space="preserve">– </w:t>
      </w:r>
      <w:r>
        <w:rPr>
          <w:rFonts w:ascii="Times New Roman" w:hAnsi="Times New Roman" w:cs="Times New Roman"/>
          <w:color w:val="000000"/>
          <w:sz w:val="20"/>
          <w:szCs w:val="20"/>
          <w:shd w:val="clear" w:color="auto" w:fill="F5F5F5"/>
        </w:rPr>
        <w:t>Т</w:t>
      </w:r>
      <w:r>
        <w:rPr>
          <w:rFonts w:ascii="Times New Roman" w:hAnsi="Times New Roman" w:cs="Times New Roman"/>
          <w:color w:val="000000"/>
          <w:sz w:val="20"/>
          <w:szCs w:val="20"/>
          <w:shd w:val="clear" w:color="auto" w:fill="F5F5F5"/>
          <w:lang w:val="en-US"/>
        </w:rPr>
        <w:t xml:space="preserve">. 10. </w:t>
      </w:r>
      <w:r>
        <w:rPr>
          <w:rFonts w:ascii="Times New Roman" w:hAnsi="Times New Roman" w:cs="Times New Roman"/>
          <w:color w:val="000000"/>
          <w:sz w:val="20"/>
          <w:szCs w:val="20"/>
          <w:lang w:val="en-US"/>
        </w:rPr>
        <w:t xml:space="preserve">– </w:t>
      </w:r>
      <w:r>
        <w:rPr>
          <w:rFonts w:ascii="Times New Roman" w:hAnsi="Times New Roman" w:cs="Times New Roman"/>
          <w:color w:val="000000"/>
          <w:sz w:val="20"/>
          <w:szCs w:val="20"/>
          <w:shd w:val="clear" w:color="auto" w:fill="F5F5F5"/>
          <w:lang w:val="en-US"/>
        </w:rPr>
        <w:t xml:space="preserve">№ 1. </w:t>
      </w:r>
      <w:r>
        <w:rPr>
          <w:rFonts w:ascii="Times New Roman" w:hAnsi="Times New Roman" w:cs="Times New Roman"/>
          <w:color w:val="000000"/>
          <w:sz w:val="20"/>
          <w:szCs w:val="20"/>
          <w:lang w:val="en-US"/>
        </w:rPr>
        <w:t xml:space="preserve">– </w:t>
      </w:r>
      <w:r>
        <w:rPr>
          <w:rFonts w:ascii="Times New Roman" w:hAnsi="Times New Roman" w:cs="Times New Roman"/>
          <w:color w:val="000000"/>
          <w:sz w:val="20"/>
          <w:szCs w:val="20"/>
          <w:shd w:val="clear" w:color="auto" w:fill="F5F5F5"/>
        </w:rPr>
        <w:t>С</w:t>
      </w:r>
      <w:r>
        <w:rPr>
          <w:rFonts w:ascii="Times New Roman" w:hAnsi="Times New Roman" w:cs="Times New Roman"/>
          <w:color w:val="000000"/>
          <w:sz w:val="20"/>
          <w:szCs w:val="20"/>
          <w:shd w:val="clear" w:color="auto" w:fill="F5F5F5"/>
          <w:lang w:val="en-US"/>
        </w:rPr>
        <w:t>. 207-213.</w:t>
      </w:r>
    </w:p>
    <w:p w:rsidR="00517711" w:rsidRDefault="00517711">
      <w:pPr>
        <w:spacing w:after="0" w:line="360" w:lineRule="auto"/>
        <w:jc w:val="both"/>
        <w:rPr>
          <w:rFonts w:ascii="Times New Roman" w:hAnsi="Times New Roman" w:cs="Times New Roman"/>
          <w:b/>
          <w:sz w:val="20"/>
          <w:szCs w:val="28"/>
          <w:lang w:val="en-US"/>
        </w:rPr>
      </w:pPr>
    </w:p>
    <w:p w:rsidR="00517711" w:rsidRDefault="00517711">
      <w:pPr>
        <w:spacing w:after="0" w:line="360" w:lineRule="auto"/>
        <w:jc w:val="both"/>
        <w:rPr>
          <w:rFonts w:ascii="Times New Roman" w:hAnsi="Times New Roman" w:cs="Times New Roman"/>
          <w:b/>
          <w:sz w:val="20"/>
          <w:szCs w:val="28"/>
          <w:lang w:val="en-US"/>
        </w:rPr>
      </w:pPr>
    </w:p>
    <w:p w:rsidR="00517711" w:rsidRDefault="00F815BE">
      <w:pPr>
        <w:spacing w:after="0" w:line="360" w:lineRule="auto"/>
        <w:jc w:val="both"/>
        <w:rPr>
          <w:rFonts w:ascii="Times New Roman" w:hAnsi="Times New Roman" w:cs="Times New Roman"/>
          <w:b/>
          <w:sz w:val="20"/>
          <w:szCs w:val="28"/>
        </w:rPr>
      </w:pPr>
      <w:r>
        <w:rPr>
          <w:rFonts w:ascii="Times New Roman" w:hAnsi="Times New Roman" w:cs="Times New Roman"/>
          <w:b/>
          <w:sz w:val="20"/>
          <w:szCs w:val="28"/>
        </w:rPr>
        <w:t>Рубрика: Проблемы формирования и развития современного потребительского рынка</w:t>
      </w:r>
      <w:r>
        <w:rPr>
          <w:rFonts w:ascii="Times New Roman" w:hAnsi="Times New Roman" w:cs="Times New Roman"/>
          <w:b/>
          <w:sz w:val="20"/>
          <w:szCs w:val="28"/>
        </w:rPr>
        <w:tab/>
      </w:r>
    </w:p>
    <w:p w:rsidR="00517711" w:rsidRDefault="00F815BE">
      <w:pPr>
        <w:spacing w:after="0" w:line="360" w:lineRule="auto"/>
        <w:jc w:val="both"/>
        <w:rPr>
          <w:rFonts w:ascii="Times New Roman" w:hAnsi="Times New Roman" w:cs="Times New Roman"/>
          <w:sz w:val="20"/>
          <w:szCs w:val="28"/>
        </w:rPr>
      </w:pPr>
      <w:r>
        <w:rPr>
          <w:rFonts w:ascii="Times New Roman" w:hAnsi="Times New Roman" w:cs="Times New Roman"/>
          <w:sz w:val="20"/>
          <w:szCs w:val="28"/>
        </w:rPr>
        <w:t xml:space="preserve">УДК </w:t>
      </w:r>
      <w:r>
        <w:rPr>
          <w:rFonts w:ascii="Times New Roman" w:hAnsi="Times New Roman" w:cs="Times New Roman"/>
          <w:sz w:val="20"/>
        </w:rPr>
        <w:t>339.378</w:t>
      </w:r>
    </w:p>
    <w:p w:rsidR="00517711" w:rsidRDefault="00517711">
      <w:pPr>
        <w:spacing w:after="0"/>
        <w:jc w:val="center"/>
        <w:rPr>
          <w:rFonts w:ascii="Book Antiqua" w:hAnsi="Book Antiqua"/>
          <w:b/>
          <w:sz w:val="26"/>
          <w:szCs w:val="26"/>
        </w:rPr>
      </w:pPr>
    </w:p>
    <w:p w:rsidR="00517711" w:rsidRDefault="00F815BE">
      <w:pPr>
        <w:spacing w:after="0"/>
        <w:jc w:val="center"/>
        <w:rPr>
          <w:rFonts w:ascii="Book Antiqua" w:hAnsi="Book Antiqua"/>
          <w:b/>
          <w:sz w:val="26"/>
          <w:szCs w:val="26"/>
        </w:rPr>
      </w:pPr>
      <w:r>
        <w:rPr>
          <w:rFonts w:ascii="Book Antiqua" w:hAnsi="Book Antiqua"/>
          <w:b/>
          <w:sz w:val="26"/>
          <w:szCs w:val="26"/>
        </w:rPr>
        <w:t xml:space="preserve">КОНКУРЕНТОСПОСОБНОСТЬ ТОРГОВОЙ ОРГАНИЗАЦИИ: ОЦЕНКА И НАПРАВЛЕНИЯ ПОВЫШЕНИЯ </w:t>
      </w:r>
    </w:p>
    <w:p w:rsidR="00517711" w:rsidRDefault="00F815BE">
      <w:pPr>
        <w:spacing w:after="0"/>
        <w:jc w:val="center"/>
        <w:rPr>
          <w:rFonts w:ascii="Book Antiqua" w:hAnsi="Book Antiqua"/>
          <w:b/>
          <w:sz w:val="26"/>
          <w:szCs w:val="26"/>
        </w:rPr>
      </w:pPr>
      <w:r>
        <w:rPr>
          <w:rFonts w:ascii="Book Antiqua" w:hAnsi="Book Antiqua"/>
          <w:b/>
          <w:sz w:val="26"/>
          <w:szCs w:val="26"/>
        </w:rPr>
        <w:t>НА ПРИМЕРЕ МАГАЗИНА «ЗАЛОГ»</w:t>
      </w:r>
    </w:p>
    <w:p w:rsidR="00517711" w:rsidRDefault="00517711">
      <w:pPr>
        <w:spacing w:after="0"/>
        <w:jc w:val="center"/>
        <w:rPr>
          <w:rFonts w:ascii="Arial" w:hAnsi="Arial" w:cs="Arial"/>
          <w:sz w:val="24"/>
          <w:szCs w:val="28"/>
        </w:rPr>
      </w:pPr>
    </w:p>
    <w:p w:rsidR="00517711" w:rsidRDefault="00F815BE">
      <w:pPr>
        <w:spacing w:after="0"/>
        <w:jc w:val="center"/>
        <w:rPr>
          <w:rFonts w:ascii="Arial" w:hAnsi="Arial" w:cs="Arial"/>
          <w:b/>
          <w:sz w:val="24"/>
          <w:szCs w:val="28"/>
        </w:rPr>
      </w:pPr>
      <w:r>
        <w:rPr>
          <w:rFonts w:ascii="Arial" w:hAnsi="Arial" w:cs="Arial"/>
          <w:b/>
          <w:sz w:val="24"/>
          <w:szCs w:val="28"/>
        </w:rPr>
        <w:lastRenderedPageBreak/>
        <w:t>Демченко Денис Алексеевич</w:t>
      </w:r>
    </w:p>
    <w:p w:rsidR="00517711" w:rsidRDefault="00F815BE">
      <w:pPr>
        <w:spacing w:after="0"/>
        <w:jc w:val="center"/>
        <w:rPr>
          <w:rFonts w:ascii="Arial" w:hAnsi="Arial" w:cs="Arial"/>
          <w:sz w:val="24"/>
          <w:szCs w:val="28"/>
        </w:rPr>
      </w:pPr>
      <w:r>
        <w:rPr>
          <w:rFonts w:ascii="Arial" w:hAnsi="Arial" w:cs="Arial"/>
          <w:sz w:val="24"/>
          <w:szCs w:val="28"/>
        </w:rPr>
        <w:t>бакалавр</w:t>
      </w:r>
    </w:p>
    <w:p w:rsidR="00517711" w:rsidRDefault="00517711">
      <w:pPr>
        <w:spacing w:after="0"/>
        <w:jc w:val="center"/>
        <w:rPr>
          <w:i/>
          <w:szCs w:val="28"/>
        </w:rPr>
      </w:pP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Владивостокский государственный университет экономики и сервиса</w:t>
      </w:r>
    </w:p>
    <w:p w:rsidR="00517711" w:rsidRPr="006F5AE9" w:rsidRDefault="00F815BE">
      <w:pPr>
        <w:spacing w:after="0" w:line="240" w:lineRule="auto"/>
        <w:jc w:val="center"/>
        <w:rPr>
          <w:rFonts w:ascii="Times New Roman" w:eastAsia="Calibri" w:hAnsi="Times New Roman" w:cs="Times New Roman"/>
          <w:i/>
          <w:sz w:val="21"/>
          <w:szCs w:val="21"/>
        </w:rPr>
      </w:pPr>
      <w:r w:rsidRPr="006F5AE9">
        <w:rPr>
          <w:rFonts w:ascii="Times New Roman" w:eastAsia="Calibri" w:hAnsi="Times New Roman" w:cs="Times New Roman"/>
          <w:i/>
          <w:sz w:val="21"/>
          <w:szCs w:val="21"/>
        </w:rPr>
        <w:t>Россия. Владивосток</w:t>
      </w:r>
    </w:p>
    <w:p w:rsidR="00517711" w:rsidRDefault="00517711">
      <w:pPr>
        <w:spacing w:after="0"/>
        <w:jc w:val="center"/>
        <w:rPr>
          <w:i/>
          <w:szCs w:val="28"/>
        </w:rPr>
      </w:pPr>
    </w:p>
    <w:p w:rsidR="00517711" w:rsidRPr="006F5AE9" w:rsidRDefault="00F815BE">
      <w:pPr>
        <w:spacing w:after="0"/>
        <w:jc w:val="center"/>
        <w:rPr>
          <w:szCs w:val="28"/>
        </w:rPr>
      </w:pPr>
      <w:r>
        <w:rPr>
          <w:szCs w:val="28"/>
          <w:lang w:val="en-US"/>
        </w:rPr>
        <w:t>E</w:t>
      </w:r>
      <w:r w:rsidRPr="006F5AE9">
        <w:rPr>
          <w:szCs w:val="28"/>
        </w:rPr>
        <w:t>-</w:t>
      </w:r>
      <w:r>
        <w:rPr>
          <w:szCs w:val="28"/>
          <w:lang w:val="en-US"/>
        </w:rPr>
        <w:t>mail</w:t>
      </w:r>
      <w:r w:rsidRPr="006F5AE9">
        <w:rPr>
          <w:color w:val="000000" w:themeColor="text1"/>
          <w:szCs w:val="28"/>
        </w:rPr>
        <w:t xml:space="preserve">: </w:t>
      </w:r>
      <w:hyperlink r:id="rId11" w:history="1">
        <w:r>
          <w:rPr>
            <w:rStyle w:val="aa"/>
            <w:color w:val="000000" w:themeColor="text1"/>
            <w:szCs w:val="28"/>
            <w:lang w:val="en-US"/>
          </w:rPr>
          <w:t>demchenko</w:t>
        </w:r>
        <w:r w:rsidRPr="006F5AE9">
          <w:rPr>
            <w:rStyle w:val="aa"/>
            <w:color w:val="000000" w:themeColor="text1"/>
            <w:szCs w:val="28"/>
          </w:rPr>
          <w:t>.</w:t>
        </w:r>
        <w:r>
          <w:rPr>
            <w:rStyle w:val="aa"/>
            <w:color w:val="000000" w:themeColor="text1"/>
            <w:szCs w:val="28"/>
            <w:lang w:val="en-US"/>
          </w:rPr>
          <w:t>denis</w:t>
        </w:r>
        <w:r w:rsidRPr="006F5AE9">
          <w:rPr>
            <w:rStyle w:val="aa"/>
            <w:color w:val="000000" w:themeColor="text1"/>
            <w:szCs w:val="28"/>
          </w:rPr>
          <w:t>.1996@</w:t>
        </w:r>
        <w:r>
          <w:rPr>
            <w:rStyle w:val="aa"/>
            <w:color w:val="000000" w:themeColor="text1"/>
            <w:szCs w:val="28"/>
            <w:lang w:val="en-US"/>
          </w:rPr>
          <w:t>mail</w:t>
        </w:r>
        <w:r w:rsidRPr="006F5AE9">
          <w:rPr>
            <w:rStyle w:val="aa"/>
            <w:color w:val="000000" w:themeColor="text1"/>
            <w:szCs w:val="28"/>
          </w:rPr>
          <w:t>.</w:t>
        </w:r>
        <w:r>
          <w:rPr>
            <w:rStyle w:val="aa"/>
            <w:color w:val="000000" w:themeColor="text1"/>
            <w:szCs w:val="28"/>
            <w:lang w:val="en-US"/>
          </w:rPr>
          <w:t>ru</w:t>
        </w:r>
      </w:hyperlink>
      <w:r w:rsidRPr="006F5AE9">
        <w:rPr>
          <w:color w:val="000000" w:themeColor="text1"/>
          <w:szCs w:val="28"/>
        </w:rPr>
        <w:t xml:space="preserve">; </w:t>
      </w:r>
      <w:r>
        <w:rPr>
          <w:szCs w:val="28"/>
        </w:rPr>
        <w:t>тел</w:t>
      </w:r>
      <w:r w:rsidRPr="006F5AE9">
        <w:rPr>
          <w:szCs w:val="28"/>
        </w:rPr>
        <w:t>.: 89146712292</w:t>
      </w:r>
    </w:p>
    <w:p w:rsidR="00517711" w:rsidRDefault="00F815BE">
      <w:pPr>
        <w:spacing w:after="0"/>
        <w:jc w:val="center"/>
        <w:rPr>
          <w:szCs w:val="28"/>
        </w:rPr>
      </w:pPr>
      <w:r>
        <w:rPr>
          <w:szCs w:val="28"/>
        </w:rPr>
        <w:t>Ул. Гоголя, 41, г. Владивосток, Приморский край, Россия, 690014</w:t>
      </w:r>
    </w:p>
    <w:p w:rsidR="00517711" w:rsidRDefault="00517711">
      <w:pPr>
        <w:spacing w:after="0" w:line="240" w:lineRule="auto"/>
        <w:rPr>
          <w:szCs w:val="28"/>
        </w:rPr>
      </w:pPr>
    </w:p>
    <w:p w:rsidR="00517711" w:rsidRDefault="00F815BE">
      <w:pPr>
        <w:spacing w:after="0" w:line="240" w:lineRule="auto"/>
        <w:ind w:firstLine="708"/>
        <w:jc w:val="both"/>
        <w:rPr>
          <w:rFonts w:ascii="Times New Roman" w:hAnsi="Times New Roman" w:cs="Times New Roman"/>
          <w:i/>
        </w:rPr>
      </w:pPr>
      <w:r>
        <w:rPr>
          <w:rFonts w:ascii="Times New Roman" w:hAnsi="Times New Roman" w:cs="Times New Roman"/>
          <w:i/>
        </w:rPr>
        <w:t xml:space="preserve">В условиях развития рыночной экономики большое распространение получили так называемые торговые сети. В соответствии с чем, обостряется конкуренция не только среди производителей, но и продавцов. Другими словами, темы развития торговых сетей, конкуренции и управления их конкурентоспособностью не только вызывает споры у экономистов, но и как никогда актуальна в настоящий момент. </w:t>
      </w:r>
    </w:p>
    <w:p w:rsidR="00517711" w:rsidRDefault="00F815BE">
      <w:pPr>
        <w:spacing w:after="0" w:line="240" w:lineRule="auto"/>
        <w:jc w:val="both"/>
        <w:rPr>
          <w:rFonts w:ascii="Times New Roman" w:hAnsi="Times New Roman" w:cs="Times New Roman"/>
          <w:i/>
        </w:rPr>
      </w:pPr>
      <w:r>
        <w:rPr>
          <w:rFonts w:ascii="Times New Roman" w:hAnsi="Times New Roman" w:cs="Times New Roman"/>
          <w:i/>
        </w:rPr>
        <w:tab/>
      </w:r>
      <w:r>
        <w:rPr>
          <w:rFonts w:ascii="Times New Roman" w:hAnsi="Times New Roman" w:cs="Times New Roman"/>
          <w:b/>
          <w:i/>
        </w:rPr>
        <w:t>Ключевые слова и словосочетания</w:t>
      </w:r>
      <w:r>
        <w:rPr>
          <w:rFonts w:ascii="Times New Roman" w:hAnsi="Times New Roman" w:cs="Times New Roman"/>
          <w:i/>
        </w:rPr>
        <w:t>: конкуренция, конкурентоспособность, интегральная оценка конкурентоспособности, отрасль, торговая сеть, макросреда, микросреда.</w:t>
      </w:r>
    </w:p>
    <w:p w:rsidR="00517711" w:rsidRDefault="00517711">
      <w:pPr>
        <w:ind w:firstLine="709"/>
        <w:jc w:val="both"/>
      </w:pPr>
    </w:p>
    <w:p w:rsidR="00517711" w:rsidRDefault="00F815BE">
      <w:pPr>
        <w:ind w:firstLine="709"/>
        <w:jc w:val="center"/>
        <w:rPr>
          <w:rFonts w:ascii="Book Antiqua" w:hAnsi="Book Antiqua"/>
          <w:b/>
          <w:sz w:val="26"/>
          <w:szCs w:val="26"/>
          <w:lang w:val="en-US"/>
        </w:rPr>
      </w:pPr>
      <w:r>
        <w:rPr>
          <w:rFonts w:ascii="Book Antiqua" w:hAnsi="Book Antiqua"/>
          <w:b/>
          <w:sz w:val="26"/>
          <w:szCs w:val="26"/>
          <w:lang w:val="en-US"/>
        </w:rPr>
        <w:t>TRADE ORGANIZATION COMPETITIVENESS: EVALUATION AND IMPROVEMENT DIRECTIONS ON THE EXAMPLE OF THE STORE «ZALOG»</w:t>
      </w:r>
    </w:p>
    <w:p w:rsidR="00517711" w:rsidRDefault="00F815BE">
      <w:pPr>
        <w:spacing w:after="0"/>
        <w:ind w:firstLine="709"/>
        <w:jc w:val="both"/>
        <w:rPr>
          <w:rFonts w:ascii="Times New Roman" w:hAnsi="Times New Roman" w:cs="Times New Roman"/>
          <w:i/>
          <w:lang w:val="en-US"/>
        </w:rPr>
      </w:pPr>
      <w:r>
        <w:rPr>
          <w:rFonts w:ascii="Times New Roman" w:hAnsi="Times New Roman" w:cs="Times New Roman"/>
          <w:i/>
          <w:lang w:val="en-US"/>
        </w:rPr>
        <w:t xml:space="preserve">In the conditions of market economy development, the so-called trade networks became widespread. In accordance with this, competition is escalating not only among manufacturers but also sellers. In other words, the development of trade networks, competition and management of their competitiveness is not only controversial among economists, but also more relevant than ever at the moment. </w:t>
      </w:r>
    </w:p>
    <w:p w:rsidR="00517711" w:rsidRDefault="00F815BE">
      <w:pPr>
        <w:spacing w:after="0"/>
        <w:ind w:firstLine="709"/>
        <w:jc w:val="both"/>
        <w:rPr>
          <w:rFonts w:ascii="Times New Roman" w:hAnsi="Times New Roman" w:cs="Times New Roman"/>
          <w:i/>
          <w:lang w:val="en-US"/>
        </w:rPr>
      </w:pPr>
      <w:r>
        <w:rPr>
          <w:rFonts w:ascii="Times New Roman" w:hAnsi="Times New Roman" w:cs="Times New Roman"/>
          <w:b/>
          <w:i/>
          <w:lang w:val="en-US"/>
        </w:rPr>
        <w:t>Keywords</w:t>
      </w:r>
      <w:r>
        <w:rPr>
          <w:rFonts w:ascii="Times New Roman" w:hAnsi="Times New Roman" w:cs="Times New Roman"/>
          <w:i/>
          <w:lang w:val="en-US"/>
        </w:rPr>
        <w:t>: competition, competitiveness, integrated assessment of competitiveness, industry, trading network, macro environment, micro environment.</w:t>
      </w:r>
    </w:p>
    <w:p w:rsidR="00517711" w:rsidRDefault="00517711">
      <w:pPr>
        <w:spacing w:after="0" w:line="240" w:lineRule="auto"/>
        <w:ind w:firstLine="709"/>
        <w:jc w:val="both"/>
        <w:rPr>
          <w:rFonts w:ascii="Times New Roman" w:hAnsi="Times New Roman" w:cs="Times New Roman"/>
          <w:i/>
          <w:sz w:val="20"/>
          <w:szCs w:val="20"/>
          <w:lang w:val="en-US"/>
        </w:rPr>
      </w:pP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Как было сказано в аннотации, тема конкуренции и конкурентоспособности актуальна как никогда, так как рыночные отношения динамично развиваются, постоянно набирая обороты. Новизна данной статьи заключается в проведение масштабного макро- и микроэкономического анализа на рынке стройматериалов среди торговых организаций после кризиса 2014-2016 года.</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Цель данной статьи - определить понятие конкурентоспособности, оценить уровень конкурентоспособности магазина стройматериалов и мебели для ванных комнат «Залог» и дать рекомендации по повышению этого уровня на практике, решая такие задачи как – анализ отрасли и конкурентной среды, определение ключевых факторов успеха, с помощью таких методов как </w:t>
      </w:r>
      <w:r>
        <w:rPr>
          <w:rFonts w:ascii="Times New Roman" w:hAnsi="Times New Roman" w:cs="Times New Roman"/>
          <w:sz w:val="20"/>
          <w:szCs w:val="20"/>
          <w:lang w:val="en-US"/>
        </w:rPr>
        <w:t>SNW</w:t>
      </w:r>
      <w:r>
        <w:rPr>
          <w:rFonts w:ascii="Times New Roman" w:hAnsi="Times New Roman" w:cs="Times New Roman"/>
          <w:sz w:val="20"/>
          <w:szCs w:val="20"/>
        </w:rPr>
        <w:t xml:space="preserve">, </w:t>
      </w:r>
      <w:r>
        <w:rPr>
          <w:rFonts w:ascii="Times New Roman" w:hAnsi="Times New Roman" w:cs="Times New Roman"/>
          <w:sz w:val="20"/>
          <w:szCs w:val="20"/>
          <w:lang w:val="en-US"/>
        </w:rPr>
        <w:t>SWOT</w:t>
      </w:r>
      <w:r>
        <w:rPr>
          <w:rFonts w:ascii="Times New Roman" w:hAnsi="Times New Roman" w:cs="Times New Roman"/>
          <w:sz w:val="20"/>
          <w:szCs w:val="20"/>
        </w:rPr>
        <w:t xml:space="preserve"> и </w:t>
      </w:r>
      <w:r>
        <w:rPr>
          <w:rFonts w:ascii="Times New Roman" w:hAnsi="Times New Roman" w:cs="Times New Roman"/>
          <w:sz w:val="20"/>
          <w:szCs w:val="20"/>
          <w:lang w:val="en-US"/>
        </w:rPr>
        <w:t>PESTLE</w:t>
      </w:r>
      <w:r>
        <w:rPr>
          <w:rFonts w:ascii="Times New Roman" w:hAnsi="Times New Roman" w:cs="Times New Roman"/>
          <w:sz w:val="20"/>
          <w:szCs w:val="20"/>
        </w:rPr>
        <w:t xml:space="preserve">–анализ, а также проведение интегральной оценки конкурентоспособности предприятий. </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Начнем с понятия конкурентоспособности, для которого экономисты всего мира так и не нашли достаточно полной трактовки. В настоящем времени термин «конкурентоспособность» используется применительно к категориям различным уровням: конкурентоспособность товара, фирмы, отрасли, региона, страны. Все эти уровни тесно взаимосвязаны между собой, так продажи конкурентоспособного товара определяет и конкурентоспособность фирмы, а их количество определяет конкурентоспособность отрасли, которые в отдельном регионе объединяются в конкурентоспособность региона, а совокупность регионов определяют конкурентоспособность страны. Поэтому важно оценивать конкурентоспособность не только страны или отдельного товара, а также и предприятия, отрасли и региона, что поможет в конечном счете выявить факторы конкурентной среды, которые прямо влияют на субъект конкурентных отношений, либо на их объект, что позволит контролировать и управлять как своими преимуществами, так и недостатками. </w:t>
      </w:r>
    </w:p>
    <w:p w:rsidR="00517711" w:rsidRDefault="00F815BE">
      <w:pPr>
        <w:widowControl w:val="0"/>
        <w:spacing w:before="240" w:after="120" w:line="240" w:lineRule="auto"/>
        <w:jc w:val="both"/>
        <w:rPr>
          <w:rFonts w:ascii="Times New Roman" w:hAnsi="Times New Roman" w:cs="Times New Roman"/>
          <w:sz w:val="20"/>
          <w:szCs w:val="20"/>
        </w:rPr>
      </w:pPr>
      <w:r>
        <w:rPr>
          <w:rFonts w:ascii="Times New Roman" w:hAnsi="Times New Roman" w:cs="Times New Roman"/>
          <w:i/>
          <w:sz w:val="20"/>
          <w:szCs w:val="20"/>
        </w:rPr>
        <w:t>Таблица 1</w:t>
      </w:r>
      <w:r>
        <w:rPr>
          <w:rFonts w:ascii="Times New Roman" w:hAnsi="Times New Roman" w:cs="Times New Roman"/>
          <w:sz w:val="20"/>
          <w:szCs w:val="20"/>
        </w:rPr>
        <w:tab/>
      </w:r>
      <w:r>
        <w:rPr>
          <w:rFonts w:ascii="Times New Roman" w:hAnsi="Times New Roman" w:cs="Times New Roman"/>
          <w:sz w:val="20"/>
          <w:szCs w:val="20"/>
        </w:rPr>
        <w:tab/>
        <w:t xml:space="preserve"> </w:t>
      </w:r>
      <w:r>
        <w:rPr>
          <w:rFonts w:ascii="Times New Roman" w:hAnsi="Times New Roman" w:cs="Times New Roman"/>
          <w:b/>
          <w:sz w:val="20"/>
          <w:szCs w:val="20"/>
        </w:rPr>
        <w:t>Определения термина «конкурентоспособность»</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7512"/>
      </w:tblGrid>
      <w:tr w:rsidR="00517711">
        <w:trPr>
          <w:trHeight w:val="102"/>
          <w:jc w:val="center"/>
        </w:trPr>
        <w:tc>
          <w:tcPr>
            <w:tcW w:w="2127" w:type="dxa"/>
            <w:vAlign w:val="center"/>
          </w:tcPr>
          <w:p w:rsidR="00517711" w:rsidRDefault="00F815BE">
            <w:pPr>
              <w:widowControl w:val="0"/>
              <w:spacing w:line="240" w:lineRule="auto"/>
              <w:jc w:val="center"/>
              <w:rPr>
                <w:rFonts w:ascii="Times New Roman" w:hAnsi="Times New Roman" w:cs="Times New Roman"/>
                <w:sz w:val="20"/>
                <w:szCs w:val="20"/>
              </w:rPr>
            </w:pPr>
            <w:r>
              <w:rPr>
                <w:rFonts w:ascii="Times New Roman" w:hAnsi="Times New Roman" w:cs="Times New Roman"/>
                <w:sz w:val="20"/>
                <w:szCs w:val="20"/>
              </w:rPr>
              <w:t>Автор</w:t>
            </w:r>
          </w:p>
        </w:tc>
        <w:tc>
          <w:tcPr>
            <w:tcW w:w="7512" w:type="dxa"/>
            <w:vAlign w:val="center"/>
          </w:tcPr>
          <w:p w:rsidR="00517711" w:rsidRDefault="00F815BE">
            <w:pPr>
              <w:widowControl w:val="0"/>
              <w:spacing w:line="240" w:lineRule="auto"/>
              <w:jc w:val="center"/>
              <w:rPr>
                <w:rFonts w:ascii="Times New Roman" w:hAnsi="Times New Roman" w:cs="Times New Roman"/>
                <w:sz w:val="20"/>
                <w:szCs w:val="20"/>
              </w:rPr>
            </w:pPr>
            <w:r>
              <w:rPr>
                <w:rFonts w:ascii="Times New Roman" w:hAnsi="Times New Roman" w:cs="Times New Roman"/>
                <w:sz w:val="20"/>
                <w:szCs w:val="20"/>
              </w:rPr>
              <w:t>Определение</w:t>
            </w:r>
          </w:p>
        </w:tc>
      </w:tr>
      <w:tr w:rsidR="00517711">
        <w:trPr>
          <w:jc w:val="center"/>
        </w:trPr>
        <w:tc>
          <w:tcPr>
            <w:tcW w:w="2127" w:type="dxa"/>
          </w:tcPr>
          <w:p w:rsidR="00517711" w:rsidRDefault="00F815BE">
            <w:pPr>
              <w:widowControl w:val="0"/>
              <w:spacing w:line="240" w:lineRule="auto"/>
              <w:rPr>
                <w:rFonts w:ascii="Times New Roman" w:hAnsi="Times New Roman" w:cs="Times New Roman"/>
                <w:sz w:val="20"/>
                <w:szCs w:val="20"/>
              </w:rPr>
            </w:pPr>
            <w:r>
              <w:rPr>
                <w:rFonts w:ascii="Times New Roman" w:hAnsi="Times New Roman" w:cs="Times New Roman"/>
                <w:sz w:val="20"/>
                <w:szCs w:val="20"/>
              </w:rPr>
              <w:t>М. Портер</w:t>
            </w:r>
          </w:p>
        </w:tc>
        <w:tc>
          <w:tcPr>
            <w:tcW w:w="7512" w:type="dxa"/>
          </w:tcPr>
          <w:p w:rsidR="00517711" w:rsidRDefault="00F815BE">
            <w:pPr>
              <w:widowControl w:val="0"/>
              <w:spacing w:line="240" w:lineRule="auto"/>
              <w:jc w:val="both"/>
              <w:rPr>
                <w:rFonts w:ascii="Times New Roman" w:hAnsi="Times New Roman" w:cs="Times New Roman"/>
                <w:sz w:val="20"/>
                <w:szCs w:val="20"/>
              </w:rPr>
            </w:pPr>
            <w:r>
              <w:rPr>
                <w:rFonts w:ascii="Times New Roman" w:hAnsi="Times New Roman" w:cs="Times New Roman"/>
                <w:sz w:val="20"/>
                <w:szCs w:val="20"/>
              </w:rPr>
              <w:t>Свойство товара, услуги, субъекта рыночных отношений выступать на рынке наравне с присутствующими там аналогичными товарами, услугами или конкурирующими субъектами рыночных отношений</w:t>
            </w:r>
          </w:p>
        </w:tc>
      </w:tr>
      <w:tr w:rsidR="00517711">
        <w:trPr>
          <w:jc w:val="center"/>
        </w:trPr>
        <w:tc>
          <w:tcPr>
            <w:tcW w:w="2127" w:type="dxa"/>
          </w:tcPr>
          <w:p w:rsidR="00517711" w:rsidRDefault="00F815BE">
            <w:pPr>
              <w:widowControl w:val="0"/>
              <w:spacing w:line="240" w:lineRule="auto"/>
              <w:rPr>
                <w:rFonts w:ascii="Times New Roman" w:hAnsi="Times New Roman" w:cs="Times New Roman"/>
                <w:sz w:val="20"/>
                <w:szCs w:val="20"/>
              </w:rPr>
            </w:pPr>
            <w:r>
              <w:rPr>
                <w:rFonts w:ascii="Times New Roman" w:hAnsi="Times New Roman" w:cs="Times New Roman"/>
                <w:sz w:val="20"/>
                <w:szCs w:val="20"/>
              </w:rPr>
              <w:t>М. Гельвановский</w:t>
            </w:r>
          </w:p>
        </w:tc>
        <w:tc>
          <w:tcPr>
            <w:tcW w:w="7512" w:type="dxa"/>
          </w:tcPr>
          <w:p w:rsidR="00517711" w:rsidRDefault="00F815BE">
            <w:pPr>
              <w:widowControl w:val="0"/>
              <w:spacing w:line="240" w:lineRule="auto"/>
              <w:jc w:val="both"/>
              <w:rPr>
                <w:rFonts w:ascii="Times New Roman" w:hAnsi="Times New Roman" w:cs="Times New Roman"/>
                <w:sz w:val="20"/>
                <w:szCs w:val="20"/>
              </w:rPr>
            </w:pPr>
            <w:r>
              <w:rPr>
                <w:rFonts w:ascii="Times New Roman" w:hAnsi="Times New Roman" w:cs="Times New Roman"/>
                <w:sz w:val="20"/>
                <w:szCs w:val="20"/>
              </w:rPr>
              <w:t>Обладание свойствами, создающими преимущества для субъекта экономического соревнования</w:t>
            </w:r>
          </w:p>
        </w:tc>
      </w:tr>
      <w:tr w:rsidR="00517711">
        <w:trPr>
          <w:jc w:val="center"/>
        </w:trPr>
        <w:tc>
          <w:tcPr>
            <w:tcW w:w="2127" w:type="dxa"/>
          </w:tcPr>
          <w:p w:rsidR="00517711" w:rsidRDefault="00F815BE">
            <w:pPr>
              <w:widowControl w:val="0"/>
              <w:spacing w:line="240" w:lineRule="auto"/>
              <w:rPr>
                <w:rFonts w:ascii="Times New Roman" w:hAnsi="Times New Roman" w:cs="Times New Roman"/>
                <w:sz w:val="20"/>
                <w:szCs w:val="20"/>
              </w:rPr>
            </w:pPr>
            <w:r>
              <w:rPr>
                <w:rFonts w:ascii="Times New Roman" w:hAnsi="Times New Roman" w:cs="Times New Roman"/>
                <w:sz w:val="20"/>
                <w:szCs w:val="20"/>
              </w:rPr>
              <w:lastRenderedPageBreak/>
              <w:t>П. Завьялов</w:t>
            </w:r>
          </w:p>
        </w:tc>
        <w:tc>
          <w:tcPr>
            <w:tcW w:w="7512" w:type="dxa"/>
          </w:tcPr>
          <w:p w:rsidR="00517711" w:rsidRDefault="00F815BE">
            <w:pPr>
              <w:widowControl w:val="0"/>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Концентрированное выражение экономических, научно-технических, производственных, организационно-управленческих, маркетинговых и иных возможностей страны, которые реализуются в товарах и услугах, успешно противостоящим конкурирующим аналогам как на внутреннем, так и на внешнем рынке </w:t>
            </w:r>
          </w:p>
        </w:tc>
      </w:tr>
      <w:tr w:rsidR="00517711">
        <w:trPr>
          <w:jc w:val="center"/>
        </w:trPr>
        <w:tc>
          <w:tcPr>
            <w:tcW w:w="2127" w:type="dxa"/>
          </w:tcPr>
          <w:p w:rsidR="00517711" w:rsidRDefault="00F815BE">
            <w:pPr>
              <w:widowControl w:val="0"/>
              <w:spacing w:line="240" w:lineRule="auto"/>
              <w:rPr>
                <w:rFonts w:ascii="Times New Roman" w:hAnsi="Times New Roman" w:cs="Times New Roman"/>
                <w:sz w:val="20"/>
                <w:szCs w:val="20"/>
              </w:rPr>
            </w:pPr>
            <w:r>
              <w:rPr>
                <w:rFonts w:ascii="Times New Roman" w:hAnsi="Times New Roman" w:cs="Times New Roman"/>
                <w:sz w:val="20"/>
                <w:szCs w:val="20"/>
              </w:rPr>
              <w:t>В.Е. Хруцкий, И.В. Корнеева</w:t>
            </w:r>
          </w:p>
        </w:tc>
        <w:tc>
          <w:tcPr>
            <w:tcW w:w="7512" w:type="dxa"/>
          </w:tcPr>
          <w:p w:rsidR="00517711" w:rsidRDefault="00F815BE">
            <w:pPr>
              <w:widowControl w:val="0"/>
              <w:spacing w:line="240" w:lineRule="auto"/>
              <w:jc w:val="both"/>
              <w:rPr>
                <w:rFonts w:ascii="Times New Roman" w:hAnsi="Times New Roman" w:cs="Times New Roman"/>
                <w:sz w:val="20"/>
                <w:szCs w:val="20"/>
              </w:rPr>
            </w:pPr>
            <w:r>
              <w:rPr>
                <w:rFonts w:ascii="Times New Roman" w:hAnsi="Times New Roman" w:cs="Times New Roman"/>
                <w:sz w:val="20"/>
                <w:szCs w:val="20"/>
              </w:rPr>
              <w:t>Способность успешно оперировать на конкретном рынке (регионе сбыта) в данный период времени путем выпуска и реализации конкурентоспособности изделий и услуг</w:t>
            </w:r>
          </w:p>
        </w:tc>
      </w:tr>
      <w:tr w:rsidR="00517711">
        <w:trPr>
          <w:jc w:val="center"/>
        </w:trPr>
        <w:tc>
          <w:tcPr>
            <w:tcW w:w="2127" w:type="dxa"/>
          </w:tcPr>
          <w:p w:rsidR="00517711" w:rsidRDefault="00F815BE">
            <w:pPr>
              <w:widowControl w:val="0"/>
              <w:spacing w:line="240" w:lineRule="auto"/>
              <w:rPr>
                <w:rFonts w:ascii="Times New Roman" w:hAnsi="Times New Roman" w:cs="Times New Roman"/>
                <w:sz w:val="20"/>
                <w:szCs w:val="20"/>
              </w:rPr>
            </w:pPr>
            <w:r>
              <w:rPr>
                <w:rFonts w:ascii="Times New Roman" w:hAnsi="Times New Roman" w:cs="Times New Roman"/>
                <w:sz w:val="20"/>
                <w:szCs w:val="20"/>
              </w:rPr>
              <w:t>Н.С. Яшин</w:t>
            </w:r>
          </w:p>
        </w:tc>
        <w:tc>
          <w:tcPr>
            <w:tcW w:w="7512" w:type="dxa"/>
          </w:tcPr>
          <w:p w:rsidR="00517711" w:rsidRDefault="00F815BE">
            <w:pPr>
              <w:widowControl w:val="0"/>
              <w:spacing w:line="240" w:lineRule="auto"/>
              <w:jc w:val="both"/>
              <w:rPr>
                <w:rFonts w:ascii="Times New Roman" w:hAnsi="Times New Roman" w:cs="Times New Roman"/>
                <w:sz w:val="20"/>
                <w:szCs w:val="20"/>
              </w:rPr>
            </w:pPr>
            <w:r>
              <w:rPr>
                <w:rFonts w:ascii="Times New Roman" w:hAnsi="Times New Roman" w:cs="Times New Roman"/>
                <w:sz w:val="20"/>
                <w:szCs w:val="20"/>
              </w:rPr>
              <w:t>Включает совокупность, с одной стороны, характеристик самой организации, определяющуюся уровнем использования научно-технического, производственного, кадрового потенциала, а также потенциала маркетинговых служб, а с другой стороны – внешних социально-экономических и организационных факторов, позволяющих организации создавать более привлекательную по ценовым и неценовым характеристикам продукцию по сравнению с конкурентами. Главный критерий эффективности деятельности организации</w:t>
            </w:r>
          </w:p>
        </w:tc>
      </w:tr>
      <w:tr w:rsidR="00517711">
        <w:trPr>
          <w:jc w:val="center"/>
        </w:trPr>
        <w:tc>
          <w:tcPr>
            <w:tcW w:w="2127" w:type="dxa"/>
          </w:tcPr>
          <w:p w:rsidR="00517711" w:rsidRDefault="00F815BE">
            <w:pPr>
              <w:widowControl w:val="0"/>
              <w:spacing w:line="240" w:lineRule="auto"/>
              <w:rPr>
                <w:rFonts w:ascii="Times New Roman" w:hAnsi="Times New Roman" w:cs="Times New Roman"/>
                <w:sz w:val="20"/>
                <w:szCs w:val="20"/>
              </w:rPr>
            </w:pPr>
            <w:r>
              <w:rPr>
                <w:rFonts w:ascii="Times New Roman" w:hAnsi="Times New Roman" w:cs="Times New Roman"/>
                <w:sz w:val="20"/>
                <w:szCs w:val="20"/>
              </w:rPr>
              <w:t>Р.А. Фатхудинов</w:t>
            </w:r>
          </w:p>
        </w:tc>
        <w:tc>
          <w:tcPr>
            <w:tcW w:w="7512" w:type="dxa"/>
          </w:tcPr>
          <w:p w:rsidR="00517711" w:rsidRDefault="00F815BE">
            <w:pPr>
              <w:widowControl w:val="0"/>
              <w:spacing w:line="240" w:lineRule="auto"/>
              <w:jc w:val="both"/>
              <w:rPr>
                <w:rFonts w:ascii="Times New Roman" w:hAnsi="Times New Roman" w:cs="Times New Roman"/>
                <w:sz w:val="20"/>
                <w:szCs w:val="20"/>
              </w:rPr>
            </w:pPr>
            <w:r>
              <w:rPr>
                <w:rFonts w:ascii="Times New Roman" w:hAnsi="Times New Roman" w:cs="Times New Roman"/>
                <w:sz w:val="20"/>
                <w:szCs w:val="20"/>
              </w:rPr>
              <w:t>Свойство объектов, характеризующее степень удовлетворения конкретной потребности по сравнению с аналогичными объектами, представленными на данном рынке. Определяет способность объекта выдерживать конкуренцию в сравнении с аналогичными объектами на данном рынке</w:t>
            </w:r>
          </w:p>
        </w:tc>
      </w:tr>
    </w:tbl>
    <w:p w:rsidR="00517711" w:rsidRDefault="00F815BE">
      <w:pPr>
        <w:spacing w:before="120"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Таким образом, конкурентоспособность – это комплексное понятие, которое необходимо рассматривать с разных сторон.</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«Залог» - это действительно развитая сеть магазинов по оптово-розничной торговле строительными и отделочными материалами. С 1997 года магазин стройматериалов «Залог» предлагает своим клиентам проверенные строительные и отделочные материалы, чьё качество подтверждено соответствующими сертификатами. </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ab/>
        <w:t xml:space="preserve">В ассортимент товаров, которые предлагает данная сеть магазинов, включает в себя следующее: напольные покрытия: линолеум, ламинат, ковролин, паркет; двери: межкомнатные двери, металлические двери; обои: виниловые, под покраску, фотообои и т.д.; мебель и сантехника для ванных комнат: ванны, душевые кабины, унитазы, раковины; кафельная плитка для внутренней и наружной отделки; светильники и комплектующие к ним; материалы для обустройства бассейнов. Помимо основных товаров, которые представлены в этом перечне, компания также продаёт: </w:t>
      </w:r>
      <w:r>
        <w:rPr>
          <w:rFonts w:ascii="Times New Roman" w:hAnsi="Times New Roman" w:cs="Times New Roman"/>
          <w:sz w:val="20"/>
          <w:szCs w:val="20"/>
        </w:rPr>
        <w:t xml:space="preserve">мастику, клей, строительные смеси, саморезы, анкеры, монтажную пену, герметики, лопаты, молотки, топоры и прочий инструмент, краски и лаки. </w:t>
      </w:r>
    </w:p>
    <w:p w:rsidR="00517711" w:rsidRDefault="00F815BE">
      <w:pPr>
        <w:widowControl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Сейчас наблюдается период роста в отрасли, что обусловлено появлением новых предприятий данного сектора товаров и услуг, т.е. постоянно возрастает конкуренция, в связи с расширением жилых зон и строительством новых жилых комплексов, что открывает новые рынки сбыта. К тому же, после стабилизации экономической ситуации в стране, все ведущие торговые предприятия начали регулировать свои ценовые политики и во многом снижать цены, создавая новую ценовую борьбу. [1, </w:t>
      </w:r>
      <w:r>
        <w:rPr>
          <w:rFonts w:ascii="Times New Roman" w:hAnsi="Times New Roman" w:cs="Times New Roman"/>
          <w:sz w:val="20"/>
          <w:szCs w:val="20"/>
          <w:lang w:val="en-US"/>
        </w:rPr>
        <w:t>c</w:t>
      </w:r>
      <w:r>
        <w:rPr>
          <w:rFonts w:ascii="Times New Roman" w:hAnsi="Times New Roman" w:cs="Times New Roman"/>
          <w:sz w:val="20"/>
          <w:szCs w:val="20"/>
        </w:rPr>
        <w:t>. 9]</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ab/>
        <w:t xml:space="preserve">На данный момент в Приморском крае проживает 1 923 116 человек согласно данным Госкомстата, из которых 1 488 666 человек проживают в городах. По данным Примкомстата за последние десять лет в среднем 61% это трудоспособное население, которые способны материально себя обеспечить. Таким образом потенциальный рынок для всех предприятий вышеописанного рынка товаров и услуг составляет 908 086 человек. Из них сформирован реальный рынок, т.е. основные потребители – 96 257 человек (10% трудоспособного населения) реально приобретающих тот или иной товар из предлагаемых в этом товарном сегменте. </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В свою очередь спрос удовлетворяется предложением более 250 компаний по всему Приморскому краю, из которых наиболее развитые и крупные: «Красный мамонт» - 15,45% доли рынка, «Залог» - 15,04%, «Палитра» - 9,61%, «Помощник» - 7,81%, «Леруа Мерлен» - 6,62%, «Мастерстрой» - 9,43%, «Дюна» - 8,18%.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1) «Красный мамонт» - сеть магазинов Дальневосточного региона, расположена во Владивостоке, Хабаровске, Находке, Артеме и Уссурийске. Включает 10 магазинов, с ассортиментом в 10 тысяч наименований строительных и отделочных материалов, товаров и сантехники;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2) «Палитра» - основана в 1999 году, занимается оптовой и розничной продажей строительных материалов, инструмента, межкомнатных дверей во Владивостоке и Приморском крае, также работают с Камчаткой, Чукоткой, Магаданом, Сахалином;</w:t>
      </w:r>
    </w:p>
    <w:p w:rsidR="00517711" w:rsidRDefault="00F815BE">
      <w:pPr>
        <w:widowControl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 «Помощник» - специализируется на поставке строительных и отделочных материалов с 2003 года, являясь один из лидеров рынка на Дальнем Востоке. Работает напрямую с заводами-производителями «Крона», «Т-Пласт», «Наноизол», «Тех-КРЕП»;</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4) «Леруа Мерлен» - это 325 магазинов по всему миру, предлагает большой ассортимент качественных товаров, доступные цены и высокий уровень обслуживания. Товарные направления по категориям: дом, интерьер, строительные материалы, ремонт, сад;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lastRenderedPageBreak/>
        <w:t>5) «Дюна» - работает с 2004 года, предлагает широкий ассортимент от производителей с мировым именем. Предоставляет оснащение для ванной комнаты, сантехника для уборных, кухни;</w:t>
      </w:r>
    </w:p>
    <w:p w:rsidR="00517711" w:rsidRDefault="00F815BE">
      <w:pPr>
        <w:widowControl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6) «Мастерстрой» - огромный ассортимент строительных материалов и инструментов. </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Наибольшей степенью влияния на конкуренцию влияют крупные фирмы с развитой сбытовой сетью, репутацией и экономически выгодными для покупателя товарами и услугами, а также спектр этих товаров и услуг предлагаемых всем потребителям целевого сегмента.</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Из всего многообразия ключевых факторов успеха на рассмотренную раннее отрасль также влияют: </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1) собственная торговая сеть компании - так как отрасль представлена в основном компаниями-ритейлерами, то важно иметь собственную разветвленную и действующую сбытовую сеть для реализации своих товаров; </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2) точное удовлетворение покупательских запросов - данный фактор имеет особое значение из-за изменений в потребительском составе и появлением новых товарных категорий, поэтому важно следить за тенденциями рынка и покупательского спроса;</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3) широта диапазона товаров - поставщики в большинстве своем являются схожими для большинства торговых предприятий, что вызывает как недовольство потребителей, так и отсутствие уникальности магазина, поэтому компании вынуждены находить и работать с такими поставщиками, которые не сотрудничают с конкурентами, чтобы сделать ассортимент уникальным;</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4) современные информационные системы – в информационном обществе все более распространены технологии, позволяющие покупателям определиться с выбором товара, не выходя из дома, а из времени заказа и поставки товара на склад постоянно исключается человеческий фактор, и заказ производится за счет простой программы на компьютере, также с распространением интернет-торговли все чаще можно встретить новые каналы;</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5) способность быстро реагировать на изменяющиеся рыночные условия – в связи с недавними событиями в экономике РФ, данный фактор является как никогда актуальным, однако адаптироваться сумели не все предприятия, что повлекло за собой волну ликвидации наиболее мелких магазинов или же их продажу. Тем не менее после стабилизации экономики, отрасль начали пополнять новые компании. </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Таким образом, успех строится на многих факторах, ключевыми из которых стали вышеописанные, стоит добавить, что также для завоевания существенной доли рынка необходимым условием являются существенные материальные вложения.</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ab/>
        <w:t xml:space="preserve">В соответствии с этим и описанием отрасли, в которой действует данное предприятие, можно сделать вывод, что сама отрасль является привлекательной для данного периода времени, об этом говорит постоянный рост числа компаний и расширяющиеся границы бизнеса, где можно реализовывать свою продукцию (увеличение жилых площадей и появление интернет-магазинов). Тем не менее, на рынке присутствует большое количество конкурентов как малого бизнеса, так и уже устоявшиеся компании с фиксированной долей потребителей и развитой сбытовой сетью, что является серьёзным барьером входа для начинающих предпринимателей, т.к. помимо соперников данная отрасль требует больших капиталовложений. </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Рассмотрим более детально сильные и слабые стороны компании с помощью </w:t>
      </w:r>
      <w:r>
        <w:rPr>
          <w:rFonts w:ascii="Times New Roman" w:hAnsi="Times New Roman" w:cs="Times New Roman"/>
          <w:sz w:val="20"/>
          <w:szCs w:val="20"/>
          <w:lang w:val="en-US"/>
        </w:rPr>
        <w:t>SNW</w:t>
      </w:r>
      <w:r>
        <w:rPr>
          <w:rFonts w:ascii="Times New Roman" w:hAnsi="Times New Roman" w:cs="Times New Roman"/>
          <w:sz w:val="20"/>
          <w:szCs w:val="20"/>
        </w:rPr>
        <w:t xml:space="preserve">-анализа, дополнив его </w:t>
      </w:r>
      <w:r>
        <w:rPr>
          <w:rFonts w:ascii="Times New Roman" w:hAnsi="Times New Roman" w:cs="Times New Roman"/>
          <w:sz w:val="20"/>
          <w:szCs w:val="20"/>
          <w:lang w:val="en-US"/>
        </w:rPr>
        <w:t>SWOT</w:t>
      </w:r>
      <w:r>
        <w:rPr>
          <w:rFonts w:ascii="Times New Roman" w:hAnsi="Times New Roman" w:cs="Times New Roman"/>
          <w:sz w:val="20"/>
          <w:szCs w:val="20"/>
        </w:rPr>
        <w:t>-анализом:</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1) стратегия организации и организационная структура – нейтральные показатели, так как в основном стратегии всех компаний сводятся к коммерческой сущности бизнеса;</w:t>
      </w:r>
    </w:p>
    <w:p w:rsidR="00517711" w:rsidRDefault="00F815BE">
      <w:pPr>
        <w:widowControl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2) общее финансовое положение находится на уровне всех предприятий даже после кризиса, подтверждение тому прибыль выше средне-отраслевой;</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3) конкурентоспособность продукции и структура затрат – также являются нейтральной стороной, т.к. у всех крупных предприятий ассортимент схож на 85%, а на затраты по приобретению продукции отводится 80% от выручки;</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4) информационные технологии – крайне устаревшие способы распространения информации о предприятии, отсутствие качественных </w:t>
      </w:r>
      <w:r>
        <w:rPr>
          <w:rFonts w:ascii="Times New Roman" w:hAnsi="Times New Roman" w:cs="Times New Roman"/>
          <w:sz w:val="20"/>
          <w:szCs w:val="20"/>
          <w:lang w:val="en-US"/>
        </w:rPr>
        <w:t>IT</w:t>
      </w:r>
      <w:r>
        <w:rPr>
          <w:rFonts w:ascii="Times New Roman" w:hAnsi="Times New Roman" w:cs="Times New Roman"/>
          <w:sz w:val="20"/>
          <w:szCs w:val="20"/>
        </w:rPr>
        <w:t>-технологий и постоянного доступа в общую систему, а также отсутствие перспективного канала сбыта в интернете;</w:t>
      </w:r>
    </w:p>
    <w:p w:rsidR="00517711" w:rsidRDefault="00F815BE">
      <w:pPr>
        <w:widowControl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5) инновации, как способность к реализации на рынке новых продуктов, способность к лидерству в целом, и уровень торговли – являются нейтральными сторонами. Инновации проявляются в постоянном обновлении ассортимента, что присуще всем предприятиям отрасли. Способность к лидерству ослабляется отсутствием мотивации у персонала, ввиду нехватки обратной связи сверху-вниз и снизу-вверх, а уровень торговли повсеместно развит и выражен в развитой сбытовой сети;</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6) уровень маркетинга – низкий, основан на «сарафанном радио» и редкой телевизионной рекламе и радио;</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7) уровень менеджмента (способность обеспечить рыночный успех), качество персонала (в целом) – за отсутствием мотивации, весь персонал не может себя проявить достаточно, чтобы выделиться среди конкурентов;</w:t>
      </w:r>
    </w:p>
    <w:p w:rsidR="00517711" w:rsidRDefault="00F815BE">
      <w:pPr>
        <w:widowControl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8) репутация на рынке – предприятие действует с 1997 года по настоящее время, что позволило сформировать о себе репутацию хорошего торгового предприятия с качественной продукцией;</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9) репутация как работодателя, отношение к органам власти, инновации как исследования и разработки – также нейтральные стороны. Как работодатель не отличается от остальных предприятий ни уровнем зарплат, ни обеспечением удобствами во время рабочего процесса;</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lastRenderedPageBreak/>
        <w:t>10) степень вертикальной интегрированности – на высоком уровне как на уровне организационной структуры, так и на уровне всех магазинов сбытовой сети;</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11) корпоративная культура – несмотря на хорошую вертикальную интеграцию, культура находиться на низком уровне – нет общей символики фирмы, единый формы одежды, общеизвестной цели и стратегии предприятия, нет обратной связи между учредителями и работниками и т.д.</w:t>
      </w:r>
    </w:p>
    <w:p w:rsidR="00517711" w:rsidRDefault="00F815BE">
      <w:pPr>
        <w:widowControl w:val="0"/>
        <w:spacing w:line="240" w:lineRule="auto"/>
        <w:ind w:firstLine="709"/>
        <w:jc w:val="both"/>
        <w:rPr>
          <w:rFonts w:ascii="Times New Roman" w:hAnsi="Times New Roman" w:cs="Times New Roman"/>
          <w:sz w:val="20"/>
          <w:szCs w:val="20"/>
        </w:rPr>
      </w:pPr>
      <w:r>
        <w:rPr>
          <w:rFonts w:ascii="Times New Roman" w:hAnsi="Times New Roman" w:cs="Times New Roman"/>
          <w:sz w:val="20"/>
          <w:szCs w:val="20"/>
        </w:rPr>
        <w:t>Дополним вышесказанное возможностями и угрозами внешней среды:</w:t>
      </w:r>
    </w:p>
    <w:p w:rsidR="00517711" w:rsidRDefault="00F815BE">
      <w:pPr>
        <w:spacing w:before="240" w:after="120" w:line="240" w:lineRule="auto"/>
        <w:jc w:val="both"/>
        <w:rPr>
          <w:rFonts w:ascii="Times New Roman" w:hAnsi="Times New Roman" w:cs="Times New Roman"/>
          <w:sz w:val="20"/>
          <w:szCs w:val="20"/>
        </w:rPr>
      </w:pPr>
      <w:r>
        <w:rPr>
          <w:rFonts w:ascii="Times New Roman" w:hAnsi="Times New Roman" w:cs="Times New Roman"/>
          <w:i/>
          <w:sz w:val="20"/>
          <w:szCs w:val="20"/>
        </w:rPr>
        <w:t>Таблица 2</w:t>
      </w:r>
      <w:r>
        <w:rPr>
          <w:rFonts w:ascii="Times New Roman" w:hAnsi="Times New Roman" w:cs="Times New Roman"/>
          <w:sz w:val="20"/>
          <w:szCs w:val="20"/>
        </w:rPr>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b/>
          <w:sz w:val="20"/>
          <w:szCs w:val="20"/>
        </w:rPr>
        <w:t>Возможности и угрозы в отрасли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7"/>
        <w:gridCol w:w="4798"/>
      </w:tblGrid>
      <w:tr w:rsidR="00517711">
        <w:trPr>
          <w:trHeight w:val="236"/>
        </w:trPr>
        <w:tc>
          <w:tcPr>
            <w:tcW w:w="4797" w:type="dxa"/>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Возможности</w:t>
            </w:r>
          </w:p>
        </w:tc>
        <w:tc>
          <w:tcPr>
            <w:tcW w:w="4798" w:type="dxa"/>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Угрозы</w:t>
            </w:r>
          </w:p>
        </w:tc>
      </w:tr>
      <w:tr w:rsidR="00517711">
        <w:trPr>
          <w:trHeight w:val="2321"/>
        </w:trPr>
        <w:tc>
          <w:tcPr>
            <w:tcW w:w="4797" w:type="dxa"/>
          </w:tcPr>
          <w:p w:rsidR="00517711" w:rsidRDefault="00F815BE">
            <w:pPr>
              <w:spacing w:line="240" w:lineRule="auto"/>
              <w:jc w:val="both"/>
              <w:rPr>
                <w:rFonts w:ascii="Times New Roman" w:hAnsi="Times New Roman" w:cs="Times New Roman"/>
                <w:sz w:val="20"/>
                <w:szCs w:val="20"/>
              </w:rPr>
            </w:pPr>
            <w:r>
              <w:rPr>
                <w:rFonts w:ascii="Times New Roman" w:hAnsi="Times New Roman" w:cs="Times New Roman"/>
                <w:sz w:val="20"/>
                <w:szCs w:val="20"/>
              </w:rPr>
              <w:t>Расширяющийся рынок жилых площадей и спрос на их обустройство;</w:t>
            </w:r>
          </w:p>
          <w:p w:rsidR="00517711" w:rsidRDefault="00F815BE">
            <w:pPr>
              <w:spacing w:line="240" w:lineRule="auto"/>
              <w:jc w:val="both"/>
              <w:rPr>
                <w:rFonts w:ascii="Times New Roman" w:hAnsi="Times New Roman" w:cs="Times New Roman"/>
                <w:sz w:val="20"/>
                <w:szCs w:val="20"/>
              </w:rPr>
            </w:pPr>
            <w:r>
              <w:rPr>
                <w:rFonts w:ascii="Times New Roman" w:hAnsi="Times New Roman" w:cs="Times New Roman"/>
                <w:sz w:val="20"/>
                <w:szCs w:val="20"/>
              </w:rPr>
              <w:t>Возможность диверсифицировать товарный ассортимент, за счет добавления услуг кровли крыш и материалов для них;</w:t>
            </w:r>
          </w:p>
          <w:p w:rsidR="00517711" w:rsidRDefault="00F815BE">
            <w:pPr>
              <w:spacing w:line="240" w:lineRule="auto"/>
              <w:jc w:val="both"/>
              <w:rPr>
                <w:rFonts w:ascii="Times New Roman" w:hAnsi="Times New Roman" w:cs="Times New Roman"/>
                <w:sz w:val="20"/>
                <w:szCs w:val="20"/>
              </w:rPr>
            </w:pPr>
            <w:r>
              <w:rPr>
                <w:rFonts w:ascii="Times New Roman" w:hAnsi="Times New Roman" w:cs="Times New Roman"/>
                <w:sz w:val="20"/>
                <w:szCs w:val="20"/>
              </w:rPr>
              <w:t>Развитие интернет-торговли;</w:t>
            </w:r>
          </w:p>
          <w:p w:rsidR="00517711" w:rsidRDefault="00F815BE">
            <w:pPr>
              <w:spacing w:line="240" w:lineRule="auto"/>
              <w:jc w:val="both"/>
              <w:rPr>
                <w:rFonts w:ascii="Times New Roman" w:hAnsi="Times New Roman" w:cs="Times New Roman"/>
                <w:sz w:val="20"/>
                <w:szCs w:val="20"/>
              </w:rPr>
            </w:pPr>
            <w:r>
              <w:rPr>
                <w:rFonts w:ascii="Times New Roman" w:hAnsi="Times New Roman" w:cs="Times New Roman"/>
                <w:sz w:val="20"/>
                <w:szCs w:val="20"/>
              </w:rPr>
              <w:t>Взаимодействие крупных компаний, направленное на ограничение количества конкурентов;</w:t>
            </w:r>
          </w:p>
          <w:p w:rsidR="00517711" w:rsidRDefault="00F815BE">
            <w:pPr>
              <w:spacing w:line="240" w:lineRule="auto"/>
              <w:jc w:val="both"/>
              <w:rPr>
                <w:rFonts w:ascii="Times New Roman" w:hAnsi="Times New Roman" w:cs="Times New Roman"/>
                <w:sz w:val="20"/>
                <w:szCs w:val="20"/>
              </w:rPr>
            </w:pPr>
            <w:r>
              <w:rPr>
                <w:rFonts w:ascii="Times New Roman" w:hAnsi="Times New Roman" w:cs="Times New Roman"/>
                <w:sz w:val="20"/>
                <w:szCs w:val="20"/>
              </w:rPr>
              <w:t>Отсеивание мелких фирм и расширение своей доли рынка.</w:t>
            </w:r>
          </w:p>
        </w:tc>
        <w:tc>
          <w:tcPr>
            <w:tcW w:w="4798" w:type="dxa"/>
          </w:tcPr>
          <w:p w:rsidR="00517711" w:rsidRDefault="00F815BE">
            <w:pPr>
              <w:spacing w:line="240" w:lineRule="auto"/>
              <w:jc w:val="both"/>
              <w:rPr>
                <w:rFonts w:ascii="Times New Roman" w:hAnsi="Times New Roman" w:cs="Times New Roman"/>
                <w:sz w:val="20"/>
                <w:szCs w:val="20"/>
              </w:rPr>
            </w:pPr>
            <w:r>
              <w:rPr>
                <w:rFonts w:ascii="Times New Roman" w:hAnsi="Times New Roman" w:cs="Times New Roman"/>
                <w:sz w:val="20"/>
                <w:szCs w:val="20"/>
              </w:rPr>
              <w:t>Появление новых сильных конкурентов, как «Леруа Мерлен»;</w:t>
            </w:r>
          </w:p>
          <w:p w:rsidR="00517711" w:rsidRDefault="00F815BE">
            <w:pPr>
              <w:spacing w:line="240" w:lineRule="auto"/>
              <w:jc w:val="both"/>
              <w:rPr>
                <w:rFonts w:ascii="Times New Roman" w:hAnsi="Times New Roman" w:cs="Times New Roman"/>
                <w:sz w:val="20"/>
                <w:szCs w:val="20"/>
              </w:rPr>
            </w:pPr>
            <w:r>
              <w:rPr>
                <w:rFonts w:ascii="Times New Roman" w:hAnsi="Times New Roman" w:cs="Times New Roman"/>
                <w:sz w:val="20"/>
                <w:szCs w:val="20"/>
              </w:rPr>
              <w:t>Снижение платежеспособности покупателей, в аналогичной ситуации кризиса 2014-2016 года;</w:t>
            </w:r>
          </w:p>
          <w:p w:rsidR="00517711" w:rsidRDefault="00F815BE">
            <w:pPr>
              <w:spacing w:line="240" w:lineRule="auto"/>
              <w:jc w:val="both"/>
              <w:rPr>
                <w:rFonts w:ascii="Times New Roman" w:hAnsi="Times New Roman" w:cs="Times New Roman"/>
                <w:sz w:val="20"/>
                <w:szCs w:val="20"/>
              </w:rPr>
            </w:pPr>
            <w:r>
              <w:rPr>
                <w:rFonts w:ascii="Times New Roman" w:hAnsi="Times New Roman" w:cs="Times New Roman"/>
                <w:sz w:val="20"/>
                <w:szCs w:val="20"/>
              </w:rPr>
              <w:t>Барьеры входа на новые рынки, в т.ч. и интернет-рынки;</w:t>
            </w:r>
          </w:p>
          <w:p w:rsidR="00517711" w:rsidRDefault="00F815BE">
            <w:pPr>
              <w:spacing w:line="240" w:lineRule="auto"/>
              <w:jc w:val="both"/>
              <w:rPr>
                <w:rFonts w:ascii="Times New Roman" w:hAnsi="Times New Roman" w:cs="Times New Roman"/>
                <w:sz w:val="20"/>
                <w:szCs w:val="20"/>
              </w:rPr>
            </w:pPr>
            <w:r>
              <w:rPr>
                <w:rFonts w:ascii="Times New Roman" w:hAnsi="Times New Roman" w:cs="Times New Roman"/>
                <w:sz w:val="20"/>
                <w:szCs w:val="20"/>
              </w:rPr>
              <w:t>Изменение ценовой политики поставщиков и увеличение расходов на закупку и поставку товаров на склад;</w:t>
            </w:r>
          </w:p>
          <w:p w:rsidR="00517711" w:rsidRDefault="00F815BE">
            <w:pPr>
              <w:spacing w:line="240" w:lineRule="auto"/>
              <w:jc w:val="both"/>
              <w:rPr>
                <w:rFonts w:ascii="Times New Roman" w:hAnsi="Times New Roman" w:cs="Times New Roman"/>
                <w:sz w:val="20"/>
                <w:szCs w:val="20"/>
              </w:rPr>
            </w:pPr>
            <w:r>
              <w:rPr>
                <w:rFonts w:ascii="Times New Roman" w:hAnsi="Times New Roman" w:cs="Times New Roman"/>
                <w:sz w:val="20"/>
                <w:szCs w:val="20"/>
              </w:rPr>
              <w:t>Появление более качественных товаров-субститутов.</w:t>
            </w:r>
          </w:p>
        </w:tc>
      </w:tr>
    </w:tbl>
    <w:p w:rsidR="00517711" w:rsidRDefault="00F815BE">
      <w:pPr>
        <w:spacing w:before="120"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Таким образом, данная отрасль имеет противоречивые черты, которые с одной стороны укрепляют позиции крупных фирм, давая им больше возможностей для реализации, но вместе с этим и таят в себе потенциальные угрозы, которые невозможно решить без кооперации. [2, </w:t>
      </w:r>
      <w:r>
        <w:rPr>
          <w:rFonts w:ascii="Times New Roman" w:hAnsi="Times New Roman" w:cs="Times New Roman"/>
          <w:sz w:val="20"/>
          <w:szCs w:val="20"/>
          <w:lang w:val="en-US"/>
        </w:rPr>
        <w:t>c</w:t>
      </w:r>
      <w:r>
        <w:rPr>
          <w:rFonts w:ascii="Times New Roman" w:hAnsi="Times New Roman" w:cs="Times New Roman"/>
          <w:sz w:val="20"/>
          <w:szCs w:val="20"/>
        </w:rPr>
        <w:t>. 9]</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Перейдем к </w:t>
      </w:r>
      <w:r>
        <w:rPr>
          <w:rFonts w:ascii="Times New Roman" w:hAnsi="Times New Roman" w:cs="Times New Roman"/>
          <w:sz w:val="20"/>
          <w:szCs w:val="20"/>
          <w:lang w:val="en-US"/>
        </w:rPr>
        <w:t>PESTLE</w:t>
      </w:r>
      <w:r>
        <w:rPr>
          <w:rFonts w:ascii="Times New Roman" w:hAnsi="Times New Roman" w:cs="Times New Roman"/>
          <w:sz w:val="20"/>
          <w:szCs w:val="20"/>
        </w:rPr>
        <w:t>-анализу и более подробно раскрывает влияние внешней среды.</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По данным можно проранжировать факторы внешней среды от наименее важных к наиболее важным: экологические факторы, технологические факторы, правовые факторы, политические факторы, экономические факторы и социальные факторы.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Соответственно этому, особое внимание следует обращать в первую очередь на социальные факторы, среди которых самым значимым является влияние спроса потребителей, т.к. от этого во многом зависит выручка предприятия. Потребитель приобретает в данной сфере товар, который действительно нужен, в то время как доля новых товаров в общем объеме уступает в количестве. Именно по этой причине, при появлении нового товара у поставщика, магазин приобретает пробную партию – для исследования реакции рынка. Иными словами, следует проводить постоянные маркетинговые исследования. </w:t>
      </w:r>
    </w:p>
    <w:p w:rsidR="00517711" w:rsidRDefault="00F815BE">
      <w:pPr>
        <w:widowControl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Что касается снижения покупательной способности потребителей, то, как показал опыт прошлых лет, данный фактор напрямую связан со спросом, что ограничивает рост цен на товары данных категорий. Также стоит учитывать, что без учета этого фактора становятся бесполезными перспективы расширения сбыта продукции.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Во вторую очередь следует обратить внимание на экономические факторы. И как указывалось ранее, здесь больше всего проявляет себя фактор интернет-торговли, который на данный момент продолжает развиваться, а также рост цен в смежных отраслях и данной отрасли.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Третьей по важности группой факторов являются политические факторы, которые влияют как на сферу экономики, так и на социальную сферу. Наиболее важными событиями со стороны государства являются система налогов для ИП и поддержка и развитие индивидуального предпринимательства. Оба этих пункта влияют на структуру затрат по налогам и сборам и на ограничения в сфере бизнеса.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Далее идут правовые факторы, которые не менее важны, т.к. такой фактор как нормативные регуляторы действия ИП сопоставимы с налогообложением и поддержкой со стороны государства. От них также зависит документооборот в организации и правила ведения основного вида деятельности.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Оставшиеся две группы факторов – технологические и экологические – важны в большей степени для производителей товаров, которые приобретаются предприятиями для перепродажи.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Таким образом, из всех имеющихся факторов наиболее влиятельными и значимыми можно выделить социальные и экономические, затем политические и нормативные. Из них самые весомые, они же критически важные и очень важные: изменение спроса; снижение покупательной способности потребителей; развитие интернет-торговли; строительство новых жилых комплексов; рост цен в данной и смежных отраслях; изменения долей в целевых сегментах рынка; появление новых конкурентов; система налогообложения для ИП; поддержка малого бизнеса; нормативные регуляторы деятельности ИП. [3, </w:t>
      </w:r>
      <w:r>
        <w:rPr>
          <w:rFonts w:ascii="Times New Roman" w:hAnsi="Times New Roman" w:cs="Times New Roman"/>
          <w:sz w:val="20"/>
          <w:szCs w:val="20"/>
          <w:lang w:val="en-US"/>
        </w:rPr>
        <w:t>c</w:t>
      </w:r>
      <w:r>
        <w:rPr>
          <w:rFonts w:ascii="Times New Roman" w:hAnsi="Times New Roman" w:cs="Times New Roman"/>
          <w:sz w:val="20"/>
          <w:szCs w:val="20"/>
        </w:rPr>
        <w:t>. 9]</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Теперь проанализируем уровень конкуренции за счет интегральной оценки всех крупных конкурентов. В первую очередь проранжируем предприятия по долям рынка, а также составим матрицу конкурентных показателей с взвешенными оценками на основе прикладного изучения данных компаний по 10-и балльной </w:t>
      </w:r>
      <w:r>
        <w:rPr>
          <w:rFonts w:ascii="Times New Roman" w:hAnsi="Times New Roman" w:cs="Times New Roman"/>
          <w:sz w:val="20"/>
          <w:szCs w:val="20"/>
        </w:rPr>
        <w:lastRenderedPageBreak/>
        <w:t xml:space="preserve">шкале и формулы 1.3.1 и добавив вес к каждому показателю по степени важности от 0 до 1, распределив для всех показателей. </w:t>
      </w:r>
    </w:p>
    <w:p w:rsidR="00517711" w:rsidRDefault="00F815BE">
      <w:pPr>
        <w:spacing w:before="240" w:after="120" w:line="240" w:lineRule="auto"/>
        <w:jc w:val="both"/>
        <w:rPr>
          <w:rFonts w:ascii="Times New Roman" w:hAnsi="Times New Roman" w:cs="Times New Roman"/>
          <w:sz w:val="20"/>
          <w:szCs w:val="20"/>
        </w:rPr>
      </w:pPr>
      <w:r>
        <w:rPr>
          <w:rFonts w:ascii="Times New Roman" w:hAnsi="Times New Roman" w:cs="Times New Roman"/>
          <w:i/>
          <w:sz w:val="20"/>
          <w:szCs w:val="20"/>
        </w:rPr>
        <w:t>Таблица 3</w:t>
      </w:r>
      <w:r>
        <w:rPr>
          <w:rFonts w:ascii="Times New Roman" w:hAnsi="Times New Roman" w:cs="Times New Roman"/>
          <w:sz w:val="20"/>
          <w:szCs w:val="20"/>
        </w:rPr>
        <w:tab/>
      </w:r>
      <w:r>
        <w:rPr>
          <w:rFonts w:ascii="Times New Roman" w:hAnsi="Times New Roman" w:cs="Times New Roman"/>
          <w:sz w:val="20"/>
          <w:szCs w:val="20"/>
        </w:rPr>
        <w:tab/>
        <w:t xml:space="preserve">    </w:t>
      </w:r>
      <w:r>
        <w:rPr>
          <w:rFonts w:ascii="Times New Roman" w:hAnsi="Times New Roman" w:cs="Times New Roman"/>
          <w:b/>
          <w:sz w:val="20"/>
          <w:szCs w:val="20"/>
        </w:rPr>
        <w:t>Матрица конкурентоспособности предприятий</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2"/>
        <w:gridCol w:w="566"/>
        <w:gridCol w:w="1076"/>
        <w:gridCol w:w="887"/>
        <w:gridCol w:w="1133"/>
        <w:gridCol w:w="1015"/>
        <w:gridCol w:w="898"/>
        <w:gridCol w:w="1353"/>
        <w:gridCol w:w="979"/>
      </w:tblGrid>
      <w:tr w:rsidR="00517711">
        <w:trPr>
          <w:trHeight w:val="96"/>
        </w:trPr>
        <w:tc>
          <w:tcPr>
            <w:tcW w:w="1732"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Показатель</w:t>
            </w:r>
          </w:p>
        </w:tc>
        <w:tc>
          <w:tcPr>
            <w:tcW w:w="566"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Вес</w:t>
            </w:r>
          </w:p>
        </w:tc>
        <w:tc>
          <w:tcPr>
            <w:tcW w:w="1076"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«Красный мамонт»</w:t>
            </w:r>
          </w:p>
        </w:tc>
        <w:tc>
          <w:tcPr>
            <w:tcW w:w="887"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«Залог»</w:t>
            </w:r>
          </w:p>
        </w:tc>
        <w:tc>
          <w:tcPr>
            <w:tcW w:w="1133"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«Палитра»</w:t>
            </w:r>
          </w:p>
        </w:tc>
        <w:tc>
          <w:tcPr>
            <w:tcW w:w="1015"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«Мастер-строй»</w:t>
            </w:r>
          </w:p>
        </w:tc>
        <w:tc>
          <w:tcPr>
            <w:tcW w:w="898"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«Дюна»</w:t>
            </w:r>
          </w:p>
        </w:tc>
        <w:tc>
          <w:tcPr>
            <w:tcW w:w="1353"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«Помощник»</w:t>
            </w:r>
          </w:p>
        </w:tc>
        <w:tc>
          <w:tcPr>
            <w:tcW w:w="979"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«Леруа</w:t>
            </w:r>
          </w:p>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Мерлен»</w:t>
            </w:r>
          </w:p>
        </w:tc>
      </w:tr>
      <w:tr w:rsidR="00517711">
        <w:trPr>
          <w:trHeight w:val="96"/>
        </w:trPr>
        <w:tc>
          <w:tcPr>
            <w:tcW w:w="1732" w:type="dxa"/>
            <w:vAlign w:val="center"/>
          </w:tcPr>
          <w:p w:rsidR="00517711" w:rsidRDefault="00F815BE">
            <w:pPr>
              <w:spacing w:line="240" w:lineRule="auto"/>
              <w:rPr>
                <w:rFonts w:ascii="Times New Roman" w:hAnsi="Times New Roman" w:cs="Times New Roman"/>
                <w:sz w:val="20"/>
                <w:szCs w:val="20"/>
              </w:rPr>
            </w:pPr>
            <w:r>
              <w:rPr>
                <w:rFonts w:ascii="Times New Roman" w:hAnsi="Times New Roman" w:cs="Times New Roman"/>
                <w:sz w:val="20"/>
                <w:szCs w:val="20"/>
              </w:rPr>
              <w:t>Ассортимент</w:t>
            </w:r>
          </w:p>
        </w:tc>
        <w:tc>
          <w:tcPr>
            <w:tcW w:w="566" w:type="dxa"/>
            <w:vAlign w:val="bottom"/>
          </w:tcPr>
          <w:p w:rsidR="00517711" w:rsidRDefault="00F815BE">
            <w:pPr>
              <w:spacing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rPr>
              <w:t>0,09</w:t>
            </w:r>
          </w:p>
        </w:tc>
        <w:tc>
          <w:tcPr>
            <w:tcW w:w="1076" w:type="dxa"/>
            <w:vAlign w:val="bottom"/>
          </w:tcPr>
          <w:p w:rsidR="00517711" w:rsidRDefault="00F815BE">
            <w:pPr>
              <w:spacing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rPr>
              <w:t>0,8</w:t>
            </w:r>
          </w:p>
        </w:tc>
        <w:tc>
          <w:tcPr>
            <w:tcW w:w="887"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0,9</w:t>
            </w:r>
          </w:p>
        </w:tc>
        <w:tc>
          <w:tcPr>
            <w:tcW w:w="113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w:t>
            </w:r>
          </w:p>
        </w:tc>
        <w:tc>
          <w:tcPr>
            <w:tcW w:w="1015"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c>
          <w:tcPr>
            <w:tcW w:w="898"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w:t>
            </w:r>
          </w:p>
        </w:tc>
        <w:tc>
          <w:tcPr>
            <w:tcW w:w="135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c>
          <w:tcPr>
            <w:tcW w:w="979"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r>
      <w:tr w:rsidR="00517711">
        <w:trPr>
          <w:trHeight w:val="96"/>
        </w:trPr>
        <w:tc>
          <w:tcPr>
            <w:tcW w:w="1732" w:type="dxa"/>
            <w:vAlign w:val="center"/>
          </w:tcPr>
          <w:p w:rsidR="00517711" w:rsidRDefault="00F815BE">
            <w:pPr>
              <w:spacing w:line="240" w:lineRule="auto"/>
              <w:rPr>
                <w:rFonts w:ascii="Times New Roman" w:hAnsi="Times New Roman" w:cs="Times New Roman"/>
                <w:sz w:val="20"/>
                <w:szCs w:val="20"/>
              </w:rPr>
            </w:pPr>
            <w:r>
              <w:rPr>
                <w:rFonts w:ascii="Times New Roman" w:hAnsi="Times New Roman" w:cs="Times New Roman"/>
                <w:sz w:val="20"/>
                <w:szCs w:val="20"/>
              </w:rPr>
              <w:t xml:space="preserve">Доля рынка </w:t>
            </w:r>
          </w:p>
        </w:tc>
        <w:tc>
          <w:tcPr>
            <w:tcW w:w="56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0,09</w:t>
            </w:r>
          </w:p>
        </w:tc>
        <w:tc>
          <w:tcPr>
            <w:tcW w:w="107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887"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0,9</w:t>
            </w:r>
          </w:p>
        </w:tc>
        <w:tc>
          <w:tcPr>
            <w:tcW w:w="113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w:t>
            </w:r>
          </w:p>
        </w:tc>
        <w:tc>
          <w:tcPr>
            <w:tcW w:w="1015"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c>
          <w:tcPr>
            <w:tcW w:w="898"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0,5</w:t>
            </w:r>
          </w:p>
        </w:tc>
        <w:tc>
          <w:tcPr>
            <w:tcW w:w="135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0,4</w:t>
            </w:r>
          </w:p>
        </w:tc>
        <w:tc>
          <w:tcPr>
            <w:tcW w:w="979"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0,3</w:t>
            </w:r>
          </w:p>
        </w:tc>
      </w:tr>
      <w:tr w:rsidR="00517711">
        <w:trPr>
          <w:trHeight w:val="96"/>
        </w:trPr>
        <w:tc>
          <w:tcPr>
            <w:tcW w:w="1732" w:type="dxa"/>
            <w:vAlign w:val="center"/>
          </w:tcPr>
          <w:p w:rsidR="00517711" w:rsidRDefault="00F815BE">
            <w:pPr>
              <w:spacing w:line="240" w:lineRule="auto"/>
              <w:rPr>
                <w:rFonts w:ascii="Times New Roman" w:hAnsi="Times New Roman" w:cs="Times New Roman"/>
                <w:sz w:val="20"/>
                <w:szCs w:val="20"/>
              </w:rPr>
            </w:pPr>
            <w:r>
              <w:rPr>
                <w:rFonts w:ascii="Times New Roman" w:hAnsi="Times New Roman" w:cs="Times New Roman"/>
                <w:sz w:val="20"/>
                <w:szCs w:val="20"/>
              </w:rPr>
              <w:t>Качество товаров</w:t>
            </w:r>
          </w:p>
        </w:tc>
        <w:tc>
          <w:tcPr>
            <w:tcW w:w="56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0,07</w:t>
            </w:r>
          </w:p>
        </w:tc>
        <w:tc>
          <w:tcPr>
            <w:tcW w:w="107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887"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113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1015"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w:t>
            </w:r>
          </w:p>
        </w:tc>
        <w:tc>
          <w:tcPr>
            <w:tcW w:w="898"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w:t>
            </w:r>
          </w:p>
        </w:tc>
        <w:tc>
          <w:tcPr>
            <w:tcW w:w="135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w:t>
            </w:r>
          </w:p>
        </w:tc>
        <w:tc>
          <w:tcPr>
            <w:tcW w:w="979"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0,9</w:t>
            </w:r>
          </w:p>
        </w:tc>
      </w:tr>
      <w:tr w:rsidR="00517711">
        <w:trPr>
          <w:trHeight w:val="96"/>
        </w:trPr>
        <w:tc>
          <w:tcPr>
            <w:tcW w:w="1732" w:type="dxa"/>
            <w:vAlign w:val="center"/>
          </w:tcPr>
          <w:p w:rsidR="00517711" w:rsidRDefault="00F815BE">
            <w:pPr>
              <w:spacing w:line="240" w:lineRule="auto"/>
              <w:rPr>
                <w:rFonts w:ascii="Times New Roman" w:hAnsi="Times New Roman" w:cs="Times New Roman"/>
                <w:sz w:val="20"/>
                <w:szCs w:val="20"/>
              </w:rPr>
            </w:pPr>
            <w:r>
              <w:rPr>
                <w:rFonts w:ascii="Times New Roman" w:hAnsi="Times New Roman" w:cs="Times New Roman"/>
                <w:sz w:val="20"/>
                <w:szCs w:val="20"/>
              </w:rPr>
              <w:t>Цены</w:t>
            </w:r>
          </w:p>
        </w:tc>
        <w:tc>
          <w:tcPr>
            <w:tcW w:w="56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0,08</w:t>
            </w:r>
          </w:p>
        </w:tc>
        <w:tc>
          <w:tcPr>
            <w:tcW w:w="107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c>
          <w:tcPr>
            <w:tcW w:w="887"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w:t>
            </w:r>
          </w:p>
        </w:tc>
        <w:tc>
          <w:tcPr>
            <w:tcW w:w="113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w:t>
            </w:r>
          </w:p>
        </w:tc>
        <w:tc>
          <w:tcPr>
            <w:tcW w:w="1015"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898"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135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w:t>
            </w:r>
          </w:p>
        </w:tc>
        <w:tc>
          <w:tcPr>
            <w:tcW w:w="979"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0,9</w:t>
            </w:r>
          </w:p>
        </w:tc>
      </w:tr>
      <w:tr w:rsidR="00517711">
        <w:trPr>
          <w:trHeight w:val="96"/>
        </w:trPr>
        <w:tc>
          <w:tcPr>
            <w:tcW w:w="1732" w:type="dxa"/>
            <w:vAlign w:val="center"/>
          </w:tcPr>
          <w:p w:rsidR="00517711" w:rsidRDefault="00F815BE">
            <w:pPr>
              <w:spacing w:line="240" w:lineRule="auto"/>
              <w:rPr>
                <w:rFonts w:ascii="Times New Roman" w:hAnsi="Times New Roman" w:cs="Times New Roman"/>
                <w:sz w:val="20"/>
                <w:szCs w:val="20"/>
              </w:rPr>
            </w:pPr>
            <w:r>
              <w:rPr>
                <w:rFonts w:ascii="Times New Roman" w:hAnsi="Times New Roman" w:cs="Times New Roman"/>
                <w:sz w:val="20"/>
                <w:szCs w:val="20"/>
              </w:rPr>
              <w:t>Имидж</w:t>
            </w:r>
          </w:p>
        </w:tc>
        <w:tc>
          <w:tcPr>
            <w:tcW w:w="56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0,06</w:t>
            </w:r>
          </w:p>
        </w:tc>
        <w:tc>
          <w:tcPr>
            <w:tcW w:w="107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887"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13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1015"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0,5</w:t>
            </w:r>
          </w:p>
        </w:tc>
        <w:tc>
          <w:tcPr>
            <w:tcW w:w="898"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0,5</w:t>
            </w:r>
          </w:p>
        </w:tc>
        <w:tc>
          <w:tcPr>
            <w:tcW w:w="135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c>
          <w:tcPr>
            <w:tcW w:w="979"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r>
      <w:tr w:rsidR="00517711">
        <w:trPr>
          <w:trHeight w:val="465"/>
        </w:trPr>
        <w:tc>
          <w:tcPr>
            <w:tcW w:w="1732" w:type="dxa"/>
            <w:vAlign w:val="center"/>
          </w:tcPr>
          <w:p w:rsidR="00517711" w:rsidRDefault="00F815BE">
            <w:pPr>
              <w:spacing w:line="240" w:lineRule="auto"/>
              <w:rPr>
                <w:rFonts w:ascii="Times New Roman" w:hAnsi="Times New Roman" w:cs="Times New Roman"/>
                <w:sz w:val="20"/>
                <w:szCs w:val="20"/>
              </w:rPr>
            </w:pPr>
            <w:r>
              <w:rPr>
                <w:rFonts w:ascii="Times New Roman" w:hAnsi="Times New Roman" w:cs="Times New Roman"/>
                <w:sz w:val="20"/>
                <w:szCs w:val="20"/>
              </w:rPr>
              <w:t>Обслуживание после продажи товара</w:t>
            </w:r>
          </w:p>
        </w:tc>
        <w:tc>
          <w:tcPr>
            <w:tcW w:w="56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0,04</w:t>
            </w:r>
          </w:p>
        </w:tc>
        <w:tc>
          <w:tcPr>
            <w:tcW w:w="107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c>
          <w:tcPr>
            <w:tcW w:w="887"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0,5</w:t>
            </w:r>
          </w:p>
        </w:tc>
        <w:tc>
          <w:tcPr>
            <w:tcW w:w="113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0,5</w:t>
            </w:r>
          </w:p>
        </w:tc>
        <w:tc>
          <w:tcPr>
            <w:tcW w:w="1015"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c>
          <w:tcPr>
            <w:tcW w:w="898"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0,5</w:t>
            </w:r>
          </w:p>
        </w:tc>
        <w:tc>
          <w:tcPr>
            <w:tcW w:w="135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0,5</w:t>
            </w:r>
          </w:p>
        </w:tc>
        <w:tc>
          <w:tcPr>
            <w:tcW w:w="979"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r>
      <w:tr w:rsidR="00517711">
        <w:trPr>
          <w:trHeight w:val="96"/>
        </w:trPr>
        <w:tc>
          <w:tcPr>
            <w:tcW w:w="1732" w:type="dxa"/>
            <w:vAlign w:val="center"/>
          </w:tcPr>
          <w:p w:rsidR="00517711" w:rsidRDefault="00F815BE">
            <w:pPr>
              <w:spacing w:line="240" w:lineRule="auto"/>
              <w:rPr>
                <w:rFonts w:ascii="Times New Roman" w:hAnsi="Times New Roman" w:cs="Times New Roman"/>
                <w:sz w:val="20"/>
                <w:szCs w:val="20"/>
              </w:rPr>
            </w:pPr>
            <w:r>
              <w:rPr>
                <w:rFonts w:ascii="Times New Roman" w:hAnsi="Times New Roman" w:cs="Times New Roman"/>
                <w:sz w:val="20"/>
                <w:szCs w:val="20"/>
              </w:rPr>
              <w:t>Маркетинг</w:t>
            </w:r>
          </w:p>
        </w:tc>
        <w:tc>
          <w:tcPr>
            <w:tcW w:w="56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0,05</w:t>
            </w:r>
          </w:p>
        </w:tc>
        <w:tc>
          <w:tcPr>
            <w:tcW w:w="107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0,9</w:t>
            </w:r>
          </w:p>
        </w:tc>
        <w:tc>
          <w:tcPr>
            <w:tcW w:w="887"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w:t>
            </w:r>
          </w:p>
        </w:tc>
        <w:tc>
          <w:tcPr>
            <w:tcW w:w="113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c>
          <w:tcPr>
            <w:tcW w:w="1015"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0,5</w:t>
            </w:r>
          </w:p>
        </w:tc>
        <w:tc>
          <w:tcPr>
            <w:tcW w:w="898"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c>
          <w:tcPr>
            <w:tcW w:w="135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0,5</w:t>
            </w:r>
          </w:p>
        </w:tc>
        <w:tc>
          <w:tcPr>
            <w:tcW w:w="979"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0,9</w:t>
            </w:r>
          </w:p>
        </w:tc>
      </w:tr>
      <w:tr w:rsidR="00517711">
        <w:trPr>
          <w:trHeight w:val="96"/>
        </w:trPr>
        <w:tc>
          <w:tcPr>
            <w:tcW w:w="1732" w:type="dxa"/>
            <w:vAlign w:val="center"/>
          </w:tcPr>
          <w:p w:rsidR="00517711" w:rsidRDefault="00F815BE">
            <w:pPr>
              <w:spacing w:line="240" w:lineRule="auto"/>
              <w:rPr>
                <w:rFonts w:ascii="Times New Roman" w:hAnsi="Times New Roman" w:cs="Times New Roman"/>
                <w:sz w:val="20"/>
                <w:szCs w:val="20"/>
              </w:rPr>
            </w:pPr>
            <w:r>
              <w:rPr>
                <w:rFonts w:ascii="Times New Roman" w:hAnsi="Times New Roman" w:cs="Times New Roman"/>
                <w:sz w:val="20"/>
                <w:szCs w:val="20"/>
              </w:rPr>
              <w:t xml:space="preserve">Развитость </w:t>
            </w:r>
          </w:p>
          <w:p w:rsidR="00517711" w:rsidRDefault="00F815BE">
            <w:pPr>
              <w:spacing w:line="240" w:lineRule="auto"/>
              <w:rPr>
                <w:rFonts w:ascii="Times New Roman" w:hAnsi="Times New Roman" w:cs="Times New Roman"/>
                <w:sz w:val="20"/>
                <w:szCs w:val="20"/>
              </w:rPr>
            </w:pPr>
            <w:r>
              <w:rPr>
                <w:rFonts w:ascii="Times New Roman" w:hAnsi="Times New Roman" w:cs="Times New Roman"/>
                <w:sz w:val="20"/>
                <w:szCs w:val="20"/>
              </w:rPr>
              <w:t>торговой сети</w:t>
            </w:r>
          </w:p>
        </w:tc>
        <w:tc>
          <w:tcPr>
            <w:tcW w:w="56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0,09</w:t>
            </w:r>
          </w:p>
        </w:tc>
        <w:tc>
          <w:tcPr>
            <w:tcW w:w="107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0,9</w:t>
            </w:r>
          </w:p>
        </w:tc>
        <w:tc>
          <w:tcPr>
            <w:tcW w:w="887"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13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c>
          <w:tcPr>
            <w:tcW w:w="1015"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0,5</w:t>
            </w:r>
          </w:p>
        </w:tc>
        <w:tc>
          <w:tcPr>
            <w:tcW w:w="898"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c>
          <w:tcPr>
            <w:tcW w:w="135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c>
          <w:tcPr>
            <w:tcW w:w="979"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0,4</w:t>
            </w:r>
          </w:p>
        </w:tc>
      </w:tr>
      <w:tr w:rsidR="00517711">
        <w:trPr>
          <w:trHeight w:val="96"/>
        </w:trPr>
        <w:tc>
          <w:tcPr>
            <w:tcW w:w="1732" w:type="dxa"/>
            <w:vAlign w:val="center"/>
          </w:tcPr>
          <w:p w:rsidR="00517711" w:rsidRDefault="00F815BE">
            <w:pPr>
              <w:spacing w:line="240" w:lineRule="auto"/>
              <w:rPr>
                <w:rFonts w:ascii="Times New Roman" w:hAnsi="Times New Roman" w:cs="Times New Roman"/>
                <w:sz w:val="20"/>
                <w:szCs w:val="20"/>
              </w:rPr>
            </w:pPr>
            <w:r>
              <w:rPr>
                <w:rFonts w:ascii="Times New Roman" w:hAnsi="Times New Roman" w:cs="Times New Roman"/>
                <w:sz w:val="20"/>
                <w:szCs w:val="20"/>
              </w:rPr>
              <w:t>Доставка</w:t>
            </w:r>
          </w:p>
        </w:tc>
        <w:tc>
          <w:tcPr>
            <w:tcW w:w="56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0,06</w:t>
            </w:r>
          </w:p>
        </w:tc>
        <w:tc>
          <w:tcPr>
            <w:tcW w:w="1076" w:type="dxa"/>
            <w:vAlign w:val="bottom"/>
          </w:tcPr>
          <w:p w:rsidR="00517711" w:rsidRDefault="00517711">
            <w:pPr>
              <w:spacing w:line="240" w:lineRule="auto"/>
              <w:rPr>
                <w:rFonts w:ascii="Times New Roman" w:hAnsi="Times New Roman" w:cs="Times New Roman"/>
                <w:color w:val="000000"/>
                <w:sz w:val="20"/>
                <w:szCs w:val="20"/>
              </w:rPr>
            </w:pPr>
          </w:p>
        </w:tc>
        <w:tc>
          <w:tcPr>
            <w:tcW w:w="887" w:type="dxa"/>
            <w:vAlign w:val="bottom"/>
          </w:tcPr>
          <w:p w:rsidR="00517711" w:rsidRDefault="00517711">
            <w:pPr>
              <w:spacing w:line="240" w:lineRule="auto"/>
              <w:rPr>
                <w:rFonts w:ascii="Times New Roman" w:hAnsi="Times New Roman" w:cs="Times New Roman"/>
                <w:color w:val="000000"/>
                <w:sz w:val="20"/>
                <w:szCs w:val="20"/>
              </w:rPr>
            </w:pPr>
          </w:p>
        </w:tc>
        <w:tc>
          <w:tcPr>
            <w:tcW w:w="1133" w:type="dxa"/>
            <w:vAlign w:val="bottom"/>
          </w:tcPr>
          <w:p w:rsidR="00517711" w:rsidRDefault="00517711">
            <w:pPr>
              <w:spacing w:line="240" w:lineRule="auto"/>
              <w:rPr>
                <w:rFonts w:ascii="Times New Roman" w:hAnsi="Times New Roman" w:cs="Times New Roman"/>
                <w:color w:val="000000"/>
                <w:sz w:val="20"/>
                <w:szCs w:val="20"/>
              </w:rPr>
            </w:pPr>
          </w:p>
        </w:tc>
        <w:tc>
          <w:tcPr>
            <w:tcW w:w="1015" w:type="dxa"/>
            <w:vAlign w:val="bottom"/>
          </w:tcPr>
          <w:p w:rsidR="00517711" w:rsidRDefault="00517711">
            <w:pPr>
              <w:spacing w:line="240" w:lineRule="auto"/>
              <w:rPr>
                <w:rFonts w:ascii="Times New Roman" w:hAnsi="Times New Roman" w:cs="Times New Roman"/>
                <w:color w:val="000000"/>
                <w:sz w:val="20"/>
                <w:szCs w:val="20"/>
              </w:rPr>
            </w:pPr>
          </w:p>
        </w:tc>
        <w:tc>
          <w:tcPr>
            <w:tcW w:w="898" w:type="dxa"/>
            <w:vAlign w:val="bottom"/>
          </w:tcPr>
          <w:p w:rsidR="00517711" w:rsidRDefault="00517711">
            <w:pPr>
              <w:spacing w:line="240" w:lineRule="auto"/>
              <w:rPr>
                <w:rFonts w:ascii="Times New Roman" w:hAnsi="Times New Roman" w:cs="Times New Roman"/>
                <w:color w:val="000000"/>
                <w:sz w:val="20"/>
                <w:szCs w:val="20"/>
              </w:rPr>
            </w:pPr>
          </w:p>
        </w:tc>
        <w:tc>
          <w:tcPr>
            <w:tcW w:w="1353" w:type="dxa"/>
            <w:vAlign w:val="bottom"/>
          </w:tcPr>
          <w:p w:rsidR="00517711" w:rsidRDefault="00517711">
            <w:pPr>
              <w:spacing w:line="240" w:lineRule="auto"/>
              <w:rPr>
                <w:rFonts w:ascii="Times New Roman" w:hAnsi="Times New Roman" w:cs="Times New Roman"/>
                <w:color w:val="000000"/>
                <w:sz w:val="20"/>
                <w:szCs w:val="20"/>
              </w:rPr>
            </w:pPr>
          </w:p>
        </w:tc>
        <w:tc>
          <w:tcPr>
            <w:tcW w:w="979" w:type="dxa"/>
            <w:vAlign w:val="bottom"/>
          </w:tcPr>
          <w:p w:rsidR="00517711" w:rsidRDefault="00517711">
            <w:pPr>
              <w:spacing w:line="240" w:lineRule="auto"/>
              <w:rPr>
                <w:rFonts w:ascii="Times New Roman" w:hAnsi="Times New Roman" w:cs="Times New Roman"/>
                <w:color w:val="000000"/>
                <w:sz w:val="20"/>
                <w:szCs w:val="20"/>
              </w:rPr>
            </w:pPr>
          </w:p>
        </w:tc>
      </w:tr>
      <w:tr w:rsidR="00517711">
        <w:trPr>
          <w:trHeight w:val="96"/>
        </w:trPr>
        <w:tc>
          <w:tcPr>
            <w:tcW w:w="1732" w:type="dxa"/>
            <w:vAlign w:val="center"/>
          </w:tcPr>
          <w:p w:rsidR="00517711" w:rsidRDefault="00F815BE">
            <w:pPr>
              <w:spacing w:line="240" w:lineRule="auto"/>
              <w:rPr>
                <w:rFonts w:ascii="Times New Roman" w:hAnsi="Times New Roman" w:cs="Times New Roman"/>
                <w:sz w:val="20"/>
                <w:szCs w:val="20"/>
              </w:rPr>
            </w:pPr>
            <w:r>
              <w:rPr>
                <w:rFonts w:ascii="Times New Roman" w:hAnsi="Times New Roman" w:cs="Times New Roman"/>
                <w:sz w:val="20"/>
                <w:szCs w:val="20"/>
              </w:rPr>
              <w:t>Расположение и парковка</w:t>
            </w:r>
          </w:p>
        </w:tc>
        <w:tc>
          <w:tcPr>
            <w:tcW w:w="56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0,06</w:t>
            </w:r>
          </w:p>
        </w:tc>
        <w:tc>
          <w:tcPr>
            <w:tcW w:w="107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0,9</w:t>
            </w:r>
          </w:p>
        </w:tc>
        <w:tc>
          <w:tcPr>
            <w:tcW w:w="887"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0,9</w:t>
            </w:r>
          </w:p>
        </w:tc>
        <w:tc>
          <w:tcPr>
            <w:tcW w:w="113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0,5</w:t>
            </w:r>
          </w:p>
        </w:tc>
        <w:tc>
          <w:tcPr>
            <w:tcW w:w="1015"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w:t>
            </w:r>
          </w:p>
        </w:tc>
        <w:tc>
          <w:tcPr>
            <w:tcW w:w="898"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135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w:t>
            </w:r>
          </w:p>
        </w:tc>
        <w:tc>
          <w:tcPr>
            <w:tcW w:w="979"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r>
      <w:tr w:rsidR="00517711">
        <w:trPr>
          <w:trHeight w:val="96"/>
        </w:trPr>
        <w:tc>
          <w:tcPr>
            <w:tcW w:w="1732" w:type="dxa"/>
            <w:vAlign w:val="center"/>
          </w:tcPr>
          <w:p w:rsidR="00517711" w:rsidRDefault="00F815BE">
            <w:pPr>
              <w:spacing w:line="240" w:lineRule="auto"/>
              <w:rPr>
                <w:rFonts w:ascii="Times New Roman" w:hAnsi="Times New Roman" w:cs="Times New Roman"/>
                <w:sz w:val="20"/>
                <w:szCs w:val="20"/>
              </w:rPr>
            </w:pPr>
            <w:r>
              <w:rPr>
                <w:rFonts w:ascii="Times New Roman" w:hAnsi="Times New Roman" w:cs="Times New Roman"/>
                <w:sz w:val="20"/>
                <w:szCs w:val="20"/>
              </w:rPr>
              <w:t>Клиентская база</w:t>
            </w:r>
          </w:p>
        </w:tc>
        <w:tc>
          <w:tcPr>
            <w:tcW w:w="56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0,06</w:t>
            </w:r>
          </w:p>
        </w:tc>
        <w:tc>
          <w:tcPr>
            <w:tcW w:w="107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887"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13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w:t>
            </w:r>
          </w:p>
        </w:tc>
        <w:tc>
          <w:tcPr>
            <w:tcW w:w="1015"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c>
          <w:tcPr>
            <w:tcW w:w="898"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0,5</w:t>
            </w:r>
          </w:p>
        </w:tc>
        <w:tc>
          <w:tcPr>
            <w:tcW w:w="135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979"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r>
      <w:tr w:rsidR="00517711">
        <w:trPr>
          <w:trHeight w:val="96"/>
        </w:trPr>
        <w:tc>
          <w:tcPr>
            <w:tcW w:w="1732" w:type="dxa"/>
            <w:vAlign w:val="center"/>
          </w:tcPr>
          <w:p w:rsidR="00517711" w:rsidRDefault="00F815BE">
            <w:pPr>
              <w:spacing w:line="240" w:lineRule="auto"/>
              <w:rPr>
                <w:rFonts w:ascii="Times New Roman" w:hAnsi="Times New Roman" w:cs="Times New Roman"/>
                <w:sz w:val="20"/>
                <w:szCs w:val="20"/>
              </w:rPr>
            </w:pPr>
            <w:r>
              <w:rPr>
                <w:rFonts w:ascii="Times New Roman" w:hAnsi="Times New Roman" w:cs="Times New Roman"/>
                <w:sz w:val="20"/>
                <w:szCs w:val="20"/>
              </w:rPr>
              <w:t>Кадровый состав и их качество</w:t>
            </w:r>
          </w:p>
        </w:tc>
        <w:tc>
          <w:tcPr>
            <w:tcW w:w="56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0,07</w:t>
            </w:r>
          </w:p>
        </w:tc>
        <w:tc>
          <w:tcPr>
            <w:tcW w:w="107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0,9</w:t>
            </w:r>
          </w:p>
        </w:tc>
        <w:tc>
          <w:tcPr>
            <w:tcW w:w="887"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0,9</w:t>
            </w:r>
          </w:p>
        </w:tc>
        <w:tc>
          <w:tcPr>
            <w:tcW w:w="113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w:t>
            </w:r>
          </w:p>
        </w:tc>
        <w:tc>
          <w:tcPr>
            <w:tcW w:w="1015"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0,5</w:t>
            </w:r>
          </w:p>
        </w:tc>
        <w:tc>
          <w:tcPr>
            <w:tcW w:w="898"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c>
          <w:tcPr>
            <w:tcW w:w="135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c>
          <w:tcPr>
            <w:tcW w:w="979"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r>
      <w:tr w:rsidR="00517711">
        <w:trPr>
          <w:trHeight w:val="96"/>
        </w:trPr>
        <w:tc>
          <w:tcPr>
            <w:tcW w:w="1732" w:type="dxa"/>
            <w:vAlign w:val="center"/>
          </w:tcPr>
          <w:p w:rsidR="00517711" w:rsidRDefault="00F815BE">
            <w:pPr>
              <w:spacing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rPr>
              <w:t>Сопутствующие услуги</w:t>
            </w:r>
          </w:p>
        </w:tc>
        <w:tc>
          <w:tcPr>
            <w:tcW w:w="56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0,03</w:t>
            </w:r>
          </w:p>
        </w:tc>
        <w:tc>
          <w:tcPr>
            <w:tcW w:w="107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887"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w:t>
            </w:r>
          </w:p>
        </w:tc>
        <w:tc>
          <w:tcPr>
            <w:tcW w:w="113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1015"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c>
          <w:tcPr>
            <w:tcW w:w="898"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0,5</w:t>
            </w:r>
          </w:p>
        </w:tc>
        <w:tc>
          <w:tcPr>
            <w:tcW w:w="135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0,5</w:t>
            </w:r>
          </w:p>
        </w:tc>
        <w:tc>
          <w:tcPr>
            <w:tcW w:w="979"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0,9</w:t>
            </w:r>
          </w:p>
        </w:tc>
      </w:tr>
      <w:tr w:rsidR="00517711">
        <w:trPr>
          <w:trHeight w:val="96"/>
        </w:trPr>
        <w:tc>
          <w:tcPr>
            <w:tcW w:w="1732" w:type="dxa"/>
            <w:vAlign w:val="center"/>
          </w:tcPr>
          <w:p w:rsidR="00517711" w:rsidRDefault="00F815BE">
            <w:pPr>
              <w:spacing w:line="240" w:lineRule="auto"/>
              <w:rPr>
                <w:rFonts w:ascii="Times New Roman" w:hAnsi="Times New Roman" w:cs="Times New Roman"/>
                <w:sz w:val="20"/>
                <w:szCs w:val="20"/>
              </w:rPr>
            </w:pPr>
            <w:r>
              <w:rPr>
                <w:rFonts w:ascii="Times New Roman" w:hAnsi="Times New Roman" w:cs="Times New Roman"/>
                <w:sz w:val="20"/>
                <w:szCs w:val="20"/>
              </w:rPr>
              <w:t>Финансы</w:t>
            </w:r>
          </w:p>
        </w:tc>
        <w:tc>
          <w:tcPr>
            <w:tcW w:w="56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0,08</w:t>
            </w:r>
          </w:p>
        </w:tc>
        <w:tc>
          <w:tcPr>
            <w:tcW w:w="107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0,9</w:t>
            </w:r>
          </w:p>
        </w:tc>
        <w:tc>
          <w:tcPr>
            <w:tcW w:w="887"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0,9</w:t>
            </w:r>
          </w:p>
        </w:tc>
        <w:tc>
          <w:tcPr>
            <w:tcW w:w="113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1015"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898"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w:t>
            </w:r>
          </w:p>
        </w:tc>
        <w:tc>
          <w:tcPr>
            <w:tcW w:w="135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c>
          <w:tcPr>
            <w:tcW w:w="979"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r>
      <w:tr w:rsidR="00517711">
        <w:trPr>
          <w:trHeight w:val="96"/>
        </w:trPr>
        <w:tc>
          <w:tcPr>
            <w:tcW w:w="1732" w:type="dxa"/>
            <w:vAlign w:val="center"/>
          </w:tcPr>
          <w:p w:rsidR="00517711" w:rsidRDefault="00F815BE">
            <w:pPr>
              <w:spacing w:line="240" w:lineRule="auto"/>
              <w:rPr>
                <w:rFonts w:ascii="Times New Roman" w:hAnsi="Times New Roman" w:cs="Times New Roman"/>
                <w:sz w:val="20"/>
                <w:szCs w:val="20"/>
              </w:rPr>
            </w:pPr>
            <w:r>
              <w:rPr>
                <w:rFonts w:ascii="Times New Roman" w:hAnsi="Times New Roman" w:cs="Times New Roman"/>
                <w:sz w:val="20"/>
                <w:szCs w:val="20"/>
              </w:rPr>
              <w:t xml:space="preserve">Каналы </w:t>
            </w:r>
          </w:p>
          <w:p w:rsidR="00517711" w:rsidRDefault="00F815BE">
            <w:pPr>
              <w:spacing w:line="240" w:lineRule="auto"/>
              <w:rPr>
                <w:rFonts w:ascii="Times New Roman" w:hAnsi="Times New Roman" w:cs="Times New Roman"/>
                <w:sz w:val="20"/>
                <w:szCs w:val="20"/>
              </w:rPr>
            </w:pPr>
            <w:r>
              <w:rPr>
                <w:rFonts w:ascii="Times New Roman" w:hAnsi="Times New Roman" w:cs="Times New Roman"/>
                <w:sz w:val="20"/>
                <w:szCs w:val="20"/>
              </w:rPr>
              <w:t>товародвижения</w:t>
            </w:r>
          </w:p>
        </w:tc>
        <w:tc>
          <w:tcPr>
            <w:tcW w:w="56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0,07</w:t>
            </w:r>
          </w:p>
        </w:tc>
        <w:tc>
          <w:tcPr>
            <w:tcW w:w="107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0,9</w:t>
            </w:r>
          </w:p>
        </w:tc>
        <w:tc>
          <w:tcPr>
            <w:tcW w:w="887"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0,9</w:t>
            </w:r>
          </w:p>
        </w:tc>
        <w:tc>
          <w:tcPr>
            <w:tcW w:w="113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w:t>
            </w:r>
          </w:p>
        </w:tc>
        <w:tc>
          <w:tcPr>
            <w:tcW w:w="1015"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w:t>
            </w:r>
          </w:p>
        </w:tc>
        <w:tc>
          <w:tcPr>
            <w:tcW w:w="898"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c>
          <w:tcPr>
            <w:tcW w:w="135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0,5</w:t>
            </w:r>
          </w:p>
        </w:tc>
        <w:tc>
          <w:tcPr>
            <w:tcW w:w="979"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w:t>
            </w:r>
          </w:p>
        </w:tc>
      </w:tr>
    </w:tbl>
    <w:p w:rsidR="00517711" w:rsidRDefault="00F815BE">
      <w:pPr>
        <w:widowControl w:val="0"/>
        <w:spacing w:before="120"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Так как используется 15 показателей, то максимальное количество баллов, которое может заработать компания равно 150. Соответственно, каждый показатель предприятия-эталона равен 10, с чем и сравнивался каждый показатель, а максимальная итоговая оценка такого предприятия равна 1 балл. [4, </w:t>
      </w:r>
      <w:r>
        <w:rPr>
          <w:rFonts w:ascii="Times New Roman" w:hAnsi="Times New Roman" w:cs="Times New Roman"/>
          <w:sz w:val="20"/>
          <w:szCs w:val="20"/>
          <w:lang w:val="en-US"/>
        </w:rPr>
        <w:t>c</w:t>
      </w:r>
      <w:r>
        <w:rPr>
          <w:rFonts w:ascii="Times New Roman" w:hAnsi="Times New Roman" w:cs="Times New Roman"/>
          <w:sz w:val="20"/>
          <w:szCs w:val="20"/>
        </w:rPr>
        <w:t>. 9]</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ab/>
        <w:t>Теперь перемножим имеющиеся оценки по каждому показателю с их относительными весами и просуммируем их по формуле 1.3.2, чтобы получить итоговые оценки.</w:t>
      </w:r>
    </w:p>
    <w:p w:rsidR="00517711" w:rsidRDefault="00F815BE">
      <w:pPr>
        <w:spacing w:before="240" w:after="120" w:line="240" w:lineRule="auto"/>
        <w:jc w:val="both"/>
        <w:rPr>
          <w:rFonts w:ascii="Times New Roman" w:hAnsi="Times New Roman" w:cs="Times New Roman"/>
          <w:sz w:val="20"/>
          <w:szCs w:val="20"/>
        </w:rPr>
      </w:pPr>
      <w:r>
        <w:rPr>
          <w:rFonts w:ascii="Times New Roman" w:hAnsi="Times New Roman" w:cs="Times New Roman"/>
          <w:i/>
          <w:sz w:val="20"/>
          <w:szCs w:val="20"/>
        </w:rPr>
        <w:t>Таблица 4</w:t>
      </w:r>
      <w:r>
        <w:rPr>
          <w:rFonts w:ascii="Times New Roman" w:hAnsi="Times New Roman" w:cs="Times New Roman"/>
          <w:sz w:val="20"/>
          <w:szCs w:val="20"/>
        </w:rPr>
        <w:t xml:space="preserve">    </w:t>
      </w:r>
      <w:r>
        <w:rPr>
          <w:rFonts w:ascii="Times New Roman" w:hAnsi="Times New Roman" w:cs="Times New Roman"/>
          <w:b/>
          <w:sz w:val="20"/>
          <w:szCs w:val="20"/>
        </w:rPr>
        <w:t>Итоговые интегральные оценки конкурентоспособности предприятий</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
        <w:gridCol w:w="1248"/>
        <w:gridCol w:w="1079"/>
        <w:gridCol w:w="1316"/>
        <w:gridCol w:w="1187"/>
        <w:gridCol w:w="1088"/>
        <w:gridCol w:w="1580"/>
        <w:gridCol w:w="1165"/>
      </w:tblGrid>
      <w:tr w:rsidR="00517711">
        <w:trPr>
          <w:trHeight w:val="201"/>
        </w:trPr>
        <w:tc>
          <w:tcPr>
            <w:tcW w:w="976" w:type="dxa"/>
            <w:vMerge w:val="restart"/>
            <w:vAlign w:val="center"/>
          </w:tcPr>
          <w:p w:rsidR="00517711" w:rsidRDefault="00F815BE">
            <w:pPr>
              <w:spacing w:line="240" w:lineRule="auto"/>
              <w:jc w:val="both"/>
              <w:rPr>
                <w:rFonts w:ascii="Times New Roman" w:hAnsi="Times New Roman" w:cs="Times New Roman"/>
                <w:sz w:val="20"/>
                <w:szCs w:val="20"/>
              </w:rPr>
            </w:pPr>
            <w:r>
              <w:rPr>
                <w:rFonts w:ascii="Times New Roman" w:hAnsi="Times New Roman" w:cs="Times New Roman"/>
                <w:sz w:val="20"/>
                <w:szCs w:val="20"/>
              </w:rPr>
              <w:t>Оценка</w:t>
            </w:r>
          </w:p>
        </w:tc>
        <w:tc>
          <w:tcPr>
            <w:tcW w:w="1248"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«Красный мамонт»</w:t>
            </w:r>
          </w:p>
        </w:tc>
        <w:tc>
          <w:tcPr>
            <w:tcW w:w="1079"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«Залог»</w:t>
            </w:r>
          </w:p>
        </w:tc>
        <w:tc>
          <w:tcPr>
            <w:tcW w:w="1316"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«Палитра»</w:t>
            </w:r>
          </w:p>
        </w:tc>
        <w:tc>
          <w:tcPr>
            <w:tcW w:w="1187"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«Мастер-строй»</w:t>
            </w:r>
          </w:p>
        </w:tc>
        <w:tc>
          <w:tcPr>
            <w:tcW w:w="1088"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«Дюна»</w:t>
            </w:r>
          </w:p>
        </w:tc>
        <w:tc>
          <w:tcPr>
            <w:tcW w:w="1580"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«Помощник»</w:t>
            </w:r>
          </w:p>
        </w:tc>
        <w:tc>
          <w:tcPr>
            <w:tcW w:w="1165"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«Леруа</w:t>
            </w:r>
          </w:p>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Мерлен»</w:t>
            </w:r>
          </w:p>
        </w:tc>
      </w:tr>
      <w:tr w:rsidR="00517711">
        <w:tc>
          <w:tcPr>
            <w:tcW w:w="976" w:type="dxa"/>
            <w:vMerge/>
          </w:tcPr>
          <w:p w:rsidR="00517711" w:rsidRDefault="00517711">
            <w:pPr>
              <w:spacing w:line="240" w:lineRule="auto"/>
              <w:jc w:val="both"/>
              <w:rPr>
                <w:rFonts w:ascii="Times New Roman" w:hAnsi="Times New Roman" w:cs="Times New Roman"/>
                <w:sz w:val="20"/>
                <w:szCs w:val="20"/>
              </w:rPr>
            </w:pPr>
          </w:p>
        </w:tc>
        <w:tc>
          <w:tcPr>
            <w:tcW w:w="1248" w:type="dxa"/>
            <w:vAlign w:val="bottom"/>
          </w:tcPr>
          <w:p w:rsidR="00517711" w:rsidRDefault="00F815BE">
            <w:pPr>
              <w:spacing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rPr>
              <w:t>0,869</w:t>
            </w:r>
          </w:p>
        </w:tc>
        <w:tc>
          <w:tcPr>
            <w:tcW w:w="1079"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0,865</w:t>
            </w:r>
          </w:p>
        </w:tc>
        <w:tc>
          <w:tcPr>
            <w:tcW w:w="131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0,696</w:t>
            </w:r>
          </w:p>
        </w:tc>
        <w:tc>
          <w:tcPr>
            <w:tcW w:w="1187"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0,61</w:t>
            </w:r>
          </w:p>
        </w:tc>
        <w:tc>
          <w:tcPr>
            <w:tcW w:w="1088"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0,622</w:t>
            </w:r>
          </w:p>
        </w:tc>
        <w:tc>
          <w:tcPr>
            <w:tcW w:w="1580"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0,605</w:t>
            </w:r>
          </w:p>
        </w:tc>
        <w:tc>
          <w:tcPr>
            <w:tcW w:w="1165"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0,774</w:t>
            </w:r>
          </w:p>
        </w:tc>
      </w:tr>
    </w:tbl>
    <w:p w:rsidR="00517711" w:rsidRDefault="00F815BE">
      <w:pPr>
        <w:spacing w:before="120" w:after="0" w:line="240" w:lineRule="auto"/>
        <w:jc w:val="both"/>
        <w:rPr>
          <w:rFonts w:ascii="Times New Roman" w:hAnsi="Times New Roman" w:cs="Times New Roman"/>
          <w:sz w:val="20"/>
          <w:szCs w:val="20"/>
        </w:rPr>
      </w:pPr>
      <w:r>
        <w:rPr>
          <w:rFonts w:ascii="Times New Roman" w:hAnsi="Times New Roman" w:cs="Times New Roman"/>
          <w:sz w:val="20"/>
          <w:szCs w:val="20"/>
        </w:rPr>
        <w:tab/>
        <w:t>Таким образом, наиболее конкурентоспособными предприятиями является тройка лидеров – «Красный мамонт», «Залог» и «Леруа Мерлен», который, не смотря на относительно недавний выход на рынок и небольшую долю, смог за счет многолетнего опыта на рынке РФ и запада выйти на конкурентную позицию.</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ab/>
        <w:t xml:space="preserve">Из предыдущей таблицы также видно на что необходимо обратить внимание компаниям для поднятия их конкурентоспособности. </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ab/>
        <w:t xml:space="preserve">В первую очередь «Залог» должен обратить внимание на услуги, оказываемые после продажи товара. Во-вторых, кадровый состав необходимо пересмотреть и принять комплекс мер по улучшению их уровня </w:t>
      </w:r>
      <w:r>
        <w:rPr>
          <w:rFonts w:ascii="Times New Roman" w:hAnsi="Times New Roman" w:cs="Times New Roman"/>
          <w:sz w:val="20"/>
          <w:szCs w:val="20"/>
        </w:rPr>
        <w:lastRenderedPageBreak/>
        <w:t>обслуживания клиентов. В-третьих, обратить внимание на маркетинговую деятельность, которая не является сильно выделяющейся стороной. В-четвертых, проанализировать уровни цен конкурентов и поставщиков и выбрать наиболее выгодные по отношению к клиентам, а затем и для себя, так как ценовой фактор остается одним из определяющих в большинстве случаев при приобретении товара. Также можно доработать систему контроля качества товара, это обусловлено редкой, но тем не менее существующей порчей продукции при ее транспортировке, как в случае с кафельной плиткой.</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Определим рекомендации, меры по контролю и изменениям для приведенных ранее факторов конкурентоспособности. </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Начнем с послепродажного обслуживания. На данный момент, предприятие имеет большое разнообразие послепродажного обслуживания своих клиентов, будь то установка ванн, душевых кабин, ламината или линолеума, доставка товара до дома или квартиры, дополнительная упаковка, замена товара по гарантии, скидка на следующую покупку при предъявлении чека на прошлую покупку и т.д., однако в некоторых случаях бывает ситуация на предприятии, когда покупатель возвращает товар, который был не укомплектован до конца или частично/полностью деформирован, что его нельзя использовать в дальнейшем из-за чего в послепродажном этапе возникает конфликт интересов, в котором покупатель хочет заменить товар или вернуть его, а продавец, который проверил товар, утверждает, что это не гарантийный случай или товар был поврежден после продажи, что исключает возможность его возврата или замены.</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В таких случаях требуется ввести более жесткую проверку и досмотр качества товара, которая заключается в двух методах:</w:t>
      </w:r>
    </w:p>
    <w:p w:rsidR="00517711" w:rsidRDefault="00F815BE">
      <w:pPr>
        <w:widowControl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1) проверка каждой единицы товара при поступлении в магазин от поставщика. Преимущество данного метода заключается в более качественном контроле от брака, который мог возникнуть во время производства и не досмотрен во время упаковки, или возник во время перевозки в магазин/склад. Недостатком же является большие затраты по времени, которые можно решить при найме отдельного члена персонала, что также принудительно повысит затраты на оплату труда, однако большинство расходов, связанных с возвратом товара поставщику от магазина и от покупателей будет сокращено;</w:t>
      </w:r>
    </w:p>
    <w:p w:rsidR="00517711" w:rsidRDefault="00F815BE">
      <w:pPr>
        <w:widowControl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2) контроль продукции во время демонстрации покупки для потребителя, оплатившего свою покупку. Данная методика позволяет и продавцу, и покупателю оценить качество товара, поэтому вероятность заметить брак, если он имеется, выше. Тем не менее, это не исключает ситуацию, когда покупатель может заявить, что продавец «не доглядел».</w:t>
      </w:r>
    </w:p>
    <w:p w:rsidR="00517711" w:rsidRDefault="00F815BE">
      <w:pPr>
        <w:widowControl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Обе эти методики используются на предприятии, однако в первой исключены мелкие товары (гвозди, шурупы, саморезы и пр.), а также при перевозке на склад в любое момент могут возникнуть форс-мажорные обстоятельства, которые приводят к браку отдельных видов товаров, например, кафеля. Во-второй же, не был исключен фактор порчи товара потребителем, продавцом или во время транспортировки.</w:t>
      </w:r>
    </w:p>
    <w:p w:rsidR="00517711" w:rsidRDefault="00F815BE">
      <w:pPr>
        <w:widowControl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Для исключения подобных недостатков, следует привести следующие меры:</w:t>
      </w:r>
    </w:p>
    <w:p w:rsidR="00517711" w:rsidRDefault="00F815BE">
      <w:pPr>
        <w:widowControl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1) перевести больше человек на приемку товара в магазин, чтобы сократить время проверки и одновременно повысить качество проверки, оставив на это время в каждом отделе 1 или 2 человек в зависимости от их загруженности;</w:t>
      </w:r>
    </w:p>
    <w:p w:rsidR="00517711" w:rsidRDefault="00F815BE">
      <w:pPr>
        <w:widowControl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2) при отгрузке товара покупателю без доставки, продемонстрировать каждую деталь предлагаемого товара, после чего, убедившись, что товар в абсолютной целости, упаковать его перед покупателем и при подтверждении к готовности отпуска его потребителю, сказать последнему расписаться в чеке в специально добавленной графе «Товар в целости»;</w:t>
      </w:r>
    </w:p>
    <w:p w:rsidR="00517711" w:rsidRDefault="00F815BE">
      <w:pPr>
        <w:widowControl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 при отгрузке товара с доставкой, проверить комплектацию перед отгрузкой, а затем выполнить те же действия что и пункте 2, только при доставке продукции покупателю.</w:t>
      </w:r>
    </w:p>
    <w:p w:rsidR="00517711" w:rsidRDefault="00F815BE">
      <w:pPr>
        <w:widowControl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Таким образом будет повышено качество продаваемого товара, исключен фактор покупателя и продавца в качество продукции.</w:t>
      </w:r>
    </w:p>
    <w:p w:rsidR="00517711" w:rsidRDefault="00F815BE">
      <w:pPr>
        <w:widowControl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Перейдем к персоналу и качеству их труда. Не смотря на профессионализм и определенную эффективность труда, о чем говорят показатели их производительности, качество обслуживания клиентов находится не на высоком уровне, что в некоторой степени обусловлено уровнем заработной платы (который в среднем равен 20 тысяч рублей в месяц), а также отсутствием западного опыта личных розничных продаж, который есть у сотрудников компании «Леруа Мерлен». Соответственно для поднятия их эффективности необходимо решить два этих пункта, однако следует в первую очередь поднять их профессиональный уровень и ввести дополнительный рабочий контроль по обучению персонала.</w:t>
      </w:r>
    </w:p>
    <w:p w:rsidR="00517711" w:rsidRDefault="00F815BE">
      <w:pPr>
        <w:widowControl w:val="0"/>
        <w:spacing w:after="0" w:line="240" w:lineRule="auto"/>
        <w:ind w:firstLine="709"/>
        <w:jc w:val="both"/>
        <w:rPr>
          <w:rFonts w:ascii="Times New Roman" w:hAnsi="Times New Roman" w:cs="Times New Roman"/>
          <w:b/>
          <w:bCs/>
          <w:sz w:val="20"/>
          <w:szCs w:val="20"/>
        </w:rPr>
      </w:pPr>
      <w:r>
        <w:rPr>
          <w:rFonts w:ascii="Times New Roman" w:hAnsi="Times New Roman" w:cs="Times New Roman"/>
          <w:sz w:val="20"/>
          <w:szCs w:val="20"/>
        </w:rPr>
        <w:t>Чтобы поднять уровень розничных продаж на более эффективную ступень, рекомендуется закупить для сотрудников 20 комплектов книг по обслуживанию клиентов розничным продажам «</w:t>
      </w:r>
      <w:r>
        <w:rPr>
          <w:rFonts w:ascii="Times New Roman" w:hAnsi="Times New Roman" w:cs="Times New Roman"/>
          <w:bCs/>
          <w:sz w:val="20"/>
          <w:szCs w:val="20"/>
        </w:rPr>
        <w:t>Нет, спасибо, я просто смотрю» от мастера розничной торговли и обучения в этой области Гарри Фридмана, который описывает секреты розничной торговли, обучает как из потенциальных покупателей, сделать тех, кто действительно покупает. Используя свой огромный опыт, он рассказывает, как достичь вершин мастерства в обслуживании покупателей и стать успешным продавцом. В качестве мер контроля, можно провести устный экзамен для сотрудников.</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Далее стоит улучшить материальное стимулирование работников, подняв на ФОП на тот же уровень, что и в 2017 году. Соответственно затраты выйдут следующие (Таблица 3.1). </w:t>
      </w:r>
    </w:p>
    <w:p w:rsidR="00517711" w:rsidRDefault="00F815BE">
      <w:pPr>
        <w:spacing w:before="240" w:after="120" w:line="240" w:lineRule="auto"/>
        <w:jc w:val="both"/>
        <w:rPr>
          <w:rFonts w:ascii="Times New Roman" w:hAnsi="Times New Roman" w:cs="Times New Roman"/>
          <w:sz w:val="20"/>
          <w:szCs w:val="20"/>
        </w:rPr>
      </w:pPr>
      <w:r>
        <w:rPr>
          <w:rFonts w:ascii="Times New Roman" w:hAnsi="Times New Roman" w:cs="Times New Roman"/>
          <w:i/>
          <w:sz w:val="20"/>
          <w:szCs w:val="20"/>
        </w:rPr>
        <w:t>Таблица 5</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b/>
          <w:sz w:val="20"/>
          <w:szCs w:val="20"/>
        </w:rPr>
        <w:t>Затраты на улучшение качества работы персонала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2410"/>
        <w:gridCol w:w="4501"/>
      </w:tblGrid>
      <w:tr w:rsidR="00517711">
        <w:trPr>
          <w:trHeight w:val="266"/>
        </w:trPr>
        <w:tc>
          <w:tcPr>
            <w:tcW w:w="2835"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Показатель затрат</w:t>
            </w:r>
          </w:p>
        </w:tc>
        <w:tc>
          <w:tcPr>
            <w:tcW w:w="2410"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Стоимость реализации</w:t>
            </w:r>
          </w:p>
        </w:tc>
        <w:tc>
          <w:tcPr>
            <w:tcW w:w="4501"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 xml:space="preserve">Производительность труда, при повышении  </w:t>
            </w:r>
          </w:p>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выручки на 5% после комплекса мероприятий</w:t>
            </w:r>
          </w:p>
        </w:tc>
      </w:tr>
      <w:tr w:rsidR="00517711">
        <w:tc>
          <w:tcPr>
            <w:tcW w:w="2835" w:type="dxa"/>
          </w:tcPr>
          <w:p w:rsidR="00517711" w:rsidRDefault="00F815BE">
            <w:pPr>
              <w:spacing w:line="240" w:lineRule="auto"/>
              <w:jc w:val="both"/>
              <w:rPr>
                <w:rFonts w:ascii="Times New Roman" w:hAnsi="Times New Roman" w:cs="Times New Roman"/>
                <w:sz w:val="20"/>
                <w:szCs w:val="20"/>
              </w:rPr>
            </w:pPr>
            <w:r>
              <w:rPr>
                <w:rFonts w:ascii="Times New Roman" w:hAnsi="Times New Roman" w:cs="Times New Roman"/>
                <w:sz w:val="20"/>
                <w:szCs w:val="20"/>
              </w:rPr>
              <w:t>Приобретение пособий</w:t>
            </w:r>
          </w:p>
        </w:tc>
        <w:tc>
          <w:tcPr>
            <w:tcW w:w="2410" w:type="dxa"/>
            <w:vAlign w:val="bottom"/>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8,680</w:t>
            </w:r>
          </w:p>
        </w:tc>
        <w:tc>
          <w:tcPr>
            <w:tcW w:w="4501" w:type="dxa"/>
            <w:vMerge w:val="restart"/>
            <w:vAlign w:val="bottom"/>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737,153</w:t>
            </w:r>
          </w:p>
        </w:tc>
      </w:tr>
      <w:tr w:rsidR="00517711">
        <w:tc>
          <w:tcPr>
            <w:tcW w:w="2835" w:type="dxa"/>
          </w:tcPr>
          <w:p w:rsidR="00517711" w:rsidRDefault="00F815BE">
            <w:pPr>
              <w:spacing w:line="240" w:lineRule="auto"/>
              <w:jc w:val="both"/>
              <w:rPr>
                <w:rFonts w:ascii="Times New Roman" w:hAnsi="Times New Roman" w:cs="Times New Roman"/>
                <w:sz w:val="20"/>
                <w:szCs w:val="20"/>
              </w:rPr>
            </w:pPr>
            <w:r>
              <w:rPr>
                <w:rFonts w:ascii="Times New Roman" w:hAnsi="Times New Roman" w:cs="Times New Roman"/>
                <w:sz w:val="20"/>
                <w:szCs w:val="20"/>
              </w:rPr>
              <w:t>Увеличение ФОП на 2,09%</w:t>
            </w:r>
          </w:p>
        </w:tc>
        <w:tc>
          <w:tcPr>
            <w:tcW w:w="2410" w:type="dxa"/>
            <w:vAlign w:val="bottom"/>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6195</w:t>
            </w:r>
          </w:p>
        </w:tc>
        <w:tc>
          <w:tcPr>
            <w:tcW w:w="4501" w:type="dxa"/>
            <w:vMerge/>
            <w:vAlign w:val="bottom"/>
          </w:tcPr>
          <w:p w:rsidR="00517711" w:rsidRDefault="00517711">
            <w:pPr>
              <w:spacing w:line="240" w:lineRule="auto"/>
              <w:jc w:val="center"/>
              <w:rPr>
                <w:rFonts w:ascii="Times New Roman" w:hAnsi="Times New Roman" w:cs="Times New Roman"/>
                <w:sz w:val="20"/>
                <w:szCs w:val="20"/>
              </w:rPr>
            </w:pPr>
          </w:p>
        </w:tc>
      </w:tr>
    </w:tbl>
    <w:p w:rsidR="00517711" w:rsidRDefault="00F815BE">
      <w:pPr>
        <w:widowControl w:val="0"/>
        <w:spacing w:before="120" w:after="0" w:line="240" w:lineRule="auto"/>
        <w:jc w:val="both"/>
        <w:rPr>
          <w:rFonts w:ascii="Times New Roman" w:hAnsi="Times New Roman" w:cs="Times New Roman"/>
          <w:sz w:val="20"/>
          <w:szCs w:val="20"/>
        </w:rPr>
      </w:pPr>
      <w:r>
        <w:rPr>
          <w:rFonts w:ascii="Times New Roman" w:hAnsi="Times New Roman" w:cs="Times New Roman"/>
          <w:sz w:val="20"/>
          <w:szCs w:val="20"/>
        </w:rPr>
        <w:tab/>
        <w:t>Другими словами, при увеличении ФОП в том же размере, что и в предыдущем периоде, а также повышение квалификации персонала, предположительно увеличит выручку на 5% до 20640,29 тыс.руб., повысив производительность труда на 35,102 тыс.руб. до 737,153 тыс.руб.</w:t>
      </w:r>
    </w:p>
    <w:p w:rsidR="00517711" w:rsidRDefault="00F815BE">
      <w:pPr>
        <w:widowControl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ab/>
        <w:t>Затраты на приобретение книг окупятся за 1 рабочий день. Что касательно роста ФОП, то при снижении темпа роста в 2017 году по сравнению с 2016, то поднятие его на тот же процент более чем оптимально.</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Рассмотрим маркетинговую деятельность. Как было сказано ранее, маркетинговая деятельность в рамках продвижения товаров не являлась выделяющейся стороной компании, не смотря на проработанный анализ рынка. До конца 2017 года, компания не имела действующего интернет-магазина, поэтому не использовался перспективный канал сбыта продукции, однако он действует менее, чем полгода и отследить его эффективность в динамике не представляется возможным на данный момент.</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Что касается рекламной деятельности, то приводится стандартная тактика использования баннеров и стендов, а также редко используемая телереклама. В качестве дополнительного инструмента продвижения следует разместить рекламу на популярном в ресурсе «</w:t>
      </w:r>
      <w:r>
        <w:rPr>
          <w:rFonts w:ascii="Times New Roman" w:hAnsi="Times New Roman" w:cs="Times New Roman"/>
          <w:sz w:val="20"/>
          <w:szCs w:val="20"/>
          <w:lang w:val="en-US"/>
        </w:rPr>
        <w:t>FarPost</w:t>
      </w:r>
      <w:r>
        <w:rPr>
          <w:rFonts w:ascii="Times New Roman" w:hAnsi="Times New Roman" w:cs="Times New Roman"/>
          <w:sz w:val="20"/>
          <w:szCs w:val="20"/>
        </w:rPr>
        <w:t>» с использованием дополнительных услуг по выводу результатов запросов в первую строку для пользователей сайта. Оплата происходит раз в сутки, при использовании услуги «Прикрепить» за 80 руб. в день на один год, разместив в одном объявлении все товарные категории с ссылкой на сайт, затраты на продвижение приведут к следующему виду.</w:t>
      </w:r>
    </w:p>
    <w:p w:rsidR="00517711" w:rsidRDefault="00F815BE">
      <w:pPr>
        <w:spacing w:before="240" w:after="120" w:line="240" w:lineRule="auto"/>
        <w:jc w:val="both"/>
        <w:rPr>
          <w:rFonts w:ascii="Times New Roman" w:hAnsi="Times New Roman" w:cs="Times New Roman"/>
          <w:sz w:val="20"/>
          <w:szCs w:val="20"/>
        </w:rPr>
      </w:pPr>
      <w:r>
        <w:rPr>
          <w:rFonts w:ascii="Times New Roman" w:hAnsi="Times New Roman" w:cs="Times New Roman"/>
          <w:i/>
          <w:sz w:val="20"/>
          <w:szCs w:val="20"/>
        </w:rPr>
        <w:t>Таблица 6</w:t>
      </w:r>
      <w:r>
        <w:rPr>
          <w:rFonts w:ascii="Times New Roman" w:hAnsi="Times New Roman" w:cs="Times New Roman"/>
          <w:sz w:val="20"/>
          <w:szCs w:val="20"/>
        </w:rPr>
        <w:tab/>
        <w:t xml:space="preserve">         </w:t>
      </w:r>
      <w:r>
        <w:rPr>
          <w:rFonts w:ascii="Times New Roman" w:hAnsi="Times New Roman" w:cs="Times New Roman"/>
          <w:b/>
          <w:sz w:val="20"/>
          <w:szCs w:val="20"/>
        </w:rPr>
        <w:t>Затраты на улучшение качества работы персонала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835"/>
        <w:gridCol w:w="5068"/>
      </w:tblGrid>
      <w:tr w:rsidR="00517711">
        <w:tc>
          <w:tcPr>
            <w:tcW w:w="1843"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Показатель затрат</w:t>
            </w:r>
          </w:p>
        </w:tc>
        <w:tc>
          <w:tcPr>
            <w:tcW w:w="2835"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Стоимость реализации в год</w:t>
            </w:r>
          </w:p>
        </w:tc>
        <w:tc>
          <w:tcPr>
            <w:tcW w:w="5068"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Предполагаемая выручка, увеличившаяся на 1,5%</w:t>
            </w:r>
          </w:p>
        </w:tc>
      </w:tr>
      <w:tr w:rsidR="00517711">
        <w:tc>
          <w:tcPr>
            <w:tcW w:w="1843" w:type="dxa"/>
          </w:tcPr>
          <w:p w:rsidR="00517711" w:rsidRDefault="00F815BE">
            <w:pPr>
              <w:spacing w:line="240" w:lineRule="auto"/>
              <w:jc w:val="both"/>
              <w:rPr>
                <w:rFonts w:ascii="Times New Roman" w:hAnsi="Times New Roman" w:cs="Times New Roman"/>
                <w:sz w:val="20"/>
                <w:szCs w:val="20"/>
              </w:rPr>
            </w:pPr>
            <w:r>
              <w:rPr>
                <w:rFonts w:ascii="Times New Roman" w:hAnsi="Times New Roman" w:cs="Times New Roman"/>
                <w:sz w:val="20"/>
                <w:szCs w:val="20"/>
              </w:rPr>
              <w:t>Реклама «</w:t>
            </w:r>
            <w:r>
              <w:rPr>
                <w:rFonts w:ascii="Times New Roman" w:hAnsi="Times New Roman" w:cs="Times New Roman"/>
                <w:sz w:val="20"/>
                <w:szCs w:val="20"/>
                <w:lang w:val="en-US"/>
              </w:rPr>
              <w:t>FarPost</w:t>
            </w:r>
            <w:r>
              <w:rPr>
                <w:rFonts w:ascii="Times New Roman" w:hAnsi="Times New Roman" w:cs="Times New Roman"/>
                <w:sz w:val="20"/>
                <w:szCs w:val="20"/>
              </w:rPr>
              <w:t>»</w:t>
            </w:r>
          </w:p>
        </w:tc>
        <w:tc>
          <w:tcPr>
            <w:tcW w:w="2835" w:type="dxa"/>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29,200</w:t>
            </w:r>
          </w:p>
        </w:tc>
        <w:tc>
          <w:tcPr>
            <w:tcW w:w="5068" w:type="dxa"/>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19952,281</w:t>
            </w:r>
          </w:p>
        </w:tc>
      </w:tr>
    </w:tbl>
    <w:p w:rsidR="00517711" w:rsidRDefault="00F815BE">
      <w:pPr>
        <w:spacing w:before="120"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Соответственно, выручка увеличится на 294,86 тыс.руб., при затратах на сумму 29,2 тыс.руб., т.е. услуга по рекламе окупится в десять раз. Так же, рекламная деятельность окупится за один день, даже если средняя ежедневная выручка будет находится на уровне 2016 года (48,749 тыс.руб. в день).</w:t>
      </w:r>
    </w:p>
    <w:p w:rsidR="00517711" w:rsidRDefault="00F815BE">
      <w:pPr>
        <w:widowControl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ab/>
        <w:t xml:space="preserve">Рассмотрим регулирование уровня цен и контроль качества продукции. Данная категория, не смотря на свою очевидную важность, трудно исчисляемая ввиду огромного количества товаров, на которые устанавливаются цен, в большинстве случаев они находятся либо на уровне, либо ниже цен конкурентов, однако ввиду кризиса и общего повышения цен, они стали гораздо больше, чем мог позволить себе потребитель, даже после стабилизации рынка. Поэтому ее стоит тщательно рассматривать. </w:t>
      </w:r>
    </w:p>
    <w:p w:rsidR="00517711" w:rsidRDefault="00F815BE">
      <w:pPr>
        <w:widowControl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ab/>
        <w:t xml:space="preserve">Однако в связи с тем, что ежедневно происходит динамичная регуляция цен на рынке, в чем осведомлено предприятие, то изменение ценовой политики и общего уровня цен в кардинальной мере стоит исключить на данный момент времени. Тем не менее стоит составить прогрессивный график изменения цен после данного отчетного года, что позволит более продуманно менять цен. [5, </w:t>
      </w:r>
      <w:r>
        <w:rPr>
          <w:rFonts w:ascii="Times New Roman" w:hAnsi="Times New Roman" w:cs="Times New Roman"/>
          <w:sz w:val="20"/>
          <w:szCs w:val="20"/>
          <w:lang w:val="en-US"/>
        </w:rPr>
        <w:t>c</w:t>
      </w:r>
      <w:r>
        <w:rPr>
          <w:rFonts w:ascii="Times New Roman" w:hAnsi="Times New Roman" w:cs="Times New Roman"/>
          <w:sz w:val="20"/>
          <w:szCs w:val="20"/>
        </w:rPr>
        <w:t>. 9]</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В результате можно сделать вывод, что «Залог», являющийся сетью оптово-розничных магазинов, является одним из лидеров рынка, наравне с гигантом данной отрасли – «Красный мамонт», а также с такими конкурентами как «Палитра», «Помощник», «Дюна», «Мастерстрой» и западным гигантом – «Леруа Мерлен».</w:t>
      </w:r>
    </w:p>
    <w:p w:rsidR="00517711" w:rsidRDefault="00F815BE">
      <w:pPr>
        <w:widowControl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ab/>
        <w:t xml:space="preserve"> Данная оптово-розничная торговая сеть является эффективным инструментом для создания комфортной конкурентной среды на рынке. Можно сказать, что она является одним из ведущих дилеров строительных и отделочных материалов, которые прочно закрепились на рынке Дальнего Востока. Это нужно использовать для дальнейшего развития. </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ab/>
        <w:t>Сейчас компания находится в плане финансов в абсолютно устойчивом состоянии, хоть и после экономического кризиса экономическое состояние находилось в неустойчивом положении. В качестве мер по подкреплению этого повышению оборачиваемости, а следственно и выручки, предприятию следует учитывать мнение своих клиентов целевого сегмента, и, как показал отраслевой анализ, более тщательно подходить к оценке потребностей рынка. Это позволит не только удержать свои позиции относительно конкурентов, но и увеличить занимаемую долю, в связи с ростом жилых площадей в Приморском крае и стабилизацией доходов населения.</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Также активно развиваются торговые интернет площадки, что уже используется в качестве перспективного маркетингового двигателя продаж. </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ab/>
        <w:t xml:space="preserve">Из ряда факторов, которые прямо влияют на предприятие, но не выделяются среди конкурентов стали – услуги, оказываемые после продажи товара, уровень личных продаж и качество кадрового состава предприятия, маркетинговая деятельность в рамках продвижения товара, а не анализа рынка, а также уровень </w:t>
      </w:r>
      <w:r>
        <w:rPr>
          <w:rFonts w:ascii="Times New Roman" w:hAnsi="Times New Roman" w:cs="Times New Roman"/>
          <w:sz w:val="20"/>
          <w:szCs w:val="20"/>
        </w:rPr>
        <w:lastRenderedPageBreak/>
        <w:t>цен, который характерен невысоким положительным уровнем у всех контрагентов отрасли. Если решить данные проблемы, то конкурентоспособность предприятия заметно возрастет.</w:t>
      </w:r>
    </w:p>
    <w:p w:rsidR="00517711" w:rsidRDefault="00F815BE">
      <w:pPr>
        <w:spacing w:line="240" w:lineRule="auto"/>
        <w:jc w:val="both"/>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________________________________________________________________________________</w:t>
      </w:r>
    </w:p>
    <w:p w:rsidR="00517711" w:rsidRDefault="00F815BE">
      <w:pPr>
        <w:spacing w:before="120" w:after="0" w:line="240" w:lineRule="auto"/>
        <w:jc w:val="both"/>
        <w:rPr>
          <w:rFonts w:ascii="Times New Roman" w:hAnsi="Times New Roman" w:cs="Times New Roman"/>
          <w:color w:val="000000"/>
          <w:sz w:val="20"/>
          <w:szCs w:val="20"/>
        </w:rPr>
      </w:pPr>
      <w:r>
        <w:rPr>
          <w:rFonts w:ascii="Times New Roman" w:hAnsi="Times New Roman" w:cs="Times New Roman"/>
          <w:sz w:val="20"/>
          <w:szCs w:val="20"/>
        </w:rPr>
        <w:tab/>
        <w:t xml:space="preserve">1 Официальный сайт сети магазинов «Залог» / </w:t>
      </w:r>
      <w:hyperlink r:id="rId12" w:history="1">
        <w:r>
          <w:rPr>
            <w:rStyle w:val="aa"/>
            <w:rFonts w:ascii="Times New Roman" w:hAnsi="Times New Roman" w:cs="Times New Roman"/>
            <w:color w:val="000000" w:themeColor="text1"/>
            <w:sz w:val="20"/>
            <w:szCs w:val="20"/>
          </w:rPr>
          <w:t>http://zalog-vostok.ru/</w:t>
        </w:r>
      </w:hyperlink>
    </w:p>
    <w:p w:rsidR="00517711" w:rsidRDefault="00F815BE">
      <w:pPr>
        <w:spacing w:after="0" w:line="240" w:lineRule="auto"/>
        <w:ind w:firstLine="709"/>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2 Тертышник М.И. Экономика предприятия: учеб. пособие для студентов вузов / М. И. Тертышник ; Байкал. гос. ун-т экономики и права. - 2-е изд. - М : ИНФРА-М, 2013. - 328 с. </w:t>
      </w:r>
    </w:p>
    <w:p w:rsidR="00517711" w:rsidRDefault="00F815BE">
      <w:pPr>
        <w:spacing w:after="0" w:line="240" w:lineRule="auto"/>
        <w:ind w:firstLine="709"/>
        <w:jc w:val="both"/>
        <w:rPr>
          <w:rFonts w:ascii="Times New Roman" w:hAnsi="Times New Roman" w:cs="Times New Roman"/>
          <w:sz w:val="20"/>
          <w:szCs w:val="20"/>
          <w:lang w:eastAsia="ru-RU"/>
        </w:rPr>
      </w:pPr>
      <w:r>
        <w:rPr>
          <w:rFonts w:ascii="Times New Roman" w:hAnsi="Times New Roman" w:cs="Times New Roman"/>
          <w:sz w:val="20"/>
          <w:szCs w:val="20"/>
          <w:lang w:eastAsia="ru-RU"/>
        </w:rPr>
        <w:t>3 Волкова Н.В. Конкурентоспособность предпринимательских структур / Н.В. Волкова. - М.: LAP Lambert Academic Publishing, </w:t>
      </w:r>
      <w:r>
        <w:rPr>
          <w:rFonts w:ascii="Times New Roman" w:hAnsi="Times New Roman" w:cs="Times New Roman"/>
          <w:bCs/>
          <w:sz w:val="20"/>
          <w:szCs w:val="20"/>
          <w:lang w:eastAsia="ru-RU"/>
        </w:rPr>
        <w:t>2016</w:t>
      </w:r>
      <w:r>
        <w:rPr>
          <w:rFonts w:ascii="Times New Roman" w:hAnsi="Times New Roman" w:cs="Times New Roman"/>
          <w:sz w:val="20"/>
          <w:szCs w:val="20"/>
          <w:lang w:eastAsia="ru-RU"/>
        </w:rPr>
        <w:t>. - 176 c.</w:t>
      </w:r>
    </w:p>
    <w:p w:rsidR="00517711" w:rsidRDefault="00F815BE">
      <w:pPr>
        <w:widowControl w:val="0"/>
        <w:spacing w:after="0" w:line="240" w:lineRule="auto"/>
        <w:ind w:firstLine="709"/>
        <w:jc w:val="both"/>
        <w:rPr>
          <w:rFonts w:ascii="Times New Roman" w:hAnsi="Times New Roman" w:cs="Times New Roman"/>
          <w:sz w:val="20"/>
          <w:szCs w:val="20"/>
          <w:lang w:eastAsia="ru-RU"/>
        </w:rPr>
      </w:pPr>
      <w:r>
        <w:rPr>
          <w:rFonts w:ascii="Times New Roman" w:hAnsi="Times New Roman" w:cs="Times New Roman"/>
          <w:sz w:val="20"/>
          <w:szCs w:val="20"/>
          <w:lang w:eastAsia="ru-RU"/>
        </w:rPr>
        <w:t>4 Квасникова В. В. Конкурентоспособность товаров и организаций. Практикум / В.В. Квасникова, О.Н. Жучкевич. - М.: Инфра-М, Новое знание, </w:t>
      </w:r>
      <w:r>
        <w:rPr>
          <w:rFonts w:ascii="Times New Roman" w:hAnsi="Times New Roman" w:cs="Times New Roman"/>
          <w:bCs/>
          <w:sz w:val="20"/>
          <w:szCs w:val="20"/>
          <w:lang w:eastAsia="ru-RU"/>
        </w:rPr>
        <w:t>2016</w:t>
      </w:r>
      <w:r>
        <w:rPr>
          <w:rFonts w:ascii="Times New Roman" w:hAnsi="Times New Roman" w:cs="Times New Roman"/>
          <w:sz w:val="20"/>
          <w:szCs w:val="20"/>
          <w:lang w:eastAsia="ru-RU"/>
        </w:rPr>
        <w:t>. - 192 c.</w:t>
      </w:r>
    </w:p>
    <w:p w:rsidR="00517711" w:rsidRDefault="00F815BE">
      <w:pPr>
        <w:spacing w:after="0" w:line="240" w:lineRule="auto"/>
        <w:ind w:firstLine="709"/>
        <w:jc w:val="both"/>
        <w:rPr>
          <w:rFonts w:ascii="Times New Roman" w:hAnsi="Times New Roman" w:cs="Times New Roman"/>
          <w:sz w:val="20"/>
          <w:szCs w:val="20"/>
          <w:lang w:eastAsia="ru-RU"/>
        </w:rPr>
      </w:pPr>
      <w:r>
        <w:rPr>
          <w:rFonts w:ascii="Times New Roman" w:hAnsi="Times New Roman" w:cs="Times New Roman"/>
          <w:sz w:val="20"/>
          <w:szCs w:val="20"/>
          <w:lang w:eastAsia="ru-RU"/>
        </w:rPr>
        <w:t>5 Фатхутдинов Р.А. Глобальная конкурентоспособность. На стол современному руководителю / Р.А. Фатхутдинов. - М.: Стандарты и качество, </w:t>
      </w:r>
      <w:r>
        <w:rPr>
          <w:rFonts w:ascii="Times New Roman" w:hAnsi="Times New Roman" w:cs="Times New Roman"/>
          <w:bCs/>
          <w:sz w:val="20"/>
          <w:szCs w:val="20"/>
          <w:lang w:eastAsia="ru-RU"/>
        </w:rPr>
        <w:t>2016</w:t>
      </w:r>
      <w:r>
        <w:rPr>
          <w:rFonts w:ascii="Times New Roman" w:hAnsi="Times New Roman" w:cs="Times New Roman"/>
          <w:sz w:val="20"/>
          <w:szCs w:val="20"/>
          <w:lang w:eastAsia="ru-RU"/>
        </w:rPr>
        <w:t>. - 464 c.</w:t>
      </w:r>
    </w:p>
    <w:p w:rsidR="00517711" w:rsidRDefault="00517711">
      <w:pPr>
        <w:jc w:val="both"/>
        <w:rPr>
          <w:lang w:eastAsia="ru-RU"/>
        </w:rPr>
      </w:pPr>
    </w:p>
    <w:p w:rsidR="00517711" w:rsidRDefault="00F815BE">
      <w:pPr>
        <w:spacing w:line="240" w:lineRule="auto"/>
        <w:rPr>
          <w:rFonts w:ascii="Times New Roman" w:hAnsi="Times New Roman" w:cs="Times New Roman"/>
          <w:b/>
          <w:sz w:val="20"/>
          <w:szCs w:val="24"/>
        </w:rPr>
      </w:pPr>
      <w:r>
        <w:rPr>
          <w:rFonts w:ascii="Times New Roman" w:hAnsi="Times New Roman" w:cs="Times New Roman"/>
          <w:b/>
          <w:sz w:val="20"/>
          <w:szCs w:val="24"/>
        </w:rPr>
        <w:t>Рубрика: Экономика</w:t>
      </w:r>
    </w:p>
    <w:p w:rsidR="00517711" w:rsidRDefault="00F815BE">
      <w:pPr>
        <w:spacing w:line="240" w:lineRule="auto"/>
        <w:rPr>
          <w:rFonts w:ascii="Times New Roman" w:hAnsi="Times New Roman" w:cs="Times New Roman"/>
          <w:sz w:val="20"/>
          <w:szCs w:val="24"/>
        </w:rPr>
      </w:pPr>
      <w:r>
        <w:rPr>
          <w:rFonts w:ascii="Times New Roman" w:hAnsi="Times New Roman" w:cs="Times New Roman"/>
          <w:sz w:val="20"/>
          <w:szCs w:val="24"/>
        </w:rPr>
        <w:t xml:space="preserve">УДК 658.6 </w:t>
      </w:r>
    </w:p>
    <w:p w:rsidR="00517711" w:rsidRDefault="00F815BE">
      <w:pPr>
        <w:spacing w:line="240" w:lineRule="auto"/>
        <w:ind w:left="1134" w:right="1134"/>
        <w:jc w:val="center"/>
        <w:rPr>
          <w:rFonts w:ascii="Book Antiqua" w:hAnsi="Book Antiqua"/>
          <w:b/>
          <w:sz w:val="26"/>
          <w:szCs w:val="26"/>
        </w:rPr>
      </w:pPr>
      <w:r>
        <w:rPr>
          <w:rFonts w:ascii="Book Antiqua" w:hAnsi="Book Antiqua"/>
          <w:b/>
          <w:sz w:val="26"/>
          <w:szCs w:val="26"/>
        </w:rPr>
        <w:t>ИССЛЕДОВАНИЕ СОСТОЯНИЯ ЭЛЕКТРОННОЙ ТОРГОВЛИ РОЗНИЧНЫХ ТОРГОВЫХ ПРЕДПРИЯТИЙ Г. ВЛАДИВОСТОКА</w:t>
      </w:r>
    </w:p>
    <w:p w:rsidR="00517711" w:rsidRDefault="00517711">
      <w:pPr>
        <w:spacing w:line="240" w:lineRule="auto"/>
        <w:ind w:left="1134" w:right="1134"/>
        <w:jc w:val="center"/>
        <w:rPr>
          <w:b/>
          <w:sz w:val="24"/>
          <w:szCs w:val="24"/>
        </w:rPr>
      </w:pPr>
    </w:p>
    <w:p w:rsidR="00517711" w:rsidRDefault="00F815BE">
      <w:pPr>
        <w:spacing w:after="0" w:line="240" w:lineRule="auto"/>
        <w:jc w:val="center"/>
        <w:rPr>
          <w:rFonts w:ascii="Arial" w:hAnsi="Arial" w:cs="Arial"/>
          <w:b/>
          <w:sz w:val="24"/>
          <w:szCs w:val="24"/>
        </w:rPr>
      </w:pPr>
      <w:r>
        <w:rPr>
          <w:rFonts w:ascii="Arial" w:hAnsi="Arial" w:cs="Arial"/>
          <w:b/>
          <w:sz w:val="24"/>
          <w:szCs w:val="24"/>
        </w:rPr>
        <w:t>Дроговоз Ольга Владимировна,</w:t>
      </w:r>
    </w:p>
    <w:p w:rsidR="00517711" w:rsidRDefault="00F815BE">
      <w:pPr>
        <w:spacing w:after="0" w:line="240" w:lineRule="auto"/>
        <w:jc w:val="center"/>
        <w:rPr>
          <w:rFonts w:ascii="Arial" w:hAnsi="Arial" w:cs="Arial"/>
          <w:sz w:val="24"/>
          <w:szCs w:val="24"/>
        </w:rPr>
      </w:pPr>
      <w:r>
        <w:rPr>
          <w:rFonts w:ascii="Arial" w:hAnsi="Arial" w:cs="Arial"/>
          <w:sz w:val="24"/>
          <w:szCs w:val="24"/>
        </w:rPr>
        <w:t>бакалавр</w:t>
      </w:r>
    </w:p>
    <w:p w:rsidR="00517711" w:rsidRDefault="00F815BE">
      <w:pPr>
        <w:spacing w:line="240" w:lineRule="auto"/>
        <w:jc w:val="center"/>
        <w:rPr>
          <w:rFonts w:ascii="Times New Roman" w:hAnsi="Times New Roman" w:cs="Times New Roman"/>
          <w:sz w:val="24"/>
          <w:szCs w:val="24"/>
        </w:rPr>
      </w:pPr>
      <w:r>
        <w:rPr>
          <w:rFonts w:ascii="Times New Roman" w:hAnsi="Times New Roman" w:cs="Times New Roman"/>
          <w:sz w:val="20"/>
          <w:szCs w:val="24"/>
        </w:rPr>
        <w:t xml:space="preserve"> </w:t>
      </w:r>
      <w:r>
        <w:rPr>
          <w:rFonts w:ascii="Times New Roman" w:hAnsi="Times New Roman" w:cs="Times New Roman"/>
          <w:sz w:val="20"/>
          <w:szCs w:val="24"/>
          <w:lang w:val="en-US"/>
        </w:rPr>
        <w:t>E</w:t>
      </w:r>
      <w:r>
        <w:rPr>
          <w:rFonts w:ascii="Times New Roman" w:hAnsi="Times New Roman" w:cs="Times New Roman"/>
          <w:sz w:val="20"/>
          <w:szCs w:val="24"/>
        </w:rPr>
        <w:t>-</w:t>
      </w:r>
      <w:r>
        <w:rPr>
          <w:rFonts w:ascii="Times New Roman" w:hAnsi="Times New Roman" w:cs="Times New Roman"/>
          <w:sz w:val="20"/>
          <w:szCs w:val="24"/>
          <w:lang w:val="en-US"/>
        </w:rPr>
        <w:t>mail</w:t>
      </w:r>
      <w:r>
        <w:rPr>
          <w:rFonts w:ascii="Times New Roman" w:hAnsi="Times New Roman" w:cs="Times New Roman"/>
          <w:sz w:val="20"/>
          <w:szCs w:val="24"/>
        </w:rPr>
        <w:t xml:space="preserve">: </w:t>
      </w:r>
      <w:r>
        <w:rPr>
          <w:rFonts w:ascii="Times New Roman" w:hAnsi="Times New Roman" w:cs="Times New Roman"/>
          <w:sz w:val="20"/>
          <w:szCs w:val="24"/>
          <w:lang w:val="en-US"/>
        </w:rPr>
        <w:t>olgaluka</w:t>
      </w:r>
      <w:r>
        <w:rPr>
          <w:rFonts w:ascii="Times New Roman" w:hAnsi="Times New Roman" w:cs="Times New Roman"/>
          <w:sz w:val="20"/>
          <w:szCs w:val="24"/>
        </w:rPr>
        <w:t>@</w:t>
      </w:r>
      <w:r>
        <w:rPr>
          <w:rFonts w:ascii="Times New Roman" w:hAnsi="Times New Roman" w:cs="Times New Roman"/>
          <w:sz w:val="20"/>
          <w:szCs w:val="24"/>
          <w:lang w:val="en-US"/>
        </w:rPr>
        <w:t>inbox</w:t>
      </w:r>
      <w:r>
        <w:rPr>
          <w:rFonts w:ascii="Times New Roman" w:hAnsi="Times New Roman" w:cs="Times New Roman"/>
          <w:sz w:val="20"/>
          <w:szCs w:val="24"/>
        </w:rPr>
        <w:t>.</w:t>
      </w:r>
      <w:r>
        <w:rPr>
          <w:rFonts w:ascii="Times New Roman" w:hAnsi="Times New Roman" w:cs="Times New Roman"/>
          <w:sz w:val="20"/>
          <w:szCs w:val="24"/>
          <w:lang w:val="en-US"/>
        </w:rPr>
        <w:t>ru</w:t>
      </w:r>
      <w:r>
        <w:rPr>
          <w:rFonts w:ascii="Times New Roman" w:hAnsi="Times New Roman" w:cs="Times New Roman"/>
          <w:sz w:val="20"/>
          <w:szCs w:val="24"/>
        </w:rPr>
        <w:t>; +79841563775</w:t>
      </w:r>
    </w:p>
    <w:p w:rsidR="00517711" w:rsidRDefault="00F815BE">
      <w:pPr>
        <w:spacing w:after="0" w:line="240" w:lineRule="auto"/>
        <w:jc w:val="center"/>
        <w:rPr>
          <w:rFonts w:ascii="Arial" w:hAnsi="Arial" w:cs="Arial"/>
          <w:b/>
          <w:sz w:val="24"/>
          <w:szCs w:val="24"/>
        </w:rPr>
      </w:pPr>
      <w:r>
        <w:rPr>
          <w:rFonts w:ascii="Arial" w:hAnsi="Arial" w:cs="Arial"/>
          <w:b/>
          <w:sz w:val="24"/>
          <w:szCs w:val="24"/>
        </w:rPr>
        <w:t xml:space="preserve">Лысенко Виолетта Евгеньевна </w:t>
      </w:r>
    </w:p>
    <w:p w:rsidR="00517711" w:rsidRDefault="00F815BE">
      <w:pPr>
        <w:spacing w:after="0" w:line="240" w:lineRule="auto"/>
        <w:jc w:val="center"/>
        <w:rPr>
          <w:rFonts w:ascii="Arial" w:hAnsi="Arial" w:cs="Arial"/>
          <w:sz w:val="24"/>
          <w:szCs w:val="24"/>
        </w:rPr>
      </w:pPr>
      <w:r>
        <w:rPr>
          <w:rFonts w:ascii="Arial" w:hAnsi="Arial" w:cs="Arial"/>
          <w:sz w:val="24"/>
          <w:szCs w:val="24"/>
        </w:rPr>
        <w:t>бакалавр</w:t>
      </w:r>
    </w:p>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lang w:val="en-US"/>
        </w:rPr>
        <w:t>E</w:t>
      </w:r>
      <w:r>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lang w:val="en-US"/>
        </w:rPr>
        <w:t>mail</w:t>
      </w:r>
      <w:r>
        <w:rPr>
          <w:rFonts w:ascii="Times New Roman" w:hAnsi="Times New Roman" w:cs="Times New Roman"/>
          <w:color w:val="000000" w:themeColor="text1"/>
          <w:sz w:val="20"/>
          <w:szCs w:val="20"/>
        </w:rPr>
        <w:t xml:space="preserve">:  </w:t>
      </w:r>
      <w:hyperlink r:id="rId13" w:history="1">
        <w:r>
          <w:rPr>
            <w:rStyle w:val="aa"/>
            <w:rFonts w:ascii="Times New Roman" w:hAnsi="Times New Roman" w:cs="Times New Roman"/>
            <w:color w:val="000000" w:themeColor="text1"/>
            <w:sz w:val="20"/>
            <w:szCs w:val="20"/>
            <w:lang w:val="en-US"/>
          </w:rPr>
          <w:t>violetta</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lysenko</w:t>
        </w:r>
        <w:r>
          <w:rPr>
            <w:rStyle w:val="aa"/>
            <w:rFonts w:ascii="Times New Roman" w:hAnsi="Times New Roman" w:cs="Times New Roman"/>
            <w:color w:val="000000" w:themeColor="text1"/>
            <w:sz w:val="20"/>
            <w:szCs w:val="20"/>
          </w:rPr>
          <w:t>.97@</w:t>
        </w:r>
        <w:r>
          <w:rPr>
            <w:rStyle w:val="aa"/>
            <w:rFonts w:ascii="Times New Roman" w:hAnsi="Times New Roman" w:cs="Times New Roman"/>
            <w:color w:val="000000" w:themeColor="text1"/>
            <w:sz w:val="20"/>
            <w:szCs w:val="20"/>
            <w:lang w:val="en-US"/>
          </w:rPr>
          <w:t>mail</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ru</w:t>
        </w:r>
      </w:hyperlink>
      <w:r>
        <w:rPr>
          <w:rFonts w:ascii="Times New Roman" w:hAnsi="Times New Roman" w:cs="Times New Roman"/>
          <w:color w:val="000000" w:themeColor="text1"/>
          <w:sz w:val="20"/>
          <w:szCs w:val="20"/>
        </w:rPr>
        <w:t>; +79242691241</w:t>
      </w:r>
    </w:p>
    <w:p w:rsidR="00517711" w:rsidRDefault="00F815BE">
      <w:pPr>
        <w:spacing w:after="0" w:line="240" w:lineRule="auto"/>
        <w:jc w:val="center"/>
        <w:rPr>
          <w:rFonts w:ascii="Arial" w:hAnsi="Arial" w:cs="Arial"/>
          <w:b/>
          <w:sz w:val="24"/>
          <w:szCs w:val="24"/>
        </w:rPr>
      </w:pPr>
      <w:r>
        <w:rPr>
          <w:rFonts w:ascii="Arial" w:hAnsi="Arial" w:cs="Arial"/>
          <w:b/>
          <w:sz w:val="24"/>
          <w:szCs w:val="24"/>
        </w:rPr>
        <w:t xml:space="preserve">Кушнир Анна Владимировна </w:t>
      </w:r>
    </w:p>
    <w:p w:rsidR="00517711" w:rsidRDefault="00F815BE">
      <w:pPr>
        <w:spacing w:after="0" w:line="240" w:lineRule="auto"/>
        <w:jc w:val="center"/>
        <w:rPr>
          <w:rFonts w:ascii="Arial" w:hAnsi="Arial" w:cs="Arial"/>
          <w:sz w:val="24"/>
          <w:szCs w:val="24"/>
        </w:rPr>
      </w:pPr>
      <w:r>
        <w:rPr>
          <w:rFonts w:ascii="Arial" w:hAnsi="Arial" w:cs="Arial"/>
          <w:sz w:val="24"/>
          <w:szCs w:val="24"/>
        </w:rPr>
        <w:t>бакалавр</w:t>
      </w:r>
    </w:p>
    <w:p w:rsidR="00517711" w:rsidRDefault="00F815BE">
      <w:pPr>
        <w:spacing w:line="240" w:lineRule="auto"/>
        <w:jc w:val="center"/>
        <w:rPr>
          <w:sz w:val="20"/>
          <w:szCs w:val="24"/>
        </w:rPr>
      </w:pPr>
      <w:r>
        <w:rPr>
          <w:sz w:val="20"/>
          <w:szCs w:val="24"/>
          <w:lang w:val="en-US"/>
        </w:rPr>
        <w:t>E</w:t>
      </w:r>
      <w:r>
        <w:rPr>
          <w:sz w:val="20"/>
          <w:szCs w:val="24"/>
        </w:rPr>
        <w:t>-</w:t>
      </w:r>
      <w:r>
        <w:rPr>
          <w:sz w:val="20"/>
          <w:szCs w:val="24"/>
          <w:lang w:val="en-US"/>
        </w:rPr>
        <w:t>mail</w:t>
      </w:r>
      <w:r>
        <w:rPr>
          <w:sz w:val="20"/>
          <w:szCs w:val="24"/>
        </w:rPr>
        <w:t xml:space="preserve">: </w:t>
      </w:r>
      <w:r>
        <w:rPr>
          <w:sz w:val="20"/>
          <w:szCs w:val="24"/>
          <w:lang w:val="en-US"/>
        </w:rPr>
        <w:t>anna</w:t>
      </w:r>
      <w:r>
        <w:rPr>
          <w:sz w:val="20"/>
          <w:szCs w:val="24"/>
        </w:rPr>
        <w:t>_</w:t>
      </w:r>
      <w:r>
        <w:rPr>
          <w:sz w:val="20"/>
          <w:szCs w:val="24"/>
          <w:lang w:val="en-US"/>
        </w:rPr>
        <w:t>kushnir</w:t>
      </w:r>
      <w:r>
        <w:rPr>
          <w:sz w:val="20"/>
          <w:szCs w:val="24"/>
        </w:rPr>
        <w:t>_2017@</w:t>
      </w:r>
      <w:r>
        <w:rPr>
          <w:sz w:val="20"/>
          <w:szCs w:val="24"/>
          <w:lang w:val="en-US"/>
        </w:rPr>
        <w:t>mail</w:t>
      </w:r>
      <w:r>
        <w:rPr>
          <w:sz w:val="20"/>
          <w:szCs w:val="24"/>
        </w:rPr>
        <w:t>.</w:t>
      </w:r>
      <w:r>
        <w:rPr>
          <w:sz w:val="20"/>
          <w:szCs w:val="24"/>
          <w:lang w:val="en-US"/>
        </w:rPr>
        <w:t>ru</w:t>
      </w:r>
      <w:r>
        <w:rPr>
          <w:sz w:val="20"/>
          <w:szCs w:val="24"/>
        </w:rPr>
        <w:t>; +79662758921</w:t>
      </w:r>
    </w:p>
    <w:p w:rsidR="00517711" w:rsidRDefault="00F815BE">
      <w:pPr>
        <w:spacing w:after="0" w:line="240" w:lineRule="auto"/>
        <w:ind w:firstLine="708"/>
        <w:jc w:val="center"/>
        <w:rPr>
          <w:rFonts w:ascii="Arial" w:hAnsi="Arial" w:cs="Arial"/>
          <w:b/>
          <w:iCs/>
          <w:sz w:val="24"/>
          <w:szCs w:val="24"/>
        </w:rPr>
      </w:pPr>
      <w:r>
        <w:rPr>
          <w:rFonts w:ascii="Arial" w:hAnsi="Arial" w:cs="Arial"/>
          <w:b/>
          <w:iCs/>
          <w:sz w:val="24"/>
          <w:szCs w:val="24"/>
        </w:rPr>
        <w:t>Драгилев Игорь Георгиевич</w:t>
      </w:r>
    </w:p>
    <w:p w:rsidR="00517711" w:rsidRDefault="00F815BE">
      <w:pPr>
        <w:spacing w:after="0" w:line="240" w:lineRule="auto"/>
        <w:ind w:firstLine="708"/>
        <w:jc w:val="center"/>
        <w:rPr>
          <w:iCs/>
          <w:sz w:val="24"/>
          <w:szCs w:val="24"/>
          <w:lang w:eastAsia="ar-SA"/>
        </w:rPr>
      </w:pPr>
      <w:r>
        <w:rPr>
          <w:rFonts w:ascii="Arial" w:hAnsi="Arial" w:cs="Arial"/>
          <w:iCs/>
          <w:sz w:val="24"/>
          <w:szCs w:val="24"/>
        </w:rPr>
        <w:t>преподаватель</w:t>
      </w:r>
    </w:p>
    <w:p w:rsidR="00517711" w:rsidRDefault="00F815BE">
      <w:pPr>
        <w:spacing w:line="240" w:lineRule="auto"/>
        <w:ind w:firstLine="708"/>
        <w:jc w:val="center"/>
        <w:rPr>
          <w:iCs/>
          <w:color w:val="000000"/>
          <w:sz w:val="20"/>
          <w:szCs w:val="20"/>
          <w:lang w:eastAsia="ar-SA"/>
        </w:rPr>
      </w:pPr>
      <w:r>
        <w:rPr>
          <w:color w:val="000000" w:themeColor="text1"/>
          <w:sz w:val="20"/>
          <w:szCs w:val="20"/>
          <w:lang w:val="en-US"/>
        </w:rPr>
        <w:t>E</w:t>
      </w:r>
      <w:r>
        <w:rPr>
          <w:color w:val="000000" w:themeColor="text1"/>
          <w:sz w:val="20"/>
          <w:szCs w:val="20"/>
        </w:rPr>
        <w:t>-</w:t>
      </w:r>
      <w:r>
        <w:rPr>
          <w:color w:val="000000" w:themeColor="text1"/>
          <w:sz w:val="20"/>
          <w:szCs w:val="20"/>
          <w:lang w:val="en-US"/>
        </w:rPr>
        <w:t>mail</w:t>
      </w:r>
      <w:r>
        <w:rPr>
          <w:color w:val="000000" w:themeColor="text1"/>
          <w:sz w:val="20"/>
          <w:szCs w:val="20"/>
        </w:rPr>
        <w:t xml:space="preserve">: </w:t>
      </w:r>
      <w:hyperlink r:id="rId14" w:history="1">
        <w:r>
          <w:rPr>
            <w:rStyle w:val="aa"/>
            <w:iCs/>
            <w:color w:val="000000" w:themeColor="text1"/>
            <w:sz w:val="20"/>
            <w:szCs w:val="20"/>
            <w:lang w:val="en-US" w:eastAsia="ar-SA"/>
          </w:rPr>
          <w:t>igor</w:t>
        </w:r>
        <w:r>
          <w:rPr>
            <w:rStyle w:val="aa"/>
            <w:iCs/>
            <w:color w:val="000000" w:themeColor="text1"/>
            <w:sz w:val="20"/>
            <w:szCs w:val="20"/>
            <w:lang w:eastAsia="ar-SA"/>
          </w:rPr>
          <w:t>.</w:t>
        </w:r>
        <w:r>
          <w:rPr>
            <w:rStyle w:val="aa"/>
            <w:iCs/>
            <w:color w:val="000000" w:themeColor="text1"/>
            <w:sz w:val="20"/>
            <w:szCs w:val="20"/>
            <w:lang w:val="en-US" w:eastAsia="ar-SA"/>
          </w:rPr>
          <w:t>dragilev</w:t>
        </w:r>
        <w:r>
          <w:rPr>
            <w:rStyle w:val="aa"/>
            <w:iCs/>
            <w:color w:val="000000" w:themeColor="text1"/>
            <w:sz w:val="20"/>
            <w:szCs w:val="20"/>
            <w:lang w:eastAsia="ar-SA"/>
          </w:rPr>
          <w:t>@</w:t>
        </w:r>
        <w:r>
          <w:rPr>
            <w:rStyle w:val="aa"/>
            <w:iCs/>
            <w:color w:val="000000" w:themeColor="text1"/>
            <w:sz w:val="20"/>
            <w:szCs w:val="20"/>
            <w:lang w:val="en-US" w:eastAsia="ar-SA"/>
          </w:rPr>
          <w:t>vvsu</w:t>
        </w:r>
        <w:r>
          <w:rPr>
            <w:rStyle w:val="aa"/>
            <w:iCs/>
            <w:color w:val="000000" w:themeColor="text1"/>
            <w:sz w:val="20"/>
            <w:szCs w:val="20"/>
            <w:lang w:eastAsia="ar-SA"/>
          </w:rPr>
          <w:t>.</w:t>
        </w:r>
        <w:r>
          <w:rPr>
            <w:rStyle w:val="aa"/>
            <w:iCs/>
            <w:color w:val="000000" w:themeColor="text1"/>
            <w:sz w:val="20"/>
            <w:szCs w:val="20"/>
            <w:lang w:val="en-US" w:eastAsia="ar-SA"/>
          </w:rPr>
          <w:t>ru</w:t>
        </w:r>
      </w:hyperlink>
      <w:r>
        <w:rPr>
          <w:rStyle w:val="aa"/>
          <w:iCs/>
          <w:color w:val="000000" w:themeColor="text1"/>
          <w:sz w:val="20"/>
          <w:szCs w:val="20"/>
          <w:lang w:eastAsia="ar-SA"/>
        </w:rPr>
        <w:t>; +7</w:t>
      </w:r>
      <w:r>
        <w:rPr>
          <w:iCs/>
          <w:color w:val="000000" w:themeColor="text1"/>
          <w:sz w:val="20"/>
          <w:szCs w:val="20"/>
          <w:lang w:eastAsia="ar-SA"/>
        </w:rPr>
        <w:t>4232404102</w:t>
      </w:r>
    </w:p>
    <w:p w:rsidR="00517711" w:rsidRDefault="00F815BE">
      <w:pPr>
        <w:spacing w:after="0" w:line="240" w:lineRule="auto"/>
        <w:ind w:firstLine="284"/>
        <w:jc w:val="center"/>
        <w:rPr>
          <w:rFonts w:ascii="Times New Roman" w:hAnsi="Times New Roman" w:cs="Times New Roman"/>
          <w:i/>
          <w:sz w:val="21"/>
          <w:szCs w:val="21"/>
          <w:lang w:eastAsia="ru-RU"/>
        </w:rPr>
      </w:pPr>
      <w:r>
        <w:rPr>
          <w:rFonts w:ascii="Times New Roman" w:hAnsi="Times New Roman" w:cs="Times New Roman"/>
          <w:i/>
          <w:sz w:val="21"/>
          <w:szCs w:val="21"/>
          <w:lang w:eastAsia="ru-RU"/>
        </w:rPr>
        <w:t xml:space="preserve">Владивостокский государственный университет экономики и сервиса </w:t>
      </w:r>
    </w:p>
    <w:p w:rsidR="00517711" w:rsidRDefault="00F815BE">
      <w:pPr>
        <w:spacing w:after="0" w:line="240" w:lineRule="auto"/>
        <w:ind w:firstLine="708"/>
        <w:jc w:val="center"/>
        <w:rPr>
          <w:rFonts w:ascii="Times New Roman" w:hAnsi="Times New Roman" w:cs="Times New Roman"/>
          <w:iCs/>
          <w:sz w:val="21"/>
          <w:szCs w:val="21"/>
          <w:lang w:eastAsia="ar-SA"/>
        </w:rPr>
      </w:pPr>
      <w:r>
        <w:rPr>
          <w:rFonts w:ascii="Times New Roman" w:hAnsi="Times New Roman" w:cs="Times New Roman"/>
          <w:i/>
          <w:sz w:val="21"/>
          <w:szCs w:val="21"/>
          <w:lang w:eastAsia="ru-RU"/>
        </w:rPr>
        <w:t xml:space="preserve"> Россия. Владивосток</w:t>
      </w:r>
    </w:p>
    <w:p w:rsidR="00517711" w:rsidRDefault="00F815BE">
      <w:pPr>
        <w:spacing w:line="240" w:lineRule="auto"/>
        <w:ind w:firstLine="708"/>
        <w:jc w:val="center"/>
        <w:rPr>
          <w:rFonts w:ascii="Times New Roman" w:hAnsi="Times New Roman" w:cs="Times New Roman"/>
          <w:sz w:val="24"/>
          <w:szCs w:val="24"/>
          <w:lang w:eastAsia="ru-RU"/>
        </w:rPr>
      </w:pPr>
      <w:r>
        <w:rPr>
          <w:rFonts w:ascii="Times New Roman" w:hAnsi="Times New Roman" w:cs="Times New Roman"/>
          <w:sz w:val="20"/>
          <w:szCs w:val="24"/>
          <w:lang w:eastAsia="ru-RU"/>
        </w:rPr>
        <w:t>ул. Гоголя, 41, г. Владивосток, Приморский край, Россия, 690014</w:t>
      </w:r>
    </w:p>
    <w:p w:rsidR="00517711" w:rsidRDefault="00517711">
      <w:pPr>
        <w:spacing w:line="240" w:lineRule="auto"/>
        <w:ind w:firstLine="708"/>
        <w:jc w:val="center"/>
        <w:rPr>
          <w:iCs/>
          <w:sz w:val="24"/>
          <w:szCs w:val="24"/>
          <w:lang w:eastAsia="ar-SA"/>
        </w:rPr>
      </w:pPr>
    </w:p>
    <w:p w:rsidR="00517711" w:rsidRDefault="00517711">
      <w:pPr>
        <w:spacing w:line="240" w:lineRule="auto"/>
        <w:rPr>
          <w:i/>
          <w:sz w:val="24"/>
          <w:szCs w:val="24"/>
        </w:rPr>
      </w:pPr>
    </w:p>
    <w:p w:rsidR="00517711" w:rsidRDefault="00F815BE">
      <w:pPr>
        <w:spacing w:after="0" w:line="240" w:lineRule="auto"/>
        <w:ind w:firstLine="709"/>
        <w:jc w:val="both"/>
        <w:rPr>
          <w:rFonts w:ascii="Times New Roman" w:hAnsi="Times New Roman" w:cs="Times New Roman"/>
          <w:i/>
          <w:szCs w:val="24"/>
        </w:rPr>
      </w:pPr>
      <w:r>
        <w:rPr>
          <w:rFonts w:ascii="Times New Roman" w:hAnsi="Times New Roman" w:cs="Times New Roman"/>
          <w:i/>
          <w:szCs w:val="24"/>
        </w:rPr>
        <w:t>Статья посвящена современному состоянию электронной торговли. В статье анализируется актуальная проблема развития электронной торговли, ее интеграция в современный ритм жизни горожан. Исследовано отношение жителей Владивостока к электронной торговле, которое выявляется на основании проведенного опроса.</w:t>
      </w:r>
    </w:p>
    <w:p w:rsidR="00517711" w:rsidRDefault="00F815BE">
      <w:pPr>
        <w:spacing w:after="0" w:line="240" w:lineRule="auto"/>
        <w:ind w:firstLine="709"/>
        <w:jc w:val="both"/>
        <w:rPr>
          <w:rFonts w:ascii="Times New Roman" w:hAnsi="Times New Roman" w:cs="Times New Roman"/>
          <w:i/>
          <w:szCs w:val="24"/>
        </w:rPr>
      </w:pPr>
      <w:r>
        <w:rPr>
          <w:rFonts w:ascii="Times New Roman" w:hAnsi="Times New Roman" w:cs="Times New Roman"/>
          <w:b/>
          <w:i/>
          <w:szCs w:val="24"/>
        </w:rPr>
        <w:t xml:space="preserve">Ключевые слова и словосочетания: </w:t>
      </w:r>
      <w:r>
        <w:rPr>
          <w:rFonts w:ascii="Times New Roman" w:hAnsi="Times New Roman" w:cs="Times New Roman"/>
          <w:i/>
          <w:szCs w:val="24"/>
        </w:rPr>
        <w:t>электронная торговля, интернет - торговля, экономика, современные технологии, электронная торговая площадка.</w:t>
      </w:r>
    </w:p>
    <w:p w:rsidR="00517711" w:rsidRDefault="00517711">
      <w:pPr>
        <w:spacing w:line="240" w:lineRule="auto"/>
        <w:rPr>
          <w:i/>
          <w:sz w:val="24"/>
          <w:szCs w:val="24"/>
        </w:rPr>
      </w:pPr>
    </w:p>
    <w:p w:rsidR="00517711" w:rsidRDefault="00F815BE">
      <w:pPr>
        <w:spacing w:line="240" w:lineRule="auto"/>
        <w:jc w:val="center"/>
        <w:rPr>
          <w:rFonts w:ascii="Book Antiqua" w:hAnsi="Book Antiqua"/>
          <w:b/>
          <w:i/>
          <w:sz w:val="26"/>
          <w:szCs w:val="26"/>
          <w:lang w:val="en-US"/>
        </w:rPr>
      </w:pPr>
      <w:r>
        <w:rPr>
          <w:rFonts w:ascii="Book Antiqua" w:hAnsi="Book Antiqua"/>
          <w:b/>
          <w:sz w:val="26"/>
          <w:szCs w:val="26"/>
          <w:lang w:val="en-US"/>
        </w:rPr>
        <w:t>STUDY OF THE STATE OF E-COMMERCE RETAIL ENTERPRISES IN VLADIVOSTOK</w:t>
      </w:r>
    </w:p>
    <w:p w:rsidR="00517711" w:rsidRDefault="00517711">
      <w:pPr>
        <w:spacing w:line="240" w:lineRule="auto"/>
        <w:rPr>
          <w:sz w:val="24"/>
          <w:szCs w:val="24"/>
          <w:lang w:val="en-US"/>
        </w:rPr>
      </w:pPr>
    </w:p>
    <w:p w:rsidR="00517711" w:rsidRDefault="00F815BE">
      <w:pPr>
        <w:pStyle w:val="ae"/>
        <w:ind w:firstLine="709"/>
        <w:jc w:val="both"/>
        <w:rPr>
          <w:rFonts w:ascii="Times New Roman" w:hAnsi="Times New Roman" w:cs="Times New Roman"/>
          <w:i/>
          <w:lang w:val="en-US"/>
        </w:rPr>
      </w:pPr>
      <w:r>
        <w:rPr>
          <w:rFonts w:ascii="Times New Roman" w:hAnsi="Times New Roman" w:cs="Times New Roman"/>
          <w:i/>
          <w:lang w:val="en-US"/>
        </w:rPr>
        <w:lastRenderedPageBreak/>
        <w:t>The article is devoted to the current state of electronic Commerce. The article analyzes the actual problem of e-Commerce development, its integration into the modern rhythm of life of citizens. The article  (is studied attitude of Vladivostok residents to e-Commerce, which is revealed on the basis of the conducted survey.</w:t>
      </w:r>
    </w:p>
    <w:p w:rsidR="00517711" w:rsidRDefault="00F815BE">
      <w:pPr>
        <w:pStyle w:val="ae"/>
        <w:ind w:firstLine="709"/>
        <w:jc w:val="both"/>
        <w:rPr>
          <w:rFonts w:ascii="Times New Roman" w:hAnsi="Times New Roman" w:cs="Times New Roman"/>
          <w:i/>
          <w:lang w:val="en-US"/>
        </w:rPr>
      </w:pPr>
      <w:r>
        <w:rPr>
          <w:rFonts w:ascii="Times New Roman" w:hAnsi="Times New Roman" w:cs="Times New Roman"/>
          <w:b/>
          <w:i/>
          <w:lang w:val="en-US"/>
        </w:rPr>
        <w:t>Key words and phrases</w:t>
      </w:r>
      <w:r>
        <w:rPr>
          <w:rFonts w:ascii="Times New Roman" w:hAnsi="Times New Roman" w:cs="Times New Roman"/>
          <w:i/>
          <w:lang w:val="en-US"/>
        </w:rPr>
        <w:t>: economy, modern technologies, electronic trading platform, e – Commerce</w:t>
      </w:r>
    </w:p>
    <w:p w:rsidR="00517711" w:rsidRDefault="00517711">
      <w:pPr>
        <w:pStyle w:val="ae"/>
        <w:ind w:firstLine="709"/>
        <w:rPr>
          <w:lang w:val="en-US"/>
        </w:rPr>
      </w:pP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Своими создателями глобальная сеть Интернет, задумывалась, как абсолютно защищенный способ передачи информации. Однако в последнее время современные технологии превратили Интернет в развитую инфраструктуру, которая охватывает различные источники информации, а также деятельность коммерческих и государственных организаций. Современный Интернет затрагивает большинство аспектов экономической деятельности, поэтому его по праву можно считать площадкой для развития новой электронной экономики. Существующая в настоящее время экономическая деятельность, осуществляемая посредствам Интернета, приводит к активному развитию новых технологий, а в частности электронной коммерции, электронной торговли и электронного бизнеса в целом.</w:t>
      </w:r>
    </w:p>
    <w:p w:rsidR="00517711" w:rsidRDefault="00F815BE">
      <w:pPr>
        <w:spacing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Тема электронной торговли раскрыта хорошо, ежегодно публикуется большое количество информации на данную тему, 70 % из которой размещается в сети Интернет. Однако из-за постоянного развития технологий данная тема не теряет своей уникальности для изучения.</w:t>
      </w:r>
    </w:p>
    <w:p w:rsidR="00517711" w:rsidRDefault="00F815BE">
      <w:pPr>
        <w:spacing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 настоящий момент существует большое количество трактовок понятия «электронная торговля». Рассмотрим некоторые из них.  Арапова А. С. И Медушевская И.Н  определяют электронную торговлю, как «новый способ организации, управления и осуществления бизнес-сделок с использованием компьютерных технологий и коммуникационных сетей; это любая форма бизнес-сделки, в которой стороны взаимодействуют электронным способом, а не посредством физических операций обмена и/или прямого физического контакта» [1, с.1].</w:t>
      </w:r>
    </w:p>
    <w:p w:rsidR="00517711" w:rsidRDefault="00F815BE">
      <w:pPr>
        <w:spacing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К наиболее приемлемому определению, к которому хотелось бы присоединиться, можно отнести определение «электронной торговли», данное в рабочей программе по электронной коммерции Всемирной торговой организации (ВТО), принятой Генеральной Ассамблеей ВТО 25 сентября 1998 г. электронная торговля определяется как «производство, распределение, маркетинг, продажа или поставка товаров и услуг с помощью электронных средств связи» [2, с.18].</w:t>
      </w:r>
    </w:p>
    <w:p w:rsidR="00517711" w:rsidRDefault="00F815BE">
      <w:pPr>
        <w:spacing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Обобщив все вышесказанное можно сделать вывод о том, что электронная торговля - это вид предпринимательской деятельности, связанный с приобретением и продажей товаров посредством информационно-телекоммуникационной сети.</w:t>
      </w:r>
    </w:p>
    <w:p w:rsidR="00517711" w:rsidRDefault="00F815BE">
      <w:pPr>
        <w:spacing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Развитию электронной торговли способствует ее инновационный характер, современное состояние телекоммуникационных систем, а также те преимущества, которые она дает участниками сделки купли-продажи.</w:t>
      </w:r>
    </w:p>
    <w:p w:rsidR="00517711" w:rsidRDefault="00F815BE">
      <w:pPr>
        <w:spacing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Электронная торговля, как любая активно развивающаяся деятельность имеет определенные недостатки, а также множество преимуществ, которые способствуют дальнейшему развитию (табл.1). Однако, телекоммуникационные каналы не являются защищенными, а также не позволяют получить всю необходимую информацию о товаре, которую получают потребители при его покупке в традиционной торговле, «удаленная» покупка несет риск и для покупателя и для продавца – указанные факторы тормозят развитие электронной торговли и не позволяют  электронной заместить традиционную торговлю.</w:t>
      </w:r>
    </w:p>
    <w:p w:rsidR="00517711" w:rsidRDefault="00F815BE">
      <w:pPr>
        <w:spacing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Положительные и отрицательные аспекты электронной торговли представлены в таблице 1  [3, с.2]</w:t>
      </w:r>
    </w:p>
    <w:p w:rsidR="00517711" w:rsidRDefault="00517711">
      <w:pPr>
        <w:spacing w:line="240" w:lineRule="auto"/>
        <w:ind w:firstLine="709"/>
        <w:jc w:val="both"/>
        <w:rPr>
          <w:rFonts w:ascii="Times New Roman" w:hAnsi="Times New Roman" w:cs="Times New Roman"/>
          <w:color w:val="000000"/>
          <w:sz w:val="20"/>
          <w:szCs w:val="20"/>
        </w:rPr>
      </w:pPr>
    </w:p>
    <w:p w:rsidR="00517711" w:rsidRDefault="00F815BE">
      <w:pPr>
        <w:spacing w:line="240" w:lineRule="auto"/>
        <w:ind w:firstLine="709"/>
        <w:jc w:val="both"/>
        <w:rPr>
          <w:rFonts w:ascii="Times New Roman" w:hAnsi="Times New Roman" w:cs="Times New Roman"/>
          <w:color w:val="000000"/>
          <w:sz w:val="20"/>
          <w:szCs w:val="20"/>
        </w:rPr>
      </w:pPr>
      <w:r>
        <w:rPr>
          <w:rFonts w:ascii="Times New Roman" w:hAnsi="Times New Roman" w:cs="Times New Roman"/>
          <w:i/>
          <w:color w:val="000000" w:themeColor="text1"/>
          <w:sz w:val="20"/>
          <w:szCs w:val="20"/>
        </w:rPr>
        <w:t>Таблица 1</w:t>
      </w:r>
    </w:p>
    <w:p w:rsidR="00517711" w:rsidRDefault="00F815BE">
      <w:pPr>
        <w:spacing w:line="240" w:lineRule="auto"/>
        <w:ind w:firstLine="709"/>
        <w:jc w:val="both"/>
        <w:rPr>
          <w:rFonts w:ascii="Times New Roman" w:hAnsi="Times New Roman" w:cs="Times New Roman"/>
          <w:color w:val="000000"/>
          <w:sz w:val="20"/>
          <w:szCs w:val="20"/>
        </w:rPr>
      </w:pPr>
      <w:r>
        <w:rPr>
          <w:rFonts w:ascii="Times New Roman" w:hAnsi="Times New Roman" w:cs="Times New Roman"/>
          <w:b/>
          <w:color w:val="000000" w:themeColor="text1"/>
          <w:sz w:val="20"/>
          <w:szCs w:val="20"/>
        </w:rPr>
        <w:t>Положительные и отрицательные аспекты электронной торговли</w:t>
      </w:r>
      <w:r>
        <w:rPr>
          <w:rFonts w:ascii="Times New Roman" w:hAnsi="Times New Roman" w:cs="Times New Roman"/>
          <w:color w:val="000000" w:themeColor="text1"/>
          <w:sz w:val="20"/>
          <w:szCs w:val="20"/>
        </w:rPr>
        <w:t xml:space="preserve"> </w:t>
      </w:r>
    </w:p>
    <w:tbl>
      <w:tblPr>
        <w:tblW w:w="100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668"/>
        <w:gridCol w:w="4110"/>
        <w:gridCol w:w="4253"/>
      </w:tblGrid>
      <w:tr w:rsidR="00517711">
        <w:tc>
          <w:tcPr>
            <w:tcW w:w="1668" w:type="dxa"/>
            <w:vMerge w:val="restart"/>
            <w:tcBorders>
              <w:top w:val="single" w:sz="4" w:space="0" w:color="auto"/>
              <w:left w:val="single" w:sz="4" w:space="0" w:color="auto"/>
              <w:right w:val="single" w:sz="4" w:space="0" w:color="auto"/>
            </w:tcBorders>
            <w:vAlign w:val="center"/>
          </w:tcPr>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Достоинства</w:t>
            </w:r>
          </w:p>
        </w:tc>
        <w:tc>
          <w:tcPr>
            <w:tcW w:w="4110" w:type="dxa"/>
            <w:tcBorders>
              <w:top w:val="single" w:sz="4" w:space="0" w:color="auto"/>
              <w:left w:val="single" w:sz="4" w:space="0" w:color="auto"/>
              <w:bottom w:val="single" w:sz="4" w:space="0" w:color="auto"/>
              <w:right w:val="single" w:sz="4" w:space="0" w:color="auto"/>
            </w:tcBorders>
            <w:vAlign w:val="center"/>
          </w:tcPr>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Для покупателя</w:t>
            </w:r>
          </w:p>
        </w:tc>
        <w:tc>
          <w:tcPr>
            <w:tcW w:w="4253" w:type="dxa"/>
            <w:tcBorders>
              <w:top w:val="single" w:sz="4" w:space="0" w:color="auto"/>
              <w:left w:val="single" w:sz="4" w:space="0" w:color="auto"/>
              <w:bottom w:val="single" w:sz="4" w:space="0" w:color="auto"/>
              <w:right w:val="single" w:sz="4" w:space="0" w:color="auto"/>
            </w:tcBorders>
            <w:vAlign w:val="center"/>
          </w:tcPr>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Для продавца</w:t>
            </w:r>
          </w:p>
        </w:tc>
      </w:tr>
      <w:tr w:rsidR="00517711">
        <w:tc>
          <w:tcPr>
            <w:tcW w:w="1668" w:type="dxa"/>
            <w:vMerge/>
            <w:tcBorders>
              <w:left w:val="single" w:sz="4" w:space="0" w:color="auto"/>
              <w:bottom w:val="single" w:sz="4" w:space="0" w:color="auto"/>
              <w:right w:val="single" w:sz="4" w:space="0" w:color="auto"/>
            </w:tcBorders>
            <w:vAlign w:val="center"/>
          </w:tcPr>
          <w:p w:rsidR="00517711" w:rsidRDefault="00517711">
            <w:pPr>
              <w:pStyle w:val="ae"/>
              <w:ind w:firstLine="709"/>
              <w:jc w:val="both"/>
              <w:rPr>
                <w:rFonts w:ascii="Times New Roman" w:hAnsi="Times New Roman" w:cs="Times New Roman"/>
                <w:color w:val="000000"/>
                <w:sz w:val="20"/>
                <w:szCs w:val="20"/>
              </w:rPr>
            </w:pPr>
          </w:p>
        </w:tc>
        <w:tc>
          <w:tcPr>
            <w:tcW w:w="4110" w:type="dxa"/>
            <w:tcBorders>
              <w:top w:val="single" w:sz="4" w:space="0" w:color="auto"/>
              <w:left w:val="single" w:sz="4" w:space="0" w:color="auto"/>
              <w:bottom w:val="single" w:sz="4" w:space="0" w:color="auto"/>
              <w:right w:val="single" w:sz="4" w:space="0" w:color="auto"/>
            </w:tcBorders>
            <w:vAlign w:val="center"/>
          </w:tcPr>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Отсутствие необходимости посещать магазин для выбора товара. Доставка товара по месту проживания.</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Более низкая номинальная стоимость товаров (из-за отсутствия у продавца расходов на магазин). Широкий ассортимент.</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Удобство поиска нужного товара. Получение индивидуальных предложений</w:t>
            </w:r>
          </w:p>
        </w:tc>
        <w:tc>
          <w:tcPr>
            <w:tcW w:w="4253" w:type="dxa"/>
            <w:tcBorders>
              <w:top w:val="single" w:sz="4" w:space="0" w:color="auto"/>
              <w:left w:val="single" w:sz="4" w:space="0" w:color="auto"/>
              <w:bottom w:val="single" w:sz="4" w:space="0" w:color="auto"/>
              <w:right w:val="single" w:sz="4" w:space="0" w:color="auto"/>
            </w:tcBorders>
            <w:vAlign w:val="center"/>
          </w:tcPr>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Отсутствие затрат на содержание магазина.</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Неограниченная клиентская аудитория.</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Широкий ассортимент.</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Возможность подготовки индивидуальных предложений для клиента.</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Сравнительная простота формирования лояльной клиентской аудитории</w:t>
            </w:r>
          </w:p>
        </w:tc>
      </w:tr>
      <w:tr w:rsidR="00517711">
        <w:tc>
          <w:tcPr>
            <w:tcW w:w="1668" w:type="dxa"/>
            <w:tcBorders>
              <w:top w:val="single" w:sz="4" w:space="0" w:color="auto"/>
              <w:left w:val="single" w:sz="4" w:space="0" w:color="auto"/>
              <w:bottom w:val="single" w:sz="4" w:space="0" w:color="auto"/>
              <w:right w:val="single" w:sz="4" w:space="0" w:color="auto"/>
            </w:tcBorders>
            <w:vAlign w:val="center"/>
          </w:tcPr>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lastRenderedPageBreak/>
              <w:t>Недостатки</w:t>
            </w:r>
          </w:p>
        </w:tc>
        <w:tc>
          <w:tcPr>
            <w:tcW w:w="4110" w:type="dxa"/>
            <w:tcBorders>
              <w:top w:val="single" w:sz="4" w:space="0" w:color="auto"/>
              <w:left w:val="single" w:sz="4" w:space="0" w:color="auto"/>
              <w:bottom w:val="single" w:sz="4" w:space="0" w:color="auto"/>
              <w:right w:val="single" w:sz="4" w:space="0" w:color="auto"/>
            </w:tcBorders>
            <w:vAlign w:val="center"/>
          </w:tcPr>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Риск несоответствия реальных характеристик товара заявленным в описании.</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Долгое время ожидания товара. Необходимость выплаты аванса продавцу, если продавец требует полную или частичную предоплату. Более высокая стоимость заказа (из-за включения почтовых расходов), особенно при небольших заказах. Сложность возврата товара в случае желания клиента отказаться от покупки.</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Риск перехвата личной информации, переданной продавцу по каналам связи</w:t>
            </w:r>
          </w:p>
        </w:tc>
        <w:tc>
          <w:tcPr>
            <w:tcW w:w="4253" w:type="dxa"/>
            <w:tcBorders>
              <w:top w:val="single" w:sz="4" w:space="0" w:color="auto"/>
              <w:left w:val="single" w:sz="4" w:space="0" w:color="auto"/>
              <w:bottom w:val="single" w:sz="4" w:space="0" w:color="auto"/>
              <w:right w:val="single" w:sz="4" w:space="0" w:color="auto"/>
            </w:tcBorders>
            <w:vAlign w:val="center"/>
          </w:tcPr>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Риск отказа покупателя от товара (из-за его несоответствия заявленным характеристикам).</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Высокий риск подверженности хакерским атакам</w:t>
            </w:r>
          </w:p>
        </w:tc>
      </w:tr>
    </w:tbl>
    <w:p w:rsidR="00517711" w:rsidRDefault="00517711">
      <w:pPr>
        <w:spacing w:line="240" w:lineRule="auto"/>
        <w:ind w:firstLine="709"/>
        <w:jc w:val="both"/>
        <w:rPr>
          <w:rFonts w:ascii="Times New Roman" w:hAnsi="Times New Roman" w:cs="Times New Roman"/>
          <w:color w:val="000000"/>
          <w:sz w:val="20"/>
          <w:szCs w:val="20"/>
        </w:rPr>
      </w:pP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 теории выделяют следующие виды электронной торговли: электронные торговые площадки, электронные платежные системы, электронные рынки, система управления закупками, виртуальные предприятия, электронные биржи, аукционы, торговые ряды, электронные витрины, электронные каталоги, интернет-реклама.</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По исследованиям, проводимым компанией ООО «Яндекс», в качестве основных видов электронной торговли выделяют электронные торговые площадки и электронные магазины [4, с.25].</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Электронная торговая площадка – это точка, в которой заключаются сделки купли-продажи, между покупателем и продавцом, с помощью электронных технологий.</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Электронная торговая площадка объединяет несколько продавцов различных товаров, услуг, сервисов, в одном информационном пространстве с целью повышения эффективности их бизнеса. Покупатели на электронной торговой площадке могут принимать участие в различных торговых мероприятиях (торгах, аукционах, тендерах) одновременно с несколькими продавцами (поставщиками услуг.)</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Интернет-магазин – это специализированный веб-сайт, который принадлежит фирме-товаропроизводителю, торговой фирме, и который предназначен для продвижения товаров и услуг на рынке, увеличения объемов продаж, привлечения новых покупателей [3, с.3].</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При изучении вышеуказанной информации, возник вопрос: «А как же жители Владивостока относятся к электронной торговле? Как используют преимущества электронной торговли? Как минимизируют отрицательные ее аспекты? Какие виды электронной торговли предпочитают?».</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 данной связи возникла идея проведения исследования целью которого является выявление отношения потребителей к электронной торговле в г. Владивостоке.</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Актуальность темы исследования обусловлена тем, что в последние годы наблюдается бурный рост объемов, как мировой, так и российской электронной торговли. Система электронной торговли активно интегрируется в жизнь современного человека и требует всестороннего анализа и изучения.</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Для определения отношений жителей города Владивостока к современной электронной торговле, был применен метод анкетирования.</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themeColor="text1"/>
          <w:sz w:val="20"/>
          <w:szCs w:val="20"/>
          <w:shd w:val="clear" w:color="auto" w:fill="FFFFFF"/>
        </w:rPr>
        <w:t>Исследование было проведено среди жителей г. Владивостока в возрасте от 18 до 70 лет, ответственных за принятие решения о покупке различных товаров (полностью или в равной степени с другими членами семьи).</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themeColor="text1"/>
          <w:sz w:val="20"/>
          <w:szCs w:val="20"/>
          <w:shd w:val="clear" w:color="auto" w:fill="FFFFFF"/>
        </w:rPr>
        <w:t>Опрошено было 150 человек: 90 – женщин и 60 мужчин. В ходе опроса были получены следующие результаты.</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themeColor="text1"/>
          <w:sz w:val="20"/>
          <w:szCs w:val="20"/>
          <w:shd w:val="clear" w:color="auto" w:fill="FFFFFF"/>
        </w:rPr>
        <w:t>Основной площадкой для осуществления покупок путем электронной торговли, жители Владивостока предпочитают магазины сети интернет – 93 %, 4 % - осуществляют покупки через «телемагазин», 3 % - с помощью телекоммуникационных сетей.</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Основными потребителями электронной торговли являются граждане в возрасте от 18 до 30 лет. Большинство людей в возрасте от 30 до 50 лет, так же предпочитают другим способам интернет площадку, а вот потребители в возрасте от 50 до 70 лет предпочитают традиционную торговлю.</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40%  респондентов посещают интернет сайты для приобретения товаров, при этом  29 % респондентов перед приобретением изучают ассортимент, получают консультации и 11 % - приобретают товары сразу же, без дополнительного анализа. 27 % респондентов знакомятся, изучают, сравнивают ассортимент интернет-магазинов как друг с другом, так и с обычными магазинами, 25 % - сравнивают цены, так же изучают ассортимент, но не совершают покупок. А 8% респондентов пользуются интернет площадками только для получения консультаций.</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 общей сложности 60 % респондентов не приобретают товары посредством электронной торговли. К основным причинам отказа от покупки в электронном магазине и предпочтения покупке в традиционном, относятся: недоверие к электронной торговле- 29%; долгие сроки доставки – 22 %; несоответствие заявленного товара фактическому – 19 %;  вероятность (риск) получение бракованного товара – 30 %.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Указанные причины базируются как на ранее неудачном личном опыте участия в электронной торговле так и  на опыте близких и знакомых.</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lastRenderedPageBreak/>
        <w:t>Однако 40 % респондентов регулярно совершают покупки в сети, основными причинами, которые побуждают совершить покупку в интернет-магазине являются:</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Наличие необходимого товара – 23%; экономия времени – 20%; рекомендации близких – 17%; сниженная цена – 17%</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Основной причиной покупки в интернет-магазине, в настоящий момент времени является не цена, а именно </w:t>
      </w:r>
      <w:bookmarkStart w:id="0" w:name="_Hlk510360201"/>
      <w:r>
        <w:rPr>
          <w:rFonts w:ascii="Times New Roman" w:hAnsi="Times New Roman" w:cs="Times New Roman"/>
          <w:color w:val="000000" w:themeColor="text1"/>
          <w:sz w:val="20"/>
          <w:szCs w:val="20"/>
        </w:rPr>
        <w:t xml:space="preserve">наличие необходимого товара </w:t>
      </w:r>
      <w:bookmarkStart w:id="1" w:name="_Hlk510360284"/>
      <w:bookmarkEnd w:id="0"/>
      <w:r>
        <w:rPr>
          <w:rFonts w:ascii="Times New Roman" w:hAnsi="Times New Roman" w:cs="Times New Roman"/>
          <w:color w:val="000000" w:themeColor="text1"/>
          <w:sz w:val="20"/>
          <w:szCs w:val="20"/>
        </w:rPr>
        <w:t xml:space="preserve">и удобство совершения покупки </w:t>
      </w:r>
      <w:bookmarkEnd w:id="1"/>
      <w:r>
        <w:rPr>
          <w:rFonts w:ascii="Times New Roman" w:hAnsi="Times New Roman" w:cs="Times New Roman"/>
          <w:color w:val="000000" w:themeColor="text1"/>
          <w:sz w:val="20"/>
          <w:szCs w:val="20"/>
        </w:rPr>
        <w:t xml:space="preserve">(20 % и 23 % соответственно). Это объясняется ритмом жизни человека в большом городе, в котором на работу и дорогу на работу в среднем ежедневно тратится 10-12 часов, поэтому для многих проще в свободное время найти товар и </w:t>
      </w:r>
      <w:bookmarkStart w:id="2" w:name="_Hlk510360365"/>
      <w:r>
        <w:rPr>
          <w:rFonts w:ascii="Times New Roman" w:hAnsi="Times New Roman" w:cs="Times New Roman"/>
          <w:color w:val="000000" w:themeColor="text1"/>
          <w:sz w:val="20"/>
          <w:szCs w:val="20"/>
        </w:rPr>
        <w:t>приобрести, не выходя из дома или работы</w:t>
      </w:r>
      <w:bookmarkEnd w:id="2"/>
      <w:r>
        <w:rPr>
          <w:rFonts w:ascii="Times New Roman" w:hAnsi="Times New Roman" w:cs="Times New Roman"/>
          <w:color w:val="000000" w:themeColor="text1"/>
          <w:sz w:val="20"/>
          <w:szCs w:val="20"/>
        </w:rPr>
        <w:t>.</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Индивидуальный подход продавца (предложение скидок, купонов, промокодов), и сниженная по сравнению с традиционным магазином цена важна для 15% - 17 % респондентов и такому же количеству для покупки в магазине необходимы положительный опыт и рекомендации близких и друзей. Такие критерии важны в большей степени для тех, кто относится к «начинающим» покупателям, возраст которых от 18 до 25 лет. А вот для более взрослых покупателей от 30 до 50 лет удобство сайта служит стимулом для покупки.</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Чаще всего жители Владивостока, посредством электронной торговли, приобретают товары повседневного спроса: косметику, лекарства, продукты питания, одежду и обувь.</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Наиболее редко приобретаются товары, которые относятся к товарам длительного пользования: мебельные товары, бытовая техника, строительные товары.</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А в средний временной промежуток попадают практически все группы товаров, причем структура данных товаров равномерная, за исключением одежды и обувных товаров, реализация которых через интернет-магазины в настоящее время достигает своего пика во многих регионах России.</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 лидерах сейчас находятся такие интернет-сайты, как: aliexpress.com (17 %), taobao.com (14 %), lamoda.ru (13 %), wildberries.ru (12 %), остальные сайты занимают от 7% до 4%.</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Хотелось бы отметить, что спрос на услуги иностранных интернет-магазинов почти целиком удовлетворяют такие сайты, как: aliexpress.com и taobao.com. На такое положение дел влияет и географическая отдаленность Владивостока от европейских стран, так как высокая стоимость доставки отрицательно влияет на конкурентоспособность европейских сайтов. Среди российских интернет-магазинов спрос распределён более равномерно, лидеры имеют меньшую долю рынка. При этом более 69% опрошенных жителей Владивостока пользуются российскими сайтами для выбора товара.</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По изучаемым показателям (дизайн сайта, работа консультанта, способы оплаты товаров, информация о товаре), интернет - магазинами, которые наиболее удобны потребителям, являются: aliexpress.com, wildberries.ru, dns-shop.ru, </w:t>
      </w:r>
      <w:r>
        <w:rPr>
          <w:rFonts w:ascii="Times New Roman" w:hAnsi="Times New Roman" w:cs="Times New Roman"/>
          <w:color w:val="000000" w:themeColor="text1"/>
          <w:sz w:val="20"/>
          <w:szCs w:val="20"/>
          <w:lang w:eastAsia="ru-RU"/>
        </w:rPr>
        <w:t>ozon.ru</w:t>
      </w:r>
      <w:r>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lang w:eastAsia="ru-RU"/>
        </w:rPr>
        <w:t>lamoda.ru</w:t>
      </w:r>
      <w:r>
        <w:rPr>
          <w:rFonts w:ascii="Times New Roman" w:hAnsi="Times New Roman" w:cs="Times New Roman"/>
          <w:color w:val="000000" w:themeColor="text1"/>
          <w:sz w:val="20"/>
          <w:szCs w:val="20"/>
        </w:rPr>
        <w:t>, apteka.ru, taobao.com, то есть те же сайты, которые пользуются наибольшей популярностью. Конечно, здесь прослеживается взаимосвязь между двумя факторами: максимальным удобством сайта и объемами покупок товаров; другими словами, чем удобнее покупателю совершать покупку, тем выше вероятность ее совершения.</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lang w:eastAsia="ru-RU"/>
        </w:rPr>
        <w:t xml:space="preserve">Таким образом, популярность электронной торговли в городе Владивостоке стремительно растёт, под воздействием различных факторов (развитие интернет - технологий, изменения ритма жизни). </w:t>
      </w:r>
      <w:r>
        <w:rPr>
          <w:rFonts w:ascii="Times New Roman" w:hAnsi="Times New Roman" w:cs="Times New Roman"/>
          <w:color w:val="000000" w:themeColor="text1"/>
          <w:sz w:val="20"/>
          <w:szCs w:val="20"/>
        </w:rPr>
        <w:t>Жители города активно пользуются услугами электронной торговли, как российских, так и зарубежных торговых компаний.</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Настоящее развитие рынка электронной торговли во Владивостоке позволяет определить тенденции его развития:</w:t>
      </w:r>
    </w:p>
    <w:p w:rsidR="00517711" w:rsidRDefault="00F815BE">
      <w:pPr>
        <w:pStyle w:val="af4"/>
        <w:numPr>
          <w:ilvl w:val="0"/>
          <w:numId w:val="78"/>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дальнейший рост объема электронной торговли и увеличение ее доли на рынке розничной торговли в целом;</w:t>
      </w:r>
    </w:p>
    <w:p w:rsidR="00517711" w:rsidRDefault="00F815BE">
      <w:pPr>
        <w:pStyle w:val="af4"/>
        <w:numPr>
          <w:ilvl w:val="0"/>
          <w:numId w:val="78"/>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замедление роста зарубежных онлайн-покупок. На данный фактор влияет ослабление национальной валюты по отношению к основным мировым валютам и сложная политическая ситуация в целом;</w:t>
      </w:r>
    </w:p>
    <w:p w:rsidR="00517711" w:rsidRDefault="00F815BE">
      <w:pPr>
        <w:pStyle w:val="af4"/>
        <w:numPr>
          <w:ilvl w:val="0"/>
          <w:numId w:val="78"/>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увеличение среднего возраста потребителей, пользующихся услугами электронной торговли.</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themeColor="text1"/>
          <w:sz w:val="20"/>
          <w:szCs w:val="20"/>
          <w:shd w:val="clear" w:color="auto" w:fill="FFFFFF"/>
        </w:rPr>
        <w:t>На основании изученных теоретических аспектов и полученных данных, в ходе исследования, можно внести следующие предложения, которые улучшат деятельность электронной торговли:</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themeColor="text1"/>
          <w:sz w:val="20"/>
          <w:szCs w:val="20"/>
          <w:shd w:val="clear" w:color="auto" w:fill="FFFFFF"/>
        </w:rPr>
        <w:t>Необходимо создавать условия покупки, которые были бы максимально упрощены и тем самым более понятны покупателям старшего возраста (от 50 до 70), так как в ходе исследования выявлена их низкая вовлеченность в электронную торговлю.</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shd w:val="clear" w:color="auto" w:fill="FFFFFF"/>
        </w:rPr>
        <w:t xml:space="preserve">Продавцам необходимо </w:t>
      </w:r>
      <w:r>
        <w:rPr>
          <w:rFonts w:ascii="Times New Roman" w:hAnsi="Times New Roman" w:cs="Times New Roman"/>
          <w:color w:val="000000" w:themeColor="text1"/>
          <w:sz w:val="20"/>
          <w:szCs w:val="20"/>
        </w:rPr>
        <w:t xml:space="preserve">максимально точно представлять товар, осуществлять контроль качества отправляемого товара, привлекать перевозчиков, которые смогут доставить товар в надлежащем качестве и в короткие сроки, для расширения аудитории и для повышения  ее лояльности. </w:t>
      </w:r>
      <w:r>
        <w:rPr>
          <w:rFonts w:ascii="Times New Roman" w:hAnsi="Times New Roman" w:cs="Times New Roman"/>
          <w:bCs/>
          <w:color w:val="000000" w:themeColor="text1"/>
          <w:sz w:val="20"/>
          <w:szCs w:val="20"/>
        </w:rPr>
        <w:t>Проведение покупки</w:t>
      </w:r>
      <w:r>
        <w:rPr>
          <w:rFonts w:ascii="Times New Roman" w:hAnsi="Times New Roman" w:cs="Times New Roman"/>
          <w:color w:val="000000" w:themeColor="text1"/>
          <w:sz w:val="20"/>
          <w:szCs w:val="20"/>
        </w:rPr>
        <w:t xml:space="preserve"> обязательно должно быть быстрым и безопасным. Покупатель не должен бояться, что его личная финансовая информация попадет третьим лицам.  В ходе исследования выявили, что не выполнение продавцами указанных аспектов формирует у потребителей негативное отношение к электронной торговли в целом.</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Всего 40 % из опрошенных респондентов совершают покупки посредством электронной торговли; для увеличения аудитории можно активно предлагать потребителям </w:t>
      </w:r>
      <w:r>
        <w:rPr>
          <w:rFonts w:ascii="Times New Roman" w:hAnsi="Times New Roman" w:cs="Times New Roman"/>
          <w:bCs/>
          <w:color w:val="000000" w:themeColor="text1"/>
          <w:sz w:val="20"/>
          <w:szCs w:val="20"/>
        </w:rPr>
        <w:t>послепродажное обслуживание</w:t>
      </w:r>
      <w:r>
        <w:rPr>
          <w:rFonts w:ascii="Times New Roman" w:hAnsi="Times New Roman" w:cs="Times New Roman"/>
          <w:color w:val="000000" w:themeColor="text1"/>
          <w:sz w:val="20"/>
          <w:szCs w:val="20"/>
        </w:rPr>
        <w:t>, которое заключается в помощи, оказываемой клиенту, как в процессе оформления покупки, так и после. Клиент должен иметь возможность общаться с продавцом по электронной почте и с помощью сайта.</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bCs/>
          <w:color w:val="000000" w:themeColor="text1"/>
          <w:sz w:val="20"/>
          <w:szCs w:val="20"/>
        </w:rPr>
        <w:lastRenderedPageBreak/>
        <w:t xml:space="preserve">Так же эффективной мерой может быть налаживание долгосрочных отношений с клиентом </w:t>
      </w:r>
      <w:r>
        <w:rPr>
          <w:rFonts w:ascii="Times New Roman" w:hAnsi="Times New Roman" w:cs="Times New Roman"/>
          <w:color w:val="000000" w:themeColor="text1"/>
          <w:sz w:val="20"/>
          <w:szCs w:val="20"/>
        </w:rPr>
        <w:t>путем изучения его предпочтений и вкусов. Потребителя проще склонить к новым покупкам, если, зная его предпочтения, вовремя сделать предложение, от которого он наверняка не сможет отказаться.</w:t>
      </w:r>
    </w:p>
    <w:p w:rsidR="00517711" w:rsidRDefault="00517711">
      <w:pPr>
        <w:spacing w:line="240" w:lineRule="auto"/>
        <w:ind w:firstLine="709"/>
        <w:jc w:val="both"/>
        <w:rPr>
          <w:rFonts w:ascii="Times New Roman" w:hAnsi="Times New Roman" w:cs="Times New Roman"/>
          <w:color w:val="000000"/>
          <w:sz w:val="20"/>
          <w:szCs w:val="20"/>
          <w:shd w:val="clear" w:color="auto" w:fill="FFFFFF"/>
        </w:rPr>
      </w:pPr>
    </w:p>
    <w:p w:rsidR="00517711" w:rsidRDefault="00F815BE">
      <w:pPr>
        <w:pStyle w:val="af4"/>
        <w:spacing w:line="240" w:lineRule="auto"/>
        <w:ind w:left="709" w:firstLine="709"/>
        <w:jc w:val="both"/>
        <w:rPr>
          <w:rFonts w:ascii="Times New Roman" w:hAnsi="Times New Roman"/>
          <w:color w:val="000000"/>
          <w:sz w:val="20"/>
          <w:szCs w:val="20"/>
          <w:shd w:val="clear" w:color="auto" w:fill="FFFFFF"/>
        </w:rPr>
      </w:pPr>
      <w:r>
        <w:rPr>
          <w:rFonts w:ascii="Times New Roman" w:hAnsi="Times New Roman"/>
          <w:color w:val="000000" w:themeColor="text1"/>
          <w:sz w:val="20"/>
          <w:szCs w:val="20"/>
          <w:shd w:val="clear" w:color="auto" w:fill="FFFFFF"/>
        </w:rPr>
        <w:t>Список использованных источников</w:t>
      </w:r>
    </w:p>
    <w:p w:rsidR="00517711" w:rsidRDefault="00F815BE">
      <w:pPr>
        <w:pStyle w:val="af4"/>
        <w:numPr>
          <w:ilvl w:val="0"/>
          <w:numId w:val="79"/>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Арапова А. С., Медушевская И. Е. Электронная торговля в Пензенском регионе // Концепт. 2014. №7. [Электронный ресурс].- Режим доступа: https://cyberleninka.ru/article/n/elektronnaya-torgovlya-v-penzenskom-regione (дата обращения: 02.04.2018).</w:t>
      </w:r>
    </w:p>
    <w:p w:rsidR="00517711" w:rsidRDefault="00F815BE">
      <w:pPr>
        <w:pStyle w:val="af4"/>
        <w:numPr>
          <w:ilvl w:val="0"/>
          <w:numId w:val="79"/>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 xml:space="preserve">Гаврилов, Л. П. Электронная коммерция : учебник и практикум для бакалавриата и магистратуры / Л. П. Гаврилов. — М. : Издательство Юрайт, 2016. — 363 с. </w:t>
      </w:r>
    </w:p>
    <w:p w:rsidR="00517711" w:rsidRDefault="00F815BE">
      <w:pPr>
        <w:pStyle w:val="af4"/>
        <w:numPr>
          <w:ilvl w:val="0"/>
          <w:numId w:val="79"/>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Котляров И. Д. Эволюция форм торговли: от традиционной к электронной // Экономический журнал. 2011. №23. [Электронный ресурс].- Режим доступа:  https://cyberleninka.ru/article/n/evolyutsiya-form-torgovli-ot-traditsionnoy-k-elektronnoy (дата обращения: 04.04.2018).</w:t>
      </w:r>
    </w:p>
    <w:p w:rsidR="00517711" w:rsidRDefault="00F815BE">
      <w:pPr>
        <w:pStyle w:val="af4"/>
        <w:numPr>
          <w:ilvl w:val="0"/>
          <w:numId w:val="79"/>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 xml:space="preserve">Исследование компании Яндекс «Развитие розничной онлайн-торговли в России»    [Электронный ресурс].- Режим доступа:     </w:t>
      </w:r>
      <w:hyperlink r:id="rId15" w:history="1">
        <w:r>
          <w:rPr>
            <w:rStyle w:val="aa"/>
            <w:rFonts w:ascii="Times New Roman" w:hAnsi="Times New Roman"/>
            <w:color w:val="000000" w:themeColor="text1"/>
            <w:sz w:val="20"/>
            <w:szCs w:val="20"/>
          </w:rPr>
          <w:t>https://yandex.ru/company/researches</w:t>
        </w:r>
      </w:hyperlink>
      <w:r>
        <w:rPr>
          <w:rFonts w:ascii="Times New Roman" w:hAnsi="Times New Roman"/>
          <w:color w:val="000000" w:themeColor="text1"/>
          <w:sz w:val="20"/>
          <w:szCs w:val="20"/>
        </w:rPr>
        <w:t xml:space="preserve"> (дата обращения: 29.03.2018).</w:t>
      </w:r>
    </w:p>
    <w:p w:rsidR="00517711" w:rsidRDefault="00517711">
      <w:pPr>
        <w:jc w:val="both"/>
        <w:rPr>
          <w:lang w:eastAsia="ru-RU"/>
        </w:rPr>
      </w:pPr>
    </w:p>
    <w:p w:rsidR="00517711" w:rsidRDefault="00F815BE">
      <w:pPr>
        <w:spacing w:after="0"/>
        <w:jc w:val="both"/>
        <w:rPr>
          <w:rFonts w:ascii="Times New Roman" w:hAnsi="Times New Roman" w:cs="Times New Roman"/>
          <w:b/>
          <w:sz w:val="20"/>
          <w:szCs w:val="20"/>
        </w:rPr>
      </w:pPr>
      <w:r>
        <w:rPr>
          <w:rFonts w:ascii="Times New Roman" w:hAnsi="Times New Roman" w:cs="Times New Roman"/>
          <w:b/>
          <w:sz w:val="20"/>
          <w:szCs w:val="20"/>
        </w:rPr>
        <w:t xml:space="preserve">Рубрика: Маркетинг </w:t>
      </w:r>
    </w:p>
    <w:p w:rsidR="00517711" w:rsidRDefault="00517711">
      <w:pPr>
        <w:spacing w:after="0"/>
        <w:ind w:firstLine="709"/>
        <w:jc w:val="both"/>
        <w:rPr>
          <w:rFonts w:ascii="Times New Roman" w:hAnsi="Times New Roman" w:cs="Times New Roman"/>
          <w:sz w:val="20"/>
          <w:szCs w:val="20"/>
        </w:rPr>
      </w:pPr>
    </w:p>
    <w:p w:rsidR="00517711" w:rsidRDefault="00F815BE">
      <w:pPr>
        <w:spacing w:after="0"/>
        <w:jc w:val="both"/>
        <w:rPr>
          <w:rFonts w:ascii="Times New Roman" w:hAnsi="Times New Roman" w:cs="Times New Roman"/>
          <w:sz w:val="20"/>
          <w:szCs w:val="20"/>
        </w:rPr>
      </w:pPr>
      <w:r>
        <w:rPr>
          <w:rFonts w:ascii="Times New Roman" w:hAnsi="Times New Roman" w:cs="Times New Roman"/>
          <w:sz w:val="20"/>
          <w:szCs w:val="20"/>
        </w:rPr>
        <w:t xml:space="preserve">УДК 339.137.22  </w:t>
      </w:r>
    </w:p>
    <w:p w:rsidR="00517711" w:rsidRDefault="00517711">
      <w:pPr>
        <w:rPr>
          <w:b/>
        </w:rPr>
      </w:pPr>
    </w:p>
    <w:p w:rsidR="00517711" w:rsidRDefault="00F815BE">
      <w:pPr>
        <w:spacing w:after="0" w:line="240" w:lineRule="auto"/>
        <w:ind w:firstLine="709"/>
        <w:jc w:val="center"/>
        <w:rPr>
          <w:rFonts w:ascii="Book Antiqua" w:hAnsi="Book Antiqua"/>
          <w:b/>
          <w:sz w:val="26"/>
          <w:szCs w:val="26"/>
        </w:rPr>
      </w:pPr>
      <w:r>
        <w:rPr>
          <w:rFonts w:ascii="Book Antiqua" w:hAnsi="Book Antiqua"/>
          <w:b/>
          <w:sz w:val="26"/>
          <w:szCs w:val="26"/>
        </w:rPr>
        <w:t>ОЦЕНКА КОНКУРЕНТОСПОСОБНОСТИ ДОРОЖНО-СТРОИТЕЛЬНОЙ ТЕХНИКИ.</w:t>
      </w:r>
    </w:p>
    <w:p w:rsidR="00517711" w:rsidRDefault="00517711">
      <w:pPr>
        <w:spacing w:after="0" w:line="240" w:lineRule="auto"/>
        <w:ind w:firstLine="709"/>
        <w:jc w:val="center"/>
      </w:pPr>
    </w:p>
    <w:p w:rsidR="00517711" w:rsidRDefault="00F815BE">
      <w:pPr>
        <w:spacing w:after="0" w:line="240" w:lineRule="auto"/>
        <w:ind w:firstLine="709"/>
        <w:jc w:val="center"/>
        <w:rPr>
          <w:rFonts w:ascii="Arial" w:hAnsi="Arial" w:cs="Arial"/>
          <w:b/>
          <w:sz w:val="24"/>
        </w:rPr>
      </w:pPr>
      <w:r>
        <w:rPr>
          <w:rFonts w:ascii="Arial" w:hAnsi="Arial" w:cs="Arial"/>
          <w:b/>
          <w:sz w:val="24"/>
        </w:rPr>
        <w:t>Сокуренко Валерия Андреевна,</w:t>
      </w:r>
    </w:p>
    <w:p w:rsidR="00517711" w:rsidRDefault="00F815BE">
      <w:pPr>
        <w:spacing w:after="0" w:line="240" w:lineRule="auto"/>
        <w:ind w:firstLine="709"/>
        <w:jc w:val="center"/>
        <w:rPr>
          <w:rFonts w:ascii="Arial" w:hAnsi="Arial" w:cs="Arial"/>
          <w:sz w:val="24"/>
        </w:rPr>
      </w:pPr>
      <w:r>
        <w:rPr>
          <w:rFonts w:ascii="Arial" w:hAnsi="Arial" w:cs="Arial"/>
          <w:sz w:val="24"/>
        </w:rPr>
        <w:t>Аспирант</w:t>
      </w:r>
    </w:p>
    <w:p w:rsidR="00517711" w:rsidRDefault="00517711">
      <w:pPr>
        <w:spacing w:after="0" w:line="240" w:lineRule="auto"/>
        <w:ind w:firstLine="709"/>
        <w:jc w:val="center"/>
      </w:pP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Владивостокский государственный университет экономики и сервиса</w:t>
      </w:r>
    </w:p>
    <w:p w:rsidR="00517711" w:rsidRPr="00D6563D" w:rsidRDefault="00F815BE">
      <w:pPr>
        <w:spacing w:after="0" w:line="240" w:lineRule="auto"/>
        <w:jc w:val="center"/>
        <w:rPr>
          <w:rFonts w:ascii="Times New Roman" w:eastAsia="Calibri" w:hAnsi="Times New Roman" w:cs="Times New Roman"/>
          <w:i/>
          <w:sz w:val="21"/>
          <w:szCs w:val="21"/>
        </w:rPr>
      </w:pPr>
      <w:r w:rsidRPr="00D6563D">
        <w:rPr>
          <w:rFonts w:ascii="Times New Roman" w:eastAsia="Calibri" w:hAnsi="Times New Roman" w:cs="Times New Roman"/>
          <w:i/>
          <w:sz w:val="21"/>
          <w:szCs w:val="21"/>
        </w:rPr>
        <w:t>Россия. Владивосток</w:t>
      </w:r>
    </w:p>
    <w:p w:rsidR="00517711" w:rsidRDefault="00517711">
      <w:pPr>
        <w:spacing w:after="0" w:line="240" w:lineRule="auto"/>
        <w:ind w:firstLine="709"/>
        <w:jc w:val="center"/>
      </w:pPr>
    </w:p>
    <w:p w:rsidR="00517711" w:rsidRPr="00D6563D" w:rsidRDefault="00F815BE">
      <w:pPr>
        <w:spacing w:after="0" w:line="240" w:lineRule="auto"/>
        <w:ind w:firstLine="709"/>
        <w:jc w:val="center"/>
        <w:rPr>
          <w:rFonts w:ascii="Times New Roman" w:hAnsi="Times New Roman" w:cs="Times New Roman"/>
          <w:sz w:val="20"/>
        </w:rPr>
      </w:pPr>
      <w:r>
        <w:rPr>
          <w:rFonts w:ascii="Times New Roman" w:hAnsi="Times New Roman" w:cs="Times New Roman"/>
          <w:sz w:val="20"/>
          <w:lang w:val="en-US"/>
        </w:rPr>
        <w:t>E</w:t>
      </w:r>
      <w:r w:rsidRPr="00D6563D">
        <w:rPr>
          <w:rFonts w:ascii="Times New Roman" w:hAnsi="Times New Roman" w:cs="Times New Roman"/>
          <w:sz w:val="20"/>
        </w:rPr>
        <w:t>-</w:t>
      </w:r>
      <w:r>
        <w:rPr>
          <w:rFonts w:ascii="Times New Roman" w:hAnsi="Times New Roman" w:cs="Times New Roman"/>
          <w:sz w:val="20"/>
          <w:lang w:val="en-US"/>
        </w:rPr>
        <w:t>mail</w:t>
      </w:r>
      <w:r w:rsidRPr="00D6563D">
        <w:rPr>
          <w:rFonts w:ascii="Times New Roman" w:hAnsi="Times New Roman" w:cs="Times New Roman"/>
          <w:sz w:val="20"/>
        </w:rPr>
        <w:t xml:space="preserve">: </w:t>
      </w:r>
      <w:r>
        <w:rPr>
          <w:rFonts w:ascii="Times New Roman" w:hAnsi="Times New Roman" w:cs="Times New Roman"/>
          <w:sz w:val="20"/>
          <w:lang w:val="en-US"/>
        </w:rPr>
        <w:t>valeria</w:t>
      </w:r>
      <w:r w:rsidRPr="00D6563D">
        <w:rPr>
          <w:rFonts w:ascii="Times New Roman" w:hAnsi="Times New Roman" w:cs="Times New Roman"/>
          <w:sz w:val="20"/>
        </w:rPr>
        <w:t>2003@</w:t>
      </w:r>
      <w:r>
        <w:rPr>
          <w:rFonts w:ascii="Times New Roman" w:hAnsi="Times New Roman" w:cs="Times New Roman"/>
          <w:sz w:val="20"/>
          <w:lang w:val="en-US"/>
        </w:rPr>
        <w:t>list</w:t>
      </w:r>
      <w:r w:rsidRPr="00D6563D">
        <w:rPr>
          <w:rFonts w:ascii="Times New Roman" w:hAnsi="Times New Roman" w:cs="Times New Roman"/>
          <w:sz w:val="20"/>
        </w:rPr>
        <w:t>.</w:t>
      </w:r>
      <w:r>
        <w:rPr>
          <w:rFonts w:ascii="Times New Roman" w:hAnsi="Times New Roman" w:cs="Times New Roman"/>
          <w:sz w:val="20"/>
          <w:lang w:val="en-US"/>
        </w:rPr>
        <w:t>ru</w:t>
      </w:r>
      <w:r w:rsidRPr="00D6563D">
        <w:rPr>
          <w:rFonts w:ascii="Times New Roman" w:hAnsi="Times New Roman" w:cs="Times New Roman"/>
          <w:sz w:val="20"/>
        </w:rPr>
        <w:t xml:space="preserve"> </w:t>
      </w:r>
      <w:r>
        <w:rPr>
          <w:rFonts w:ascii="Times New Roman" w:hAnsi="Times New Roman" w:cs="Times New Roman"/>
          <w:sz w:val="20"/>
        </w:rPr>
        <w:t>тел</w:t>
      </w:r>
      <w:r w:rsidRPr="00D6563D">
        <w:rPr>
          <w:rFonts w:ascii="Times New Roman" w:hAnsi="Times New Roman" w:cs="Times New Roman"/>
          <w:sz w:val="20"/>
        </w:rPr>
        <w:t>.: +79025296947</w:t>
      </w:r>
    </w:p>
    <w:p w:rsidR="00517711" w:rsidRDefault="00F815BE">
      <w:pPr>
        <w:spacing w:after="0" w:line="240" w:lineRule="auto"/>
        <w:ind w:firstLine="709"/>
        <w:jc w:val="center"/>
        <w:rPr>
          <w:rFonts w:ascii="Times New Roman" w:hAnsi="Times New Roman" w:cs="Times New Roman"/>
          <w:sz w:val="20"/>
        </w:rPr>
      </w:pPr>
      <w:r>
        <w:rPr>
          <w:rFonts w:ascii="Times New Roman" w:hAnsi="Times New Roman" w:cs="Times New Roman"/>
          <w:sz w:val="20"/>
        </w:rPr>
        <w:t>ул. Гоголя, 41, г. Владивосток, Приморский край, Россия, 690014</w:t>
      </w:r>
    </w:p>
    <w:p w:rsidR="00517711" w:rsidRDefault="00517711">
      <w:pPr>
        <w:spacing w:after="0" w:line="240" w:lineRule="auto"/>
        <w:ind w:firstLine="709"/>
        <w:jc w:val="center"/>
      </w:pPr>
    </w:p>
    <w:p w:rsidR="00517711" w:rsidRDefault="00F815BE">
      <w:pPr>
        <w:spacing w:after="0" w:line="240" w:lineRule="auto"/>
        <w:ind w:firstLine="709"/>
        <w:jc w:val="center"/>
        <w:rPr>
          <w:rFonts w:ascii="Arial" w:hAnsi="Arial" w:cs="Arial"/>
          <w:b/>
          <w:sz w:val="24"/>
        </w:rPr>
      </w:pPr>
      <w:r>
        <w:rPr>
          <w:rFonts w:ascii="Arial" w:hAnsi="Arial" w:cs="Arial"/>
          <w:b/>
          <w:sz w:val="24"/>
        </w:rPr>
        <w:t>Исаев Александр Аркадьевич,</w:t>
      </w:r>
    </w:p>
    <w:p w:rsidR="00517711" w:rsidRDefault="00F815BE">
      <w:pPr>
        <w:spacing w:after="0" w:line="240" w:lineRule="auto"/>
        <w:ind w:firstLine="709"/>
        <w:jc w:val="center"/>
        <w:rPr>
          <w:rFonts w:ascii="Arial" w:hAnsi="Arial" w:cs="Arial"/>
          <w:sz w:val="24"/>
        </w:rPr>
      </w:pPr>
      <w:r>
        <w:rPr>
          <w:rFonts w:ascii="Arial" w:hAnsi="Arial" w:cs="Arial"/>
          <w:sz w:val="24"/>
        </w:rPr>
        <w:t>Преподаватель</w:t>
      </w:r>
    </w:p>
    <w:p w:rsidR="00517711" w:rsidRDefault="00517711">
      <w:pPr>
        <w:spacing w:after="0" w:line="240" w:lineRule="auto"/>
        <w:jc w:val="center"/>
        <w:rPr>
          <w:rFonts w:ascii="Times New Roman" w:eastAsia="Calibri" w:hAnsi="Times New Roman" w:cs="Times New Roman"/>
          <w:i/>
          <w:sz w:val="21"/>
          <w:szCs w:val="21"/>
        </w:rPr>
      </w:pP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Владивостокский государственный университет экономики и сервиса</w:t>
      </w: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Россия. Владивосток</w:t>
      </w:r>
    </w:p>
    <w:p w:rsidR="00517711" w:rsidRDefault="00F815BE">
      <w:pPr>
        <w:spacing w:after="0" w:line="240" w:lineRule="auto"/>
        <w:ind w:firstLine="709"/>
        <w:jc w:val="center"/>
        <w:rPr>
          <w:rFonts w:ascii="Times New Roman" w:hAnsi="Times New Roman" w:cs="Times New Roman"/>
          <w:sz w:val="20"/>
        </w:rPr>
      </w:pPr>
      <w:r>
        <w:rPr>
          <w:rFonts w:ascii="Times New Roman" w:hAnsi="Times New Roman" w:cs="Times New Roman"/>
          <w:sz w:val="20"/>
          <w:lang w:val="en-US"/>
        </w:rPr>
        <w:t>E</w:t>
      </w:r>
      <w:r>
        <w:rPr>
          <w:rFonts w:ascii="Times New Roman" w:hAnsi="Times New Roman" w:cs="Times New Roman"/>
          <w:sz w:val="20"/>
        </w:rPr>
        <w:t>-</w:t>
      </w:r>
      <w:r>
        <w:rPr>
          <w:rFonts w:ascii="Times New Roman" w:hAnsi="Times New Roman" w:cs="Times New Roman"/>
          <w:sz w:val="20"/>
          <w:lang w:val="en-US"/>
        </w:rPr>
        <w:t>mail</w:t>
      </w:r>
      <w:r>
        <w:rPr>
          <w:rFonts w:ascii="Times New Roman" w:hAnsi="Times New Roman" w:cs="Times New Roman"/>
          <w:sz w:val="20"/>
        </w:rPr>
        <w:t>:</w:t>
      </w:r>
      <w:r>
        <w:rPr>
          <w:rFonts w:ascii="Times New Roman" w:hAnsi="Times New Roman" w:cs="Times New Roman"/>
          <w:color w:val="000000" w:themeColor="text1"/>
          <w:sz w:val="20"/>
        </w:rPr>
        <w:t xml:space="preserve"> </w:t>
      </w:r>
      <w:hyperlink r:id="rId16" w:history="1">
        <w:r>
          <w:rPr>
            <w:rStyle w:val="aa"/>
            <w:rFonts w:ascii="Times New Roman" w:hAnsi="Times New Roman" w:cs="Times New Roman"/>
            <w:color w:val="000000" w:themeColor="text1"/>
            <w:sz w:val="20"/>
            <w:lang w:val="en-US"/>
          </w:rPr>
          <w:t>isaevalex</w:t>
        </w:r>
        <w:r>
          <w:rPr>
            <w:rStyle w:val="aa"/>
            <w:rFonts w:ascii="Times New Roman" w:hAnsi="Times New Roman" w:cs="Times New Roman"/>
            <w:color w:val="000000" w:themeColor="text1"/>
            <w:sz w:val="20"/>
          </w:rPr>
          <w:t>@</w:t>
        </w:r>
        <w:r>
          <w:rPr>
            <w:rStyle w:val="aa"/>
            <w:rFonts w:ascii="Times New Roman" w:hAnsi="Times New Roman" w:cs="Times New Roman"/>
            <w:color w:val="000000" w:themeColor="text1"/>
            <w:sz w:val="20"/>
            <w:lang w:val="en-US"/>
          </w:rPr>
          <w:t>list</w:t>
        </w:r>
        <w:r>
          <w:rPr>
            <w:rStyle w:val="aa"/>
            <w:rFonts w:ascii="Times New Roman" w:hAnsi="Times New Roman" w:cs="Times New Roman"/>
            <w:color w:val="000000" w:themeColor="text1"/>
            <w:sz w:val="20"/>
          </w:rPr>
          <w:t>.</w:t>
        </w:r>
        <w:r>
          <w:rPr>
            <w:rStyle w:val="aa"/>
            <w:rFonts w:ascii="Times New Roman" w:hAnsi="Times New Roman" w:cs="Times New Roman"/>
            <w:color w:val="000000" w:themeColor="text1"/>
            <w:sz w:val="20"/>
            <w:lang w:val="en-US"/>
          </w:rPr>
          <w:t>ru</w:t>
        </w:r>
      </w:hyperlink>
    </w:p>
    <w:p w:rsidR="00517711" w:rsidRDefault="00517711">
      <w:pPr>
        <w:ind w:firstLine="709"/>
        <w:jc w:val="center"/>
      </w:pPr>
    </w:p>
    <w:p w:rsidR="00517711" w:rsidRDefault="00F815BE">
      <w:pPr>
        <w:spacing w:after="0" w:line="240" w:lineRule="auto"/>
        <w:ind w:firstLine="709"/>
        <w:jc w:val="both"/>
        <w:rPr>
          <w:rFonts w:ascii="Times New Roman" w:hAnsi="Times New Roman" w:cs="Times New Roman"/>
          <w:i/>
        </w:rPr>
      </w:pPr>
      <w:r>
        <w:rPr>
          <w:rFonts w:ascii="Times New Roman" w:hAnsi="Times New Roman" w:cs="Times New Roman"/>
          <w:i/>
        </w:rPr>
        <w:t xml:space="preserve">Представлена оригинальная методика оценки конкурентоспособности дорожно-строительной техники. Устанавливается, что при принятии решения о покупке человек руководствуется тем, насколько товар способен удовлетворить ту или иную потребность, при этом показателем степени удовлетворения  являются эмоции. Выявлены факторы конкурентоспособности дорожно-строительной техники. Объективность оценки конкурентоспособности обеспечивается за счет анализа отраслевой специфики продукции, а также специфики применения и эксплуатации. </w:t>
      </w:r>
    </w:p>
    <w:p w:rsidR="00517711" w:rsidRDefault="00F815BE">
      <w:pPr>
        <w:spacing w:after="0" w:line="240" w:lineRule="auto"/>
        <w:ind w:firstLine="709"/>
        <w:rPr>
          <w:rFonts w:ascii="Times New Roman" w:hAnsi="Times New Roman" w:cs="Times New Roman"/>
          <w:i/>
        </w:rPr>
      </w:pPr>
      <w:r>
        <w:rPr>
          <w:rFonts w:ascii="Times New Roman" w:hAnsi="Times New Roman" w:cs="Times New Roman"/>
          <w:b/>
          <w:i/>
        </w:rPr>
        <w:t>Ключевые слова и словосочетания</w:t>
      </w:r>
      <w:r>
        <w:rPr>
          <w:rFonts w:ascii="Times New Roman" w:hAnsi="Times New Roman" w:cs="Times New Roman"/>
          <w:i/>
        </w:rPr>
        <w:t xml:space="preserve">: конкурентоспособность продукции, оценка конкурентоспособности продукции, эмоциональная теория продаж, дорожно-строительная техника. </w:t>
      </w:r>
    </w:p>
    <w:p w:rsidR="00517711" w:rsidRDefault="00517711">
      <w:pPr>
        <w:spacing w:after="0" w:line="240" w:lineRule="auto"/>
        <w:ind w:firstLine="709"/>
        <w:rPr>
          <w:rFonts w:ascii="Times New Roman" w:hAnsi="Times New Roman" w:cs="Times New Roman"/>
          <w:i/>
        </w:rPr>
      </w:pPr>
    </w:p>
    <w:p w:rsidR="00517711" w:rsidRDefault="00F815BE">
      <w:pPr>
        <w:jc w:val="center"/>
        <w:rPr>
          <w:rFonts w:ascii="Book Antiqua" w:hAnsi="Book Antiqua"/>
          <w:b/>
          <w:sz w:val="26"/>
          <w:szCs w:val="26"/>
          <w:lang w:val="en-AU"/>
        </w:rPr>
      </w:pPr>
      <w:r>
        <w:rPr>
          <w:rFonts w:ascii="Book Antiqua" w:hAnsi="Book Antiqua"/>
          <w:b/>
          <w:sz w:val="26"/>
          <w:szCs w:val="26"/>
          <w:lang w:val="en-AU"/>
        </w:rPr>
        <w:t>ROAD – BUILDING MACHINERY COMPETITIVENESS ESTIMATION</w:t>
      </w:r>
    </w:p>
    <w:p w:rsidR="00517711" w:rsidRDefault="00F815BE">
      <w:pPr>
        <w:spacing w:after="0"/>
        <w:ind w:firstLine="709"/>
        <w:jc w:val="both"/>
        <w:rPr>
          <w:rFonts w:ascii="Times New Roman" w:hAnsi="Times New Roman" w:cs="Times New Roman"/>
          <w:i/>
          <w:lang w:val="en-AU"/>
        </w:rPr>
      </w:pPr>
      <w:r>
        <w:rPr>
          <w:rFonts w:ascii="Times New Roman" w:hAnsi="Times New Roman" w:cs="Times New Roman"/>
          <w:i/>
          <w:lang w:val="en-AU"/>
        </w:rPr>
        <w:t>The proprietary methodology of road – building machinery competitiveness estimation procedure</w:t>
      </w:r>
      <w:r>
        <w:rPr>
          <w:rFonts w:ascii="Times New Roman" w:hAnsi="Times New Roman" w:cs="Times New Roman"/>
          <w:i/>
          <w:lang w:val="en-US"/>
        </w:rPr>
        <w:t xml:space="preserve"> </w:t>
      </w:r>
      <w:r>
        <w:rPr>
          <w:rFonts w:ascii="Times New Roman" w:hAnsi="Times New Roman" w:cs="Times New Roman"/>
          <w:i/>
          <w:lang w:val="en-AU"/>
        </w:rPr>
        <w:t xml:space="preserve">based on emotional theory of sales is presented. It is stated that in the process of making a purchase decision </w:t>
      </w:r>
      <w:r>
        <w:rPr>
          <w:rFonts w:ascii="Times New Roman" w:hAnsi="Times New Roman" w:cs="Times New Roman"/>
          <w:i/>
          <w:lang w:val="en-AU"/>
        </w:rPr>
        <w:lastRenderedPageBreak/>
        <w:t xml:space="preserve">a customer is motivated by the ability of a product to satisfy his demands. Emotions indicate the satisfaction of the customer. The competitiveness differentiators of the road – building machinery were determined. </w:t>
      </w:r>
      <w:r>
        <w:rPr>
          <w:rFonts w:ascii="Times New Roman" w:hAnsi="Times New Roman" w:cs="Times New Roman"/>
          <w:i/>
          <w:lang w:val="en-US"/>
        </w:rPr>
        <w:t xml:space="preserve">The competitiveness estimation objectivity is provided by the analysis of sectorial, appliance and exploitation features. </w:t>
      </w:r>
    </w:p>
    <w:p w:rsidR="00517711" w:rsidRDefault="00F815BE">
      <w:pPr>
        <w:spacing w:after="0"/>
        <w:ind w:firstLine="567"/>
        <w:rPr>
          <w:rFonts w:ascii="Times New Roman" w:hAnsi="Times New Roman" w:cs="Times New Roman"/>
          <w:i/>
          <w:lang w:val="en-AU"/>
        </w:rPr>
      </w:pPr>
      <w:r>
        <w:rPr>
          <w:rFonts w:ascii="Times New Roman" w:hAnsi="Times New Roman" w:cs="Times New Roman"/>
          <w:b/>
          <w:i/>
          <w:lang w:val="en-AU"/>
        </w:rPr>
        <w:t>Keywords</w:t>
      </w:r>
      <w:r>
        <w:rPr>
          <w:rFonts w:ascii="Times New Roman" w:hAnsi="Times New Roman" w:cs="Times New Roman"/>
          <w:i/>
          <w:lang w:val="en-AU"/>
        </w:rPr>
        <w:t>: competitiveness of products, evaluation of product competitiveness,</w:t>
      </w:r>
      <w:r>
        <w:rPr>
          <w:rFonts w:ascii="Times New Roman" w:hAnsi="Times New Roman" w:cs="Times New Roman"/>
          <w:i/>
          <w:lang w:val="en-US"/>
        </w:rPr>
        <w:t xml:space="preserve"> </w:t>
      </w:r>
      <w:r>
        <w:rPr>
          <w:rFonts w:ascii="Times New Roman" w:hAnsi="Times New Roman" w:cs="Times New Roman"/>
          <w:i/>
          <w:lang w:val="en-AU"/>
        </w:rPr>
        <w:t xml:space="preserve">emotional theory of sales, road – building machinery. </w:t>
      </w:r>
      <w:r>
        <w:rPr>
          <w:rFonts w:ascii="Times New Roman" w:hAnsi="Times New Roman" w:cs="Times New Roman"/>
          <w:i/>
          <w:lang w:val="en-US"/>
        </w:rPr>
        <w:t xml:space="preserve">   </w:t>
      </w:r>
    </w:p>
    <w:p w:rsidR="00517711" w:rsidRDefault="00517711">
      <w:pPr>
        <w:pStyle w:val="ae"/>
        <w:jc w:val="both"/>
        <w:rPr>
          <w:rFonts w:ascii="Times New Roman" w:hAnsi="Times New Roman" w:cs="Times New Roman"/>
          <w:sz w:val="24"/>
          <w:szCs w:val="24"/>
          <w:lang w:val="en-AU"/>
        </w:rPr>
      </w:pPr>
    </w:p>
    <w:p w:rsidR="00517711" w:rsidRDefault="00517711">
      <w:pPr>
        <w:pStyle w:val="ae"/>
        <w:ind w:firstLine="709"/>
        <w:jc w:val="both"/>
        <w:rPr>
          <w:rFonts w:ascii="Times New Roman" w:hAnsi="Times New Roman" w:cs="Times New Roman"/>
          <w:sz w:val="24"/>
          <w:szCs w:val="24"/>
          <w:lang w:val="en-AU"/>
        </w:rPr>
      </w:pPr>
    </w:p>
    <w:p w:rsidR="00517711" w:rsidRDefault="00F815BE">
      <w:pPr>
        <w:pStyle w:val="ae"/>
        <w:ind w:firstLine="709"/>
        <w:jc w:val="both"/>
        <w:rPr>
          <w:rFonts w:ascii="Times New Roman" w:hAnsi="Times New Roman" w:cs="Times New Roman"/>
          <w:sz w:val="20"/>
          <w:szCs w:val="20"/>
        </w:rPr>
      </w:pPr>
      <w:r>
        <w:rPr>
          <w:rFonts w:ascii="Times New Roman" w:hAnsi="Times New Roman" w:cs="Times New Roman"/>
          <w:sz w:val="20"/>
          <w:szCs w:val="20"/>
        </w:rPr>
        <w:t xml:space="preserve">В настоящее время среди ученых и специалистов отсутствует единый подход к оценке конкурентоспособности продукции предприятий транспортного машиностроения, что оказывает негативное влияние как на корректную оценку конкурентоспособности продукции, так и на формирование эффективной системы обеспечения конкурентоспособности продукции на предприятии. При этом, авторы разделяют точку зрения на содержание понятия «конкурентоспособность продукции» как </w:t>
      </w:r>
      <w:r>
        <w:rPr>
          <w:rFonts w:ascii="Times New Roman" w:hAnsi="Times New Roman" w:cs="Times New Roman"/>
          <w:b/>
          <w:sz w:val="20"/>
          <w:szCs w:val="20"/>
        </w:rPr>
        <w:t>«</w:t>
      </w:r>
      <w:r>
        <w:rPr>
          <w:rFonts w:ascii="Times New Roman" w:hAnsi="Times New Roman" w:cs="Times New Roman"/>
          <w:sz w:val="20"/>
          <w:szCs w:val="20"/>
        </w:rPr>
        <w:t>способность</w:t>
      </w:r>
      <w:r>
        <w:rPr>
          <w:rFonts w:ascii="Times New Roman" w:hAnsi="Times New Roman" w:cs="Times New Roman"/>
          <w:bCs/>
          <w:iCs/>
          <w:sz w:val="20"/>
          <w:szCs w:val="20"/>
        </w:rPr>
        <w:t xml:space="preserve"> </w:t>
      </w:r>
      <w:r>
        <w:rPr>
          <w:rFonts w:ascii="Times New Roman" w:hAnsi="Times New Roman" w:cs="Times New Roman"/>
          <w:sz w:val="20"/>
          <w:szCs w:val="20"/>
        </w:rPr>
        <w:t>товара демонстрировать наилучшее соотношение потребительной значимости и цены в сравнении с товарами-конкурентами</w:t>
      </w:r>
      <w:r>
        <w:rPr>
          <w:rFonts w:ascii="Times New Roman" w:hAnsi="Times New Roman" w:cs="Times New Roman"/>
          <w:b/>
          <w:sz w:val="20"/>
          <w:szCs w:val="20"/>
        </w:rPr>
        <w:t>»</w:t>
      </w:r>
      <w:r>
        <w:rPr>
          <w:rFonts w:ascii="Times New Roman" w:hAnsi="Times New Roman" w:cs="Times New Roman"/>
          <w:sz w:val="20"/>
          <w:szCs w:val="20"/>
        </w:rPr>
        <w:t xml:space="preserve"> [1, c.84].</w:t>
      </w:r>
    </w:p>
    <w:p w:rsidR="00517711" w:rsidRDefault="00F815BE">
      <w:pPr>
        <w:pStyle w:val="ae"/>
        <w:ind w:firstLine="709"/>
        <w:jc w:val="both"/>
        <w:rPr>
          <w:rFonts w:ascii="Times New Roman" w:hAnsi="Times New Roman" w:cs="Times New Roman"/>
          <w:sz w:val="20"/>
          <w:szCs w:val="20"/>
        </w:rPr>
      </w:pPr>
      <w:r>
        <w:rPr>
          <w:rFonts w:ascii="Times New Roman" w:hAnsi="Times New Roman" w:cs="Times New Roman"/>
          <w:sz w:val="20"/>
          <w:szCs w:val="20"/>
        </w:rPr>
        <w:t>Одной из основных причин возникновения такой ситуации является недоиспользование ряда перспективных научных разработок. В частности, речь идет об эмоциональной теории продаж, содержанием которой являются законы выбора товаров на рынке (причем, как на рациональном, так и иррациональном уровне) [2, c.4].</w:t>
      </w: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sz w:val="20"/>
        </w:rPr>
        <w:t>В основе эмоциональной теории продаж лежат следующие положения.</w:t>
      </w: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sz w:val="20"/>
        </w:rPr>
        <w:t>«1.</w:t>
      </w:r>
      <w:r>
        <w:rPr>
          <w:rFonts w:ascii="Times New Roman" w:hAnsi="Times New Roman"/>
          <w:b w:val="0"/>
          <w:bCs/>
          <w:iCs/>
          <w:sz w:val="20"/>
        </w:rPr>
        <w:t xml:space="preserve">Человек совершает определенные </w:t>
      </w:r>
      <w:r>
        <w:rPr>
          <w:rFonts w:ascii="Times New Roman" w:hAnsi="Times New Roman"/>
          <w:b w:val="0"/>
          <w:bCs/>
          <w:i/>
          <w:iCs/>
          <w:sz w:val="20"/>
        </w:rPr>
        <w:t>действия</w:t>
      </w:r>
      <w:r>
        <w:rPr>
          <w:rFonts w:ascii="Times New Roman" w:hAnsi="Times New Roman"/>
          <w:b w:val="0"/>
          <w:bCs/>
          <w:iCs/>
          <w:sz w:val="20"/>
        </w:rPr>
        <w:t xml:space="preserve"> (в частности, выбирает тот или иной товар) лишь в том случае, если они ведут к удовлетворению тех или иных </w:t>
      </w:r>
      <w:r>
        <w:rPr>
          <w:rFonts w:ascii="Times New Roman" w:hAnsi="Times New Roman"/>
          <w:b w:val="0"/>
          <w:bCs/>
          <w:i/>
          <w:iCs/>
          <w:sz w:val="20"/>
        </w:rPr>
        <w:t>потребностей</w:t>
      </w:r>
      <w:r>
        <w:rPr>
          <w:rFonts w:ascii="Times New Roman" w:hAnsi="Times New Roman"/>
          <w:b w:val="0"/>
          <w:bCs/>
          <w:iCs/>
          <w:sz w:val="20"/>
        </w:rPr>
        <w:t xml:space="preserve"> (в долгосрочной или краткосрочной перспективе).</w:t>
      </w: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sz w:val="20"/>
        </w:rPr>
        <w:t>2.Интегральным показателем степени удовлетворения совокупности потребностей являются эмоции (положительные или отрицательные).</w:t>
      </w: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sz w:val="20"/>
        </w:rPr>
        <w:t>3.Покупатель выбирает тот товар, который вызывает у него более сильные положительные эмоции в сравнении с товарами-конкурентами.</w:t>
      </w: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sz w:val="20"/>
        </w:rPr>
        <w:t>4.Вызываемые различными характеристиками товара однородные эмоции (положительные или отрицательные) объединяются в одну более сильную эмоцию (биоинформационный сигнал).</w:t>
      </w: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sz w:val="20"/>
        </w:rPr>
        <w:t>5.Противоположные эмоции нейтрализуют друг друга» [3, c.20].</w:t>
      </w: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sz w:val="20"/>
        </w:rPr>
        <w:t xml:space="preserve">Таким образом, на конкурентоспособность товара («интегрированного продукта») влияют характеристики как «основного продукта», так и «дополнительных продуктов» (например, рекламные продукты, продукты послепродажного обслуживания и т.д.). </w:t>
      </w:r>
    </w:p>
    <w:p w:rsidR="00517711" w:rsidRDefault="00F815BE">
      <w:pPr>
        <w:pStyle w:val="ae"/>
        <w:ind w:firstLine="709"/>
        <w:jc w:val="both"/>
        <w:rPr>
          <w:rFonts w:ascii="Times New Roman" w:hAnsi="Times New Roman" w:cs="Times New Roman"/>
          <w:sz w:val="20"/>
          <w:szCs w:val="20"/>
        </w:rPr>
      </w:pPr>
      <w:r>
        <w:rPr>
          <w:rFonts w:ascii="Times New Roman" w:hAnsi="Times New Roman" w:cs="Times New Roman"/>
          <w:sz w:val="20"/>
          <w:szCs w:val="20"/>
        </w:rPr>
        <w:t>Целью данной работы является разработка методики оценки конкурентоспособности дорожно-строительной техники, которая опирается на метод оценки конкурентоспособности продукции на основе эмоциональной теории продаж. Актуальность работы связана с необходимостью развития конкурентоспособной отрасли отечественного транспортного и специального машиностроения, в том числе в сфере дорожно-строительной техники.</w:t>
      </w:r>
    </w:p>
    <w:p w:rsidR="00517711" w:rsidRDefault="00F815BE">
      <w:pPr>
        <w:pStyle w:val="ae"/>
        <w:ind w:firstLine="709"/>
        <w:jc w:val="both"/>
        <w:rPr>
          <w:rFonts w:ascii="Times New Roman" w:hAnsi="Times New Roman" w:cs="Times New Roman"/>
          <w:sz w:val="20"/>
          <w:szCs w:val="20"/>
        </w:rPr>
      </w:pPr>
      <w:r>
        <w:rPr>
          <w:rFonts w:ascii="Times New Roman" w:hAnsi="Times New Roman" w:cs="Times New Roman"/>
          <w:sz w:val="20"/>
          <w:szCs w:val="20"/>
        </w:rPr>
        <w:t xml:space="preserve">Объемы производства продукции отечественных предприятий транспортного машиностроения определяются спросом на внутреннем и внешнем рынках, который напрямую зависит от конкурентоспособности продукции. Эффективное управление конкурентоспособностью продукции невозможно без проведения ее оценки.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Так как решение потребителя о покупке базируется на том, какие потребности данный товар способен удовлетворить, для формирования объективной методики оценки необходимо выявить основные параметры конкурентоспособности, имеющие значение для потребителя.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Представленная методика оценки конкурентоспособности продукции предприятий транспортного и специального машиностроения не может быть универсальной, так как данная продукция включает большой спектр техники, отличной по своим параметрам. Для объективной оценки конкурентоспособности продукции предприятий транспортного и специального машиностроения необходимо разделить технику на группы по принципу области применения и выявить наиболее значимые параметры потребительной привлекательности для каждой группы отдельно. В данном исследовании представлена оценка конкурентоспособности дорожно-строительной техники.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Дорожно-строительная техника подразумевает различные виды транспортных средств, применяемые для возведения и сноса зданий и сооружений, а также строительства и ремонта дорог. В качестве примеров можно выделить бульдозеры, экскаваторы, колесные погрузчики.</w:t>
      </w:r>
    </w:p>
    <w:p w:rsidR="00517711" w:rsidRDefault="00F815BE">
      <w:pPr>
        <w:pStyle w:val="ae"/>
        <w:ind w:firstLine="709"/>
        <w:jc w:val="both"/>
        <w:rPr>
          <w:rFonts w:ascii="Times New Roman" w:hAnsi="Times New Roman" w:cs="Times New Roman"/>
          <w:sz w:val="20"/>
          <w:szCs w:val="20"/>
        </w:rPr>
      </w:pPr>
      <w:r>
        <w:rPr>
          <w:rFonts w:ascii="Times New Roman" w:hAnsi="Times New Roman" w:cs="Times New Roman"/>
          <w:sz w:val="20"/>
          <w:szCs w:val="20"/>
        </w:rPr>
        <w:t>В соответствии с указанным методом, оценка конкурентоспособности продукции осуществляется в четыре этапа.</w:t>
      </w: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i/>
          <w:sz w:val="20"/>
        </w:rPr>
        <w:t xml:space="preserve"> Этап первый.</w:t>
      </w:r>
      <w:r>
        <w:rPr>
          <w:rFonts w:ascii="Times New Roman" w:hAnsi="Times New Roman"/>
          <w:b w:val="0"/>
          <w:sz w:val="20"/>
        </w:rPr>
        <w:t xml:space="preserve"> Выявление всех потребностей покупателя и соответствующих им характеристик «интегрированного продукта». </w:t>
      </w:r>
    </w:p>
    <w:p w:rsidR="00517711" w:rsidRDefault="00F815BE">
      <w:pPr>
        <w:pStyle w:val="ae"/>
        <w:ind w:firstLine="709"/>
        <w:jc w:val="both"/>
        <w:rPr>
          <w:rFonts w:ascii="Times New Roman" w:hAnsi="Times New Roman" w:cs="Times New Roman"/>
          <w:sz w:val="20"/>
          <w:szCs w:val="20"/>
        </w:rPr>
      </w:pPr>
      <w:r>
        <w:rPr>
          <w:rFonts w:ascii="Times New Roman" w:hAnsi="Times New Roman" w:cs="Times New Roman"/>
          <w:sz w:val="20"/>
          <w:szCs w:val="20"/>
        </w:rPr>
        <w:t xml:space="preserve">Ранее одним из авторов были обоснованы потребности покупателей дорожно-строительной техники [4, c.837-840]. Характеристики и весовые коэффициенты для данного вида продукции представлены в Таблице 1. Так как потребности включают комплекс показателей, для исчисления единичного показателя </w:t>
      </w:r>
      <w:r>
        <w:rPr>
          <w:rFonts w:ascii="Times New Roman" w:hAnsi="Times New Roman" w:cs="Times New Roman"/>
          <w:sz w:val="20"/>
          <w:szCs w:val="20"/>
        </w:rPr>
        <w:lastRenderedPageBreak/>
        <w:t xml:space="preserve">конкурентоспособности продукции предприятий транспортного машиностроения по потребительским параметрам необходимо определить коэффициенты весомости каждого из них.  На основании проведенных опросов предлагается применить коэффициенты весомости, представленные в </w:t>
      </w:r>
      <w:r>
        <w:rPr>
          <w:rFonts w:ascii="Times New Roman" w:hAnsi="Times New Roman" w:cs="Times New Roman"/>
          <w:i/>
          <w:sz w:val="20"/>
          <w:szCs w:val="20"/>
        </w:rPr>
        <w:t>Таблице 1</w:t>
      </w:r>
      <w:r>
        <w:rPr>
          <w:rFonts w:ascii="Times New Roman" w:hAnsi="Times New Roman" w:cs="Times New Roman"/>
          <w:sz w:val="20"/>
          <w:szCs w:val="20"/>
        </w:rPr>
        <w:t>.</w:t>
      </w:r>
    </w:p>
    <w:p w:rsidR="00517711" w:rsidRDefault="00517711">
      <w:pPr>
        <w:ind w:firstLine="709"/>
        <w:jc w:val="both"/>
        <w:rPr>
          <w:rFonts w:ascii="Times New Roman" w:hAnsi="Times New Roman" w:cs="Times New Roman"/>
          <w:i/>
          <w:sz w:val="20"/>
          <w:szCs w:val="20"/>
        </w:rPr>
      </w:pPr>
    </w:p>
    <w:p w:rsidR="00517711" w:rsidRDefault="00F815BE">
      <w:pPr>
        <w:ind w:firstLine="709"/>
        <w:jc w:val="right"/>
        <w:rPr>
          <w:rFonts w:ascii="Times New Roman" w:hAnsi="Times New Roman" w:cs="Times New Roman"/>
          <w:sz w:val="20"/>
          <w:szCs w:val="20"/>
        </w:rPr>
      </w:pPr>
      <w:r>
        <w:rPr>
          <w:rFonts w:ascii="Times New Roman" w:hAnsi="Times New Roman" w:cs="Times New Roman"/>
          <w:i/>
          <w:sz w:val="20"/>
          <w:szCs w:val="20"/>
        </w:rPr>
        <w:t>Таблица 1</w:t>
      </w:r>
    </w:p>
    <w:p w:rsidR="00517711" w:rsidRDefault="00F815BE">
      <w:pPr>
        <w:ind w:firstLine="709"/>
        <w:jc w:val="center"/>
        <w:rPr>
          <w:rFonts w:ascii="Times New Roman" w:hAnsi="Times New Roman" w:cs="Times New Roman"/>
          <w:b/>
          <w:sz w:val="20"/>
          <w:szCs w:val="20"/>
        </w:rPr>
      </w:pPr>
      <w:r>
        <w:rPr>
          <w:rFonts w:ascii="Times New Roman" w:hAnsi="Times New Roman" w:cs="Times New Roman"/>
          <w:b/>
          <w:sz w:val="20"/>
          <w:szCs w:val="20"/>
        </w:rPr>
        <w:t>характеристики и весовые коэффициенты дорожно-строительной техники</w:t>
      </w:r>
    </w:p>
    <w:p w:rsidR="00517711" w:rsidRDefault="00517711">
      <w:pPr>
        <w:ind w:firstLine="709"/>
        <w:jc w:val="both"/>
        <w:rPr>
          <w:rFonts w:ascii="Times New Roman" w:hAnsi="Times New Roman" w:cs="Times New Roman"/>
          <w:sz w:val="20"/>
          <w:szCs w:val="20"/>
        </w:rPr>
      </w:pPr>
    </w:p>
    <w:tbl>
      <w:tblPr>
        <w:tblW w:w="8931" w:type="dxa"/>
        <w:tblInd w:w="108" w:type="dxa"/>
        <w:tblLook w:val="04A0" w:firstRow="1" w:lastRow="0" w:firstColumn="1" w:lastColumn="0" w:noHBand="0" w:noVBand="1"/>
      </w:tblPr>
      <w:tblGrid>
        <w:gridCol w:w="675"/>
        <w:gridCol w:w="6129"/>
        <w:gridCol w:w="2127"/>
      </w:tblGrid>
      <w:tr w:rsidR="00517711">
        <w:trPr>
          <w:trHeight w:val="259"/>
        </w:trPr>
        <w:tc>
          <w:tcPr>
            <w:tcW w:w="893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17711" w:rsidRDefault="00F815BE">
            <w:pPr>
              <w:ind w:firstLine="709"/>
              <w:jc w:val="center"/>
              <w:rPr>
                <w:rFonts w:ascii="Times New Roman" w:hAnsi="Times New Roman" w:cs="Times New Roman"/>
                <w:sz w:val="20"/>
                <w:szCs w:val="20"/>
              </w:rPr>
            </w:pPr>
            <w:r>
              <w:rPr>
                <w:rFonts w:ascii="Times New Roman" w:hAnsi="Times New Roman" w:cs="Times New Roman"/>
                <w:sz w:val="20"/>
                <w:szCs w:val="20"/>
              </w:rPr>
              <w:t>Дорожно-строительная техника</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Наименование характеристики</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Весовой коэффициент</w:t>
            </w:r>
          </w:p>
          <w:p w:rsidR="00517711" w:rsidRDefault="00F815BE">
            <w:pPr>
              <w:jc w:val="center"/>
              <w:rPr>
                <w:rFonts w:ascii="Times New Roman" w:hAnsi="Times New Roman" w:cs="Times New Roman"/>
                <w:sz w:val="20"/>
                <w:szCs w:val="20"/>
              </w:rPr>
            </w:pPr>
            <w:r>
              <w:rPr>
                <w:rFonts w:ascii="Times New Roman" w:hAnsi="Times New Roman" w:cs="Times New Roman"/>
                <w:bCs/>
                <w:iCs/>
                <w:sz w:val="20"/>
                <w:szCs w:val="20"/>
              </w:rPr>
              <w:t>К</w:t>
            </w:r>
            <w:r>
              <w:rPr>
                <w:rFonts w:ascii="Times New Roman" w:hAnsi="Times New Roman" w:cs="Times New Roman"/>
                <w:bCs/>
                <w:iCs/>
                <w:sz w:val="20"/>
                <w:szCs w:val="20"/>
                <w:lang w:val="en-US"/>
              </w:rPr>
              <w:t>i</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1</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Срок изготовления и доставки</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0,05</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2</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Возможность комплектации аналоговыми запасными частями</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0,05</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3</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Доступность запасных частей</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0,05</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4</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Возможность использования ГСМ одной марки</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0,05</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5</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Качество и возможность технического обслуживания</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0,05</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6</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Стоимость технического обслуживания</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0,05</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7</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Гарантийный срок</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0,05</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8</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Возможность использования дополнительного и навесного оборудования</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0,05</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9</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Эргономичность техники</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0,05</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10</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Удельный часовой расход топлива</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0,05</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11</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Наличие инструментов повторной реализации</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0,05</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12</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Периодичность технического обслуживания</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0,04</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13</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Периодичность замены ГСМ</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0,04</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14</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Возможность выбора марки используемых ГСМ</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0,04</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15</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Тип техники</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0,04</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16</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Степень автоматизации</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0,04</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17</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Наличие кредитных инструментов</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0,04</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18</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Оптимальное соотношение массы и мощности техники</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0,04</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19</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Возможность выбора исполнения</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0,04</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20</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Скорость движения при холостом и рабочем шаге</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0,04</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21</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Бренд</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0,035</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22</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Имидж страны-производителя</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0,03</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23</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Дизайн</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0,025</w:t>
            </w:r>
          </w:p>
        </w:tc>
      </w:tr>
    </w:tbl>
    <w:p w:rsidR="00517711" w:rsidRDefault="00517711">
      <w:pPr>
        <w:tabs>
          <w:tab w:val="left" w:pos="0"/>
        </w:tabs>
        <w:ind w:firstLine="709"/>
        <w:jc w:val="both"/>
        <w:rPr>
          <w:rFonts w:ascii="Times New Roman" w:hAnsi="Times New Roman" w:cs="Times New Roman"/>
          <w:color w:val="00B050"/>
          <w:sz w:val="20"/>
          <w:szCs w:val="20"/>
        </w:rPr>
      </w:pPr>
    </w:p>
    <w:p w:rsidR="00517711" w:rsidRDefault="00F815BE">
      <w:pPr>
        <w:tabs>
          <w:tab w:val="left" w:pos="0"/>
        </w:tabs>
        <w:spacing w:line="240" w:lineRule="auto"/>
        <w:ind w:firstLine="709"/>
        <w:jc w:val="both"/>
        <w:rPr>
          <w:rFonts w:ascii="Times New Roman" w:hAnsi="Times New Roman" w:cs="Times New Roman"/>
          <w:sz w:val="20"/>
          <w:szCs w:val="20"/>
        </w:rPr>
      </w:pPr>
      <w:r>
        <w:rPr>
          <w:rFonts w:ascii="Times New Roman" w:hAnsi="Times New Roman" w:cs="Times New Roman"/>
          <w:sz w:val="20"/>
          <w:szCs w:val="20"/>
        </w:rPr>
        <w:t>Из таблицы видно, что характеристике «срок изготовления и доставки» соответствует весовой коэффициент 0,05 (К1), характеристике «Возможность комплектации аналоговыми запасными частями» -  весовой коэффициент 0,05 (К2) и т.д.</w:t>
      </w:r>
    </w:p>
    <w:p w:rsidR="00517711" w:rsidRDefault="00F815BE">
      <w:pPr>
        <w:pStyle w:val="af"/>
        <w:spacing w:line="240" w:lineRule="auto"/>
        <w:ind w:firstLine="709"/>
        <w:jc w:val="both"/>
        <w:rPr>
          <w:rFonts w:ascii="Times New Roman" w:hAnsi="Times New Roman"/>
          <w:b w:val="0"/>
          <w:bCs/>
          <w:iCs/>
          <w:sz w:val="20"/>
        </w:rPr>
      </w:pPr>
      <w:r>
        <w:rPr>
          <w:rFonts w:ascii="Times New Roman" w:hAnsi="Times New Roman"/>
          <w:b w:val="0"/>
          <w:i/>
          <w:sz w:val="20"/>
        </w:rPr>
        <w:lastRenderedPageBreak/>
        <w:t>Этап второй.</w:t>
      </w:r>
      <w:r>
        <w:rPr>
          <w:rFonts w:ascii="Times New Roman" w:hAnsi="Times New Roman"/>
          <w:b w:val="0"/>
          <w:sz w:val="20"/>
        </w:rPr>
        <w:t xml:space="preserve"> Расчет показателя потребительной значимости данного «интегрированного продукта» по формуле:</w:t>
      </w:r>
      <w:r>
        <w:rPr>
          <w:rFonts w:ascii="Times New Roman" w:hAnsi="Times New Roman"/>
          <w:b w:val="0"/>
          <w:bCs/>
          <w:iCs/>
          <w:sz w:val="20"/>
        </w:rPr>
        <w:t xml:space="preserve"> </w:t>
      </w:r>
    </w:p>
    <w:p w:rsidR="00517711" w:rsidRDefault="00517711">
      <w:pPr>
        <w:pStyle w:val="af"/>
        <w:spacing w:line="240" w:lineRule="auto"/>
        <w:ind w:firstLine="709"/>
        <w:jc w:val="both"/>
        <w:rPr>
          <w:rFonts w:ascii="Times New Roman" w:hAnsi="Times New Roman"/>
          <w:b w:val="0"/>
          <w:bCs/>
          <w:iCs/>
          <w:sz w:val="20"/>
        </w:rPr>
      </w:pP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bCs/>
          <w:iCs/>
          <w:sz w:val="20"/>
        </w:rPr>
        <w:t>ПЗИП = ∑К</w:t>
      </w:r>
      <w:r>
        <w:rPr>
          <w:rFonts w:ascii="Times New Roman" w:hAnsi="Times New Roman"/>
          <w:b w:val="0"/>
          <w:bCs/>
          <w:iCs/>
          <w:sz w:val="20"/>
          <w:lang w:val="en-US"/>
        </w:rPr>
        <w:t>i</w:t>
      </w:r>
      <w:r>
        <w:rPr>
          <w:rFonts w:ascii="Times New Roman" w:hAnsi="Times New Roman"/>
          <w:b w:val="0"/>
          <w:bCs/>
          <w:iCs/>
          <w:sz w:val="20"/>
        </w:rPr>
        <w:t xml:space="preserve"> × П</w:t>
      </w:r>
      <w:r>
        <w:rPr>
          <w:rFonts w:ascii="Times New Roman" w:hAnsi="Times New Roman"/>
          <w:b w:val="0"/>
          <w:bCs/>
          <w:iCs/>
          <w:sz w:val="20"/>
          <w:lang w:val="en-US"/>
        </w:rPr>
        <w:t>i</w:t>
      </w:r>
      <w:r>
        <w:rPr>
          <w:rFonts w:ascii="Times New Roman" w:hAnsi="Times New Roman"/>
          <w:b w:val="0"/>
          <w:sz w:val="20"/>
        </w:rPr>
        <w:fldChar w:fldCharType="begin"/>
      </w:r>
      <w:r>
        <w:rPr>
          <w:rFonts w:ascii="Times New Roman" w:hAnsi="Times New Roman"/>
          <w:b w:val="0"/>
          <w:sz w:val="20"/>
        </w:rPr>
        <w:instrText xml:space="preserve"> QUOTE </w:instrText>
      </w:r>
      <m:oMath>
        <m:r>
          <m:rPr>
            <m:sty m:val="b"/>
          </m:rPr>
          <w:rPr>
            <w:rFonts w:ascii="Cambria Math" w:hAnsi="Cambria Math"/>
            <w:sz w:val="20"/>
          </w:rPr>
          <m:t xml:space="preserve">                                                         ИПХ=</m:t>
        </m:r>
        <m:nary>
          <m:naryPr>
            <m:chr m:val="∑"/>
            <m:limLoc m:val="undOvr"/>
            <m:ctrlPr>
              <w:rPr>
                <w:rFonts w:ascii="Cambria Math" w:hAnsi="Cambria Math"/>
                <w:b w:val="0"/>
                <w:sz w:val="20"/>
              </w:rPr>
            </m:ctrlPr>
          </m:naryPr>
          <m:sub>
            <m:r>
              <m:rPr>
                <m:sty m:val="b"/>
              </m:rPr>
              <w:rPr>
                <w:rFonts w:ascii="Cambria Math" w:hAnsi="Cambria Math"/>
                <w:sz w:val="20"/>
              </w:rPr>
              <m:t>i=1</m:t>
            </m:r>
          </m:sub>
          <m:sup>
            <m:r>
              <m:rPr>
                <m:sty m:val="b"/>
              </m:rPr>
              <w:rPr>
                <w:rFonts w:ascii="Cambria Math" w:hAnsi="Cambria Math"/>
                <w:sz w:val="20"/>
              </w:rPr>
              <m:t>n</m:t>
            </m:r>
          </m:sup>
          <m:e>
            <m:sSub>
              <m:sSubPr>
                <m:ctrlPr>
                  <w:rPr>
                    <w:rFonts w:ascii="Cambria Math" w:hAnsi="Cambria Math"/>
                    <w:b w:val="0"/>
                    <w:sz w:val="20"/>
                  </w:rPr>
                </m:ctrlPr>
              </m:sSubPr>
              <m:e>
                <m:r>
                  <m:rPr>
                    <m:sty m:val="b"/>
                  </m:rPr>
                  <w:rPr>
                    <w:rFonts w:ascii="Cambria Math" w:hAnsi="Cambria Math"/>
                    <w:sz w:val="20"/>
                  </w:rPr>
                  <m:t>К</m:t>
                </m:r>
              </m:e>
              <m:sub>
                <m:r>
                  <m:rPr>
                    <m:sty m:val="b"/>
                  </m:rPr>
                  <w:rPr>
                    <w:rFonts w:ascii="Cambria Math" w:hAnsi="Cambria Math"/>
                    <w:sz w:val="20"/>
                  </w:rPr>
                  <m:t>i</m:t>
                </m:r>
              </m:sub>
            </m:sSub>
          </m:e>
        </m:nary>
        <m:sSub>
          <m:sSubPr>
            <m:ctrlPr>
              <w:rPr>
                <w:rFonts w:ascii="Cambria Math" w:hAnsi="Cambria Math"/>
                <w:b w:val="0"/>
                <w:sz w:val="20"/>
              </w:rPr>
            </m:ctrlPr>
          </m:sSubPr>
          <m:e>
            <m:r>
              <m:rPr>
                <m:sty m:val="b"/>
              </m:rPr>
              <w:rPr>
                <w:rFonts w:ascii="Cambria Math" w:hAnsi="Cambria Math"/>
                <w:sz w:val="20"/>
              </w:rPr>
              <m:t xml:space="preserve"> ПХ</m:t>
            </m:r>
          </m:e>
          <m:sub>
            <m:r>
              <m:rPr>
                <m:sty m:val="b"/>
              </m:rPr>
              <w:rPr>
                <w:rFonts w:ascii="Cambria Math" w:hAnsi="Cambria Math"/>
                <w:sz w:val="20"/>
              </w:rPr>
              <m:t>i</m:t>
            </m:r>
          </m:sub>
        </m:sSub>
      </m:oMath>
      <w:r>
        <w:rPr>
          <w:rFonts w:ascii="Times New Roman" w:hAnsi="Times New Roman"/>
          <w:b w:val="0"/>
          <w:sz w:val="20"/>
        </w:rPr>
        <w:instrText xml:space="preserve"> </w:instrText>
      </w:r>
      <w:r>
        <w:rPr>
          <w:rFonts w:ascii="Times New Roman" w:hAnsi="Times New Roman"/>
          <w:b w:val="0"/>
          <w:sz w:val="20"/>
        </w:rPr>
        <w:fldChar w:fldCharType="end"/>
      </w:r>
      <w:r>
        <w:rPr>
          <w:rFonts w:ascii="Times New Roman" w:hAnsi="Times New Roman"/>
          <w:b w:val="0"/>
          <w:sz w:val="20"/>
        </w:rPr>
        <w:t>, (1)</w:t>
      </w:r>
    </w:p>
    <w:p w:rsidR="00517711" w:rsidRDefault="00517711">
      <w:pPr>
        <w:pStyle w:val="af"/>
        <w:spacing w:line="240" w:lineRule="auto"/>
        <w:jc w:val="both"/>
        <w:rPr>
          <w:rFonts w:ascii="Times New Roman" w:hAnsi="Times New Roman"/>
          <w:b w:val="0"/>
          <w:sz w:val="20"/>
        </w:rPr>
      </w:pP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sz w:val="20"/>
        </w:rPr>
        <w:t xml:space="preserve">где ПЗИП – показатель потребительной значимости данного «интегрированного продукта», балл.; </w:t>
      </w:r>
      <w:r>
        <w:rPr>
          <w:rFonts w:ascii="Times New Roman" w:hAnsi="Times New Roman"/>
          <w:b w:val="0"/>
          <w:bCs/>
          <w:iCs/>
          <w:sz w:val="20"/>
        </w:rPr>
        <w:t>К</w:t>
      </w:r>
      <w:r>
        <w:rPr>
          <w:rFonts w:ascii="Times New Roman" w:hAnsi="Times New Roman"/>
          <w:b w:val="0"/>
          <w:bCs/>
          <w:iCs/>
          <w:sz w:val="20"/>
          <w:lang w:val="en-US"/>
        </w:rPr>
        <w:t>i</w:t>
      </w:r>
      <w:r>
        <w:rPr>
          <w:rFonts w:ascii="Times New Roman" w:hAnsi="Times New Roman"/>
          <w:b w:val="0"/>
          <w:sz w:val="20"/>
        </w:rPr>
        <w:t xml:space="preserve"> – удельная значимость данной потребности (весовой коэффициент) (причем </w:t>
      </w:r>
      <w:r>
        <w:rPr>
          <w:rFonts w:ascii="Times New Roman" w:hAnsi="Times New Roman"/>
          <w:b w:val="0"/>
          <w:bCs/>
          <w:iCs/>
          <w:sz w:val="20"/>
        </w:rPr>
        <w:t>∑К</w:t>
      </w:r>
      <w:r>
        <w:rPr>
          <w:rFonts w:ascii="Times New Roman" w:hAnsi="Times New Roman"/>
          <w:b w:val="0"/>
          <w:bCs/>
          <w:iCs/>
          <w:sz w:val="20"/>
          <w:lang w:val="en-US"/>
        </w:rPr>
        <w:t>i</w:t>
      </w:r>
      <w:r>
        <w:rPr>
          <w:rFonts w:ascii="Times New Roman" w:hAnsi="Times New Roman"/>
          <w:b w:val="0"/>
          <w:bCs/>
          <w:iCs/>
          <w:sz w:val="20"/>
        </w:rPr>
        <w:t xml:space="preserve"> = 1,0)</w:t>
      </w:r>
      <w:r>
        <w:rPr>
          <w:rFonts w:ascii="Times New Roman" w:hAnsi="Times New Roman"/>
          <w:b w:val="0"/>
          <w:sz w:val="20"/>
        </w:rPr>
        <w:t xml:space="preserve">;  </w:t>
      </w:r>
      <w:r>
        <w:rPr>
          <w:rFonts w:ascii="Times New Roman" w:hAnsi="Times New Roman"/>
          <w:b w:val="0"/>
          <w:bCs/>
          <w:iCs/>
          <w:sz w:val="20"/>
        </w:rPr>
        <w:t>П</w:t>
      </w:r>
      <w:r>
        <w:rPr>
          <w:rFonts w:ascii="Times New Roman" w:hAnsi="Times New Roman"/>
          <w:b w:val="0"/>
          <w:bCs/>
          <w:iCs/>
          <w:sz w:val="20"/>
          <w:lang w:val="en-US"/>
        </w:rPr>
        <w:t>i</w:t>
      </w:r>
      <w:r>
        <w:rPr>
          <w:rFonts w:ascii="Times New Roman" w:hAnsi="Times New Roman"/>
          <w:b w:val="0"/>
          <w:sz w:val="20"/>
        </w:rPr>
        <w:fldChar w:fldCharType="begin"/>
      </w:r>
      <w:r>
        <w:rPr>
          <w:rFonts w:ascii="Times New Roman" w:hAnsi="Times New Roman"/>
          <w:b w:val="0"/>
          <w:sz w:val="20"/>
        </w:rPr>
        <w:instrText xml:space="preserve"> QUOTE </w:instrText>
      </w:r>
      <m:oMath>
        <m:r>
          <m:rPr>
            <m:sty m:val="b"/>
          </m:rPr>
          <w:rPr>
            <w:rFonts w:ascii="Cambria Math" w:hAnsi="Cambria Math"/>
            <w:sz w:val="20"/>
          </w:rPr>
          <m:t xml:space="preserve">                                                         ИПХ=</m:t>
        </m:r>
        <m:nary>
          <m:naryPr>
            <m:chr m:val="∑"/>
            <m:limLoc m:val="undOvr"/>
            <m:ctrlPr>
              <w:rPr>
                <w:rFonts w:ascii="Cambria Math" w:hAnsi="Cambria Math"/>
                <w:b w:val="0"/>
                <w:sz w:val="20"/>
              </w:rPr>
            </m:ctrlPr>
          </m:naryPr>
          <m:sub>
            <m:r>
              <m:rPr>
                <m:sty m:val="b"/>
              </m:rPr>
              <w:rPr>
                <w:rFonts w:ascii="Cambria Math" w:hAnsi="Cambria Math"/>
                <w:sz w:val="20"/>
              </w:rPr>
              <m:t>i=1</m:t>
            </m:r>
          </m:sub>
          <m:sup>
            <m:r>
              <m:rPr>
                <m:sty m:val="b"/>
              </m:rPr>
              <w:rPr>
                <w:rFonts w:ascii="Cambria Math" w:hAnsi="Cambria Math"/>
                <w:sz w:val="20"/>
              </w:rPr>
              <m:t>n</m:t>
            </m:r>
          </m:sup>
          <m:e>
            <m:sSub>
              <m:sSubPr>
                <m:ctrlPr>
                  <w:rPr>
                    <w:rFonts w:ascii="Cambria Math" w:hAnsi="Cambria Math"/>
                    <w:b w:val="0"/>
                    <w:sz w:val="20"/>
                  </w:rPr>
                </m:ctrlPr>
              </m:sSubPr>
              <m:e>
                <m:r>
                  <m:rPr>
                    <m:sty m:val="b"/>
                  </m:rPr>
                  <w:rPr>
                    <w:rFonts w:ascii="Cambria Math" w:hAnsi="Cambria Math"/>
                    <w:sz w:val="20"/>
                  </w:rPr>
                  <m:t>К</m:t>
                </m:r>
              </m:e>
              <m:sub>
                <m:r>
                  <m:rPr>
                    <m:sty m:val="b"/>
                  </m:rPr>
                  <w:rPr>
                    <w:rFonts w:ascii="Cambria Math" w:hAnsi="Cambria Math"/>
                    <w:sz w:val="20"/>
                  </w:rPr>
                  <m:t>i</m:t>
                </m:r>
              </m:sub>
            </m:sSub>
          </m:e>
        </m:nary>
        <m:sSub>
          <m:sSubPr>
            <m:ctrlPr>
              <w:rPr>
                <w:rFonts w:ascii="Cambria Math" w:hAnsi="Cambria Math"/>
                <w:b w:val="0"/>
                <w:sz w:val="20"/>
              </w:rPr>
            </m:ctrlPr>
          </m:sSubPr>
          <m:e>
            <m:r>
              <m:rPr>
                <m:sty m:val="b"/>
              </m:rPr>
              <w:rPr>
                <w:rFonts w:ascii="Cambria Math" w:hAnsi="Cambria Math"/>
                <w:sz w:val="20"/>
              </w:rPr>
              <m:t xml:space="preserve"> ПХ</m:t>
            </m:r>
          </m:e>
          <m:sub>
            <m:r>
              <m:rPr>
                <m:sty m:val="b"/>
              </m:rPr>
              <w:rPr>
                <w:rFonts w:ascii="Cambria Math" w:hAnsi="Cambria Math"/>
                <w:sz w:val="20"/>
              </w:rPr>
              <m:t>i</m:t>
            </m:r>
          </m:sub>
        </m:sSub>
      </m:oMath>
      <w:r>
        <w:rPr>
          <w:rFonts w:ascii="Times New Roman" w:hAnsi="Times New Roman"/>
          <w:b w:val="0"/>
          <w:sz w:val="20"/>
        </w:rPr>
        <w:instrText xml:space="preserve"> </w:instrText>
      </w:r>
      <w:r>
        <w:rPr>
          <w:rFonts w:ascii="Times New Roman" w:hAnsi="Times New Roman"/>
          <w:b w:val="0"/>
          <w:sz w:val="20"/>
        </w:rPr>
        <w:fldChar w:fldCharType="end"/>
      </w:r>
      <w:r>
        <w:rPr>
          <w:rFonts w:ascii="Times New Roman" w:hAnsi="Times New Roman"/>
          <w:b w:val="0"/>
          <w:sz w:val="20"/>
        </w:rPr>
        <w:t xml:space="preserve"> – степень удовлетворения данной потребности покупателя посредством соответствующей характеристики «интегрированного продукта», балл. </w:t>
      </w: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sz w:val="20"/>
        </w:rPr>
        <w:t xml:space="preserve">Для оценки степени удовлетворения потребностей предлагается балльная система, где каждая характеристика должна быть оценена по десятибалльной шкале. В частности, для оценки потребительной привлекательности продукции предприятий транспортного машиностроения наиболее приемлем метод фокус-групп. </w:t>
      </w: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sz w:val="20"/>
        </w:rPr>
        <w:t xml:space="preserve">Фокус-группа представляет собой интервью, дискуссию и беседу, проводимую в специализированном помещении. Обсуждение касается предмета, который представляет интерес для исследования и ведется группой из нескольких человек [3, с.1-2]. По результатам обсуждения каждый член группы дает оценку по десятибалльной шкале каждому фактору потребительной привлекательности. </w:t>
      </w: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i/>
          <w:sz w:val="20"/>
        </w:rPr>
        <w:t>Этап третий.</w:t>
      </w:r>
      <w:r>
        <w:rPr>
          <w:rFonts w:ascii="Times New Roman" w:hAnsi="Times New Roman"/>
          <w:b w:val="0"/>
          <w:sz w:val="20"/>
        </w:rPr>
        <w:t xml:space="preserve"> Расчет показателя потребительной привлекательности данного «интегрированного продукта» по формуле: </w:t>
      </w:r>
    </w:p>
    <w:p w:rsidR="00517711" w:rsidRDefault="00517711">
      <w:pPr>
        <w:pStyle w:val="af"/>
        <w:spacing w:line="240" w:lineRule="auto"/>
        <w:ind w:firstLine="709"/>
        <w:jc w:val="both"/>
        <w:rPr>
          <w:rFonts w:ascii="Times New Roman" w:hAnsi="Times New Roman"/>
          <w:b w:val="0"/>
          <w:sz w:val="20"/>
        </w:rPr>
      </w:pP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sz w:val="20"/>
        </w:rPr>
        <w:t>ППИП = ПЗИП / Ц = (</w:t>
      </w:r>
      <w:r>
        <w:rPr>
          <w:rFonts w:ascii="Times New Roman" w:hAnsi="Times New Roman"/>
          <w:b w:val="0"/>
          <w:bCs/>
          <w:iCs/>
          <w:sz w:val="20"/>
        </w:rPr>
        <w:t>∑К</w:t>
      </w:r>
      <w:r>
        <w:rPr>
          <w:rFonts w:ascii="Times New Roman" w:hAnsi="Times New Roman"/>
          <w:b w:val="0"/>
          <w:bCs/>
          <w:iCs/>
          <w:sz w:val="20"/>
          <w:lang w:val="en-US"/>
        </w:rPr>
        <w:t>i</w:t>
      </w:r>
      <w:r>
        <w:rPr>
          <w:rFonts w:ascii="Times New Roman" w:hAnsi="Times New Roman"/>
          <w:b w:val="0"/>
          <w:bCs/>
          <w:iCs/>
          <w:sz w:val="20"/>
        </w:rPr>
        <w:t xml:space="preserve"> × П</w:t>
      </w:r>
      <w:r>
        <w:rPr>
          <w:rFonts w:ascii="Times New Roman" w:hAnsi="Times New Roman"/>
          <w:b w:val="0"/>
          <w:bCs/>
          <w:iCs/>
          <w:sz w:val="20"/>
          <w:lang w:val="en-US"/>
        </w:rPr>
        <w:t>i</w:t>
      </w:r>
      <w:r>
        <w:rPr>
          <w:rFonts w:ascii="Times New Roman" w:hAnsi="Times New Roman"/>
          <w:b w:val="0"/>
          <w:bCs/>
          <w:iCs/>
          <w:sz w:val="20"/>
        </w:rPr>
        <w:t>)/ Ц</w:t>
      </w:r>
      <w:r>
        <w:rPr>
          <w:rFonts w:ascii="Times New Roman" w:hAnsi="Times New Roman"/>
          <w:b w:val="0"/>
          <w:sz w:val="20"/>
        </w:rPr>
        <w:t>, (2)</w:t>
      </w:r>
    </w:p>
    <w:p w:rsidR="00517711" w:rsidRDefault="00517711">
      <w:pPr>
        <w:pStyle w:val="af"/>
        <w:spacing w:line="240" w:lineRule="auto"/>
        <w:ind w:firstLine="709"/>
        <w:jc w:val="both"/>
        <w:rPr>
          <w:rFonts w:ascii="Times New Roman" w:hAnsi="Times New Roman"/>
          <w:b w:val="0"/>
          <w:sz w:val="20"/>
        </w:rPr>
      </w:pP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sz w:val="20"/>
        </w:rPr>
        <w:t>где ППИП – показатель потребительной привлекательности данного «интегрированного продукта», балл./долл..; ПЗИП – показатель потребительной значимости данного «интегрированного продукта», балл.; Ц – цена данного товара, долл.</w:t>
      </w:r>
    </w:p>
    <w:p w:rsidR="00517711" w:rsidRDefault="00F815BE">
      <w:pPr>
        <w:tabs>
          <w:tab w:val="left" w:pos="0"/>
        </w:tabs>
        <w:spacing w:line="240" w:lineRule="auto"/>
        <w:ind w:firstLine="709"/>
        <w:jc w:val="both"/>
        <w:rPr>
          <w:rFonts w:ascii="Times New Roman" w:hAnsi="Times New Roman" w:cs="Times New Roman"/>
          <w:sz w:val="20"/>
          <w:szCs w:val="20"/>
        </w:rPr>
      </w:pPr>
      <w:r>
        <w:rPr>
          <w:rFonts w:ascii="Times New Roman" w:hAnsi="Times New Roman" w:cs="Times New Roman"/>
          <w:sz w:val="20"/>
          <w:szCs w:val="20"/>
        </w:rPr>
        <w:t>Как мы видим из Таблицы 1</w:t>
      </w:r>
      <w:r>
        <w:rPr>
          <w:rFonts w:ascii="Times New Roman" w:hAnsi="Times New Roman" w:cs="Times New Roman"/>
          <w:b/>
          <w:sz w:val="20"/>
          <w:szCs w:val="20"/>
        </w:rPr>
        <w:t xml:space="preserve">, </w:t>
      </w:r>
      <w:r>
        <w:rPr>
          <w:rFonts w:ascii="Times New Roman" w:hAnsi="Times New Roman" w:cs="Times New Roman"/>
          <w:sz w:val="20"/>
          <w:szCs w:val="20"/>
        </w:rPr>
        <w:t xml:space="preserve">ППИП для дорожно-строительной техники рассчитывается  по формуле 2: </w:t>
      </w:r>
    </w:p>
    <w:p w:rsidR="00517711" w:rsidRDefault="00517711">
      <w:pPr>
        <w:tabs>
          <w:tab w:val="left" w:pos="0"/>
        </w:tabs>
        <w:spacing w:line="240" w:lineRule="auto"/>
        <w:ind w:firstLine="709"/>
        <w:jc w:val="both"/>
        <w:rPr>
          <w:rFonts w:ascii="Times New Roman" w:hAnsi="Times New Roman" w:cs="Times New Roman"/>
          <w:sz w:val="20"/>
          <w:szCs w:val="20"/>
          <w:highlight w:val="yellow"/>
        </w:rPr>
      </w:pPr>
    </w:p>
    <w:p w:rsidR="00517711" w:rsidRDefault="00517711">
      <w:pPr>
        <w:tabs>
          <w:tab w:val="left" w:pos="0"/>
        </w:tabs>
        <w:spacing w:line="240" w:lineRule="auto"/>
        <w:ind w:firstLine="709"/>
        <w:jc w:val="both"/>
        <w:rPr>
          <w:rFonts w:ascii="Times New Roman" w:hAnsi="Times New Roman" w:cs="Times New Roman"/>
          <w:sz w:val="20"/>
          <w:szCs w:val="20"/>
          <w:highlight w:val="yellow"/>
        </w:rPr>
      </w:pPr>
    </w:p>
    <w:p w:rsidR="00517711" w:rsidRDefault="00F815BE">
      <w:pPr>
        <w:tabs>
          <w:tab w:val="left" w:pos="0"/>
        </w:tabs>
        <w:spacing w:line="240" w:lineRule="auto"/>
        <w:ind w:left="709"/>
        <w:jc w:val="both"/>
        <w:rPr>
          <w:rFonts w:ascii="Times New Roman" w:hAnsi="Times New Roman" w:cs="Times New Roman"/>
          <w:sz w:val="20"/>
          <w:szCs w:val="20"/>
        </w:rPr>
      </w:pPr>
      <w:r>
        <w:rPr>
          <w:rFonts w:ascii="Times New Roman" w:hAnsi="Times New Roman" w:cs="Times New Roman"/>
          <w:sz w:val="20"/>
          <w:szCs w:val="20"/>
        </w:rPr>
        <w:t>ППИП = ПЗИП / Ц = (</w:t>
      </w:r>
      <w:r>
        <w:rPr>
          <w:rFonts w:ascii="Times New Roman" w:hAnsi="Times New Roman" w:cs="Times New Roman"/>
          <w:bCs/>
          <w:iCs/>
          <w:sz w:val="20"/>
          <w:szCs w:val="20"/>
        </w:rPr>
        <w:t>∑К</w:t>
      </w:r>
      <w:r>
        <w:rPr>
          <w:rFonts w:ascii="Times New Roman" w:hAnsi="Times New Roman" w:cs="Times New Roman"/>
          <w:bCs/>
          <w:iCs/>
          <w:sz w:val="20"/>
          <w:szCs w:val="20"/>
          <w:lang w:val="en-US"/>
        </w:rPr>
        <w:t>i</w:t>
      </w:r>
      <w:r>
        <w:rPr>
          <w:rFonts w:ascii="Times New Roman" w:hAnsi="Times New Roman" w:cs="Times New Roman"/>
          <w:bCs/>
          <w:iCs/>
          <w:sz w:val="20"/>
          <w:szCs w:val="20"/>
        </w:rPr>
        <w:t xml:space="preserve"> × П</w:t>
      </w:r>
      <w:r>
        <w:rPr>
          <w:rFonts w:ascii="Times New Roman" w:hAnsi="Times New Roman" w:cs="Times New Roman"/>
          <w:bCs/>
          <w:iCs/>
          <w:sz w:val="20"/>
          <w:szCs w:val="20"/>
          <w:lang w:val="en-US"/>
        </w:rPr>
        <w:t>i</w:t>
      </w:r>
      <w:r>
        <w:rPr>
          <w:rFonts w:ascii="Times New Roman" w:hAnsi="Times New Roman" w:cs="Times New Roman"/>
          <w:bCs/>
          <w:iCs/>
          <w:sz w:val="20"/>
          <w:szCs w:val="20"/>
        </w:rPr>
        <w:t>) / Ц</w:t>
      </w:r>
      <w:r>
        <w:rPr>
          <w:rFonts w:ascii="Times New Roman" w:hAnsi="Times New Roman" w:cs="Times New Roman"/>
          <w:sz w:val="20"/>
          <w:szCs w:val="20"/>
        </w:rPr>
        <w:t xml:space="preserve"> = (0,05×П1+0,05×П2+0,05×П3+0,05×П4+0,05×П5+</w:t>
      </w:r>
    </w:p>
    <w:p w:rsidR="00517711" w:rsidRDefault="00F815BE">
      <w:pPr>
        <w:tabs>
          <w:tab w:val="left" w:pos="0"/>
        </w:tabs>
        <w:spacing w:line="240" w:lineRule="auto"/>
        <w:jc w:val="both"/>
        <w:rPr>
          <w:rFonts w:ascii="Times New Roman" w:hAnsi="Times New Roman" w:cs="Times New Roman"/>
          <w:sz w:val="20"/>
          <w:szCs w:val="20"/>
        </w:rPr>
      </w:pPr>
      <w:r>
        <w:rPr>
          <w:rFonts w:ascii="Times New Roman" w:hAnsi="Times New Roman" w:cs="Times New Roman"/>
          <w:sz w:val="20"/>
          <w:szCs w:val="20"/>
        </w:rPr>
        <w:t>+0,05×П6+0,05×П7+0,05×П8+0,05×П9+0,05×П10+0,05×П11+0,04×П12+0,04×П13+0,04×П14+0,04×П15+0,04×П16+0,04×П17+0,04×П18+0,04×П19+0,04×П20+0,035×П21+0,03×П22+</w:t>
      </w:r>
    </w:p>
    <w:p w:rsidR="00517711" w:rsidRDefault="00F815BE">
      <w:pPr>
        <w:tabs>
          <w:tab w:val="left" w:pos="0"/>
        </w:tabs>
        <w:spacing w:line="240" w:lineRule="auto"/>
        <w:jc w:val="both"/>
        <w:rPr>
          <w:rFonts w:ascii="Times New Roman" w:hAnsi="Times New Roman" w:cs="Times New Roman"/>
          <w:sz w:val="20"/>
          <w:szCs w:val="20"/>
        </w:rPr>
      </w:pPr>
      <w:r>
        <w:rPr>
          <w:rFonts w:ascii="Times New Roman" w:hAnsi="Times New Roman" w:cs="Times New Roman"/>
          <w:sz w:val="20"/>
          <w:szCs w:val="20"/>
        </w:rPr>
        <w:t>+0,025×П23) / Ц, балл/долл.</w:t>
      </w:r>
    </w:p>
    <w:p w:rsidR="00517711" w:rsidRDefault="00517711">
      <w:pPr>
        <w:tabs>
          <w:tab w:val="left" w:pos="0"/>
        </w:tabs>
        <w:spacing w:line="240" w:lineRule="auto"/>
        <w:jc w:val="both"/>
        <w:rPr>
          <w:rFonts w:ascii="Times New Roman" w:hAnsi="Times New Roman" w:cs="Times New Roman"/>
          <w:sz w:val="20"/>
          <w:szCs w:val="20"/>
        </w:rPr>
      </w:pP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i/>
          <w:sz w:val="20"/>
        </w:rPr>
        <w:t>Этап четвертый.</w:t>
      </w:r>
      <w:r>
        <w:rPr>
          <w:rFonts w:ascii="Times New Roman" w:hAnsi="Times New Roman"/>
          <w:b w:val="0"/>
          <w:sz w:val="20"/>
        </w:rPr>
        <w:t xml:space="preserve"> Расчет показателя конкурентоспособности данной «интегрированной продукции»   по формуле: </w:t>
      </w:r>
    </w:p>
    <w:p w:rsidR="00517711" w:rsidRDefault="00517711">
      <w:pPr>
        <w:pStyle w:val="af"/>
        <w:spacing w:line="240" w:lineRule="auto"/>
        <w:ind w:firstLine="709"/>
        <w:jc w:val="both"/>
        <w:rPr>
          <w:rFonts w:ascii="Times New Roman" w:hAnsi="Times New Roman"/>
          <w:b w:val="0"/>
          <w:sz w:val="20"/>
        </w:rPr>
      </w:pP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sz w:val="20"/>
        </w:rPr>
        <w:t xml:space="preserve">КП = ППИП </w:t>
      </w:r>
      <w:r>
        <w:rPr>
          <w:rFonts w:ascii="Times New Roman" w:hAnsi="Times New Roman"/>
          <w:sz w:val="20"/>
        </w:rPr>
        <w:t xml:space="preserve">/ </w:t>
      </w:r>
      <w:r>
        <w:rPr>
          <w:rFonts w:ascii="Times New Roman" w:hAnsi="Times New Roman"/>
          <w:b w:val="0"/>
          <w:sz w:val="20"/>
        </w:rPr>
        <w:t>ППИП</w:t>
      </w:r>
      <w:r>
        <w:rPr>
          <w:rFonts w:ascii="Times New Roman" w:hAnsi="Times New Roman"/>
          <w:b w:val="0"/>
          <w:sz w:val="20"/>
          <w:lang w:val="en-US"/>
        </w:rPr>
        <w:t>max</w:t>
      </w:r>
      <w:r>
        <w:rPr>
          <w:rFonts w:ascii="Times New Roman" w:hAnsi="Times New Roman"/>
          <w:b w:val="0"/>
          <w:sz w:val="20"/>
        </w:rPr>
        <w:fldChar w:fldCharType="begin"/>
      </w:r>
      <w:r>
        <w:rPr>
          <w:rFonts w:ascii="Times New Roman" w:hAnsi="Times New Roman"/>
          <w:b w:val="0"/>
          <w:sz w:val="20"/>
        </w:rPr>
        <w:instrText xml:space="preserve"> QUOTE </w:instrText>
      </w:r>
      <m:oMath>
        <m:r>
          <m:rPr>
            <m:sty m:val="b"/>
          </m:rPr>
          <w:rPr>
            <w:rFonts w:ascii="Cambria Math" w:hAnsi="Cambria Math"/>
            <w:sz w:val="20"/>
          </w:rPr>
          <m:t xml:space="preserve">                                                         ИПХ=</m:t>
        </m:r>
        <m:nary>
          <m:naryPr>
            <m:chr m:val="∑"/>
            <m:limLoc m:val="undOvr"/>
            <m:ctrlPr>
              <w:rPr>
                <w:rFonts w:ascii="Cambria Math" w:hAnsi="Cambria Math"/>
                <w:sz w:val="20"/>
              </w:rPr>
            </m:ctrlPr>
          </m:naryPr>
          <m:sub>
            <m:r>
              <m:rPr>
                <m:sty m:val="b"/>
              </m:rPr>
              <w:rPr>
                <w:rFonts w:ascii="Cambria Math" w:hAnsi="Cambria Math"/>
                <w:sz w:val="20"/>
              </w:rPr>
              <m:t>i=1</m:t>
            </m:r>
          </m:sub>
          <m:sup>
            <m:r>
              <m:rPr>
                <m:sty m:val="b"/>
              </m:rPr>
              <w:rPr>
                <w:rFonts w:ascii="Cambria Math" w:hAnsi="Cambria Math"/>
                <w:sz w:val="20"/>
              </w:rPr>
              <m:t>n</m:t>
            </m:r>
          </m:sup>
          <m:e>
            <m:sSub>
              <m:sSubPr>
                <m:ctrlPr>
                  <w:rPr>
                    <w:rFonts w:ascii="Cambria Math" w:hAnsi="Cambria Math"/>
                    <w:sz w:val="20"/>
                  </w:rPr>
                </m:ctrlPr>
              </m:sSubPr>
              <m:e>
                <m:r>
                  <m:rPr>
                    <m:sty m:val="b"/>
                  </m:rPr>
                  <w:rPr>
                    <w:rFonts w:ascii="Cambria Math" w:hAnsi="Cambria Math"/>
                    <w:sz w:val="20"/>
                  </w:rPr>
                  <m:t>К</m:t>
                </m:r>
              </m:e>
              <m:sub>
                <m:r>
                  <m:rPr>
                    <m:sty m:val="b"/>
                  </m:rPr>
                  <w:rPr>
                    <w:rFonts w:ascii="Cambria Math" w:hAnsi="Cambria Math"/>
                    <w:sz w:val="20"/>
                  </w:rPr>
                  <m:t>i</m:t>
                </m:r>
              </m:sub>
            </m:sSub>
          </m:e>
        </m:nary>
        <m:sSub>
          <m:sSubPr>
            <m:ctrlPr>
              <w:rPr>
                <w:rFonts w:ascii="Cambria Math" w:hAnsi="Cambria Math"/>
                <w:sz w:val="20"/>
              </w:rPr>
            </m:ctrlPr>
          </m:sSubPr>
          <m:e>
            <m:r>
              <m:rPr>
                <m:sty m:val="b"/>
              </m:rPr>
              <w:rPr>
                <w:rFonts w:ascii="Cambria Math" w:hAnsi="Cambria Math"/>
                <w:sz w:val="20"/>
              </w:rPr>
              <m:t xml:space="preserve"> ПХ</m:t>
            </m:r>
          </m:e>
          <m:sub>
            <m:r>
              <m:rPr>
                <m:sty m:val="b"/>
              </m:rPr>
              <w:rPr>
                <w:rFonts w:ascii="Cambria Math" w:hAnsi="Cambria Math"/>
                <w:sz w:val="20"/>
              </w:rPr>
              <m:t>i</m:t>
            </m:r>
          </m:sub>
        </m:sSub>
      </m:oMath>
      <w:r>
        <w:rPr>
          <w:rFonts w:ascii="Times New Roman" w:hAnsi="Times New Roman"/>
          <w:b w:val="0"/>
          <w:sz w:val="20"/>
        </w:rPr>
        <w:instrText xml:space="preserve"> </w:instrText>
      </w:r>
      <w:r>
        <w:rPr>
          <w:rFonts w:ascii="Times New Roman" w:hAnsi="Times New Roman"/>
          <w:b w:val="0"/>
          <w:sz w:val="20"/>
        </w:rPr>
        <w:fldChar w:fldCharType="end"/>
      </w:r>
      <w:r>
        <w:rPr>
          <w:rFonts w:ascii="Times New Roman" w:hAnsi="Times New Roman"/>
          <w:b w:val="0"/>
          <w:sz w:val="20"/>
        </w:rPr>
        <w:t>, (3)</w:t>
      </w:r>
    </w:p>
    <w:p w:rsidR="00517711" w:rsidRDefault="00517711">
      <w:pPr>
        <w:pStyle w:val="af"/>
        <w:spacing w:line="240" w:lineRule="auto"/>
        <w:ind w:firstLine="709"/>
        <w:jc w:val="both"/>
        <w:rPr>
          <w:rFonts w:ascii="Times New Roman" w:hAnsi="Times New Roman"/>
          <w:b w:val="0"/>
          <w:sz w:val="20"/>
        </w:rPr>
      </w:pP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sz w:val="20"/>
        </w:rPr>
        <w:t>где КП – показатель конкурентоспособности данного «интегрированного продукта»; ППИП – потребительная привлекательность данного «интегрированного продукта», балл./долл.;  ППИП</w:t>
      </w:r>
      <w:r>
        <w:rPr>
          <w:rFonts w:ascii="Times New Roman" w:hAnsi="Times New Roman"/>
          <w:b w:val="0"/>
          <w:sz w:val="20"/>
          <w:lang w:val="en-US"/>
        </w:rPr>
        <w:t>max</w:t>
      </w:r>
      <w:r>
        <w:rPr>
          <w:rFonts w:ascii="Times New Roman" w:hAnsi="Times New Roman"/>
          <w:b w:val="0"/>
          <w:sz w:val="20"/>
        </w:rPr>
        <w:t xml:space="preserve"> - максимальная потребительная привлекательность конкурирующих «интегрированных продуктов», балл./долл.</w:t>
      </w: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sz w:val="20"/>
        </w:rPr>
        <w:t>Таким образом, данный товар будет конкурентоспособным на рынке лишь в том случае, если его показатель конкурентоспособности больше или равен 1,0.</w:t>
      </w:r>
    </w:p>
    <w:p w:rsidR="00517711" w:rsidRDefault="00F815BE">
      <w:pPr>
        <w:pStyle w:val="ae"/>
        <w:ind w:firstLine="709"/>
        <w:jc w:val="both"/>
        <w:rPr>
          <w:rFonts w:ascii="Times New Roman" w:hAnsi="Times New Roman" w:cs="Times New Roman"/>
          <w:sz w:val="20"/>
          <w:szCs w:val="20"/>
        </w:rPr>
      </w:pPr>
      <w:r>
        <w:rPr>
          <w:rFonts w:ascii="Times New Roman" w:hAnsi="Times New Roman" w:cs="Times New Roman"/>
          <w:sz w:val="20"/>
          <w:szCs w:val="20"/>
        </w:rPr>
        <w:t xml:space="preserve">Рассмотрим использование данной методики оценки конкурентоспособности  продукции на конкретном примере. </w:t>
      </w: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sz w:val="20"/>
        </w:rPr>
        <w:t xml:space="preserve">Потребитель сравнивает две аналогичные модели погрузочно-разгрузочной техники:  А и В, где А – фронтальный погрузчик </w:t>
      </w:r>
      <w:r>
        <w:rPr>
          <w:rFonts w:ascii="Times New Roman" w:hAnsi="Times New Roman"/>
          <w:b w:val="0"/>
          <w:sz w:val="20"/>
          <w:lang w:val="en-AU"/>
        </w:rPr>
        <w:t>Liugong</w:t>
      </w:r>
      <w:r>
        <w:rPr>
          <w:rFonts w:ascii="Times New Roman" w:hAnsi="Times New Roman"/>
          <w:b w:val="0"/>
          <w:sz w:val="20"/>
        </w:rPr>
        <w:t xml:space="preserve"> </w:t>
      </w:r>
      <w:r>
        <w:rPr>
          <w:rFonts w:ascii="Times New Roman" w:hAnsi="Times New Roman"/>
          <w:b w:val="0"/>
          <w:sz w:val="20"/>
          <w:lang w:val="en-AU"/>
        </w:rPr>
        <w:t>CLG</w:t>
      </w:r>
      <w:r>
        <w:rPr>
          <w:rFonts w:ascii="Times New Roman" w:hAnsi="Times New Roman"/>
          <w:b w:val="0"/>
          <w:sz w:val="20"/>
        </w:rPr>
        <w:t xml:space="preserve">836 (лидер рынка), и В – фронтальный  погрузчик Амкодор 342. Из </w:t>
      </w:r>
      <w:r>
        <w:rPr>
          <w:rFonts w:ascii="Times New Roman" w:hAnsi="Times New Roman"/>
          <w:b w:val="0"/>
          <w:i/>
          <w:sz w:val="20"/>
        </w:rPr>
        <w:t>Таблицы 2</w:t>
      </w:r>
      <w:r>
        <w:rPr>
          <w:rFonts w:ascii="Times New Roman" w:hAnsi="Times New Roman"/>
          <w:b w:val="0"/>
          <w:sz w:val="20"/>
        </w:rPr>
        <w:t xml:space="preserve"> видно, что обе модели обладают схожими техническими характеристиками. </w:t>
      </w:r>
    </w:p>
    <w:p w:rsidR="00517711" w:rsidRDefault="00517711">
      <w:pPr>
        <w:pStyle w:val="af"/>
        <w:spacing w:line="240" w:lineRule="auto"/>
        <w:ind w:firstLine="709"/>
        <w:jc w:val="both"/>
        <w:rPr>
          <w:rFonts w:ascii="Times New Roman" w:hAnsi="Times New Roman"/>
          <w:b w:val="0"/>
          <w:sz w:val="20"/>
        </w:rPr>
      </w:pPr>
    </w:p>
    <w:p w:rsidR="00517711" w:rsidRDefault="00F815BE">
      <w:pPr>
        <w:pStyle w:val="af"/>
        <w:spacing w:line="240" w:lineRule="auto"/>
        <w:ind w:firstLine="709"/>
        <w:jc w:val="right"/>
        <w:rPr>
          <w:rFonts w:ascii="Times New Roman" w:hAnsi="Times New Roman"/>
          <w:b w:val="0"/>
          <w:i/>
          <w:sz w:val="20"/>
        </w:rPr>
      </w:pPr>
      <w:r>
        <w:rPr>
          <w:rFonts w:ascii="Times New Roman" w:hAnsi="Times New Roman"/>
          <w:b w:val="0"/>
          <w:i/>
          <w:sz w:val="20"/>
        </w:rPr>
        <w:t>Таблица 2</w:t>
      </w:r>
    </w:p>
    <w:p w:rsidR="00517711" w:rsidRDefault="00F815BE">
      <w:pPr>
        <w:pStyle w:val="af"/>
        <w:spacing w:line="240" w:lineRule="auto"/>
        <w:ind w:firstLine="709"/>
        <w:rPr>
          <w:rFonts w:ascii="Times New Roman" w:hAnsi="Times New Roman"/>
          <w:sz w:val="20"/>
        </w:rPr>
      </w:pPr>
      <w:r>
        <w:rPr>
          <w:rFonts w:ascii="Times New Roman" w:hAnsi="Times New Roman"/>
          <w:sz w:val="20"/>
        </w:rPr>
        <w:t>сравнительные характеристики фронтальных погрузчиков</w:t>
      </w:r>
    </w:p>
    <w:p w:rsidR="00517711" w:rsidRDefault="00517711">
      <w:pPr>
        <w:pStyle w:val="af"/>
        <w:spacing w:line="240" w:lineRule="auto"/>
        <w:ind w:firstLine="709"/>
        <w:jc w:val="both"/>
        <w:rPr>
          <w:rFonts w:ascii="Times New Roman" w:hAnsi="Times New Roman"/>
          <w:b w:val="0"/>
          <w:sz w:val="20"/>
        </w:rPr>
      </w:pPr>
    </w:p>
    <w:tbl>
      <w:tblPr>
        <w:tblStyle w:val="af1"/>
        <w:tblW w:w="0" w:type="auto"/>
        <w:tblLook w:val="04A0" w:firstRow="1" w:lastRow="0" w:firstColumn="1" w:lastColumn="0" w:noHBand="0" w:noVBand="1"/>
      </w:tblPr>
      <w:tblGrid>
        <w:gridCol w:w="3190"/>
        <w:gridCol w:w="3190"/>
        <w:gridCol w:w="3190"/>
      </w:tblGrid>
      <w:tr w:rsidR="00517711">
        <w:tc>
          <w:tcPr>
            <w:tcW w:w="3190" w:type="dxa"/>
          </w:tcPr>
          <w:p w:rsidR="00517711" w:rsidRDefault="00517711">
            <w:pPr>
              <w:pStyle w:val="af"/>
              <w:spacing w:line="240" w:lineRule="auto"/>
              <w:ind w:firstLine="709"/>
              <w:jc w:val="both"/>
              <w:rPr>
                <w:rFonts w:ascii="Times New Roman" w:hAnsi="Times New Roman"/>
                <w:b w:val="0"/>
                <w:sz w:val="20"/>
              </w:rPr>
            </w:pPr>
          </w:p>
        </w:tc>
        <w:tc>
          <w:tcPr>
            <w:tcW w:w="3190" w:type="dxa"/>
          </w:tcPr>
          <w:p w:rsidR="00517711" w:rsidRDefault="00F815BE">
            <w:pPr>
              <w:pStyle w:val="af"/>
              <w:spacing w:line="240" w:lineRule="auto"/>
              <w:ind w:firstLine="709"/>
              <w:rPr>
                <w:rFonts w:ascii="Times New Roman" w:hAnsi="Times New Roman"/>
                <w:b w:val="0"/>
                <w:sz w:val="20"/>
              </w:rPr>
            </w:pPr>
            <w:r>
              <w:rPr>
                <w:rFonts w:ascii="Times New Roman" w:hAnsi="Times New Roman"/>
                <w:b w:val="0"/>
                <w:sz w:val="20"/>
              </w:rPr>
              <w:t>А</w:t>
            </w:r>
          </w:p>
        </w:tc>
        <w:tc>
          <w:tcPr>
            <w:tcW w:w="3190" w:type="dxa"/>
          </w:tcPr>
          <w:p w:rsidR="00517711" w:rsidRDefault="00F815BE">
            <w:pPr>
              <w:pStyle w:val="af"/>
              <w:spacing w:line="240" w:lineRule="auto"/>
              <w:ind w:firstLine="709"/>
              <w:rPr>
                <w:rFonts w:ascii="Times New Roman" w:hAnsi="Times New Roman"/>
                <w:b w:val="0"/>
                <w:sz w:val="20"/>
              </w:rPr>
            </w:pPr>
            <w:r>
              <w:rPr>
                <w:rFonts w:ascii="Times New Roman" w:hAnsi="Times New Roman"/>
                <w:b w:val="0"/>
                <w:sz w:val="20"/>
              </w:rPr>
              <w:t>В</w:t>
            </w:r>
          </w:p>
        </w:tc>
      </w:tr>
      <w:tr w:rsidR="00517711">
        <w:tc>
          <w:tcPr>
            <w:tcW w:w="3190" w:type="dxa"/>
          </w:tcPr>
          <w:p w:rsidR="00517711" w:rsidRDefault="00F815BE">
            <w:pPr>
              <w:pStyle w:val="af"/>
              <w:spacing w:line="240" w:lineRule="auto"/>
              <w:ind w:firstLine="709"/>
              <w:rPr>
                <w:rFonts w:ascii="Times New Roman" w:hAnsi="Times New Roman"/>
                <w:b w:val="0"/>
                <w:sz w:val="20"/>
              </w:rPr>
            </w:pPr>
            <w:r>
              <w:rPr>
                <w:rFonts w:ascii="Times New Roman" w:hAnsi="Times New Roman"/>
                <w:b w:val="0"/>
                <w:sz w:val="20"/>
              </w:rPr>
              <w:t>Модель</w:t>
            </w:r>
          </w:p>
        </w:tc>
        <w:tc>
          <w:tcPr>
            <w:tcW w:w="3190" w:type="dxa"/>
          </w:tcPr>
          <w:p w:rsidR="00517711" w:rsidRDefault="00F815BE">
            <w:pPr>
              <w:pStyle w:val="af"/>
              <w:spacing w:line="240" w:lineRule="auto"/>
              <w:ind w:hanging="69"/>
              <w:jc w:val="both"/>
              <w:rPr>
                <w:rFonts w:ascii="Times New Roman" w:eastAsia="Calibri" w:hAnsi="Times New Roman"/>
                <w:b w:val="0"/>
                <w:sz w:val="20"/>
                <w:lang w:eastAsia="zh-CN"/>
              </w:rPr>
            </w:pPr>
            <w:r>
              <w:rPr>
                <w:rFonts w:ascii="Times New Roman" w:eastAsia="Calibri" w:hAnsi="Times New Roman"/>
                <w:b w:val="0"/>
                <w:sz w:val="20"/>
                <w:lang w:val="en-AU" w:eastAsia="zh-CN"/>
              </w:rPr>
              <w:t>Liugong CLG836</w:t>
            </w:r>
          </w:p>
        </w:tc>
        <w:tc>
          <w:tcPr>
            <w:tcW w:w="3190" w:type="dxa"/>
          </w:tcPr>
          <w:p w:rsidR="00517711" w:rsidRDefault="00F815BE">
            <w:pPr>
              <w:pStyle w:val="af"/>
              <w:spacing w:line="240" w:lineRule="auto"/>
              <w:jc w:val="both"/>
              <w:rPr>
                <w:rFonts w:ascii="Times New Roman" w:hAnsi="Times New Roman"/>
                <w:b w:val="0"/>
                <w:sz w:val="20"/>
              </w:rPr>
            </w:pPr>
            <w:r>
              <w:rPr>
                <w:rFonts w:ascii="Times New Roman" w:hAnsi="Times New Roman"/>
                <w:b w:val="0"/>
                <w:sz w:val="20"/>
              </w:rPr>
              <w:t>Амкодор 342</w:t>
            </w:r>
          </w:p>
        </w:tc>
      </w:tr>
      <w:tr w:rsidR="00517711">
        <w:tc>
          <w:tcPr>
            <w:tcW w:w="3190"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Страна – производитель</w:t>
            </w:r>
          </w:p>
        </w:tc>
        <w:tc>
          <w:tcPr>
            <w:tcW w:w="3190" w:type="dxa"/>
          </w:tcPr>
          <w:p w:rsidR="00517711" w:rsidRDefault="00F815BE">
            <w:pPr>
              <w:pStyle w:val="af"/>
              <w:spacing w:line="240" w:lineRule="auto"/>
              <w:ind w:hanging="69"/>
              <w:jc w:val="both"/>
              <w:rPr>
                <w:rFonts w:ascii="Times New Roman" w:hAnsi="Times New Roman"/>
                <w:b w:val="0"/>
                <w:sz w:val="20"/>
              </w:rPr>
            </w:pPr>
            <w:r>
              <w:rPr>
                <w:rFonts w:ascii="Times New Roman" w:hAnsi="Times New Roman"/>
                <w:b w:val="0"/>
                <w:sz w:val="20"/>
              </w:rPr>
              <w:t>Китай</w:t>
            </w:r>
          </w:p>
        </w:tc>
        <w:tc>
          <w:tcPr>
            <w:tcW w:w="3190" w:type="dxa"/>
          </w:tcPr>
          <w:p w:rsidR="00517711" w:rsidRDefault="00F815BE">
            <w:pPr>
              <w:pStyle w:val="af"/>
              <w:spacing w:line="240" w:lineRule="auto"/>
              <w:jc w:val="both"/>
              <w:rPr>
                <w:rFonts w:ascii="Times New Roman" w:hAnsi="Times New Roman"/>
                <w:b w:val="0"/>
                <w:sz w:val="20"/>
              </w:rPr>
            </w:pPr>
            <w:r>
              <w:rPr>
                <w:rFonts w:ascii="Times New Roman" w:hAnsi="Times New Roman"/>
                <w:b w:val="0"/>
                <w:sz w:val="20"/>
              </w:rPr>
              <w:t>Белоруссия</w:t>
            </w:r>
          </w:p>
        </w:tc>
      </w:tr>
      <w:tr w:rsidR="00517711">
        <w:tc>
          <w:tcPr>
            <w:tcW w:w="3190"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Вместимость ковша</w:t>
            </w:r>
          </w:p>
        </w:tc>
        <w:tc>
          <w:tcPr>
            <w:tcW w:w="3190" w:type="dxa"/>
          </w:tcPr>
          <w:p w:rsidR="00517711" w:rsidRDefault="00F815BE">
            <w:pPr>
              <w:pStyle w:val="af"/>
              <w:spacing w:line="240" w:lineRule="auto"/>
              <w:ind w:hanging="69"/>
              <w:jc w:val="both"/>
              <w:rPr>
                <w:rFonts w:ascii="Times New Roman" w:hAnsi="Times New Roman"/>
                <w:b w:val="0"/>
                <w:sz w:val="20"/>
              </w:rPr>
            </w:pPr>
            <w:r>
              <w:rPr>
                <w:rFonts w:ascii="Times New Roman" w:hAnsi="Times New Roman"/>
                <w:b w:val="0"/>
                <w:sz w:val="20"/>
              </w:rPr>
              <w:t>1,8 м3</w:t>
            </w:r>
          </w:p>
        </w:tc>
        <w:tc>
          <w:tcPr>
            <w:tcW w:w="3190" w:type="dxa"/>
          </w:tcPr>
          <w:p w:rsidR="00517711" w:rsidRDefault="00F815BE">
            <w:pPr>
              <w:pStyle w:val="af"/>
              <w:spacing w:line="240" w:lineRule="auto"/>
              <w:jc w:val="both"/>
              <w:rPr>
                <w:rFonts w:ascii="Times New Roman" w:hAnsi="Times New Roman"/>
                <w:b w:val="0"/>
                <w:sz w:val="20"/>
              </w:rPr>
            </w:pPr>
            <w:r>
              <w:rPr>
                <w:rFonts w:ascii="Times New Roman" w:hAnsi="Times New Roman"/>
                <w:b w:val="0"/>
                <w:sz w:val="20"/>
              </w:rPr>
              <w:t>1,5 м3</w:t>
            </w:r>
          </w:p>
        </w:tc>
      </w:tr>
      <w:tr w:rsidR="00517711">
        <w:tc>
          <w:tcPr>
            <w:tcW w:w="3190"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Эксплуатационная масса</w:t>
            </w:r>
          </w:p>
        </w:tc>
        <w:tc>
          <w:tcPr>
            <w:tcW w:w="3190" w:type="dxa"/>
          </w:tcPr>
          <w:p w:rsidR="00517711" w:rsidRDefault="00F815BE">
            <w:pPr>
              <w:pStyle w:val="af"/>
              <w:spacing w:line="240" w:lineRule="auto"/>
              <w:ind w:hanging="69"/>
              <w:jc w:val="both"/>
              <w:rPr>
                <w:rFonts w:ascii="Times New Roman" w:hAnsi="Times New Roman"/>
                <w:b w:val="0"/>
                <w:sz w:val="20"/>
              </w:rPr>
            </w:pPr>
            <w:r>
              <w:rPr>
                <w:rFonts w:ascii="Times New Roman" w:hAnsi="Times New Roman"/>
                <w:b w:val="0"/>
                <w:sz w:val="20"/>
              </w:rPr>
              <w:t>10 300 кг</w:t>
            </w:r>
          </w:p>
        </w:tc>
        <w:tc>
          <w:tcPr>
            <w:tcW w:w="3190" w:type="dxa"/>
          </w:tcPr>
          <w:p w:rsidR="00517711" w:rsidRDefault="00F815BE">
            <w:pPr>
              <w:pStyle w:val="af"/>
              <w:spacing w:line="240" w:lineRule="auto"/>
              <w:jc w:val="both"/>
              <w:rPr>
                <w:rFonts w:ascii="Times New Roman" w:hAnsi="Times New Roman"/>
                <w:b w:val="0"/>
                <w:sz w:val="20"/>
              </w:rPr>
            </w:pPr>
            <w:r>
              <w:rPr>
                <w:rFonts w:ascii="Times New Roman" w:hAnsi="Times New Roman"/>
                <w:b w:val="0"/>
                <w:sz w:val="20"/>
              </w:rPr>
              <w:t>10 600 кг</w:t>
            </w:r>
          </w:p>
        </w:tc>
      </w:tr>
      <w:tr w:rsidR="00517711">
        <w:tc>
          <w:tcPr>
            <w:tcW w:w="3190"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Грузоподъемность</w:t>
            </w:r>
          </w:p>
        </w:tc>
        <w:tc>
          <w:tcPr>
            <w:tcW w:w="3190" w:type="dxa"/>
          </w:tcPr>
          <w:p w:rsidR="00517711" w:rsidRDefault="00F815BE">
            <w:pPr>
              <w:pStyle w:val="af"/>
              <w:spacing w:line="240" w:lineRule="auto"/>
              <w:ind w:hanging="69"/>
              <w:jc w:val="both"/>
              <w:rPr>
                <w:rFonts w:ascii="Times New Roman" w:hAnsi="Times New Roman"/>
                <w:b w:val="0"/>
                <w:sz w:val="20"/>
              </w:rPr>
            </w:pPr>
            <w:r>
              <w:rPr>
                <w:rFonts w:ascii="Times New Roman" w:hAnsi="Times New Roman"/>
                <w:b w:val="0"/>
                <w:sz w:val="20"/>
              </w:rPr>
              <w:t>3 000 кг</w:t>
            </w:r>
          </w:p>
        </w:tc>
        <w:tc>
          <w:tcPr>
            <w:tcW w:w="3190" w:type="dxa"/>
          </w:tcPr>
          <w:p w:rsidR="00517711" w:rsidRDefault="00F815BE">
            <w:pPr>
              <w:pStyle w:val="af"/>
              <w:spacing w:line="240" w:lineRule="auto"/>
              <w:jc w:val="both"/>
              <w:rPr>
                <w:rFonts w:ascii="Times New Roman" w:hAnsi="Times New Roman"/>
                <w:b w:val="0"/>
                <w:sz w:val="20"/>
              </w:rPr>
            </w:pPr>
            <w:r>
              <w:rPr>
                <w:rFonts w:ascii="Times New Roman" w:hAnsi="Times New Roman"/>
                <w:b w:val="0"/>
                <w:sz w:val="20"/>
              </w:rPr>
              <w:t>2 900 кг</w:t>
            </w:r>
          </w:p>
        </w:tc>
      </w:tr>
      <w:tr w:rsidR="00517711">
        <w:tc>
          <w:tcPr>
            <w:tcW w:w="3190"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lastRenderedPageBreak/>
              <w:t>Номинальная мощность</w:t>
            </w:r>
          </w:p>
        </w:tc>
        <w:tc>
          <w:tcPr>
            <w:tcW w:w="3190" w:type="dxa"/>
          </w:tcPr>
          <w:p w:rsidR="00517711" w:rsidRDefault="00F815BE">
            <w:pPr>
              <w:pStyle w:val="af"/>
              <w:spacing w:line="240" w:lineRule="auto"/>
              <w:ind w:hanging="69"/>
              <w:jc w:val="both"/>
              <w:rPr>
                <w:rFonts w:ascii="Times New Roman" w:hAnsi="Times New Roman"/>
                <w:b w:val="0"/>
                <w:sz w:val="20"/>
              </w:rPr>
            </w:pPr>
            <w:r>
              <w:rPr>
                <w:rFonts w:ascii="Times New Roman" w:hAnsi="Times New Roman"/>
                <w:b w:val="0"/>
                <w:sz w:val="20"/>
              </w:rPr>
              <w:t xml:space="preserve">92 кВт (125 л.с.)  </w:t>
            </w:r>
          </w:p>
          <w:p w:rsidR="00517711" w:rsidRDefault="00F815BE">
            <w:pPr>
              <w:pStyle w:val="af"/>
              <w:spacing w:line="240" w:lineRule="auto"/>
              <w:ind w:hanging="69"/>
              <w:jc w:val="both"/>
              <w:rPr>
                <w:rFonts w:ascii="Times New Roman" w:hAnsi="Times New Roman"/>
                <w:b w:val="0"/>
                <w:sz w:val="20"/>
              </w:rPr>
            </w:pPr>
            <w:r>
              <w:rPr>
                <w:rFonts w:ascii="Times New Roman" w:hAnsi="Times New Roman"/>
                <w:b w:val="0"/>
                <w:sz w:val="20"/>
              </w:rPr>
              <w:t>при 2200 об./мин.</w:t>
            </w:r>
          </w:p>
        </w:tc>
        <w:tc>
          <w:tcPr>
            <w:tcW w:w="3190" w:type="dxa"/>
          </w:tcPr>
          <w:p w:rsidR="00517711" w:rsidRDefault="00F815BE">
            <w:pPr>
              <w:pStyle w:val="af"/>
              <w:spacing w:line="240" w:lineRule="auto"/>
              <w:jc w:val="both"/>
              <w:rPr>
                <w:rFonts w:ascii="Times New Roman" w:hAnsi="Times New Roman"/>
                <w:b w:val="0"/>
                <w:sz w:val="20"/>
              </w:rPr>
            </w:pPr>
            <w:r>
              <w:rPr>
                <w:rFonts w:ascii="Times New Roman" w:hAnsi="Times New Roman"/>
                <w:b w:val="0"/>
                <w:sz w:val="20"/>
              </w:rPr>
              <w:t>95.6 кВт (130 л.с.)</w:t>
            </w:r>
          </w:p>
          <w:p w:rsidR="00517711" w:rsidRDefault="00F815BE">
            <w:pPr>
              <w:pStyle w:val="af"/>
              <w:spacing w:line="240" w:lineRule="auto"/>
              <w:jc w:val="both"/>
              <w:rPr>
                <w:rFonts w:ascii="Times New Roman" w:hAnsi="Times New Roman"/>
                <w:b w:val="0"/>
                <w:sz w:val="20"/>
              </w:rPr>
            </w:pPr>
            <w:r>
              <w:rPr>
                <w:rFonts w:ascii="Times New Roman" w:hAnsi="Times New Roman"/>
                <w:b w:val="0"/>
                <w:sz w:val="20"/>
              </w:rPr>
              <w:t xml:space="preserve"> при 2100 об./мин.</w:t>
            </w:r>
          </w:p>
        </w:tc>
      </w:tr>
    </w:tbl>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sz w:val="20"/>
        </w:rPr>
        <w:t xml:space="preserve"> </w:t>
      </w:r>
    </w:p>
    <w:p w:rsidR="00517711" w:rsidRDefault="00F815BE">
      <w:pPr>
        <w:pStyle w:val="af"/>
        <w:spacing w:line="240" w:lineRule="auto"/>
        <w:ind w:firstLine="709"/>
        <w:jc w:val="both"/>
        <w:rPr>
          <w:rFonts w:ascii="Times New Roman" w:hAnsi="Times New Roman"/>
          <w:b w:val="0"/>
          <w:sz w:val="20"/>
          <w:highlight w:val="yellow"/>
        </w:rPr>
      </w:pPr>
      <w:r>
        <w:rPr>
          <w:rFonts w:ascii="Times New Roman" w:hAnsi="Times New Roman"/>
          <w:b w:val="0"/>
          <w:sz w:val="20"/>
        </w:rPr>
        <w:t>В процессе сравнения покупатель по десятибалльной шкале оценивает степень удовлетворения его потребностей каждой из характеристик обеих моделей техники. Результаты оценки покупателями удельной значимости («веса») каждой потребности (</w:t>
      </w:r>
      <w:r>
        <w:rPr>
          <w:rFonts w:ascii="Times New Roman" w:hAnsi="Times New Roman"/>
          <w:b w:val="0"/>
          <w:bCs/>
          <w:iCs/>
          <w:sz w:val="20"/>
        </w:rPr>
        <w:t>К</w:t>
      </w:r>
      <w:r>
        <w:rPr>
          <w:rFonts w:ascii="Times New Roman" w:hAnsi="Times New Roman"/>
          <w:b w:val="0"/>
          <w:bCs/>
          <w:iCs/>
          <w:sz w:val="20"/>
          <w:lang w:val="en-US"/>
        </w:rPr>
        <w:t>i</w:t>
      </w:r>
      <w:r>
        <w:rPr>
          <w:rFonts w:ascii="Times New Roman" w:hAnsi="Times New Roman"/>
          <w:b w:val="0"/>
          <w:bCs/>
          <w:iCs/>
          <w:sz w:val="20"/>
        </w:rPr>
        <w:t xml:space="preserve">) и </w:t>
      </w:r>
      <w:r>
        <w:rPr>
          <w:rFonts w:ascii="Times New Roman" w:hAnsi="Times New Roman"/>
          <w:b w:val="0"/>
          <w:sz w:val="20"/>
        </w:rPr>
        <w:t>степени удовлетворения данной потребности покупателя «интегрированного продукта» по десятибалльной системе (</w:t>
      </w:r>
      <w:r>
        <w:rPr>
          <w:rFonts w:ascii="Times New Roman" w:hAnsi="Times New Roman"/>
          <w:b w:val="0"/>
          <w:bCs/>
          <w:iCs/>
          <w:sz w:val="20"/>
        </w:rPr>
        <w:t>П</w:t>
      </w:r>
      <w:r>
        <w:rPr>
          <w:rFonts w:ascii="Times New Roman" w:hAnsi="Times New Roman"/>
          <w:b w:val="0"/>
          <w:bCs/>
          <w:iCs/>
          <w:sz w:val="20"/>
          <w:lang w:val="en-US"/>
        </w:rPr>
        <w:t>i</w:t>
      </w:r>
      <w:r>
        <w:rPr>
          <w:rFonts w:ascii="Times New Roman" w:hAnsi="Times New Roman"/>
          <w:b w:val="0"/>
          <w:sz w:val="20"/>
        </w:rPr>
        <w:t>, балл.)</w:t>
      </w:r>
      <w:r>
        <w:rPr>
          <w:rFonts w:ascii="Times New Roman" w:hAnsi="Times New Roman"/>
          <w:b w:val="0"/>
          <w:sz w:val="20"/>
        </w:rPr>
        <w:fldChar w:fldCharType="begin"/>
      </w:r>
      <w:r>
        <w:rPr>
          <w:rFonts w:ascii="Times New Roman" w:hAnsi="Times New Roman"/>
          <w:b w:val="0"/>
          <w:sz w:val="20"/>
        </w:rPr>
        <w:instrText xml:space="preserve"> QUOTE </w:instrText>
      </w:r>
      <m:oMath>
        <m:r>
          <m:rPr>
            <m:sty m:val="b"/>
          </m:rPr>
          <w:rPr>
            <w:rFonts w:ascii="Cambria Math" w:hAnsi="Cambria Math"/>
            <w:sz w:val="20"/>
          </w:rPr>
          <m:t xml:space="preserve">                                                         ИПХ=</m:t>
        </m:r>
        <m:nary>
          <m:naryPr>
            <m:chr m:val="∑"/>
            <m:limLoc m:val="undOvr"/>
            <m:ctrlPr>
              <w:rPr>
                <w:rFonts w:ascii="Cambria Math" w:hAnsi="Cambria Math"/>
                <w:b w:val="0"/>
                <w:sz w:val="20"/>
              </w:rPr>
            </m:ctrlPr>
          </m:naryPr>
          <m:sub>
            <m:r>
              <m:rPr>
                <m:sty m:val="b"/>
              </m:rPr>
              <w:rPr>
                <w:rFonts w:ascii="Cambria Math" w:hAnsi="Cambria Math"/>
                <w:sz w:val="20"/>
              </w:rPr>
              <m:t>i=1</m:t>
            </m:r>
          </m:sub>
          <m:sup>
            <m:r>
              <m:rPr>
                <m:sty m:val="b"/>
              </m:rPr>
              <w:rPr>
                <w:rFonts w:ascii="Cambria Math" w:hAnsi="Cambria Math"/>
                <w:sz w:val="20"/>
              </w:rPr>
              <m:t>n</m:t>
            </m:r>
          </m:sup>
          <m:e>
            <m:sSub>
              <m:sSubPr>
                <m:ctrlPr>
                  <w:rPr>
                    <w:rFonts w:ascii="Cambria Math" w:hAnsi="Cambria Math"/>
                    <w:b w:val="0"/>
                    <w:sz w:val="20"/>
                  </w:rPr>
                </m:ctrlPr>
              </m:sSubPr>
              <m:e>
                <m:r>
                  <m:rPr>
                    <m:sty m:val="b"/>
                  </m:rPr>
                  <w:rPr>
                    <w:rFonts w:ascii="Cambria Math" w:hAnsi="Cambria Math"/>
                    <w:sz w:val="20"/>
                  </w:rPr>
                  <m:t>К</m:t>
                </m:r>
              </m:e>
              <m:sub>
                <m:r>
                  <m:rPr>
                    <m:sty m:val="b"/>
                  </m:rPr>
                  <w:rPr>
                    <w:rFonts w:ascii="Cambria Math" w:hAnsi="Cambria Math"/>
                    <w:sz w:val="20"/>
                  </w:rPr>
                  <m:t>i</m:t>
                </m:r>
              </m:sub>
            </m:sSub>
          </m:e>
        </m:nary>
        <m:sSub>
          <m:sSubPr>
            <m:ctrlPr>
              <w:rPr>
                <w:rFonts w:ascii="Cambria Math" w:hAnsi="Cambria Math"/>
                <w:b w:val="0"/>
                <w:sz w:val="20"/>
              </w:rPr>
            </m:ctrlPr>
          </m:sSubPr>
          <m:e>
            <m:r>
              <m:rPr>
                <m:sty m:val="b"/>
              </m:rPr>
              <w:rPr>
                <w:rFonts w:ascii="Cambria Math" w:hAnsi="Cambria Math"/>
                <w:sz w:val="20"/>
              </w:rPr>
              <m:t xml:space="preserve"> ПХ</m:t>
            </m:r>
          </m:e>
          <m:sub>
            <m:r>
              <m:rPr>
                <m:sty m:val="b"/>
              </m:rPr>
              <w:rPr>
                <w:rFonts w:ascii="Cambria Math" w:hAnsi="Cambria Math"/>
                <w:sz w:val="20"/>
              </w:rPr>
              <m:t>i</m:t>
            </m:r>
          </m:sub>
        </m:sSub>
      </m:oMath>
      <w:r>
        <w:rPr>
          <w:rFonts w:ascii="Times New Roman" w:hAnsi="Times New Roman"/>
          <w:b w:val="0"/>
          <w:sz w:val="20"/>
        </w:rPr>
        <w:instrText xml:space="preserve"> </w:instrText>
      </w:r>
      <w:r>
        <w:rPr>
          <w:rFonts w:ascii="Times New Roman" w:hAnsi="Times New Roman"/>
          <w:b w:val="0"/>
          <w:sz w:val="20"/>
        </w:rPr>
        <w:fldChar w:fldCharType="end"/>
      </w:r>
      <w:r>
        <w:rPr>
          <w:rFonts w:ascii="Times New Roman" w:hAnsi="Times New Roman"/>
          <w:sz w:val="20"/>
        </w:rPr>
        <w:t xml:space="preserve"> </w:t>
      </w:r>
      <w:r>
        <w:rPr>
          <w:rFonts w:ascii="Times New Roman" w:hAnsi="Times New Roman"/>
          <w:b w:val="0"/>
          <w:sz w:val="20"/>
        </w:rPr>
        <w:t xml:space="preserve">представлены в </w:t>
      </w:r>
      <w:r>
        <w:rPr>
          <w:rFonts w:ascii="Times New Roman" w:hAnsi="Times New Roman"/>
          <w:b w:val="0"/>
          <w:i/>
          <w:sz w:val="20"/>
        </w:rPr>
        <w:t>Таблице 3</w:t>
      </w:r>
      <w:r>
        <w:rPr>
          <w:rFonts w:ascii="Times New Roman" w:hAnsi="Times New Roman"/>
          <w:b w:val="0"/>
          <w:sz w:val="20"/>
        </w:rPr>
        <w:t>.</w:t>
      </w:r>
      <w:r>
        <w:rPr>
          <w:rFonts w:ascii="Times New Roman" w:hAnsi="Times New Roman"/>
          <w:b w:val="0"/>
          <w:i/>
          <w:sz w:val="20"/>
        </w:rPr>
        <w:t xml:space="preserve"> </w:t>
      </w:r>
    </w:p>
    <w:p w:rsidR="00517711" w:rsidRDefault="00517711">
      <w:pPr>
        <w:pStyle w:val="af"/>
        <w:spacing w:line="240" w:lineRule="auto"/>
        <w:ind w:firstLine="709"/>
        <w:jc w:val="both"/>
        <w:rPr>
          <w:rFonts w:ascii="Times New Roman" w:hAnsi="Times New Roman"/>
          <w:b w:val="0"/>
          <w:sz w:val="20"/>
        </w:rPr>
      </w:pPr>
    </w:p>
    <w:p w:rsidR="00517711" w:rsidRDefault="00F815BE">
      <w:pPr>
        <w:pStyle w:val="ae"/>
        <w:ind w:firstLine="709"/>
        <w:jc w:val="right"/>
        <w:rPr>
          <w:rFonts w:ascii="Times New Roman" w:hAnsi="Times New Roman" w:cs="Times New Roman"/>
          <w:i/>
          <w:sz w:val="20"/>
          <w:szCs w:val="20"/>
        </w:rPr>
      </w:pPr>
      <w:r>
        <w:rPr>
          <w:rFonts w:ascii="Times New Roman" w:hAnsi="Times New Roman" w:cs="Times New Roman"/>
          <w:i/>
          <w:sz w:val="20"/>
          <w:szCs w:val="20"/>
        </w:rPr>
        <w:t>Таблица 3</w:t>
      </w:r>
    </w:p>
    <w:p w:rsidR="00517711" w:rsidRDefault="00F815BE">
      <w:pPr>
        <w:pStyle w:val="ae"/>
        <w:ind w:firstLine="709"/>
        <w:jc w:val="center"/>
        <w:rPr>
          <w:rFonts w:ascii="Times New Roman" w:hAnsi="Times New Roman" w:cs="Times New Roman"/>
          <w:b/>
          <w:sz w:val="20"/>
          <w:szCs w:val="20"/>
        </w:rPr>
      </w:pPr>
      <w:r>
        <w:rPr>
          <w:rFonts w:ascii="Times New Roman" w:hAnsi="Times New Roman" w:cs="Times New Roman"/>
          <w:b/>
          <w:sz w:val="20"/>
          <w:szCs w:val="20"/>
        </w:rPr>
        <w:t xml:space="preserve">результаты оценки потребительной значимости двух аналогичных единиц техники: </w:t>
      </w:r>
      <w:r>
        <w:rPr>
          <w:rFonts w:ascii="Times New Roman" w:hAnsi="Times New Roman" w:cs="Times New Roman"/>
          <w:b/>
          <w:sz w:val="20"/>
          <w:szCs w:val="20"/>
          <w:lang w:val="en-AU"/>
        </w:rPr>
        <w:t>liugong</w:t>
      </w:r>
      <w:r>
        <w:rPr>
          <w:rFonts w:ascii="Times New Roman" w:hAnsi="Times New Roman" w:cs="Times New Roman"/>
          <w:b/>
          <w:sz w:val="20"/>
          <w:szCs w:val="20"/>
        </w:rPr>
        <w:t xml:space="preserve"> </w:t>
      </w:r>
      <w:r>
        <w:rPr>
          <w:rFonts w:ascii="Times New Roman" w:hAnsi="Times New Roman" w:cs="Times New Roman"/>
          <w:b/>
          <w:sz w:val="20"/>
          <w:szCs w:val="20"/>
          <w:lang w:val="en-AU"/>
        </w:rPr>
        <w:t>clg</w:t>
      </w:r>
      <w:r>
        <w:rPr>
          <w:rFonts w:ascii="Times New Roman" w:hAnsi="Times New Roman" w:cs="Times New Roman"/>
          <w:b/>
          <w:sz w:val="20"/>
          <w:szCs w:val="20"/>
        </w:rPr>
        <w:t>836 (а) и амкодор 342 (в)</w:t>
      </w:r>
    </w:p>
    <w:p w:rsidR="00517711" w:rsidRDefault="00517711">
      <w:pPr>
        <w:pStyle w:val="ae"/>
        <w:ind w:firstLine="709"/>
        <w:jc w:val="center"/>
        <w:rPr>
          <w:rFonts w:ascii="Times New Roman" w:hAnsi="Times New Roman" w:cs="Times New Roman"/>
          <w:b/>
          <w:sz w:val="20"/>
          <w:szCs w:val="20"/>
        </w:rPr>
      </w:pPr>
    </w:p>
    <w:tbl>
      <w:tblPr>
        <w:tblStyle w:val="af1"/>
        <w:tblW w:w="0" w:type="auto"/>
        <w:tblLayout w:type="fixed"/>
        <w:tblLook w:val="04A0" w:firstRow="1" w:lastRow="0" w:firstColumn="1" w:lastColumn="0" w:noHBand="0" w:noVBand="1"/>
      </w:tblPr>
      <w:tblGrid>
        <w:gridCol w:w="416"/>
        <w:gridCol w:w="4370"/>
        <w:gridCol w:w="1276"/>
        <w:gridCol w:w="850"/>
        <w:gridCol w:w="851"/>
        <w:gridCol w:w="709"/>
        <w:gridCol w:w="956"/>
      </w:tblGrid>
      <w:tr w:rsidR="00517711">
        <w:tc>
          <w:tcPr>
            <w:tcW w:w="416" w:type="dxa"/>
            <w:vMerge w:val="restart"/>
          </w:tcPr>
          <w:p w:rsidR="00517711" w:rsidRDefault="00F815BE">
            <w:pPr>
              <w:pStyle w:val="af"/>
              <w:spacing w:line="240" w:lineRule="auto"/>
              <w:rPr>
                <w:rFonts w:ascii="Times New Roman" w:hAnsi="Times New Roman"/>
                <w:b w:val="0"/>
                <w:sz w:val="20"/>
              </w:rPr>
            </w:pPr>
            <w:r>
              <w:rPr>
                <w:rFonts w:ascii="Times New Roman" w:hAnsi="Times New Roman"/>
                <w:b w:val="0"/>
                <w:sz w:val="20"/>
              </w:rPr>
              <w:t>№</w:t>
            </w:r>
          </w:p>
          <w:p w:rsidR="00517711" w:rsidRDefault="00517711">
            <w:pPr>
              <w:pStyle w:val="af"/>
              <w:spacing w:line="240" w:lineRule="auto"/>
              <w:rPr>
                <w:rFonts w:ascii="Times New Roman" w:hAnsi="Times New Roman"/>
                <w:b w:val="0"/>
                <w:sz w:val="20"/>
              </w:rPr>
            </w:pPr>
          </w:p>
        </w:tc>
        <w:tc>
          <w:tcPr>
            <w:tcW w:w="4370" w:type="dxa"/>
            <w:vMerge w:val="restart"/>
          </w:tcPr>
          <w:p w:rsidR="00517711" w:rsidRDefault="00F815BE">
            <w:pPr>
              <w:pStyle w:val="af"/>
              <w:spacing w:line="240" w:lineRule="auto"/>
              <w:rPr>
                <w:rFonts w:ascii="Times New Roman" w:hAnsi="Times New Roman"/>
                <w:b w:val="0"/>
                <w:sz w:val="20"/>
              </w:rPr>
            </w:pPr>
            <w:r>
              <w:rPr>
                <w:rFonts w:ascii="Times New Roman" w:hAnsi="Times New Roman"/>
                <w:b w:val="0"/>
                <w:sz w:val="20"/>
              </w:rPr>
              <w:t>Наименование характеристики</w:t>
            </w:r>
          </w:p>
        </w:tc>
        <w:tc>
          <w:tcPr>
            <w:tcW w:w="1276" w:type="dxa"/>
            <w:vMerge w:val="restart"/>
          </w:tcPr>
          <w:p w:rsidR="00517711" w:rsidRDefault="00F815BE">
            <w:pPr>
              <w:ind w:left="-106"/>
              <w:jc w:val="center"/>
              <w:rPr>
                <w:rFonts w:ascii="Times New Roman" w:hAnsi="Times New Roman" w:cs="Times New Roman"/>
                <w:sz w:val="20"/>
                <w:szCs w:val="20"/>
              </w:rPr>
            </w:pPr>
            <w:r>
              <w:rPr>
                <w:rFonts w:ascii="Times New Roman" w:hAnsi="Times New Roman" w:cs="Times New Roman"/>
                <w:sz w:val="20"/>
                <w:szCs w:val="20"/>
              </w:rPr>
              <w:t>Весовой коэффициент</w:t>
            </w:r>
          </w:p>
          <w:p w:rsidR="00517711" w:rsidRDefault="00F815BE">
            <w:pPr>
              <w:pStyle w:val="af"/>
              <w:spacing w:line="240" w:lineRule="auto"/>
              <w:ind w:left="-106"/>
              <w:rPr>
                <w:rFonts w:ascii="Times New Roman" w:hAnsi="Times New Roman"/>
                <w:b w:val="0"/>
                <w:sz w:val="20"/>
              </w:rPr>
            </w:pPr>
            <w:r>
              <w:rPr>
                <w:rFonts w:ascii="Times New Roman" w:hAnsi="Times New Roman"/>
                <w:bCs/>
                <w:iCs/>
                <w:sz w:val="20"/>
              </w:rPr>
              <w:t>К</w:t>
            </w:r>
            <w:r>
              <w:rPr>
                <w:rFonts w:ascii="Times New Roman" w:hAnsi="Times New Roman"/>
                <w:bCs/>
                <w:iCs/>
                <w:sz w:val="20"/>
                <w:lang w:val="en-US"/>
              </w:rPr>
              <w:t>i</w:t>
            </w:r>
          </w:p>
        </w:tc>
        <w:tc>
          <w:tcPr>
            <w:tcW w:w="1701" w:type="dxa"/>
            <w:gridSpan w:val="2"/>
          </w:tcPr>
          <w:p w:rsidR="00517711" w:rsidRDefault="00F815BE">
            <w:pPr>
              <w:pStyle w:val="af"/>
              <w:spacing w:line="240" w:lineRule="auto"/>
              <w:rPr>
                <w:rFonts w:ascii="Times New Roman" w:hAnsi="Times New Roman"/>
                <w:b w:val="0"/>
                <w:sz w:val="20"/>
              </w:rPr>
            </w:pPr>
            <w:r>
              <w:rPr>
                <w:rFonts w:ascii="Times New Roman" w:hAnsi="Times New Roman"/>
                <w:b w:val="0"/>
                <w:sz w:val="20"/>
              </w:rPr>
              <w:t>А</w:t>
            </w:r>
          </w:p>
        </w:tc>
        <w:tc>
          <w:tcPr>
            <w:tcW w:w="1665" w:type="dxa"/>
            <w:gridSpan w:val="2"/>
          </w:tcPr>
          <w:p w:rsidR="00517711" w:rsidRDefault="00F815BE">
            <w:pPr>
              <w:pStyle w:val="af"/>
              <w:spacing w:line="240" w:lineRule="auto"/>
              <w:rPr>
                <w:rFonts w:ascii="Times New Roman" w:eastAsia="Calibri" w:hAnsi="Times New Roman"/>
                <w:sz w:val="20"/>
                <w:lang w:val="en-AU" w:eastAsia="zh-CN"/>
              </w:rPr>
            </w:pPr>
            <w:r>
              <w:rPr>
                <w:rFonts w:ascii="Times New Roman" w:eastAsia="Calibri" w:hAnsi="Times New Roman"/>
                <w:sz w:val="20"/>
                <w:lang w:val="en-AU" w:eastAsia="zh-CN"/>
              </w:rPr>
              <w:t>B</w:t>
            </w:r>
          </w:p>
        </w:tc>
      </w:tr>
      <w:tr w:rsidR="00517711">
        <w:tc>
          <w:tcPr>
            <w:tcW w:w="416" w:type="dxa"/>
            <w:vMerge/>
          </w:tcPr>
          <w:p w:rsidR="00517711" w:rsidRDefault="00517711">
            <w:pPr>
              <w:pStyle w:val="af"/>
              <w:spacing w:line="240" w:lineRule="auto"/>
              <w:rPr>
                <w:rFonts w:ascii="Times New Roman" w:hAnsi="Times New Roman"/>
                <w:b w:val="0"/>
                <w:sz w:val="20"/>
              </w:rPr>
            </w:pPr>
          </w:p>
        </w:tc>
        <w:tc>
          <w:tcPr>
            <w:tcW w:w="4370" w:type="dxa"/>
            <w:vMerge/>
          </w:tcPr>
          <w:p w:rsidR="00517711" w:rsidRDefault="00517711">
            <w:pPr>
              <w:pStyle w:val="af"/>
              <w:spacing w:line="240" w:lineRule="auto"/>
              <w:rPr>
                <w:rFonts w:ascii="Times New Roman" w:hAnsi="Times New Roman"/>
                <w:b w:val="0"/>
                <w:sz w:val="20"/>
              </w:rPr>
            </w:pPr>
          </w:p>
        </w:tc>
        <w:tc>
          <w:tcPr>
            <w:tcW w:w="1276" w:type="dxa"/>
            <w:vMerge/>
          </w:tcPr>
          <w:p w:rsidR="00517711" w:rsidRDefault="00517711">
            <w:pPr>
              <w:pStyle w:val="af"/>
              <w:spacing w:line="240" w:lineRule="auto"/>
              <w:ind w:left="-106"/>
              <w:rPr>
                <w:rFonts w:ascii="Times New Roman" w:hAnsi="Times New Roman"/>
                <w:b w:val="0"/>
                <w:sz w:val="20"/>
              </w:rPr>
            </w:pPr>
          </w:p>
        </w:tc>
        <w:tc>
          <w:tcPr>
            <w:tcW w:w="850" w:type="dxa"/>
          </w:tcPr>
          <w:p w:rsidR="00517711" w:rsidRDefault="00F815BE">
            <w:pPr>
              <w:pStyle w:val="af"/>
              <w:spacing w:line="240" w:lineRule="auto"/>
              <w:rPr>
                <w:rFonts w:ascii="Times New Roman" w:hAnsi="Times New Roman"/>
                <w:b w:val="0"/>
                <w:sz w:val="20"/>
              </w:rPr>
            </w:pPr>
            <w:r>
              <w:rPr>
                <w:rFonts w:ascii="Times New Roman" w:hAnsi="Times New Roman"/>
                <w:bCs/>
                <w:iCs/>
                <w:sz w:val="20"/>
              </w:rPr>
              <w:t>П</w:t>
            </w:r>
            <w:r>
              <w:rPr>
                <w:rFonts w:ascii="Times New Roman" w:hAnsi="Times New Roman"/>
                <w:bCs/>
                <w:iCs/>
                <w:sz w:val="20"/>
                <w:lang w:val="en-US"/>
              </w:rPr>
              <w:t>i</w:t>
            </w:r>
            <w:r>
              <w:rPr>
                <w:rFonts w:ascii="Times New Roman" w:hAnsi="Times New Roman"/>
                <w:bCs/>
                <w:iCs/>
                <w:sz w:val="20"/>
              </w:rPr>
              <w:t>, балл.</w:t>
            </w:r>
          </w:p>
        </w:tc>
        <w:tc>
          <w:tcPr>
            <w:tcW w:w="851" w:type="dxa"/>
          </w:tcPr>
          <w:p w:rsidR="00517711" w:rsidRDefault="00F815BE">
            <w:pPr>
              <w:pStyle w:val="af"/>
              <w:spacing w:line="240" w:lineRule="auto"/>
              <w:rPr>
                <w:rFonts w:ascii="Times New Roman" w:hAnsi="Times New Roman"/>
                <w:b w:val="0"/>
                <w:sz w:val="20"/>
              </w:rPr>
            </w:pPr>
            <w:r>
              <w:rPr>
                <w:rFonts w:ascii="Times New Roman" w:hAnsi="Times New Roman"/>
                <w:bCs/>
                <w:iCs/>
                <w:sz w:val="20"/>
              </w:rPr>
              <w:t>К</w:t>
            </w:r>
            <w:r>
              <w:rPr>
                <w:rFonts w:ascii="Times New Roman" w:hAnsi="Times New Roman"/>
                <w:bCs/>
                <w:iCs/>
                <w:sz w:val="20"/>
                <w:lang w:val="en-US"/>
              </w:rPr>
              <w:t>i</w:t>
            </w:r>
            <w:r>
              <w:rPr>
                <w:rFonts w:ascii="Times New Roman" w:hAnsi="Times New Roman"/>
                <w:bCs/>
                <w:iCs/>
                <w:sz w:val="20"/>
              </w:rPr>
              <w:t xml:space="preserve"> × П</w:t>
            </w:r>
            <w:r>
              <w:rPr>
                <w:rFonts w:ascii="Times New Roman" w:hAnsi="Times New Roman"/>
                <w:bCs/>
                <w:iCs/>
                <w:sz w:val="20"/>
                <w:lang w:val="en-US"/>
              </w:rPr>
              <w:t>i</w:t>
            </w:r>
            <w:r>
              <w:rPr>
                <w:rFonts w:ascii="Times New Roman" w:hAnsi="Times New Roman"/>
                <w:bCs/>
                <w:iCs/>
                <w:sz w:val="20"/>
              </w:rPr>
              <w:t>, балл.</w:t>
            </w:r>
          </w:p>
        </w:tc>
        <w:tc>
          <w:tcPr>
            <w:tcW w:w="709" w:type="dxa"/>
          </w:tcPr>
          <w:p w:rsidR="00517711" w:rsidRDefault="00F815BE">
            <w:pPr>
              <w:pStyle w:val="af"/>
              <w:spacing w:line="240" w:lineRule="auto"/>
              <w:rPr>
                <w:rFonts w:ascii="Times New Roman" w:hAnsi="Times New Roman"/>
                <w:b w:val="0"/>
                <w:sz w:val="20"/>
              </w:rPr>
            </w:pPr>
            <w:r>
              <w:rPr>
                <w:rFonts w:ascii="Times New Roman" w:hAnsi="Times New Roman"/>
                <w:bCs/>
                <w:iCs/>
                <w:sz w:val="20"/>
              </w:rPr>
              <w:t>П</w:t>
            </w:r>
            <w:r>
              <w:rPr>
                <w:rFonts w:ascii="Times New Roman" w:hAnsi="Times New Roman"/>
                <w:bCs/>
                <w:iCs/>
                <w:sz w:val="20"/>
                <w:lang w:val="en-US"/>
              </w:rPr>
              <w:t>i</w:t>
            </w:r>
            <w:r>
              <w:rPr>
                <w:rFonts w:ascii="Times New Roman" w:hAnsi="Times New Roman"/>
                <w:bCs/>
                <w:iCs/>
                <w:sz w:val="20"/>
              </w:rPr>
              <w:t>, балл.</w:t>
            </w:r>
          </w:p>
        </w:tc>
        <w:tc>
          <w:tcPr>
            <w:tcW w:w="956" w:type="dxa"/>
          </w:tcPr>
          <w:p w:rsidR="00517711" w:rsidRDefault="00F815BE">
            <w:pPr>
              <w:pStyle w:val="af"/>
              <w:spacing w:line="240" w:lineRule="auto"/>
              <w:rPr>
                <w:rFonts w:ascii="Times New Roman" w:hAnsi="Times New Roman"/>
                <w:b w:val="0"/>
                <w:sz w:val="20"/>
              </w:rPr>
            </w:pPr>
            <w:r>
              <w:rPr>
                <w:rFonts w:ascii="Times New Roman" w:hAnsi="Times New Roman"/>
                <w:bCs/>
                <w:iCs/>
                <w:sz w:val="20"/>
              </w:rPr>
              <w:t>К</w:t>
            </w:r>
            <w:r>
              <w:rPr>
                <w:rFonts w:ascii="Times New Roman" w:hAnsi="Times New Roman"/>
                <w:bCs/>
                <w:iCs/>
                <w:sz w:val="20"/>
                <w:lang w:val="en-US"/>
              </w:rPr>
              <w:t>i</w:t>
            </w:r>
            <w:r>
              <w:rPr>
                <w:rFonts w:ascii="Times New Roman" w:hAnsi="Times New Roman"/>
                <w:bCs/>
                <w:iCs/>
                <w:sz w:val="20"/>
              </w:rPr>
              <w:t xml:space="preserve"> × П</w:t>
            </w:r>
            <w:r>
              <w:rPr>
                <w:rFonts w:ascii="Times New Roman" w:hAnsi="Times New Roman"/>
                <w:bCs/>
                <w:iCs/>
                <w:sz w:val="20"/>
                <w:lang w:val="en-US"/>
              </w:rPr>
              <w:t>i</w:t>
            </w:r>
            <w:r>
              <w:rPr>
                <w:rFonts w:ascii="Times New Roman" w:hAnsi="Times New Roman"/>
                <w:bCs/>
                <w:iCs/>
                <w:sz w:val="20"/>
              </w:rPr>
              <w:t>, балл.</w:t>
            </w:r>
          </w:p>
        </w:tc>
      </w:tr>
      <w:tr w:rsidR="00517711">
        <w:tc>
          <w:tcPr>
            <w:tcW w:w="416"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1</w:t>
            </w:r>
          </w:p>
        </w:tc>
        <w:tc>
          <w:tcPr>
            <w:tcW w:w="437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Срок изготовления и доставки</w:t>
            </w:r>
          </w:p>
        </w:tc>
        <w:tc>
          <w:tcPr>
            <w:tcW w:w="1276" w:type="dxa"/>
            <w:vAlign w:val="bottom"/>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0,05</w:t>
            </w:r>
          </w:p>
        </w:tc>
        <w:tc>
          <w:tcPr>
            <w:tcW w:w="850"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8</w:t>
            </w:r>
          </w:p>
        </w:tc>
        <w:tc>
          <w:tcPr>
            <w:tcW w:w="851"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0,4</w:t>
            </w:r>
          </w:p>
        </w:tc>
        <w:tc>
          <w:tcPr>
            <w:tcW w:w="709"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5</w:t>
            </w:r>
          </w:p>
        </w:tc>
        <w:tc>
          <w:tcPr>
            <w:tcW w:w="956"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0,25</w:t>
            </w:r>
          </w:p>
        </w:tc>
      </w:tr>
      <w:tr w:rsidR="00517711">
        <w:tc>
          <w:tcPr>
            <w:tcW w:w="416"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2</w:t>
            </w:r>
          </w:p>
        </w:tc>
        <w:tc>
          <w:tcPr>
            <w:tcW w:w="437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Возможность комплектации аналоговыми запасными частями</w:t>
            </w:r>
          </w:p>
        </w:tc>
        <w:tc>
          <w:tcPr>
            <w:tcW w:w="1276" w:type="dxa"/>
            <w:vAlign w:val="bottom"/>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0,05</w:t>
            </w:r>
          </w:p>
        </w:tc>
        <w:tc>
          <w:tcPr>
            <w:tcW w:w="850" w:type="dxa"/>
          </w:tcPr>
          <w:p w:rsidR="00517711" w:rsidRDefault="00517711">
            <w:pPr>
              <w:pStyle w:val="af"/>
              <w:spacing w:line="240" w:lineRule="auto"/>
              <w:rPr>
                <w:rFonts w:ascii="Times New Roman" w:hAnsi="Times New Roman"/>
                <w:b w:val="0"/>
                <w:sz w:val="20"/>
              </w:rPr>
            </w:pPr>
          </w:p>
          <w:p w:rsidR="00517711" w:rsidRDefault="00F815BE">
            <w:pPr>
              <w:pStyle w:val="af"/>
              <w:spacing w:line="240" w:lineRule="auto"/>
              <w:rPr>
                <w:rFonts w:ascii="Times New Roman" w:hAnsi="Times New Roman"/>
                <w:b w:val="0"/>
                <w:sz w:val="20"/>
              </w:rPr>
            </w:pPr>
            <w:r>
              <w:rPr>
                <w:rFonts w:ascii="Times New Roman" w:hAnsi="Times New Roman"/>
                <w:b w:val="0"/>
                <w:sz w:val="20"/>
              </w:rPr>
              <w:t>8</w:t>
            </w:r>
          </w:p>
        </w:tc>
        <w:tc>
          <w:tcPr>
            <w:tcW w:w="851"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0,4</w:t>
            </w:r>
          </w:p>
        </w:tc>
        <w:tc>
          <w:tcPr>
            <w:tcW w:w="709" w:type="dxa"/>
          </w:tcPr>
          <w:p w:rsidR="00517711" w:rsidRDefault="00517711">
            <w:pPr>
              <w:pStyle w:val="af"/>
              <w:spacing w:line="240" w:lineRule="auto"/>
              <w:rPr>
                <w:rFonts w:ascii="Times New Roman" w:hAnsi="Times New Roman"/>
                <w:b w:val="0"/>
                <w:sz w:val="20"/>
              </w:rPr>
            </w:pPr>
          </w:p>
          <w:p w:rsidR="00517711" w:rsidRDefault="00F815BE">
            <w:pPr>
              <w:pStyle w:val="af"/>
              <w:spacing w:line="240" w:lineRule="auto"/>
              <w:rPr>
                <w:rFonts w:ascii="Times New Roman" w:hAnsi="Times New Roman"/>
                <w:b w:val="0"/>
                <w:sz w:val="20"/>
              </w:rPr>
            </w:pPr>
            <w:r>
              <w:rPr>
                <w:rFonts w:ascii="Times New Roman" w:hAnsi="Times New Roman"/>
                <w:b w:val="0"/>
                <w:sz w:val="20"/>
              </w:rPr>
              <w:t>6</w:t>
            </w:r>
          </w:p>
        </w:tc>
        <w:tc>
          <w:tcPr>
            <w:tcW w:w="956"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0,3</w:t>
            </w:r>
          </w:p>
        </w:tc>
      </w:tr>
      <w:tr w:rsidR="00517711">
        <w:tc>
          <w:tcPr>
            <w:tcW w:w="416"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3</w:t>
            </w:r>
          </w:p>
        </w:tc>
        <w:tc>
          <w:tcPr>
            <w:tcW w:w="437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Доступность запасных частей</w:t>
            </w:r>
          </w:p>
        </w:tc>
        <w:tc>
          <w:tcPr>
            <w:tcW w:w="1276" w:type="dxa"/>
            <w:vAlign w:val="bottom"/>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0,05</w:t>
            </w:r>
          </w:p>
        </w:tc>
        <w:tc>
          <w:tcPr>
            <w:tcW w:w="850"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7</w:t>
            </w:r>
          </w:p>
        </w:tc>
        <w:tc>
          <w:tcPr>
            <w:tcW w:w="851"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0,35</w:t>
            </w:r>
          </w:p>
        </w:tc>
        <w:tc>
          <w:tcPr>
            <w:tcW w:w="709"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7</w:t>
            </w:r>
          </w:p>
        </w:tc>
        <w:tc>
          <w:tcPr>
            <w:tcW w:w="956"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0,35</w:t>
            </w:r>
          </w:p>
        </w:tc>
      </w:tr>
      <w:tr w:rsidR="00517711">
        <w:tc>
          <w:tcPr>
            <w:tcW w:w="416"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4</w:t>
            </w:r>
          </w:p>
        </w:tc>
        <w:tc>
          <w:tcPr>
            <w:tcW w:w="437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Возможность использования ГСМ одной марки</w:t>
            </w:r>
          </w:p>
        </w:tc>
        <w:tc>
          <w:tcPr>
            <w:tcW w:w="1276" w:type="dxa"/>
            <w:vAlign w:val="bottom"/>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0,05</w:t>
            </w:r>
          </w:p>
        </w:tc>
        <w:tc>
          <w:tcPr>
            <w:tcW w:w="850"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8</w:t>
            </w:r>
          </w:p>
        </w:tc>
        <w:tc>
          <w:tcPr>
            <w:tcW w:w="851"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0,4</w:t>
            </w:r>
          </w:p>
        </w:tc>
        <w:tc>
          <w:tcPr>
            <w:tcW w:w="709"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8</w:t>
            </w:r>
          </w:p>
        </w:tc>
        <w:tc>
          <w:tcPr>
            <w:tcW w:w="956"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0,4</w:t>
            </w:r>
          </w:p>
        </w:tc>
      </w:tr>
      <w:tr w:rsidR="00517711">
        <w:tc>
          <w:tcPr>
            <w:tcW w:w="416"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5</w:t>
            </w:r>
          </w:p>
        </w:tc>
        <w:tc>
          <w:tcPr>
            <w:tcW w:w="437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Качество и возможность технического обслуживания</w:t>
            </w:r>
          </w:p>
        </w:tc>
        <w:tc>
          <w:tcPr>
            <w:tcW w:w="1276" w:type="dxa"/>
            <w:vAlign w:val="bottom"/>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0,05</w:t>
            </w:r>
          </w:p>
        </w:tc>
        <w:tc>
          <w:tcPr>
            <w:tcW w:w="850" w:type="dxa"/>
          </w:tcPr>
          <w:p w:rsidR="00517711" w:rsidRDefault="00517711">
            <w:pPr>
              <w:pStyle w:val="af"/>
              <w:spacing w:line="240" w:lineRule="auto"/>
              <w:rPr>
                <w:rFonts w:ascii="Times New Roman" w:hAnsi="Times New Roman"/>
                <w:b w:val="0"/>
                <w:sz w:val="20"/>
              </w:rPr>
            </w:pPr>
          </w:p>
          <w:p w:rsidR="00517711" w:rsidRDefault="00F815BE">
            <w:pPr>
              <w:pStyle w:val="af"/>
              <w:spacing w:line="240" w:lineRule="auto"/>
              <w:rPr>
                <w:rFonts w:ascii="Times New Roman" w:hAnsi="Times New Roman"/>
                <w:b w:val="0"/>
                <w:sz w:val="20"/>
              </w:rPr>
            </w:pPr>
            <w:r>
              <w:rPr>
                <w:rFonts w:ascii="Times New Roman" w:hAnsi="Times New Roman"/>
                <w:b w:val="0"/>
                <w:sz w:val="20"/>
              </w:rPr>
              <w:t>7</w:t>
            </w:r>
          </w:p>
        </w:tc>
        <w:tc>
          <w:tcPr>
            <w:tcW w:w="851"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0,35</w:t>
            </w:r>
          </w:p>
        </w:tc>
        <w:tc>
          <w:tcPr>
            <w:tcW w:w="709" w:type="dxa"/>
          </w:tcPr>
          <w:p w:rsidR="00517711" w:rsidRDefault="00517711">
            <w:pPr>
              <w:pStyle w:val="af"/>
              <w:spacing w:line="240" w:lineRule="auto"/>
              <w:rPr>
                <w:rFonts w:ascii="Times New Roman" w:hAnsi="Times New Roman"/>
                <w:b w:val="0"/>
                <w:sz w:val="20"/>
              </w:rPr>
            </w:pPr>
          </w:p>
          <w:p w:rsidR="00517711" w:rsidRDefault="00F815BE">
            <w:pPr>
              <w:pStyle w:val="af"/>
              <w:spacing w:line="240" w:lineRule="auto"/>
              <w:rPr>
                <w:rFonts w:ascii="Times New Roman" w:hAnsi="Times New Roman"/>
                <w:b w:val="0"/>
                <w:sz w:val="20"/>
              </w:rPr>
            </w:pPr>
            <w:r>
              <w:rPr>
                <w:rFonts w:ascii="Times New Roman" w:hAnsi="Times New Roman"/>
                <w:b w:val="0"/>
                <w:sz w:val="20"/>
              </w:rPr>
              <w:t>4</w:t>
            </w:r>
          </w:p>
        </w:tc>
        <w:tc>
          <w:tcPr>
            <w:tcW w:w="956"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0,2</w:t>
            </w:r>
          </w:p>
        </w:tc>
      </w:tr>
      <w:tr w:rsidR="00517711">
        <w:tc>
          <w:tcPr>
            <w:tcW w:w="416"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6</w:t>
            </w:r>
          </w:p>
        </w:tc>
        <w:tc>
          <w:tcPr>
            <w:tcW w:w="437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Стоимость технического обслуживания</w:t>
            </w:r>
          </w:p>
        </w:tc>
        <w:tc>
          <w:tcPr>
            <w:tcW w:w="1276" w:type="dxa"/>
            <w:vAlign w:val="bottom"/>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0,05</w:t>
            </w:r>
          </w:p>
        </w:tc>
        <w:tc>
          <w:tcPr>
            <w:tcW w:w="850"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6</w:t>
            </w:r>
          </w:p>
        </w:tc>
        <w:tc>
          <w:tcPr>
            <w:tcW w:w="851"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0,3</w:t>
            </w:r>
          </w:p>
        </w:tc>
        <w:tc>
          <w:tcPr>
            <w:tcW w:w="709"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6</w:t>
            </w:r>
          </w:p>
        </w:tc>
        <w:tc>
          <w:tcPr>
            <w:tcW w:w="956"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0,3</w:t>
            </w:r>
          </w:p>
        </w:tc>
      </w:tr>
      <w:tr w:rsidR="00517711">
        <w:tc>
          <w:tcPr>
            <w:tcW w:w="416"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7</w:t>
            </w:r>
          </w:p>
        </w:tc>
        <w:tc>
          <w:tcPr>
            <w:tcW w:w="437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Гарантийный срок</w:t>
            </w:r>
          </w:p>
        </w:tc>
        <w:tc>
          <w:tcPr>
            <w:tcW w:w="1276" w:type="dxa"/>
            <w:vAlign w:val="bottom"/>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0,05</w:t>
            </w:r>
          </w:p>
        </w:tc>
        <w:tc>
          <w:tcPr>
            <w:tcW w:w="850"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7</w:t>
            </w:r>
          </w:p>
        </w:tc>
        <w:tc>
          <w:tcPr>
            <w:tcW w:w="851"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0,35</w:t>
            </w:r>
          </w:p>
        </w:tc>
        <w:tc>
          <w:tcPr>
            <w:tcW w:w="709"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7</w:t>
            </w:r>
          </w:p>
        </w:tc>
        <w:tc>
          <w:tcPr>
            <w:tcW w:w="956"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0,35</w:t>
            </w:r>
          </w:p>
        </w:tc>
      </w:tr>
      <w:tr w:rsidR="00517711">
        <w:tc>
          <w:tcPr>
            <w:tcW w:w="416"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8</w:t>
            </w:r>
          </w:p>
        </w:tc>
        <w:tc>
          <w:tcPr>
            <w:tcW w:w="437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Возможность использования дополнительного и навесного оборудования</w:t>
            </w:r>
          </w:p>
        </w:tc>
        <w:tc>
          <w:tcPr>
            <w:tcW w:w="1276" w:type="dxa"/>
            <w:vAlign w:val="bottom"/>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0,05</w:t>
            </w:r>
          </w:p>
        </w:tc>
        <w:tc>
          <w:tcPr>
            <w:tcW w:w="850"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8</w:t>
            </w:r>
          </w:p>
        </w:tc>
        <w:tc>
          <w:tcPr>
            <w:tcW w:w="851"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0,4</w:t>
            </w:r>
          </w:p>
        </w:tc>
        <w:tc>
          <w:tcPr>
            <w:tcW w:w="709"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5</w:t>
            </w:r>
          </w:p>
        </w:tc>
        <w:tc>
          <w:tcPr>
            <w:tcW w:w="956"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0,25</w:t>
            </w:r>
          </w:p>
        </w:tc>
      </w:tr>
      <w:tr w:rsidR="00517711">
        <w:tc>
          <w:tcPr>
            <w:tcW w:w="416"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9</w:t>
            </w:r>
          </w:p>
        </w:tc>
        <w:tc>
          <w:tcPr>
            <w:tcW w:w="437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Эргономичность техники</w:t>
            </w:r>
          </w:p>
        </w:tc>
        <w:tc>
          <w:tcPr>
            <w:tcW w:w="1276" w:type="dxa"/>
            <w:vAlign w:val="bottom"/>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0,05</w:t>
            </w:r>
          </w:p>
        </w:tc>
        <w:tc>
          <w:tcPr>
            <w:tcW w:w="850"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7</w:t>
            </w:r>
          </w:p>
        </w:tc>
        <w:tc>
          <w:tcPr>
            <w:tcW w:w="851"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0,35</w:t>
            </w:r>
          </w:p>
        </w:tc>
        <w:tc>
          <w:tcPr>
            <w:tcW w:w="709"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6</w:t>
            </w:r>
          </w:p>
        </w:tc>
        <w:tc>
          <w:tcPr>
            <w:tcW w:w="956"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0,3</w:t>
            </w:r>
          </w:p>
        </w:tc>
      </w:tr>
      <w:tr w:rsidR="00517711">
        <w:tc>
          <w:tcPr>
            <w:tcW w:w="416"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10</w:t>
            </w:r>
          </w:p>
        </w:tc>
        <w:tc>
          <w:tcPr>
            <w:tcW w:w="437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Удельный часовой расход топлива</w:t>
            </w:r>
          </w:p>
        </w:tc>
        <w:tc>
          <w:tcPr>
            <w:tcW w:w="1276" w:type="dxa"/>
            <w:vAlign w:val="bottom"/>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0,05</w:t>
            </w:r>
          </w:p>
        </w:tc>
        <w:tc>
          <w:tcPr>
            <w:tcW w:w="850"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8</w:t>
            </w:r>
          </w:p>
        </w:tc>
        <w:tc>
          <w:tcPr>
            <w:tcW w:w="851"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0,4</w:t>
            </w:r>
          </w:p>
        </w:tc>
        <w:tc>
          <w:tcPr>
            <w:tcW w:w="709"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8</w:t>
            </w:r>
          </w:p>
        </w:tc>
        <w:tc>
          <w:tcPr>
            <w:tcW w:w="956"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0,4</w:t>
            </w:r>
          </w:p>
        </w:tc>
      </w:tr>
      <w:tr w:rsidR="00517711">
        <w:tc>
          <w:tcPr>
            <w:tcW w:w="416"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11</w:t>
            </w:r>
          </w:p>
        </w:tc>
        <w:tc>
          <w:tcPr>
            <w:tcW w:w="437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Наличие инструментов повторной реализации</w:t>
            </w:r>
          </w:p>
        </w:tc>
        <w:tc>
          <w:tcPr>
            <w:tcW w:w="1276" w:type="dxa"/>
            <w:vAlign w:val="bottom"/>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0,05</w:t>
            </w:r>
          </w:p>
        </w:tc>
        <w:tc>
          <w:tcPr>
            <w:tcW w:w="850"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3</w:t>
            </w:r>
          </w:p>
        </w:tc>
        <w:tc>
          <w:tcPr>
            <w:tcW w:w="851"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0,15</w:t>
            </w:r>
          </w:p>
        </w:tc>
        <w:tc>
          <w:tcPr>
            <w:tcW w:w="709"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3</w:t>
            </w:r>
          </w:p>
        </w:tc>
        <w:tc>
          <w:tcPr>
            <w:tcW w:w="956"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0,15</w:t>
            </w:r>
          </w:p>
        </w:tc>
      </w:tr>
      <w:tr w:rsidR="00517711">
        <w:tc>
          <w:tcPr>
            <w:tcW w:w="416"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12</w:t>
            </w:r>
          </w:p>
        </w:tc>
        <w:tc>
          <w:tcPr>
            <w:tcW w:w="437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Периодичность технического обслуживания</w:t>
            </w:r>
          </w:p>
        </w:tc>
        <w:tc>
          <w:tcPr>
            <w:tcW w:w="1276" w:type="dxa"/>
            <w:vAlign w:val="bottom"/>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0,04</w:t>
            </w:r>
          </w:p>
        </w:tc>
        <w:tc>
          <w:tcPr>
            <w:tcW w:w="850"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7</w:t>
            </w:r>
          </w:p>
        </w:tc>
        <w:tc>
          <w:tcPr>
            <w:tcW w:w="851"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0,28</w:t>
            </w:r>
          </w:p>
        </w:tc>
        <w:tc>
          <w:tcPr>
            <w:tcW w:w="709"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7</w:t>
            </w:r>
          </w:p>
        </w:tc>
        <w:tc>
          <w:tcPr>
            <w:tcW w:w="956"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0,28</w:t>
            </w:r>
          </w:p>
        </w:tc>
      </w:tr>
      <w:tr w:rsidR="00517711">
        <w:trPr>
          <w:trHeight w:val="64"/>
        </w:trPr>
        <w:tc>
          <w:tcPr>
            <w:tcW w:w="416"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13</w:t>
            </w:r>
          </w:p>
        </w:tc>
        <w:tc>
          <w:tcPr>
            <w:tcW w:w="437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Периодичность замены ГСМ</w:t>
            </w:r>
          </w:p>
        </w:tc>
        <w:tc>
          <w:tcPr>
            <w:tcW w:w="1276" w:type="dxa"/>
            <w:vAlign w:val="bottom"/>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0,04</w:t>
            </w:r>
          </w:p>
        </w:tc>
        <w:tc>
          <w:tcPr>
            <w:tcW w:w="850"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8</w:t>
            </w:r>
          </w:p>
        </w:tc>
        <w:tc>
          <w:tcPr>
            <w:tcW w:w="851"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0,32</w:t>
            </w:r>
          </w:p>
        </w:tc>
        <w:tc>
          <w:tcPr>
            <w:tcW w:w="709"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7</w:t>
            </w:r>
          </w:p>
        </w:tc>
        <w:tc>
          <w:tcPr>
            <w:tcW w:w="956"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0,28</w:t>
            </w:r>
          </w:p>
        </w:tc>
      </w:tr>
      <w:tr w:rsidR="00517711">
        <w:tc>
          <w:tcPr>
            <w:tcW w:w="416"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14</w:t>
            </w:r>
          </w:p>
        </w:tc>
        <w:tc>
          <w:tcPr>
            <w:tcW w:w="437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Возможность выбора марки используемых ГСМ</w:t>
            </w:r>
          </w:p>
        </w:tc>
        <w:tc>
          <w:tcPr>
            <w:tcW w:w="1276" w:type="dxa"/>
            <w:vAlign w:val="bottom"/>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0,04</w:t>
            </w:r>
          </w:p>
        </w:tc>
        <w:tc>
          <w:tcPr>
            <w:tcW w:w="850"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9</w:t>
            </w:r>
          </w:p>
        </w:tc>
        <w:tc>
          <w:tcPr>
            <w:tcW w:w="851"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0,36</w:t>
            </w:r>
          </w:p>
        </w:tc>
        <w:tc>
          <w:tcPr>
            <w:tcW w:w="709"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9</w:t>
            </w:r>
          </w:p>
        </w:tc>
        <w:tc>
          <w:tcPr>
            <w:tcW w:w="956"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0,36</w:t>
            </w:r>
          </w:p>
        </w:tc>
      </w:tr>
      <w:tr w:rsidR="00517711">
        <w:tc>
          <w:tcPr>
            <w:tcW w:w="416"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15</w:t>
            </w:r>
          </w:p>
        </w:tc>
        <w:tc>
          <w:tcPr>
            <w:tcW w:w="437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Тип техники</w:t>
            </w:r>
          </w:p>
        </w:tc>
        <w:tc>
          <w:tcPr>
            <w:tcW w:w="1276" w:type="dxa"/>
            <w:vAlign w:val="bottom"/>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0,04</w:t>
            </w:r>
          </w:p>
        </w:tc>
        <w:tc>
          <w:tcPr>
            <w:tcW w:w="850"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8</w:t>
            </w:r>
          </w:p>
        </w:tc>
        <w:tc>
          <w:tcPr>
            <w:tcW w:w="851"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0,32</w:t>
            </w:r>
          </w:p>
        </w:tc>
        <w:tc>
          <w:tcPr>
            <w:tcW w:w="709"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4</w:t>
            </w:r>
          </w:p>
        </w:tc>
        <w:tc>
          <w:tcPr>
            <w:tcW w:w="956"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0,16</w:t>
            </w:r>
          </w:p>
        </w:tc>
      </w:tr>
      <w:tr w:rsidR="00517711">
        <w:tc>
          <w:tcPr>
            <w:tcW w:w="416" w:type="dxa"/>
            <w:tcBorders>
              <w:bottom w:val="single" w:sz="4" w:space="0" w:color="auto"/>
            </w:tcBorders>
          </w:tcPr>
          <w:p w:rsidR="00517711" w:rsidRDefault="00F815BE">
            <w:pPr>
              <w:pStyle w:val="af"/>
              <w:spacing w:line="240" w:lineRule="auto"/>
              <w:rPr>
                <w:rFonts w:ascii="Times New Roman" w:hAnsi="Times New Roman"/>
                <w:b w:val="0"/>
                <w:sz w:val="20"/>
              </w:rPr>
            </w:pPr>
            <w:r>
              <w:rPr>
                <w:rFonts w:ascii="Times New Roman" w:hAnsi="Times New Roman"/>
                <w:b w:val="0"/>
                <w:sz w:val="20"/>
              </w:rPr>
              <w:t>16</w:t>
            </w:r>
          </w:p>
        </w:tc>
        <w:tc>
          <w:tcPr>
            <w:tcW w:w="4370" w:type="dxa"/>
            <w:tcBorders>
              <w:bottom w:val="single" w:sz="4" w:space="0" w:color="auto"/>
            </w:tcBorders>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Степень автоматизации</w:t>
            </w:r>
          </w:p>
        </w:tc>
        <w:tc>
          <w:tcPr>
            <w:tcW w:w="1276" w:type="dxa"/>
            <w:tcBorders>
              <w:bottom w:val="single" w:sz="4" w:space="0" w:color="auto"/>
            </w:tcBorders>
            <w:vAlign w:val="bottom"/>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0,04</w:t>
            </w:r>
          </w:p>
        </w:tc>
        <w:tc>
          <w:tcPr>
            <w:tcW w:w="850" w:type="dxa"/>
            <w:tcBorders>
              <w:bottom w:val="single" w:sz="4" w:space="0" w:color="auto"/>
            </w:tcBorders>
          </w:tcPr>
          <w:p w:rsidR="00517711" w:rsidRDefault="00F815BE">
            <w:pPr>
              <w:pStyle w:val="af"/>
              <w:spacing w:line="240" w:lineRule="auto"/>
              <w:rPr>
                <w:rFonts w:ascii="Times New Roman" w:hAnsi="Times New Roman"/>
                <w:b w:val="0"/>
                <w:sz w:val="20"/>
              </w:rPr>
            </w:pPr>
            <w:r>
              <w:rPr>
                <w:rFonts w:ascii="Times New Roman" w:hAnsi="Times New Roman"/>
                <w:b w:val="0"/>
                <w:sz w:val="20"/>
              </w:rPr>
              <w:t>8</w:t>
            </w:r>
          </w:p>
        </w:tc>
        <w:tc>
          <w:tcPr>
            <w:tcW w:w="851" w:type="dxa"/>
            <w:tcBorders>
              <w:bottom w:val="single" w:sz="4" w:space="0" w:color="auto"/>
            </w:tcBorders>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0,32</w:t>
            </w:r>
          </w:p>
        </w:tc>
        <w:tc>
          <w:tcPr>
            <w:tcW w:w="709" w:type="dxa"/>
            <w:tcBorders>
              <w:bottom w:val="single" w:sz="4" w:space="0" w:color="auto"/>
            </w:tcBorders>
          </w:tcPr>
          <w:p w:rsidR="00517711" w:rsidRDefault="00F815BE">
            <w:pPr>
              <w:pStyle w:val="af"/>
              <w:spacing w:line="240" w:lineRule="auto"/>
              <w:rPr>
                <w:rFonts w:ascii="Times New Roman" w:hAnsi="Times New Roman"/>
                <w:b w:val="0"/>
                <w:sz w:val="20"/>
              </w:rPr>
            </w:pPr>
            <w:r>
              <w:rPr>
                <w:rFonts w:ascii="Times New Roman" w:hAnsi="Times New Roman"/>
                <w:b w:val="0"/>
                <w:sz w:val="20"/>
              </w:rPr>
              <w:t>5</w:t>
            </w:r>
          </w:p>
        </w:tc>
        <w:tc>
          <w:tcPr>
            <w:tcW w:w="956" w:type="dxa"/>
            <w:tcBorders>
              <w:bottom w:val="single" w:sz="4" w:space="0" w:color="auto"/>
            </w:tcBorders>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0,2</w:t>
            </w:r>
          </w:p>
        </w:tc>
      </w:tr>
      <w:tr w:rsidR="00517711">
        <w:tc>
          <w:tcPr>
            <w:tcW w:w="416" w:type="dxa"/>
            <w:tcBorders>
              <w:bottom w:val="single" w:sz="4" w:space="0" w:color="auto"/>
            </w:tcBorders>
          </w:tcPr>
          <w:p w:rsidR="00517711" w:rsidRDefault="00F815BE">
            <w:pPr>
              <w:pStyle w:val="af"/>
              <w:spacing w:line="240" w:lineRule="auto"/>
              <w:rPr>
                <w:rFonts w:ascii="Times New Roman" w:hAnsi="Times New Roman"/>
                <w:b w:val="0"/>
                <w:sz w:val="20"/>
              </w:rPr>
            </w:pPr>
            <w:r>
              <w:rPr>
                <w:rFonts w:ascii="Times New Roman" w:hAnsi="Times New Roman"/>
                <w:b w:val="0"/>
                <w:sz w:val="20"/>
              </w:rPr>
              <w:t>17</w:t>
            </w:r>
          </w:p>
        </w:tc>
        <w:tc>
          <w:tcPr>
            <w:tcW w:w="4370" w:type="dxa"/>
            <w:tcBorders>
              <w:bottom w:val="single" w:sz="4" w:space="0" w:color="auto"/>
            </w:tcBorders>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Наличие кредитных инструментов</w:t>
            </w:r>
          </w:p>
        </w:tc>
        <w:tc>
          <w:tcPr>
            <w:tcW w:w="1276" w:type="dxa"/>
            <w:tcBorders>
              <w:bottom w:val="single" w:sz="4" w:space="0" w:color="auto"/>
            </w:tcBorders>
            <w:vAlign w:val="bottom"/>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0,04</w:t>
            </w:r>
          </w:p>
        </w:tc>
        <w:tc>
          <w:tcPr>
            <w:tcW w:w="850" w:type="dxa"/>
            <w:tcBorders>
              <w:bottom w:val="single" w:sz="4" w:space="0" w:color="auto"/>
            </w:tcBorders>
          </w:tcPr>
          <w:p w:rsidR="00517711" w:rsidRDefault="00F815BE">
            <w:pPr>
              <w:pStyle w:val="af"/>
              <w:spacing w:line="240" w:lineRule="auto"/>
              <w:rPr>
                <w:rFonts w:ascii="Times New Roman" w:hAnsi="Times New Roman"/>
                <w:b w:val="0"/>
                <w:sz w:val="20"/>
              </w:rPr>
            </w:pPr>
            <w:r>
              <w:rPr>
                <w:rFonts w:ascii="Times New Roman" w:hAnsi="Times New Roman"/>
                <w:b w:val="0"/>
                <w:sz w:val="20"/>
              </w:rPr>
              <w:t>7</w:t>
            </w:r>
          </w:p>
        </w:tc>
        <w:tc>
          <w:tcPr>
            <w:tcW w:w="851" w:type="dxa"/>
            <w:tcBorders>
              <w:bottom w:val="single" w:sz="4" w:space="0" w:color="auto"/>
            </w:tcBorders>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0,28</w:t>
            </w:r>
          </w:p>
        </w:tc>
        <w:tc>
          <w:tcPr>
            <w:tcW w:w="709" w:type="dxa"/>
            <w:tcBorders>
              <w:bottom w:val="single" w:sz="4" w:space="0" w:color="auto"/>
            </w:tcBorders>
          </w:tcPr>
          <w:p w:rsidR="00517711" w:rsidRDefault="00F815BE">
            <w:pPr>
              <w:pStyle w:val="af"/>
              <w:spacing w:line="240" w:lineRule="auto"/>
              <w:rPr>
                <w:rFonts w:ascii="Times New Roman" w:hAnsi="Times New Roman"/>
                <w:b w:val="0"/>
                <w:sz w:val="20"/>
              </w:rPr>
            </w:pPr>
            <w:r>
              <w:rPr>
                <w:rFonts w:ascii="Times New Roman" w:hAnsi="Times New Roman"/>
                <w:b w:val="0"/>
                <w:sz w:val="20"/>
              </w:rPr>
              <w:t>9</w:t>
            </w:r>
          </w:p>
        </w:tc>
        <w:tc>
          <w:tcPr>
            <w:tcW w:w="956" w:type="dxa"/>
            <w:tcBorders>
              <w:bottom w:val="single" w:sz="4" w:space="0" w:color="auto"/>
            </w:tcBorders>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0,36</w:t>
            </w:r>
          </w:p>
        </w:tc>
      </w:tr>
      <w:tr w:rsidR="00517711">
        <w:trPr>
          <w:trHeight w:val="433"/>
        </w:trPr>
        <w:tc>
          <w:tcPr>
            <w:tcW w:w="416" w:type="dxa"/>
            <w:tcBorders>
              <w:top w:val="single" w:sz="4" w:space="0" w:color="auto"/>
              <w:left w:val="single" w:sz="4" w:space="0" w:color="auto"/>
              <w:bottom w:val="single" w:sz="4" w:space="0" w:color="auto"/>
              <w:right w:val="single" w:sz="4" w:space="0" w:color="auto"/>
            </w:tcBorders>
          </w:tcPr>
          <w:p w:rsidR="00517711" w:rsidRDefault="00F815BE">
            <w:pPr>
              <w:pStyle w:val="af"/>
              <w:spacing w:line="240" w:lineRule="auto"/>
              <w:rPr>
                <w:rFonts w:ascii="Times New Roman" w:hAnsi="Times New Roman"/>
                <w:b w:val="0"/>
                <w:sz w:val="20"/>
              </w:rPr>
            </w:pPr>
            <w:r>
              <w:rPr>
                <w:rFonts w:ascii="Times New Roman" w:hAnsi="Times New Roman"/>
                <w:b w:val="0"/>
                <w:sz w:val="20"/>
              </w:rPr>
              <w:t>18</w:t>
            </w:r>
          </w:p>
        </w:tc>
        <w:tc>
          <w:tcPr>
            <w:tcW w:w="4370" w:type="dxa"/>
            <w:tcBorders>
              <w:top w:val="single" w:sz="4" w:space="0" w:color="auto"/>
              <w:left w:val="single" w:sz="4" w:space="0" w:color="auto"/>
              <w:bottom w:val="single" w:sz="4" w:space="0" w:color="auto"/>
              <w:right w:val="single" w:sz="4" w:space="0" w:color="auto"/>
            </w:tcBorders>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Оптимальное соотношение массы и мощности техники</w:t>
            </w:r>
          </w:p>
        </w:tc>
        <w:tc>
          <w:tcPr>
            <w:tcW w:w="1276" w:type="dxa"/>
            <w:tcBorders>
              <w:top w:val="single" w:sz="4" w:space="0" w:color="auto"/>
              <w:left w:val="single" w:sz="4" w:space="0" w:color="auto"/>
              <w:bottom w:val="single" w:sz="4" w:space="0" w:color="auto"/>
              <w:right w:val="single" w:sz="4" w:space="0" w:color="auto"/>
            </w:tcBorders>
            <w:vAlign w:val="bottom"/>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0,04</w:t>
            </w:r>
          </w:p>
        </w:tc>
        <w:tc>
          <w:tcPr>
            <w:tcW w:w="850" w:type="dxa"/>
            <w:tcBorders>
              <w:top w:val="single" w:sz="4" w:space="0" w:color="auto"/>
              <w:left w:val="single" w:sz="4" w:space="0" w:color="auto"/>
              <w:bottom w:val="single" w:sz="4" w:space="0" w:color="auto"/>
              <w:right w:val="single" w:sz="4" w:space="0" w:color="auto"/>
            </w:tcBorders>
          </w:tcPr>
          <w:p w:rsidR="00517711" w:rsidRDefault="00F815BE">
            <w:pPr>
              <w:pStyle w:val="af"/>
              <w:spacing w:line="240" w:lineRule="auto"/>
              <w:rPr>
                <w:rFonts w:ascii="Times New Roman" w:hAnsi="Times New Roman"/>
                <w:b w:val="0"/>
                <w:sz w:val="20"/>
              </w:rPr>
            </w:pPr>
            <w:r>
              <w:rPr>
                <w:rFonts w:ascii="Times New Roman" w:hAnsi="Times New Roman"/>
                <w:b w:val="0"/>
                <w:sz w:val="20"/>
              </w:rPr>
              <w:t>7</w:t>
            </w:r>
          </w:p>
        </w:tc>
        <w:tc>
          <w:tcPr>
            <w:tcW w:w="851" w:type="dxa"/>
            <w:tcBorders>
              <w:top w:val="single" w:sz="4" w:space="0" w:color="auto"/>
              <w:left w:val="single" w:sz="4" w:space="0" w:color="auto"/>
              <w:bottom w:val="single" w:sz="4" w:space="0" w:color="auto"/>
              <w:right w:val="single" w:sz="4" w:space="0" w:color="auto"/>
            </w:tcBorders>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0,28</w:t>
            </w:r>
          </w:p>
        </w:tc>
        <w:tc>
          <w:tcPr>
            <w:tcW w:w="709" w:type="dxa"/>
            <w:tcBorders>
              <w:top w:val="single" w:sz="4" w:space="0" w:color="auto"/>
              <w:left w:val="single" w:sz="4" w:space="0" w:color="auto"/>
              <w:bottom w:val="single" w:sz="4" w:space="0" w:color="auto"/>
              <w:right w:val="single" w:sz="4" w:space="0" w:color="auto"/>
            </w:tcBorders>
          </w:tcPr>
          <w:p w:rsidR="00517711" w:rsidRDefault="00F815BE">
            <w:pPr>
              <w:pStyle w:val="af"/>
              <w:spacing w:line="240" w:lineRule="auto"/>
              <w:rPr>
                <w:rFonts w:ascii="Times New Roman" w:hAnsi="Times New Roman"/>
                <w:b w:val="0"/>
                <w:sz w:val="20"/>
              </w:rPr>
            </w:pPr>
            <w:r>
              <w:rPr>
                <w:rFonts w:ascii="Times New Roman" w:hAnsi="Times New Roman"/>
                <w:b w:val="0"/>
                <w:sz w:val="20"/>
              </w:rPr>
              <w:t>7</w:t>
            </w:r>
          </w:p>
        </w:tc>
        <w:tc>
          <w:tcPr>
            <w:tcW w:w="956" w:type="dxa"/>
            <w:tcBorders>
              <w:top w:val="single" w:sz="4" w:space="0" w:color="auto"/>
              <w:left w:val="single" w:sz="4" w:space="0" w:color="auto"/>
              <w:bottom w:val="single" w:sz="4" w:space="0" w:color="auto"/>
              <w:right w:val="single" w:sz="4" w:space="0" w:color="auto"/>
            </w:tcBorders>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0,28</w:t>
            </w:r>
          </w:p>
        </w:tc>
      </w:tr>
      <w:tr w:rsidR="00517711">
        <w:trPr>
          <w:trHeight w:val="433"/>
        </w:trPr>
        <w:tc>
          <w:tcPr>
            <w:tcW w:w="6062" w:type="dxa"/>
            <w:gridSpan w:val="3"/>
            <w:tcBorders>
              <w:top w:val="single" w:sz="4" w:space="0" w:color="auto"/>
              <w:left w:val="single" w:sz="4" w:space="0" w:color="auto"/>
              <w:bottom w:val="single" w:sz="4" w:space="0" w:color="auto"/>
              <w:right w:val="single" w:sz="4" w:space="0" w:color="auto"/>
            </w:tcBorders>
          </w:tcPr>
          <w:p w:rsidR="00517711" w:rsidRDefault="00F815BE">
            <w:pPr>
              <w:jc w:val="center"/>
              <w:rPr>
                <w:rFonts w:ascii="Times New Roman" w:hAnsi="Times New Roman" w:cs="Times New Roman"/>
                <w:bCs/>
                <w:iCs/>
                <w:sz w:val="20"/>
                <w:szCs w:val="20"/>
              </w:rPr>
            </w:pPr>
            <w:r>
              <w:rPr>
                <w:rFonts w:ascii="Times New Roman" w:hAnsi="Times New Roman" w:cs="Times New Roman"/>
                <w:bCs/>
                <w:iCs/>
                <w:sz w:val="20"/>
                <w:szCs w:val="20"/>
              </w:rPr>
              <w:t>Итого:  ПЗИП, балл.</w:t>
            </w:r>
          </w:p>
        </w:tc>
        <w:tc>
          <w:tcPr>
            <w:tcW w:w="1701" w:type="dxa"/>
            <w:gridSpan w:val="2"/>
            <w:tcBorders>
              <w:top w:val="single" w:sz="4" w:space="0" w:color="auto"/>
              <w:left w:val="single" w:sz="4" w:space="0" w:color="auto"/>
              <w:bottom w:val="single" w:sz="4" w:space="0" w:color="auto"/>
              <w:right w:val="single" w:sz="4" w:space="0" w:color="auto"/>
            </w:tcBorders>
          </w:tcPr>
          <w:p w:rsidR="00517711" w:rsidRDefault="00F815BE">
            <w:pPr>
              <w:jc w:val="center"/>
              <w:rPr>
                <w:rFonts w:ascii="Times New Roman" w:hAnsi="Times New Roman" w:cs="Times New Roman"/>
                <w:color w:val="000000"/>
                <w:sz w:val="20"/>
                <w:szCs w:val="20"/>
              </w:rPr>
            </w:pPr>
            <w:r>
              <w:rPr>
                <w:rFonts w:ascii="Times New Roman" w:hAnsi="Times New Roman" w:cs="Times New Roman"/>
                <w:bCs/>
                <w:iCs/>
                <w:sz w:val="20"/>
                <w:szCs w:val="20"/>
              </w:rPr>
              <w:t>∑</w:t>
            </w:r>
            <w:r>
              <w:rPr>
                <w:rFonts w:ascii="Times New Roman" w:hAnsi="Times New Roman" w:cs="Times New Roman"/>
                <w:b/>
                <w:bCs/>
                <w:iCs/>
                <w:sz w:val="20"/>
                <w:szCs w:val="20"/>
              </w:rPr>
              <w:t>К</w:t>
            </w:r>
            <w:r>
              <w:rPr>
                <w:rFonts w:ascii="Times New Roman" w:hAnsi="Times New Roman" w:cs="Times New Roman"/>
                <w:b/>
                <w:bCs/>
                <w:iCs/>
                <w:sz w:val="20"/>
                <w:szCs w:val="20"/>
                <w:lang w:val="en-US"/>
              </w:rPr>
              <w:t>i</w:t>
            </w:r>
            <w:r>
              <w:rPr>
                <w:rFonts w:ascii="Times New Roman" w:hAnsi="Times New Roman" w:cs="Times New Roman"/>
                <w:b/>
                <w:bCs/>
                <w:iCs/>
                <w:sz w:val="20"/>
                <w:szCs w:val="20"/>
              </w:rPr>
              <w:t xml:space="preserve"> × П</w:t>
            </w:r>
            <w:r>
              <w:rPr>
                <w:rFonts w:ascii="Times New Roman" w:hAnsi="Times New Roman" w:cs="Times New Roman"/>
                <w:b/>
                <w:bCs/>
                <w:iCs/>
                <w:sz w:val="20"/>
                <w:szCs w:val="20"/>
                <w:lang w:val="en-US"/>
              </w:rPr>
              <w:t>i</w:t>
            </w:r>
            <w:r>
              <w:rPr>
                <w:rFonts w:ascii="Times New Roman" w:hAnsi="Times New Roman" w:cs="Times New Roman"/>
                <w:b/>
                <w:bCs/>
                <w:iCs/>
                <w:sz w:val="20"/>
                <w:szCs w:val="20"/>
                <w:lang w:val="en-AU"/>
              </w:rPr>
              <w:t xml:space="preserve"> </w:t>
            </w:r>
            <w:r>
              <w:rPr>
                <w:rFonts w:ascii="Times New Roman" w:hAnsi="Times New Roman" w:cs="Times New Roman"/>
                <w:b/>
                <w:bCs/>
                <w:iCs/>
                <w:sz w:val="20"/>
                <w:szCs w:val="20"/>
              </w:rPr>
              <w:t xml:space="preserve">= </w:t>
            </w:r>
            <w:r>
              <w:rPr>
                <w:rFonts w:ascii="Times New Roman" w:hAnsi="Times New Roman" w:cs="Times New Roman"/>
                <w:sz w:val="20"/>
                <w:szCs w:val="20"/>
              </w:rPr>
              <w:t>6,01</w:t>
            </w:r>
          </w:p>
        </w:tc>
        <w:tc>
          <w:tcPr>
            <w:tcW w:w="1665" w:type="dxa"/>
            <w:gridSpan w:val="2"/>
            <w:tcBorders>
              <w:top w:val="single" w:sz="4" w:space="0" w:color="auto"/>
              <w:left w:val="single" w:sz="4" w:space="0" w:color="auto"/>
              <w:bottom w:val="single" w:sz="4" w:space="0" w:color="auto"/>
              <w:right w:val="single" w:sz="4" w:space="0" w:color="auto"/>
            </w:tcBorders>
          </w:tcPr>
          <w:p w:rsidR="00517711" w:rsidRDefault="00F815BE">
            <w:pPr>
              <w:jc w:val="center"/>
              <w:rPr>
                <w:rFonts w:ascii="Times New Roman" w:hAnsi="Times New Roman" w:cs="Times New Roman"/>
                <w:color w:val="000000"/>
                <w:sz w:val="20"/>
                <w:szCs w:val="20"/>
              </w:rPr>
            </w:pPr>
            <w:r>
              <w:rPr>
                <w:rFonts w:ascii="Times New Roman" w:hAnsi="Times New Roman" w:cs="Times New Roman"/>
                <w:bCs/>
                <w:iCs/>
                <w:sz w:val="20"/>
                <w:szCs w:val="20"/>
              </w:rPr>
              <w:t>∑</w:t>
            </w:r>
            <w:r>
              <w:rPr>
                <w:rFonts w:ascii="Times New Roman" w:hAnsi="Times New Roman" w:cs="Times New Roman"/>
                <w:b/>
                <w:bCs/>
                <w:iCs/>
                <w:sz w:val="20"/>
                <w:szCs w:val="20"/>
              </w:rPr>
              <w:t>К</w:t>
            </w:r>
            <w:r>
              <w:rPr>
                <w:rFonts w:ascii="Times New Roman" w:hAnsi="Times New Roman" w:cs="Times New Roman"/>
                <w:b/>
                <w:bCs/>
                <w:iCs/>
                <w:sz w:val="20"/>
                <w:szCs w:val="20"/>
                <w:lang w:val="en-US"/>
              </w:rPr>
              <w:t>i</w:t>
            </w:r>
            <w:r>
              <w:rPr>
                <w:rFonts w:ascii="Times New Roman" w:hAnsi="Times New Roman" w:cs="Times New Roman"/>
                <w:b/>
                <w:bCs/>
                <w:iCs/>
                <w:sz w:val="20"/>
                <w:szCs w:val="20"/>
              </w:rPr>
              <w:t xml:space="preserve"> × П</w:t>
            </w:r>
            <w:r>
              <w:rPr>
                <w:rFonts w:ascii="Times New Roman" w:hAnsi="Times New Roman" w:cs="Times New Roman"/>
                <w:b/>
                <w:bCs/>
                <w:iCs/>
                <w:sz w:val="20"/>
                <w:szCs w:val="20"/>
                <w:lang w:val="en-US"/>
              </w:rPr>
              <w:t>i</w:t>
            </w:r>
            <w:r>
              <w:rPr>
                <w:rFonts w:ascii="Times New Roman" w:hAnsi="Times New Roman" w:cs="Times New Roman"/>
                <w:b/>
                <w:bCs/>
                <w:iCs/>
                <w:sz w:val="20"/>
                <w:szCs w:val="20"/>
                <w:lang w:val="en-AU"/>
              </w:rPr>
              <w:t xml:space="preserve"> </w:t>
            </w:r>
            <w:r>
              <w:rPr>
                <w:rFonts w:ascii="Times New Roman" w:hAnsi="Times New Roman" w:cs="Times New Roman"/>
                <w:b/>
                <w:bCs/>
                <w:iCs/>
                <w:sz w:val="20"/>
                <w:szCs w:val="20"/>
              </w:rPr>
              <w:t xml:space="preserve">= </w:t>
            </w:r>
            <w:r>
              <w:rPr>
                <w:rFonts w:ascii="Times New Roman" w:hAnsi="Times New Roman" w:cs="Times New Roman"/>
                <w:sz w:val="20"/>
                <w:szCs w:val="20"/>
              </w:rPr>
              <w:t>5,17</w:t>
            </w:r>
          </w:p>
        </w:tc>
      </w:tr>
    </w:tbl>
    <w:p w:rsidR="00517711" w:rsidRDefault="00517711">
      <w:pPr>
        <w:jc w:val="both"/>
        <w:rPr>
          <w:rFonts w:ascii="Times New Roman" w:hAnsi="Times New Roman" w:cs="Times New Roman"/>
          <w:b/>
          <w:sz w:val="20"/>
          <w:szCs w:val="20"/>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С учетом того, что цены </w:t>
      </w:r>
      <w:r>
        <w:rPr>
          <w:rFonts w:ascii="Times New Roman" w:hAnsi="Times New Roman" w:cs="Times New Roman"/>
          <w:sz w:val="20"/>
          <w:szCs w:val="20"/>
          <w:lang w:val="en-AU"/>
        </w:rPr>
        <w:t>Liugong</w:t>
      </w:r>
      <w:r>
        <w:rPr>
          <w:rFonts w:ascii="Times New Roman" w:hAnsi="Times New Roman" w:cs="Times New Roman"/>
          <w:sz w:val="20"/>
          <w:szCs w:val="20"/>
        </w:rPr>
        <w:t xml:space="preserve"> </w:t>
      </w:r>
      <w:r>
        <w:rPr>
          <w:rFonts w:ascii="Times New Roman" w:hAnsi="Times New Roman" w:cs="Times New Roman"/>
          <w:sz w:val="20"/>
          <w:szCs w:val="20"/>
          <w:lang w:val="en-AU"/>
        </w:rPr>
        <w:t>CLG</w:t>
      </w:r>
      <w:r>
        <w:rPr>
          <w:rFonts w:ascii="Times New Roman" w:hAnsi="Times New Roman" w:cs="Times New Roman"/>
          <w:sz w:val="20"/>
          <w:szCs w:val="20"/>
        </w:rPr>
        <w:t>836 (лидер рынка) и Амкодор 342 составляют 49 тыс.долл. и 74 тыс.долл. соответственно, показатели потребительной привлекательности сравниваемых погрузчиков равны: ППИП (А) = 6,01/49 = 0,12 балл./тыс. долл.;  ППИП (В)  5,17/74 = 0,07 балл./тыс.долл.</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Из расчетов видно, что потребительная привлекательность погрузчика </w:t>
      </w:r>
      <w:r>
        <w:rPr>
          <w:rFonts w:ascii="Times New Roman" w:hAnsi="Times New Roman" w:cs="Times New Roman"/>
          <w:sz w:val="20"/>
          <w:szCs w:val="20"/>
          <w:lang w:val="en-AU"/>
        </w:rPr>
        <w:t>Liugong</w:t>
      </w:r>
      <w:r>
        <w:rPr>
          <w:rFonts w:ascii="Times New Roman" w:hAnsi="Times New Roman" w:cs="Times New Roman"/>
          <w:sz w:val="20"/>
          <w:szCs w:val="20"/>
        </w:rPr>
        <w:t xml:space="preserve"> </w:t>
      </w:r>
      <w:r>
        <w:rPr>
          <w:rFonts w:ascii="Times New Roman" w:hAnsi="Times New Roman" w:cs="Times New Roman"/>
          <w:sz w:val="20"/>
          <w:szCs w:val="20"/>
          <w:lang w:val="en-AU"/>
        </w:rPr>
        <w:t>CLG</w:t>
      </w:r>
      <w:r>
        <w:rPr>
          <w:rFonts w:ascii="Times New Roman" w:hAnsi="Times New Roman" w:cs="Times New Roman"/>
          <w:sz w:val="20"/>
          <w:szCs w:val="20"/>
        </w:rPr>
        <w:t xml:space="preserve">836 превышает потребительную привлекательность погрузчика Амкодор 342 (КП = 0,12/0,07 = 1,7), из чего следует, что автопогрузчик </w:t>
      </w:r>
      <w:r>
        <w:rPr>
          <w:rFonts w:ascii="Times New Roman" w:hAnsi="Times New Roman" w:cs="Times New Roman"/>
          <w:sz w:val="20"/>
          <w:szCs w:val="20"/>
          <w:lang w:val="en-AU"/>
        </w:rPr>
        <w:t>Liugong</w:t>
      </w:r>
      <w:r>
        <w:rPr>
          <w:rFonts w:ascii="Times New Roman" w:hAnsi="Times New Roman" w:cs="Times New Roman"/>
          <w:sz w:val="20"/>
          <w:szCs w:val="20"/>
        </w:rPr>
        <w:t xml:space="preserve"> </w:t>
      </w:r>
      <w:r>
        <w:rPr>
          <w:rFonts w:ascii="Times New Roman" w:hAnsi="Times New Roman" w:cs="Times New Roman"/>
          <w:sz w:val="20"/>
          <w:szCs w:val="20"/>
          <w:lang w:val="en-AU"/>
        </w:rPr>
        <w:t>CLG</w:t>
      </w:r>
      <w:r>
        <w:rPr>
          <w:rFonts w:ascii="Times New Roman" w:hAnsi="Times New Roman" w:cs="Times New Roman"/>
          <w:sz w:val="20"/>
          <w:szCs w:val="20"/>
        </w:rPr>
        <w:t>836 является более конкурентоспособным.</w:t>
      </w: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sz w:val="20"/>
        </w:rPr>
        <w:lastRenderedPageBreak/>
        <w:t xml:space="preserve">На основании проведенной оценки конкурентоспособности продукции транспортного машиностроения разрабатываются мероприятия по управлению потребительной привлекательностью продукции. Данная методика позволяет оперативно выявить «слабые» стороны предлагаемой продукции и своевременно предпринять меры, направленные на укрепление позиций на рынке.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Таким образом, предложенная автором методика оценки конкурентоспособности продукции предприятий транспортного машиностроения учитывает не только отраслевую специфику товара, но и специфику применения и эксплуатации, что позволяет получить более достоверные результаты. Объективная оценка конкурентоспособности крайне важна при осуществлении управления конкурентоспособностью продукции. </w:t>
      </w:r>
    </w:p>
    <w:p w:rsidR="00517711" w:rsidRDefault="00517711">
      <w:pPr>
        <w:pBdr>
          <w:bottom w:val="single" w:sz="12" w:space="1" w:color="auto"/>
        </w:pBdr>
        <w:jc w:val="both"/>
        <w:rPr>
          <w:rFonts w:ascii="Times New Roman" w:hAnsi="Times New Roman" w:cs="Times New Roman"/>
          <w:sz w:val="20"/>
          <w:szCs w:val="20"/>
        </w:rPr>
      </w:pPr>
    </w:p>
    <w:p w:rsidR="00517711" w:rsidRDefault="00517711">
      <w:pPr>
        <w:pStyle w:val="af"/>
        <w:spacing w:line="240" w:lineRule="auto"/>
        <w:ind w:firstLine="709"/>
        <w:jc w:val="both"/>
        <w:rPr>
          <w:rFonts w:ascii="Times New Roman" w:hAnsi="Times New Roman"/>
          <w:b w:val="0"/>
          <w:sz w:val="20"/>
        </w:rPr>
      </w:pPr>
    </w:p>
    <w:p w:rsidR="00517711" w:rsidRDefault="00F815BE">
      <w:pPr>
        <w:pStyle w:val="af"/>
        <w:numPr>
          <w:ilvl w:val="0"/>
          <w:numId w:val="1"/>
        </w:numPr>
        <w:spacing w:line="240" w:lineRule="auto"/>
        <w:ind w:left="0" w:firstLine="0"/>
        <w:jc w:val="both"/>
        <w:rPr>
          <w:rFonts w:ascii="Times New Roman" w:hAnsi="Times New Roman"/>
          <w:b w:val="0"/>
          <w:sz w:val="20"/>
        </w:rPr>
      </w:pPr>
      <w:r>
        <w:rPr>
          <w:rFonts w:ascii="Times New Roman" w:hAnsi="Times New Roman"/>
          <w:b w:val="0"/>
          <w:sz w:val="20"/>
        </w:rPr>
        <w:t>Исаев, А.А. Оценка конкурентоспособности продукции: методологический аспект // Территория новых возможностей. Вестник ВГУЭС. 2017. № 2. С. 83-89.</w:t>
      </w:r>
    </w:p>
    <w:p w:rsidR="00517711" w:rsidRDefault="00F815BE">
      <w:pPr>
        <w:pStyle w:val="af"/>
        <w:numPr>
          <w:ilvl w:val="0"/>
          <w:numId w:val="1"/>
        </w:numPr>
        <w:spacing w:line="240" w:lineRule="auto"/>
        <w:ind w:left="0" w:firstLine="0"/>
        <w:jc w:val="both"/>
        <w:rPr>
          <w:rFonts w:ascii="Times New Roman" w:hAnsi="Times New Roman"/>
          <w:b w:val="0"/>
          <w:sz w:val="20"/>
        </w:rPr>
      </w:pPr>
      <w:r>
        <w:rPr>
          <w:rFonts w:ascii="Times New Roman" w:hAnsi="Times New Roman"/>
          <w:b w:val="0"/>
          <w:color w:val="000000"/>
          <w:sz w:val="20"/>
          <w:shd w:val="clear" w:color="auto" w:fill="FFFFFF"/>
        </w:rPr>
        <w:t>Исаев, А.А. Принятия решения о покупке: эмоциональный аспект // Практический маркетинг. – 2015. - № 5. -  С. 3-6.</w:t>
      </w:r>
    </w:p>
    <w:p w:rsidR="00517711" w:rsidRDefault="00F815BE">
      <w:pPr>
        <w:pStyle w:val="af"/>
        <w:numPr>
          <w:ilvl w:val="0"/>
          <w:numId w:val="1"/>
        </w:numPr>
        <w:spacing w:line="240" w:lineRule="auto"/>
        <w:ind w:left="0" w:firstLine="0"/>
        <w:jc w:val="both"/>
        <w:rPr>
          <w:rFonts w:ascii="Times New Roman" w:hAnsi="Times New Roman"/>
          <w:b w:val="0"/>
          <w:sz w:val="20"/>
        </w:rPr>
      </w:pPr>
      <w:r>
        <w:rPr>
          <w:rFonts w:ascii="Times New Roman" w:hAnsi="Times New Roman"/>
          <w:b w:val="0"/>
          <w:color w:val="000000"/>
          <w:sz w:val="20"/>
          <w:shd w:val="clear" w:color="auto" w:fill="FFFFFF"/>
        </w:rPr>
        <w:t>Исаев, А.А. Психология биоробота /А.А. Исаев. – М.: Директ-Медиа, 2014. – 86 с.</w:t>
      </w:r>
    </w:p>
    <w:p w:rsidR="00517711" w:rsidRDefault="00F815BE">
      <w:pPr>
        <w:pStyle w:val="af"/>
        <w:numPr>
          <w:ilvl w:val="0"/>
          <w:numId w:val="1"/>
        </w:numPr>
        <w:spacing w:line="240" w:lineRule="auto"/>
        <w:ind w:left="0" w:firstLine="0"/>
        <w:jc w:val="both"/>
        <w:rPr>
          <w:rFonts w:ascii="Times New Roman" w:hAnsi="Times New Roman"/>
          <w:b w:val="0"/>
          <w:sz w:val="20"/>
        </w:rPr>
      </w:pPr>
      <w:r>
        <w:rPr>
          <w:rFonts w:ascii="Times New Roman" w:hAnsi="Times New Roman"/>
          <w:b w:val="0"/>
          <w:color w:val="000000"/>
          <w:sz w:val="20"/>
        </w:rPr>
        <w:t xml:space="preserve">Левинсон Алексей , Стучевская Ольга Фокус-группы: эволюция метода (обзор дискуссии на конференции ESOMAR) // Мониторинг. 2003. №1. </w:t>
      </w:r>
      <w:r>
        <w:rPr>
          <w:rStyle w:val="fontstyle01"/>
          <w:rFonts w:ascii="Times New Roman" w:hAnsi="Times New Roman"/>
          <w:b w:val="0"/>
          <w:sz w:val="20"/>
          <w:szCs w:val="20"/>
        </w:rPr>
        <w:t>[Электронный ресурс]. - Режим доступа</w:t>
      </w:r>
      <w:r>
        <w:rPr>
          <w:rFonts w:ascii="Times New Roman" w:hAnsi="Times New Roman"/>
          <w:b w:val="0"/>
          <w:color w:val="000000"/>
          <w:sz w:val="20"/>
        </w:rPr>
        <w:t>: https://cyberleninka.ru/article/n/fokus-gruppy-evolyutsiya-metoda-obzor-diskussii-na-konferentsii-esomar (дата обращения: 20.03.2018). </w:t>
      </w:r>
    </w:p>
    <w:p w:rsidR="00517711" w:rsidRDefault="00F815BE">
      <w:pPr>
        <w:pStyle w:val="af"/>
        <w:numPr>
          <w:ilvl w:val="0"/>
          <w:numId w:val="1"/>
        </w:numPr>
        <w:spacing w:line="240" w:lineRule="auto"/>
        <w:ind w:left="0" w:firstLine="0"/>
        <w:jc w:val="both"/>
        <w:rPr>
          <w:rFonts w:ascii="Times New Roman" w:hAnsi="Times New Roman"/>
          <w:b w:val="0"/>
          <w:sz w:val="20"/>
        </w:rPr>
      </w:pPr>
      <w:r>
        <w:rPr>
          <w:rFonts w:ascii="Times New Roman" w:hAnsi="Times New Roman"/>
          <w:b w:val="0"/>
          <w:sz w:val="20"/>
        </w:rPr>
        <w:t>Сокуренко, В.А. Факторы конкурентоспособности продукции предприятий транспортного машиностроения // Экономика и предпринимательство. 2017. №7.С.837-840</w:t>
      </w:r>
    </w:p>
    <w:p w:rsidR="00517711" w:rsidRDefault="00517711">
      <w:pPr>
        <w:pStyle w:val="af"/>
        <w:spacing w:line="240" w:lineRule="auto"/>
        <w:jc w:val="both"/>
        <w:rPr>
          <w:rFonts w:ascii="Times New Roman" w:hAnsi="Times New Roman"/>
          <w:b w:val="0"/>
          <w:sz w:val="24"/>
          <w:szCs w:val="24"/>
          <w:lang w:val="en-US"/>
        </w:rPr>
      </w:pPr>
    </w:p>
    <w:p w:rsidR="00517711" w:rsidRDefault="00517711">
      <w:pPr>
        <w:pStyle w:val="af"/>
        <w:spacing w:line="240" w:lineRule="auto"/>
        <w:jc w:val="both"/>
        <w:rPr>
          <w:rFonts w:ascii="Times New Roman" w:hAnsi="Times New Roman"/>
          <w:b w:val="0"/>
          <w:sz w:val="24"/>
          <w:szCs w:val="24"/>
        </w:rPr>
      </w:pPr>
    </w:p>
    <w:p w:rsidR="00517711" w:rsidRDefault="00F815BE">
      <w:pPr>
        <w:pStyle w:val="msonormalbullet1gif"/>
        <w:spacing w:before="0" w:beforeAutospacing="0" w:after="0" w:afterAutospacing="0"/>
        <w:rPr>
          <w:b/>
          <w:sz w:val="20"/>
        </w:rPr>
      </w:pPr>
      <w:r>
        <w:rPr>
          <w:b/>
          <w:sz w:val="20"/>
        </w:rPr>
        <w:t>Рубрика: Управление предприятиями. Организация производства, торговли и транспорта</w:t>
      </w:r>
    </w:p>
    <w:p w:rsidR="00517711" w:rsidRDefault="00517711">
      <w:pPr>
        <w:pStyle w:val="msonormalbullet1gif"/>
        <w:spacing w:before="0" w:beforeAutospacing="0" w:after="0" w:afterAutospacing="0"/>
        <w:rPr>
          <w:sz w:val="20"/>
        </w:rPr>
      </w:pPr>
    </w:p>
    <w:p w:rsidR="00517711" w:rsidRDefault="00F815BE">
      <w:pPr>
        <w:pStyle w:val="msonormalbullet1gif"/>
        <w:spacing w:before="0" w:beforeAutospacing="0" w:after="0" w:afterAutospacing="0"/>
        <w:rPr>
          <w:sz w:val="20"/>
        </w:rPr>
      </w:pPr>
      <w:r>
        <w:rPr>
          <w:sz w:val="20"/>
        </w:rPr>
        <w:t>УДК 3977.65</w:t>
      </w:r>
    </w:p>
    <w:p w:rsidR="00517711" w:rsidRDefault="00517711">
      <w:pPr>
        <w:pStyle w:val="msonormalbullet1gif"/>
        <w:spacing w:before="0" w:beforeAutospacing="0" w:after="0" w:afterAutospacing="0"/>
      </w:pPr>
    </w:p>
    <w:p w:rsidR="00517711" w:rsidRDefault="00F815BE">
      <w:pPr>
        <w:pStyle w:val="msonormalbullet1gif"/>
        <w:spacing w:before="0" w:beforeAutospacing="0" w:after="0" w:afterAutospacing="0"/>
        <w:jc w:val="center"/>
        <w:rPr>
          <w:rFonts w:ascii="Book Antiqua" w:hAnsi="Book Antiqua"/>
          <w:b/>
          <w:sz w:val="26"/>
          <w:szCs w:val="26"/>
        </w:rPr>
      </w:pPr>
      <w:r>
        <w:rPr>
          <w:rFonts w:ascii="Book Antiqua" w:hAnsi="Book Antiqua"/>
          <w:b/>
          <w:sz w:val="26"/>
          <w:szCs w:val="26"/>
        </w:rPr>
        <w:t xml:space="preserve">ПРОБЛЕМА КЛАССИФИКАЦИИ МУЖСКОЙ ОДЕЖДЫ </w:t>
      </w:r>
    </w:p>
    <w:p w:rsidR="00517711" w:rsidRDefault="00517711">
      <w:pPr>
        <w:pStyle w:val="msonormalbullet1gif"/>
        <w:spacing w:before="0" w:beforeAutospacing="0" w:after="0" w:afterAutospacing="0"/>
      </w:pPr>
    </w:p>
    <w:p w:rsidR="00517711" w:rsidRDefault="00F815BE">
      <w:pPr>
        <w:pStyle w:val="msonormalbullet1gif"/>
        <w:spacing w:before="0" w:beforeAutospacing="0" w:after="0" w:afterAutospacing="0"/>
        <w:jc w:val="center"/>
        <w:rPr>
          <w:rFonts w:ascii="Arial" w:hAnsi="Arial" w:cs="Arial"/>
          <w:b/>
        </w:rPr>
      </w:pPr>
      <w:r>
        <w:rPr>
          <w:rFonts w:ascii="Arial" w:hAnsi="Arial" w:cs="Arial"/>
          <w:b/>
        </w:rPr>
        <w:t>Трапезникова Елена Михайловна,</w:t>
      </w:r>
    </w:p>
    <w:p w:rsidR="00517711" w:rsidRDefault="00F815BE">
      <w:pPr>
        <w:pStyle w:val="msonormalbullet1gif"/>
        <w:spacing w:before="0" w:beforeAutospacing="0" w:after="0" w:afterAutospacing="0"/>
        <w:jc w:val="center"/>
        <w:rPr>
          <w:rFonts w:ascii="Arial" w:hAnsi="Arial" w:cs="Arial"/>
        </w:rPr>
      </w:pPr>
      <w:r>
        <w:rPr>
          <w:rFonts w:ascii="Arial" w:hAnsi="Arial" w:cs="Arial"/>
        </w:rPr>
        <w:t>Бакалавр 4 курса, кафедры международного маркетинга и торговли</w:t>
      </w:r>
    </w:p>
    <w:p w:rsidR="00517711" w:rsidRDefault="00517711">
      <w:pPr>
        <w:pStyle w:val="msonormalbullet1gif"/>
        <w:spacing w:before="0" w:beforeAutospacing="0" w:after="0" w:afterAutospacing="0"/>
        <w:jc w:val="center"/>
        <w:rPr>
          <w:i/>
        </w:rPr>
      </w:pP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Владивостокский государственный университет экономики и сервиса</w:t>
      </w:r>
    </w:p>
    <w:p w:rsidR="00517711" w:rsidRPr="00D6563D" w:rsidRDefault="00F815BE">
      <w:pPr>
        <w:spacing w:after="0" w:line="240" w:lineRule="auto"/>
        <w:jc w:val="center"/>
        <w:rPr>
          <w:rFonts w:ascii="Times New Roman" w:eastAsia="Calibri" w:hAnsi="Times New Roman" w:cs="Times New Roman"/>
          <w:i/>
          <w:sz w:val="21"/>
          <w:szCs w:val="21"/>
        </w:rPr>
      </w:pPr>
      <w:r w:rsidRPr="00D6563D">
        <w:rPr>
          <w:rFonts w:ascii="Times New Roman" w:eastAsia="Calibri" w:hAnsi="Times New Roman" w:cs="Times New Roman"/>
          <w:i/>
          <w:sz w:val="21"/>
          <w:szCs w:val="21"/>
        </w:rPr>
        <w:t>Россия. Владивосток</w:t>
      </w:r>
    </w:p>
    <w:p w:rsidR="00517711" w:rsidRDefault="00517711">
      <w:pPr>
        <w:pStyle w:val="msonormalbullet1gif"/>
        <w:spacing w:before="0" w:beforeAutospacing="0" w:after="0" w:afterAutospacing="0"/>
        <w:jc w:val="center"/>
      </w:pPr>
    </w:p>
    <w:p w:rsidR="00517711" w:rsidRPr="00D6563D" w:rsidRDefault="00F815BE">
      <w:pPr>
        <w:pStyle w:val="msonormalbullet1gif"/>
        <w:spacing w:before="0" w:beforeAutospacing="0" w:after="0" w:afterAutospacing="0"/>
        <w:jc w:val="center"/>
        <w:rPr>
          <w:sz w:val="20"/>
        </w:rPr>
      </w:pPr>
      <w:r>
        <w:rPr>
          <w:sz w:val="20"/>
          <w:lang w:val="en-US"/>
        </w:rPr>
        <w:t>E</w:t>
      </w:r>
      <w:r w:rsidRPr="00D6563D">
        <w:rPr>
          <w:sz w:val="20"/>
        </w:rPr>
        <w:t>-</w:t>
      </w:r>
      <w:r>
        <w:rPr>
          <w:sz w:val="20"/>
          <w:lang w:val="en-US"/>
        </w:rPr>
        <w:t>mail</w:t>
      </w:r>
      <w:r w:rsidRPr="00D6563D">
        <w:rPr>
          <w:sz w:val="20"/>
        </w:rPr>
        <w:t xml:space="preserve">: </w:t>
      </w:r>
      <w:hyperlink r:id="rId17" w:history="1">
        <w:r>
          <w:rPr>
            <w:rStyle w:val="aa"/>
            <w:color w:val="000000" w:themeColor="text1"/>
            <w:sz w:val="20"/>
            <w:lang w:val="en-US"/>
          </w:rPr>
          <w:t>minyaylova</w:t>
        </w:r>
        <w:r w:rsidRPr="00D6563D">
          <w:rPr>
            <w:rStyle w:val="aa"/>
            <w:color w:val="000000" w:themeColor="text1"/>
            <w:sz w:val="20"/>
          </w:rPr>
          <w:t>96@</w:t>
        </w:r>
        <w:r>
          <w:rPr>
            <w:rStyle w:val="aa"/>
            <w:color w:val="000000" w:themeColor="text1"/>
            <w:sz w:val="20"/>
            <w:lang w:val="en-US"/>
          </w:rPr>
          <w:t>mail</w:t>
        </w:r>
        <w:r w:rsidRPr="00D6563D">
          <w:rPr>
            <w:rStyle w:val="aa"/>
            <w:color w:val="000000" w:themeColor="text1"/>
            <w:sz w:val="20"/>
          </w:rPr>
          <w:t>.</w:t>
        </w:r>
        <w:r>
          <w:rPr>
            <w:rStyle w:val="aa"/>
            <w:color w:val="000000" w:themeColor="text1"/>
            <w:sz w:val="20"/>
            <w:lang w:val="en-US"/>
          </w:rPr>
          <w:t>ru</w:t>
        </w:r>
      </w:hyperlink>
      <w:r w:rsidRPr="00D6563D">
        <w:rPr>
          <w:color w:val="000000" w:themeColor="text1"/>
          <w:sz w:val="20"/>
        </w:rPr>
        <w:t xml:space="preserve">; </w:t>
      </w:r>
      <w:r>
        <w:rPr>
          <w:sz w:val="20"/>
        </w:rPr>
        <w:t>тел</w:t>
      </w:r>
      <w:r w:rsidRPr="00D6563D">
        <w:rPr>
          <w:sz w:val="20"/>
        </w:rPr>
        <w:t>.: +79149614415</w:t>
      </w:r>
    </w:p>
    <w:p w:rsidR="00517711" w:rsidRDefault="00F815BE">
      <w:pPr>
        <w:pStyle w:val="msonormalbullet1gif"/>
        <w:spacing w:before="0" w:beforeAutospacing="0" w:after="0" w:afterAutospacing="0"/>
        <w:jc w:val="center"/>
        <w:rPr>
          <w:sz w:val="20"/>
        </w:rPr>
      </w:pPr>
      <w:r>
        <w:rPr>
          <w:sz w:val="20"/>
        </w:rPr>
        <w:t>ул. Гоголя, 41, г. Владивосток, Приморский край, Россия, 690014</w:t>
      </w:r>
    </w:p>
    <w:p w:rsidR="00517711" w:rsidRDefault="00517711">
      <w:pPr>
        <w:pStyle w:val="msonormalbullet1gif"/>
        <w:spacing w:before="0" w:beforeAutospacing="0" w:after="0" w:afterAutospacing="0"/>
        <w:jc w:val="center"/>
      </w:pPr>
    </w:p>
    <w:p w:rsidR="00517711" w:rsidRDefault="00F815BE">
      <w:pPr>
        <w:pStyle w:val="msonormalbullet1gif"/>
        <w:spacing w:before="0" w:beforeAutospacing="0" w:after="0" w:afterAutospacing="0"/>
        <w:jc w:val="center"/>
        <w:rPr>
          <w:rFonts w:ascii="Arial" w:hAnsi="Arial" w:cs="Arial"/>
          <w:b/>
        </w:rPr>
      </w:pPr>
      <w:r>
        <w:rPr>
          <w:rFonts w:ascii="Arial" w:hAnsi="Arial" w:cs="Arial"/>
          <w:b/>
        </w:rPr>
        <w:t>Степулева Людмила Федоровна,</w:t>
      </w:r>
    </w:p>
    <w:p w:rsidR="00517711" w:rsidRDefault="00F815BE">
      <w:pPr>
        <w:pStyle w:val="msonormalbullet1gif"/>
        <w:spacing w:before="0" w:beforeAutospacing="0" w:after="0" w:afterAutospacing="0"/>
        <w:jc w:val="center"/>
        <w:rPr>
          <w:rFonts w:ascii="Arial" w:hAnsi="Arial" w:cs="Arial"/>
        </w:rPr>
      </w:pPr>
      <w:r>
        <w:rPr>
          <w:rFonts w:ascii="Arial" w:hAnsi="Arial" w:cs="Arial"/>
        </w:rPr>
        <w:t xml:space="preserve">Руководитель, старший преподаватель </w:t>
      </w:r>
    </w:p>
    <w:p w:rsidR="00517711" w:rsidRDefault="00F815BE">
      <w:pPr>
        <w:pStyle w:val="msonormalbullet1gif"/>
        <w:spacing w:before="0" w:beforeAutospacing="0" w:after="0" w:afterAutospacing="0"/>
        <w:jc w:val="center"/>
      </w:pPr>
      <w:r>
        <w:rPr>
          <w:rFonts w:ascii="Arial" w:hAnsi="Arial" w:cs="Arial"/>
        </w:rPr>
        <w:t>кафедры международного маркетинга и торговли</w:t>
      </w:r>
    </w:p>
    <w:p w:rsidR="00517711" w:rsidRDefault="00517711">
      <w:pPr>
        <w:spacing w:after="0" w:line="240" w:lineRule="auto"/>
        <w:jc w:val="center"/>
        <w:rPr>
          <w:rFonts w:ascii="Times New Roman" w:eastAsia="Calibri" w:hAnsi="Times New Roman" w:cs="Times New Roman"/>
          <w:i/>
          <w:sz w:val="21"/>
          <w:szCs w:val="21"/>
        </w:rPr>
      </w:pP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Владивостокский государственный университет экономики и сервиса</w:t>
      </w:r>
    </w:p>
    <w:p w:rsidR="00517711" w:rsidRPr="00D6563D" w:rsidRDefault="00F815BE">
      <w:pPr>
        <w:spacing w:after="0" w:line="240" w:lineRule="auto"/>
        <w:jc w:val="center"/>
        <w:rPr>
          <w:rFonts w:ascii="Times New Roman" w:eastAsia="Calibri" w:hAnsi="Times New Roman" w:cs="Times New Roman"/>
          <w:i/>
          <w:sz w:val="21"/>
          <w:szCs w:val="21"/>
        </w:rPr>
      </w:pPr>
      <w:r w:rsidRPr="00D6563D">
        <w:rPr>
          <w:rFonts w:ascii="Times New Roman" w:eastAsia="Calibri" w:hAnsi="Times New Roman" w:cs="Times New Roman"/>
          <w:i/>
          <w:sz w:val="21"/>
          <w:szCs w:val="21"/>
        </w:rPr>
        <w:t>Россия. Владивосток</w:t>
      </w:r>
    </w:p>
    <w:p w:rsidR="00517711" w:rsidRDefault="00517711">
      <w:pPr>
        <w:pStyle w:val="msonormalbullet1gif"/>
        <w:spacing w:before="0" w:beforeAutospacing="0" w:after="0" w:afterAutospacing="0"/>
        <w:jc w:val="center"/>
        <w:rPr>
          <w:sz w:val="20"/>
        </w:rPr>
      </w:pPr>
    </w:p>
    <w:p w:rsidR="00517711" w:rsidRPr="00D6563D" w:rsidRDefault="00F815BE">
      <w:pPr>
        <w:pStyle w:val="msonormalbullet1gif"/>
        <w:spacing w:before="0" w:beforeAutospacing="0" w:after="0" w:afterAutospacing="0"/>
        <w:jc w:val="center"/>
        <w:rPr>
          <w:sz w:val="20"/>
        </w:rPr>
      </w:pPr>
      <w:r>
        <w:rPr>
          <w:sz w:val="20"/>
          <w:lang w:val="en-US"/>
        </w:rPr>
        <w:t>E</w:t>
      </w:r>
      <w:r w:rsidRPr="00D6563D">
        <w:rPr>
          <w:sz w:val="20"/>
        </w:rPr>
        <w:t>-</w:t>
      </w:r>
      <w:r>
        <w:rPr>
          <w:sz w:val="20"/>
          <w:lang w:val="en-US"/>
        </w:rPr>
        <w:t>mail</w:t>
      </w:r>
      <w:r w:rsidRPr="00D6563D">
        <w:rPr>
          <w:color w:val="000000" w:themeColor="text1"/>
          <w:sz w:val="20"/>
        </w:rPr>
        <w:t xml:space="preserve">: </w:t>
      </w:r>
      <w:hyperlink r:id="rId18" w:history="1">
        <w:r>
          <w:rPr>
            <w:rStyle w:val="aa"/>
            <w:color w:val="000000" w:themeColor="text1"/>
            <w:sz w:val="20"/>
            <w:lang w:val="en-US"/>
          </w:rPr>
          <w:t>step</w:t>
        </w:r>
        <w:r w:rsidRPr="00D6563D">
          <w:rPr>
            <w:rStyle w:val="aa"/>
            <w:color w:val="000000" w:themeColor="text1"/>
            <w:sz w:val="20"/>
          </w:rPr>
          <w:t>.</w:t>
        </w:r>
        <w:r>
          <w:rPr>
            <w:rStyle w:val="aa"/>
            <w:color w:val="000000" w:themeColor="text1"/>
            <w:sz w:val="20"/>
            <w:lang w:val="en-US"/>
          </w:rPr>
          <w:t>vl</w:t>
        </w:r>
        <w:r w:rsidRPr="00D6563D">
          <w:rPr>
            <w:rStyle w:val="aa"/>
            <w:color w:val="000000" w:themeColor="text1"/>
            <w:sz w:val="20"/>
          </w:rPr>
          <w:t>@</w:t>
        </w:r>
        <w:r>
          <w:rPr>
            <w:rStyle w:val="aa"/>
            <w:color w:val="000000" w:themeColor="text1"/>
            <w:sz w:val="20"/>
            <w:lang w:val="en-US"/>
          </w:rPr>
          <w:t>mail</w:t>
        </w:r>
        <w:r w:rsidRPr="00D6563D">
          <w:rPr>
            <w:rStyle w:val="aa"/>
            <w:color w:val="000000" w:themeColor="text1"/>
            <w:sz w:val="20"/>
          </w:rPr>
          <w:t>.</w:t>
        </w:r>
        <w:r>
          <w:rPr>
            <w:rStyle w:val="aa"/>
            <w:color w:val="000000" w:themeColor="text1"/>
            <w:sz w:val="20"/>
            <w:lang w:val="en-US"/>
          </w:rPr>
          <w:t>ru</w:t>
        </w:r>
      </w:hyperlink>
      <w:r w:rsidRPr="00D6563D">
        <w:rPr>
          <w:sz w:val="20"/>
        </w:rPr>
        <w:t xml:space="preserve">; </w:t>
      </w:r>
      <w:r>
        <w:rPr>
          <w:sz w:val="20"/>
        </w:rPr>
        <w:t>тел</w:t>
      </w:r>
      <w:r w:rsidRPr="00D6563D">
        <w:rPr>
          <w:sz w:val="20"/>
        </w:rPr>
        <w:t>.: +79143409315</w:t>
      </w:r>
    </w:p>
    <w:p w:rsidR="00517711" w:rsidRDefault="00F815BE">
      <w:pPr>
        <w:pStyle w:val="msonormalbullet1gif"/>
        <w:spacing w:before="0" w:beforeAutospacing="0" w:after="0" w:afterAutospacing="0"/>
        <w:jc w:val="center"/>
        <w:rPr>
          <w:sz w:val="20"/>
        </w:rPr>
      </w:pPr>
      <w:r>
        <w:rPr>
          <w:sz w:val="20"/>
        </w:rPr>
        <w:t>ул. Толстого, 41, г. Владивосток, Приморский край, Россия, 690014</w:t>
      </w:r>
    </w:p>
    <w:p w:rsidR="00517711" w:rsidRDefault="00517711">
      <w:pPr>
        <w:pStyle w:val="msonormalbullet1gif"/>
        <w:spacing w:before="0" w:beforeAutospacing="0" w:after="0" w:afterAutospacing="0"/>
        <w:ind w:firstLine="709"/>
        <w:jc w:val="both"/>
        <w:rPr>
          <w:i/>
        </w:rPr>
      </w:pPr>
    </w:p>
    <w:p w:rsidR="00517711" w:rsidRDefault="00F815BE">
      <w:pPr>
        <w:pStyle w:val="msonormalbullet2gif"/>
        <w:spacing w:before="0" w:beforeAutospacing="0" w:after="0" w:afterAutospacing="0"/>
        <w:ind w:firstLine="709"/>
        <w:jc w:val="both"/>
        <w:rPr>
          <w:i/>
          <w:sz w:val="22"/>
        </w:rPr>
      </w:pPr>
      <w:r>
        <w:rPr>
          <w:i/>
          <w:sz w:val="22"/>
        </w:rPr>
        <w:t>В современном русском языке наблюдается активный процесс количественного и качественного пополнения словарного состава, в частности тематической группы «одежда». Актуальность изучения данного вопроса обусловлена расширением ассортимента швейных изделий за счет появления новых способов покроя, обработки и технологий производства. Новомодные термины начинают вытеснять общепринятые, но не находят отражение в действующей нормативной базе.</w:t>
      </w:r>
    </w:p>
    <w:p w:rsidR="00517711" w:rsidRDefault="00F815BE">
      <w:pPr>
        <w:pStyle w:val="msonormalbullet1gif"/>
        <w:spacing w:before="0" w:beforeAutospacing="0" w:after="0" w:afterAutospacing="0"/>
        <w:ind w:firstLine="709"/>
        <w:jc w:val="both"/>
        <w:rPr>
          <w:i/>
          <w:sz w:val="22"/>
        </w:rPr>
      </w:pPr>
      <w:r>
        <w:rPr>
          <w:b/>
          <w:i/>
          <w:sz w:val="22"/>
        </w:rPr>
        <w:t>Ключевые слова и словосочетания:</w:t>
      </w:r>
      <w:r>
        <w:rPr>
          <w:i/>
          <w:sz w:val="22"/>
        </w:rPr>
        <w:t xml:space="preserve"> классификация, классификатор, швейные изделия, классификационные признаки, мужская одежда</w:t>
      </w:r>
    </w:p>
    <w:p w:rsidR="00517711" w:rsidRDefault="00517711">
      <w:pPr>
        <w:pStyle w:val="msonormalbullet1gif"/>
        <w:spacing w:before="0" w:beforeAutospacing="0" w:after="0" w:afterAutospacing="0"/>
        <w:ind w:firstLine="709"/>
        <w:jc w:val="both"/>
        <w:rPr>
          <w:b/>
        </w:rPr>
      </w:pPr>
    </w:p>
    <w:p w:rsidR="00517711" w:rsidRDefault="00F815BE">
      <w:pPr>
        <w:pStyle w:val="msonormalbullet1gif"/>
        <w:spacing w:before="0" w:beforeAutospacing="0" w:after="0" w:afterAutospacing="0"/>
        <w:ind w:firstLine="709"/>
        <w:jc w:val="center"/>
        <w:rPr>
          <w:rFonts w:ascii="Book Antiqua" w:hAnsi="Book Antiqua"/>
          <w:b/>
          <w:sz w:val="26"/>
          <w:szCs w:val="26"/>
          <w:lang w:val="en-US"/>
        </w:rPr>
      </w:pPr>
      <w:r>
        <w:rPr>
          <w:rFonts w:ascii="Book Antiqua" w:hAnsi="Book Antiqua"/>
          <w:b/>
          <w:sz w:val="26"/>
          <w:szCs w:val="26"/>
          <w:lang w:val="en-US"/>
        </w:rPr>
        <w:lastRenderedPageBreak/>
        <w:t>THE PROBLEM OF CLASSIFICATION OF GARMENTS</w:t>
      </w:r>
    </w:p>
    <w:p w:rsidR="00517711" w:rsidRDefault="00517711">
      <w:pPr>
        <w:pStyle w:val="msonormalbullet1gif"/>
        <w:spacing w:before="0" w:beforeAutospacing="0" w:after="0" w:afterAutospacing="0"/>
        <w:ind w:firstLine="709"/>
        <w:jc w:val="center"/>
        <w:rPr>
          <w:b/>
          <w:lang w:val="en-US"/>
        </w:rPr>
      </w:pPr>
    </w:p>
    <w:p w:rsidR="00517711" w:rsidRDefault="00F815BE">
      <w:pPr>
        <w:pStyle w:val="msonormalbullet2gif"/>
        <w:spacing w:before="0" w:beforeAutospacing="0" w:after="0" w:afterAutospacing="0"/>
        <w:ind w:firstLine="709"/>
        <w:jc w:val="both"/>
        <w:rPr>
          <w:i/>
          <w:sz w:val="22"/>
          <w:lang w:val="en-US"/>
        </w:rPr>
      </w:pPr>
      <w:r>
        <w:rPr>
          <w:i/>
          <w:sz w:val="22"/>
          <w:lang w:val="en-US"/>
        </w:rPr>
        <w:t>In the modern Russian language there is an active process of quantitative and qualitative replenishment of the vocabulary, in particular the thematic group «clothes». Relevance of studying of this question is caused by expansion of the range of garments due to emergence of new ways of cutting, processing and production technologies. Newfangled terms begin to displace conventional, but are not reflected in the current regulatory framework.</w:t>
      </w:r>
    </w:p>
    <w:p w:rsidR="00517711" w:rsidRDefault="00F815BE">
      <w:pPr>
        <w:pStyle w:val="msonormalbullet2gif"/>
        <w:spacing w:before="0" w:beforeAutospacing="0" w:after="0" w:afterAutospacing="0"/>
        <w:ind w:firstLine="709"/>
        <w:jc w:val="both"/>
        <w:rPr>
          <w:i/>
          <w:color w:val="000000"/>
          <w:sz w:val="22"/>
          <w:lang w:val="en-US"/>
        </w:rPr>
      </w:pPr>
      <w:r>
        <w:rPr>
          <w:b/>
          <w:i/>
          <w:color w:val="000000" w:themeColor="text1"/>
          <w:sz w:val="22"/>
          <w:shd w:val="clear" w:color="auto" w:fill="FFFFFF"/>
          <w:lang w:val="en-US"/>
        </w:rPr>
        <w:t>Key words:</w:t>
      </w:r>
      <w:r>
        <w:rPr>
          <w:i/>
          <w:color w:val="000000" w:themeColor="text1"/>
          <w:sz w:val="22"/>
          <w:shd w:val="clear" w:color="auto" w:fill="FFFFFF"/>
          <w:lang w:val="en-US"/>
        </w:rPr>
        <w:t xml:space="preserve"> classification, ways of a product, classification of signs, men's clothing</w:t>
      </w:r>
    </w:p>
    <w:p w:rsidR="00517711" w:rsidRDefault="00517711">
      <w:pPr>
        <w:pStyle w:val="msonormalbullet2gif"/>
        <w:spacing w:before="0" w:beforeAutospacing="0" w:after="0" w:afterAutospacing="0"/>
        <w:ind w:firstLine="709"/>
        <w:jc w:val="both"/>
        <w:rPr>
          <w:lang w:val="en-US"/>
        </w:rPr>
      </w:pPr>
    </w:p>
    <w:p w:rsidR="00517711" w:rsidRDefault="00F815BE">
      <w:pPr>
        <w:pStyle w:val="msonormalbullet2gif"/>
        <w:spacing w:before="0" w:beforeAutospacing="0" w:after="0" w:afterAutospacing="0"/>
        <w:ind w:firstLine="709"/>
        <w:jc w:val="both"/>
        <w:rPr>
          <w:sz w:val="20"/>
          <w:szCs w:val="20"/>
        </w:rPr>
      </w:pPr>
      <w:r>
        <w:rPr>
          <w:sz w:val="20"/>
          <w:szCs w:val="20"/>
        </w:rPr>
        <w:t>К швейным товарам относятся предметы одежды, постельное и столовое белье и другие изделия, изготовленные пошивом, склеиванием или свариванием [1].</w:t>
      </w:r>
    </w:p>
    <w:p w:rsidR="00517711" w:rsidRDefault="00F815BE">
      <w:pPr>
        <w:pStyle w:val="msonormalbullet2gif"/>
        <w:spacing w:before="0" w:beforeAutospacing="0" w:after="0" w:afterAutospacing="0"/>
        <w:ind w:firstLine="709"/>
        <w:jc w:val="both"/>
        <w:rPr>
          <w:sz w:val="20"/>
          <w:szCs w:val="20"/>
        </w:rPr>
      </w:pPr>
      <w:r>
        <w:rPr>
          <w:sz w:val="20"/>
          <w:szCs w:val="20"/>
        </w:rPr>
        <w:t>Одежду классифицируют по различным признакам: назначению, условиям эксплуатации, способу употребления, материалу, сезонности, полу и возрасту, размерным признакам, сложности обработки, видам, фасонам.</w:t>
      </w:r>
    </w:p>
    <w:p w:rsidR="00517711" w:rsidRDefault="00F815BE">
      <w:pPr>
        <w:pStyle w:val="msonormalbullet2gif"/>
        <w:spacing w:before="0" w:beforeAutospacing="0" w:after="0" w:afterAutospacing="0"/>
        <w:ind w:firstLine="709"/>
        <w:jc w:val="both"/>
        <w:rPr>
          <w:sz w:val="20"/>
          <w:szCs w:val="20"/>
        </w:rPr>
      </w:pPr>
      <w:r>
        <w:rPr>
          <w:sz w:val="20"/>
          <w:szCs w:val="20"/>
        </w:rPr>
        <w:t>Исследуя классификацию мужской одежды, представленную в ГОСТ 17037-85 «Изделия швейные и трикотажные. Термины и определения» можно увидеть отсутствие многих современных терминов, которые широко распространены в обиходе, средствах массовой информации, торговых предприятиях. Рассмотрим самые распространенные из таких терминов, которые не нашли отражения в вышеуказанной классификации:</w:t>
      </w:r>
    </w:p>
    <w:p w:rsidR="00517711" w:rsidRDefault="00F815BE">
      <w:pPr>
        <w:pStyle w:val="msonormalbullet2gif"/>
        <w:spacing w:before="0" w:beforeAutospacing="0" w:after="0" w:afterAutospacing="0"/>
        <w:ind w:firstLine="709"/>
        <w:jc w:val="both"/>
        <w:rPr>
          <w:sz w:val="20"/>
          <w:szCs w:val="20"/>
        </w:rPr>
      </w:pPr>
      <w:r>
        <w:rPr>
          <w:sz w:val="20"/>
          <w:szCs w:val="20"/>
        </w:rPr>
        <w:t xml:space="preserve">Парка - Швейная плечевая одежда с рукавами, разрезом или застежкой, с капюшоном, длиной до середины бедра, имеющая разнообразные утяжки-кулиски для регулирования размера и подгонки куртки под конкретного обладателя. </w:t>
      </w:r>
    </w:p>
    <w:p w:rsidR="00517711" w:rsidRDefault="00F815BE">
      <w:pPr>
        <w:pStyle w:val="msonormalbullet2gif"/>
        <w:spacing w:before="0" w:beforeAutospacing="0" w:after="0" w:afterAutospacing="0"/>
        <w:ind w:firstLine="709"/>
        <w:jc w:val="both"/>
        <w:rPr>
          <w:sz w:val="20"/>
          <w:szCs w:val="20"/>
        </w:rPr>
      </w:pPr>
      <w:r>
        <w:rPr>
          <w:sz w:val="20"/>
          <w:szCs w:val="20"/>
        </w:rPr>
        <w:t xml:space="preserve">Бомбер - Швейная плечевая одежда до пояса с рукавами, разрезом или застежкой, с трикотажным поясом и манжетами, без капюшона. </w:t>
      </w:r>
    </w:p>
    <w:p w:rsidR="00517711" w:rsidRDefault="00F815BE">
      <w:pPr>
        <w:pStyle w:val="msonormalbullet2gif"/>
        <w:spacing w:before="0" w:beforeAutospacing="0" w:after="0" w:afterAutospacing="0"/>
        <w:ind w:firstLine="709"/>
        <w:jc w:val="both"/>
        <w:rPr>
          <w:sz w:val="20"/>
          <w:szCs w:val="20"/>
        </w:rPr>
      </w:pPr>
      <w:r>
        <w:rPr>
          <w:sz w:val="20"/>
          <w:szCs w:val="20"/>
        </w:rPr>
        <w:t xml:space="preserve">Свитшот - или «толстовка». Это одежда из трикотажного полотна, надеваемая через голову, имеющая манжеты на рукавах и пояс. </w:t>
      </w:r>
    </w:p>
    <w:p w:rsidR="00517711" w:rsidRDefault="00F815BE">
      <w:pPr>
        <w:pStyle w:val="msonormalbullet2gif"/>
        <w:spacing w:before="0" w:beforeAutospacing="0" w:after="0" w:afterAutospacing="0"/>
        <w:ind w:firstLine="709"/>
        <w:jc w:val="both"/>
        <w:rPr>
          <w:sz w:val="20"/>
          <w:szCs w:val="20"/>
        </w:rPr>
      </w:pPr>
      <w:r>
        <w:rPr>
          <w:sz w:val="20"/>
          <w:szCs w:val="20"/>
        </w:rPr>
        <w:t xml:space="preserve">Кардиган - трикотажная плечевая одежда с рукавами, который застегивается впереди на пуговицы. </w:t>
      </w:r>
    </w:p>
    <w:p w:rsidR="00517711" w:rsidRDefault="00F815BE">
      <w:pPr>
        <w:pStyle w:val="msonormalbullet2gif"/>
        <w:spacing w:before="0" w:beforeAutospacing="0" w:after="0" w:afterAutospacing="0"/>
        <w:ind w:firstLine="709"/>
        <w:jc w:val="both"/>
        <w:rPr>
          <w:sz w:val="20"/>
          <w:szCs w:val="20"/>
        </w:rPr>
      </w:pPr>
      <w:r>
        <w:rPr>
          <w:sz w:val="20"/>
          <w:szCs w:val="20"/>
        </w:rPr>
        <w:t>Футболка - трикотажная плечевая одежда, покрывающая туловище частично или полностью, обычно, не имеющая пуговиц, воротника и карманов, с короткими рукавами.</w:t>
      </w:r>
    </w:p>
    <w:p w:rsidR="00517711" w:rsidRDefault="00F815BE">
      <w:pPr>
        <w:pStyle w:val="msonormalbullet2gif"/>
        <w:spacing w:before="0" w:beforeAutospacing="0" w:after="0" w:afterAutospacing="0"/>
        <w:ind w:firstLine="709"/>
        <w:jc w:val="both"/>
        <w:rPr>
          <w:sz w:val="20"/>
          <w:szCs w:val="20"/>
        </w:rPr>
      </w:pPr>
      <w:r>
        <w:rPr>
          <w:sz w:val="20"/>
          <w:szCs w:val="20"/>
        </w:rPr>
        <w:t>Лонгслив - футболка с длинным рукавом.</w:t>
      </w:r>
    </w:p>
    <w:p w:rsidR="00517711" w:rsidRDefault="00F815BE">
      <w:pPr>
        <w:pStyle w:val="msonormalbullet2gif"/>
        <w:spacing w:before="0" w:beforeAutospacing="0" w:after="0" w:afterAutospacing="0"/>
        <w:ind w:firstLine="709"/>
        <w:jc w:val="both"/>
        <w:rPr>
          <w:sz w:val="20"/>
          <w:szCs w:val="20"/>
        </w:rPr>
      </w:pPr>
      <w:r>
        <w:rPr>
          <w:sz w:val="20"/>
          <w:szCs w:val="20"/>
        </w:rPr>
        <w:t xml:space="preserve">Устойчивость использования приведенных терминов среди населения обусловлена их повсеместным употреблением. Пытаясь придать своему товару неординарность, зачастую коммерсанты заимствуют термины модных домов и известных дизайнеров, привлекая интерес потребителей. </w:t>
      </w:r>
    </w:p>
    <w:p w:rsidR="00517711" w:rsidRDefault="00F815BE">
      <w:pPr>
        <w:pStyle w:val="msonormalbullet2gif"/>
        <w:spacing w:before="0" w:beforeAutospacing="0" w:after="0" w:afterAutospacing="0"/>
        <w:ind w:firstLine="709"/>
        <w:jc w:val="both"/>
        <w:rPr>
          <w:sz w:val="20"/>
          <w:szCs w:val="20"/>
        </w:rPr>
      </w:pPr>
      <w:r>
        <w:rPr>
          <w:sz w:val="20"/>
          <w:szCs w:val="20"/>
        </w:rPr>
        <w:t>Разные сферы хозяйственной деятельности, опираясь на свою нормативную базу, используют разную классификацию одежды, в том числе мужской. Классификаторы разных сфер хозяйственной деятельности созданы для разных целей, поэтому в их основе лежат разные классификационные признаки.</w:t>
      </w:r>
    </w:p>
    <w:p w:rsidR="00517711" w:rsidRDefault="00F815BE">
      <w:pPr>
        <w:pStyle w:val="msonormalbullet2gif"/>
        <w:spacing w:before="0" w:beforeAutospacing="0" w:after="0" w:afterAutospacing="0"/>
        <w:ind w:firstLine="709"/>
        <w:jc w:val="both"/>
        <w:rPr>
          <w:sz w:val="20"/>
          <w:szCs w:val="20"/>
        </w:rPr>
      </w:pPr>
      <w:r>
        <w:rPr>
          <w:sz w:val="20"/>
          <w:szCs w:val="20"/>
        </w:rPr>
        <w:t xml:space="preserve">В ГОСТ 17037-85 такими явились следующие: конструктивные особенности изделий, опорная поверхность изделия, количество изделий в одежде, назначение, половозрастной признак. Основными классификационными критериями в общероссийском классификаторе внешней экономической деятельности (ОК ВЭД) можно выделить: назначение, тип производства, материал, количество изделий в одежде. В едином таможенном тарифе евразийского экономического союза (ЕТТ ЕАЭС) - назначение, способ изготовления, способ образования структуры материала, половозрастной признак, волокнистый и компонентный состав изделия. Технический регламент таможенного союза «О безопасности изделий легкой промышленности» опираясь на классификацию соответствующего ГОСТа, содержит такие классификационные признаки, как назначение и площадь контакта с телом человека. Торговая классификация используется при формировании ассортимента на предприятиях и учитывает такие признаки, как половозрастное деление, а внутри его - назначение, вид, разновидность, размерные признаки. Ассортиментный перечень наименований в розничном торговом предприятии Terranova, реализующая деятельность по продаже мужской одежды, построена на основе торговой классификации одежды и адаптирован для поддержания зарубежного имиджа магазина. </w:t>
      </w:r>
    </w:p>
    <w:p w:rsidR="00517711" w:rsidRDefault="00F815BE">
      <w:pPr>
        <w:pStyle w:val="msonormalbullet2gif"/>
        <w:spacing w:before="0" w:beforeAutospacing="0" w:after="0" w:afterAutospacing="0"/>
        <w:ind w:firstLine="709"/>
        <w:jc w:val="both"/>
        <w:rPr>
          <w:sz w:val="20"/>
          <w:szCs w:val="20"/>
        </w:rPr>
      </w:pPr>
      <w:r>
        <w:rPr>
          <w:sz w:val="20"/>
          <w:szCs w:val="20"/>
        </w:rPr>
        <w:t xml:space="preserve">В рамках данного вопроса была проведена сравнительная характеристика наименований на одни и те же товары в различных источниках, относящихся к различным сферам деятельности. Следует отметить, что в магазине Terranova мужские майки имеют наименование «топ», пальто - «жакеты», шорты - «брюки» а все шапки - «кепки», это последствие неграмотного перевода программой-переводчиком с итальянского языка на русский, работники не заостряют на этом внимания, надеясь на лояльность покупателей. Но в соответствии с законом «о защите прав потребителя», потребитель имеет право на достоверную информацию о товаре, поэтому администрации торгового предприятия, безусловно, стоит обратить на это внимание. Также подобные ситуации могут понизить имидж магазина в глазах покупателей, которые находят в своём чеке товар «который они не покупали» не подозревая о том, что кепкой была названа, купленная ими шапка. </w:t>
      </w:r>
    </w:p>
    <w:p w:rsidR="00517711" w:rsidRDefault="00F815BE">
      <w:pPr>
        <w:pStyle w:val="msonormalbullet2gif"/>
        <w:spacing w:before="0" w:beforeAutospacing="0" w:after="0" w:afterAutospacing="0"/>
        <w:jc w:val="right"/>
        <w:rPr>
          <w:i/>
          <w:sz w:val="20"/>
          <w:szCs w:val="20"/>
        </w:rPr>
      </w:pPr>
      <w:r>
        <w:rPr>
          <w:i/>
          <w:sz w:val="20"/>
          <w:szCs w:val="20"/>
        </w:rPr>
        <w:t>Таблица 1</w:t>
      </w:r>
    </w:p>
    <w:p w:rsidR="00517711" w:rsidRDefault="00F815BE">
      <w:pPr>
        <w:pStyle w:val="msonormalbullet2gif"/>
        <w:spacing w:before="0" w:beforeAutospacing="0" w:after="0" w:afterAutospacing="0"/>
        <w:jc w:val="center"/>
        <w:rPr>
          <w:b/>
          <w:sz w:val="20"/>
          <w:szCs w:val="20"/>
        </w:rPr>
      </w:pPr>
      <w:r>
        <w:rPr>
          <w:b/>
          <w:sz w:val="20"/>
          <w:szCs w:val="20"/>
        </w:rPr>
        <w:t>Сравнительная характеристика наименований товаров в различных источниках</w:t>
      </w:r>
    </w:p>
    <w:p w:rsidR="00517711" w:rsidRDefault="00517711">
      <w:pPr>
        <w:pStyle w:val="msonormalbullet2gif"/>
        <w:spacing w:before="0" w:beforeAutospacing="0" w:after="0" w:afterAutospacing="0"/>
        <w:jc w:val="center"/>
        <w:rPr>
          <w:b/>
          <w:sz w:val="20"/>
          <w:szCs w:val="20"/>
        </w:rPr>
      </w:pPr>
    </w:p>
    <w:tbl>
      <w:tblPr>
        <w:tblStyle w:val="af1"/>
        <w:tblW w:w="5000" w:type="pct"/>
        <w:tblLook w:val="04A0" w:firstRow="1" w:lastRow="0" w:firstColumn="1" w:lastColumn="0" w:noHBand="0" w:noVBand="1"/>
      </w:tblPr>
      <w:tblGrid>
        <w:gridCol w:w="2004"/>
        <w:gridCol w:w="1640"/>
        <w:gridCol w:w="1624"/>
        <w:gridCol w:w="1711"/>
        <w:gridCol w:w="1608"/>
        <w:gridCol w:w="1267"/>
      </w:tblGrid>
      <w:tr w:rsidR="00517711">
        <w:trPr>
          <w:trHeight w:val="454"/>
        </w:trPr>
        <w:tc>
          <w:tcPr>
            <w:tcW w:w="1017" w:type="pct"/>
          </w:tcPr>
          <w:p w:rsidR="00517711" w:rsidRDefault="00F815BE">
            <w:pPr>
              <w:pStyle w:val="formattext"/>
              <w:spacing w:before="0" w:beforeAutospacing="0" w:after="0" w:afterAutospacing="0"/>
              <w:rPr>
                <w:color w:val="000000"/>
                <w:sz w:val="20"/>
                <w:szCs w:val="20"/>
              </w:rPr>
            </w:pPr>
            <w:r>
              <w:rPr>
                <w:color w:val="000000" w:themeColor="text1"/>
                <w:sz w:val="20"/>
                <w:szCs w:val="20"/>
              </w:rPr>
              <w:lastRenderedPageBreak/>
              <w:t xml:space="preserve">             Вид </w:t>
            </w:r>
          </w:p>
          <w:p w:rsidR="00517711" w:rsidRDefault="00F815BE">
            <w:pPr>
              <w:pStyle w:val="formattext"/>
              <w:spacing w:before="0" w:beforeAutospacing="0" w:after="0" w:afterAutospacing="0"/>
              <w:rPr>
                <w:color w:val="000000"/>
                <w:sz w:val="20"/>
                <w:szCs w:val="20"/>
              </w:rPr>
            </w:pPr>
            <w:r>
              <w:rPr>
                <w:color w:val="000000" w:themeColor="text1"/>
                <w:sz w:val="20"/>
                <w:szCs w:val="20"/>
              </w:rPr>
              <w:t xml:space="preserve">Группа </w:t>
            </w:r>
          </w:p>
        </w:tc>
        <w:tc>
          <w:tcPr>
            <w:tcW w:w="832" w:type="pct"/>
            <w:tcBorders>
              <w:bottom w:val="single" w:sz="4" w:space="0" w:color="auto"/>
            </w:tcBorders>
          </w:tcPr>
          <w:p w:rsidR="00517711" w:rsidRDefault="00F815BE">
            <w:pPr>
              <w:pStyle w:val="formattext"/>
              <w:spacing w:before="0" w:beforeAutospacing="0" w:after="0" w:afterAutospacing="0"/>
              <w:jc w:val="center"/>
              <w:rPr>
                <w:color w:val="000000"/>
                <w:sz w:val="20"/>
                <w:szCs w:val="20"/>
              </w:rPr>
            </w:pPr>
            <w:r>
              <w:rPr>
                <w:color w:val="000000" w:themeColor="text1"/>
                <w:sz w:val="20"/>
                <w:szCs w:val="20"/>
              </w:rPr>
              <w:t>ГОСТ 17037-85</w:t>
            </w:r>
          </w:p>
        </w:tc>
        <w:tc>
          <w:tcPr>
            <w:tcW w:w="824" w:type="pct"/>
          </w:tcPr>
          <w:p w:rsidR="00517711" w:rsidRDefault="00F815BE">
            <w:pPr>
              <w:pStyle w:val="formattext"/>
              <w:spacing w:before="0" w:beforeAutospacing="0" w:after="0" w:afterAutospacing="0"/>
              <w:jc w:val="center"/>
              <w:rPr>
                <w:color w:val="000000"/>
                <w:sz w:val="20"/>
                <w:szCs w:val="20"/>
              </w:rPr>
            </w:pPr>
            <w:r>
              <w:rPr>
                <w:color w:val="000000" w:themeColor="text1"/>
                <w:sz w:val="20"/>
                <w:szCs w:val="20"/>
              </w:rPr>
              <w:t>ОК ВЭД</w:t>
            </w:r>
          </w:p>
        </w:tc>
        <w:tc>
          <w:tcPr>
            <w:tcW w:w="868" w:type="pct"/>
          </w:tcPr>
          <w:p w:rsidR="00517711" w:rsidRDefault="00F815BE">
            <w:pPr>
              <w:pStyle w:val="formattext"/>
              <w:spacing w:before="0" w:beforeAutospacing="0" w:after="0" w:afterAutospacing="0"/>
              <w:jc w:val="center"/>
              <w:rPr>
                <w:color w:val="000000"/>
                <w:sz w:val="20"/>
                <w:szCs w:val="20"/>
              </w:rPr>
            </w:pPr>
            <w:r>
              <w:rPr>
                <w:color w:val="000000" w:themeColor="text1"/>
                <w:sz w:val="20"/>
                <w:szCs w:val="20"/>
              </w:rPr>
              <w:t>ЕТТ ЕАЭС</w:t>
            </w:r>
          </w:p>
        </w:tc>
        <w:tc>
          <w:tcPr>
            <w:tcW w:w="816" w:type="pct"/>
          </w:tcPr>
          <w:p w:rsidR="00517711" w:rsidRDefault="00F815BE">
            <w:pPr>
              <w:pStyle w:val="formattext"/>
              <w:spacing w:before="0" w:beforeAutospacing="0" w:after="0" w:afterAutospacing="0"/>
              <w:jc w:val="center"/>
              <w:rPr>
                <w:color w:val="000000"/>
                <w:sz w:val="20"/>
                <w:szCs w:val="20"/>
              </w:rPr>
            </w:pPr>
            <w:r>
              <w:rPr>
                <w:color w:val="000000" w:themeColor="text1"/>
                <w:sz w:val="20"/>
                <w:szCs w:val="20"/>
                <w:lang w:val="en-US"/>
              </w:rPr>
              <w:t>Terranova</w:t>
            </w:r>
          </w:p>
        </w:tc>
        <w:tc>
          <w:tcPr>
            <w:tcW w:w="643" w:type="pct"/>
          </w:tcPr>
          <w:p w:rsidR="00517711" w:rsidRDefault="00F815BE">
            <w:pPr>
              <w:pStyle w:val="formattext"/>
              <w:spacing w:before="0" w:beforeAutospacing="0" w:after="0" w:afterAutospacing="0"/>
              <w:jc w:val="center"/>
              <w:rPr>
                <w:color w:val="000000"/>
                <w:sz w:val="20"/>
                <w:szCs w:val="20"/>
              </w:rPr>
            </w:pPr>
            <w:r>
              <w:rPr>
                <w:color w:val="000000" w:themeColor="text1"/>
                <w:sz w:val="20"/>
                <w:szCs w:val="20"/>
              </w:rPr>
              <w:t>ТР ТС 017-2011</w:t>
            </w:r>
          </w:p>
        </w:tc>
      </w:tr>
      <w:tr w:rsidR="00517711">
        <w:trPr>
          <w:trHeight w:val="454"/>
        </w:trPr>
        <w:tc>
          <w:tcPr>
            <w:tcW w:w="1017" w:type="pct"/>
            <w:vMerge w:val="restart"/>
          </w:tcPr>
          <w:p w:rsidR="00517711" w:rsidRDefault="00F815BE">
            <w:pPr>
              <w:pStyle w:val="formattext"/>
              <w:spacing w:before="0" w:beforeAutospacing="0" w:after="0" w:afterAutospacing="0"/>
              <w:rPr>
                <w:color w:val="000000"/>
                <w:sz w:val="20"/>
                <w:szCs w:val="20"/>
              </w:rPr>
            </w:pPr>
            <w:r>
              <w:rPr>
                <w:color w:val="000000" w:themeColor="text1"/>
                <w:sz w:val="20"/>
                <w:szCs w:val="20"/>
              </w:rPr>
              <w:t>Плечевая одежда</w:t>
            </w:r>
          </w:p>
        </w:tc>
        <w:tc>
          <w:tcPr>
            <w:tcW w:w="832"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Полупальто</w:t>
            </w:r>
          </w:p>
        </w:tc>
        <w:tc>
          <w:tcPr>
            <w:tcW w:w="824" w:type="pct"/>
            <w:tcBorders>
              <w:bottom w:val="single" w:sz="4" w:space="0" w:color="auto"/>
            </w:tcBorders>
          </w:tcPr>
          <w:p w:rsidR="00517711" w:rsidRDefault="00F815BE">
            <w:pPr>
              <w:rPr>
                <w:rFonts w:ascii="Times New Roman" w:hAnsi="Times New Roman" w:cs="Times New Roman"/>
                <w:sz w:val="20"/>
                <w:szCs w:val="20"/>
              </w:rPr>
            </w:pPr>
            <w:r>
              <w:rPr>
                <w:rFonts w:ascii="Times New Roman" w:hAnsi="Times New Roman" w:cs="Times New Roman"/>
                <w:sz w:val="20"/>
                <w:szCs w:val="20"/>
              </w:rPr>
              <w:t xml:space="preserve">Полупальто </w:t>
            </w:r>
          </w:p>
        </w:tc>
        <w:tc>
          <w:tcPr>
            <w:tcW w:w="868" w:type="pct"/>
            <w:tcBorders>
              <w:bottom w:val="single" w:sz="4" w:space="0" w:color="auto"/>
            </w:tcBorders>
          </w:tcPr>
          <w:p w:rsidR="00517711" w:rsidRDefault="00F815BE">
            <w:pPr>
              <w:rPr>
                <w:rFonts w:ascii="Times New Roman" w:hAnsi="Times New Roman" w:cs="Times New Roman"/>
                <w:sz w:val="20"/>
                <w:szCs w:val="20"/>
              </w:rPr>
            </w:pPr>
            <w:r>
              <w:rPr>
                <w:rFonts w:ascii="Times New Roman" w:hAnsi="Times New Roman" w:cs="Times New Roman"/>
                <w:sz w:val="20"/>
                <w:szCs w:val="20"/>
              </w:rPr>
              <w:t>Полупальто</w:t>
            </w:r>
          </w:p>
        </w:tc>
        <w:tc>
          <w:tcPr>
            <w:tcW w:w="816" w:type="pct"/>
            <w:tcBorders>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Жакет</w:t>
            </w:r>
          </w:p>
        </w:tc>
        <w:tc>
          <w:tcPr>
            <w:tcW w:w="643" w:type="pct"/>
            <w:tcBorders>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Пальто</w:t>
            </w:r>
          </w:p>
        </w:tc>
      </w:tr>
      <w:tr w:rsidR="00517711">
        <w:trPr>
          <w:trHeight w:val="454"/>
        </w:trPr>
        <w:tc>
          <w:tcPr>
            <w:tcW w:w="1017" w:type="pct"/>
            <w:vMerge/>
          </w:tcPr>
          <w:p w:rsidR="00517711" w:rsidRDefault="00517711">
            <w:pPr>
              <w:pStyle w:val="formattext"/>
              <w:spacing w:before="0" w:beforeAutospacing="0" w:after="0" w:afterAutospacing="0"/>
              <w:rPr>
                <w:color w:val="000000"/>
                <w:sz w:val="20"/>
                <w:szCs w:val="20"/>
              </w:rPr>
            </w:pPr>
          </w:p>
        </w:tc>
        <w:tc>
          <w:tcPr>
            <w:tcW w:w="832"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Куртка</w:t>
            </w:r>
          </w:p>
        </w:tc>
        <w:tc>
          <w:tcPr>
            <w:tcW w:w="824"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sz w:val="20"/>
                <w:szCs w:val="20"/>
              </w:rPr>
              <w:t>Куртка</w:t>
            </w:r>
          </w:p>
        </w:tc>
        <w:tc>
          <w:tcPr>
            <w:tcW w:w="868" w:type="pct"/>
            <w:tcBorders>
              <w:top w:val="single" w:sz="4" w:space="0" w:color="auto"/>
              <w:bottom w:val="single" w:sz="4" w:space="0" w:color="auto"/>
            </w:tcBorders>
          </w:tcPr>
          <w:p w:rsidR="00517711" w:rsidRDefault="00F815BE">
            <w:pPr>
              <w:rPr>
                <w:rFonts w:ascii="Times New Roman" w:hAnsi="Times New Roman" w:cs="Times New Roman"/>
                <w:sz w:val="20"/>
                <w:szCs w:val="20"/>
              </w:rPr>
            </w:pPr>
            <w:r>
              <w:rPr>
                <w:rFonts w:ascii="Times New Roman" w:hAnsi="Times New Roman" w:cs="Times New Roman"/>
                <w:sz w:val="20"/>
                <w:szCs w:val="20"/>
              </w:rPr>
              <w:t>Куртка</w:t>
            </w:r>
          </w:p>
        </w:tc>
        <w:tc>
          <w:tcPr>
            <w:tcW w:w="816"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Бомбер, Парка</w:t>
            </w:r>
          </w:p>
        </w:tc>
        <w:tc>
          <w:tcPr>
            <w:tcW w:w="643"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Куртка</w:t>
            </w:r>
          </w:p>
        </w:tc>
      </w:tr>
      <w:tr w:rsidR="00517711">
        <w:trPr>
          <w:trHeight w:val="454"/>
        </w:trPr>
        <w:tc>
          <w:tcPr>
            <w:tcW w:w="1017" w:type="pct"/>
            <w:vMerge/>
          </w:tcPr>
          <w:p w:rsidR="00517711" w:rsidRDefault="00517711">
            <w:pPr>
              <w:pStyle w:val="formattext"/>
              <w:spacing w:before="0" w:beforeAutospacing="0" w:after="0" w:afterAutospacing="0"/>
              <w:rPr>
                <w:color w:val="000000"/>
                <w:sz w:val="20"/>
                <w:szCs w:val="20"/>
              </w:rPr>
            </w:pPr>
          </w:p>
        </w:tc>
        <w:tc>
          <w:tcPr>
            <w:tcW w:w="832"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Джемпер</w:t>
            </w:r>
          </w:p>
        </w:tc>
        <w:tc>
          <w:tcPr>
            <w:tcW w:w="824" w:type="pct"/>
            <w:tcBorders>
              <w:top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Джемпер, Кардиган</w:t>
            </w:r>
          </w:p>
        </w:tc>
        <w:tc>
          <w:tcPr>
            <w:tcW w:w="868"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Джемпер,</w:t>
            </w:r>
          </w:p>
          <w:p w:rsidR="00517711" w:rsidRDefault="00F815BE">
            <w:pPr>
              <w:pStyle w:val="formattext"/>
              <w:spacing w:before="0" w:beforeAutospacing="0" w:after="0" w:afterAutospacing="0"/>
              <w:rPr>
                <w:color w:val="000000"/>
                <w:sz w:val="20"/>
                <w:szCs w:val="20"/>
              </w:rPr>
            </w:pPr>
            <w:r>
              <w:rPr>
                <w:color w:val="000000" w:themeColor="text1"/>
                <w:sz w:val="20"/>
                <w:szCs w:val="20"/>
              </w:rPr>
              <w:t xml:space="preserve">Кардиган </w:t>
            </w:r>
          </w:p>
        </w:tc>
        <w:tc>
          <w:tcPr>
            <w:tcW w:w="816"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Кардиган, Джемпер, Свитшот, Толстовка</w:t>
            </w:r>
          </w:p>
        </w:tc>
        <w:tc>
          <w:tcPr>
            <w:tcW w:w="643"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Джемпер, Пуловер</w:t>
            </w:r>
          </w:p>
        </w:tc>
      </w:tr>
      <w:tr w:rsidR="00517711">
        <w:trPr>
          <w:trHeight w:val="454"/>
        </w:trPr>
        <w:tc>
          <w:tcPr>
            <w:tcW w:w="1017" w:type="pct"/>
            <w:vMerge/>
          </w:tcPr>
          <w:p w:rsidR="00517711" w:rsidRDefault="00517711">
            <w:pPr>
              <w:pStyle w:val="formattext"/>
              <w:spacing w:before="0" w:beforeAutospacing="0" w:after="0" w:afterAutospacing="0"/>
              <w:rPr>
                <w:color w:val="000000"/>
                <w:sz w:val="20"/>
                <w:szCs w:val="20"/>
              </w:rPr>
            </w:pPr>
          </w:p>
        </w:tc>
        <w:tc>
          <w:tcPr>
            <w:tcW w:w="832"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Свитер</w:t>
            </w:r>
          </w:p>
        </w:tc>
        <w:tc>
          <w:tcPr>
            <w:tcW w:w="824" w:type="pct"/>
            <w:tcBorders>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Свитер</w:t>
            </w:r>
          </w:p>
        </w:tc>
        <w:tc>
          <w:tcPr>
            <w:tcW w:w="868"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Свитер</w:t>
            </w:r>
          </w:p>
        </w:tc>
        <w:tc>
          <w:tcPr>
            <w:tcW w:w="816"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 xml:space="preserve">Свитер </w:t>
            </w:r>
          </w:p>
        </w:tc>
        <w:tc>
          <w:tcPr>
            <w:tcW w:w="643"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Свитер</w:t>
            </w:r>
          </w:p>
        </w:tc>
      </w:tr>
      <w:tr w:rsidR="00517711">
        <w:trPr>
          <w:trHeight w:val="454"/>
        </w:trPr>
        <w:tc>
          <w:tcPr>
            <w:tcW w:w="1017" w:type="pct"/>
            <w:vMerge/>
          </w:tcPr>
          <w:p w:rsidR="00517711" w:rsidRDefault="00517711">
            <w:pPr>
              <w:pStyle w:val="formattext"/>
              <w:spacing w:before="0" w:beforeAutospacing="0" w:after="0" w:afterAutospacing="0"/>
              <w:rPr>
                <w:color w:val="000000"/>
                <w:sz w:val="20"/>
                <w:szCs w:val="20"/>
              </w:rPr>
            </w:pPr>
          </w:p>
        </w:tc>
        <w:tc>
          <w:tcPr>
            <w:tcW w:w="832"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Верхняя сорочка</w:t>
            </w:r>
          </w:p>
        </w:tc>
        <w:tc>
          <w:tcPr>
            <w:tcW w:w="824"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 xml:space="preserve">Рубашка </w:t>
            </w:r>
          </w:p>
        </w:tc>
        <w:tc>
          <w:tcPr>
            <w:tcW w:w="868"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 xml:space="preserve">Рубашка </w:t>
            </w:r>
          </w:p>
        </w:tc>
        <w:tc>
          <w:tcPr>
            <w:tcW w:w="816"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Рубашка</w:t>
            </w:r>
          </w:p>
        </w:tc>
        <w:tc>
          <w:tcPr>
            <w:tcW w:w="643"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Сорочка</w:t>
            </w:r>
          </w:p>
        </w:tc>
      </w:tr>
      <w:tr w:rsidR="00517711">
        <w:trPr>
          <w:trHeight w:val="454"/>
        </w:trPr>
        <w:tc>
          <w:tcPr>
            <w:tcW w:w="1017" w:type="pct"/>
            <w:vMerge/>
          </w:tcPr>
          <w:p w:rsidR="00517711" w:rsidRDefault="00517711">
            <w:pPr>
              <w:pStyle w:val="formattext"/>
              <w:spacing w:before="0" w:beforeAutospacing="0" w:after="0" w:afterAutospacing="0"/>
              <w:rPr>
                <w:color w:val="000000"/>
                <w:sz w:val="20"/>
                <w:szCs w:val="20"/>
              </w:rPr>
            </w:pPr>
          </w:p>
        </w:tc>
        <w:tc>
          <w:tcPr>
            <w:tcW w:w="832"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Фуфайка</w:t>
            </w:r>
          </w:p>
        </w:tc>
        <w:tc>
          <w:tcPr>
            <w:tcW w:w="824"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Футболка</w:t>
            </w:r>
          </w:p>
        </w:tc>
        <w:tc>
          <w:tcPr>
            <w:tcW w:w="868"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Фуфайка</w:t>
            </w:r>
          </w:p>
        </w:tc>
        <w:tc>
          <w:tcPr>
            <w:tcW w:w="816"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Футболка</w:t>
            </w:r>
          </w:p>
        </w:tc>
        <w:tc>
          <w:tcPr>
            <w:tcW w:w="643" w:type="pct"/>
            <w:vMerge w:val="restart"/>
            <w:tcBorders>
              <w:top w:val="single" w:sz="4" w:space="0" w:color="auto"/>
            </w:tcBorders>
          </w:tcPr>
          <w:p w:rsidR="00517711" w:rsidRDefault="00F815BE">
            <w:pPr>
              <w:pStyle w:val="formattext"/>
              <w:spacing w:before="0" w:beforeAutospacing="0" w:after="0" w:afterAutospacing="0"/>
              <w:rPr>
                <w:color w:val="000000"/>
                <w:sz w:val="20"/>
                <w:szCs w:val="20"/>
              </w:rPr>
            </w:pPr>
            <w:r>
              <w:rPr>
                <w:color w:val="2D2D2D"/>
                <w:spacing w:val="2"/>
                <w:sz w:val="20"/>
                <w:szCs w:val="20"/>
                <w:shd w:val="clear" w:color="auto" w:fill="FFFFFF"/>
              </w:rPr>
              <w:t>Изделия бельевые</w:t>
            </w:r>
          </w:p>
        </w:tc>
      </w:tr>
      <w:tr w:rsidR="00517711">
        <w:trPr>
          <w:trHeight w:val="454"/>
        </w:trPr>
        <w:tc>
          <w:tcPr>
            <w:tcW w:w="1017" w:type="pct"/>
            <w:vMerge/>
          </w:tcPr>
          <w:p w:rsidR="00517711" w:rsidRDefault="00517711">
            <w:pPr>
              <w:pStyle w:val="formattext"/>
              <w:spacing w:before="0" w:beforeAutospacing="0" w:after="0" w:afterAutospacing="0"/>
              <w:rPr>
                <w:color w:val="000000"/>
                <w:sz w:val="20"/>
                <w:szCs w:val="20"/>
              </w:rPr>
            </w:pPr>
          </w:p>
        </w:tc>
        <w:tc>
          <w:tcPr>
            <w:tcW w:w="832" w:type="pct"/>
            <w:tcBorders>
              <w:top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Майка</w:t>
            </w:r>
          </w:p>
        </w:tc>
        <w:tc>
          <w:tcPr>
            <w:tcW w:w="824" w:type="pct"/>
            <w:tcBorders>
              <w:top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Майка</w:t>
            </w:r>
          </w:p>
        </w:tc>
        <w:tc>
          <w:tcPr>
            <w:tcW w:w="868" w:type="pct"/>
            <w:tcBorders>
              <w:top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Майка</w:t>
            </w:r>
          </w:p>
        </w:tc>
        <w:tc>
          <w:tcPr>
            <w:tcW w:w="816" w:type="pct"/>
            <w:tcBorders>
              <w:top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Топ</w:t>
            </w:r>
          </w:p>
        </w:tc>
        <w:tc>
          <w:tcPr>
            <w:tcW w:w="643" w:type="pct"/>
            <w:vMerge/>
          </w:tcPr>
          <w:p w:rsidR="00517711" w:rsidRDefault="00517711">
            <w:pPr>
              <w:pStyle w:val="formattext"/>
              <w:spacing w:before="0" w:beforeAutospacing="0" w:after="0" w:afterAutospacing="0"/>
              <w:rPr>
                <w:color w:val="000000"/>
                <w:sz w:val="20"/>
                <w:szCs w:val="20"/>
              </w:rPr>
            </w:pPr>
          </w:p>
        </w:tc>
      </w:tr>
      <w:tr w:rsidR="00517711">
        <w:trPr>
          <w:trHeight w:val="454"/>
        </w:trPr>
        <w:tc>
          <w:tcPr>
            <w:tcW w:w="1017" w:type="pct"/>
            <w:vMerge w:val="restart"/>
          </w:tcPr>
          <w:p w:rsidR="00517711" w:rsidRDefault="00F815BE">
            <w:pPr>
              <w:pStyle w:val="formattext"/>
              <w:spacing w:before="0" w:beforeAutospacing="0" w:after="0" w:afterAutospacing="0"/>
              <w:rPr>
                <w:color w:val="000000"/>
                <w:sz w:val="20"/>
                <w:szCs w:val="20"/>
              </w:rPr>
            </w:pPr>
            <w:r>
              <w:rPr>
                <w:color w:val="000000" w:themeColor="text1"/>
                <w:sz w:val="20"/>
                <w:szCs w:val="20"/>
              </w:rPr>
              <w:t>Поясная одежда</w:t>
            </w:r>
          </w:p>
        </w:tc>
        <w:tc>
          <w:tcPr>
            <w:tcW w:w="832" w:type="pct"/>
            <w:tcBorders>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Брюки</w:t>
            </w:r>
          </w:p>
        </w:tc>
        <w:tc>
          <w:tcPr>
            <w:tcW w:w="824" w:type="pct"/>
            <w:tcBorders>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 xml:space="preserve">Брюки </w:t>
            </w:r>
          </w:p>
        </w:tc>
        <w:tc>
          <w:tcPr>
            <w:tcW w:w="868" w:type="pct"/>
            <w:tcBorders>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 xml:space="preserve">Брюки </w:t>
            </w:r>
          </w:p>
        </w:tc>
        <w:tc>
          <w:tcPr>
            <w:tcW w:w="816" w:type="pct"/>
            <w:tcBorders>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Брюки</w:t>
            </w:r>
          </w:p>
        </w:tc>
        <w:tc>
          <w:tcPr>
            <w:tcW w:w="643" w:type="pct"/>
            <w:tcBorders>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Брюки</w:t>
            </w:r>
          </w:p>
        </w:tc>
      </w:tr>
      <w:tr w:rsidR="00517711">
        <w:trPr>
          <w:trHeight w:val="454"/>
        </w:trPr>
        <w:tc>
          <w:tcPr>
            <w:tcW w:w="1017" w:type="pct"/>
            <w:vMerge/>
          </w:tcPr>
          <w:p w:rsidR="00517711" w:rsidRDefault="00517711">
            <w:pPr>
              <w:pStyle w:val="formattext"/>
              <w:spacing w:before="0" w:beforeAutospacing="0" w:after="0" w:afterAutospacing="0"/>
              <w:rPr>
                <w:color w:val="000000"/>
                <w:sz w:val="20"/>
                <w:szCs w:val="20"/>
              </w:rPr>
            </w:pPr>
          </w:p>
        </w:tc>
        <w:tc>
          <w:tcPr>
            <w:tcW w:w="832" w:type="pct"/>
            <w:tcBorders>
              <w:top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Шорты</w:t>
            </w:r>
          </w:p>
        </w:tc>
        <w:tc>
          <w:tcPr>
            <w:tcW w:w="824" w:type="pct"/>
            <w:tcBorders>
              <w:top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Шорты</w:t>
            </w:r>
          </w:p>
        </w:tc>
        <w:tc>
          <w:tcPr>
            <w:tcW w:w="868" w:type="pct"/>
            <w:tcBorders>
              <w:top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 xml:space="preserve">Шорты </w:t>
            </w:r>
          </w:p>
        </w:tc>
        <w:tc>
          <w:tcPr>
            <w:tcW w:w="816" w:type="pct"/>
            <w:tcBorders>
              <w:top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Брюки</w:t>
            </w:r>
          </w:p>
        </w:tc>
        <w:tc>
          <w:tcPr>
            <w:tcW w:w="643" w:type="pct"/>
            <w:tcBorders>
              <w:top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Шорты</w:t>
            </w:r>
          </w:p>
        </w:tc>
      </w:tr>
      <w:tr w:rsidR="00517711">
        <w:trPr>
          <w:trHeight w:val="454"/>
        </w:trPr>
        <w:tc>
          <w:tcPr>
            <w:tcW w:w="1017"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Головные уборы</w:t>
            </w:r>
          </w:p>
        </w:tc>
        <w:tc>
          <w:tcPr>
            <w:tcW w:w="832"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Шапки</w:t>
            </w:r>
          </w:p>
        </w:tc>
        <w:tc>
          <w:tcPr>
            <w:tcW w:w="824"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Шапки</w:t>
            </w:r>
          </w:p>
        </w:tc>
        <w:tc>
          <w:tcPr>
            <w:tcW w:w="868"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Головные уборы</w:t>
            </w:r>
          </w:p>
        </w:tc>
        <w:tc>
          <w:tcPr>
            <w:tcW w:w="816"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Кепки</w:t>
            </w:r>
          </w:p>
        </w:tc>
        <w:tc>
          <w:tcPr>
            <w:tcW w:w="643"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Шапки</w:t>
            </w:r>
          </w:p>
        </w:tc>
      </w:tr>
      <w:tr w:rsidR="00517711">
        <w:trPr>
          <w:trHeight w:val="454"/>
        </w:trPr>
        <w:tc>
          <w:tcPr>
            <w:tcW w:w="1017"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Чулочно-носочные изделия</w:t>
            </w:r>
          </w:p>
        </w:tc>
        <w:tc>
          <w:tcPr>
            <w:tcW w:w="832"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Носки</w:t>
            </w:r>
          </w:p>
        </w:tc>
        <w:tc>
          <w:tcPr>
            <w:tcW w:w="824"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Носки</w:t>
            </w:r>
          </w:p>
        </w:tc>
        <w:tc>
          <w:tcPr>
            <w:tcW w:w="868"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Носки</w:t>
            </w:r>
          </w:p>
        </w:tc>
        <w:tc>
          <w:tcPr>
            <w:tcW w:w="816"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Носки</w:t>
            </w:r>
          </w:p>
        </w:tc>
        <w:tc>
          <w:tcPr>
            <w:tcW w:w="643"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Носки</w:t>
            </w:r>
          </w:p>
        </w:tc>
      </w:tr>
      <w:tr w:rsidR="00517711">
        <w:trPr>
          <w:trHeight w:val="454"/>
        </w:trPr>
        <w:tc>
          <w:tcPr>
            <w:tcW w:w="1017"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Платочно-шарфовые изделия</w:t>
            </w:r>
          </w:p>
        </w:tc>
        <w:tc>
          <w:tcPr>
            <w:tcW w:w="832"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Шарфы</w:t>
            </w:r>
          </w:p>
        </w:tc>
        <w:tc>
          <w:tcPr>
            <w:tcW w:w="824"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Шарфы</w:t>
            </w:r>
          </w:p>
        </w:tc>
        <w:tc>
          <w:tcPr>
            <w:tcW w:w="868"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Шарфы</w:t>
            </w:r>
          </w:p>
        </w:tc>
        <w:tc>
          <w:tcPr>
            <w:tcW w:w="816"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Шарфы</w:t>
            </w:r>
          </w:p>
        </w:tc>
        <w:tc>
          <w:tcPr>
            <w:tcW w:w="643"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 xml:space="preserve">Шарфы </w:t>
            </w:r>
          </w:p>
        </w:tc>
      </w:tr>
      <w:tr w:rsidR="00517711">
        <w:trPr>
          <w:trHeight w:val="454"/>
        </w:trPr>
        <w:tc>
          <w:tcPr>
            <w:tcW w:w="1017"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Перчаточные изделия</w:t>
            </w:r>
          </w:p>
        </w:tc>
        <w:tc>
          <w:tcPr>
            <w:tcW w:w="832"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Перчатки</w:t>
            </w:r>
          </w:p>
        </w:tc>
        <w:tc>
          <w:tcPr>
            <w:tcW w:w="824"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Перчатки</w:t>
            </w:r>
          </w:p>
        </w:tc>
        <w:tc>
          <w:tcPr>
            <w:tcW w:w="868"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Перчатки</w:t>
            </w:r>
          </w:p>
        </w:tc>
        <w:tc>
          <w:tcPr>
            <w:tcW w:w="816"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Перчатки</w:t>
            </w:r>
          </w:p>
        </w:tc>
        <w:tc>
          <w:tcPr>
            <w:tcW w:w="643"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Перчатки</w:t>
            </w:r>
          </w:p>
        </w:tc>
      </w:tr>
    </w:tbl>
    <w:p w:rsidR="00517711" w:rsidRDefault="00517711">
      <w:pPr>
        <w:pStyle w:val="Default"/>
        <w:ind w:firstLine="709"/>
        <w:jc w:val="both"/>
        <w:rPr>
          <w:sz w:val="20"/>
          <w:szCs w:val="20"/>
          <w:lang w:val="en-US"/>
        </w:rPr>
      </w:pPr>
    </w:p>
    <w:p w:rsidR="00517711" w:rsidRDefault="00F815BE">
      <w:pPr>
        <w:pStyle w:val="Default"/>
        <w:ind w:firstLine="709"/>
        <w:jc w:val="both"/>
        <w:rPr>
          <w:sz w:val="20"/>
          <w:szCs w:val="20"/>
        </w:rPr>
      </w:pPr>
      <w:r>
        <w:rPr>
          <w:sz w:val="20"/>
          <w:szCs w:val="20"/>
        </w:rPr>
        <w:t>Анализируя данные таблицы, видно, что наименования одних и тех же изделий в разных источниках отличаются. Разногласия между коммерческими и нормативными наименованиями швейных изделий обусловлены следующими причинами:</w:t>
      </w:r>
    </w:p>
    <w:p w:rsidR="00517711" w:rsidRDefault="00F815BE">
      <w:pPr>
        <w:pStyle w:val="Default"/>
        <w:ind w:firstLine="709"/>
        <w:jc w:val="both"/>
        <w:rPr>
          <w:sz w:val="20"/>
          <w:szCs w:val="20"/>
        </w:rPr>
      </w:pPr>
      <w:r>
        <w:rPr>
          <w:sz w:val="20"/>
          <w:szCs w:val="20"/>
        </w:rPr>
        <w:t>- неграмотность коммерсантов, не имеющих специальное образование в данной области;</w:t>
      </w:r>
    </w:p>
    <w:p w:rsidR="00517711" w:rsidRDefault="00F815BE">
      <w:pPr>
        <w:pStyle w:val="Default"/>
        <w:ind w:firstLine="709"/>
        <w:jc w:val="both"/>
        <w:rPr>
          <w:sz w:val="20"/>
          <w:szCs w:val="20"/>
        </w:rPr>
      </w:pPr>
      <w:r>
        <w:rPr>
          <w:sz w:val="20"/>
          <w:szCs w:val="20"/>
        </w:rPr>
        <w:t>- использование современных популярных устойчивых и уже привычных терминов для потребителя;</w:t>
      </w:r>
    </w:p>
    <w:p w:rsidR="00517711" w:rsidRDefault="00F815BE">
      <w:pPr>
        <w:pStyle w:val="Default"/>
        <w:ind w:firstLine="709"/>
        <w:jc w:val="both"/>
        <w:rPr>
          <w:sz w:val="20"/>
          <w:szCs w:val="20"/>
        </w:rPr>
      </w:pPr>
      <w:r>
        <w:rPr>
          <w:sz w:val="20"/>
          <w:szCs w:val="20"/>
        </w:rPr>
        <w:t>- отсутствие единой системы и разные классификационные признаки, заложенные в основу различных классификаторах.</w:t>
      </w:r>
    </w:p>
    <w:p w:rsidR="00517711" w:rsidRDefault="00F815BE">
      <w:pPr>
        <w:pStyle w:val="Default"/>
        <w:ind w:firstLine="709"/>
        <w:jc w:val="both"/>
        <w:rPr>
          <w:sz w:val="20"/>
          <w:szCs w:val="20"/>
        </w:rPr>
      </w:pPr>
      <w:r>
        <w:rPr>
          <w:color w:val="000000" w:themeColor="text1"/>
          <w:sz w:val="20"/>
          <w:szCs w:val="20"/>
        </w:rPr>
        <w:t xml:space="preserve">В рамках данного исследования было проведено анкетирование потребителей розничного предприятия </w:t>
      </w:r>
      <w:r>
        <w:rPr>
          <w:color w:val="000000" w:themeColor="text1"/>
          <w:sz w:val="20"/>
          <w:szCs w:val="20"/>
          <w:lang w:val="en-US"/>
        </w:rPr>
        <w:t>Terranov</w:t>
      </w:r>
      <w:r>
        <w:rPr>
          <w:color w:val="000000" w:themeColor="text1"/>
          <w:sz w:val="20"/>
          <w:szCs w:val="20"/>
        </w:rPr>
        <w:t>а, в котором участвовало 316,</w:t>
      </w:r>
      <w:r>
        <w:rPr>
          <w:sz w:val="20"/>
          <w:szCs w:val="20"/>
        </w:rPr>
        <w:t xml:space="preserve"> </w:t>
      </w:r>
      <w:r>
        <w:rPr>
          <w:color w:val="000000" w:themeColor="text1"/>
          <w:sz w:val="20"/>
          <w:szCs w:val="20"/>
        </w:rPr>
        <w:t xml:space="preserve">именно столько респондентов необходимо для генеральной выборки, исходя из среднемесячной пропускной способности магазина, которая составила 1762 человека. Все участники опроса были мужского пола, но имели разный возраст, материальный достаток, сферу деятельности.  </w:t>
      </w:r>
    </w:p>
    <w:p w:rsidR="00517711" w:rsidRDefault="00F815BE">
      <w:pPr>
        <w:pStyle w:val="Default"/>
        <w:ind w:firstLine="709"/>
        <w:jc w:val="center"/>
        <w:rPr>
          <w:sz w:val="20"/>
          <w:szCs w:val="20"/>
        </w:rPr>
      </w:pPr>
      <w:r>
        <w:rPr>
          <w:noProof/>
          <w:color w:val="000000" w:themeColor="text1"/>
          <w:sz w:val="20"/>
          <w:szCs w:val="20"/>
        </w:rPr>
        <w:drawing>
          <wp:inline distT="0" distB="0" distL="0" distR="0">
            <wp:extent cx="4324348" cy="2057400"/>
            <wp:effectExtent l="0" t="0" r="0" b="0"/>
            <wp:docPr id="4"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517711" w:rsidRDefault="00F815BE">
      <w:pPr>
        <w:pStyle w:val="Default"/>
        <w:jc w:val="center"/>
        <w:rPr>
          <w:sz w:val="20"/>
          <w:szCs w:val="20"/>
        </w:rPr>
      </w:pPr>
      <w:r>
        <w:rPr>
          <w:color w:val="000000" w:themeColor="text1"/>
          <w:sz w:val="20"/>
          <w:szCs w:val="20"/>
        </w:rPr>
        <w:t xml:space="preserve">Рис. 1. </w:t>
      </w:r>
      <w:r>
        <w:rPr>
          <w:color w:val="auto"/>
          <w:sz w:val="20"/>
          <w:szCs w:val="20"/>
        </w:rPr>
        <w:t>Распределение респондентов по степени обращения к информации на бирках товаров</w:t>
      </w:r>
    </w:p>
    <w:p w:rsidR="00517711" w:rsidRDefault="00517711">
      <w:pPr>
        <w:pStyle w:val="Default"/>
        <w:ind w:firstLine="709"/>
        <w:jc w:val="both"/>
        <w:rPr>
          <w:sz w:val="20"/>
          <w:szCs w:val="20"/>
        </w:rPr>
      </w:pPr>
    </w:p>
    <w:p w:rsidR="00517711" w:rsidRDefault="00F815BE">
      <w:pPr>
        <w:pStyle w:val="Default"/>
        <w:ind w:firstLine="709"/>
        <w:jc w:val="both"/>
        <w:rPr>
          <w:sz w:val="20"/>
          <w:szCs w:val="20"/>
        </w:rPr>
      </w:pPr>
      <w:r>
        <w:rPr>
          <w:color w:val="000000" w:themeColor="text1"/>
          <w:sz w:val="20"/>
          <w:szCs w:val="20"/>
        </w:rPr>
        <w:t xml:space="preserve">Выяснилось, что 41 % респондентов обращают внимание на наименование товаров, указанные на бирке, 20% смотрят бирку лишь для того, чтобы узнать стоимость изделия, остальные 39% вовсе не обращают внимание на наличие бирки. </w:t>
      </w:r>
    </w:p>
    <w:p w:rsidR="00517711" w:rsidRDefault="00F815BE">
      <w:pPr>
        <w:pStyle w:val="Default"/>
        <w:jc w:val="center"/>
        <w:rPr>
          <w:sz w:val="20"/>
          <w:szCs w:val="20"/>
        </w:rPr>
      </w:pPr>
      <w:r>
        <w:rPr>
          <w:noProof/>
          <w:color w:val="000000" w:themeColor="text1"/>
          <w:sz w:val="20"/>
          <w:szCs w:val="20"/>
        </w:rPr>
        <w:lastRenderedPageBreak/>
        <w:drawing>
          <wp:inline distT="0" distB="0" distL="0" distR="0">
            <wp:extent cx="5000625" cy="1952623"/>
            <wp:effectExtent l="0" t="0" r="0" b="0"/>
            <wp:docPr id="5"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517711" w:rsidRDefault="00F815BE">
      <w:pPr>
        <w:pStyle w:val="Default"/>
        <w:jc w:val="center"/>
        <w:rPr>
          <w:sz w:val="20"/>
          <w:szCs w:val="20"/>
        </w:rPr>
      </w:pPr>
      <w:r>
        <w:rPr>
          <w:color w:val="000000" w:themeColor="text1"/>
          <w:sz w:val="20"/>
          <w:szCs w:val="20"/>
        </w:rPr>
        <w:t>Рис. 2. Распределение респондентов по предпочтительной терминологии мужской одежды</w:t>
      </w:r>
    </w:p>
    <w:p w:rsidR="00517711" w:rsidRDefault="00517711">
      <w:pPr>
        <w:pStyle w:val="Default"/>
        <w:ind w:firstLine="709"/>
        <w:jc w:val="both"/>
        <w:rPr>
          <w:sz w:val="20"/>
          <w:szCs w:val="20"/>
        </w:rPr>
      </w:pPr>
    </w:p>
    <w:p w:rsidR="00517711" w:rsidRDefault="00F815BE">
      <w:pPr>
        <w:pStyle w:val="Default"/>
        <w:ind w:firstLine="709"/>
        <w:jc w:val="both"/>
        <w:rPr>
          <w:sz w:val="20"/>
          <w:szCs w:val="20"/>
        </w:rPr>
      </w:pPr>
      <w:r>
        <w:rPr>
          <w:color w:val="000000" w:themeColor="text1"/>
          <w:sz w:val="20"/>
          <w:szCs w:val="20"/>
        </w:rPr>
        <w:t>В ходе опроса удалось выявить, что 87% опрошенных предпочитает новомодные термины устаревшим, что лишь подтверждает актуальность данного исследования.</w:t>
      </w:r>
    </w:p>
    <w:p w:rsidR="00517711" w:rsidRDefault="00F815BE">
      <w:pPr>
        <w:pStyle w:val="Default"/>
        <w:ind w:firstLine="709"/>
        <w:jc w:val="both"/>
        <w:rPr>
          <w:sz w:val="20"/>
          <w:szCs w:val="20"/>
        </w:rPr>
      </w:pPr>
      <w:r>
        <w:rPr>
          <w:sz w:val="20"/>
          <w:szCs w:val="20"/>
        </w:rPr>
        <w:t>Необходимо отметить, что действующая классификация одежды в ГОСТ 17037-85 «Изделия швейные и трикотажные. Термины и определения» была введена 32 года назад, и, на взгляд автора, нуждается в изменениях. Требуется разработка единой унифицированной рациональной классификации швейных изделий, в том числе мужской одежды, отвечающей современным требованиям. Такая классификация подразумевает объединение существующих действующих классификаций, с рядом изменений ввиду стремительного расширения ассортимента, которое обусловлено использованием новых способов обработки, современных материалов и усовершенствованных технологий и содержать все необходимые классификационные критерии для идентификации изделий [6].</w:t>
      </w:r>
    </w:p>
    <w:p w:rsidR="00517711" w:rsidRDefault="00F815BE">
      <w:pPr>
        <w:pStyle w:val="Default"/>
        <w:ind w:firstLine="709"/>
        <w:jc w:val="both"/>
        <w:rPr>
          <w:sz w:val="20"/>
          <w:szCs w:val="20"/>
        </w:rPr>
      </w:pPr>
      <w:r>
        <w:rPr>
          <w:sz w:val="20"/>
          <w:szCs w:val="20"/>
        </w:rPr>
        <w:t xml:space="preserve">В данный момент, ввиду отсутствия единой классификации одна и та же вещь может быть названа, как минимум, тремя терминами: глазами изготовителя - фуфайкой, глазами продавца - футболкой с длинным рукавом, а покупателя - лонгсливом. Впоследствии такие барьеры также могут стать причиной проблем с таможенным оформлением одежды, которые в свою очередь могут повлечь увеличение издержек торговых предприятий. Поэтому единая классификация будет способствовать максимальному взаимопониманию между изготовителем, покупателем и конечным потребителем, а унификация всех действующих классификации позволит подготовить будущих специалистов торговой сферы в высших учебных заведениях к работе на предприятиях. </w:t>
      </w:r>
    </w:p>
    <w:p w:rsidR="00517711" w:rsidRDefault="00F815BE">
      <w:pPr>
        <w:pStyle w:val="Default"/>
        <w:ind w:firstLine="709"/>
        <w:jc w:val="both"/>
        <w:rPr>
          <w:sz w:val="20"/>
          <w:szCs w:val="20"/>
        </w:rPr>
      </w:pPr>
      <w:r>
        <w:rPr>
          <w:sz w:val="20"/>
          <w:szCs w:val="20"/>
        </w:rPr>
        <w:t>__________________________________________________________________________</w:t>
      </w:r>
    </w:p>
    <w:p w:rsidR="00517711" w:rsidRDefault="00F815BE">
      <w:pPr>
        <w:pStyle w:val="Default"/>
        <w:ind w:firstLine="709"/>
        <w:jc w:val="both"/>
        <w:rPr>
          <w:sz w:val="20"/>
          <w:szCs w:val="20"/>
        </w:rPr>
      </w:pPr>
      <w:r>
        <w:rPr>
          <w:sz w:val="20"/>
          <w:szCs w:val="20"/>
        </w:rPr>
        <w:t>1. ГОСТ Р 51303-2013 Торговля. Термины и определения [Электронный ресурс] //</w:t>
      </w:r>
      <w:r>
        <w:rPr>
          <w:sz w:val="20"/>
          <w:szCs w:val="20"/>
          <w:lang w:val="en-US"/>
        </w:rPr>
        <w:t>StandartGost</w:t>
      </w:r>
      <w:r>
        <w:rPr>
          <w:sz w:val="20"/>
          <w:szCs w:val="20"/>
        </w:rPr>
        <w:t>.</w:t>
      </w:r>
      <w:r>
        <w:rPr>
          <w:sz w:val="20"/>
          <w:szCs w:val="20"/>
          <w:lang w:val="en-US"/>
        </w:rPr>
        <w:t>ru</w:t>
      </w:r>
      <w:r>
        <w:rPr>
          <w:sz w:val="20"/>
          <w:szCs w:val="20"/>
        </w:rPr>
        <w:t xml:space="preserve"> открытая база ГОСТов. - Режим доступа: </w:t>
      </w:r>
      <w:hyperlink r:id="rId21" w:history="1">
        <w:r>
          <w:rPr>
            <w:rStyle w:val="aa"/>
            <w:color w:val="000000" w:themeColor="text1"/>
            <w:sz w:val="20"/>
            <w:szCs w:val="20"/>
          </w:rPr>
          <w:t>http://standartgost.ru/51303-2013</w:t>
        </w:r>
      </w:hyperlink>
      <w:r>
        <w:rPr>
          <w:rStyle w:val="aa"/>
          <w:color w:val="000000" w:themeColor="text1"/>
          <w:sz w:val="20"/>
          <w:szCs w:val="20"/>
        </w:rPr>
        <w:t>.</w:t>
      </w:r>
    </w:p>
    <w:p w:rsidR="00517711" w:rsidRDefault="00F815BE">
      <w:pPr>
        <w:pStyle w:val="Default"/>
        <w:ind w:firstLine="709"/>
        <w:jc w:val="both"/>
        <w:rPr>
          <w:sz w:val="20"/>
          <w:szCs w:val="20"/>
        </w:rPr>
      </w:pPr>
      <w:r>
        <w:rPr>
          <w:sz w:val="20"/>
          <w:szCs w:val="20"/>
        </w:rPr>
        <w:t>2. ГОСТ 17037-85 Изделия швейные и трикотажные. Термины и определения [Электронный ресурс] //</w:t>
      </w:r>
      <w:r>
        <w:rPr>
          <w:sz w:val="20"/>
          <w:szCs w:val="20"/>
          <w:lang w:val="en-US"/>
        </w:rPr>
        <w:t>StandartGost</w:t>
      </w:r>
      <w:r>
        <w:rPr>
          <w:sz w:val="20"/>
          <w:szCs w:val="20"/>
        </w:rPr>
        <w:t>.</w:t>
      </w:r>
      <w:r>
        <w:rPr>
          <w:sz w:val="20"/>
          <w:szCs w:val="20"/>
          <w:lang w:val="en-US"/>
        </w:rPr>
        <w:t>ru</w:t>
      </w:r>
      <w:r>
        <w:rPr>
          <w:sz w:val="20"/>
          <w:szCs w:val="20"/>
        </w:rPr>
        <w:t xml:space="preserve"> открытая база ГОСТов. - Режим доступа: http://standartgost.ru/g/ГОСТ_17037-85.</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 Гапоненко А.Л. Менеджмент: учебник для бакалавров /А.Л. Гапоненко. - М.: Юрайт, 2013. - 396 с.</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sz w:val="20"/>
          <w:szCs w:val="20"/>
        </w:rPr>
        <w:t>4. ГОСТ 54393-2011 Изделия швейные и трикотажные термины и определения определения [Электронный ресурс] //</w:t>
      </w:r>
      <w:r>
        <w:rPr>
          <w:rFonts w:ascii="Times New Roman" w:hAnsi="Times New Roman" w:cs="Times New Roman"/>
          <w:sz w:val="20"/>
          <w:szCs w:val="20"/>
          <w:lang w:val="en-US"/>
        </w:rPr>
        <w:t>StandartGost</w:t>
      </w:r>
      <w:r>
        <w:rPr>
          <w:rFonts w:ascii="Times New Roman" w:hAnsi="Times New Roman" w:cs="Times New Roman"/>
          <w:sz w:val="20"/>
          <w:szCs w:val="20"/>
        </w:rPr>
        <w:t>.</w:t>
      </w:r>
      <w:r>
        <w:rPr>
          <w:rFonts w:ascii="Times New Roman" w:hAnsi="Times New Roman" w:cs="Times New Roman"/>
          <w:sz w:val="20"/>
          <w:szCs w:val="20"/>
          <w:lang w:val="en-US"/>
        </w:rPr>
        <w:t>ru</w:t>
      </w:r>
      <w:r>
        <w:rPr>
          <w:rFonts w:ascii="Times New Roman" w:hAnsi="Times New Roman" w:cs="Times New Roman"/>
          <w:sz w:val="20"/>
          <w:szCs w:val="20"/>
        </w:rPr>
        <w:t xml:space="preserve"> открытая база ГОСТов. - Режим доступа: </w:t>
      </w:r>
      <w:hyperlink r:id="rId22" w:history="1">
        <w:r>
          <w:rPr>
            <w:rStyle w:val="aa"/>
            <w:rFonts w:ascii="Times New Roman" w:hAnsi="Times New Roman" w:cs="Times New Roman"/>
            <w:color w:val="000000" w:themeColor="text1"/>
            <w:sz w:val="20"/>
            <w:szCs w:val="20"/>
          </w:rPr>
          <w:t>http://standartgost.ru/54393-2011</w:t>
        </w:r>
      </w:hyperlink>
      <w:r>
        <w:rPr>
          <w:rStyle w:val="aa"/>
          <w:rFonts w:ascii="Times New Roman" w:hAnsi="Times New Roman" w:cs="Times New Roman"/>
          <w:color w:val="000000" w:themeColor="text1"/>
          <w:sz w:val="20"/>
          <w:szCs w:val="20"/>
        </w:rPr>
        <w:t>.</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5. Абрамова И.Ю. Особенности наименования товаров сегмента масс-маркет в </w:t>
      </w:r>
      <w:r>
        <w:rPr>
          <w:rFonts w:ascii="Times New Roman" w:hAnsi="Times New Roman" w:cs="Times New Roman"/>
          <w:sz w:val="20"/>
          <w:szCs w:val="20"/>
          <w:lang w:val="en-US"/>
        </w:rPr>
        <w:t>XXI</w:t>
      </w:r>
      <w:r>
        <w:rPr>
          <w:rFonts w:ascii="Times New Roman" w:hAnsi="Times New Roman" w:cs="Times New Roman"/>
          <w:sz w:val="20"/>
          <w:szCs w:val="20"/>
        </w:rPr>
        <w:t xml:space="preserve"> веке /И.Ю. Абрамова //Вестник волгоградского государственного университета. - 2017. - Том 16. - № 1. - С. 72-79.</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6. Щербина И. Проблемы классификации корсетных изделий /И. Щербина //Журнал Товары и рынки //Киевский национальный торгово-экономический университет. - 2011. - №2 (12). - С. 169-173.</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7. Решение Совета Евразийской экономической комиссии от 16.07.2012 № 54 (ред. от 31.01.2018) «Об утверждении единой Товарной номенклатуры внешнеэкономической деятельности Евразийского экономического союза и Единого таможенного тарифа Евразийского экономического союза» [Электронный ресурс] //Консультант Плюс - законодательство РФ кодексы и законы в последней редакции. - Режим доступа: </w:t>
      </w:r>
      <w:hyperlink r:id="rId23" w:history="1">
        <w:r>
          <w:rPr>
            <w:rStyle w:val="aa"/>
            <w:rFonts w:ascii="Times New Roman" w:hAnsi="Times New Roman" w:cs="Times New Roman"/>
            <w:color w:val="000000" w:themeColor="text1"/>
            <w:sz w:val="20"/>
            <w:szCs w:val="20"/>
          </w:rPr>
          <w:t>http://www.consultant.ru/document/cons_doc_LAW_133133/22ad39bb36d3b8a63d493b0be82dc7170c9f82f6/</w:t>
        </w:r>
      </w:hyperlink>
      <w:r>
        <w:rPr>
          <w:rStyle w:val="aa"/>
          <w:rFonts w:ascii="Times New Roman" w:hAnsi="Times New Roman" w:cs="Times New Roman"/>
          <w:color w:val="000000" w:themeColor="text1"/>
          <w:sz w:val="20"/>
          <w:szCs w:val="20"/>
        </w:rPr>
        <w:t>.</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8. ОК 029-2014 (КДЕС Ред. 2). Общероссийский классификатор видов экономической деятельности» (утв. Приказом Росстандарта от 31.01.2014 № 14-ст) (ред. от 08.09.2017) [Электронный ресурс] //Консультант Плюс - законодательство РФ кодексы и законы в последней редакции. - Режим доступа: </w:t>
      </w:r>
      <w:hyperlink r:id="rId24" w:history="1">
        <w:r>
          <w:rPr>
            <w:rStyle w:val="aa"/>
            <w:rFonts w:ascii="Times New Roman" w:hAnsi="Times New Roman" w:cs="Times New Roman"/>
            <w:color w:val="000000" w:themeColor="text1"/>
            <w:sz w:val="20"/>
            <w:szCs w:val="20"/>
          </w:rPr>
          <w:t>http://www.consultant.ru/document/cons_doc_LAW_163320/</w:t>
        </w:r>
      </w:hyperlink>
      <w:r>
        <w:rPr>
          <w:rStyle w:val="aa"/>
          <w:rFonts w:ascii="Times New Roman" w:hAnsi="Times New Roman" w:cs="Times New Roman"/>
          <w:color w:val="000000" w:themeColor="text1"/>
          <w:sz w:val="20"/>
          <w:szCs w:val="20"/>
        </w:rPr>
        <w:t>.</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9. Журнал Швейная промышленность [Электронный ресурс] //http://www.legprominfo.ru Информационный портал легкой промышленности. - Режим доступа http://www.legprominfo.ru/1_zur/2_sp/.</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10. ГОСТ 31228-2014 Изделия трикотажные бельевые для взрослых. Нормы физико-гигиенических показателей условия [Электронный ресурс] //StandartGost.ru открытая база ГОСТов. - Режим доступа: http://standartgost.ru/31228-2014.</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11. ГОСТ 26115-84 Изделия трикотажные верхние. Требования к пошиву [Электронный ресурс] //StandartGost.ru открытая база ГОСТов. - Режим доступа: http://standartgost.ru/26115-84.</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lastRenderedPageBreak/>
        <w:t>12. ТР ТС 017-2011 О безопасности продуктов легкой промышленности (с изменениями от 9 августа 2016 года) [Электронный ресурс] //</w:t>
      </w:r>
      <w:r>
        <w:rPr>
          <w:rFonts w:ascii="Times New Roman" w:hAnsi="Times New Roman" w:cs="Times New Roman"/>
          <w:sz w:val="20"/>
          <w:szCs w:val="20"/>
          <w:lang w:val="en-US"/>
        </w:rPr>
        <w:t>StandartGost</w:t>
      </w:r>
      <w:r>
        <w:rPr>
          <w:rFonts w:ascii="Times New Roman" w:hAnsi="Times New Roman" w:cs="Times New Roman"/>
          <w:sz w:val="20"/>
          <w:szCs w:val="20"/>
        </w:rPr>
        <w:t>.</w:t>
      </w:r>
      <w:r>
        <w:rPr>
          <w:rFonts w:ascii="Times New Roman" w:hAnsi="Times New Roman" w:cs="Times New Roman"/>
          <w:sz w:val="20"/>
          <w:szCs w:val="20"/>
          <w:lang w:val="en-US"/>
        </w:rPr>
        <w:t>ru</w:t>
      </w:r>
      <w:r>
        <w:rPr>
          <w:rFonts w:ascii="Times New Roman" w:hAnsi="Times New Roman" w:cs="Times New Roman"/>
          <w:sz w:val="20"/>
          <w:szCs w:val="20"/>
        </w:rPr>
        <w:t xml:space="preserve"> открытая база ГОСТов. - Режим доступа: </w:t>
      </w:r>
      <w:hyperlink r:id="rId25" w:history="1">
        <w:r>
          <w:rPr>
            <w:rStyle w:val="aa"/>
            <w:rFonts w:ascii="Times New Roman" w:hAnsi="Times New Roman" w:cs="Times New Roman"/>
            <w:sz w:val="20"/>
            <w:szCs w:val="20"/>
          </w:rPr>
          <w:t>https://standartgost.ru/id/174489</w:t>
        </w:r>
      </w:hyperlink>
      <w:r>
        <w:rPr>
          <w:rFonts w:ascii="Times New Roman" w:hAnsi="Times New Roman" w:cs="Times New Roman"/>
          <w:sz w:val="20"/>
          <w:szCs w:val="20"/>
        </w:rPr>
        <w:t>.</w:t>
      </w:r>
    </w:p>
    <w:p w:rsidR="00517711" w:rsidRDefault="00517711">
      <w:pPr>
        <w:spacing w:after="0" w:line="240" w:lineRule="auto"/>
        <w:jc w:val="both"/>
        <w:rPr>
          <w:rFonts w:ascii="Times New Roman" w:hAnsi="Times New Roman" w:cs="Times New Roman"/>
          <w:sz w:val="20"/>
          <w:szCs w:val="20"/>
        </w:rPr>
      </w:pPr>
    </w:p>
    <w:p w:rsidR="00517711" w:rsidRDefault="00517711">
      <w:pPr>
        <w:spacing w:after="0" w:line="240" w:lineRule="auto"/>
        <w:jc w:val="both"/>
        <w:rPr>
          <w:rFonts w:ascii="Times New Roman" w:hAnsi="Times New Roman" w:cs="Times New Roman"/>
          <w:sz w:val="20"/>
          <w:szCs w:val="20"/>
        </w:rPr>
      </w:pPr>
    </w:p>
    <w:p w:rsidR="00517711" w:rsidRDefault="00F815BE">
      <w:pPr>
        <w:spacing w:after="0" w:line="240" w:lineRule="auto"/>
        <w:rPr>
          <w:rFonts w:ascii="Times New Roman" w:hAnsi="Times New Roman"/>
          <w:b/>
          <w:sz w:val="20"/>
          <w:szCs w:val="24"/>
        </w:rPr>
      </w:pPr>
      <w:r>
        <w:rPr>
          <w:rFonts w:ascii="Times New Roman" w:hAnsi="Times New Roman"/>
          <w:b/>
          <w:color w:val="333333"/>
          <w:sz w:val="20"/>
          <w:szCs w:val="24"/>
          <w:shd w:val="clear" w:color="auto" w:fill="FFFFFF"/>
        </w:rPr>
        <w:t>Рубрика: Рынок товаров</w:t>
      </w:r>
    </w:p>
    <w:p w:rsidR="00517711" w:rsidRDefault="00517711">
      <w:pPr>
        <w:spacing w:after="0" w:line="240" w:lineRule="auto"/>
        <w:ind w:firstLine="708"/>
        <w:rPr>
          <w:rFonts w:ascii="Times New Roman" w:hAnsi="Times New Roman"/>
          <w:sz w:val="20"/>
          <w:szCs w:val="24"/>
        </w:rPr>
      </w:pPr>
    </w:p>
    <w:p w:rsidR="00517711" w:rsidRDefault="00F815BE">
      <w:pPr>
        <w:spacing w:after="0" w:line="240" w:lineRule="auto"/>
        <w:rPr>
          <w:rFonts w:ascii="Times New Roman" w:hAnsi="Times New Roman"/>
          <w:sz w:val="20"/>
          <w:szCs w:val="24"/>
        </w:rPr>
      </w:pPr>
      <w:r>
        <w:rPr>
          <w:rFonts w:ascii="Times New Roman" w:hAnsi="Times New Roman"/>
          <w:sz w:val="20"/>
          <w:szCs w:val="24"/>
        </w:rPr>
        <w:t>УДК 338.43.02:631.523</w:t>
      </w:r>
    </w:p>
    <w:p w:rsidR="00517711" w:rsidRDefault="00517711">
      <w:pPr>
        <w:spacing w:after="0" w:line="240" w:lineRule="auto"/>
        <w:ind w:firstLine="709"/>
        <w:jc w:val="both"/>
        <w:rPr>
          <w:rFonts w:ascii="Times New Roman" w:hAnsi="Times New Roman"/>
          <w:sz w:val="24"/>
          <w:szCs w:val="24"/>
        </w:rPr>
      </w:pPr>
    </w:p>
    <w:p w:rsidR="00517711" w:rsidRDefault="00F815BE">
      <w:pPr>
        <w:spacing w:after="0" w:line="240" w:lineRule="auto"/>
        <w:ind w:firstLine="709"/>
        <w:jc w:val="center"/>
        <w:rPr>
          <w:rFonts w:ascii="Book Antiqua" w:hAnsi="Book Antiqua"/>
          <w:b/>
          <w:sz w:val="26"/>
          <w:szCs w:val="26"/>
        </w:rPr>
      </w:pPr>
      <w:r>
        <w:rPr>
          <w:rFonts w:ascii="Book Antiqua" w:hAnsi="Book Antiqua"/>
          <w:b/>
          <w:sz w:val="26"/>
          <w:szCs w:val="26"/>
        </w:rPr>
        <w:t>ПРОБЛЕМА РАЗВИТИЯ РЫНКА ПРОДУКЦИИ С ИСПОЛЬЗОВАНИЕМ ГМО</w:t>
      </w:r>
    </w:p>
    <w:p w:rsidR="00517711" w:rsidRDefault="00517711">
      <w:pPr>
        <w:spacing w:after="0" w:line="240" w:lineRule="auto"/>
        <w:jc w:val="both"/>
        <w:rPr>
          <w:rFonts w:ascii="Arial" w:hAnsi="Arial" w:cs="Arial"/>
          <w:sz w:val="24"/>
          <w:szCs w:val="24"/>
        </w:rPr>
      </w:pPr>
    </w:p>
    <w:p w:rsidR="00517711" w:rsidRDefault="00F815BE">
      <w:pPr>
        <w:spacing w:after="0" w:line="240" w:lineRule="auto"/>
        <w:jc w:val="center"/>
        <w:rPr>
          <w:rFonts w:ascii="Arial" w:hAnsi="Arial" w:cs="Arial"/>
          <w:b/>
          <w:sz w:val="24"/>
          <w:szCs w:val="24"/>
        </w:rPr>
      </w:pPr>
      <w:r>
        <w:rPr>
          <w:rFonts w:ascii="Arial" w:hAnsi="Arial" w:cs="Arial"/>
          <w:b/>
          <w:sz w:val="24"/>
          <w:szCs w:val="24"/>
        </w:rPr>
        <w:t>Холодкова Арина Евгеньевна</w:t>
      </w:r>
    </w:p>
    <w:p w:rsidR="00517711" w:rsidRDefault="00F815BE">
      <w:pPr>
        <w:spacing w:after="0" w:line="240" w:lineRule="auto"/>
        <w:jc w:val="center"/>
        <w:rPr>
          <w:rFonts w:ascii="Arial" w:hAnsi="Arial" w:cs="Arial"/>
          <w:b/>
          <w:sz w:val="24"/>
          <w:szCs w:val="24"/>
        </w:rPr>
      </w:pPr>
      <w:r>
        <w:rPr>
          <w:rFonts w:ascii="Arial" w:hAnsi="Arial" w:cs="Arial"/>
          <w:b/>
          <w:sz w:val="24"/>
          <w:szCs w:val="24"/>
        </w:rPr>
        <w:t>Кузьмичева Дарья Андреевна</w:t>
      </w:r>
    </w:p>
    <w:p w:rsidR="00517711" w:rsidRDefault="00F815BE">
      <w:pPr>
        <w:spacing w:after="0" w:line="240" w:lineRule="auto"/>
        <w:jc w:val="center"/>
        <w:rPr>
          <w:rFonts w:ascii="Arial" w:hAnsi="Arial" w:cs="Arial"/>
          <w:sz w:val="24"/>
          <w:szCs w:val="24"/>
        </w:rPr>
      </w:pPr>
      <w:r>
        <w:rPr>
          <w:rFonts w:ascii="Arial" w:hAnsi="Arial" w:cs="Arial"/>
          <w:sz w:val="24"/>
          <w:szCs w:val="24"/>
        </w:rPr>
        <w:t>Бакалавры 3 курса, кафедры международного маркетинга и торговли</w:t>
      </w:r>
    </w:p>
    <w:p w:rsidR="00517711" w:rsidRDefault="00517711">
      <w:pPr>
        <w:pStyle w:val="msonormalbullet1gif"/>
        <w:spacing w:before="0" w:beforeAutospacing="0" w:after="0" w:afterAutospacing="0"/>
        <w:jc w:val="center"/>
        <w:rPr>
          <w:i/>
        </w:rPr>
      </w:pPr>
    </w:p>
    <w:p w:rsidR="00517711" w:rsidRDefault="00F815BE">
      <w:pPr>
        <w:pStyle w:val="msonormalbullet1gif"/>
        <w:spacing w:before="0" w:beforeAutospacing="0" w:after="0" w:afterAutospacing="0"/>
        <w:jc w:val="center"/>
        <w:rPr>
          <w:i/>
          <w:sz w:val="21"/>
          <w:szCs w:val="21"/>
        </w:rPr>
      </w:pPr>
      <w:r>
        <w:rPr>
          <w:i/>
          <w:sz w:val="21"/>
          <w:szCs w:val="21"/>
        </w:rPr>
        <w:t>Владивостокский государственный университет экономики и сервиса</w:t>
      </w:r>
    </w:p>
    <w:p w:rsidR="00517711" w:rsidRDefault="00F815BE">
      <w:pPr>
        <w:pStyle w:val="msonormalbullet1gif"/>
        <w:spacing w:before="0" w:beforeAutospacing="0" w:after="0" w:afterAutospacing="0"/>
        <w:jc w:val="center"/>
        <w:rPr>
          <w:i/>
          <w:sz w:val="21"/>
          <w:szCs w:val="21"/>
        </w:rPr>
      </w:pPr>
      <w:r>
        <w:rPr>
          <w:i/>
          <w:sz w:val="21"/>
          <w:szCs w:val="21"/>
        </w:rPr>
        <w:t>Россия. Владивосток</w:t>
      </w:r>
    </w:p>
    <w:p w:rsidR="00517711" w:rsidRDefault="00517711">
      <w:pPr>
        <w:pStyle w:val="msonormalbullet1gif"/>
        <w:spacing w:before="0" w:beforeAutospacing="0" w:after="0" w:afterAutospacing="0"/>
        <w:jc w:val="center"/>
      </w:pPr>
    </w:p>
    <w:p w:rsidR="00517711" w:rsidRPr="008A2A0D" w:rsidRDefault="00F815BE">
      <w:pPr>
        <w:pStyle w:val="msonormalbullet1gif"/>
        <w:spacing w:before="0" w:beforeAutospacing="0" w:after="0" w:afterAutospacing="0"/>
        <w:jc w:val="center"/>
        <w:rPr>
          <w:color w:val="000000"/>
          <w:sz w:val="20"/>
        </w:rPr>
      </w:pPr>
      <w:r>
        <w:rPr>
          <w:color w:val="000000" w:themeColor="text1"/>
          <w:sz w:val="20"/>
          <w:lang w:val="en-US"/>
        </w:rPr>
        <w:t>E</w:t>
      </w:r>
      <w:r w:rsidRPr="008A2A0D">
        <w:rPr>
          <w:color w:val="000000" w:themeColor="text1"/>
          <w:sz w:val="20"/>
        </w:rPr>
        <w:t>-</w:t>
      </w:r>
      <w:r>
        <w:rPr>
          <w:color w:val="000000" w:themeColor="text1"/>
          <w:sz w:val="20"/>
          <w:lang w:val="en-US"/>
        </w:rPr>
        <w:t>mail</w:t>
      </w:r>
      <w:r w:rsidRPr="008A2A0D">
        <w:rPr>
          <w:color w:val="000000" w:themeColor="text1"/>
          <w:sz w:val="20"/>
        </w:rPr>
        <w:t xml:space="preserve">: </w:t>
      </w:r>
      <w:hyperlink r:id="rId26" w:history="1">
        <w:r>
          <w:rPr>
            <w:rStyle w:val="aa"/>
            <w:color w:val="000000" w:themeColor="text1"/>
            <w:sz w:val="20"/>
            <w:lang w:val="en-US"/>
          </w:rPr>
          <w:t>dashuta</w:t>
        </w:r>
        <w:r w:rsidRPr="008A2A0D">
          <w:rPr>
            <w:rStyle w:val="aa"/>
            <w:color w:val="000000" w:themeColor="text1"/>
            <w:sz w:val="20"/>
          </w:rPr>
          <w:t>.</w:t>
        </w:r>
        <w:r>
          <w:rPr>
            <w:rStyle w:val="aa"/>
            <w:color w:val="000000" w:themeColor="text1"/>
            <w:sz w:val="20"/>
            <w:lang w:val="en-US"/>
          </w:rPr>
          <w:t>kuzmicheva</w:t>
        </w:r>
        <w:r w:rsidRPr="008A2A0D">
          <w:rPr>
            <w:rStyle w:val="aa"/>
            <w:color w:val="000000" w:themeColor="text1"/>
            <w:sz w:val="20"/>
          </w:rPr>
          <w:t>@</w:t>
        </w:r>
        <w:r>
          <w:rPr>
            <w:rStyle w:val="aa"/>
            <w:color w:val="000000" w:themeColor="text1"/>
            <w:sz w:val="20"/>
            <w:lang w:val="en-US"/>
          </w:rPr>
          <w:t>mail</w:t>
        </w:r>
        <w:r w:rsidRPr="008A2A0D">
          <w:rPr>
            <w:rStyle w:val="aa"/>
            <w:color w:val="000000" w:themeColor="text1"/>
            <w:sz w:val="20"/>
          </w:rPr>
          <w:t>.</w:t>
        </w:r>
        <w:r>
          <w:rPr>
            <w:rStyle w:val="aa"/>
            <w:color w:val="000000" w:themeColor="text1"/>
            <w:sz w:val="20"/>
            <w:lang w:val="en-US"/>
          </w:rPr>
          <w:t>ru</w:t>
        </w:r>
      </w:hyperlink>
      <w:r w:rsidRPr="008A2A0D">
        <w:rPr>
          <w:color w:val="000000" w:themeColor="text1"/>
          <w:sz w:val="20"/>
        </w:rPr>
        <w:t xml:space="preserve">; </w:t>
      </w:r>
      <w:r>
        <w:rPr>
          <w:color w:val="000000" w:themeColor="text1"/>
          <w:sz w:val="20"/>
        </w:rPr>
        <w:t>тел</w:t>
      </w:r>
      <w:r w:rsidRPr="008A2A0D">
        <w:rPr>
          <w:color w:val="000000" w:themeColor="text1"/>
          <w:sz w:val="20"/>
        </w:rPr>
        <w:t>.: 89089643649</w:t>
      </w:r>
    </w:p>
    <w:p w:rsidR="00517711" w:rsidRDefault="00F815BE">
      <w:pPr>
        <w:pStyle w:val="msonormalbullet1gif"/>
        <w:spacing w:before="0" w:beforeAutospacing="0" w:after="0" w:afterAutospacing="0"/>
        <w:jc w:val="center"/>
        <w:rPr>
          <w:color w:val="000000"/>
          <w:sz w:val="20"/>
          <w:lang w:val="en-US"/>
        </w:rPr>
      </w:pPr>
      <w:r>
        <w:rPr>
          <w:color w:val="000000" w:themeColor="text1"/>
          <w:sz w:val="20"/>
          <w:lang w:val="en-US"/>
        </w:rPr>
        <w:t xml:space="preserve">E-mail: </w:t>
      </w:r>
      <w:hyperlink r:id="rId27" w:history="1">
        <w:r>
          <w:rPr>
            <w:rStyle w:val="aa"/>
            <w:color w:val="000000" w:themeColor="text1"/>
            <w:sz w:val="20"/>
            <w:lang w:val="en-US"/>
          </w:rPr>
          <w:t>arinaholodkova1997@mail.ru</w:t>
        </w:r>
      </w:hyperlink>
      <w:r>
        <w:rPr>
          <w:color w:val="000000" w:themeColor="text1"/>
          <w:sz w:val="20"/>
          <w:lang w:val="en-US"/>
        </w:rPr>
        <w:t xml:space="preserve">; </w:t>
      </w:r>
      <w:r>
        <w:rPr>
          <w:color w:val="000000" w:themeColor="text1"/>
          <w:sz w:val="20"/>
        </w:rPr>
        <w:t>тел</w:t>
      </w:r>
      <w:r>
        <w:rPr>
          <w:color w:val="000000" w:themeColor="text1"/>
          <w:sz w:val="20"/>
          <w:lang w:val="en-US"/>
        </w:rPr>
        <w:t>.: +79243250418</w:t>
      </w:r>
    </w:p>
    <w:p w:rsidR="00517711" w:rsidRDefault="00F815BE">
      <w:pPr>
        <w:pStyle w:val="msonormalbullet1gif"/>
        <w:spacing w:before="0" w:beforeAutospacing="0" w:after="0" w:afterAutospacing="0"/>
        <w:jc w:val="center"/>
        <w:rPr>
          <w:sz w:val="20"/>
        </w:rPr>
      </w:pPr>
      <w:r>
        <w:rPr>
          <w:sz w:val="20"/>
        </w:rPr>
        <w:t>ул. Гоголя, 41, г. Владивосток, Приморский край, Россия, 690014</w:t>
      </w:r>
    </w:p>
    <w:p w:rsidR="00517711" w:rsidRDefault="00517711">
      <w:pPr>
        <w:pStyle w:val="msonormalbullet1gif"/>
        <w:spacing w:before="0" w:beforeAutospacing="0" w:after="0" w:afterAutospacing="0"/>
        <w:jc w:val="center"/>
        <w:rPr>
          <w:b/>
        </w:rPr>
      </w:pPr>
    </w:p>
    <w:p w:rsidR="00517711" w:rsidRDefault="00F815BE">
      <w:pPr>
        <w:pStyle w:val="msonormalbullet1gif"/>
        <w:spacing w:before="0" w:beforeAutospacing="0" w:after="0" w:afterAutospacing="0"/>
        <w:jc w:val="center"/>
        <w:rPr>
          <w:rFonts w:ascii="Arial" w:hAnsi="Arial" w:cs="Arial"/>
          <w:b/>
        </w:rPr>
      </w:pPr>
      <w:r>
        <w:rPr>
          <w:rFonts w:ascii="Arial" w:hAnsi="Arial" w:cs="Arial"/>
          <w:b/>
        </w:rPr>
        <w:t>Вершинина Анна Генадьевна</w:t>
      </w:r>
    </w:p>
    <w:p w:rsidR="00517711" w:rsidRDefault="00F815BE">
      <w:pPr>
        <w:pStyle w:val="msonormalbullet1gif"/>
        <w:spacing w:before="0" w:beforeAutospacing="0" w:after="0" w:afterAutospacing="0"/>
        <w:jc w:val="center"/>
        <w:rPr>
          <w:rFonts w:ascii="Arial" w:hAnsi="Arial" w:cs="Arial"/>
        </w:rPr>
      </w:pPr>
      <w:r>
        <w:rPr>
          <w:rFonts w:ascii="Arial" w:hAnsi="Arial" w:cs="Arial"/>
        </w:rPr>
        <w:t>Руководитель, кандидат технических наук, доцент</w:t>
      </w:r>
    </w:p>
    <w:p w:rsidR="00517711" w:rsidRDefault="00F815BE">
      <w:pPr>
        <w:pStyle w:val="msonormalbullet1gif"/>
        <w:spacing w:before="0" w:beforeAutospacing="0" w:after="0" w:afterAutospacing="0"/>
        <w:jc w:val="center"/>
        <w:rPr>
          <w:rFonts w:ascii="Arial" w:hAnsi="Arial" w:cs="Arial"/>
        </w:rPr>
      </w:pPr>
      <w:r>
        <w:rPr>
          <w:rFonts w:ascii="Arial" w:hAnsi="Arial" w:cs="Arial"/>
        </w:rPr>
        <w:t>кафедры международного маркетинга и торговли</w:t>
      </w:r>
    </w:p>
    <w:p w:rsidR="00517711" w:rsidRDefault="00517711">
      <w:pPr>
        <w:pStyle w:val="msonormalbullet1gif"/>
        <w:spacing w:before="0" w:beforeAutospacing="0" w:after="0" w:afterAutospacing="0"/>
        <w:jc w:val="center"/>
        <w:rPr>
          <w:i/>
        </w:rPr>
      </w:pPr>
    </w:p>
    <w:p w:rsidR="00517711" w:rsidRDefault="00F815BE">
      <w:pPr>
        <w:pStyle w:val="msonormalbullet1gif"/>
        <w:spacing w:before="0" w:beforeAutospacing="0" w:after="0" w:afterAutospacing="0"/>
        <w:jc w:val="center"/>
        <w:rPr>
          <w:i/>
          <w:sz w:val="21"/>
          <w:szCs w:val="21"/>
        </w:rPr>
      </w:pPr>
      <w:r>
        <w:rPr>
          <w:i/>
          <w:sz w:val="21"/>
          <w:szCs w:val="21"/>
        </w:rPr>
        <w:t>Владивостокский государственный университет экономики и сервиса</w:t>
      </w:r>
    </w:p>
    <w:p w:rsidR="00517711" w:rsidRDefault="00F815BE">
      <w:pPr>
        <w:pStyle w:val="msonormalbullet1gif"/>
        <w:spacing w:before="0" w:beforeAutospacing="0" w:after="0" w:afterAutospacing="0"/>
        <w:jc w:val="center"/>
        <w:rPr>
          <w:i/>
          <w:sz w:val="21"/>
          <w:szCs w:val="21"/>
        </w:rPr>
      </w:pPr>
      <w:r>
        <w:rPr>
          <w:i/>
          <w:sz w:val="21"/>
          <w:szCs w:val="21"/>
        </w:rPr>
        <w:t>Россия. Владивосток</w:t>
      </w:r>
    </w:p>
    <w:p w:rsidR="00517711" w:rsidRDefault="00517711">
      <w:pPr>
        <w:pStyle w:val="msonormalbullet1gif"/>
        <w:spacing w:before="0" w:beforeAutospacing="0" w:after="0" w:afterAutospacing="0"/>
        <w:jc w:val="center"/>
      </w:pPr>
    </w:p>
    <w:p w:rsidR="00517711" w:rsidRPr="008A2A0D" w:rsidRDefault="00F815BE">
      <w:pPr>
        <w:pStyle w:val="msonormalbullet1gif"/>
        <w:spacing w:before="0" w:beforeAutospacing="0" w:after="0" w:afterAutospacing="0"/>
        <w:jc w:val="center"/>
        <w:rPr>
          <w:color w:val="000000"/>
          <w:sz w:val="20"/>
        </w:rPr>
      </w:pPr>
      <w:r>
        <w:rPr>
          <w:color w:val="000000" w:themeColor="text1"/>
          <w:sz w:val="20"/>
          <w:lang w:val="en-US"/>
        </w:rPr>
        <w:t>E</w:t>
      </w:r>
      <w:r w:rsidRPr="008A2A0D">
        <w:rPr>
          <w:color w:val="000000" w:themeColor="text1"/>
          <w:sz w:val="20"/>
        </w:rPr>
        <w:t>-</w:t>
      </w:r>
      <w:r>
        <w:rPr>
          <w:color w:val="000000" w:themeColor="text1"/>
          <w:sz w:val="20"/>
          <w:lang w:val="en-US"/>
        </w:rPr>
        <w:t>mail</w:t>
      </w:r>
      <w:r w:rsidRPr="008A2A0D">
        <w:rPr>
          <w:color w:val="000000" w:themeColor="text1"/>
          <w:sz w:val="20"/>
        </w:rPr>
        <w:t xml:space="preserve">: </w:t>
      </w:r>
      <w:hyperlink r:id="rId28" w:history="1">
        <w:r>
          <w:rPr>
            <w:rStyle w:val="aa"/>
            <w:color w:val="000000" w:themeColor="text1"/>
            <w:sz w:val="20"/>
            <w:lang w:val="en-US"/>
          </w:rPr>
          <w:t>Anna</w:t>
        </w:r>
        <w:r w:rsidRPr="008A2A0D">
          <w:rPr>
            <w:rStyle w:val="aa"/>
            <w:color w:val="000000" w:themeColor="text1"/>
            <w:sz w:val="20"/>
          </w:rPr>
          <w:t>.</w:t>
        </w:r>
        <w:r>
          <w:rPr>
            <w:rStyle w:val="aa"/>
            <w:color w:val="000000" w:themeColor="text1"/>
            <w:sz w:val="20"/>
            <w:lang w:val="en-US"/>
          </w:rPr>
          <w:t>Vershinina</w:t>
        </w:r>
        <w:r w:rsidRPr="008A2A0D">
          <w:rPr>
            <w:rStyle w:val="aa"/>
            <w:color w:val="000000" w:themeColor="text1"/>
            <w:sz w:val="20"/>
          </w:rPr>
          <w:t>@</w:t>
        </w:r>
        <w:r>
          <w:rPr>
            <w:rStyle w:val="aa"/>
            <w:color w:val="000000" w:themeColor="text1"/>
            <w:sz w:val="20"/>
            <w:lang w:val="en-US"/>
          </w:rPr>
          <w:t>vvsu</w:t>
        </w:r>
        <w:r w:rsidRPr="008A2A0D">
          <w:rPr>
            <w:rStyle w:val="aa"/>
            <w:color w:val="000000" w:themeColor="text1"/>
            <w:sz w:val="20"/>
          </w:rPr>
          <w:t>.</w:t>
        </w:r>
        <w:r>
          <w:rPr>
            <w:rStyle w:val="aa"/>
            <w:color w:val="000000" w:themeColor="text1"/>
            <w:sz w:val="20"/>
            <w:lang w:val="en-US"/>
          </w:rPr>
          <w:t>ru</w:t>
        </w:r>
      </w:hyperlink>
      <w:r w:rsidRPr="008A2A0D">
        <w:rPr>
          <w:color w:val="000000" w:themeColor="text1"/>
          <w:sz w:val="20"/>
        </w:rPr>
        <w:t xml:space="preserve">; </w:t>
      </w:r>
      <w:r>
        <w:rPr>
          <w:color w:val="000000" w:themeColor="text1"/>
          <w:sz w:val="20"/>
        </w:rPr>
        <w:t>тел</w:t>
      </w:r>
      <w:r w:rsidRPr="008A2A0D">
        <w:rPr>
          <w:color w:val="000000" w:themeColor="text1"/>
          <w:sz w:val="20"/>
        </w:rPr>
        <w:t>.: +79084413799</w:t>
      </w:r>
    </w:p>
    <w:p w:rsidR="00517711" w:rsidRDefault="00F815BE">
      <w:pPr>
        <w:pStyle w:val="msonormalbullet1gif"/>
        <w:spacing w:before="0" w:beforeAutospacing="0" w:after="0" w:afterAutospacing="0"/>
        <w:jc w:val="center"/>
        <w:rPr>
          <w:color w:val="000000"/>
          <w:sz w:val="20"/>
        </w:rPr>
      </w:pPr>
      <w:r>
        <w:rPr>
          <w:color w:val="000000" w:themeColor="text1"/>
          <w:sz w:val="20"/>
        </w:rPr>
        <w:t>ул. Гоголя, 41, г. Владивосток, Приморский край, Россия, 690014</w:t>
      </w:r>
    </w:p>
    <w:p w:rsidR="00517711" w:rsidRDefault="00517711">
      <w:pPr>
        <w:pStyle w:val="msonormalbullet1gif"/>
        <w:spacing w:before="0" w:beforeAutospacing="0" w:after="0" w:afterAutospacing="0"/>
        <w:jc w:val="center"/>
      </w:pPr>
    </w:p>
    <w:p w:rsidR="00517711" w:rsidRDefault="00F815BE">
      <w:pPr>
        <w:spacing w:after="0" w:line="240" w:lineRule="auto"/>
        <w:ind w:firstLine="709"/>
        <w:jc w:val="both"/>
        <w:rPr>
          <w:rFonts w:ascii="Times New Roman" w:hAnsi="Times New Roman"/>
          <w:i/>
          <w:szCs w:val="24"/>
          <w:shd w:val="clear" w:color="auto" w:fill="FFFFFF"/>
        </w:rPr>
      </w:pPr>
      <w:r>
        <w:rPr>
          <w:rFonts w:ascii="Times New Roman" w:hAnsi="Times New Roman"/>
          <w:i/>
          <w:szCs w:val="24"/>
          <w:shd w:val="clear" w:color="auto" w:fill="FFFFFF"/>
        </w:rPr>
        <w:t>Статья посвящена проблеме развития рынка продукции с использованием ГМО. В ней представлены результаты анализа мирового и отечественного рынка, указаны причины появления, преобладающие положительные свойства ГМ-культур для рынка, производителей и потребителей, а также их распространение во многих странах. В статье, также, представлены возможные причины негативного восприятия ГМО-продуктов на территории Российской Федерации.</w:t>
      </w:r>
    </w:p>
    <w:p w:rsidR="00517711" w:rsidRDefault="00517711">
      <w:pPr>
        <w:spacing w:after="0" w:line="240" w:lineRule="auto"/>
        <w:ind w:firstLine="709"/>
        <w:jc w:val="both"/>
        <w:rPr>
          <w:rFonts w:ascii="Times New Roman" w:hAnsi="Times New Roman"/>
          <w:i/>
          <w:szCs w:val="24"/>
          <w:shd w:val="clear" w:color="auto" w:fill="FFFFFF"/>
        </w:rPr>
      </w:pPr>
    </w:p>
    <w:p w:rsidR="00517711" w:rsidRDefault="00F815BE">
      <w:pPr>
        <w:spacing w:after="0" w:line="240" w:lineRule="auto"/>
        <w:ind w:firstLine="709"/>
        <w:jc w:val="both"/>
        <w:rPr>
          <w:rFonts w:ascii="Times New Roman" w:hAnsi="Times New Roman"/>
          <w:i/>
          <w:szCs w:val="24"/>
          <w:shd w:val="clear" w:color="auto" w:fill="FFFFFF"/>
        </w:rPr>
      </w:pPr>
      <w:r>
        <w:rPr>
          <w:rFonts w:ascii="Times New Roman" w:hAnsi="Times New Roman"/>
          <w:b/>
          <w:i/>
          <w:szCs w:val="24"/>
          <w:shd w:val="clear" w:color="auto" w:fill="FFFFFF"/>
        </w:rPr>
        <w:t>Ключевые слова и словосочетания:</w:t>
      </w:r>
      <w:r>
        <w:rPr>
          <w:rFonts w:ascii="Times New Roman" w:hAnsi="Times New Roman"/>
          <w:i/>
          <w:szCs w:val="24"/>
          <w:shd w:val="clear" w:color="auto" w:fill="FFFFFF"/>
        </w:rPr>
        <w:t xml:space="preserve"> рынок, ГМ-культура, ГМО, биоразнобразие, трансгенные растения, мировой рынок, селекция</w:t>
      </w:r>
    </w:p>
    <w:p w:rsidR="00517711" w:rsidRDefault="00517711">
      <w:pPr>
        <w:pStyle w:val="msonormalbullet1gif"/>
        <w:spacing w:before="0" w:beforeAutospacing="0" w:after="0" w:afterAutospacing="0"/>
        <w:jc w:val="both"/>
      </w:pPr>
    </w:p>
    <w:p w:rsidR="00517711" w:rsidRDefault="00F815BE">
      <w:pPr>
        <w:spacing w:after="0" w:line="240" w:lineRule="auto"/>
        <w:ind w:firstLine="709"/>
        <w:jc w:val="center"/>
        <w:rPr>
          <w:rFonts w:ascii="Book Antiqua" w:hAnsi="Book Antiqua"/>
          <w:b/>
          <w:sz w:val="26"/>
          <w:szCs w:val="26"/>
          <w:lang w:val="en-US"/>
        </w:rPr>
      </w:pPr>
      <w:r>
        <w:rPr>
          <w:rFonts w:ascii="Book Antiqua" w:hAnsi="Book Antiqua"/>
          <w:b/>
          <w:sz w:val="26"/>
          <w:szCs w:val="26"/>
          <w:lang w:val="en-US"/>
        </w:rPr>
        <w:t>THE PROBLEM OF DEVELOPING THE MARKET OF PRODUCTS USING GMOS</w:t>
      </w:r>
    </w:p>
    <w:p w:rsidR="00517711" w:rsidRDefault="00517711">
      <w:pPr>
        <w:spacing w:after="0" w:line="240" w:lineRule="auto"/>
        <w:rPr>
          <w:rFonts w:ascii="Times New Roman" w:hAnsi="Times New Roman"/>
          <w:i/>
          <w:sz w:val="24"/>
          <w:lang w:val="en-US"/>
        </w:rPr>
      </w:pPr>
    </w:p>
    <w:p w:rsidR="00517711" w:rsidRDefault="00F815BE">
      <w:pPr>
        <w:spacing w:after="0" w:line="240" w:lineRule="auto"/>
        <w:ind w:firstLine="709"/>
        <w:jc w:val="both"/>
        <w:rPr>
          <w:rFonts w:ascii="Times New Roman" w:hAnsi="Times New Roman"/>
          <w:i/>
          <w:lang w:val="en-US"/>
        </w:rPr>
      </w:pPr>
      <w:r>
        <w:rPr>
          <w:rFonts w:ascii="Times New Roman" w:hAnsi="Times New Roman"/>
          <w:i/>
          <w:lang w:val="en-US"/>
        </w:rPr>
        <w:t>The article is devoted to the development of the market of products using GMOs.  It presents the analysis’s results of the world and domestic market, indicates the reasons for the emergence, the predominant positive properties of GM crops for the market, producers and consumers, and their distribution in many countries.  The article also presents possible reasons for the negative perception of GMO products on the territory of the Russian Federation.</w:t>
      </w:r>
    </w:p>
    <w:p w:rsidR="00517711" w:rsidRDefault="00F815BE">
      <w:pPr>
        <w:spacing w:after="0" w:line="240" w:lineRule="auto"/>
        <w:ind w:firstLine="709"/>
        <w:jc w:val="both"/>
        <w:rPr>
          <w:rFonts w:ascii="Times New Roman" w:hAnsi="Times New Roman"/>
          <w:i/>
          <w:lang w:val="en-US"/>
        </w:rPr>
      </w:pPr>
      <w:r>
        <w:rPr>
          <w:rFonts w:ascii="Times New Roman" w:hAnsi="Times New Roman"/>
          <w:b/>
          <w:i/>
          <w:lang w:val="en-US"/>
        </w:rPr>
        <w:t>Key words:</w:t>
      </w:r>
      <w:r>
        <w:rPr>
          <w:rFonts w:ascii="Times New Roman" w:hAnsi="Times New Roman"/>
          <w:i/>
          <w:lang w:val="en-US"/>
        </w:rPr>
        <w:t xml:space="preserve"> market, GM culture, GMOs, biodiversity, transgenic plants, world market, selection</w:t>
      </w:r>
    </w:p>
    <w:p w:rsidR="00517711" w:rsidRDefault="00517711">
      <w:pPr>
        <w:spacing w:after="0" w:line="240" w:lineRule="auto"/>
        <w:ind w:firstLine="709"/>
        <w:jc w:val="both"/>
        <w:rPr>
          <w:rFonts w:ascii="Times New Roman" w:hAnsi="Times New Roman"/>
          <w:b/>
          <w:color w:val="333333"/>
          <w:sz w:val="24"/>
          <w:szCs w:val="24"/>
          <w:shd w:val="clear" w:color="auto" w:fill="FFFFFF"/>
          <w:lang w:val="en-US"/>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Тема ГМО считается актуальной, т.к. на данный момент мировой рынок заинтересован в выращивании ГМ-культур и производстве продукции, в которой они присутствуют.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Целью доклада является изучение проблемы развития рынка продукции с использованием ГМО.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соответствии с поставленной целью, были поставлены следующие задачи: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lastRenderedPageBreak/>
        <w:t>- проанализировать источники;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рассмотреть мировой и российский рынки производства продукции;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сравнить полученные данные о рынках с наличием ГМО в продукции.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Сегодня все больше и больше генетически модифицированных растений приходит в нашу жизнь. Благодаря им, мы получаем продукты питания, различные компоненты, лекарства.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Генная инженерия появилась сравнительно недавно, но уже заняла свою нишу в плане разработки продуктов питания. Мировой рынок приветствует продукцию с ГМ вставками. Только за 2012 год было выделено 5 стран-лидеров по выработке ГМ-культур: США, Канада, Бразилия, Аргентина, Индия. На этом все не закончилось и с каждым годом список стран, приверженных к политике внедрения ГМО на рынок становится только больше.</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Европе в 2015 году проблемы, связанные с генетически модифицированными продуктами, продолжают вызывать большие споры. 61% граждан европейских стран выступают против разработки и распространения генетически модифицированных организмов (ГМО). Отвечая на вопрос, что их больше всего беспокоит в связи с ГМ-пищей, они отмечают загрязненность пестицидами, наличие в мясе антибиотиков или гормонов, зараженность диоксинами и ртутью, а также присутствие ГМО. Однако, согласно данным исследований, посвященных изучению каждодневных покупок европейцев, при наличии выбора между генномодифицированными и негенномодифицированными продуктами потребители, вопреки тому, что они отвечают в интервью, покупают продукты с маркировкой ГМО. Оказывается, что для них более важна цена, а не маркировка о наличии ГМО. [2]</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Однако, уже доказано, что химическая нагрузка на поля с ГМО снижается почти на 40%, а за счёт меньшего давления на окружающую среду на полях увеличивается биоразнообразие.</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К тому же классическая селекция, наиболее распространенная традиционная методика выведения сортов растений, может совершать ошибки. Например, в 1968 году американцы методом обычной селекции вывели картошку “Ленапе” (Lenape). Данный сорт картофеля содержал огромное количество крахмала (хорошо подходит для обжарки), но спустя пару лет после успешного выхода этого сорта на рынок оказалось, что в нем сильно повышено содержание соланина, поэтому его коммерческое выращивание прекратили. Содержание данного ядовитого вещества во многом зависит от условий выращивания картофеля и хранения. Соланин вызывает разложение эритроцитов, тошноту, головную боль, повышение температуры, а в тяжелых случаях судороги, делирий (помраченное сознание) и кому [4].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Генная инженерия позволяет получать культурные сорта растений, с большей точностью и с минимальностью рисков, в сравнении с традиционной селекцией, которые дают больше урожая, позволяя тем самым сокращать посевные площади, отдавая их под природные экосистемы, богатые растительностью.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Также в растениеводстве по всему миру используют ГМ-культуру, которая имеет устойчивость к холоду и вредителю. Эти показатели очень важны, так как благодаря ним у нас увеличится количество урожая.</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К тому же, ГМ технологии были внедрены в сельское хозяйство, в связи со снижением использовании химикатов, такие как пестициды, гербициды и инсектициды. Так как проще, создавать культурные сорта с устойчивостью к конкретным вредителям и воздействию окружающей среды, чем использовать нецелевые способы для получения культурных сортов. Ученые полагают, что ГМ-растения могут быть даже безопаснее и полезнее обычных. Уже есть некоторые данные о том, что трансгенные растения, устойчивые к вредоносным насекомым, уменьшают вероятность отравления человека инсектицидами. Биотехнологические компании раскрывают технологии, показывая во многом дружественность этих растений к окружающей среде за счет снижения пестицидной нагрузки, более бережного отношения к влаге, почве и так далее. </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Так товары с генной вставкой могут иметь и много положительных свойств, как вкус, цвет, долгое хранение, дополнительные витамины и все они абсолютно безвредны. Например, фиолетовые помидоры, богатые антоцианом (известным антиоксидантом), и выведенные методом генной инженерии. Помидоры с генной вставкой черники или клюквы, с высоким содержанием антоцианов, могут помочь организму бороться со многими заболеваниями, такими как рак, диабет, неврологические расстройства, артрит и многие другие. </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Или желтый рис, богатый витамином А, нехватка которого в организме человека ведет к ухудшению зрения, сухости кожи, переутомляемости. Стоит съедать 75 граммов такого риса, насыщенного бета-каротином, и нехватка витамина будет устранена.</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От ГМО не умер никто, а от пищевых инфекций умирают тысячи людей в развитых странах. Причем предотвратить заражение в большинстве случаев можно, соблюдая банальные правила гигиены и санитарии, правильно готовя пищу, тщательно промывая фрукты и овощи.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России по закону запрещено выращивать и разводить растения и животных, генетическая программа которых изменена с использованием методов генной инженерии, но ГМ-продукты разрешены к импорту и использованию для пищи в большинстве стран мира. [1] Именно поэтому магазинные полки России заполняет импорт ГМО.</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Несмотря на то, что большинство покупателей даже не смотрят на маркировку, в нашей стране с осторожностью и опаской относятся к продуктам, в составе которых находятся ГМО. В большинстве случаев, это происходит из-за незнания или надуманных ужастиках о «вреде ГМО» со стороны СМИ. Российский покупатель становится приверженцем так называемой «натуральной пищи», ссылаясь на то, что она более безопасна, чем продукт с ГМО. Но у «натурального» есть и обратная сторона медали. Например, в 1996 году компаний «</w:t>
      </w:r>
      <w:r>
        <w:rPr>
          <w:rFonts w:ascii="Times New Roman" w:hAnsi="Times New Roman" w:cs="Times New Roman"/>
          <w:sz w:val="20"/>
          <w:szCs w:val="20"/>
          <w:lang w:val="en-US"/>
        </w:rPr>
        <w:t>Odwalla</w:t>
      </w:r>
      <w:r>
        <w:rPr>
          <w:rFonts w:ascii="Times New Roman" w:hAnsi="Times New Roman" w:cs="Times New Roman"/>
          <w:sz w:val="20"/>
          <w:szCs w:val="20"/>
        </w:rPr>
        <w:t xml:space="preserve">», производившая непастеризованные натуральные соки, оказалась в центре скандала, когда </w:t>
      </w:r>
      <w:r>
        <w:rPr>
          <w:rFonts w:ascii="Times New Roman" w:hAnsi="Times New Roman" w:cs="Times New Roman"/>
          <w:sz w:val="20"/>
          <w:szCs w:val="20"/>
        </w:rPr>
        <w:lastRenderedPageBreak/>
        <w:t>ее продукцией отравилось 67 человек, один из которых умер. Яблочный сок содержал патогенный штамм кишечной палочки. Но отказ от пастеризации (одноразового нагревания жидкости с целью убить микробов) использовался как маркетинговый ход, направленный на любителей «натуральной пищи». Яркий пример «безопасной натуральной пищи».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Так в 2013 году портал «Slon.ru» провел интересный эксперимент. На сайте была выложена анкета из 12 вопросов, для того чтобы определить интеллектуальный уровень среднего россиянина, среди которых было одно коварное заявление, что «обычные растения не содержат генов, а гены содержатся только в трансгенных растениях». И 71% россиян согласились с этим утверждением. Это, конечно, катастрофа, и это показывает, что уровень знаний недостаточно высокий, хотя надо сказать, что европейцы тоже недалеко ушли. У них речь шла о трансгенных томатах, но суть приблизительно такова, что около 60% не сумели себе представить обычный томат, который содержит геномы.[3]</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Также, на российском рынке много импортной продукции, которая может содержать ГМО, и иногда из-за отсутствия маркировки многие потребители не знают об этом. Поэтому многие производители идут на хитрость и ставят маркировку на свой товар «без ГМО», пытаясь нажиться на необразованных потребителях. </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Таким образом, можно сделать вывод, что проблема рынка продукции с использованием ГМО заключается в незнании людей о принципе работы генной инженерии и о том, что такое «натуральное». Из-за страха, что товар может быть не безопасен (хотя это абсурд) спрос на него маленький и завоз таких продуктов ограничен. Только в будущем, когда люди смогут убедиться, что ГМ - продукция безопасна, только тогда рынок будет расти, и разнообразие качественных продуктов возрастет.</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________________________________________________________________________</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1. Комарова С. Г. Правовое регулирование генетически модифицированных продуктов в России / Комарова С.Г., Тигранян Т.С. // Успехи в химии и химической технологии. - 2016. - № 2 (171). - С. 56-57.</w:t>
      </w:r>
    </w:p>
    <w:p w:rsidR="00517711" w:rsidRDefault="00F815BE">
      <w:pPr>
        <w:spacing w:after="0" w:line="240" w:lineRule="auto"/>
        <w:ind w:firstLine="709"/>
        <w:jc w:val="both"/>
        <w:rPr>
          <w:rFonts w:ascii="Times New Roman" w:hAnsi="Times New Roman" w:cs="Times New Roman"/>
          <w:color w:val="505050"/>
          <w:sz w:val="20"/>
          <w:szCs w:val="20"/>
          <w:lang w:val="en-US"/>
        </w:rPr>
      </w:pPr>
      <w:r>
        <w:rPr>
          <w:rFonts w:ascii="Times New Roman" w:hAnsi="Times New Roman" w:cs="Times New Roman"/>
          <w:sz w:val="20"/>
          <w:szCs w:val="20"/>
          <w:lang w:val="en-US"/>
        </w:rPr>
        <w:t>2. Twardowski T., Malyska A. R. Uninformed and disinformed society and the GMO market [Electronic resources] // - Trends in biotechnology. - URL: https://www.sciencedirect.com/science/article/pii/S0167779914002327</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 Юдин Б.Г. Социальные и гуманитарные науки / Б. Г. Юдин // Отечественная и зарубежная литература. Серия 8: Науковедение. Реферативный журнал. - 2015. - № 2. - С. 24-27.</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4. FAQ: Биотехнологии и общество [Электронный ресурс] // </w:t>
      </w:r>
      <w:r>
        <w:rPr>
          <w:rFonts w:ascii="Times New Roman" w:hAnsi="Times New Roman" w:cs="Times New Roman"/>
          <w:sz w:val="20"/>
          <w:szCs w:val="20"/>
          <w:lang w:val="en-US"/>
        </w:rPr>
        <w:t>Postnauka</w:t>
      </w:r>
      <w:r>
        <w:rPr>
          <w:rFonts w:ascii="Times New Roman" w:hAnsi="Times New Roman" w:cs="Times New Roman"/>
          <w:sz w:val="20"/>
          <w:szCs w:val="20"/>
        </w:rPr>
        <w:t>.</w:t>
      </w:r>
      <w:r>
        <w:rPr>
          <w:rFonts w:ascii="Times New Roman" w:hAnsi="Times New Roman" w:cs="Times New Roman"/>
          <w:sz w:val="20"/>
          <w:szCs w:val="20"/>
          <w:lang w:val="en-US"/>
        </w:rPr>
        <w:t>ru</w:t>
      </w:r>
      <w:r>
        <w:rPr>
          <w:rFonts w:ascii="Times New Roman" w:hAnsi="Times New Roman" w:cs="Times New Roman"/>
          <w:sz w:val="20"/>
          <w:szCs w:val="20"/>
        </w:rPr>
        <w:t xml:space="preserve">: официал. сайт. – Режим доступа: </w:t>
      </w:r>
      <w:hyperlink r:id="rId29" w:history="1">
        <w:r>
          <w:rPr>
            <w:rStyle w:val="aa"/>
            <w:rFonts w:ascii="Times New Roman" w:hAnsi="Times New Roman" w:cs="Times New Roman"/>
            <w:sz w:val="20"/>
            <w:szCs w:val="20"/>
          </w:rPr>
          <w:t>https://postnauka.ru/faq/28344</w:t>
        </w:r>
      </w:hyperlink>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5. Панчин А. Сумма биотехнологии / А. Панчин. - Москва: ООО «Издательство Аст» 2016. 432 с. (Книга написана с использованием 514 источников)</w:t>
      </w:r>
    </w:p>
    <w:p w:rsidR="00517711" w:rsidRDefault="00517711">
      <w:pPr>
        <w:spacing w:after="0" w:line="240" w:lineRule="auto"/>
        <w:jc w:val="both"/>
        <w:rPr>
          <w:rFonts w:ascii="Times New Roman" w:hAnsi="Times New Roman" w:cs="Times New Roman"/>
          <w:sz w:val="20"/>
          <w:szCs w:val="20"/>
        </w:rPr>
      </w:pPr>
    </w:p>
    <w:p w:rsidR="00517711" w:rsidRDefault="00F815BE">
      <w:pPr>
        <w:rPr>
          <w:lang w:eastAsia="ru-RU"/>
        </w:rPr>
      </w:pPr>
      <w:r>
        <w:rPr>
          <w:lang w:eastAsia="ru-RU"/>
        </w:rPr>
        <w:br w:type="page"/>
      </w:r>
    </w:p>
    <w:p w:rsidR="00517711" w:rsidRDefault="00F815BE">
      <w:pPr>
        <w:keepNext/>
        <w:pageBreakBefore/>
        <w:spacing w:after="240" w:line="240" w:lineRule="auto"/>
        <w:jc w:val="center"/>
        <w:outlineLvl w:val="0"/>
        <w:rPr>
          <w:rFonts w:ascii="Book Antiqua" w:hAnsi="Book Antiqua" w:cs="Times New Roman"/>
          <w:b/>
          <w:bCs/>
          <w:caps/>
          <w:sz w:val="24"/>
          <w:szCs w:val="20"/>
          <w:lang w:eastAsia="ru-RU"/>
        </w:rPr>
      </w:pPr>
      <w:r>
        <w:rPr>
          <w:rFonts w:ascii="Book Antiqua" w:hAnsi="Book Antiqua" w:cs="Times New Roman"/>
          <w:b/>
          <w:bCs/>
          <w:sz w:val="24"/>
          <w:szCs w:val="20"/>
          <w:lang w:eastAsia="ru-RU"/>
        </w:rPr>
        <w:lastRenderedPageBreak/>
        <w:t>Секция</w:t>
      </w:r>
      <w:r>
        <w:rPr>
          <w:rFonts w:ascii="Book Antiqua" w:hAnsi="Book Antiqua" w:cs="Times New Roman"/>
          <w:b/>
          <w:bCs/>
          <w:caps/>
          <w:sz w:val="24"/>
          <w:szCs w:val="20"/>
          <w:lang w:eastAsia="ru-RU"/>
        </w:rPr>
        <w:t>. Современные проблемы и тенденции развития логистики и управления цепями поставок</w:t>
      </w:r>
    </w:p>
    <w:p w:rsidR="00517711" w:rsidRDefault="00F815BE">
      <w:pPr>
        <w:keepNext/>
        <w:spacing w:before="120" w:after="120" w:line="240" w:lineRule="auto"/>
        <w:outlineLvl w:val="3"/>
        <w:rPr>
          <w:rFonts w:ascii="Times New Roman" w:eastAsia="Calibri" w:hAnsi="Times New Roman" w:cs="Times New Roman"/>
          <w:b/>
          <w:bCs/>
          <w:sz w:val="20"/>
          <w:szCs w:val="28"/>
        </w:rPr>
      </w:pPr>
      <w:r>
        <w:rPr>
          <w:rFonts w:ascii="Times New Roman" w:eastAsia="Calibri" w:hAnsi="Times New Roman" w:cs="Times New Roman"/>
          <w:b/>
          <w:bCs/>
          <w:sz w:val="20"/>
          <w:szCs w:val="28"/>
        </w:rPr>
        <w:t>Рубрика: Современные проблемы и тенденции развития логистики и управления цепями поставок</w:t>
      </w:r>
    </w:p>
    <w:p w:rsidR="00517711" w:rsidRDefault="00F815BE">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УДК</w:t>
      </w:r>
    </w:p>
    <w:p w:rsidR="00517711" w:rsidRDefault="00F815BE">
      <w:pPr>
        <w:keepNext/>
        <w:spacing w:before="240" w:after="240" w:line="240" w:lineRule="auto"/>
        <w:jc w:val="center"/>
        <w:outlineLvl w:val="0"/>
        <w:rPr>
          <w:rFonts w:ascii="Book Antiqua" w:hAnsi="Book Antiqua" w:cs="Times New Roman"/>
          <w:b/>
          <w:bCs/>
          <w:caps/>
          <w:sz w:val="26"/>
          <w:szCs w:val="26"/>
        </w:rPr>
      </w:pPr>
      <w:r>
        <w:rPr>
          <w:rFonts w:ascii="Book Antiqua" w:hAnsi="Book Antiqua" w:cs="Times New Roman"/>
          <w:b/>
          <w:bCs/>
          <w:caps/>
          <w:sz w:val="26"/>
          <w:szCs w:val="26"/>
        </w:rPr>
        <w:t>Повышение эффективности участия ВГУЭС в государственных закупках в качестве поставщика</w:t>
      </w:r>
    </w:p>
    <w:p w:rsidR="00517711" w:rsidRDefault="00F815BE">
      <w:pPr>
        <w:spacing w:after="0"/>
        <w:jc w:val="center"/>
        <w:rPr>
          <w:rFonts w:ascii="Arial" w:eastAsia="Calibri" w:hAnsi="Arial" w:cs="Times New Roman"/>
          <w:b/>
          <w:bCs/>
          <w:sz w:val="24"/>
          <w:szCs w:val="20"/>
          <w:lang w:eastAsia="ru-RU"/>
        </w:rPr>
      </w:pPr>
      <w:r>
        <w:rPr>
          <w:rFonts w:ascii="Arial" w:eastAsia="Calibri" w:hAnsi="Arial" w:cs="Times New Roman"/>
          <w:b/>
          <w:bCs/>
          <w:sz w:val="24"/>
          <w:szCs w:val="20"/>
          <w:lang w:eastAsia="ru-RU"/>
        </w:rPr>
        <w:t>Головко Анастасия Викторовна,</w:t>
      </w:r>
    </w:p>
    <w:p w:rsidR="00517711" w:rsidRDefault="00F815BE">
      <w:pPr>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бакалавр</w:t>
      </w: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Россия. Владивосток</w:t>
      </w:r>
    </w:p>
    <w:p w:rsidR="00517711" w:rsidRDefault="00F815BE">
      <w:pPr>
        <w:spacing w:after="0"/>
        <w:jc w:val="center"/>
        <w:rPr>
          <w:rFonts w:ascii="Times New Roman" w:hAnsi="Times New Roman" w:cs="Times New Roman"/>
          <w:sz w:val="20"/>
          <w:szCs w:val="20"/>
        </w:rPr>
      </w:pPr>
      <w:r>
        <w:rPr>
          <w:rFonts w:ascii="Times New Roman" w:hAnsi="Times New Roman" w:cs="Times New Roman"/>
          <w:sz w:val="20"/>
          <w:szCs w:val="20"/>
          <w:lang w:val="en-US"/>
        </w:rPr>
        <w:t>E</w:t>
      </w:r>
      <w:r>
        <w:rPr>
          <w:rFonts w:ascii="Times New Roman" w:hAnsi="Times New Roman" w:cs="Times New Roman"/>
          <w:sz w:val="20"/>
          <w:szCs w:val="20"/>
        </w:rPr>
        <w:t>-</w:t>
      </w:r>
      <w:r>
        <w:rPr>
          <w:rFonts w:ascii="Times New Roman" w:hAnsi="Times New Roman" w:cs="Times New Roman"/>
          <w:sz w:val="20"/>
          <w:szCs w:val="20"/>
          <w:lang w:val="en-US"/>
        </w:rPr>
        <w:t>mail</w:t>
      </w:r>
      <w:r>
        <w:rPr>
          <w:rFonts w:ascii="Times New Roman" w:hAnsi="Times New Roman" w:cs="Times New Roman"/>
          <w:sz w:val="20"/>
          <w:szCs w:val="20"/>
        </w:rPr>
        <w:t xml:space="preserve">: </w:t>
      </w:r>
      <w:r>
        <w:rPr>
          <w:rFonts w:ascii="Times New Roman" w:hAnsi="Times New Roman" w:cs="Times New Roman"/>
          <w:sz w:val="20"/>
          <w:szCs w:val="20"/>
          <w:lang w:val="en-US"/>
        </w:rPr>
        <w:t>avydark</w:t>
      </w:r>
      <w:r>
        <w:rPr>
          <w:rFonts w:ascii="Times New Roman" w:hAnsi="Times New Roman" w:cs="Times New Roman"/>
          <w:sz w:val="20"/>
          <w:szCs w:val="20"/>
        </w:rPr>
        <w:t>@</w:t>
      </w:r>
      <w:r>
        <w:rPr>
          <w:rFonts w:ascii="Times New Roman" w:hAnsi="Times New Roman" w:cs="Times New Roman"/>
          <w:sz w:val="20"/>
          <w:szCs w:val="20"/>
          <w:lang w:val="en-US"/>
        </w:rPr>
        <w:t>gmail</w:t>
      </w:r>
      <w:r>
        <w:rPr>
          <w:rFonts w:ascii="Times New Roman" w:hAnsi="Times New Roman" w:cs="Times New Roman"/>
          <w:sz w:val="20"/>
          <w:szCs w:val="20"/>
        </w:rPr>
        <w:t>.</w:t>
      </w:r>
      <w:r>
        <w:rPr>
          <w:rFonts w:ascii="Times New Roman" w:hAnsi="Times New Roman" w:cs="Times New Roman"/>
          <w:sz w:val="20"/>
          <w:szCs w:val="20"/>
          <w:lang w:val="en-US"/>
        </w:rPr>
        <w:t>com</w:t>
      </w:r>
      <w:r>
        <w:rPr>
          <w:rFonts w:ascii="Times New Roman" w:hAnsi="Times New Roman" w:cs="Times New Roman"/>
          <w:sz w:val="20"/>
          <w:szCs w:val="20"/>
        </w:rPr>
        <w:t>; +79024892331</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ул. Гоголя, 41, г. Владивосток, Приморский край, Россия, 690014</w:t>
      </w:r>
    </w:p>
    <w:p w:rsidR="00517711" w:rsidRDefault="00F815BE">
      <w:pPr>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Научный руководитель: канд.экон.наук, доцент Белозерцева Н.П.</w:t>
      </w:r>
    </w:p>
    <w:p w:rsidR="00517711" w:rsidRDefault="00F815BE">
      <w:pPr>
        <w:pStyle w:val="msonormalbullet2gif"/>
        <w:spacing w:before="0" w:beforeAutospacing="0" w:after="0" w:afterAutospacing="0"/>
        <w:ind w:firstLine="709"/>
        <w:jc w:val="both"/>
        <w:rPr>
          <w:i/>
          <w:sz w:val="22"/>
        </w:rPr>
      </w:pPr>
      <w:r>
        <w:rPr>
          <w:i/>
          <w:sz w:val="22"/>
        </w:rPr>
        <w:t>На современном рынке товаров и услуг России компаниям все сложней найти заказчика, основная причина этому - огромная конкуренция. В связи с этим возникает актуальная задача поиска эффективного способа привлечения заказчика. Решением этой задачи является тендер. Именно поэтому важно научиться эффективно принимать участие в торгах в качестве поставщика.</w:t>
      </w:r>
    </w:p>
    <w:p w:rsidR="00517711" w:rsidRDefault="00F815BE">
      <w:pPr>
        <w:pStyle w:val="msonormalbullet2gif"/>
        <w:spacing w:before="0" w:beforeAutospacing="0" w:after="0" w:afterAutospacing="0"/>
        <w:ind w:firstLine="709"/>
        <w:jc w:val="both"/>
        <w:rPr>
          <w:i/>
          <w:sz w:val="22"/>
        </w:rPr>
      </w:pPr>
      <w:r>
        <w:rPr>
          <w:b/>
          <w:i/>
          <w:sz w:val="22"/>
        </w:rPr>
        <w:t>Ключевые слова и словосочетания:</w:t>
      </w:r>
      <w:r>
        <w:rPr>
          <w:i/>
          <w:sz w:val="22"/>
        </w:rPr>
        <w:t xml:space="preserve"> тендер, государственные закупки, Россия, участие в торгах, поставщик.</w:t>
      </w:r>
    </w:p>
    <w:p w:rsidR="00517711" w:rsidRDefault="00F815BE">
      <w:pPr>
        <w:keepNext/>
        <w:spacing w:before="240" w:after="240" w:line="240" w:lineRule="auto"/>
        <w:jc w:val="center"/>
        <w:outlineLvl w:val="0"/>
        <w:rPr>
          <w:rFonts w:ascii="Book Antiqua" w:hAnsi="Book Antiqua" w:cs="Times New Roman"/>
          <w:b/>
          <w:bCs/>
          <w:caps/>
          <w:sz w:val="26"/>
          <w:szCs w:val="26"/>
          <w:lang w:val="en-US"/>
        </w:rPr>
      </w:pPr>
      <w:r>
        <w:rPr>
          <w:rFonts w:ascii="Book Antiqua" w:hAnsi="Book Antiqua" w:cs="Times New Roman"/>
          <w:b/>
          <w:bCs/>
          <w:caps/>
          <w:sz w:val="26"/>
          <w:szCs w:val="26"/>
          <w:lang w:val="en-US"/>
        </w:rPr>
        <w:t>Increasing the effectiveness of VSUES participation in public procurement as a supplier</w:t>
      </w:r>
    </w:p>
    <w:p w:rsidR="00517711" w:rsidRDefault="00F815BE">
      <w:pPr>
        <w:pStyle w:val="msonormalbullet2gif"/>
        <w:spacing w:before="0" w:beforeAutospacing="0" w:after="0" w:afterAutospacing="0"/>
        <w:ind w:firstLine="709"/>
        <w:jc w:val="both"/>
        <w:rPr>
          <w:i/>
          <w:sz w:val="22"/>
          <w:lang w:val="en-US"/>
        </w:rPr>
      </w:pPr>
      <w:r>
        <w:rPr>
          <w:i/>
          <w:sz w:val="22"/>
          <w:lang w:val="en-US"/>
        </w:rPr>
        <w:t>In the modern market of goods and services of Russia, it is increasingly difficult for companies to find a customer, the main reason for this is huge competition. In this regard, there is an urgent problem of finding an effective way to attract a customer. The solution of this task is the tender. That is why it is important to learn how to effectively participate in bidding as a supplier.</w:t>
      </w:r>
    </w:p>
    <w:p w:rsidR="00517711" w:rsidRDefault="00F815BE">
      <w:pPr>
        <w:pStyle w:val="msonormalbullet2gif"/>
        <w:spacing w:before="0" w:beforeAutospacing="0" w:after="0" w:afterAutospacing="0"/>
        <w:ind w:firstLine="709"/>
        <w:jc w:val="both"/>
        <w:rPr>
          <w:i/>
          <w:lang w:val="en-US"/>
        </w:rPr>
      </w:pPr>
      <w:r>
        <w:rPr>
          <w:b/>
          <w:i/>
          <w:lang w:val="en-US"/>
        </w:rPr>
        <w:t>Keywords:</w:t>
      </w:r>
      <w:r>
        <w:rPr>
          <w:i/>
          <w:lang w:val="en-US"/>
        </w:rPr>
        <w:t xml:space="preserve"> tender, government procurement, Russia, bidding, supplier.</w:t>
      </w:r>
    </w:p>
    <w:p w:rsidR="00517711" w:rsidRDefault="00517711">
      <w:pPr>
        <w:spacing w:after="0" w:line="240" w:lineRule="auto"/>
        <w:ind w:firstLine="397"/>
        <w:jc w:val="both"/>
        <w:rPr>
          <w:rFonts w:ascii="Times New Roman" w:hAnsi="Times New Roman" w:cs="Times New Roman"/>
          <w:sz w:val="20"/>
          <w:szCs w:val="20"/>
          <w:lang w:val="en-US" w:eastAsia="ru-RU"/>
        </w:rPr>
      </w:pP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Эффективное функционирование системы государственных закупок оказывает существенное воздействие практически на все стороны жизнедеятельности, как страны в целом, так и любого региона, в том числе данное влияние проецируется и на такую систему как экономическая безопасность региона [2].</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Государственные закупки необходимы для контроля расхода государственного бюджета государственными и муниципальными учреждениями с одной стороны, и для предоставления всему отечественному рынку чистую конкуренцию и возможность реализации собственных товаров, работ и услуг с другой.</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Участие в государственных закупках в роли поставщика актуально также и для высших учебных заведений, поскольку они обладают необходимыми средствами для реализации образовательных услуг под контролем законодательства. Системы электронных торгов представляют собой программные и технологические решения, предназначенные для автоматизации процедур подготовки и проведения электронных аукционов и других видов конкурентных закупок [1].</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Цель работы - повышение эффективности участия ВГУЭС в государственных закупках в качестве поставщика.</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Поставленная цель будет достигаться решением следующих задач:</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изучение потенциала и рисков участия вузов в закупках в роли поставщика;</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анализ участия ВГУЭС в закупках в качестве поставщика за 2015-2017 гг.;</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разработка предложений по повышению эффективности участия в торгах.</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Методы исследования: изучение и анализ литературы, анализ статистики, описательный анализ.</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Тендер (англ. tender — предложение) — конкурентная форма отбора предложений на поставку товаров, оказание услуг или выполнение работ по заранее объявленным в документации условиям, в оговоренные сроки на принципах состязательности, справедливости и эффективности. Контракт заключается с победителем </w:t>
      </w:r>
      <w:r>
        <w:rPr>
          <w:rFonts w:ascii="Times New Roman" w:hAnsi="Times New Roman" w:cs="Times New Roman"/>
          <w:sz w:val="20"/>
          <w:szCs w:val="20"/>
          <w:lang w:eastAsia="ru-RU"/>
        </w:rPr>
        <w:lastRenderedPageBreak/>
        <w:t>тендера — участником, подавшим предложение, соответствующее требованиям документации, в котором предложены наилучшие условия [3].</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Одним из основных видов тендеров является государственные закупки. Заказчиками в данных торгах являются исключительно государственные и муниципальные учреждения.</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Эффективность участия в торгах – это получение максимального результата (дохода) при минимальных расходах.</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Потенциал ВГУЭС участия в госзакупках заключается в наличие=и необходимых лицензий на обучение, высококвалифицированного преподавательского состава, большого количества помещений, а также наличие спортивных комплексов.</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Эффективность участия в торгах подразумевает под собой эффективный выбор списка закупок для предполагаемого участия в них. Выбор осуществляется с помощью критерия отбора. Основными характеристиками, входящими в критерий отбора, являются: доход, категория закупки, срок выполнения, место исполнение контракта.</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Основной опасностью участия в торгах и одной из самых главных ошибок участников является азарт. А именно отсутствие границы безубыточности, на которой необходимо остановиться в момент ведения торгов. Опасность заключается в том, что поставщик снижает сумму контракта до такой степени, что он ему уже не только не выгоден, но и приносит убытки.</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Определение минимального порога первое, что должен делать поставщик в момент анализа закупки еще до подачи заявки на участие.</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Для выявления эффективности было проведено исследование участия ВГУЭС в торгах в качестве поставщика за период 2015-2017 гг.</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Владивостокский государственный университет экономики и сервиса участвует в госзакупках и тендерах с марта 2011 года как поставщик товаров, работ и услуг. Участие в торгах началось с победы первого марта на 50 999 998 (пятьдесят миллионов девятьсот девяносто девять тысяч девятьсот девяносто восемь) рублей по закупке на оказание образовательных услуг для одаренных детей, проживающих на территории Приморского края, заказчиком является Департамент Образования и Науки Приморского края [4].</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В 2015 году Владивостокский государственный университет экономики и сервиса принял участие в госзакупках и тендерах по 58 лотам. Но 7 закупок из них не состоялись. 11 заявок на участие ВГУЭС отклонили. На рисунке 1 изображено соотношение побед и поражений в лотах текущего года.</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ВГУЭС одержал победу в 2015 году на сумму более сорока восьми миллионов рублей. На рисунке 3 представлены общие суммы выигранных контрактов в 2015 году по категориям.</w:t>
      </w:r>
    </w:p>
    <w:p w:rsidR="00517711" w:rsidRDefault="00F815BE">
      <w:r>
        <w:rPr>
          <w:noProof/>
          <w:lang w:eastAsia="ru-RU"/>
        </w:rPr>
        <w:drawing>
          <wp:inline distT="0" distB="0" distL="0" distR="0">
            <wp:extent cx="5613399" cy="1320165"/>
            <wp:effectExtent l="0" t="0" r="0" b="0"/>
            <wp:docPr id="6"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517711" w:rsidRDefault="00F815BE">
      <w:pPr>
        <w:spacing w:after="0" w:line="240" w:lineRule="auto"/>
        <w:ind w:firstLine="397"/>
        <w:jc w:val="center"/>
        <w:rPr>
          <w:rFonts w:ascii="Times New Roman" w:hAnsi="Times New Roman" w:cs="Times New Roman"/>
          <w:sz w:val="20"/>
          <w:szCs w:val="20"/>
          <w:lang w:eastAsia="ru-RU"/>
        </w:rPr>
      </w:pPr>
      <w:r>
        <w:rPr>
          <w:rFonts w:ascii="Times New Roman" w:hAnsi="Times New Roman" w:cs="Times New Roman"/>
          <w:sz w:val="20"/>
          <w:szCs w:val="20"/>
          <w:lang w:eastAsia="ru-RU"/>
        </w:rPr>
        <w:t>Рис.1. Распределение побед и поражений в госзакупках и тендерах ВГУЭС в 2015 году, количество; %</w:t>
      </w:r>
    </w:p>
    <w:p w:rsidR="00517711" w:rsidRDefault="00517711">
      <w:pPr>
        <w:spacing w:after="0" w:line="240" w:lineRule="auto"/>
        <w:ind w:firstLine="397"/>
        <w:jc w:val="center"/>
        <w:rPr>
          <w:rFonts w:ascii="Times New Roman" w:hAnsi="Times New Roman" w:cs="Times New Roman"/>
          <w:sz w:val="20"/>
          <w:szCs w:val="20"/>
          <w:lang w:eastAsia="ru-RU"/>
        </w:rPr>
      </w:pP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Основной причиной отклонения заявок послужила проблема неквалифицированного персонала, заполняющего заявки и подготавливающего сопутствующую документацию. Так как в каждой закупке по закону должна быть инструкция по заполнению заявки, а также полный перечень необходимых документов. Если же в аукционной документации не было этих данных, необходимо было писать запрос на разъяснение заказчику, на который он обязан ответить в течении двух дней. Если ответ от заказчика не поступает вовремя, участник закупки имеет право подавать жалобу в Федеральную Антимонопольную Службу.</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Общая сумма выигранных контрактов в 2015 году по категориям представлена на рисунке 2. </w:t>
      </w:r>
    </w:p>
    <w:p w:rsidR="00517711" w:rsidRDefault="00F815BE">
      <w:r>
        <w:rPr>
          <w:noProof/>
          <w:lang w:eastAsia="ru-RU"/>
        </w:rPr>
        <w:drawing>
          <wp:inline distT="0" distB="0" distL="0" distR="0">
            <wp:extent cx="6162039" cy="1256028"/>
            <wp:effectExtent l="0" t="0" r="0" b="0"/>
            <wp:docPr id="7"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517711" w:rsidRDefault="00F815BE">
      <w:pPr>
        <w:spacing w:after="0" w:line="240" w:lineRule="auto"/>
        <w:ind w:firstLine="397"/>
        <w:jc w:val="center"/>
        <w:rPr>
          <w:rFonts w:ascii="Times New Roman" w:hAnsi="Times New Roman" w:cs="Times New Roman"/>
          <w:sz w:val="20"/>
          <w:szCs w:val="20"/>
          <w:lang w:eastAsia="ru-RU"/>
        </w:rPr>
      </w:pPr>
      <w:r>
        <w:rPr>
          <w:rFonts w:ascii="Times New Roman" w:hAnsi="Times New Roman" w:cs="Times New Roman"/>
          <w:sz w:val="20"/>
          <w:szCs w:val="20"/>
          <w:lang w:eastAsia="ru-RU"/>
        </w:rPr>
        <w:t>Рис. 2. Суммы торгов, на которые ВГУЭС подал заявки в 2015 году, млн рублей</w:t>
      </w:r>
    </w:p>
    <w:p w:rsidR="00517711" w:rsidRDefault="00517711">
      <w:pPr>
        <w:spacing w:after="0" w:line="240" w:lineRule="auto"/>
        <w:ind w:firstLine="397"/>
        <w:jc w:val="center"/>
        <w:rPr>
          <w:rFonts w:ascii="Times New Roman" w:hAnsi="Times New Roman" w:cs="Times New Roman"/>
          <w:sz w:val="20"/>
          <w:szCs w:val="20"/>
          <w:lang w:eastAsia="ru-RU"/>
        </w:rPr>
      </w:pPr>
    </w:p>
    <w:p w:rsidR="00517711" w:rsidRDefault="00F815BE">
      <w:pPr>
        <w:spacing w:after="0" w:line="240" w:lineRule="auto"/>
        <w:ind w:firstLine="397"/>
        <w:rPr>
          <w:rFonts w:ascii="Times New Roman" w:hAnsi="Times New Roman" w:cs="Times New Roman"/>
          <w:sz w:val="20"/>
          <w:szCs w:val="20"/>
          <w:lang w:eastAsia="ru-RU"/>
        </w:rPr>
      </w:pPr>
      <w:r>
        <w:rPr>
          <w:rFonts w:ascii="Times New Roman" w:hAnsi="Times New Roman" w:cs="Times New Roman"/>
          <w:sz w:val="20"/>
          <w:szCs w:val="20"/>
          <w:lang w:eastAsia="ru-RU"/>
        </w:rPr>
        <w:lastRenderedPageBreak/>
        <w:t>Наибольшую сумму контрактов вуз получил в категории услуг в области образования. Таким образом, наибольшую выгоду в 2015 году составило участие в закупках по предоставлению образовательных услуг, что принесло более 92% выручки в данной сфере деятельности.</w:t>
      </w:r>
    </w:p>
    <w:p w:rsidR="00517711" w:rsidRDefault="00F815BE">
      <w:r>
        <w:rPr>
          <w:noProof/>
          <w:lang w:eastAsia="ru-RU"/>
        </w:rPr>
        <w:drawing>
          <wp:inline distT="0" distB="0" distL="0" distR="0">
            <wp:extent cx="6193788" cy="1598293"/>
            <wp:effectExtent l="0" t="0" r="0" b="0"/>
            <wp:docPr id="8"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517711" w:rsidRDefault="00F815BE">
      <w:pPr>
        <w:spacing w:after="0" w:line="240" w:lineRule="auto"/>
        <w:ind w:firstLine="397"/>
        <w:jc w:val="center"/>
        <w:rPr>
          <w:rFonts w:ascii="Times New Roman" w:hAnsi="Times New Roman" w:cs="Times New Roman"/>
          <w:sz w:val="20"/>
          <w:szCs w:val="20"/>
          <w:lang w:eastAsia="ru-RU"/>
        </w:rPr>
      </w:pPr>
      <w:r>
        <w:rPr>
          <w:rFonts w:ascii="Times New Roman" w:hAnsi="Times New Roman" w:cs="Times New Roman"/>
          <w:sz w:val="20"/>
          <w:szCs w:val="20"/>
          <w:lang w:eastAsia="ru-RU"/>
        </w:rPr>
        <w:t>Рис. 3. Общая сумма выигранных контрактов в 2015 году по категориям, млн рублей</w:t>
      </w:r>
    </w:p>
    <w:p w:rsidR="00517711" w:rsidRDefault="00517711">
      <w:pPr>
        <w:spacing w:after="0" w:line="240" w:lineRule="auto"/>
        <w:ind w:firstLine="397"/>
        <w:jc w:val="center"/>
        <w:rPr>
          <w:rFonts w:ascii="Times New Roman" w:hAnsi="Times New Roman" w:cs="Times New Roman"/>
          <w:sz w:val="20"/>
          <w:szCs w:val="20"/>
          <w:lang w:eastAsia="ru-RU"/>
        </w:rPr>
      </w:pPr>
    </w:p>
    <w:p w:rsidR="00517711" w:rsidRDefault="00F815BE">
      <w:pPr>
        <w:spacing w:after="0" w:line="240" w:lineRule="auto"/>
        <w:ind w:firstLine="397"/>
        <w:rPr>
          <w:rFonts w:ascii="Times New Roman" w:hAnsi="Times New Roman" w:cs="Times New Roman"/>
          <w:sz w:val="20"/>
          <w:szCs w:val="20"/>
          <w:lang w:eastAsia="ru-RU"/>
        </w:rPr>
      </w:pPr>
      <w:r>
        <w:rPr>
          <w:rFonts w:ascii="Times New Roman" w:hAnsi="Times New Roman" w:cs="Times New Roman"/>
          <w:sz w:val="20"/>
          <w:szCs w:val="20"/>
          <w:lang w:eastAsia="ru-RU"/>
        </w:rPr>
        <w:t>ВГУЭС в 2016 году получил контракты по 8 лотам из 57, что составляет 14%. Отклонений в 2016 году не было, следовательно, поражения были связаны с более высокой стоимостью контракта в заявках вуза по сравнению с конкурентами. Распределение побед и поражений представлено на рисунке 4.</w:t>
      </w:r>
    </w:p>
    <w:p w:rsidR="00517711" w:rsidRDefault="00F815BE">
      <w:r>
        <w:rPr>
          <w:noProof/>
          <w:lang w:eastAsia="ru-RU"/>
        </w:rPr>
        <w:drawing>
          <wp:inline distT="0" distB="0" distL="0" distR="0">
            <wp:extent cx="6146163" cy="2329813"/>
            <wp:effectExtent l="0" t="0" r="0" b="0"/>
            <wp:docPr id="9"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517711" w:rsidRDefault="00F815BE">
      <w:pPr>
        <w:spacing w:after="0" w:line="240" w:lineRule="auto"/>
        <w:ind w:firstLine="397"/>
        <w:jc w:val="center"/>
        <w:rPr>
          <w:rFonts w:ascii="Times New Roman" w:hAnsi="Times New Roman" w:cs="Times New Roman"/>
          <w:sz w:val="20"/>
          <w:szCs w:val="20"/>
          <w:lang w:eastAsia="ru-RU"/>
        </w:rPr>
      </w:pPr>
      <w:r>
        <w:rPr>
          <w:rFonts w:ascii="Times New Roman" w:hAnsi="Times New Roman" w:cs="Times New Roman"/>
          <w:sz w:val="20"/>
          <w:szCs w:val="20"/>
          <w:lang w:eastAsia="ru-RU"/>
        </w:rPr>
        <w:t>Рис. 4. Распределение побед и поражений в госзакупках и тендерах ВГУЭС в 2016 году, количество; %</w:t>
      </w:r>
    </w:p>
    <w:p w:rsidR="00517711" w:rsidRDefault="00517711">
      <w:pPr>
        <w:spacing w:after="0" w:line="240" w:lineRule="auto"/>
        <w:ind w:firstLine="397"/>
        <w:jc w:val="center"/>
        <w:rPr>
          <w:rFonts w:ascii="Times New Roman" w:hAnsi="Times New Roman" w:cs="Times New Roman"/>
          <w:sz w:val="20"/>
          <w:szCs w:val="20"/>
          <w:lang w:eastAsia="ru-RU"/>
        </w:rPr>
      </w:pPr>
    </w:p>
    <w:p w:rsidR="00517711" w:rsidRDefault="00F815BE">
      <w:pPr>
        <w:spacing w:after="0" w:line="240" w:lineRule="auto"/>
        <w:ind w:firstLine="397"/>
        <w:rPr>
          <w:rFonts w:ascii="Times New Roman" w:hAnsi="Times New Roman" w:cs="Times New Roman"/>
          <w:sz w:val="20"/>
          <w:szCs w:val="20"/>
          <w:lang w:eastAsia="ru-RU"/>
        </w:rPr>
      </w:pPr>
      <w:r>
        <w:rPr>
          <w:rFonts w:ascii="Times New Roman" w:hAnsi="Times New Roman" w:cs="Times New Roman"/>
          <w:sz w:val="20"/>
          <w:szCs w:val="20"/>
          <w:lang w:eastAsia="ru-RU"/>
        </w:rPr>
        <w:t>На рисунке 5 продемонстрированы суммы контрактов, которые ВГУЭС выиграл, в которых проиграл, а также общая стоимость закупок, которые не состоялись.</w:t>
      </w:r>
    </w:p>
    <w:p w:rsidR="00517711" w:rsidRDefault="00F815BE">
      <w:r>
        <w:rPr>
          <w:noProof/>
          <w:lang w:eastAsia="ru-RU"/>
        </w:rPr>
        <w:drawing>
          <wp:inline distT="0" distB="0" distL="0" distR="0">
            <wp:extent cx="6122668" cy="1248408"/>
            <wp:effectExtent l="0" t="0" r="0" b="0"/>
            <wp:docPr id="10"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517711" w:rsidRDefault="00F815BE">
      <w:pPr>
        <w:spacing w:after="0" w:line="240" w:lineRule="auto"/>
        <w:ind w:firstLine="397"/>
        <w:jc w:val="center"/>
        <w:rPr>
          <w:rFonts w:ascii="Times New Roman" w:hAnsi="Times New Roman" w:cs="Times New Roman"/>
          <w:sz w:val="20"/>
          <w:szCs w:val="20"/>
          <w:lang w:eastAsia="ru-RU"/>
        </w:rPr>
      </w:pPr>
      <w:r>
        <w:rPr>
          <w:rFonts w:ascii="Times New Roman" w:hAnsi="Times New Roman" w:cs="Times New Roman"/>
          <w:sz w:val="20"/>
          <w:szCs w:val="20"/>
          <w:lang w:eastAsia="ru-RU"/>
        </w:rPr>
        <w:t>Рис. 5. Суммы торгов, на которые ВГУЭС подал заявки в 2016 году, млн рублей</w:t>
      </w:r>
    </w:p>
    <w:p w:rsidR="00517711" w:rsidRDefault="00517711">
      <w:pPr>
        <w:spacing w:after="0" w:line="240" w:lineRule="auto"/>
        <w:ind w:firstLine="397"/>
        <w:jc w:val="center"/>
        <w:rPr>
          <w:rFonts w:ascii="Times New Roman" w:hAnsi="Times New Roman" w:cs="Times New Roman"/>
          <w:sz w:val="20"/>
          <w:szCs w:val="20"/>
          <w:lang w:eastAsia="ru-RU"/>
        </w:rPr>
      </w:pPr>
    </w:p>
    <w:p w:rsidR="00517711" w:rsidRDefault="00F815BE">
      <w:pPr>
        <w:spacing w:after="0" w:line="240" w:lineRule="auto"/>
        <w:ind w:firstLine="397"/>
        <w:rPr>
          <w:rFonts w:ascii="Times New Roman" w:hAnsi="Times New Roman" w:cs="Times New Roman"/>
          <w:sz w:val="20"/>
          <w:szCs w:val="20"/>
          <w:lang w:eastAsia="ru-RU"/>
        </w:rPr>
      </w:pPr>
      <w:r>
        <w:rPr>
          <w:rFonts w:ascii="Times New Roman" w:hAnsi="Times New Roman" w:cs="Times New Roman"/>
          <w:sz w:val="20"/>
          <w:szCs w:val="20"/>
          <w:lang w:eastAsia="ru-RU"/>
        </w:rPr>
        <w:t>На рисунке 6 показаны суммы выигранных вузом контрактов по категориям.</w:t>
      </w:r>
    </w:p>
    <w:p w:rsidR="00517711" w:rsidRDefault="00F815BE">
      <w:r>
        <w:rPr>
          <w:noProof/>
          <w:lang w:eastAsia="ru-RU"/>
        </w:rPr>
        <w:drawing>
          <wp:inline distT="0" distB="0" distL="0" distR="0">
            <wp:extent cx="6066788" cy="1438908"/>
            <wp:effectExtent l="0" t="0" r="0" b="0"/>
            <wp:docPr id="11"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r>
        <w:t xml:space="preserve"> </w:t>
      </w:r>
    </w:p>
    <w:p w:rsidR="00517711" w:rsidRDefault="00F815BE">
      <w:pPr>
        <w:spacing w:after="0" w:line="240" w:lineRule="auto"/>
        <w:ind w:firstLine="397"/>
        <w:jc w:val="center"/>
        <w:rPr>
          <w:rFonts w:ascii="Times New Roman" w:hAnsi="Times New Roman" w:cs="Times New Roman"/>
          <w:sz w:val="20"/>
          <w:szCs w:val="20"/>
          <w:lang w:eastAsia="ru-RU"/>
        </w:rPr>
      </w:pPr>
      <w:r>
        <w:rPr>
          <w:rFonts w:ascii="Times New Roman" w:hAnsi="Times New Roman" w:cs="Times New Roman"/>
          <w:sz w:val="20"/>
          <w:szCs w:val="20"/>
          <w:lang w:eastAsia="ru-RU"/>
        </w:rPr>
        <w:lastRenderedPageBreak/>
        <w:t>Рис. 6. Общая сумма выигранных контрактов в 2016 году по категориям, млн рублей</w:t>
      </w:r>
    </w:p>
    <w:p w:rsidR="00517711" w:rsidRDefault="00517711">
      <w:pPr>
        <w:spacing w:after="0" w:line="240" w:lineRule="auto"/>
        <w:ind w:firstLine="397"/>
        <w:jc w:val="center"/>
        <w:rPr>
          <w:rFonts w:ascii="Times New Roman" w:hAnsi="Times New Roman" w:cs="Times New Roman"/>
          <w:sz w:val="20"/>
          <w:szCs w:val="20"/>
          <w:lang w:eastAsia="ru-RU"/>
        </w:rPr>
      </w:pPr>
    </w:p>
    <w:p w:rsidR="00517711" w:rsidRDefault="00F815BE">
      <w:pPr>
        <w:spacing w:after="0" w:line="240" w:lineRule="auto"/>
        <w:ind w:firstLine="397"/>
        <w:rPr>
          <w:rFonts w:ascii="Times New Roman" w:hAnsi="Times New Roman" w:cs="Times New Roman"/>
          <w:sz w:val="20"/>
          <w:szCs w:val="20"/>
          <w:lang w:eastAsia="ru-RU"/>
        </w:rPr>
      </w:pPr>
      <w:r>
        <w:rPr>
          <w:rFonts w:ascii="Times New Roman" w:hAnsi="Times New Roman" w:cs="Times New Roman"/>
          <w:sz w:val="20"/>
          <w:szCs w:val="20"/>
          <w:lang w:eastAsia="ru-RU"/>
        </w:rPr>
        <w:t>Более 38 млн рублей было выиграно услугами в области образования. Таким образом, можно сделать вывод, что наибольшую выгоду в 2016 году, как и в 2015 году, принесло участие в закупках по предоставлению образовательных услуг, что составило 95,11% выручки в данной сфере деятельности.</w:t>
      </w:r>
    </w:p>
    <w:p w:rsidR="00517711" w:rsidRDefault="00F815BE">
      <w:pPr>
        <w:spacing w:after="0" w:line="240" w:lineRule="auto"/>
        <w:ind w:firstLine="397"/>
        <w:rPr>
          <w:rFonts w:ascii="Times New Roman" w:hAnsi="Times New Roman" w:cs="Times New Roman"/>
          <w:sz w:val="20"/>
          <w:szCs w:val="20"/>
          <w:lang w:eastAsia="ru-RU"/>
        </w:rPr>
      </w:pPr>
      <w:r>
        <w:rPr>
          <w:rFonts w:ascii="Times New Roman" w:hAnsi="Times New Roman" w:cs="Times New Roman"/>
          <w:sz w:val="20"/>
          <w:szCs w:val="20"/>
          <w:lang w:eastAsia="ru-RU"/>
        </w:rPr>
        <w:t>В целом в 2016 году выручка в торгах ниже на 16%. Но по наиболее выгодной для вуза категории закупок было подано на 20 заявок больше.</w:t>
      </w:r>
    </w:p>
    <w:p w:rsidR="00517711" w:rsidRDefault="00F815BE">
      <w:pPr>
        <w:spacing w:after="0" w:line="240" w:lineRule="auto"/>
        <w:ind w:firstLine="397"/>
        <w:rPr>
          <w:rFonts w:ascii="Times New Roman" w:hAnsi="Times New Roman" w:cs="Times New Roman"/>
          <w:sz w:val="20"/>
          <w:szCs w:val="20"/>
          <w:lang w:eastAsia="ru-RU"/>
        </w:rPr>
      </w:pPr>
      <w:r>
        <w:rPr>
          <w:rFonts w:ascii="Times New Roman" w:hAnsi="Times New Roman" w:cs="Times New Roman"/>
          <w:sz w:val="20"/>
          <w:szCs w:val="20"/>
          <w:lang w:eastAsia="ru-RU"/>
        </w:rPr>
        <w:t>На рисунке 7 изображено распределение побед и поражений ВГУЭС в торгах в 2017 году. Видно, что ВГУЭС получил контракты по 16 лотам из 32, что составляет 50%. Это лучший показатель участия в торгах в рассматриваемый период 2015-2017 год.</w:t>
      </w:r>
    </w:p>
    <w:p w:rsidR="00517711" w:rsidRDefault="00F815BE">
      <w:r>
        <w:rPr>
          <w:noProof/>
          <w:lang w:eastAsia="ru-RU"/>
        </w:rPr>
        <w:drawing>
          <wp:inline distT="0" distB="0" distL="0" distR="0">
            <wp:extent cx="6050913" cy="1804668"/>
            <wp:effectExtent l="0" t="0" r="0" b="0"/>
            <wp:docPr id="12"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517711" w:rsidRDefault="00F815BE">
      <w:pPr>
        <w:spacing w:after="0" w:line="240" w:lineRule="auto"/>
        <w:ind w:firstLine="397"/>
        <w:jc w:val="center"/>
        <w:rPr>
          <w:rFonts w:ascii="Times New Roman" w:hAnsi="Times New Roman" w:cs="Times New Roman"/>
          <w:sz w:val="20"/>
          <w:szCs w:val="20"/>
          <w:lang w:eastAsia="ru-RU"/>
        </w:rPr>
      </w:pPr>
      <w:r>
        <w:rPr>
          <w:rFonts w:ascii="Times New Roman" w:hAnsi="Times New Roman" w:cs="Times New Roman"/>
          <w:sz w:val="20"/>
          <w:szCs w:val="20"/>
          <w:lang w:eastAsia="ru-RU"/>
        </w:rPr>
        <w:t>Рис. 7. Распределение побед и поражений в госзакупках и тендерах ВГУЭС в 2017 году, количество; %</w:t>
      </w:r>
    </w:p>
    <w:p w:rsidR="00517711" w:rsidRDefault="00517711">
      <w:pPr>
        <w:spacing w:after="0" w:line="240" w:lineRule="auto"/>
        <w:ind w:firstLine="397"/>
        <w:jc w:val="center"/>
        <w:rPr>
          <w:rFonts w:ascii="Times New Roman" w:hAnsi="Times New Roman" w:cs="Times New Roman"/>
          <w:sz w:val="20"/>
          <w:szCs w:val="20"/>
          <w:lang w:eastAsia="ru-RU"/>
        </w:rPr>
      </w:pPr>
    </w:p>
    <w:p w:rsidR="00517711" w:rsidRDefault="00F815BE">
      <w:pPr>
        <w:spacing w:after="0" w:line="240" w:lineRule="auto"/>
        <w:ind w:firstLine="397"/>
        <w:rPr>
          <w:rFonts w:ascii="Times New Roman" w:hAnsi="Times New Roman" w:cs="Times New Roman"/>
          <w:sz w:val="20"/>
          <w:szCs w:val="20"/>
          <w:lang w:eastAsia="ru-RU"/>
        </w:rPr>
      </w:pPr>
      <w:r>
        <w:rPr>
          <w:rFonts w:ascii="Times New Roman" w:hAnsi="Times New Roman" w:cs="Times New Roman"/>
          <w:sz w:val="20"/>
          <w:szCs w:val="20"/>
          <w:lang w:eastAsia="ru-RU"/>
        </w:rPr>
        <w:t>Сумма выигранных контрактов составляет более 41 млн руб. Распределение побед и поражения изображено на рисунке 8.</w:t>
      </w:r>
    </w:p>
    <w:p w:rsidR="00517711" w:rsidRDefault="00F815BE">
      <w:r>
        <w:rPr>
          <w:noProof/>
          <w:lang w:eastAsia="ru-RU"/>
        </w:rPr>
        <w:drawing>
          <wp:inline distT="0" distB="0" distL="0" distR="0">
            <wp:extent cx="6035038" cy="1542413"/>
            <wp:effectExtent l="0" t="0" r="0" b="0"/>
            <wp:docPr id="13" name="Диаграмма 71"/>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517711" w:rsidRDefault="00F815BE">
      <w:pPr>
        <w:spacing w:after="0" w:line="240" w:lineRule="auto"/>
        <w:ind w:firstLine="397"/>
        <w:jc w:val="center"/>
        <w:rPr>
          <w:rFonts w:ascii="Times New Roman" w:hAnsi="Times New Roman" w:cs="Times New Roman"/>
          <w:sz w:val="20"/>
          <w:szCs w:val="20"/>
          <w:lang w:eastAsia="ru-RU"/>
        </w:rPr>
      </w:pPr>
      <w:r>
        <w:rPr>
          <w:rFonts w:ascii="Times New Roman" w:hAnsi="Times New Roman" w:cs="Times New Roman"/>
          <w:sz w:val="20"/>
          <w:szCs w:val="20"/>
          <w:lang w:eastAsia="ru-RU"/>
        </w:rPr>
        <w:t>Рис. 8. Суммы торгов, на которые ВГУЭС подал заявки в 2017 году, млн рублей</w:t>
      </w:r>
    </w:p>
    <w:p w:rsidR="00517711" w:rsidRDefault="00517711">
      <w:pPr>
        <w:spacing w:after="0" w:line="240" w:lineRule="auto"/>
        <w:ind w:firstLine="397"/>
        <w:jc w:val="center"/>
        <w:rPr>
          <w:rFonts w:ascii="Times New Roman" w:hAnsi="Times New Roman" w:cs="Times New Roman"/>
          <w:sz w:val="20"/>
          <w:szCs w:val="20"/>
          <w:lang w:eastAsia="ru-RU"/>
        </w:rPr>
      </w:pPr>
    </w:p>
    <w:p w:rsidR="00517711" w:rsidRDefault="00F815BE">
      <w:pPr>
        <w:spacing w:after="0" w:line="240" w:lineRule="auto"/>
        <w:ind w:firstLine="397"/>
        <w:rPr>
          <w:rFonts w:ascii="Times New Roman" w:hAnsi="Times New Roman" w:cs="Times New Roman"/>
          <w:sz w:val="20"/>
          <w:szCs w:val="20"/>
          <w:lang w:eastAsia="ru-RU"/>
        </w:rPr>
      </w:pPr>
      <w:r>
        <w:rPr>
          <w:rFonts w:ascii="Times New Roman" w:hAnsi="Times New Roman" w:cs="Times New Roman"/>
          <w:sz w:val="20"/>
          <w:szCs w:val="20"/>
          <w:lang w:eastAsia="ru-RU"/>
        </w:rPr>
        <w:t xml:space="preserve"> На рисунке 9 показаны суммы выигранных вузом контрактов по категориям. </w:t>
      </w:r>
    </w:p>
    <w:p w:rsidR="00517711" w:rsidRDefault="00F815BE">
      <w:r>
        <w:rPr>
          <w:noProof/>
          <w:lang w:eastAsia="ru-RU"/>
        </w:rPr>
        <w:drawing>
          <wp:inline distT="0" distB="0" distL="0" distR="0">
            <wp:extent cx="6035038" cy="1566543"/>
            <wp:effectExtent l="0" t="0" r="0" b="0"/>
            <wp:docPr id="14" name="Диаграмма 72"/>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r>
        <w:t xml:space="preserve"> </w:t>
      </w:r>
    </w:p>
    <w:p w:rsidR="00517711" w:rsidRDefault="00F815BE">
      <w:pPr>
        <w:spacing w:after="0" w:line="240" w:lineRule="auto"/>
        <w:ind w:firstLine="397"/>
        <w:jc w:val="center"/>
        <w:rPr>
          <w:rFonts w:ascii="Times New Roman" w:hAnsi="Times New Roman" w:cs="Times New Roman"/>
          <w:sz w:val="20"/>
          <w:szCs w:val="20"/>
          <w:lang w:eastAsia="ru-RU"/>
        </w:rPr>
      </w:pPr>
      <w:r>
        <w:rPr>
          <w:rFonts w:ascii="Times New Roman" w:hAnsi="Times New Roman" w:cs="Times New Roman"/>
          <w:sz w:val="20"/>
          <w:szCs w:val="20"/>
          <w:lang w:eastAsia="ru-RU"/>
        </w:rPr>
        <w:t>Рис. 9. Общая сумма выигранных контрактов в 2017 году по основным категориям, млн рублей</w:t>
      </w:r>
    </w:p>
    <w:p w:rsidR="00517711" w:rsidRDefault="00517711">
      <w:pPr>
        <w:spacing w:after="0" w:line="240" w:lineRule="auto"/>
        <w:ind w:firstLine="397"/>
        <w:jc w:val="center"/>
        <w:rPr>
          <w:rFonts w:ascii="Times New Roman" w:hAnsi="Times New Roman" w:cs="Times New Roman"/>
          <w:sz w:val="20"/>
          <w:szCs w:val="20"/>
          <w:lang w:eastAsia="ru-RU"/>
        </w:rPr>
      </w:pPr>
    </w:p>
    <w:p w:rsidR="00517711" w:rsidRDefault="00F815BE">
      <w:pPr>
        <w:spacing w:after="0" w:line="240" w:lineRule="auto"/>
        <w:ind w:firstLine="397"/>
        <w:rPr>
          <w:rFonts w:ascii="Times New Roman" w:hAnsi="Times New Roman" w:cs="Times New Roman"/>
          <w:sz w:val="20"/>
          <w:szCs w:val="20"/>
          <w:lang w:eastAsia="ru-RU"/>
        </w:rPr>
      </w:pPr>
      <w:r>
        <w:rPr>
          <w:rFonts w:ascii="Times New Roman" w:hAnsi="Times New Roman" w:cs="Times New Roman"/>
          <w:sz w:val="20"/>
          <w:szCs w:val="20"/>
          <w:lang w:eastAsia="ru-RU"/>
        </w:rPr>
        <w:t>Таким образом, можно сделать вывод, что наибольшую выгоду для ВГУЭС приносит участие в закупках по предоставлению образовательных услуг и повышению квалификации персонала, что составило 92,5% выручки за 2017 год в данной сфере деятельности, и что составляет 93,3% выручки с государственных контрактов в период 2015-2017 гг.</w:t>
      </w:r>
    </w:p>
    <w:p w:rsidR="00517711" w:rsidRDefault="00F815BE">
      <w:pPr>
        <w:spacing w:after="0" w:line="240" w:lineRule="auto"/>
        <w:ind w:firstLine="397"/>
        <w:rPr>
          <w:rFonts w:ascii="Times New Roman" w:hAnsi="Times New Roman" w:cs="Times New Roman"/>
          <w:sz w:val="20"/>
          <w:szCs w:val="20"/>
          <w:lang w:eastAsia="ru-RU"/>
        </w:rPr>
      </w:pPr>
      <w:r>
        <w:rPr>
          <w:rFonts w:ascii="Times New Roman" w:hAnsi="Times New Roman" w:cs="Times New Roman"/>
          <w:sz w:val="20"/>
          <w:szCs w:val="20"/>
          <w:lang w:eastAsia="ru-RU"/>
        </w:rPr>
        <w:t xml:space="preserve">Процент побед в госзакупках возрос на 36%, однако общая сумма выигранных контрактов из года в год практически не изменяется, вернее даже снижается на 13%. </w:t>
      </w:r>
    </w:p>
    <w:p w:rsidR="00517711" w:rsidRDefault="00F815BE">
      <w:pPr>
        <w:spacing w:after="0" w:line="240" w:lineRule="auto"/>
        <w:ind w:firstLine="397"/>
        <w:rPr>
          <w:rFonts w:ascii="Times New Roman" w:hAnsi="Times New Roman" w:cs="Times New Roman"/>
          <w:sz w:val="20"/>
          <w:szCs w:val="20"/>
          <w:lang w:eastAsia="ru-RU"/>
        </w:rPr>
      </w:pPr>
      <w:r>
        <w:rPr>
          <w:rFonts w:ascii="Times New Roman" w:hAnsi="Times New Roman" w:cs="Times New Roman"/>
          <w:sz w:val="20"/>
          <w:szCs w:val="20"/>
          <w:lang w:eastAsia="ru-RU"/>
        </w:rPr>
        <w:t>На основе проведенного анализа были выявлены основные тенденции и проблемы участия ВГУЭС в государственных закупках в качестве поставщика:</w:t>
      </w:r>
    </w:p>
    <w:p w:rsidR="00517711" w:rsidRDefault="00F815BE">
      <w:pPr>
        <w:numPr>
          <w:ilvl w:val="0"/>
          <w:numId w:val="62"/>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lastRenderedPageBreak/>
        <w:t>увеличение доли побед в общем количестве поданных заявок к 2017 году;</w:t>
      </w:r>
    </w:p>
    <w:p w:rsidR="00517711" w:rsidRDefault="00F815BE">
      <w:pPr>
        <w:numPr>
          <w:ilvl w:val="0"/>
          <w:numId w:val="62"/>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 неизменность общей суммы выигранных контрактов;</w:t>
      </w:r>
    </w:p>
    <w:p w:rsidR="00517711" w:rsidRDefault="00F815BE">
      <w:pPr>
        <w:numPr>
          <w:ilvl w:val="0"/>
          <w:numId w:val="62"/>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 наличие отклонения заявок на участие в торгах;</w:t>
      </w:r>
    </w:p>
    <w:p w:rsidR="00517711" w:rsidRDefault="00F815BE">
      <w:pPr>
        <w:numPr>
          <w:ilvl w:val="0"/>
          <w:numId w:val="62"/>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 отсутствие систематического отслеживания закупок;</w:t>
      </w:r>
    </w:p>
    <w:p w:rsidR="00517711" w:rsidRDefault="00F815BE">
      <w:pPr>
        <w:numPr>
          <w:ilvl w:val="0"/>
          <w:numId w:val="62"/>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 участие в торгах во всевозможных для вуза областях закупок;</w:t>
      </w:r>
    </w:p>
    <w:p w:rsidR="00517711" w:rsidRDefault="00F815BE">
      <w:pPr>
        <w:numPr>
          <w:ilvl w:val="0"/>
          <w:numId w:val="62"/>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 отсутствие программного обеспечения для поиска тендеров. </w:t>
      </w:r>
    </w:p>
    <w:p w:rsidR="00517711" w:rsidRDefault="00F815BE">
      <w:pPr>
        <w:spacing w:after="0" w:line="240" w:lineRule="auto"/>
        <w:ind w:firstLine="397"/>
        <w:rPr>
          <w:rFonts w:ascii="Times New Roman" w:hAnsi="Times New Roman" w:cs="Times New Roman"/>
          <w:sz w:val="20"/>
          <w:szCs w:val="20"/>
          <w:lang w:eastAsia="ru-RU"/>
        </w:rPr>
      </w:pPr>
      <w:r>
        <w:rPr>
          <w:rFonts w:ascii="Times New Roman" w:hAnsi="Times New Roman" w:cs="Times New Roman"/>
          <w:sz w:val="20"/>
          <w:szCs w:val="20"/>
          <w:lang w:eastAsia="ru-RU"/>
        </w:rPr>
        <w:t xml:space="preserve">На основе полученных данных были разработаны предложения по повышению эффективности участия ВГУЭС в закупках: </w:t>
      </w:r>
    </w:p>
    <w:p w:rsidR="00517711" w:rsidRDefault="00F815BE">
      <w:pPr>
        <w:numPr>
          <w:ilvl w:val="0"/>
          <w:numId w:val="62"/>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проанализировать все причины отклонения заявок и не допускать ошибок в дальнейшем;</w:t>
      </w:r>
    </w:p>
    <w:p w:rsidR="00517711" w:rsidRDefault="00F815BE">
      <w:pPr>
        <w:numPr>
          <w:ilvl w:val="0"/>
          <w:numId w:val="62"/>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разработать алгоритм поиска и отбора тендеров на основе проведенного анализа:</w:t>
      </w:r>
    </w:p>
    <w:p w:rsidR="00517711" w:rsidRDefault="00F815BE">
      <w:pPr>
        <w:pStyle w:val="af4"/>
        <w:numPr>
          <w:ilvl w:val="1"/>
          <w:numId w:val="63"/>
        </w:numPr>
        <w:spacing w:after="0" w:line="240" w:lineRule="auto"/>
        <w:jc w:val="both"/>
        <w:rPr>
          <w:rFonts w:ascii="Times New Roman" w:hAnsi="Times New Roman"/>
          <w:sz w:val="20"/>
        </w:rPr>
      </w:pPr>
      <w:r>
        <w:rPr>
          <w:rFonts w:ascii="Times New Roman" w:hAnsi="Times New Roman"/>
          <w:sz w:val="20"/>
        </w:rPr>
        <w:t>проводить анализ документации каждой потенциальной закупки;</w:t>
      </w:r>
    </w:p>
    <w:p w:rsidR="00517711" w:rsidRDefault="00F815BE">
      <w:pPr>
        <w:pStyle w:val="af4"/>
        <w:numPr>
          <w:ilvl w:val="1"/>
          <w:numId w:val="63"/>
        </w:numPr>
        <w:spacing w:after="0" w:line="240" w:lineRule="auto"/>
        <w:jc w:val="both"/>
        <w:rPr>
          <w:rFonts w:ascii="Times New Roman" w:hAnsi="Times New Roman"/>
          <w:sz w:val="20"/>
        </w:rPr>
      </w:pPr>
      <w:r>
        <w:rPr>
          <w:rFonts w:ascii="Times New Roman" w:hAnsi="Times New Roman"/>
          <w:sz w:val="20"/>
        </w:rPr>
        <w:t>сконцентрироваться на торгах по следующим областям: услуги в области образования, повышения квалификации и научные исследования, разработки;</w:t>
      </w:r>
    </w:p>
    <w:p w:rsidR="00517711" w:rsidRDefault="00F815BE">
      <w:pPr>
        <w:numPr>
          <w:ilvl w:val="0"/>
          <w:numId w:val="62"/>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приобрести систему поиска и отслеживания закупок (15 000 руб/год).</w:t>
      </w:r>
    </w:p>
    <w:p w:rsidR="00517711" w:rsidRDefault="00F815BE">
      <w:pPr>
        <w:ind w:firstLine="708"/>
        <w:rPr>
          <w:rFonts w:ascii="Times New Roman" w:hAnsi="Times New Roman" w:cs="Times New Roman"/>
          <w:sz w:val="20"/>
          <w:szCs w:val="20"/>
          <w:lang w:eastAsia="ru-RU"/>
        </w:rPr>
      </w:pPr>
      <w:r>
        <w:rPr>
          <w:rFonts w:ascii="Times New Roman" w:hAnsi="Times New Roman" w:cs="Times New Roman"/>
          <w:sz w:val="20"/>
          <w:szCs w:val="20"/>
          <w:lang w:eastAsia="ru-RU"/>
        </w:rPr>
        <w:t>Система поиска торгов ищет по всем площадкам, документация находится на собственном сервисе, не зависит от работы сайта zakupki.gov.ru, имеется возможность аналитики как заказчиков, так и поставщиков. Вся информация о торгах в одном месте [5].</w:t>
      </w:r>
    </w:p>
    <w:p w:rsidR="00517711" w:rsidRDefault="00F815BE">
      <w:pPr>
        <w:ind w:firstLine="708"/>
        <w:rPr>
          <w:rFonts w:ascii="Times New Roman" w:hAnsi="Times New Roman" w:cs="Times New Roman"/>
          <w:sz w:val="20"/>
          <w:szCs w:val="20"/>
          <w:lang w:eastAsia="ru-RU"/>
        </w:rPr>
      </w:pPr>
      <w:r>
        <w:rPr>
          <w:rFonts w:ascii="Times New Roman" w:hAnsi="Times New Roman" w:cs="Times New Roman"/>
          <w:sz w:val="20"/>
          <w:szCs w:val="20"/>
          <w:lang w:eastAsia="ru-RU"/>
        </w:rPr>
        <w:t>В результате проделанного анализа был определен критерий выбора закупок у ВГУЭС. Был проведен анализ найденных закупок, в которых ВГУЭС не участвовал, на основе выработанного тестового алгоритма поиска и отбора закупок. Количество побед ВГУЭС в торгах за 2015-2017 гг. изображено на рисунке 10.</w:t>
      </w:r>
    </w:p>
    <w:p w:rsidR="00517711" w:rsidRDefault="00F815BE">
      <w:r>
        <w:rPr>
          <w:noProof/>
          <w:lang w:eastAsia="ru-RU"/>
        </w:rPr>
        <w:drawing>
          <wp:inline distT="0" distB="0" distL="0" distR="0">
            <wp:extent cx="5987413" cy="1447164"/>
            <wp:effectExtent l="0" t="0" r="0" b="0"/>
            <wp:docPr id="15"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517711" w:rsidRDefault="00F815BE">
      <w:pPr>
        <w:spacing w:after="0" w:line="240" w:lineRule="auto"/>
        <w:ind w:firstLine="397"/>
        <w:jc w:val="center"/>
        <w:rPr>
          <w:rFonts w:ascii="Times New Roman" w:hAnsi="Times New Roman" w:cs="Times New Roman"/>
          <w:sz w:val="20"/>
          <w:szCs w:val="20"/>
          <w:lang w:eastAsia="ru-RU"/>
        </w:rPr>
      </w:pPr>
      <w:r>
        <w:rPr>
          <w:rFonts w:ascii="Times New Roman" w:hAnsi="Times New Roman" w:cs="Times New Roman"/>
          <w:sz w:val="20"/>
          <w:szCs w:val="20"/>
          <w:lang w:eastAsia="ru-RU"/>
        </w:rPr>
        <w:t>Рис. 10. Количество побед ВГУЭС в торгах за 2015-2017 гг.; закупок</w:t>
      </w:r>
    </w:p>
    <w:p w:rsidR="00517711" w:rsidRDefault="00517711">
      <w:pPr>
        <w:spacing w:after="0" w:line="240" w:lineRule="auto"/>
        <w:ind w:firstLine="397"/>
        <w:jc w:val="center"/>
        <w:rPr>
          <w:rFonts w:ascii="Times New Roman" w:hAnsi="Times New Roman" w:cs="Times New Roman"/>
          <w:sz w:val="20"/>
          <w:szCs w:val="20"/>
          <w:lang w:eastAsia="ru-RU"/>
        </w:rPr>
      </w:pPr>
    </w:p>
    <w:p w:rsidR="00517711" w:rsidRDefault="00F815BE">
      <w:pPr>
        <w:spacing w:after="0"/>
        <w:ind w:firstLine="708"/>
        <w:rPr>
          <w:rFonts w:ascii="Times New Roman" w:hAnsi="Times New Roman" w:cs="Times New Roman"/>
          <w:sz w:val="20"/>
          <w:szCs w:val="20"/>
          <w:lang w:eastAsia="ru-RU"/>
        </w:rPr>
      </w:pPr>
      <w:r>
        <w:rPr>
          <w:rFonts w:ascii="Times New Roman" w:hAnsi="Times New Roman" w:cs="Times New Roman"/>
          <w:sz w:val="20"/>
          <w:szCs w:val="20"/>
          <w:lang w:eastAsia="ru-RU"/>
        </w:rPr>
        <w:t xml:space="preserve">С помощью алгоритма были найдены потенциально выгодные закупки: 2 дополнительные закупки в 2015 году, 3 – в 2016 и 5 – в 2017. Прогноз представлен на рисунке 11. Данная гистограмма составлена на основе того, что во всех найденных закупках вуз победил. </w:t>
      </w:r>
    </w:p>
    <w:p w:rsidR="00517711" w:rsidRDefault="00F815BE">
      <w:r>
        <w:rPr>
          <w:noProof/>
          <w:lang w:eastAsia="ru-RU"/>
        </w:rPr>
        <w:drawing>
          <wp:inline distT="0" distB="0" distL="0" distR="0">
            <wp:extent cx="6114413" cy="1399538"/>
            <wp:effectExtent l="0" t="0" r="0" b="0"/>
            <wp:docPr id="16"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517711" w:rsidRDefault="00F815BE">
      <w:pPr>
        <w:spacing w:after="0" w:line="240" w:lineRule="auto"/>
        <w:ind w:firstLine="397"/>
        <w:jc w:val="center"/>
        <w:rPr>
          <w:rFonts w:ascii="Times New Roman" w:hAnsi="Times New Roman" w:cs="Times New Roman"/>
          <w:sz w:val="20"/>
          <w:szCs w:val="20"/>
          <w:lang w:eastAsia="ru-RU"/>
        </w:rPr>
      </w:pPr>
      <w:r>
        <w:rPr>
          <w:rFonts w:ascii="Times New Roman" w:hAnsi="Times New Roman" w:cs="Times New Roman"/>
          <w:sz w:val="20"/>
          <w:szCs w:val="20"/>
          <w:lang w:eastAsia="ru-RU"/>
        </w:rPr>
        <w:t>Рис. 11. Прогноз побед ВГУЭС в торгах с использованием тестового алгоритм поиска и отбора, за 2015-2017 гг.; закупок</w:t>
      </w:r>
    </w:p>
    <w:p w:rsidR="00517711" w:rsidRDefault="00517711">
      <w:pPr>
        <w:spacing w:after="0" w:line="240" w:lineRule="auto"/>
        <w:ind w:firstLine="397"/>
        <w:jc w:val="center"/>
        <w:rPr>
          <w:rFonts w:ascii="Times New Roman" w:hAnsi="Times New Roman" w:cs="Times New Roman"/>
          <w:sz w:val="20"/>
          <w:szCs w:val="20"/>
          <w:lang w:eastAsia="ru-RU"/>
        </w:rPr>
      </w:pPr>
    </w:p>
    <w:p w:rsidR="00517711" w:rsidRDefault="00F815BE">
      <w:pPr>
        <w:spacing w:after="0"/>
        <w:ind w:firstLine="708"/>
        <w:rPr>
          <w:rFonts w:ascii="Times New Roman" w:hAnsi="Times New Roman" w:cs="Times New Roman"/>
          <w:sz w:val="20"/>
          <w:szCs w:val="20"/>
          <w:lang w:eastAsia="ru-RU"/>
        </w:rPr>
      </w:pPr>
      <w:r>
        <w:rPr>
          <w:rFonts w:ascii="Times New Roman" w:hAnsi="Times New Roman" w:cs="Times New Roman"/>
          <w:sz w:val="20"/>
          <w:szCs w:val="20"/>
          <w:lang w:eastAsia="ru-RU"/>
        </w:rPr>
        <w:t>Для ВГУЭС наибольшую выгоду в 2015 году составило участие в закупках по предоставлению образовательных услуг, что принесло 92,61% выручки (Рис. 6) в данной сфере деятельности.</w:t>
      </w:r>
    </w:p>
    <w:p w:rsidR="00517711" w:rsidRDefault="00F815BE">
      <w:pPr>
        <w:spacing w:after="0"/>
        <w:ind w:firstLine="708"/>
        <w:rPr>
          <w:rFonts w:ascii="Times New Roman" w:hAnsi="Times New Roman" w:cs="Times New Roman"/>
          <w:sz w:val="20"/>
          <w:szCs w:val="20"/>
          <w:lang w:eastAsia="ru-RU"/>
        </w:rPr>
      </w:pPr>
      <w:r>
        <w:rPr>
          <w:rFonts w:ascii="Times New Roman" w:hAnsi="Times New Roman" w:cs="Times New Roman"/>
          <w:sz w:val="20"/>
          <w:szCs w:val="20"/>
          <w:lang w:eastAsia="ru-RU"/>
        </w:rPr>
        <w:t xml:space="preserve">Все отклонения заявок в 2015 году произошли в категории научные исследования из-за неправильно подготовленной заявки или пакета документов. </w:t>
      </w:r>
    </w:p>
    <w:p w:rsidR="00517711" w:rsidRDefault="00F815BE">
      <w:pPr>
        <w:spacing w:after="0"/>
        <w:ind w:firstLine="708"/>
        <w:rPr>
          <w:rFonts w:ascii="Times New Roman" w:hAnsi="Times New Roman" w:cs="Times New Roman"/>
          <w:sz w:val="20"/>
          <w:szCs w:val="20"/>
          <w:lang w:eastAsia="ru-RU"/>
        </w:rPr>
      </w:pPr>
      <w:r>
        <w:rPr>
          <w:rFonts w:ascii="Times New Roman" w:hAnsi="Times New Roman" w:cs="Times New Roman"/>
          <w:sz w:val="20"/>
          <w:szCs w:val="20"/>
          <w:lang w:eastAsia="ru-RU"/>
        </w:rPr>
        <w:t>В целом в 2016 году выручка в торгах ниже на 16%. Но по наиболее выгодной для вуза категории закупок было подано на 20 заявок больше.</w:t>
      </w:r>
    </w:p>
    <w:p w:rsidR="00517711" w:rsidRDefault="00F815BE">
      <w:pPr>
        <w:spacing w:after="0"/>
        <w:ind w:firstLine="708"/>
        <w:rPr>
          <w:rFonts w:ascii="Times New Roman" w:hAnsi="Times New Roman" w:cs="Times New Roman"/>
          <w:sz w:val="20"/>
          <w:szCs w:val="20"/>
          <w:lang w:eastAsia="ru-RU"/>
        </w:rPr>
      </w:pPr>
      <w:r>
        <w:rPr>
          <w:rFonts w:ascii="Times New Roman" w:hAnsi="Times New Roman" w:cs="Times New Roman"/>
          <w:sz w:val="20"/>
          <w:szCs w:val="20"/>
          <w:lang w:eastAsia="ru-RU"/>
        </w:rPr>
        <w:t>В 2017 году наибольшую выгоду для ВГУЭС приносит участие в закупках по предоставлению образовательных услуг и повышению квалификации персонала, что составило 92,5% выручки за 2017 год в данной сфере деятельности, и что составляет 93,3% выручки с государственных контрактов в период 2015-2017 гг.</w:t>
      </w:r>
    </w:p>
    <w:p w:rsidR="00517711" w:rsidRDefault="00F815BE">
      <w:pPr>
        <w:spacing w:after="0"/>
        <w:ind w:firstLine="708"/>
        <w:rPr>
          <w:rFonts w:ascii="Times New Roman" w:hAnsi="Times New Roman" w:cs="Times New Roman"/>
          <w:sz w:val="20"/>
          <w:szCs w:val="20"/>
          <w:lang w:eastAsia="ru-RU"/>
        </w:rPr>
      </w:pPr>
      <w:r>
        <w:rPr>
          <w:rFonts w:ascii="Times New Roman" w:hAnsi="Times New Roman" w:cs="Times New Roman"/>
          <w:sz w:val="20"/>
          <w:szCs w:val="20"/>
          <w:lang w:eastAsia="ru-RU"/>
        </w:rPr>
        <w:lastRenderedPageBreak/>
        <w:t>Оптимизация процесса поиска закупок не только представляет собой возможность сокращения затрат времени, но и проводить наиболее качественный отбор закупок для участия ВГУЭС.</w:t>
      </w:r>
    </w:p>
    <w:p w:rsidR="00517711" w:rsidRDefault="00F815BE">
      <w:pPr>
        <w:spacing w:after="0"/>
        <w:ind w:firstLine="708"/>
        <w:rPr>
          <w:rFonts w:ascii="Times New Roman" w:hAnsi="Times New Roman" w:cs="Times New Roman"/>
          <w:sz w:val="20"/>
          <w:szCs w:val="20"/>
          <w:lang w:eastAsia="ru-RU"/>
        </w:rPr>
      </w:pPr>
      <w:r>
        <w:rPr>
          <w:rFonts w:ascii="Times New Roman" w:hAnsi="Times New Roman" w:cs="Times New Roman"/>
          <w:sz w:val="20"/>
          <w:szCs w:val="20"/>
          <w:lang w:eastAsia="ru-RU"/>
        </w:rPr>
        <w:t>Предложенные мероприятия позволят повысить эффективность участия ВГУЭС в государственных закупках в качестве поставщика на 30%.</w:t>
      </w:r>
    </w:p>
    <w:p w:rsidR="00517711" w:rsidRDefault="00F815BE">
      <w:pPr>
        <w:spacing w:after="0"/>
        <w:ind w:firstLine="708"/>
      </w:pPr>
      <w:r>
        <w:t>____________________________________</w:t>
      </w:r>
    </w:p>
    <w:p w:rsidR="00517711" w:rsidRDefault="00F815BE">
      <w:pPr>
        <w:numPr>
          <w:ilvl w:val="0"/>
          <w:numId w:val="64"/>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Белозерцева Н.П., Близнюк Ю.С. Некоторые аспекты автоматизации закупочной деятельности / Белозерцева Н.П., Близнюк Ю.С.// Экономика и предпринимательство. – 2016.-№5 (70). – c 656-660</w:t>
      </w:r>
    </w:p>
    <w:p w:rsidR="00517711" w:rsidRDefault="00F815BE">
      <w:pPr>
        <w:numPr>
          <w:ilvl w:val="0"/>
          <w:numId w:val="64"/>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Галанов В. А. Государственные закупки и конкуренция / В.А. Галанов, О. А. Гришина, С. Р. Шибаев – М.: Инфра-М, 2015.</w:t>
      </w:r>
    </w:p>
    <w:p w:rsidR="00517711" w:rsidRDefault="00F815BE">
      <w:pPr>
        <w:numPr>
          <w:ilvl w:val="0"/>
          <w:numId w:val="64"/>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Иванова О. В. Государственные закупки: развитие понятийного аппарата / О. В. Иванова – М.: Редакция журнала «Известия высших учебных заведений». – 2015</w:t>
      </w:r>
    </w:p>
    <w:p w:rsidR="00517711" w:rsidRDefault="00F815BE">
      <w:pPr>
        <w:numPr>
          <w:ilvl w:val="0"/>
          <w:numId w:val="64"/>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Официальный сайт Единой Информационной Системы в сфере закупок [Электронный ресурс] // Zakupki.gov.ru. – Режим доступа: </w:t>
      </w:r>
      <w:hyperlink r:id="rId41" w:history="1">
        <w:r>
          <w:rPr>
            <w:rFonts w:ascii="Times New Roman" w:hAnsi="Times New Roman" w:cs="Times New Roman"/>
            <w:sz w:val="20"/>
            <w:szCs w:val="20"/>
            <w:lang w:eastAsia="ru-RU"/>
          </w:rPr>
          <w:t>http://zakupki.gov.ru</w:t>
        </w:r>
      </w:hyperlink>
    </w:p>
    <w:p w:rsidR="00517711" w:rsidRDefault="00F815BE">
      <w:pPr>
        <w:numPr>
          <w:ilvl w:val="0"/>
          <w:numId w:val="64"/>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Официальный сайт системы поиска закупок «Контур.Закупки» [Электронный ресурс] // zakupki.kontur.ru. – Режим доступа: </w:t>
      </w:r>
      <w:hyperlink r:id="rId42" w:history="1">
        <w:r>
          <w:rPr>
            <w:rFonts w:ascii="Times New Roman" w:hAnsi="Times New Roman" w:cs="Times New Roman"/>
            <w:sz w:val="20"/>
            <w:szCs w:val="20"/>
            <w:lang w:eastAsia="ru-RU"/>
          </w:rPr>
          <w:t>http://zakupki.kontur.ru</w:t>
        </w:r>
      </w:hyperlink>
    </w:p>
    <w:p w:rsidR="00517711" w:rsidRDefault="00517711"/>
    <w:p w:rsidR="00517711" w:rsidRDefault="00F815BE">
      <w:pPr>
        <w:keepNext/>
        <w:spacing w:before="120" w:after="120" w:line="240" w:lineRule="auto"/>
        <w:outlineLvl w:val="3"/>
        <w:rPr>
          <w:rFonts w:ascii="Times New Roman" w:eastAsia="Calibri" w:hAnsi="Times New Roman" w:cs="Times New Roman"/>
          <w:b/>
          <w:bCs/>
          <w:sz w:val="20"/>
          <w:szCs w:val="28"/>
        </w:rPr>
      </w:pPr>
      <w:r>
        <w:rPr>
          <w:rFonts w:ascii="Times New Roman" w:eastAsia="Calibri" w:hAnsi="Times New Roman" w:cs="Times New Roman"/>
          <w:b/>
          <w:bCs/>
          <w:sz w:val="20"/>
          <w:szCs w:val="28"/>
        </w:rPr>
        <w:t xml:space="preserve">Рубрика: Современные проблемы и тенденции развития логистики и управления цепями поставок </w:t>
      </w:r>
    </w:p>
    <w:p w:rsidR="00517711" w:rsidRDefault="00F815BE">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УДК 658.7</w:t>
      </w:r>
    </w:p>
    <w:p w:rsidR="00517711" w:rsidRDefault="00F815BE">
      <w:pPr>
        <w:keepNext/>
        <w:spacing w:before="240" w:after="240" w:line="240" w:lineRule="auto"/>
        <w:jc w:val="center"/>
        <w:outlineLvl w:val="0"/>
        <w:rPr>
          <w:rFonts w:ascii="Book Antiqua" w:hAnsi="Book Antiqua" w:cs="Times New Roman"/>
          <w:b/>
          <w:bCs/>
          <w:caps/>
          <w:sz w:val="26"/>
          <w:szCs w:val="26"/>
        </w:rPr>
      </w:pPr>
      <w:r>
        <w:rPr>
          <w:rFonts w:ascii="Book Antiqua" w:hAnsi="Book Antiqua" w:cs="Times New Roman"/>
          <w:b/>
          <w:bCs/>
          <w:caps/>
          <w:sz w:val="26"/>
          <w:szCs w:val="26"/>
        </w:rPr>
        <w:t>Проблемы участия ВГУЭС в закупках в качестве поставщика</w:t>
      </w:r>
    </w:p>
    <w:p w:rsidR="00517711" w:rsidRDefault="00F815BE">
      <w:pPr>
        <w:spacing w:after="0" w:line="240" w:lineRule="auto"/>
        <w:jc w:val="center"/>
        <w:rPr>
          <w:rFonts w:ascii="Arial" w:eastAsia="Calibri" w:hAnsi="Arial" w:cs="Times New Roman"/>
          <w:b/>
          <w:bCs/>
          <w:sz w:val="24"/>
          <w:szCs w:val="20"/>
          <w:lang w:eastAsia="ru-RU"/>
        </w:rPr>
      </w:pPr>
      <w:r>
        <w:rPr>
          <w:rFonts w:ascii="Arial" w:eastAsia="Calibri" w:hAnsi="Arial" w:cs="Times New Roman"/>
          <w:b/>
          <w:bCs/>
          <w:sz w:val="24"/>
          <w:szCs w:val="20"/>
          <w:lang w:eastAsia="ru-RU"/>
        </w:rPr>
        <w:t>Мигина Диана Дмитриевна,</w:t>
      </w:r>
    </w:p>
    <w:p w:rsidR="00517711" w:rsidRDefault="00F815BE">
      <w:pPr>
        <w:spacing w:line="240" w:lineRule="auto"/>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бакалавр</w:t>
      </w: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Россия. Владивосток</w:t>
      </w:r>
    </w:p>
    <w:p w:rsidR="00517711" w:rsidRPr="008A2A0D" w:rsidRDefault="00F815BE">
      <w:pPr>
        <w:spacing w:after="0" w:line="240" w:lineRule="auto"/>
        <w:jc w:val="center"/>
        <w:rPr>
          <w:rFonts w:ascii="Times New Roman" w:hAnsi="Times New Roman"/>
          <w:sz w:val="20"/>
          <w:szCs w:val="24"/>
        </w:rPr>
      </w:pPr>
      <w:r>
        <w:rPr>
          <w:rFonts w:ascii="Times New Roman" w:hAnsi="Times New Roman"/>
          <w:sz w:val="20"/>
          <w:szCs w:val="24"/>
          <w:lang w:val="en-US"/>
        </w:rPr>
        <w:t>E</w:t>
      </w:r>
      <w:r w:rsidRPr="008A2A0D">
        <w:rPr>
          <w:rFonts w:ascii="Times New Roman" w:hAnsi="Times New Roman"/>
          <w:sz w:val="20"/>
          <w:szCs w:val="24"/>
        </w:rPr>
        <w:t>-</w:t>
      </w:r>
      <w:r>
        <w:rPr>
          <w:rFonts w:ascii="Times New Roman" w:hAnsi="Times New Roman"/>
          <w:sz w:val="20"/>
          <w:szCs w:val="24"/>
          <w:lang w:val="en-US"/>
        </w:rPr>
        <w:t>mail</w:t>
      </w:r>
      <w:r w:rsidRPr="008A2A0D">
        <w:rPr>
          <w:rFonts w:ascii="Times New Roman" w:hAnsi="Times New Roman"/>
          <w:sz w:val="20"/>
          <w:szCs w:val="24"/>
        </w:rPr>
        <w:t xml:space="preserve">: </w:t>
      </w:r>
      <w:r>
        <w:rPr>
          <w:rFonts w:ascii="Times New Roman" w:hAnsi="Times New Roman"/>
          <w:sz w:val="20"/>
          <w:szCs w:val="24"/>
          <w:lang w:val="en-US"/>
        </w:rPr>
        <w:t>dina</w:t>
      </w:r>
      <w:r w:rsidRPr="008A2A0D">
        <w:rPr>
          <w:rFonts w:ascii="Times New Roman" w:hAnsi="Times New Roman"/>
          <w:sz w:val="20"/>
          <w:szCs w:val="24"/>
        </w:rPr>
        <w:t>-</w:t>
      </w:r>
      <w:r>
        <w:rPr>
          <w:rFonts w:ascii="Times New Roman" w:hAnsi="Times New Roman"/>
          <w:sz w:val="20"/>
          <w:szCs w:val="24"/>
          <w:lang w:val="en-US"/>
        </w:rPr>
        <w:t>vamp</w:t>
      </w:r>
      <w:r w:rsidRPr="008A2A0D">
        <w:rPr>
          <w:rFonts w:ascii="Times New Roman" w:hAnsi="Times New Roman"/>
          <w:sz w:val="20"/>
          <w:szCs w:val="24"/>
        </w:rPr>
        <w:t>@</w:t>
      </w:r>
      <w:r>
        <w:rPr>
          <w:rFonts w:ascii="Times New Roman" w:hAnsi="Times New Roman"/>
          <w:sz w:val="20"/>
          <w:szCs w:val="24"/>
          <w:lang w:val="en-US"/>
        </w:rPr>
        <w:t>mail</w:t>
      </w:r>
      <w:r w:rsidRPr="008A2A0D">
        <w:rPr>
          <w:rFonts w:ascii="Times New Roman" w:hAnsi="Times New Roman"/>
          <w:sz w:val="20"/>
          <w:szCs w:val="24"/>
        </w:rPr>
        <w:t>.</w:t>
      </w:r>
      <w:r>
        <w:rPr>
          <w:rFonts w:ascii="Times New Roman" w:hAnsi="Times New Roman"/>
          <w:sz w:val="20"/>
          <w:szCs w:val="24"/>
          <w:lang w:val="en-US"/>
        </w:rPr>
        <w:t>ru</w:t>
      </w:r>
      <w:r w:rsidRPr="008A2A0D">
        <w:rPr>
          <w:rFonts w:ascii="Times New Roman" w:hAnsi="Times New Roman"/>
          <w:sz w:val="20"/>
          <w:szCs w:val="24"/>
        </w:rPr>
        <w:t xml:space="preserve">; </w:t>
      </w:r>
      <w:r>
        <w:rPr>
          <w:rFonts w:ascii="Times New Roman" w:hAnsi="Times New Roman"/>
          <w:sz w:val="20"/>
          <w:szCs w:val="24"/>
        </w:rPr>
        <w:t>тел</w:t>
      </w:r>
      <w:r w:rsidRPr="008A2A0D">
        <w:rPr>
          <w:rFonts w:ascii="Times New Roman" w:hAnsi="Times New Roman"/>
          <w:sz w:val="20"/>
          <w:szCs w:val="24"/>
        </w:rPr>
        <w:t>.: +79841953961</w:t>
      </w:r>
    </w:p>
    <w:p w:rsidR="00517711" w:rsidRDefault="00F815BE">
      <w:pPr>
        <w:spacing w:line="240" w:lineRule="auto"/>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F815BE">
      <w:pPr>
        <w:spacing w:after="0" w:line="240" w:lineRule="auto"/>
        <w:jc w:val="center"/>
        <w:rPr>
          <w:rFonts w:ascii="Arial" w:eastAsia="Calibri" w:hAnsi="Arial" w:cs="Times New Roman"/>
          <w:b/>
          <w:bCs/>
          <w:sz w:val="24"/>
          <w:szCs w:val="20"/>
          <w:lang w:eastAsia="ru-RU"/>
        </w:rPr>
      </w:pPr>
      <w:r>
        <w:rPr>
          <w:rFonts w:ascii="Arial" w:eastAsia="Calibri" w:hAnsi="Arial" w:cs="Times New Roman"/>
          <w:b/>
          <w:bCs/>
          <w:sz w:val="24"/>
          <w:szCs w:val="20"/>
          <w:lang w:eastAsia="ru-RU"/>
        </w:rPr>
        <w:t>Смольянинова Елена Николаевна,</w:t>
      </w:r>
    </w:p>
    <w:p w:rsidR="00517711" w:rsidRDefault="00F815BE">
      <w:pPr>
        <w:spacing w:line="240" w:lineRule="auto"/>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 xml:space="preserve">научный руководитель, кандидат экон.наук, доцент, заведующая кафедры ММТ </w:t>
      </w:r>
    </w:p>
    <w:p w:rsidR="00517711" w:rsidRDefault="00517711">
      <w:pPr>
        <w:spacing w:after="0" w:line="240" w:lineRule="auto"/>
        <w:jc w:val="center"/>
        <w:rPr>
          <w:rFonts w:ascii="Times New Roman" w:hAnsi="Times New Roman"/>
          <w:sz w:val="24"/>
          <w:szCs w:val="24"/>
        </w:rPr>
      </w:pPr>
    </w:p>
    <w:p w:rsidR="00517711" w:rsidRDefault="00F815BE">
      <w:pPr>
        <w:spacing w:after="0" w:line="240" w:lineRule="auto"/>
        <w:ind w:firstLine="709"/>
        <w:jc w:val="both"/>
        <w:rPr>
          <w:rFonts w:ascii="Times New Roman" w:hAnsi="Times New Roman"/>
          <w:i/>
          <w:szCs w:val="24"/>
        </w:rPr>
      </w:pPr>
      <w:r>
        <w:rPr>
          <w:rFonts w:ascii="Times New Roman" w:hAnsi="Times New Roman"/>
          <w:i/>
          <w:szCs w:val="24"/>
        </w:rPr>
        <w:t>С проблемами участия в закупках сталкивается каждое государственное учреждение. Законы, регламентирующие государственные закупки, устанавливают определенный список документов, необходимых для участия в конкретном виде закупок. Процесс сбора документов может оказаться довольно трудоемким. Оптимизация такого процесса способна сократить затраченное время и повысить эффективность участия учреждения в закупках.</w:t>
      </w:r>
    </w:p>
    <w:p w:rsidR="00517711" w:rsidRDefault="00F815BE">
      <w:pPr>
        <w:spacing w:after="0" w:line="240" w:lineRule="auto"/>
        <w:ind w:firstLine="709"/>
        <w:jc w:val="both"/>
        <w:rPr>
          <w:rFonts w:ascii="Times New Roman" w:hAnsi="Times New Roman"/>
          <w:i/>
          <w:szCs w:val="24"/>
        </w:rPr>
      </w:pPr>
      <w:r>
        <w:rPr>
          <w:rFonts w:ascii="Times New Roman" w:hAnsi="Times New Roman"/>
          <w:b/>
          <w:i/>
          <w:szCs w:val="24"/>
        </w:rPr>
        <w:t xml:space="preserve">Ключевые слова и словосочетания: </w:t>
      </w:r>
      <w:r>
        <w:rPr>
          <w:rFonts w:ascii="Times New Roman" w:hAnsi="Times New Roman"/>
          <w:i/>
          <w:szCs w:val="24"/>
        </w:rPr>
        <w:t>государственные закупки, документооборот, оптимизация документооборота, вуз как поставщик услуг, проблемы участия в закупках</w:t>
      </w:r>
    </w:p>
    <w:p w:rsidR="00517711" w:rsidRDefault="00517711">
      <w:pPr>
        <w:spacing w:after="0" w:line="240" w:lineRule="auto"/>
        <w:ind w:firstLine="709"/>
        <w:jc w:val="both"/>
        <w:rPr>
          <w:rFonts w:ascii="Times New Roman" w:hAnsi="Times New Roman"/>
          <w:i/>
          <w:sz w:val="24"/>
          <w:szCs w:val="24"/>
        </w:rPr>
      </w:pPr>
    </w:p>
    <w:p w:rsidR="00517711" w:rsidRDefault="00F815BE">
      <w:pPr>
        <w:keepNext/>
        <w:spacing w:before="240" w:after="240" w:line="240" w:lineRule="auto"/>
        <w:jc w:val="center"/>
        <w:outlineLvl w:val="0"/>
        <w:rPr>
          <w:rFonts w:ascii="Book Antiqua" w:hAnsi="Book Antiqua" w:cs="Times New Roman"/>
          <w:b/>
          <w:bCs/>
          <w:caps/>
          <w:sz w:val="26"/>
          <w:szCs w:val="26"/>
          <w:lang w:val="en-US"/>
        </w:rPr>
      </w:pPr>
      <w:r>
        <w:rPr>
          <w:rFonts w:ascii="Book Antiqua" w:hAnsi="Book Antiqua" w:cs="Times New Roman"/>
          <w:b/>
          <w:bCs/>
          <w:caps/>
          <w:sz w:val="26"/>
          <w:szCs w:val="26"/>
          <w:lang w:val="en-US"/>
        </w:rPr>
        <w:t>VSUES problems of participation in the procurement as a supplier</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i/>
          <w:szCs w:val="24"/>
          <w:lang w:val="en-US"/>
        </w:rPr>
        <w:t>Every government institution faces problems of participation in procurement. The state purchase laws establish a certain list of documents required to participate in a particular type of procurement.</w:t>
      </w:r>
      <w:r>
        <w:rPr>
          <w:sz w:val="20"/>
          <w:lang w:val="en-US"/>
        </w:rPr>
        <w:t xml:space="preserve"> </w:t>
      </w:r>
      <w:r>
        <w:rPr>
          <w:rFonts w:ascii="Times New Roman" w:hAnsi="Times New Roman"/>
          <w:i/>
          <w:szCs w:val="24"/>
          <w:lang w:val="en-US"/>
        </w:rPr>
        <w:t>The process of collecting documents can be quite time-consuming. The optimization of that process can reduce time and increase the efficiency of the institution's participation in procurement.</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b/>
          <w:i/>
          <w:szCs w:val="24"/>
          <w:lang w:val="en-US"/>
        </w:rPr>
        <w:t xml:space="preserve">Keywords: </w:t>
      </w:r>
      <w:r>
        <w:rPr>
          <w:rFonts w:ascii="Times New Roman" w:hAnsi="Times New Roman"/>
          <w:i/>
          <w:szCs w:val="24"/>
          <w:lang w:val="en-US"/>
        </w:rPr>
        <w:t>state purchases, document flow, document flow optimization, university as a provider of services, problems of participation in procurement</w:t>
      </w:r>
    </w:p>
    <w:p w:rsidR="00517711" w:rsidRDefault="00517711">
      <w:pPr>
        <w:spacing w:after="0" w:line="240" w:lineRule="auto"/>
        <w:ind w:firstLine="709"/>
        <w:jc w:val="both"/>
        <w:rPr>
          <w:rFonts w:ascii="Times New Roman" w:hAnsi="Times New Roman"/>
          <w:i/>
          <w:sz w:val="20"/>
          <w:szCs w:val="24"/>
          <w:lang w:val="en-US"/>
        </w:rPr>
      </w:pP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В настоящее время система государственных закупок является обязательным элементом управления государственными финансами и другими ресурсами общественного сектора экономики. Все предприятия, более 50% которыми владеет государство, являются участниками государственных закупок. В то же время государство является на рынке важнейшим закупщиком или поставщиком товаров, работ или услуг.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lastRenderedPageBreak/>
        <w:t>Преимуществами государственных закупок являются:</w:t>
      </w:r>
    </w:p>
    <w:p w:rsidR="00517711" w:rsidRDefault="00F815BE">
      <w:pPr>
        <w:pStyle w:val="af4"/>
        <w:numPr>
          <w:ilvl w:val="0"/>
          <w:numId w:val="72"/>
        </w:numPr>
        <w:spacing w:after="0" w:line="240" w:lineRule="auto"/>
        <w:ind w:left="1134" w:hanging="264"/>
        <w:jc w:val="both"/>
        <w:rPr>
          <w:rFonts w:ascii="Times New Roman" w:hAnsi="Times New Roman"/>
          <w:sz w:val="20"/>
          <w:szCs w:val="24"/>
        </w:rPr>
      </w:pPr>
      <w:r>
        <w:rPr>
          <w:rFonts w:ascii="Times New Roman" w:hAnsi="Times New Roman"/>
          <w:sz w:val="20"/>
          <w:szCs w:val="24"/>
        </w:rPr>
        <w:t>эффективное использование бюджетных средств;</w:t>
      </w:r>
    </w:p>
    <w:p w:rsidR="00517711" w:rsidRDefault="00F815BE">
      <w:pPr>
        <w:pStyle w:val="af4"/>
        <w:numPr>
          <w:ilvl w:val="0"/>
          <w:numId w:val="72"/>
        </w:numPr>
        <w:spacing w:after="0" w:line="240" w:lineRule="auto"/>
        <w:ind w:left="1134" w:hanging="264"/>
        <w:jc w:val="both"/>
        <w:rPr>
          <w:rFonts w:ascii="Times New Roman" w:hAnsi="Times New Roman"/>
          <w:sz w:val="20"/>
          <w:szCs w:val="24"/>
        </w:rPr>
      </w:pPr>
      <w:r>
        <w:rPr>
          <w:rFonts w:ascii="Times New Roman" w:hAnsi="Times New Roman"/>
          <w:sz w:val="20"/>
          <w:szCs w:val="24"/>
        </w:rPr>
        <w:t>обеспечения гласности, прозрачности размещения заказов;</w:t>
      </w:r>
    </w:p>
    <w:p w:rsidR="00517711" w:rsidRDefault="00F815BE">
      <w:pPr>
        <w:pStyle w:val="af4"/>
        <w:numPr>
          <w:ilvl w:val="0"/>
          <w:numId w:val="72"/>
        </w:numPr>
        <w:spacing w:after="0" w:line="240" w:lineRule="auto"/>
        <w:ind w:left="1134" w:hanging="264"/>
        <w:jc w:val="both"/>
        <w:rPr>
          <w:rFonts w:ascii="Times New Roman" w:hAnsi="Times New Roman"/>
          <w:sz w:val="20"/>
          <w:szCs w:val="24"/>
        </w:rPr>
      </w:pPr>
      <w:r>
        <w:rPr>
          <w:rFonts w:ascii="Times New Roman" w:hAnsi="Times New Roman"/>
          <w:sz w:val="20"/>
          <w:szCs w:val="24"/>
        </w:rPr>
        <w:t>развитие добросовестной конкуренции;</w:t>
      </w:r>
    </w:p>
    <w:p w:rsidR="00517711" w:rsidRDefault="00F815BE">
      <w:pPr>
        <w:pStyle w:val="af4"/>
        <w:numPr>
          <w:ilvl w:val="0"/>
          <w:numId w:val="72"/>
        </w:numPr>
        <w:spacing w:after="0" w:line="240" w:lineRule="auto"/>
        <w:ind w:left="1134" w:hanging="264"/>
        <w:jc w:val="both"/>
        <w:rPr>
          <w:rFonts w:ascii="Times New Roman" w:hAnsi="Times New Roman"/>
          <w:sz w:val="20"/>
          <w:szCs w:val="24"/>
        </w:rPr>
      </w:pPr>
      <w:r>
        <w:rPr>
          <w:rFonts w:ascii="Times New Roman" w:hAnsi="Times New Roman"/>
          <w:sz w:val="20"/>
          <w:szCs w:val="24"/>
        </w:rPr>
        <w:t xml:space="preserve">предотвращение коррупции в сфере размещения заказов. </w:t>
      </w:r>
      <w:r>
        <w:rPr>
          <w:rFonts w:ascii="Times New Roman" w:hAnsi="Times New Roman"/>
          <w:sz w:val="20"/>
          <w:szCs w:val="24"/>
          <w:lang w:val="en-US"/>
        </w:rPr>
        <w:t>[2]</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Целью данного исследования является выявление проблем участия ВГУЭС в закупках в качестве поставщика.</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Задачами исследования являются:</w:t>
      </w:r>
    </w:p>
    <w:p w:rsidR="00517711" w:rsidRDefault="00F815BE">
      <w:pPr>
        <w:pStyle w:val="af4"/>
        <w:numPr>
          <w:ilvl w:val="0"/>
          <w:numId w:val="73"/>
        </w:numPr>
        <w:spacing w:after="0" w:line="240" w:lineRule="auto"/>
        <w:ind w:left="1134" w:hanging="281"/>
        <w:jc w:val="both"/>
        <w:rPr>
          <w:rFonts w:ascii="Times New Roman" w:hAnsi="Times New Roman"/>
          <w:sz w:val="20"/>
          <w:szCs w:val="24"/>
        </w:rPr>
      </w:pPr>
      <w:r>
        <w:rPr>
          <w:rFonts w:ascii="Times New Roman" w:hAnsi="Times New Roman"/>
          <w:sz w:val="20"/>
          <w:szCs w:val="24"/>
        </w:rPr>
        <w:t>сбор и анализ источников документов, и выявление необходимости подтверждения подлинности данных документов;</w:t>
      </w:r>
    </w:p>
    <w:p w:rsidR="00517711" w:rsidRDefault="00F815BE">
      <w:pPr>
        <w:pStyle w:val="af4"/>
        <w:numPr>
          <w:ilvl w:val="0"/>
          <w:numId w:val="73"/>
        </w:numPr>
        <w:spacing w:after="0" w:line="240" w:lineRule="auto"/>
        <w:ind w:left="1134" w:hanging="281"/>
        <w:jc w:val="both"/>
        <w:rPr>
          <w:rFonts w:ascii="Times New Roman" w:hAnsi="Times New Roman"/>
          <w:sz w:val="20"/>
          <w:szCs w:val="24"/>
        </w:rPr>
      </w:pPr>
      <w:r>
        <w:rPr>
          <w:rFonts w:ascii="Times New Roman" w:hAnsi="Times New Roman"/>
          <w:sz w:val="20"/>
          <w:szCs w:val="24"/>
        </w:rPr>
        <w:t>выявление проблем участия ВГУЭС в госзакупках в качестве поставщика;</w:t>
      </w:r>
    </w:p>
    <w:p w:rsidR="00517711" w:rsidRDefault="00F815BE">
      <w:pPr>
        <w:pStyle w:val="af4"/>
        <w:numPr>
          <w:ilvl w:val="0"/>
          <w:numId w:val="73"/>
        </w:numPr>
        <w:spacing w:after="0" w:line="240" w:lineRule="auto"/>
        <w:ind w:left="1134" w:hanging="281"/>
        <w:jc w:val="both"/>
        <w:rPr>
          <w:rFonts w:ascii="Times New Roman" w:hAnsi="Times New Roman"/>
          <w:sz w:val="20"/>
          <w:szCs w:val="24"/>
        </w:rPr>
      </w:pPr>
      <w:r>
        <w:rPr>
          <w:rFonts w:ascii="Times New Roman" w:hAnsi="Times New Roman"/>
          <w:sz w:val="20"/>
          <w:szCs w:val="24"/>
        </w:rPr>
        <w:t>оптимизация документооборота для участия в закупках.</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Существует множество определений понятия государственные закупки. В ст. 3 ФЗ-44 дано такое определение государственных закупок — это закупки, приобретение, покупка товаров, работ или услуг для государственных или муниципальных нужд. [6]</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Согласно ФЗ-44 участником закупок может быть любое юридическое лицо независимо от его организационно-правовой формы, места нахождения или любое физическое лицо, в том числе зарегистрированное в качестве индивидуального предпринимателя.</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Основным нормативно-правовым актом, регламентирующим процедуры госзакупок в РФ, являются ФЗ № 44-ФЗ и ФЗ № 223-ФЗ.  [5]</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ФЗ-44 предназначен для компаний, которые полностью принадлежат государству. ФЗ-223 распространяется на компании с участием государства 50% и более. Из этого следует, что ФЗ-44 и ФЗ-223 имеют различный характер. В первом случае государство полностью финансирует закупку товаров, работ, услуг и поэтому максимально контролирует все этапы контракта. Во втором, когда речь идет о ФЗ-223, требования будут не столь строги, поскольку компания частично или полностью самофинансируется.</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По способу закупок ФЗ-44 ориентирует заказчика на проведение конкурентных и неконкурентных закупок, представленных на Рисунке 1. </w:t>
      </w:r>
    </w:p>
    <w:p w:rsidR="00517711" w:rsidRDefault="00F815BE">
      <w:pPr>
        <w:spacing w:after="0" w:line="240" w:lineRule="auto"/>
        <w:ind w:firstLine="709"/>
        <w:jc w:val="center"/>
        <w:rPr>
          <w:rFonts w:ascii="Times New Roman" w:hAnsi="Times New Roman"/>
          <w:sz w:val="24"/>
          <w:szCs w:val="24"/>
        </w:rPr>
      </w:pPr>
      <w:r>
        <w:rPr>
          <w:rFonts w:ascii="Times New Roman" w:hAnsi="Times New Roman"/>
          <w:noProof/>
          <w:sz w:val="24"/>
          <w:szCs w:val="24"/>
          <w:lang w:eastAsia="ru-RU"/>
        </w:rPr>
        <w:drawing>
          <wp:inline distT="0" distB="0" distL="0" distR="0">
            <wp:extent cx="2771775" cy="2838448"/>
            <wp:effectExtent l="0" t="0" r="0" b="0"/>
            <wp:docPr id="17"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
                    <pic:cNvPicPr>
                      <a:picLocks noChangeAspect="1"/>
                    </pic:cNvPicPr>
                  </pic:nvPicPr>
                  <pic:blipFill>
                    <a:blip r:embed="rId43"/>
                    <a:stretch/>
                  </pic:blipFill>
                  <pic:spPr bwMode="auto">
                    <a:xfrm>
                      <a:off x="0" y="0"/>
                      <a:ext cx="2771775" cy="2838450"/>
                    </a:xfrm>
                    <a:prstGeom prst="rect">
                      <a:avLst/>
                    </a:prstGeom>
                    <a:noFill/>
                    <a:ln>
                      <a:noFill/>
                    </a:ln>
                  </pic:spPr>
                </pic:pic>
              </a:graphicData>
            </a:graphic>
          </wp:inline>
        </w:drawing>
      </w:r>
    </w:p>
    <w:p w:rsidR="00517711" w:rsidRDefault="00F815BE">
      <w:pPr>
        <w:spacing w:after="0" w:line="240" w:lineRule="auto"/>
        <w:ind w:firstLine="709"/>
        <w:jc w:val="center"/>
        <w:rPr>
          <w:rFonts w:ascii="Times New Roman" w:hAnsi="Times New Roman"/>
          <w:sz w:val="20"/>
          <w:szCs w:val="24"/>
        </w:rPr>
      </w:pPr>
      <w:r>
        <w:rPr>
          <w:rFonts w:ascii="Times New Roman" w:hAnsi="Times New Roman"/>
          <w:sz w:val="20"/>
          <w:szCs w:val="24"/>
        </w:rPr>
        <w:t>Рис.1. Способы закупок по 44-ФЗ</w:t>
      </w:r>
    </w:p>
    <w:p w:rsidR="00517711" w:rsidRDefault="00517711">
      <w:pPr>
        <w:spacing w:after="0" w:line="240" w:lineRule="auto"/>
        <w:ind w:firstLine="709"/>
        <w:jc w:val="center"/>
        <w:rPr>
          <w:rFonts w:ascii="Times New Roman" w:hAnsi="Times New Roman"/>
          <w:sz w:val="20"/>
          <w:szCs w:val="24"/>
        </w:rPr>
      </w:pPr>
    </w:p>
    <w:p w:rsidR="00517711" w:rsidRDefault="00F815BE">
      <w:pPr>
        <w:spacing w:after="0" w:line="240" w:lineRule="auto"/>
        <w:ind w:firstLine="709"/>
        <w:jc w:val="both"/>
        <w:rPr>
          <w:rFonts w:ascii="Times New Roman" w:hAnsi="Times New Roman"/>
          <w:sz w:val="20"/>
          <w:szCs w:val="24"/>
          <w:lang w:val="en-US"/>
        </w:rPr>
      </w:pPr>
      <w:r>
        <w:rPr>
          <w:rFonts w:ascii="Times New Roman" w:hAnsi="Times New Roman"/>
          <w:sz w:val="20"/>
          <w:szCs w:val="24"/>
        </w:rPr>
        <w:t xml:space="preserve">ФЗ-44 строго регламентирует все этапы проведения процедуры и их сроки. Проводить закупки можно только на шести электронных площадках таких, как Сбербанк-АСТ, РТС-Тендер, Роселторг, ММВБ, ЗаказРФ, Российский аукционный дом. </w:t>
      </w:r>
      <w:r>
        <w:rPr>
          <w:rFonts w:ascii="Times New Roman" w:hAnsi="Times New Roman"/>
          <w:sz w:val="20"/>
          <w:szCs w:val="24"/>
          <w:lang w:val="en-US"/>
        </w:rPr>
        <w:t>[1]</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Способы закупок по 223-ФЗ представлены на Рисунке 2.</w:t>
      </w:r>
    </w:p>
    <w:p w:rsidR="00517711" w:rsidRDefault="00F815BE">
      <w:pPr>
        <w:spacing w:after="0" w:line="240" w:lineRule="auto"/>
        <w:ind w:firstLine="709"/>
        <w:jc w:val="center"/>
        <w:rPr>
          <w:rFonts w:ascii="Times New Roman" w:hAnsi="Times New Roman"/>
          <w:sz w:val="24"/>
          <w:szCs w:val="24"/>
        </w:rPr>
      </w:pPr>
      <w:r>
        <w:rPr>
          <w:rFonts w:ascii="Times New Roman" w:hAnsi="Times New Roman"/>
          <w:noProof/>
          <w:sz w:val="24"/>
          <w:szCs w:val="24"/>
          <w:lang w:eastAsia="ru-RU"/>
        </w:rPr>
        <w:lastRenderedPageBreak/>
        <w:drawing>
          <wp:inline distT="0" distB="0" distL="0" distR="0">
            <wp:extent cx="3152773" cy="2085975"/>
            <wp:effectExtent l="0" t="0" r="0" b="0"/>
            <wp:docPr id="18"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2"/>
                    <pic:cNvPicPr>
                      <a:picLocks noChangeAspect="1"/>
                    </pic:cNvPicPr>
                  </pic:nvPicPr>
                  <pic:blipFill>
                    <a:blip r:embed="rId44"/>
                    <a:stretch/>
                  </pic:blipFill>
                  <pic:spPr bwMode="auto">
                    <a:xfrm>
                      <a:off x="0" y="0"/>
                      <a:ext cx="3152775" cy="2085975"/>
                    </a:xfrm>
                    <a:prstGeom prst="rect">
                      <a:avLst/>
                    </a:prstGeom>
                    <a:noFill/>
                    <a:ln>
                      <a:noFill/>
                    </a:ln>
                  </pic:spPr>
                </pic:pic>
              </a:graphicData>
            </a:graphic>
          </wp:inline>
        </w:drawing>
      </w:r>
    </w:p>
    <w:p w:rsidR="00517711" w:rsidRDefault="00F815BE">
      <w:pPr>
        <w:spacing w:after="0" w:line="240" w:lineRule="auto"/>
        <w:ind w:firstLine="709"/>
        <w:jc w:val="center"/>
        <w:rPr>
          <w:rFonts w:ascii="Times New Roman" w:hAnsi="Times New Roman"/>
          <w:sz w:val="20"/>
          <w:szCs w:val="24"/>
        </w:rPr>
      </w:pPr>
      <w:r>
        <w:rPr>
          <w:rFonts w:ascii="Times New Roman" w:hAnsi="Times New Roman"/>
          <w:sz w:val="20"/>
          <w:szCs w:val="24"/>
        </w:rPr>
        <w:t>Рис.2. Способы закупок по 223-ФЗ</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Согласно 223-ФЗ обязательными являются аукцион и конкурс, остальное на усмотрение заказчика. Закупки по 223-ФЗ заказчик может провести более чем на ста семидесяти торговых площадках, как бесплатных, так и коммерческих. </w:t>
      </w:r>
    </w:p>
    <w:p w:rsidR="00517711" w:rsidRDefault="00F815BE">
      <w:pPr>
        <w:pStyle w:val="aff0"/>
      </w:pPr>
      <w:r>
        <w:t>Таблица 1</w:t>
      </w:r>
    </w:p>
    <w:p w:rsidR="00517711" w:rsidRDefault="00F815BE">
      <w:pPr>
        <w:pStyle w:val="afa"/>
        <w:keepNext/>
        <w:widowControl/>
        <w:spacing w:before="120" w:after="120"/>
        <w:jc w:val="center"/>
        <w:outlineLvl w:val="0"/>
        <w:rPr>
          <w:b/>
          <w:sz w:val="20"/>
          <w:szCs w:val="20"/>
        </w:rPr>
      </w:pPr>
      <w:r>
        <w:rPr>
          <w:b/>
          <w:sz w:val="20"/>
          <w:szCs w:val="20"/>
        </w:rPr>
        <w:t>Документы на участие в госзакупках</w:t>
      </w:r>
    </w:p>
    <w:tbl>
      <w:tblPr>
        <w:tblStyle w:val="12"/>
        <w:tblW w:w="5000" w:type="pct"/>
        <w:tblLook w:val="04A0" w:firstRow="1" w:lastRow="0" w:firstColumn="1" w:lastColumn="0" w:noHBand="0" w:noVBand="1"/>
      </w:tblPr>
      <w:tblGrid>
        <w:gridCol w:w="1973"/>
        <w:gridCol w:w="3934"/>
        <w:gridCol w:w="2221"/>
        <w:gridCol w:w="1726"/>
      </w:tblGrid>
      <w:tr w:rsidR="00517711">
        <w:tc>
          <w:tcPr>
            <w:tcW w:w="1001" w:type="pct"/>
          </w:tcPr>
          <w:p w:rsidR="00517711" w:rsidRDefault="00F815BE">
            <w:pPr>
              <w:pStyle w:val="13"/>
            </w:pPr>
            <w:r>
              <w:t>Название документа</w:t>
            </w:r>
          </w:p>
        </w:tc>
        <w:tc>
          <w:tcPr>
            <w:tcW w:w="1996" w:type="pct"/>
          </w:tcPr>
          <w:p w:rsidR="00517711" w:rsidRDefault="00F815BE">
            <w:pPr>
              <w:pStyle w:val="13"/>
            </w:pPr>
            <w:r>
              <w:t>Какой отдел предоставляет</w:t>
            </w:r>
          </w:p>
        </w:tc>
        <w:tc>
          <w:tcPr>
            <w:tcW w:w="1127" w:type="pct"/>
          </w:tcPr>
          <w:p w:rsidR="00517711" w:rsidRDefault="00F815BE">
            <w:pPr>
              <w:pStyle w:val="13"/>
            </w:pPr>
            <w:r>
              <w:t>Кто заверяет</w:t>
            </w:r>
          </w:p>
        </w:tc>
        <w:tc>
          <w:tcPr>
            <w:tcW w:w="876" w:type="pct"/>
          </w:tcPr>
          <w:p w:rsidR="00517711" w:rsidRDefault="00F815BE">
            <w:pPr>
              <w:pStyle w:val="13"/>
            </w:pPr>
            <w:r>
              <w:t>Наличие электронного варианта</w:t>
            </w:r>
          </w:p>
        </w:tc>
      </w:tr>
      <w:tr w:rsidR="00517711">
        <w:tc>
          <w:tcPr>
            <w:tcW w:w="1001" w:type="pct"/>
          </w:tcPr>
          <w:p w:rsidR="00517711" w:rsidRDefault="00F815BE">
            <w:pPr>
              <w:pStyle w:val="13"/>
            </w:pPr>
            <w:r>
              <w:t>1</w:t>
            </w:r>
          </w:p>
        </w:tc>
        <w:tc>
          <w:tcPr>
            <w:tcW w:w="1996" w:type="pct"/>
          </w:tcPr>
          <w:p w:rsidR="00517711" w:rsidRDefault="00F815BE">
            <w:pPr>
              <w:pStyle w:val="13"/>
            </w:pPr>
            <w:r>
              <w:t>2</w:t>
            </w:r>
          </w:p>
        </w:tc>
        <w:tc>
          <w:tcPr>
            <w:tcW w:w="1127" w:type="pct"/>
          </w:tcPr>
          <w:p w:rsidR="00517711" w:rsidRDefault="00F815BE">
            <w:pPr>
              <w:pStyle w:val="13"/>
            </w:pPr>
            <w:r>
              <w:t>3</w:t>
            </w:r>
          </w:p>
        </w:tc>
        <w:tc>
          <w:tcPr>
            <w:tcW w:w="876" w:type="pct"/>
          </w:tcPr>
          <w:p w:rsidR="00517711" w:rsidRDefault="00F815BE">
            <w:pPr>
              <w:pStyle w:val="13"/>
            </w:pPr>
            <w:r>
              <w:t>4</w:t>
            </w:r>
          </w:p>
        </w:tc>
      </w:tr>
      <w:tr w:rsidR="00517711">
        <w:tc>
          <w:tcPr>
            <w:tcW w:w="1001" w:type="pct"/>
          </w:tcPr>
          <w:p w:rsidR="00517711" w:rsidRDefault="00F815BE">
            <w:pPr>
              <w:pStyle w:val="aff1"/>
            </w:pPr>
            <w:r>
              <w:t>Котировочная заявка</w:t>
            </w:r>
          </w:p>
        </w:tc>
        <w:tc>
          <w:tcPr>
            <w:tcW w:w="1996" w:type="pct"/>
          </w:tcPr>
          <w:p w:rsidR="00517711" w:rsidRDefault="00F815BE">
            <w:pPr>
              <w:pStyle w:val="aff1"/>
            </w:pPr>
            <w:r>
              <w:t>Отел закупок</w:t>
            </w:r>
          </w:p>
          <w:p w:rsidR="00517711" w:rsidRDefault="00F815BE">
            <w:pPr>
              <w:pStyle w:val="aff1"/>
            </w:pPr>
            <w:r>
              <w:t>(в конкурсной документации)</w:t>
            </w:r>
          </w:p>
        </w:tc>
        <w:tc>
          <w:tcPr>
            <w:tcW w:w="1127" w:type="pct"/>
          </w:tcPr>
          <w:p w:rsidR="00517711" w:rsidRDefault="00F815BE">
            <w:pPr>
              <w:pStyle w:val="aff1"/>
            </w:pPr>
            <w:r>
              <w:t>Ректор</w:t>
            </w:r>
          </w:p>
        </w:tc>
        <w:tc>
          <w:tcPr>
            <w:tcW w:w="876" w:type="pct"/>
          </w:tcPr>
          <w:p w:rsidR="00517711" w:rsidRDefault="00F815BE">
            <w:pPr>
              <w:pStyle w:val="aff1"/>
            </w:pPr>
            <w:r>
              <w:t>Есть</w:t>
            </w:r>
          </w:p>
          <w:p w:rsidR="00517711" w:rsidRDefault="00517711">
            <w:pPr>
              <w:pStyle w:val="aff1"/>
            </w:pPr>
          </w:p>
        </w:tc>
      </w:tr>
      <w:tr w:rsidR="00517711">
        <w:tc>
          <w:tcPr>
            <w:tcW w:w="1001" w:type="pct"/>
          </w:tcPr>
          <w:p w:rsidR="00517711" w:rsidRDefault="00F815BE">
            <w:pPr>
              <w:pStyle w:val="aff1"/>
            </w:pPr>
            <w:r>
              <w:t>Анкета участника с приложениями</w:t>
            </w:r>
          </w:p>
          <w:p w:rsidR="00517711" w:rsidRDefault="00517711">
            <w:pPr>
              <w:pStyle w:val="aff1"/>
            </w:pPr>
          </w:p>
        </w:tc>
        <w:tc>
          <w:tcPr>
            <w:tcW w:w="1996" w:type="pct"/>
          </w:tcPr>
          <w:p w:rsidR="00517711" w:rsidRDefault="00F815BE">
            <w:pPr>
              <w:pStyle w:val="aff1"/>
            </w:pPr>
            <w:r>
              <w:t>Составляет финансовый отдел (бухгалтерия), согласовывает главный бухгалтер</w:t>
            </w:r>
          </w:p>
        </w:tc>
        <w:tc>
          <w:tcPr>
            <w:tcW w:w="1127" w:type="pct"/>
          </w:tcPr>
          <w:p w:rsidR="00517711" w:rsidRDefault="00F815BE">
            <w:pPr>
              <w:pStyle w:val="aff1"/>
            </w:pPr>
            <w:r>
              <w:t>Ректор</w:t>
            </w:r>
          </w:p>
        </w:tc>
        <w:tc>
          <w:tcPr>
            <w:tcW w:w="876" w:type="pct"/>
          </w:tcPr>
          <w:p w:rsidR="00517711" w:rsidRDefault="00F815BE">
            <w:pPr>
              <w:pStyle w:val="aff1"/>
            </w:pPr>
            <w:r>
              <w:t>Есть</w:t>
            </w:r>
          </w:p>
        </w:tc>
      </w:tr>
      <w:tr w:rsidR="00517711">
        <w:tc>
          <w:tcPr>
            <w:tcW w:w="1001" w:type="pct"/>
          </w:tcPr>
          <w:p w:rsidR="00517711" w:rsidRDefault="00F815BE">
            <w:pPr>
              <w:pStyle w:val="aff1"/>
            </w:pPr>
            <w:r>
              <w:t>Референт-лист</w:t>
            </w:r>
          </w:p>
          <w:p w:rsidR="00517711" w:rsidRDefault="00517711">
            <w:pPr>
              <w:pStyle w:val="aff1"/>
            </w:pPr>
          </w:p>
        </w:tc>
        <w:tc>
          <w:tcPr>
            <w:tcW w:w="1996" w:type="pct"/>
          </w:tcPr>
          <w:p w:rsidR="00517711" w:rsidRDefault="00F815BE">
            <w:pPr>
              <w:pStyle w:val="aff1"/>
            </w:pPr>
            <w:r>
              <w:t>Разрабатывает ответственный специалист подразделения, согласовывает Юридическая служба и Отдел закупок</w:t>
            </w:r>
          </w:p>
        </w:tc>
        <w:tc>
          <w:tcPr>
            <w:tcW w:w="1127" w:type="pct"/>
          </w:tcPr>
          <w:p w:rsidR="00517711" w:rsidRDefault="00F815BE">
            <w:pPr>
              <w:pStyle w:val="aff1"/>
            </w:pPr>
            <w:r>
              <w:t>Ректор</w:t>
            </w:r>
          </w:p>
        </w:tc>
        <w:tc>
          <w:tcPr>
            <w:tcW w:w="876" w:type="pct"/>
          </w:tcPr>
          <w:p w:rsidR="00517711" w:rsidRDefault="00F815BE">
            <w:pPr>
              <w:pStyle w:val="aff1"/>
            </w:pPr>
            <w:r>
              <w:t>Отсутствует</w:t>
            </w:r>
          </w:p>
        </w:tc>
      </w:tr>
      <w:tr w:rsidR="00517711">
        <w:tc>
          <w:tcPr>
            <w:tcW w:w="1001" w:type="pct"/>
          </w:tcPr>
          <w:p w:rsidR="00517711" w:rsidRDefault="00F815BE">
            <w:pPr>
              <w:pStyle w:val="aff1"/>
            </w:pPr>
            <w:r>
              <w:t>Договор оказания услуг</w:t>
            </w:r>
          </w:p>
        </w:tc>
        <w:tc>
          <w:tcPr>
            <w:tcW w:w="1996" w:type="pct"/>
          </w:tcPr>
          <w:p w:rsidR="00517711" w:rsidRDefault="00F815BE">
            <w:pPr>
              <w:pStyle w:val="aff1"/>
            </w:pPr>
            <w:r>
              <w:t xml:space="preserve">Предоставляет Заказчик, </w:t>
            </w:r>
          </w:p>
        </w:tc>
        <w:tc>
          <w:tcPr>
            <w:tcW w:w="1127" w:type="pct"/>
          </w:tcPr>
          <w:p w:rsidR="00517711" w:rsidRDefault="00F815BE">
            <w:pPr>
              <w:pStyle w:val="aff1"/>
            </w:pPr>
            <w:r>
              <w:t>Ректор и Заказчик</w:t>
            </w:r>
          </w:p>
        </w:tc>
        <w:tc>
          <w:tcPr>
            <w:tcW w:w="876" w:type="pct"/>
          </w:tcPr>
          <w:p w:rsidR="00517711" w:rsidRDefault="00F815BE">
            <w:pPr>
              <w:pStyle w:val="aff1"/>
            </w:pPr>
            <w:r>
              <w:t>Есть</w:t>
            </w:r>
          </w:p>
        </w:tc>
      </w:tr>
      <w:tr w:rsidR="00517711">
        <w:tc>
          <w:tcPr>
            <w:tcW w:w="1001" w:type="pct"/>
          </w:tcPr>
          <w:p w:rsidR="00517711" w:rsidRDefault="00F815BE">
            <w:pPr>
              <w:pStyle w:val="aff1"/>
            </w:pPr>
            <w:r>
              <w:t>Выписка из ЕГРЮЛ</w:t>
            </w:r>
          </w:p>
        </w:tc>
        <w:tc>
          <w:tcPr>
            <w:tcW w:w="1996" w:type="pct"/>
          </w:tcPr>
          <w:p w:rsidR="00517711" w:rsidRDefault="00F815BE">
            <w:pPr>
              <w:pStyle w:val="aff1"/>
            </w:pPr>
            <w:r>
              <w:t>Предоставляет Юридическая служба</w:t>
            </w:r>
          </w:p>
        </w:tc>
        <w:tc>
          <w:tcPr>
            <w:tcW w:w="1127" w:type="pct"/>
          </w:tcPr>
          <w:p w:rsidR="00517711" w:rsidRDefault="00F815BE">
            <w:pPr>
              <w:pStyle w:val="aff1"/>
            </w:pPr>
            <w:r>
              <w:t>Заверяет нотариус</w:t>
            </w:r>
          </w:p>
        </w:tc>
        <w:tc>
          <w:tcPr>
            <w:tcW w:w="876" w:type="pct"/>
          </w:tcPr>
          <w:p w:rsidR="00517711" w:rsidRDefault="00F815BE">
            <w:pPr>
              <w:pStyle w:val="aff1"/>
            </w:pPr>
            <w:r>
              <w:t>Отсутствует</w:t>
            </w:r>
          </w:p>
        </w:tc>
      </w:tr>
      <w:tr w:rsidR="00517711">
        <w:tc>
          <w:tcPr>
            <w:tcW w:w="1001" w:type="pct"/>
          </w:tcPr>
          <w:p w:rsidR="00517711" w:rsidRDefault="00F815BE">
            <w:pPr>
              <w:pStyle w:val="aff1"/>
            </w:pPr>
            <w:r>
              <w:t>Устав ВГУЭС</w:t>
            </w:r>
          </w:p>
          <w:p w:rsidR="00517711" w:rsidRDefault="00517711">
            <w:pPr>
              <w:pStyle w:val="aff1"/>
            </w:pPr>
          </w:p>
        </w:tc>
        <w:tc>
          <w:tcPr>
            <w:tcW w:w="1996" w:type="pct"/>
          </w:tcPr>
          <w:p w:rsidR="00517711" w:rsidRDefault="00F815BE">
            <w:pPr>
              <w:pStyle w:val="aff1"/>
            </w:pPr>
            <w:r>
              <w:t>Предоставлено в разделе документов на сайте ВГУЭС</w:t>
            </w:r>
          </w:p>
        </w:tc>
        <w:tc>
          <w:tcPr>
            <w:tcW w:w="1127" w:type="pct"/>
          </w:tcPr>
          <w:p w:rsidR="00517711" w:rsidRDefault="00F815BE">
            <w:pPr>
              <w:pStyle w:val="aff1"/>
            </w:pPr>
            <w:r>
              <w:t>Заверяет Директор Департамента управления сетью подведомственных организаций</w:t>
            </w:r>
          </w:p>
        </w:tc>
        <w:tc>
          <w:tcPr>
            <w:tcW w:w="876" w:type="pct"/>
          </w:tcPr>
          <w:p w:rsidR="00517711" w:rsidRDefault="00F815BE">
            <w:pPr>
              <w:pStyle w:val="aff1"/>
            </w:pPr>
            <w:r>
              <w:t>Есть</w:t>
            </w:r>
          </w:p>
        </w:tc>
      </w:tr>
      <w:tr w:rsidR="00517711">
        <w:tc>
          <w:tcPr>
            <w:tcW w:w="1001" w:type="pct"/>
          </w:tcPr>
          <w:p w:rsidR="00517711" w:rsidRDefault="00F815BE">
            <w:pPr>
              <w:pStyle w:val="aff1"/>
            </w:pPr>
            <w:r>
              <w:t>Лист записи ЕГРЮЛ</w:t>
            </w:r>
          </w:p>
        </w:tc>
        <w:tc>
          <w:tcPr>
            <w:tcW w:w="1996" w:type="pct"/>
          </w:tcPr>
          <w:p w:rsidR="00517711" w:rsidRDefault="00F815BE">
            <w:pPr>
              <w:pStyle w:val="aff1"/>
            </w:pPr>
            <w:r>
              <w:t>Предоставляет Юридическая служба</w:t>
            </w:r>
          </w:p>
        </w:tc>
        <w:tc>
          <w:tcPr>
            <w:tcW w:w="1127" w:type="pct"/>
          </w:tcPr>
          <w:p w:rsidR="00517711" w:rsidRDefault="00F815BE">
            <w:pPr>
              <w:pStyle w:val="aff1"/>
            </w:pPr>
            <w:r>
              <w:t>Заверяет Общий отдел</w:t>
            </w:r>
          </w:p>
        </w:tc>
        <w:tc>
          <w:tcPr>
            <w:tcW w:w="876" w:type="pct"/>
          </w:tcPr>
          <w:p w:rsidR="00517711" w:rsidRDefault="00F815BE">
            <w:pPr>
              <w:pStyle w:val="aff1"/>
            </w:pPr>
            <w:r>
              <w:t>Отсутствует</w:t>
            </w:r>
          </w:p>
        </w:tc>
      </w:tr>
      <w:tr w:rsidR="00517711">
        <w:tc>
          <w:tcPr>
            <w:tcW w:w="1001" w:type="pct"/>
          </w:tcPr>
          <w:p w:rsidR="00517711" w:rsidRDefault="00F815BE">
            <w:pPr>
              <w:pStyle w:val="aff1"/>
            </w:pPr>
            <w:r>
              <w:t>Приказ о пороге крупной сделки</w:t>
            </w:r>
          </w:p>
        </w:tc>
        <w:tc>
          <w:tcPr>
            <w:tcW w:w="1996" w:type="pct"/>
          </w:tcPr>
          <w:p w:rsidR="00517711" w:rsidRDefault="00F815BE">
            <w:pPr>
              <w:pStyle w:val="aff1"/>
            </w:pPr>
            <w:r>
              <w:t>Предоставляет Общий отдел</w:t>
            </w:r>
          </w:p>
        </w:tc>
        <w:tc>
          <w:tcPr>
            <w:tcW w:w="1127" w:type="pct"/>
          </w:tcPr>
          <w:p w:rsidR="00517711" w:rsidRDefault="00F815BE">
            <w:pPr>
              <w:pStyle w:val="aff1"/>
            </w:pPr>
            <w:r>
              <w:t>Заверяет Общий отдел</w:t>
            </w:r>
          </w:p>
        </w:tc>
        <w:tc>
          <w:tcPr>
            <w:tcW w:w="876" w:type="pct"/>
          </w:tcPr>
          <w:p w:rsidR="00517711" w:rsidRDefault="00F815BE">
            <w:pPr>
              <w:pStyle w:val="aff1"/>
            </w:pPr>
            <w:r>
              <w:t xml:space="preserve">Есть </w:t>
            </w:r>
          </w:p>
        </w:tc>
      </w:tr>
      <w:tr w:rsidR="00517711">
        <w:tc>
          <w:tcPr>
            <w:tcW w:w="1001" w:type="pct"/>
          </w:tcPr>
          <w:p w:rsidR="00517711" w:rsidRDefault="00F815BE">
            <w:pPr>
              <w:pStyle w:val="aff1"/>
            </w:pPr>
            <w:r>
              <w:t>Свидетельство о внесении записи в ЕГРЮЛ</w:t>
            </w:r>
          </w:p>
        </w:tc>
        <w:tc>
          <w:tcPr>
            <w:tcW w:w="1996" w:type="pct"/>
          </w:tcPr>
          <w:p w:rsidR="00517711" w:rsidRDefault="00F815BE">
            <w:pPr>
              <w:pStyle w:val="aff1"/>
            </w:pPr>
            <w:r>
              <w:t>Предоставляет Юридическая служба</w:t>
            </w:r>
          </w:p>
        </w:tc>
        <w:tc>
          <w:tcPr>
            <w:tcW w:w="1127" w:type="pct"/>
          </w:tcPr>
          <w:p w:rsidR="00517711" w:rsidRDefault="00F815BE">
            <w:pPr>
              <w:pStyle w:val="aff1"/>
            </w:pPr>
            <w:r>
              <w:t>Заверяет Общий отдел</w:t>
            </w:r>
          </w:p>
        </w:tc>
        <w:tc>
          <w:tcPr>
            <w:tcW w:w="876" w:type="pct"/>
          </w:tcPr>
          <w:p w:rsidR="00517711" w:rsidRDefault="00F815BE">
            <w:pPr>
              <w:pStyle w:val="aff1"/>
            </w:pPr>
            <w:r>
              <w:t>Отсутствует</w:t>
            </w:r>
          </w:p>
        </w:tc>
      </w:tr>
      <w:tr w:rsidR="00517711">
        <w:tc>
          <w:tcPr>
            <w:tcW w:w="1001" w:type="pct"/>
          </w:tcPr>
          <w:p w:rsidR="00517711" w:rsidRDefault="00F815BE">
            <w:pPr>
              <w:pStyle w:val="aff1"/>
            </w:pPr>
            <w:r>
              <w:t>Свидетельство о госрегистрации юрлица</w:t>
            </w:r>
          </w:p>
        </w:tc>
        <w:tc>
          <w:tcPr>
            <w:tcW w:w="1996" w:type="pct"/>
          </w:tcPr>
          <w:p w:rsidR="00517711" w:rsidRDefault="00F815BE">
            <w:pPr>
              <w:pStyle w:val="aff1"/>
            </w:pPr>
            <w:r>
              <w:t>Предоставляет Юридическая служба</w:t>
            </w:r>
          </w:p>
        </w:tc>
        <w:tc>
          <w:tcPr>
            <w:tcW w:w="1127" w:type="pct"/>
          </w:tcPr>
          <w:p w:rsidR="00517711" w:rsidRDefault="00F815BE">
            <w:pPr>
              <w:pStyle w:val="aff1"/>
            </w:pPr>
            <w:r>
              <w:t>Заверяет Общий отдел</w:t>
            </w:r>
          </w:p>
        </w:tc>
        <w:tc>
          <w:tcPr>
            <w:tcW w:w="876" w:type="pct"/>
          </w:tcPr>
          <w:p w:rsidR="00517711" w:rsidRDefault="00F815BE">
            <w:pPr>
              <w:pStyle w:val="aff1"/>
            </w:pPr>
            <w:r>
              <w:t>Отсутствует</w:t>
            </w:r>
          </w:p>
        </w:tc>
      </w:tr>
      <w:tr w:rsidR="00517711">
        <w:tc>
          <w:tcPr>
            <w:tcW w:w="1001" w:type="pct"/>
          </w:tcPr>
          <w:p w:rsidR="00517711" w:rsidRDefault="00F815BE">
            <w:pPr>
              <w:pStyle w:val="aff1"/>
            </w:pPr>
            <w:r>
              <w:t>Свидетельство о постановке на учет ВГУЭС</w:t>
            </w:r>
          </w:p>
        </w:tc>
        <w:tc>
          <w:tcPr>
            <w:tcW w:w="1996" w:type="pct"/>
          </w:tcPr>
          <w:p w:rsidR="00517711" w:rsidRDefault="00F815BE">
            <w:pPr>
              <w:pStyle w:val="aff1"/>
            </w:pPr>
            <w:r>
              <w:t>Предоставляет Юридическая служба</w:t>
            </w:r>
          </w:p>
        </w:tc>
        <w:tc>
          <w:tcPr>
            <w:tcW w:w="1127" w:type="pct"/>
          </w:tcPr>
          <w:p w:rsidR="00517711" w:rsidRDefault="00F815BE">
            <w:pPr>
              <w:pStyle w:val="aff1"/>
            </w:pPr>
            <w:r>
              <w:t>Заверяет Общий отдел</w:t>
            </w:r>
          </w:p>
        </w:tc>
        <w:tc>
          <w:tcPr>
            <w:tcW w:w="876" w:type="pct"/>
          </w:tcPr>
          <w:p w:rsidR="00517711" w:rsidRDefault="00F815BE">
            <w:pPr>
              <w:pStyle w:val="aff1"/>
            </w:pPr>
            <w:r>
              <w:t>Отсутствует</w:t>
            </w:r>
          </w:p>
        </w:tc>
      </w:tr>
      <w:tr w:rsidR="00517711">
        <w:tc>
          <w:tcPr>
            <w:tcW w:w="1001" w:type="pct"/>
          </w:tcPr>
          <w:p w:rsidR="00517711" w:rsidRDefault="00F815BE">
            <w:pPr>
              <w:pStyle w:val="aff1"/>
            </w:pPr>
            <w:r>
              <w:t xml:space="preserve">Свидетельство о постановке на учет в налоговом органе </w:t>
            </w:r>
            <w:r>
              <w:lastRenderedPageBreak/>
              <w:t>физлица</w:t>
            </w:r>
          </w:p>
        </w:tc>
        <w:tc>
          <w:tcPr>
            <w:tcW w:w="1996" w:type="pct"/>
          </w:tcPr>
          <w:p w:rsidR="00517711" w:rsidRDefault="00F815BE">
            <w:pPr>
              <w:pStyle w:val="aff1"/>
            </w:pPr>
            <w:r>
              <w:lastRenderedPageBreak/>
              <w:t>Предоставляет Юридическая служба</w:t>
            </w:r>
          </w:p>
        </w:tc>
        <w:tc>
          <w:tcPr>
            <w:tcW w:w="1127" w:type="pct"/>
          </w:tcPr>
          <w:p w:rsidR="00517711" w:rsidRDefault="00F815BE">
            <w:pPr>
              <w:pStyle w:val="aff1"/>
            </w:pPr>
            <w:r>
              <w:t>Заверяет Общий отдел</w:t>
            </w:r>
          </w:p>
        </w:tc>
        <w:tc>
          <w:tcPr>
            <w:tcW w:w="876" w:type="pct"/>
          </w:tcPr>
          <w:p w:rsidR="00517711" w:rsidRDefault="00F815BE">
            <w:pPr>
              <w:pStyle w:val="aff1"/>
            </w:pPr>
            <w:r>
              <w:t>Отсутствует</w:t>
            </w:r>
          </w:p>
        </w:tc>
      </w:tr>
      <w:tr w:rsidR="00517711">
        <w:tc>
          <w:tcPr>
            <w:tcW w:w="1001" w:type="pct"/>
          </w:tcPr>
          <w:p w:rsidR="00517711" w:rsidRDefault="00F815BE">
            <w:pPr>
              <w:pStyle w:val="aff1"/>
            </w:pPr>
            <w:r>
              <w:t>Форма 1 Баланс</w:t>
            </w:r>
          </w:p>
        </w:tc>
        <w:tc>
          <w:tcPr>
            <w:tcW w:w="1996" w:type="pct"/>
          </w:tcPr>
          <w:p w:rsidR="00517711" w:rsidRDefault="00F815BE">
            <w:pPr>
              <w:pStyle w:val="aff1"/>
            </w:pPr>
            <w:r>
              <w:t>Предоставляет Финансовый отдел, согласовывает главный бухгалтер</w:t>
            </w:r>
          </w:p>
        </w:tc>
        <w:tc>
          <w:tcPr>
            <w:tcW w:w="1127" w:type="pct"/>
          </w:tcPr>
          <w:p w:rsidR="00517711" w:rsidRDefault="00F815BE">
            <w:pPr>
              <w:pStyle w:val="aff1"/>
            </w:pPr>
            <w:r>
              <w:t>Заверяет Общий отдел</w:t>
            </w:r>
          </w:p>
        </w:tc>
        <w:tc>
          <w:tcPr>
            <w:tcW w:w="876" w:type="pct"/>
          </w:tcPr>
          <w:p w:rsidR="00517711" w:rsidRDefault="00F815BE">
            <w:pPr>
              <w:pStyle w:val="aff1"/>
            </w:pPr>
            <w:r>
              <w:t>Отсутствует</w:t>
            </w:r>
          </w:p>
        </w:tc>
      </w:tr>
      <w:tr w:rsidR="00517711">
        <w:tc>
          <w:tcPr>
            <w:tcW w:w="1001" w:type="pct"/>
          </w:tcPr>
          <w:p w:rsidR="00517711" w:rsidRDefault="00F815BE">
            <w:pPr>
              <w:pStyle w:val="aff1"/>
            </w:pPr>
            <w:r>
              <w:t>Форма 2 Отчет о финансовых результатах</w:t>
            </w:r>
          </w:p>
        </w:tc>
        <w:tc>
          <w:tcPr>
            <w:tcW w:w="1996" w:type="pct"/>
          </w:tcPr>
          <w:p w:rsidR="00517711" w:rsidRDefault="00F815BE">
            <w:pPr>
              <w:pStyle w:val="aff1"/>
            </w:pPr>
            <w:r>
              <w:t>Предоставляет Финансовый отдел, согласовывает главный бухгалтер</w:t>
            </w:r>
          </w:p>
        </w:tc>
        <w:tc>
          <w:tcPr>
            <w:tcW w:w="1127" w:type="pct"/>
          </w:tcPr>
          <w:p w:rsidR="00517711" w:rsidRDefault="00F815BE">
            <w:pPr>
              <w:pStyle w:val="aff1"/>
            </w:pPr>
            <w:r>
              <w:t>Заверяет Общий отдел</w:t>
            </w:r>
          </w:p>
        </w:tc>
        <w:tc>
          <w:tcPr>
            <w:tcW w:w="876" w:type="pct"/>
          </w:tcPr>
          <w:p w:rsidR="00517711" w:rsidRDefault="00F815BE">
            <w:pPr>
              <w:pStyle w:val="aff1"/>
            </w:pPr>
            <w:r>
              <w:t>Отсутствует</w:t>
            </w:r>
          </w:p>
        </w:tc>
      </w:tr>
    </w:tbl>
    <w:p w:rsidR="00517711" w:rsidRDefault="00517711">
      <w:pPr>
        <w:spacing w:after="0" w:line="240" w:lineRule="auto"/>
        <w:ind w:firstLine="709"/>
        <w:jc w:val="both"/>
        <w:rPr>
          <w:rFonts w:ascii="Times New Roman" w:hAnsi="Times New Roman"/>
          <w:sz w:val="20"/>
          <w:szCs w:val="24"/>
        </w:rPr>
      </w:pP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Согласно требованиям статьи 4 44-ФЗ все государственные закупки размещаются заказчиками на официальном сайте ЕИС.  Адрес этого ресурса — www.zakupki.gov.ru. [3]</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Целью внедрения системы является борьба с коррупцией, облегчение доступа к информации, проведение общественного контроля в сфере государственных закупок. Данные ЕИС включают в себя не только этап проведения тендера, но и подготовку к нему, в том числе планирование.</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ВГУЭС недавно принял участие в 2 закупках по 223-ФЗ и ФЗ № 44. В установленный срок были составлены и подготовлены все соответствующие документы для подтверждения их соответствия установленным требованиям. Документы представлены в Таблице 1.</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ВГУЭС участвует в госзакупках с 2011 года как поставщик товаров, работ и услуг. Главным подразделением, принимающим решения о закупке товаров, заключении контрактов на поставку продукции или услуги, является отдел закупок, который находится в подчинении у заместителя проректора по стратегическому развитию экономики и финансам.</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процессе сбора документов было выявлено, что ответственное лицо запрашивает у необходимого отдела документы, которые нужны будут для участия в госзакупках, заполняет их и прикладывает листы согласования для дальнейшего визирования в сопутствующих отделах. После согласования необходимые документе ответственным лицом передаются помощнику ректора для дальнейшего визирования ректором.</w:t>
      </w:r>
    </w:p>
    <w:p w:rsidR="00517711" w:rsidRDefault="00F815BE">
      <w:pPr>
        <w:spacing w:after="0" w:line="240" w:lineRule="auto"/>
        <w:ind w:firstLine="709"/>
        <w:jc w:val="center"/>
        <w:rPr>
          <w:rFonts w:ascii="Times New Roman" w:hAnsi="Times New Roman"/>
          <w:sz w:val="24"/>
          <w:szCs w:val="24"/>
        </w:rPr>
      </w:pPr>
      <w:r>
        <w:rPr>
          <w:rFonts w:ascii="Times New Roman" w:hAnsi="Times New Roman"/>
          <w:noProof/>
          <w:sz w:val="24"/>
          <w:szCs w:val="24"/>
          <w:lang w:eastAsia="ru-RU"/>
        </w:rPr>
        <w:drawing>
          <wp:inline distT="0" distB="0" distL="0" distR="0">
            <wp:extent cx="3362323" cy="2733673"/>
            <wp:effectExtent l="0" t="0" r="0" b="0"/>
            <wp:docPr id="19"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3"/>
                    <pic:cNvPicPr>
                      <a:picLocks noChangeAspect="1"/>
                    </pic:cNvPicPr>
                  </pic:nvPicPr>
                  <pic:blipFill>
                    <a:blip r:embed="rId45"/>
                    <a:stretch/>
                  </pic:blipFill>
                  <pic:spPr bwMode="auto">
                    <a:xfrm>
                      <a:off x="0" y="0"/>
                      <a:ext cx="3362324" cy="2733675"/>
                    </a:xfrm>
                    <a:prstGeom prst="rect">
                      <a:avLst/>
                    </a:prstGeom>
                    <a:noFill/>
                    <a:ln>
                      <a:noFill/>
                    </a:ln>
                  </pic:spPr>
                </pic:pic>
              </a:graphicData>
            </a:graphic>
          </wp:inline>
        </w:drawing>
      </w:r>
    </w:p>
    <w:p w:rsidR="00517711" w:rsidRDefault="00F815BE">
      <w:pPr>
        <w:spacing w:after="0" w:line="240" w:lineRule="auto"/>
        <w:ind w:firstLine="709"/>
        <w:jc w:val="center"/>
        <w:rPr>
          <w:rFonts w:ascii="Times New Roman" w:hAnsi="Times New Roman"/>
          <w:sz w:val="20"/>
          <w:szCs w:val="24"/>
        </w:rPr>
      </w:pPr>
      <w:r>
        <w:rPr>
          <w:rFonts w:ascii="Times New Roman" w:hAnsi="Times New Roman"/>
          <w:sz w:val="20"/>
          <w:szCs w:val="24"/>
        </w:rPr>
        <w:t>Рис.3. Процесс получения документов для участия в госзакупках</w:t>
      </w:r>
    </w:p>
    <w:p w:rsidR="00517711" w:rsidRDefault="00517711">
      <w:pPr>
        <w:spacing w:after="0" w:line="240" w:lineRule="auto"/>
        <w:ind w:firstLine="709"/>
        <w:jc w:val="center"/>
        <w:rPr>
          <w:rFonts w:ascii="Times New Roman" w:hAnsi="Times New Roman"/>
          <w:sz w:val="20"/>
          <w:szCs w:val="24"/>
        </w:rPr>
      </w:pP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На основании проведенного анализа получения документов были выявлены положительные стороны и недостатки данной системы. Можно сделать вывод, что процесс сбора документов затяжной и трудоёмкий. Ответственному лицу приходится самому собирать и находить все необходимое, а также согласовывать все заранее. Данная система несовершенна, и следует внести предложения по ее оптимизации.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Во ВГУЭСЕ разработан электронный документооборот СУЭД.  СУЭД является программным продуктом собственной разработки, введенный в эксплуатацию с 2008 г. [4] СУЭД обеспечивает полный жизненный цикл работы с документами, включая функции создания, редактирования, поиска, а также удаления и архивного хранения документов. Система поддерживает функции сканирования, распознавания образов для получения возможности вносить документы с бумажных носителей.</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настоящее время на базе СУЭД разработано 58 видов документов для автоматизации 20 бизнес-процессов, относящихся к различным направлениям деятельности подразделений вуза. На базе СУЭД настроены процессы работы с организационно-распорядительными документами, начиная от приказов и заканчивая управлением поручениями. [4]</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Несмотря на большое количество подсистем, в СУЭД отсутствуют в электронном варианте документы, которые можно было собрать для участия в закупках. В СУЭД в основном проходят приказы Ректора, как по общим вопросам, так и по студенческому составу. Можно сделать вывод, что база для создания необходимой подсистемы есть. Следовательно, необходимо создать раздел документов для участия в закупках в СУЭД ВГУЭС.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lastRenderedPageBreak/>
        <w:t>В СУЭД есть подраздел «На утверждение», куда отправляются документы на дальнейшее визирование. С 2019 г. все закупки для государственных и муниципальных нужд будут проходить только в электронном виде. Поэтому целесообразнее будет использовать СУЭД, отправляя документы на утверждение и визирование Отделом и ректором.</w:t>
      </w:r>
    </w:p>
    <w:p w:rsidR="00517711" w:rsidRDefault="00F815BE">
      <w:pPr>
        <w:spacing w:after="0" w:line="240" w:lineRule="auto"/>
        <w:ind w:firstLine="709"/>
        <w:jc w:val="center"/>
        <w:rPr>
          <w:rFonts w:ascii="Times New Roman" w:hAnsi="Times New Roman"/>
          <w:sz w:val="24"/>
          <w:szCs w:val="24"/>
        </w:rPr>
      </w:pPr>
      <w:r>
        <w:rPr>
          <w:rFonts w:ascii="Times New Roman" w:hAnsi="Times New Roman"/>
          <w:noProof/>
          <w:sz w:val="24"/>
          <w:szCs w:val="24"/>
          <w:lang w:eastAsia="ru-RU"/>
        </w:rPr>
        <w:drawing>
          <wp:inline distT="0" distB="0" distL="0" distR="0">
            <wp:extent cx="3152773" cy="2057400"/>
            <wp:effectExtent l="0" t="0" r="0" b="0"/>
            <wp:docPr id="20"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4"/>
                    <pic:cNvPicPr>
                      <a:picLocks noChangeAspect="1"/>
                    </pic:cNvPicPr>
                  </pic:nvPicPr>
                  <pic:blipFill>
                    <a:blip r:embed="rId46"/>
                    <a:stretch/>
                  </pic:blipFill>
                  <pic:spPr bwMode="auto">
                    <a:xfrm>
                      <a:off x="0" y="0"/>
                      <a:ext cx="3152775" cy="2057400"/>
                    </a:xfrm>
                    <a:prstGeom prst="rect">
                      <a:avLst/>
                    </a:prstGeom>
                    <a:noFill/>
                    <a:ln>
                      <a:noFill/>
                    </a:ln>
                  </pic:spPr>
                </pic:pic>
              </a:graphicData>
            </a:graphic>
          </wp:inline>
        </w:drawing>
      </w:r>
    </w:p>
    <w:p w:rsidR="00517711" w:rsidRDefault="00F815BE">
      <w:pPr>
        <w:spacing w:after="0" w:line="240" w:lineRule="auto"/>
        <w:ind w:firstLine="709"/>
        <w:jc w:val="center"/>
        <w:rPr>
          <w:rFonts w:ascii="Times New Roman" w:hAnsi="Times New Roman"/>
          <w:sz w:val="20"/>
          <w:szCs w:val="24"/>
        </w:rPr>
      </w:pPr>
      <w:r>
        <w:rPr>
          <w:rFonts w:ascii="Times New Roman" w:hAnsi="Times New Roman"/>
          <w:sz w:val="20"/>
          <w:szCs w:val="24"/>
        </w:rPr>
        <w:t>Рис.4. Оптимизированный процесс получения документов для участия в госзакупках</w:t>
      </w:r>
    </w:p>
    <w:p w:rsidR="00517711" w:rsidRDefault="00517711">
      <w:pPr>
        <w:spacing w:after="0" w:line="240" w:lineRule="auto"/>
        <w:ind w:firstLine="709"/>
        <w:jc w:val="center"/>
        <w:rPr>
          <w:rFonts w:ascii="Times New Roman" w:hAnsi="Times New Roman"/>
          <w:sz w:val="20"/>
          <w:szCs w:val="24"/>
        </w:rPr>
      </w:pP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Подводя итог следует отметить, что госзакупки актуальны для всех предприятий, 50% и более которых принадлежит государству. ВГУЭС – государственное учреждение, которое тоже принимает участие в данном виде закупок. Главной проблемой, осложняющей участие в госзакупках, является долгий процесс сбора документов. Оптимизация работы документооборота позволит упростить сбор всех необходимых документов, сокращая затраченное время и силы.</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____________________________</w:t>
      </w:r>
    </w:p>
    <w:p w:rsidR="00517711" w:rsidRDefault="00F815BE">
      <w:pPr>
        <w:numPr>
          <w:ilvl w:val="0"/>
          <w:numId w:val="74"/>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Иванова О. В. Государственные закупки: развитие понятийного аппарата / О. В. Иванова – М.: Редакция журнала «Известия высших учебных заведений». – 2015. – 89 с.</w:t>
      </w:r>
    </w:p>
    <w:p w:rsidR="00517711" w:rsidRDefault="00F815BE">
      <w:pPr>
        <w:numPr>
          <w:ilvl w:val="0"/>
          <w:numId w:val="74"/>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Калинин С. В. Правовые основы системы государственных и муниципальных закупок в современной России / С. В. Калинин – М.: Редакция журнала «Вестник Нижегородской академии МВД России», 2016. – 120 с.</w:t>
      </w:r>
    </w:p>
    <w:p w:rsidR="00517711" w:rsidRDefault="00F815BE">
      <w:pPr>
        <w:numPr>
          <w:ilvl w:val="0"/>
          <w:numId w:val="74"/>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Официальный сайт Единой Информационной Системы в сфере закупок [Электронный ресурс] // Zakupki.gov.ru. – Режим доступа: http://zakupki.gov.ru</w:t>
      </w:r>
    </w:p>
    <w:p w:rsidR="00517711" w:rsidRDefault="00F815BE">
      <w:pPr>
        <w:numPr>
          <w:ilvl w:val="0"/>
          <w:numId w:val="74"/>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Система управления электронным документооборотом ВГУЭС [Электронный ресурс] // Vvsu.ru.ru. – Режим доступа: https://www.vvsu.ru/docflow/</w:t>
      </w:r>
    </w:p>
    <w:p w:rsidR="00517711" w:rsidRDefault="00F815BE">
      <w:pPr>
        <w:numPr>
          <w:ilvl w:val="0"/>
          <w:numId w:val="74"/>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Федеральный закон от 18.07.2011 N 223-ФЗ "О закупках товаров, работ, услуг отдельными видами юридических лиц" [Электронный ресурс] // Consultant.ru. – Режим доступа: http://www.consultant.ru/document/cons_doc_LAW_116964/</w:t>
      </w:r>
    </w:p>
    <w:p w:rsidR="00517711" w:rsidRDefault="00F815BE">
      <w:pPr>
        <w:numPr>
          <w:ilvl w:val="0"/>
          <w:numId w:val="74"/>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Федеральный закон от 05.04.2013 N 44-ФЗ "О контрактной системе в сфере закупок товаров, работ, услуг для обеспечения государственных и муниципальных нужд" [Электронный ресурс] // Consultant.ru. – Режим доступа: </w:t>
      </w:r>
      <w:hyperlink r:id="rId47" w:history="1">
        <w:r>
          <w:rPr>
            <w:rFonts w:cs="Times New Roman"/>
            <w:szCs w:val="20"/>
            <w:lang w:eastAsia="ru-RU"/>
          </w:rPr>
          <w:t>http://www.consultant.ru/document/cons_doc_LAW_144624/</w:t>
        </w:r>
      </w:hyperlink>
    </w:p>
    <w:p w:rsidR="00517711" w:rsidRDefault="00517711">
      <w:pPr>
        <w:spacing w:after="0" w:line="240" w:lineRule="auto"/>
        <w:jc w:val="both"/>
        <w:rPr>
          <w:rFonts w:ascii="Times New Roman" w:hAnsi="Times New Roman"/>
          <w:sz w:val="20"/>
          <w:szCs w:val="24"/>
        </w:rPr>
      </w:pPr>
    </w:p>
    <w:p w:rsidR="00517711" w:rsidRDefault="00F815BE">
      <w:pPr>
        <w:keepNext/>
        <w:spacing w:before="120" w:after="120" w:line="240" w:lineRule="auto"/>
        <w:outlineLvl w:val="3"/>
        <w:rPr>
          <w:rFonts w:ascii="Times New Roman" w:eastAsia="Calibri" w:hAnsi="Times New Roman" w:cs="Times New Roman"/>
          <w:b/>
          <w:bCs/>
          <w:sz w:val="20"/>
          <w:szCs w:val="28"/>
        </w:rPr>
      </w:pPr>
      <w:r>
        <w:rPr>
          <w:rFonts w:ascii="Times New Roman" w:eastAsia="Calibri" w:hAnsi="Times New Roman" w:cs="Times New Roman"/>
          <w:b/>
          <w:bCs/>
          <w:sz w:val="20"/>
          <w:szCs w:val="28"/>
        </w:rPr>
        <w:t>Рубрика: Общие и комплексные проблемы технических и прикладных наук и отраслей народного хозяйства. Материально-техническое снабжение. Логистика</w:t>
      </w:r>
    </w:p>
    <w:p w:rsidR="00517711" w:rsidRDefault="00F815BE">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УДК 658.5</w:t>
      </w:r>
    </w:p>
    <w:p w:rsidR="00517711" w:rsidRDefault="00F815BE">
      <w:pPr>
        <w:keepNext/>
        <w:spacing w:before="240" w:after="240" w:line="240" w:lineRule="auto"/>
        <w:jc w:val="center"/>
        <w:outlineLvl w:val="0"/>
        <w:rPr>
          <w:rFonts w:ascii="Book Antiqua" w:hAnsi="Book Antiqua" w:cs="Times New Roman"/>
          <w:b/>
          <w:bCs/>
          <w:caps/>
          <w:sz w:val="26"/>
          <w:szCs w:val="26"/>
        </w:rPr>
      </w:pPr>
      <w:r>
        <w:rPr>
          <w:rFonts w:ascii="Book Antiqua" w:hAnsi="Book Antiqua" w:cs="Times New Roman"/>
          <w:b/>
          <w:bCs/>
          <w:caps/>
          <w:sz w:val="26"/>
          <w:szCs w:val="26"/>
        </w:rPr>
        <w:t>Логистическое обеспечение производственных процессов предприятия (на примере цементного завода)</w:t>
      </w:r>
    </w:p>
    <w:p w:rsidR="00517711" w:rsidRDefault="00F815BE">
      <w:pPr>
        <w:spacing w:after="0" w:line="240" w:lineRule="auto"/>
        <w:jc w:val="center"/>
        <w:rPr>
          <w:rFonts w:ascii="Arial" w:eastAsia="Calibri" w:hAnsi="Arial" w:cs="Times New Roman"/>
          <w:b/>
          <w:bCs/>
          <w:sz w:val="24"/>
          <w:szCs w:val="20"/>
          <w:lang w:eastAsia="ru-RU"/>
        </w:rPr>
      </w:pPr>
      <w:r>
        <w:rPr>
          <w:rFonts w:ascii="Arial" w:eastAsia="Calibri" w:hAnsi="Arial" w:cs="Times New Roman"/>
          <w:b/>
          <w:bCs/>
          <w:sz w:val="24"/>
          <w:szCs w:val="20"/>
          <w:lang w:eastAsia="ru-RU"/>
        </w:rPr>
        <w:t>Свалявчик Полина Михайловна</w:t>
      </w:r>
    </w:p>
    <w:p w:rsidR="00517711" w:rsidRDefault="00F815BE">
      <w:pPr>
        <w:spacing w:line="240" w:lineRule="auto"/>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Бакалавр</w:t>
      </w: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Россия. Владивосток</w:t>
      </w:r>
    </w:p>
    <w:p w:rsidR="00517711" w:rsidRDefault="00F815BE">
      <w:pPr>
        <w:spacing w:after="0" w:line="240" w:lineRule="auto"/>
        <w:jc w:val="center"/>
        <w:rPr>
          <w:rFonts w:ascii="Times New Roman" w:hAnsi="Times New Roman"/>
          <w:sz w:val="20"/>
          <w:szCs w:val="24"/>
        </w:rPr>
      </w:pPr>
      <w:r>
        <w:rPr>
          <w:rFonts w:ascii="Times New Roman" w:hAnsi="Times New Roman"/>
          <w:sz w:val="20"/>
          <w:szCs w:val="24"/>
          <w:lang w:val="en-US"/>
        </w:rPr>
        <w:t>E</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 xml:space="preserve">: </w:t>
      </w:r>
      <w:r>
        <w:rPr>
          <w:rFonts w:ascii="Times New Roman" w:hAnsi="Times New Roman"/>
          <w:sz w:val="20"/>
          <w:szCs w:val="24"/>
          <w:lang w:val="en-US"/>
        </w:rPr>
        <w:t>polina</w:t>
      </w:r>
      <w:r>
        <w:rPr>
          <w:rFonts w:ascii="Times New Roman" w:hAnsi="Times New Roman"/>
          <w:sz w:val="20"/>
          <w:szCs w:val="24"/>
        </w:rPr>
        <w:t>.</w:t>
      </w:r>
      <w:r>
        <w:rPr>
          <w:rFonts w:ascii="Times New Roman" w:hAnsi="Times New Roman"/>
          <w:sz w:val="20"/>
          <w:szCs w:val="24"/>
          <w:lang w:val="en-US"/>
        </w:rPr>
        <w:t>svalyavchik</w:t>
      </w:r>
      <w:r>
        <w:rPr>
          <w:rFonts w:ascii="Times New Roman" w:hAnsi="Times New Roman"/>
          <w:sz w:val="20"/>
          <w:szCs w:val="24"/>
        </w:rPr>
        <w:t>2015@</w:t>
      </w:r>
      <w:r>
        <w:rPr>
          <w:rFonts w:ascii="Times New Roman" w:hAnsi="Times New Roman"/>
          <w:sz w:val="20"/>
          <w:szCs w:val="24"/>
          <w:lang w:val="en-US"/>
        </w:rPr>
        <w:t>yandex</w:t>
      </w:r>
      <w:r>
        <w:rPr>
          <w:rFonts w:ascii="Times New Roman" w:hAnsi="Times New Roman"/>
          <w:sz w:val="20"/>
          <w:szCs w:val="24"/>
        </w:rPr>
        <w:t>.</w:t>
      </w:r>
      <w:r>
        <w:rPr>
          <w:rFonts w:ascii="Times New Roman" w:hAnsi="Times New Roman"/>
          <w:sz w:val="20"/>
          <w:szCs w:val="24"/>
          <w:lang w:val="en-US"/>
        </w:rPr>
        <w:t>ru</w:t>
      </w:r>
      <w:r>
        <w:rPr>
          <w:rFonts w:ascii="Times New Roman" w:hAnsi="Times New Roman"/>
          <w:sz w:val="20"/>
          <w:szCs w:val="24"/>
        </w:rPr>
        <w:t>; +79241228528</w:t>
      </w:r>
    </w:p>
    <w:p w:rsidR="00517711" w:rsidRDefault="00F815BE">
      <w:pPr>
        <w:spacing w:line="240" w:lineRule="auto"/>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F815BE">
      <w:pPr>
        <w:spacing w:line="240" w:lineRule="auto"/>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Научный руководитель: канд.экон.наук, доцент Белозерцева Н.П.</w:t>
      </w:r>
    </w:p>
    <w:p w:rsidR="00517711" w:rsidRDefault="00F815BE">
      <w:pPr>
        <w:spacing w:after="0" w:line="240" w:lineRule="auto"/>
        <w:ind w:firstLine="708"/>
        <w:rPr>
          <w:rFonts w:ascii="Times New Roman" w:hAnsi="Times New Roman"/>
          <w:i/>
          <w:szCs w:val="24"/>
        </w:rPr>
      </w:pPr>
      <w:r>
        <w:rPr>
          <w:rFonts w:ascii="Times New Roman" w:hAnsi="Times New Roman"/>
          <w:i/>
          <w:szCs w:val="24"/>
        </w:rPr>
        <w:lastRenderedPageBreak/>
        <w:t>В статье рассматриваются теоретические аспекты логистического обеспечения производственных процессов предприятия, также на примере цеха упаковки цементного завода продемонстрированы способы решения проблем, возникающих при обеспечении производственного процесса. Замена неправильно подобранной тары позволит предприятию избежать убытков, замена устаревшего оборудования – увеличить производительность, внедрение насадчиков мешков - автоматизировать процесс наполнения мешков цементом.</w:t>
      </w:r>
    </w:p>
    <w:p w:rsidR="00517711" w:rsidRDefault="00F815BE">
      <w:pPr>
        <w:spacing w:line="240" w:lineRule="auto"/>
        <w:ind w:firstLine="708"/>
        <w:rPr>
          <w:rFonts w:ascii="Times New Roman" w:hAnsi="Times New Roman"/>
          <w:i/>
          <w:szCs w:val="24"/>
        </w:rPr>
      </w:pPr>
      <w:r>
        <w:rPr>
          <w:rFonts w:ascii="Times New Roman" w:hAnsi="Times New Roman"/>
          <w:b/>
          <w:i/>
          <w:szCs w:val="24"/>
        </w:rPr>
        <w:t xml:space="preserve">Ключевые слова и словосочетания: </w:t>
      </w:r>
      <w:r>
        <w:rPr>
          <w:rFonts w:ascii="Times New Roman" w:hAnsi="Times New Roman"/>
          <w:i/>
          <w:szCs w:val="24"/>
        </w:rPr>
        <w:t xml:space="preserve">производственный процесс, производственная логистика, компоненты производственного процесса, </w:t>
      </w:r>
      <w:r>
        <w:rPr>
          <w:rFonts w:ascii="Times New Roman" w:hAnsi="Times New Roman"/>
          <w:i/>
          <w:szCs w:val="24"/>
          <w:lang w:val="en-US"/>
        </w:rPr>
        <w:t>MRP</w:t>
      </w:r>
      <w:r>
        <w:rPr>
          <w:rFonts w:ascii="Times New Roman" w:hAnsi="Times New Roman"/>
          <w:i/>
          <w:szCs w:val="24"/>
        </w:rPr>
        <w:t xml:space="preserve">, </w:t>
      </w:r>
      <w:r>
        <w:rPr>
          <w:rFonts w:ascii="Times New Roman" w:hAnsi="Times New Roman"/>
          <w:i/>
          <w:szCs w:val="24"/>
          <w:lang w:val="en-US"/>
        </w:rPr>
        <w:t>CRP</w:t>
      </w:r>
      <w:r>
        <w:rPr>
          <w:rFonts w:ascii="Times New Roman" w:hAnsi="Times New Roman"/>
          <w:i/>
          <w:szCs w:val="24"/>
        </w:rPr>
        <w:t>, мешки 50 кг, карусельно-упаковочные машины, автоматические насадчики мешков.</w:t>
      </w:r>
    </w:p>
    <w:p w:rsidR="00517711" w:rsidRDefault="00F815BE">
      <w:pPr>
        <w:keepNext/>
        <w:spacing w:before="240" w:after="240" w:line="240" w:lineRule="auto"/>
        <w:jc w:val="center"/>
        <w:outlineLvl w:val="0"/>
        <w:rPr>
          <w:rFonts w:ascii="Book Antiqua" w:hAnsi="Book Antiqua" w:cs="Times New Roman"/>
          <w:b/>
          <w:bCs/>
          <w:caps/>
          <w:sz w:val="26"/>
          <w:szCs w:val="26"/>
          <w:lang w:val="en-US"/>
        </w:rPr>
      </w:pPr>
      <w:r>
        <w:rPr>
          <w:rFonts w:ascii="Book Antiqua" w:hAnsi="Book Antiqua" w:cs="Times New Roman"/>
          <w:b/>
          <w:bCs/>
          <w:caps/>
          <w:sz w:val="26"/>
          <w:szCs w:val="26"/>
          <w:lang w:val="en-US"/>
        </w:rPr>
        <w:t>Logistics support of industrial processes of the enterprise (on an example of a cement plant)</w:t>
      </w:r>
    </w:p>
    <w:p w:rsidR="00517711" w:rsidRDefault="00F815BE">
      <w:pPr>
        <w:spacing w:line="240" w:lineRule="auto"/>
        <w:ind w:firstLine="708"/>
        <w:rPr>
          <w:rFonts w:ascii="Times New Roman" w:hAnsi="Times New Roman"/>
          <w:i/>
          <w:szCs w:val="24"/>
          <w:lang w:val="en-US"/>
        </w:rPr>
      </w:pPr>
      <w:r>
        <w:rPr>
          <w:rFonts w:ascii="Times New Roman" w:hAnsi="Times New Roman"/>
          <w:i/>
          <w:szCs w:val="24"/>
          <w:lang w:val="en-US"/>
        </w:rPr>
        <w:t>The article deals with theoretical aspects of logistics ensuring the production processes of the enterprise, as well as with the example of the cement plant packing workshop, the ways of solving the problems arising during the production process are demonstrated. Replacement of improperly selected containers will allow the company to avoid losses, replacement of obsolete equipment - increase productivity, introduction of bags' sacks - automate the process of filling bags with cement.</w:t>
      </w:r>
    </w:p>
    <w:p w:rsidR="00517711" w:rsidRDefault="00F815BE">
      <w:pPr>
        <w:spacing w:line="240" w:lineRule="auto"/>
        <w:ind w:firstLine="708"/>
        <w:rPr>
          <w:rFonts w:ascii="Times New Roman" w:hAnsi="Times New Roman"/>
          <w:i/>
          <w:szCs w:val="24"/>
          <w:lang w:val="en-US"/>
        </w:rPr>
      </w:pPr>
      <w:r>
        <w:rPr>
          <w:rFonts w:ascii="Times New Roman" w:hAnsi="Times New Roman"/>
          <w:b/>
          <w:i/>
          <w:szCs w:val="24"/>
          <w:lang w:val="en-US"/>
        </w:rPr>
        <w:t>Keywords:</w:t>
      </w:r>
      <w:r>
        <w:rPr>
          <w:i/>
          <w:sz w:val="20"/>
          <w:lang w:val="en-US"/>
        </w:rPr>
        <w:t xml:space="preserve"> </w:t>
      </w:r>
      <w:r>
        <w:rPr>
          <w:rFonts w:ascii="Times New Roman" w:hAnsi="Times New Roman"/>
          <w:i/>
          <w:szCs w:val="24"/>
          <w:lang w:val="en-US"/>
        </w:rPr>
        <w:t>production process, production logistics, components of the production process, MRP, CRP, 50 kg sack, carousel packing machines, automatic bag applicators.</w:t>
      </w:r>
    </w:p>
    <w:p w:rsidR="00517711" w:rsidRDefault="00517711">
      <w:pPr>
        <w:spacing w:after="0" w:line="240" w:lineRule="auto"/>
        <w:ind w:firstLine="708"/>
        <w:rPr>
          <w:rFonts w:ascii="Times New Roman" w:hAnsi="Times New Roman"/>
          <w:b/>
          <w:sz w:val="20"/>
          <w:szCs w:val="24"/>
          <w:lang w:val="en-US"/>
        </w:rPr>
      </w:pP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В условиях рыночных отношений для производителей очень важными становятся вопросы сокращения издержек и повышения эффективности производственного процесса.  Производственный процесс представляет собой совокупность всех действий персонала и средств производства, направленных на изготовление продукции. Деятельность предприятия станет успешной только в том случае если данный процесс будет правильно обеспечен всем необходимым для его функционирования. Таким образом, для производителей становится актуальной проблема обеспечения производственного процесса [7].</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Цель настоящей статьи – выявление способов оптимизации логистического обеспечения производственных процессов.</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В соответствии с целью данной работы необходимо решить следующие задачи:</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 изучить понятие, содержание и значение производственной логистики;</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 проанализировать производственные процессы предприятия;</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 разработать предложения по оптимизации логистического обеспечения производственных процессов предприятия.</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Методы исследования: изучение и анализ литературы, анализ статистики, описательный анализ.</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Логистика стала широко применяться в производстве, так как именно она обусловила изменения в представлениях об организации производственного процесса на предприятии. В связи с этим образовалась отдельная функциональная область логистики, которая называется логистика производственных процессов. Она занимается планированием, организацией и управлением внутрипроизводственной транспортировкой, буферизацией (складированием) и поддержанием запасов сырья, материалов и незавершенного производства производственных стадий заготовки, обработки и сборки готовой продукции, в общем представляя собой регулирование производственного процесса в пространстве и во времени [1].</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Важное место в производственной логистике занимают планирование потребности в материалах (</w:t>
      </w:r>
      <w:r>
        <w:rPr>
          <w:rFonts w:ascii="Times New Roman" w:hAnsi="Times New Roman"/>
          <w:sz w:val="20"/>
          <w:szCs w:val="24"/>
          <w:lang w:val="en-US"/>
        </w:rPr>
        <w:t>MRP</w:t>
      </w:r>
      <w:r>
        <w:rPr>
          <w:rFonts w:ascii="Times New Roman" w:hAnsi="Times New Roman"/>
          <w:sz w:val="20"/>
          <w:szCs w:val="24"/>
        </w:rPr>
        <w:t>) и планирование потребности в мощностях (</w:t>
      </w:r>
      <w:r>
        <w:rPr>
          <w:rFonts w:ascii="Times New Roman" w:hAnsi="Times New Roman"/>
          <w:sz w:val="20"/>
          <w:szCs w:val="24"/>
          <w:lang w:val="en-US"/>
        </w:rPr>
        <w:t>CRP</w:t>
      </w:r>
      <w:r>
        <w:rPr>
          <w:rFonts w:ascii="Times New Roman" w:hAnsi="Times New Roman"/>
          <w:sz w:val="20"/>
          <w:szCs w:val="24"/>
        </w:rPr>
        <w:t xml:space="preserve">). </w:t>
      </w:r>
      <w:r>
        <w:rPr>
          <w:rFonts w:ascii="Times New Roman" w:hAnsi="Times New Roman"/>
          <w:sz w:val="20"/>
          <w:szCs w:val="24"/>
          <w:lang w:val="en-US"/>
        </w:rPr>
        <w:t>MRP</w:t>
      </w:r>
      <w:r>
        <w:rPr>
          <w:rFonts w:ascii="Times New Roman" w:hAnsi="Times New Roman"/>
          <w:sz w:val="20"/>
          <w:szCs w:val="24"/>
        </w:rPr>
        <w:t xml:space="preserve"> представляет собой совокупность методик, которые используют для расчета потребности в материалах данные спецификаций, данные о запасах и Главный календарный план производства.</w:t>
      </w:r>
      <w:r>
        <w:rPr>
          <w:sz w:val="18"/>
        </w:rPr>
        <w:t xml:space="preserve"> </w:t>
      </w:r>
      <w:r>
        <w:rPr>
          <w:rFonts w:ascii="Times New Roman" w:hAnsi="Times New Roman"/>
          <w:sz w:val="20"/>
          <w:szCs w:val="24"/>
        </w:rPr>
        <w:t>Данные методики разрабатывают рекомендации по составу, размеру и срокам заказов на пополнение запасов материалов, а также по перепланированию открытых производственных заказов и заказов на закупку при варианте, если дата выполнения заказа и дата, когда изделия необходимы, не совпадают. CRP - рассчитывает загрузку производственной мощности всей совокупностью производственных заказов.  Свою работу CRP начинает после планирования потребности в материалах, которое формирует плановые производственные заказы.</w:t>
      </w:r>
      <w:r>
        <w:rPr>
          <w:sz w:val="18"/>
        </w:rPr>
        <w:t xml:space="preserve"> </w:t>
      </w:r>
      <w:r>
        <w:rPr>
          <w:rFonts w:ascii="Times New Roman" w:hAnsi="Times New Roman"/>
          <w:sz w:val="20"/>
        </w:rPr>
        <w:t>CRP</w:t>
      </w:r>
      <w:r>
        <w:rPr>
          <w:sz w:val="18"/>
        </w:rPr>
        <w:t xml:space="preserve"> </w:t>
      </w:r>
      <w:r>
        <w:rPr>
          <w:rFonts w:ascii="Times New Roman" w:hAnsi="Times New Roman"/>
          <w:sz w:val="20"/>
          <w:szCs w:val="24"/>
        </w:rPr>
        <w:t xml:space="preserve">оповещает обо всех расхождениях между планируемой загрузкой рабочих центров и имеющимся эффективным фондом времени [3]. </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К основным компонентам производственного процесса относят:</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 профессионально подготовленный персонал;</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 средства труда (машины, оборудование, здания, сооружения и т.д.);</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 предметы труда (сырье, материалы, полуфабрикаты);</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 энергию (электрическую, тепловую, механическую, световую);</w:t>
      </w:r>
    </w:p>
    <w:p w:rsidR="00517711" w:rsidRDefault="00F815BE">
      <w:pPr>
        <w:spacing w:after="0" w:line="240" w:lineRule="auto"/>
        <w:ind w:firstLine="708"/>
        <w:rPr>
          <w:sz w:val="18"/>
        </w:rPr>
      </w:pPr>
      <w:r>
        <w:rPr>
          <w:rFonts w:ascii="Times New Roman" w:hAnsi="Times New Roman"/>
          <w:sz w:val="20"/>
          <w:szCs w:val="24"/>
        </w:rPr>
        <w:t>- информацию (научно-техническую, коммерческую, оперативно-производственную, правовую, социально-политическую).</w:t>
      </w:r>
      <w:r>
        <w:rPr>
          <w:sz w:val="18"/>
        </w:rPr>
        <w:t xml:space="preserve"> </w:t>
      </w:r>
    </w:p>
    <w:p w:rsidR="00517711" w:rsidRDefault="00F815BE">
      <w:pPr>
        <w:tabs>
          <w:tab w:val="left" w:pos="5586"/>
        </w:tabs>
        <w:spacing w:after="0" w:line="240" w:lineRule="auto"/>
        <w:ind w:firstLine="708"/>
        <w:rPr>
          <w:rFonts w:ascii="Times New Roman" w:hAnsi="Times New Roman"/>
          <w:sz w:val="20"/>
          <w:szCs w:val="24"/>
        </w:rPr>
      </w:pPr>
      <w:r>
        <w:rPr>
          <w:rFonts w:ascii="Times New Roman" w:hAnsi="Times New Roman"/>
          <w:sz w:val="20"/>
          <w:szCs w:val="24"/>
        </w:rPr>
        <w:lastRenderedPageBreak/>
        <w:t>Профессионально управляемое взаимодействие данных компонентов образует конкретный производственный процесс и составляет его содержание [6].</w:t>
      </w:r>
      <w:r>
        <w:rPr>
          <w:rFonts w:ascii="Times New Roman" w:hAnsi="Times New Roman"/>
          <w:sz w:val="20"/>
          <w:szCs w:val="24"/>
          <w:highlight w:val="green"/>
        </w:rPr>
        <w:t xml:space="preserve"> </w:t>
      </w:r>
    </w:p>
    <w:p w:rsidR="00517711" w:rsidRDefault="00F815BE">
      <w:pPr>
        <w:tabs>
          <w:tab w:val="left" w:pos="5586"/>
        </w:tabs>
        <w:spacing w:after="0" w:line="240" w:lineRule="auto"/>
        <w:ind w:firstLine="708"/>
        <w:rPr>
          <w:rFonts w:ascii="Times New Roman" w:hAnsi="Times New Roman"/>
          <w:sz w:val="20"/>
          <w:szCs w:val="24"/>
        </w:rPr>
      </w:pPr>
      <w:r>
        <w:rPr>
          <w:rFonts w:ascii="Times New Roman" w:hAnsi="Times New Roman"/>
          <w:sz w:val="20"/>
          <w:szCs w:val="24"/>
        </w:rPr>
        <w:t>Для эффективного взаимодействия этих компонентов необходимо изучать каждый по отдельности для выявления возможно существующих проблем с целью их решения путем оптимизации [2].</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На примере проблем цементного завода в цехе упаковки рассмотрим предложения по оптимизации логистического обеспечения производственных процессов.</w:t>
      </w:r>
    </w:p>
    <w:p w:rsidR="00517711" w:rsidRDefault="00F815BE">
      <w:pPr>
        <w:spacing w:after="0" w:line="240" w:lineRule="auto"/>
        <w:rPr>
          <w:rFonts w:ascii="Times New Roman" w:hAnsi="Times New Roman"/>
          <w:sz w:val="20"/>
          <w:szCs w:val="24"/>
        </w:rPr>
      </w:pPr>
      <w:r>
        <w:rPr>
          <w:rFonts w:ascii="Times New Roman" w:hAnsi="Times New Roman"/>
          <w:sz w:val="20"/>
          <w:szCs w:val="24"/>
        </w:rPr>
        <w:tab/>
        <w:t xml:space="preserve">Для мелкооптовой и розничной продажи предприятие предлагает упаковку цемента в полипропиленовые мешки по 50 кг. Наполнение таких мешков происходит полуавтоматически. В цехе упаковки работают карусельно-упаковочные машины: две машины по 8 модулей и одна 3-х модульная. Производительность первой модели машин – 2000 мешков в час, второй – 900. Около них находятся по два работника. Один из них закрепляет мешки на машину, второй готовит пустые мешки и подает первому. У каждого мешка есть специальный клапан, в который машина насыпает цемент, и когда мешок наполняется до веса 50 кг, клапан автоматически закрывается. Но из-за отсутствия перфорации в мешках, которая способствует выходу воздуха при засыпании цемента, при отведении их от данной машины происходит просыпь цемента. Просыпь попадает в бункер просыпи карусельной машины, вмещающий в себя 3 тонны просыпанного цемента. После его наполнения этот цемент поднимается сотрудниками в накопительный бункер машины и снова попадает в мешки. В среднем данная операция производится 2 раза за смену. </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Итак, при появлении просыпи цементному заводу приходится заново перерабатывать просыпанный цемент, вследствие чего затрачиваются дополнительные ресурсы (трудовые, электроэнергия, использование механизмов и т.п.), принося себе тем самым убыток.</w:t>
      </w:r>
    </w:p>
    <w:p w:rsidR="00517711" w:rsidRDefault="00F815BE">
      <w:pPr>
        <w:spacing w:before="200" w:after="0" w:line="240" w:lineRule="auto"/>
        <w:ind w:firstLine="708"/>
        <w:contextualSpacing/>
        <w:rPr>
          <w:rFonts w:ascii="Times New Roman" w:hAnsi="Times New Roman"/>
          <w:iCs/>
          <w:sz w:val="20"/>
          <w:szCs w:val="24"/>
        </w:rPr>
      </w:pPr>
      <w:r>
        <w:rPr>
          <w:rFonts w:ascii="Times New Roman" w:hAnsi="Times New Roman"/>
          <w:iCs/>
          <w:sz w:val="20"/>
          <w:szCs w:val="24"/>
        </w:rPr>
        <w:t>В таблице 1 представлены данные о просыпи цемента.</w:t>
      </w:r>
    </w:p>
    <w:p w:rsidR="00517711" w:rsidRDefault="00F815BE">
      <w:pPr>
        <w:pStyle w:val="aff0"/>
      </w:pPr>
      <w:r>
        <w:t>Таблица 1</w:t>
      </w:r>
    </w:p>
    <w:p w:rsidR="00517711" w:rsidRDefault="00F815BE">
      <w:pPr>
        <w:pStyle w:val="afa"/>
        <w:keepNext/>
        <w:widowControl/>
        <w:spacing w:before="120" w:after="120"/>
        <w:jc w:val="center"/>
        <w:outlineLvl w:val="0"/>
        <w:rPr>
          <w:b/>
          <w:sz w:val="20"/>
          <w:szCs w:val="20"/>
        </w:rPr>
      </w:pPr>
      <w:r>
        <w:rPr>
          <w:b/>
          <w:sz w:val="20"/>
          <w:szCs w:val="20"/>
        </w:rPr>
        <w:t>Расчет объема просыпи цементного завода за 2017 г.</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1"/>
        <w:gridCol w:w="3998"/>
      </w:tblGrid>
      <w:tr w:rsidR="00517711">
        <w:tc>
          <w:tcPr>
            <w:tcW w:w="5641" w:type="dxa"/>
          </w:tcPr>
          <w:p w:rsidR="00517711" w:rsidRDefault="00F815BE">
            <w:pPr>
              <w:pStyle w:val="13"/>
            </w:pPr>
            <w:r>
              <w:t>Наименование показателя</w:t>
            </w:r>
          </w:p>
        </w:tc>
        <w:tc>
          <w:tcPr>
            <w:tcW w:w="3998" w:type="dxa"/>
          </w:tcPr>
          <w:p w:rsidR="00517711" w:rsidRDefault="00F815BE">
            <w:pPr>
              <w:pStyle w:val="13"/>
            </w:pPr>
            <w:r>
              <w:t>Величина показателя</w:t>
            </w:r>
          </w:p>
        </w:tc>
      </w:tr>
      <w:tr w:rsidR="00517711">
        <w:tc>
          <w:tcPr>
            <w:tcW w:w="5641" w:type="dxa"/>
          </w:tcPr>
          <w:p w:rsidR="00517711" w:rsidRDefault="00F815BE">
            <w:pPr>
              <w:pStyle w:val="aff1"/>
            </w:pPr>
            <w:r>
              <w:t>Карусельно-упаковочные машины, ед.</w:t>
            </w:r>
          </w:p>
        </w:tc>
        <w:tc>
          <w:tcPr>
            <w:tcW w:w="3998" w:type="dxa"/>
          </w:tcPr>
          <w:p w:rsidR="00517711" w:rsidRDefault="00F815BE">
            <w:pPr>
              <w:pStyle w:val="aff1"/>
            </w:pPr>
            <w:r>
              <w:t>3</w:t>
            </w:r>
          </w:p>
        </w:tc>
      </w:tr>
      <w:tr w:rsidR="00517711">
        <w:tc>
          <w:tcPr>
            <w:tcW w:w="5641" w:type="dxa"/>
          </w:tcPr>
          <w:p w:rsidR="00517711" w:rsidRDefault="00F815BE">
            <w:pPr>
              <w:pStyle w:val="aff1"/>
            </w:pPr>
            <w:r>
              <w:t>Объем бункера просыпи, тонн</w:t>
            </w:r>
          </w:p>
        </w:tc>
        <w:tc>
          <w:tcPr>
            <w:tcW w:w="3998" w:type="dxa"/>
          </w:tcPr>
          <w:p w:rsidR="00517711" w:rsidRDefault="00F815BE">
            <w:pPr>
              <w:pStyle w:val="aff1"/>
            </w:pPr>
            <w:r>
              <w:t>3</w:t>
            </w:r>
          </w:p>
        </w:tc>
      </w:tr>
      <w:tr w:rsidR="00517711">
        <w:tc>
          <w:tcPr>
            <w:tcW w:w="5641" w:type="dxa"/>
          </w:tcPr>
          <w:p w:rsidR="00517711" w:rsidRDefault="00F815BE">
            <w:pPr>
              <w:pStyle w:val="aff1"/>
            </w:pPr>
            <w:r>
              <w:t>Кол-во операций в сутки, ед.</w:t>
            </w:r>
          </w:p>
        </w:tc>
        <w:tc>
          <w:tcPr>
            <w:tcW w:w="3998" w:type="dxa"/>
          </w:tcPr>
          <w:p w:rsidR="00517711" w:rsidRDefault="00F815BE">
            <w:pPr>
              <w:pStyle w:val="aff1"/>
            </w:pPr>
            <w:r>
              <w:t>2</w:t>
            </w:r>
          </w:p>
        </w:tc>
      </w:tr>
      <w:tr w:rsidR="00517711">
        <w:tc>
          <w:tcPr>
            <w:tcW w:w="5641" w:type="dxa"/>
          </w:tcPr>
          <w:p w:rsidR="00517711" w:rsidRDefault="00F815BE">
            <w:pPr>
              <w:pStyle w:val="aff1"/>
            </w:pPr>
            <w:r>
              <w:t>Объем просыпи за сутки, тонн</w:t>
            </w:r>
          </w:p>
        </w:tc>
        <w:tc>
          <w:tcPr>
            <w:tcW w:w="3998" w:type="dxa"/>
          </w:tcPr>
          <w:p w:rsidR="00517711" w:rsidRDefault="00F815BE">
            <w:pPr>
              <w:pStyle w:val="aff1"/>
            </w:pPr>
            <w:r>
              <w:t>18</w:t>
            </w:r>
          </w:p>
        </w:tc>
      </w:tr>
      <w:tr w:rsidR="00517711">
        <w:tc>
          <w:tcPr>
            <w:tcW w:w="5641" w:type="dxa"/>
          </w:tcPr>
          <w:p w:rsidR="00517711" w:rsidRDefault="00F815BE">
            <w:pPr>
              <w:pStyle w:val="aff1"/>
            </w:pPr>
            <w:r>
              <w:t>Кол-во рабочих суток в год, ед.</w:t>
            </w:r>
          </w:p>
        </w:tc>
        <w:tc>
          <w:tcPr>
            <w:tcW w:w="3998" w:type="dxa"/>
          </w:tcPr>
          <w:p w:rsidR="00517711" w:rsidRDefault="00F815BE">
            <w:pPr>
              <w:pStyle w:val="aff1"/>
            </w:pPr>
            <w:r>
              <w:t>273</w:t>
            </w:r>
          </w:p>
        </w:tc>
      </w:tr>
      <w:tr w:rsidR="00517711">
        <w:tc>
          <w:tcPr>
            <w:tcW w:w="5641" w:type="dxa"/>
          </w:tcPr>
          <w:p w:rsidR="00517711" w:rsidRDefault="00F815BE">
            <w:pPr>
              <w:pStyle w:val="aff1"/>
            </w:pPr>
            <w:r>
              <w:t>Объем просыпи в год, тонн</w:t>
            </w:r>
          </w:p>
        </w:tc>
        <w:tc>
          <w:tcPr>
            <w:tcW w:w="3998" w:type="dxa"/>
          </w:tcPr>
          <w:p w:rsidR="00517711" w:rsidRDefault="00F815BE">
            <w:pPr>
              <w:pStyle w:val="aff1"/>
            </w:pPr>
            <w:r>
              <w:t>4914</w:t>
            </w:r>
          </w:p>
        </w:tc>
      </w:tr>
    </w:tbl>
    <w:p w:rsidR="00517711" w:rsidRDefault="00517711">
      <w:pPr>
        <w:spacing w:before="120" w:line="240" w:lineRule="auto"/>
        <w:ind w:firstLine="709"/>
        <w:contextualSpacing/>
        <w:rPr>
          <w:rFonts w:ascii="Times New Roman" w:hAnsi="Times New Roman"/>
          <w:sz w:val="20"/>
          <w:szCs w:val="24"/>
        </w:rPr>
      </w:pPr>
    </w:p>
    <w:p w:rsidR="00517711" w:rsidRDefault="00F815BE">
      <w:pPr>
        <w:spacing w:before="120" w:after="0" w:line="240" w:lineRule="auto"/>
        <w:ind w:firstLine="709"/>
        <w:contextualSpacing/>
        <w:rPr>
          <w:rFonts w:ascii="Times New Roman" w:hAnsi="Times New Roman"/>
          <w:sz w:val="20"/>
          <w:szCs w:val="24"/>
        </w:rPr>
      </w:pPr>
      <w:r>
        <w:rPr>
          <w:rFonts w:ascii="Times New Roman" w:hAnsi="Times New Roman"/>
          <w:sz w:val="20"/>
          <w:szCs w:val="24"/>
        </w:rPr>
        <w:t>Под каждой из трех имеющихся машин находится бункер для сбора просыпи, вмещающий в себя 3 тонны цемента. В среднем 2 раза за смену из них просыпь поднимается в накопительный бункер машины. 18 тонн просыпи вырабатывается со всех карусельно-упаковочных машин за одну смену. Машины работают сутками в совокупности 9 месяцев в году. Следовательно, за год работы машин вырабатывается 4 914 тонн просыпанного цемента. В таблице 2 представлены данные о потере ресурсов при переработке цемента в денежном выражении.</w:t>
      </w:r>
    </w:p>
    <w:p w:rsidR="00517711" w:rsidRDefault="00F815BE">
      <w:pPr>
        <w:pStyle w:val="aff0"/>
      </w:pPr>
      <w:r>
        <w:t xml:space="preserve">Таблица 2 </w:t>
      </w:r>
    </w:p>
    <w:p w:rsidR="00517711" w:rsidRDefault="00F815BE">
      <w:pPr>
        <w:pStyle w:val="afa"/>
        <w:keepNext/>
        <w:widowControl/>
        <w:spacing w:before="120" w:after="120"/>
        <w:jc w:val="center"/>
        <w:outlineLvl w:val="0"/>
        <w:rPr>
          <w:b/>
          <w:sz w:val="20"/>
          <w:szCs w:val="20"/>
        </w:rPr>
      </w:pPr>
      <w:r>
        <w:rPr>
          <w:b/>
          <w:sz w:val="20"/>
          <w:szCs w:val="20"/>
        </w:rPr>
        <w:t>Потеря ресурсов при переработке просыпанного цемента на цементном заводе               за 2017 г., руб.</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6"/>
        <w:gridCol w:w="4883"/>
      </w:tblGrid>
      <w:tr w:rsidR="00517711">
        <w:tc>
          <w:tcPr>
            <w:tcW w:w="4756" w:type="dxa"/>
          </w:tcPr>
          <w:p w:rsidR="00517711" w:rsidRDefault="00F815BE">
            <w:pPr>
              <w:pStyle w:val="13"/>
            </w:pPr>
            <w:r>
              <w:t>Наименование показателя</w:t>
            </w:r>
          </w:p>
        </w:tc>
        <w:tc>
          <w:tcPr>
            <w:tcW w:w="4883" w:type="dxa"/>
          </w:tcPr>
          <w:p w:rsidR="00517711" w:rsidRDefault="00F815BE">
            <w:pPr>
              <w:pStyle w:val="13"/>
            </w:pPr>
            <w:r>
              <w:t>Величина показателя</w:t>
            </w:r>
          </w:p>
        </w:tc>
      </w:tr>
      <w:tr w:rsidR="00517711">
        <w:tc>
          <w:tcPr>
            <w:tcW w:w="4756" w:type="dxa"/>
          </w:tcPr>
          <w:p w:rsidR="00517711" w:rsidRDefault="00F815BE">
            <w:pPr>
              <w:pStyle w:val="aff1"/>
            </w:pPr>
            <w:r>
              <w:t>Ресурсы на переработку 1 тонны цемента</w:t>
            </w:r>
          </w:p>
        </w:tc>
        <w:tc>
          <w:tcPr>
            <w:tcW w:w="4883" w:type="dxa"/>
          </w:tcPr>
          <w:p w:rsidR="00517711" w:rsidRDefault="00F815BE">
            <w:pPr>
              <w:pStyle w:val="aff1"/>
            </w:pPr>
            <w:r>
              <w:t>2 285, 145</w:t>
            </w:r>
          </w:p>
        </w:tc>
      </w:tr>
      <w:tr w:rsidR="00517711">
        <w:trPr>
          <w:trHeight w:val="554"/>
        </w:trPr>
        <w:tc>
          <w:tcPr>
            <w:tcW w:w="4756" w:type="dxa"/>
          </w:tcPr>
          <w:p w:rsidR="00517711" w:rsidRDefault="00F815BE">
            <w:pPr>
              <w:pStyle w:val="aff1"/>
            </w:pPr>
            <w:r>
              <w:t>Ресурсы на переработку годового объема просыпи</w:t>
            </w:r>
          </w:p>
        </w:tc>
        <w:tc>
          <w:tcPr>
            <w:tcW w:w="4883" w:type="dxa"/>
          </w:tcPr>
          <w:p w:rsidR="00517711" w:rsidRDefault="00F815BE">
            <w:pPr>
              <w:pStyle w:val="aff1"/>
            </w:pPr>
            <w:r>
              <w:t>11 229 202,5</w:t>
            </w:r>
          </w:p>
        </w:tc>
      </w:tr>
    </w:tbl>
    <w:p w:rsidR="00517711" w:rsidRDefault="00517711">
      <w:pPr>
        <w:spacing w:before="120" w:line="240" w:lineRule="auto"/>
        <w:ind w:firstLine="709"/>
        <w:contextualSpacing/>
        <w:rPr>
          <w:rFonts w:ascii="Times New Roman" w:hAnsi="Times New Roman"/>
          <w:sz w:val="20"/>
          <w:szCs w:val="24"/>
        </w:rPr>
      </w:pPr>
    </w:p>
    <w:p w:rsidR="00517711" w:rsidRDefault="00F815BE">
      <w:pPr>
        <w:spacing w:before="120" w:after="0" w:line="240" w:lineRule="auto"/>
        <w:ind w:firstLine="709"/>
        <w:contextualSpacing/>
        <w:rPr>
          <w:rFonts w:ascii="Times New Roman" w:hAnsi="Times New Roman"/>
          <w:sz w:val="20"/>
          <w:szCs w:val="24"/>
        </w:rPr>
      </w:pPr>
      <w:r>
        <w:rPr>
          <w:rFonts w:ascii="Times New Roman" w:hAnsi="Times New Roman"/>
          <w:sz w:val="20"/>
          <w:szCs w:val="24"/>
        </w:rPr>
        <w:t>Потеря ресурсов при переработке 1 тонны цемента составляет 2 285,145 рублей, тогда при переработке 4 914 тонн – 11 229 202,5 рублей. Это и есть сумма убытка, которую получает предприятие при использовании данных мешков.</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В таблице 3 представлен расчет годовой потребности компании в таре по 50 кг.</w:t>
      </w:r>
    </w:p>
    <w:p w:rsidR="00517711" w:rsidRDefault="00F815BE">
      <w:pPr>
        <w:pStyle w:val="aff0"/>
      </w:pPr>
      <w:r>
        <w:lastRenderedPageBreak/>
        <w:t xml:space="preserve">Таблица 3 </w:t>
      </w:r>
    </w:p>
    <w:p w:rsidR="00517711" w:rsidRDefault="00F815BE">
      <w:pPr>
        <w:pStyle w:val="afa"/>
        <w:keepNext/>
        <w:widowControl/>
        <w:spacing w:before="120" w:after="120"/>
        <w:jc w:val="center"/>
        <w:outlineLvl w:val="0"/>
        <w:rPr>
          <w:b/>
          <w:sz w:val="20"/>
          <w:szCs w:val="20"/>
        </w:rPr>
      </w:pPr>
      <w:r>
        <w:rPr>
          <w:b/>
          <w:sz w:val="20"/>
          <w:szCs w:val="20"/>
        </w:rPr>
        <w:t>Расчет годовой потребности цементного завода в мешкотаре по 50 кг, 2017 г.</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6"/>
        <w:gridCol w:w="4883"/>
      </w:tblGrid>
      <w:tr w:rsidR="00517711">
        <w:tc>
          <w:tcPr>
            <w:tcW w:w="4756" w:type="dxa"/>
          </w:tcPr>
          <w:p w:rsidR="00517711" w:rsidRDefault="00F815BE">
            <w:pPr>
              <w:pStyle w:val="13"/>
            </w:pPr>
            <w:r>
              <w:t>Наименование показателя</w:t>
            </w:r>
          </w:p>
        </w:tc>
        <w:tc>
          <w:tcPr>
            <w:tcW w:w="4883" w:type="dxa"/>
          </w:tcPr>
          <w:p w:rsidR="00517711" w:rsidRDefault="00F815BE">
            <w:pPr>
              <w:pStyle w:val="13"/>
            </w:pPr>
            <w:r>
              <w:t>Величина показателя</w:t>
            </w:r>
          </w:p>
        </w:tc>
      </w:tr>
      <w:tr w:rsidR="00517711">
        <w:tc>
          <w:tcPr>
            <w:tcW w:w="4756" w:type="dxa"/>
          </w:tcPr>
          <w:p w:rsidR="00517711" w:rsidRDefault="00F815BE">
            <w:pPr>
              <w:pStyle w:val="aff1"/>
            </w:pPr>
            <w:r>
              <w:t>Требуемое количество мешков объемом 50 кг, ед.</w:t>
            </w:r>
          </w:p>
        </w:tc>
        <w:tc>
          <w:tcPr>
            <w:tcW w:w="4883" w:type="dxa"/>
          </w:tcPr>
          <w:p w:rsidR="00517711" w:rsidRDefault="00F815BE">
            <w:pPr>
              <w:pStyle w:val="aff1"/>
            </w:pPr>
            <w:r>
              <w:t>5 676 000</w:t>
            </w:r>
          </w:p>
        </w:tc>
      </w:tr>
      <w:tr w:rsidR="00517711">
        <w:tc>
          <w:tcPr>
            <w:tcW w:w="4756" w:type="dxa"/>
          </w:tcPr>
          <w:p w:rsidR="00517711" w:rsidRDefault="00F815BE">
            <w:pPr>
              <w:pStyle w:val="aff1"/>
            </w:pPr>
            <w:r>
              <w:t>Стоимость 1-го мешка, руб.</w:t>
            </w:r>
          </w:p>
        </w:tc>
        <w:tc>
          <w:tcPr>
            <w:tcW w:w="4883" w:type="dxa"/>
          </w:tcPr>
          <w:p w:rsidR="00517711" w:rsidRDefault="00F815BE">
            <w:pPr>
              <w:pStyle w:val="aff1"/>
            </w:pPr>
            <w:r>
              <w:t>11</w:t>
            </w:r>
          </w:p>
        </w:tc>
      </w:tr>
      <w:tr w:rsidR="00517711">
        <w:tc>
          <w:tcPr>
            <w:tcW w:w="4756" w:type="dxa"/>
          </w:tcPr>
          <w:p w:rsidR="00517711" w:rsidRDefault="00F815BE">
            <w:pPr>
              <w:pStyle w:val="aff1"/>
            </w:pPr>
            <w:r>
              <w:t>Стоимость годового количества мешков объемом 50 кг, руб.</w:t>
            </w:r>
          </w:p>
        </w:tc>
        <w:tc>
          <w:tcPr>
            <w:tcW w:w="4883" w:type="dxa"/>
          </w:tcPr>
          <w:p w:rsidR="00517711" w:rsidRDefault="00F815BE">
            <w:pPr>
              <w:pStyle w:val="aff1"/>
            </w:pPr>
            <w:r>
              <w:t>62 436 000</w:t>
            </w:r>
          </w:p>
        </w:tc>
      </w:tr>
    </w:tbl>
    <w:p w:rsidR="00517711" w:rsidRDefault="00517711">
      <w:pPr>
        <w:spacing w:before="120" w:line="240" w:lineRule="auto"/>
        <w:ind w:firstLine="709"/>
        <w:contextualSpacing/>
        <w:rPr>
          <w:rFonts w:ascii="Times New Roman" w:hAnsi="Times New Roman"/>
          <w:sz w:val="20"/>
          <w:szCs w:val="24"/>
        </w:rPr>
      </w:pPr>
    </w:p>
    <w:p w:rsidR="00517711" w:rsidRDefault="00F815BE">
      <w:pPr>
        <w:spacing w:before="120" w:after="0" w:line="240" w:lineRule="auto"/>
        <w:ind w:firstLine="709"/>
        <w:contextualSpacing/>
        <w:rPr>
          <w:rFonts w:ascii="Times New Roman" w:hAnsi="Times New Roman"/>
          <w:sz w:val="20"/>
          <w:szCs w:val="24"/>
        </w:rPr>
      </w:pPr>
      <w:r>
        <w:rPr>
          <w:rFonts w:ascii="Times New Roman" w:hAnsi="Times New Roman"/>
          <w:sz w:val="20"/>
          <w:szCs w:val="24"/>
        </w:rPr>
        <w:t>На 2017 год цементный завод закупил 5 676 000 мешков по 50 кг. Цена одного мешка составляет 11 рублей. За все количество мешков компания заплатила 62 436 000 рублей.</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В таблице 4 представлен расчет стоимости использования данных мешков.</w:t>
      </w:r>
    </w:p>
    <w:p w:rsidR="00517711" w:rsidRDefault="00F815BE">
      <w:pPr>
        <w:pStyle w:val="aff0"/>
      </w:pPr>
      <w:r>
        <w:t xml:space="preserve">Таблица 4 </w:t>
      </w:r>
    </w:p>
    <w:p w:rsidR="00517711" w:rsidRDefault="00F815BE">
      <w:pPr>
        <w:pStyle w:val="afa"/>
        <w:keepNext/>
        <w:widowControl/>
        <w:spacing w:before="120" w:after="120"/>
        <w:jc w:val="center"/>
        <w:outlineLvl w:val="0"/>
        <w:rPr>
          <w:b/>
          <w:sz w:val="20"/>
          <w:szCs w:val="20"/>
        </w:rPr>
      </w:pPr>
      <w:r>
        <w:rPr>
          <w:b/>
          <w:sz w:val="20"/>
          <w:szCs w:val="20"/>
        </w:rPr>
        <w:t>Расчет стоимости использования мешкотары по 50 кг цементным заводом, 2017 г., руб.</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887"/>
      </w:tblGrid>
      <w:tr w:rsidR="00517711">
        <w:tc>
          <w:tcPr>
            <w:tcW w:w="4752" w:type="dxa"/>
          </w:tcPr>
          <w:p w:rsidR="00517711" w:rsidRDefault="00F815BE">
            <w:pPr>
              <w:pStyle w:val="13"/>
            </w:pPr>
            <w:r>
              <w:t>Наименование показателя</w:t>
            </w:r>
          </w:p>
        </w:tc>
        <w:tc>
          <w:tcPr>
            <w:tcW w:w="4887" w:type="dxa"/>
          </w:tcPr>
          <w:p w:rsidR="00517711" w:rsidRDefault="00F815BE">
            <w:pPr>
              <w:pStyle w:val="13"/>
            </w:pPr>
            <w:r>
              <w:t>Величина показателя</w:t>
            </w:r>
          </w:p>
        </w:tc>
      </w:tr>
      <w:tr w:rsidR="00517711">
        <w:tc>
          <w:tcPr>
            <w:tcW w:w="4752" w:type="dxa"/>
          </w:tcPr>
          <w:p w:rsidR="00517711" w:rsidRDefault="00F815BE">
            <w:pPr>
              <w:pStyle w:val="aff1"/>
            </w:pPr>
            <w:r>
              <w:t>Стоимость годового количества мешков объемом 50 кг</w:t>
            </w:r>
          </w:p>
        </w:tc>
        <w:tc>
          <w:tcPr>
            <w:tcW w:w="4887" w:type="dxa"/>
          </w:tcPr>
          <w:p w:rsidR="00517711" w:rsidRDefault="00F815BE">
            <w:pPr>
              <w:pStyle w:val="aff1"/>
            </w:pPr>
            <w:r>
              <w:t>62 436 000</w:t>
            </w:r>
          </w:p>
        </w:tc>
      </w:tr>
      <w:tr w:rsidR="00517711">
        <w:tc>
          <w:tcPr>
            <w:tcW w:w="4752" w:type="dxa"/>
          </w:tcPr>
          <w:p w:rsidR="00517711" w:rsidRDefault="00F815BE">
            <w:pPr>
              <w:pStyle w:val="aff1"/>
            </w:pPr>
            <w:r>
              <w:t>Ресурсы на переработку годового объема просыпи</w:t>
            </w:r>
          </w:p>
        </w:tc>
        <w:tc>
          <w:tcPr>
            <w:tcW w:w="4887" w:type="dxa"/>
          </w:tcPr>
          <w:p w:rsidR="00517711" w:rsidRDefault="00F815BE">
            <w:pPr>
              <w:pStyle w:val="aff1"/>
            </w:pPr>
            <w:r>
              <w:t>11 229 202,5</w:t>
            </w:r>
          </w:p>
        </w:tc>
      </w:tr>
      <w:tr w:rsidR="00517711">
        <w:tc>
          <w:tcPr>
            <w:tcW w:w="4752" w:type="dxa"/>
          </w:tcPr>
          <w:p w:rsidR="00517711" w:rsidRDefault="00F815BE">
            <w:pPr>
              <w:pStyle w:val="aff1"/>
            </w:pPr>
            <w:r>
              <w:t>Стоимость использования мешкотары 50 кг</w:t>
            </w:r>
          </w:p>
        </w:tc>
        <w:tc>
          <w:tcPr>
            <w:tcW w:w="4887" w:type="dxa"/>
          </w:tcPr>
          <w:p w:rsidR="00517711" w:rsidRDefault="00F815BE">
            <w:pPr>
              <w:pStyle w:val="aff1"/>
            </w:pPr>
            <w:r>
              <w:t>73 665 202,5</w:t>
            </w:r>
          </w:p>
        </w:tc>
      </w:tr>
    </w:tbl>
    <w:p w:rsidR="00517711" w:rsidRDefault="00517711">
      <w:pPr>
        <w:spacing w:before="120" w:line="240" w:lineRule="auto"/>
        <w:ind w:firstLine="709"/>
        <w:contextualSpacing/>
        <w:rPr>
          <w:rFonts w:ascii="Times New Roman" w:hAnsi="Times New Roman"/>
          <w:sz w:val="20"/>
          <w:szCs w:val="24"/>
        </w:rPr>
      </w:pPr>
    </w:p>
    <w:p w:rsidR="00517711" w:rsidRDefault="00F815BE">
      <w:pPr>
        <w:spacing w:before="120" w:after="0" w:line="240" w:lineRule="auto"/>
        <w:ind w:firstLine="709"/>
        <w:contextualSpacing/>
        <w:rPr>
          <w:rFonts w:ascii="Times New Roman" w:hAnsi="Times New Roman"/>
          <w:sz w:val="20"/>
          <w:szCs w:val="24"/>
        </w:rPr>
      </w:pPr>
      <w:r>
        <w:rPr>
          <w:rFonts w:ascii="Times New Roman" w:hAnsi="Times New Roman"/>
          <w:sz w:val="20"/>
          <w:szCs w:val="24"/>
        </w:rPr>
        <w:t>Если сложить стоимость годового количества мешков с суммой убытка, получаемого при просыпи цемента, получится 73 665 202,5 рубля. Можно сделать вывод, что использование данных мешков обходится предприятию именно в такую сумму, так как они дают просыпь, которую в итоге нужно переработать, используя при этом дополнительные ресурсы, а, следовательно, дополнительные затраты.</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Если цементный завод станет закупать мешки в другой компании, где в них присутствует перфорация, оно избежит убытков, так как не придется затрачивать дополнительные ресурсы для переработки просыпанного цемента.</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Множество компаний предоставляют возможность производства полипропиленовых мешков по параметрам заказчика. То есть заказчик указывает необходимую длину, ширину мешка, ширину клапана, материал, из которого он должен быть изготовлен, наличие/отсутствие перфорации, а также требуется ли нанесение логотипа [4].</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Цены на полипропиленовые мешки в разных компаниях будут отличаться в зависимости от характеристик необходимых заказчику, а также количества закупаемого товара (чем больше количество закупаемых мешков, тем меньше цена за единицу).</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В среднем цена за 1 мешок будет составлять 12 рублей [5].</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В таблице 5 представлен расчет годовой потребности в мешкотаре по 50 кг, при условии, что цементный завод станет закупать мешки по данной цене.</w:t>
      </w:r>
    </w:p>
    <w:p w:rsidR="00517711" w:rsidRDefault="00F815BE">
      <w:pPr>
        <w:pStyle w:val="aff0"/>
      </w:pPr>
      <w:r>
        <w:t xml:space="preserve">Таблица 5 </w:t>
      </w:r>
    </w:p>
    <w:p w:rsidR="00517711" w:rsidRDefault="00F815BE">
      <w:pPr>
        <w:pStyle w:val="afa"/>
        <w:keepNext/>
        <w:widowControl/>
        <w:spacing w:before="120" w:after="120"/>
        <w:jc w:val="center"/>
        <w:outlineLvl w:val="0"/>
        <w:rPr>
          <w:b/>
          <w:sz w:val="20"/>
          <w:szCs w:val="20"/>
        </w:rPr>
      </w:pPr>
      <w:r>
        <w:rPr>
          <w:b/>
          <w:sz w:val="20"/>
          <w:szCs w:val="20"/>
        </w:rPr>
        <w:t>Расчет годовой потребности цементного завода в мешкотаре по 50 кг по новой цене, 2019 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6"/>
        <w:gridCol w:w="4706"/>
      </w:tblGrid>
      <w:tr w:rsidR="00517711">
        <w:tc>
          <w:tcPr>
            <w:tcW w:w="4756" w:type="dxa"/>
          </w:tcPr>
          <w:p w:rsidR="00517711" w:rsidRDefault="00F815BE">
            <w:pPr>
              <w:pStyle w:val="13"/>
            </w:pPr>
            <w:r>
              <w:t>Наименование показателя</w:t>
            </w:r>
          </w:p>
        </w:tc>
        <w:tc>
          <w:tcPr>
            <w:tcW w:w="4706" w:type="dxa"/>
          </w:tcPr>
          <w:p w:rsidR="00517711" w:rsidRDefault="00F815BE">
            <w:pPr>
              <w:pStyle w:val="13"/>
            </w:pPr>
            <w:r>
              <w:t>Величина показателя</w:t>
            </w:r>
          </w:p>
        </w:tc>
      </w:tr>
      <w:tr w:rsidR="00517711">
        <w:tc>
          <w:tcPr>
            <w:tcW w:w="4756" w:type="dxa"/>
          </w:tcPr>
          <w:p w:rsidR="00517711" w:rsidRDefault="00F815BE">
            <w:pPr>
              <w:pStyle w:val="aff1"/>
            </w:pPr>
            <w:r>
              <w:t>Требуемое количество мешков объемом 50 кг, ед.</w:t>
            </w:r>
          </w:p>
        </w:tc>
        <w:tc>
          <w:tcPr>
            <w:tcW w:w="4706" w:type="dxa"/>
          </w:tcPr>
          <w:p w:rsidR="00517711" w:rsidRDefault="00F815BE">
            <w:pPr>
              <w:pStyle w:val="aff1"/>
            </w:pPr>
            <w:r>
              <w:t>5 676 000</w:t>
            </w:r>
          </w:p>
        </w:tc>
      </w:tr>
      <w:tr w:rsidR="00517711">
        <w:tc>
          <w:tcPr>
            <w:tcW w:w="4756" w:type="dxa"/>
          </w:tcPr>
          <w:p w:rsidR="00517711" w:rsidRDefault="00F815BE">
            <w:pPr>
              <w:pStyle w:val="aff1"/>
            </w:pPr>
            <w:r>
              <w:t>Стоимость 1-го мешка, руб.</w:t>
            </w:r>
          </w:p>
        </w:tc>
        <w:tc>
          <w:tcPr>
            <w:tcW w:w="4706" w:type="dxa"/>
          </w:tcPr>
          <w:p w:rsidR="00517711" w:rsidRDefault="00F815BE">
            <w:pPr>
              <w:pStyle w:val="aff1"/>
            </w:pPr>
            <w:r>
              <w:t>12</w:t>
            </w:r>
          </w:p>
        </w:tc>
      </w:tr>
      <w:tr w:rsidR="00517711">
        <w:tc>
          <w:tcPr>
            <w:tcW w:w="4756" w:type="dxa"/>
          </w:tcPr>
          <w:p w:rsidR="00517711" w:rsidRDefault="00F815BE">
            <w:pPr>
              <w:pStyle w:val="aff1"/>
            </w:pPr>
            <w:r>
              <w:t>Стоимость годового количества мешков объемом 50 кг, руб.</w:t>
            </w:r>
          </w:p>
        </w:tc>
        <w:tc>
          <w:tcPr>
            <w:tcW w:w="4706" w:type="dxa"/>
          </w:tcPr>
          <w:p w:rsidR="00517711" w:rsidRDefault="00F815BE">
            <w:pPr>
              <w:pStyle w:val="aff1"/>
            </w:pPr>
            <w:r>
              <w:t>68 112 000</w:t>
            </w:r>
          </w:p>
        </w:tc>
      </w:tr>
    </w:tbl>
    <w:p w:rsidR="00517711" w:rsidRDefault="00517711">
      <w:pPr>
        <w:spacing w:before="120" w:line="240" w:lineRule="auto"/>
        <w:ind w:firstLine="709"/>
        <w:contextualSpacing/>
        <w:rPr>
          <w:rFonts w:ascii="Times New Roman" w:hAnsi="Times New Roman"/>
          <w:sz w:val="20"/>
          <w:szCs w:val="24"/>
        </w:rPr>
      </w:pPr>
    </w:p>
    <w:p w:rsidR="00517711" w:rsidRDefault="00F815BE">
      <w:pPr>
        <w:spacing w:before="120" w:line="240" w:lineRule="auto"/>
        <w:ind w:firstLine="709"/>
        <w:contextualSpacing/>
        <w:rPr>
          <w:rFonts w:ascii="Times New Roman" w:hAnsi="Times New Roman"/>
          <w:sz w:val="20"/>
          <w:szCs w:val="24"/>
        </w:rPr>
      </w:pPr>
      <w:r>
        <w:rPr>
          <w:rFonts w:ascii="Times New Roman" w:hAnsi="Times New Roman"/>
          <w:sz w:val="20"/>
          <w:szCs w:val="24"/>
        </w:rPr>
        <w:t xml:space="preserve">Исходя из данных таблицы 5 при закупке мешкотары по 50 кг по новой цене предприятие в год будет затрачивать 68 112 000 рублей. </w:t>
      </w:r>
    </w:p>
    <w:p w:rsidR="00517711" w:rsidRDefault="00F815BE">
      <w:pPr>
        <w:spacing w:line="240" w:lineRule="auto"/>
        <w:ind w:firstLine="708"/>
        <w:rPr>
          <w:rFonts w:ascii="Times New Roman" w:hAnsi="Times New Roman"/>
          <w:sz w:val="20"/>
          <w:szCs w:val="24"/>
        </w:rPr>
      </w:pPr>
      <w:r>
        <w:rPr>
          <w:rFonts w:ascii="Times New Roman" w:hAnsi="Times New Roman"/>
          <w:sz w:val="20"/>
          <w:szCs w:val="24"/>
        </w:rPr>
        <w:t>В таблице 6 представлен расчет экономии предприятия при замене мешков.</w:t>
      </w:r>
    </w:p>
    <w:p w:rsidR="00517711" w:rsidRDefault="00F815BE">
      <w:pPr>
        <w:pStyle w:val="aff0"/>
      </w:pPr>
      <w:r>
        <w:lastRenderedPageBreak/>
        <w:t xml:space="preserve">Таблица 6 </w:t>
      </w:r>
    </w:p>
    <w:p w:rsidR="00517711" w:rsidRDefault="00F815BE">
      <w:pPr>
        <w:pStyle w:val="afa"/>
        <w:keepNext/>
        <w:widowControl/>
        <w:spacing w:before="120" w:after="120"/>
        <w:jc w:val="center"/>
        <w:outlineLvl w:val="0"/>
        <w:rPr>
          <w:b/>
          <w:sz w:val="20"/>
          <w:szCs w:val="20"/>
        </w:rPr>
      </w:pPr>
      <w:r>
        <w:rPr>
          <w:b/>
          <w:sz w:val="20"/>
          <w:szCs w:val="20"/>
        </w:rPr>
        <w:t>Расчет экономии денежных средств цементным заводом при замене мешкотары по 50 кг, 2019 г., руб.</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7"/>
        <w:gridCol w:w="4705"/>
      </w:tblGrid>
      <w:tr w:rsidR="00517711">
        <w:tc>
          <w:tcPr>
            <w:tcW w:w="4757" w:type="dxa"/>
          </w:tcPr>
          <w:p w:rsidR="00517711" w:rsidRDefault="00F815BE">
            <w:pPr>
              <w:pStyle w:val="13"/>
            </w:pPr>
            <w:r>
              <w:t>Наименование показателя</w:t>
            </w:r>
          </w:p>
        </w:tc>
        <w:tc>
          <w:tcPr>
            <w:tcW w:w="4705" w:type="dxa"/>
          </w:tcPr>
          <w:p w:rsidR="00517711" w:rsidRDefault="00F815BE">
            <w:pPr>
              <w:pStyle w:val="13"/>
            </w:pPr>
            <w:r>
              <w:t>Величина показателя</w:t>
            </w:r>
          </w:p>
        </w:tc>
      </w:tr>
      <w:tr w:rsidR="00517711">
        <w:tc>
          <w:tcPr>
            <w:tcW w:w="4757" w:type="dxa"/>
          </w:tcPr>
          <w:p w:rsidR="00517711" w:rsidRDefault="00F815BE">
            <w:pPr>
              <w:pStyle w:val="aff1"/>
            </w:pPr>
            <w:r>
              <w:t>Стоимость использования мешкотары по 50 кг без перфорации</w:t>
            </w:r>
          </w:p>
        </w:tc>
        <w:tc>
          <w:tcPr>
            <w:tcW w:w="4705" w:type="dxa"/>
          </w:tcPr>
          <w:p w:rsidR="00517711" w:rsidRDefault="00F815BE">
            <w:pPr>
              <w:pStyle w:val="aff1"/>
            </w:pPr>
            <w:r>
              <w:t>73 665 202,5</w:t>
            </w:r>
          </w:p>
        </w:tc>
      </w:tr>
      <w:tr w:rsidR="00517711">
        <w:tc>
          <w:tcPr>
            <w:tcW w:w="4757" w:type="dxa"/>
          </w:tcPr>
          <w:p w:rsidR="00517711" w:rsidRDefault="00F815BE">
            <w:pPr>
              <w:pStyle w:val="aff1"/>
            </w:pPr>
            <w:r>
              <w:t>Стоимость использования мешкотары по 50 кг с перфорацией</w:t>
            </w:r>
          </w:p>
        </w:tc>
        <w:tc>
          <w:tcPr>
            <w:tcW w:w="4705" w:type="dxa"/>
          </w:tcPr>
          <w:p w:rsidR="00517711" w:rsidRDefault="00F815BE">
            <w:pPr>
              <w:pStyle w:val="aff1"/>
            </w:pPr>
            <w:r>
              <w:t>68 112 000</w:t>
            </w:r>
          </w:p>
        </w:tc>
      </w:tr>
      <w:tr w:rsidR="00517711">
        <w:tc>
          <w:tcPr>
            <w:tcW w:w="4757" w:type="dxa"/>
          </w:tcPr>
          <w:p w:rsidR="00517711" w:rsidRDefault="00F815BE">
            <w:pPr>
              <w:pStyle w:val="aff1"/>
            </w:pPr>
            <w:r>
              <w:t>Экономия</w:t>
            </w:r>
          </w:p>
        </w:tc>
        <w:tc>
          <w:tcPr>
            <w:tcW w:w="4705" w:type="dxa"/>
          </w:tcPr>
          <w:p w:rsidR="00517711" w:rsidRDefault="00F815BE">
            <w:pPr>
              <w:pStyle w:val="aff1"/>
            </w:pPr>
            <w:r>
              <w:t>5 553 202,5</w:t>
            </w:r>
          </w:p>
        </w:tc>
      </w:tr>
    </w:tbl>
    <w:p w:rsidR="00517711" w:rsidRDefault="00517711">
      <w:pPr>
        <w:spacing w:before="120" w:after="0" w:line="240" w:lineRule="auto"/>
        <w:ind w:firstLine="709"/>
        <w:contextualSpacing/>
        <w:rPr>
          <w:rFonts w:ascii="Times New Roman" w:hAnsi="Times New Roman"/>
          <w:sz w:val="20"/>
          <w:szCs w:val="24"/>
        </w:rPr>
      </w:pPr>
    </w:p>
    <w:p w:rsidR="00517711" w:rsidRDefault="00F815BE">
      <w:pPr>
        <w:spacing w:before="120" w:after="0" w:line="240" w:lineRule="auto"/>
        <w:ind w:firstLine="709"/>
        <w:contextualSpacing/>
        <w:rPr>
          <w:rFonts w:ascii="Times New Roman" w:hAnsi="Times New Roman"/>
          <w:sz w:val="20"/>
          <w:szCs w:val="24"/>
        </w:rPr>
      </w:pPr>
      <w:r>
        <w:rPr>
          <w:rFonts w:ascii="Times New Roman" w:hAnsi="Times New Roman"/>
          <w:sz w:val="20"/>
          <w:szCs w:val="24"/>
        </w:rPr>
        <w:t>Итак, экономия предприятия составит 5 553 202,5 рубля в год при замене мешков, рассчитанных на 50 кг цемента.</w:t>
      </w:r>
    </w:p>
    <w:p w:rsidR="00517711" w:rsidRDefault="00F815BE">
      <w:pPr>
        <w:pStyle w:val="af4"/>
        <w:spacing w:after="0" w:line="240" w:lineRule="auto"/>
        <w:ind w:left="0"/>
        <w:rPr>
          <w:rFonts w:ascii="Times New Roman" w:hAnsi="Times New Roman"/>
          <w:sz w:val="20"/>
          <w:szCs w:val="24"/>
        </w:rPr>
      </w:pPr>
      <w:r>
        <w:rPr>
          <w:rFonts w:ascii="Times New Roman" w:hAnsi="Times New Roman"/>
          <w:sz w:val="20"/>
          <w:szCs w:val="24"/>
        </w:rPr>
        <w:tab/>
        <w:t>Следующей проблемой цементного завода является устаревшее оборудование для наполнения мешков по 50 кг, то есть карусельно-упаковочные машины. Восьмимодульные машины считаются устаревшими и больше не выпускаются. Следовательно, если им потребуется ремонт, сделать это для предприятия будет сложно. Трехмодульная карусельно-упаковочная машина требует замены по причине низкой производительности – 900 мешков в час. Устаревшая восьмимодульная модель наполняет 2000 мешков в час.</w:t>
      </w:r>
    </w:p>
    <w:p w:rsidR="00517711" w:rsidRDefault="00F815BE">
      <w:pPr>
        <w:pStyle w:val="af4"/>
        <w:spacing w:after="0" w:line="240" w:lineRule="auto"/>
        <w:ind w:left="0"/>
        <w:rPr>
          <w:rFonts w:ascii="Times New Roman" w:hAnsi="Times New Roman"/>
          <w:sz w:val="20"/>
          <w:szCs w:val="24"/>
        </w:rPr>
      </w:pPr>
      <w:r>
        <w:rPr>
          <w:rFonts w:ascii="Times New Roman" w:hAnsi="Times New Roman"/>
          <w:sz w:val="20"/>
          <w:szCs w:val="24"/>
        </w:rPr>
        <w:tab/>
        <w:t>Для большей производительности цементному заводу необходимо закупить упаковочные машины иностранного производства производительностью 3000 мешков в час. Цена данной модели 14 187 595 рублей. При установке машин данной модели общая производительность упаковочных машин на предприятии составит 9000 мешков в час.</w:t>
      </w:r>
    </w:p>
    <w:p w:rsidR="00517711" w:rsidRDefault="00F815BE">
      <w:pPr>
        <w:pStyle w:val="af4"/>
        <w:spacing w:after="0" w:line="240" w:lineRule="auto"/>
        <w:rPr>
          <w:rFonts w:ascii="Times New Roman" w:hAnsi="Times New Roman"/>
          <w:sz w:val="20"/>
          <w:szCs w:val="24"/>
        </w:rPr>
      </w:pPr>
      <w:r>
        <w:rPr>
          <w:rFonts w:ascii="Times New Roman" w:hAnsi="Times New Roman"/>
          <w:sz w:val="20"/>
          <w:szCs w:val="24"/>
        </w:rPr>
        <w:t>В таблице 7 представлены затраты на покупку данных упаковочных машин.</w:t>
      </w:r>
    </w:p>
    <w:p w:rsidR="00517711" w:rsidRDefault="00F815BE">
      <w:pPr>
        <w:pStyle w:val="aff0"/>
      </w:pPr>
      <w:r>
        <w:t xml:space="preserve">Таблица 7 </w:t>
      </w:r>
    </w:p>
    <w:p w:rsidR="00517711" w:rsidRDefault="00F815BE">
      <w:pPr>
        <w:pStyle w:val="afa"/>
        <w:keepNext/>
        <w:widowControl/>
        <w:jc w:val="center"/>
        <w:outlineLvl w:val="0"/>
        <w:rPr>
          <w:b/>
          <w:sz w:val="20"/>
          <w:szCs w:val="20"/>
        </w:rPr>
      </w:pPr>
      <w:r>
        <w:rPr>
          <w:b/>
          <w:sz w:val="20"/>
          <w:szCs w:val="20"/>
        </w:rPr>
        <w:t xml:space="preserve">Затраты на покупку упаковочных машин иностранного производства </w:t>
      </w:r>
    </w:p>
    <w:p w:rsidR="00517711" w:rsidRDefault="00F815BE">
      <w:pPr>
        <w:pStyle w:val="afa"/>
        <w:keepNext/>
        <w:widowControl/>
        <w:jc w:val="center"/>
        <w:outlineLvl w:val="0"/>
        <w:rPr>
          <w:b/>
          <w:sz w:val="20"/>
          <w:szCs w:val="20"/>
        </w:rPr>
      </w:pPr>
      <w:r>
        <w:rPr>
          <w:b/>
          <w:sz w:val="20"/>
          <w:szCs w:val="20"/>
        </w:rPr>
        <w:t>цементным заводом, 2019 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6"/>
        <w:gridCol w:w="4706"/>
      </w:tblGrid>
      <w:tr w:rsidR="00517711">
        <w:tc>
          <w:tcPr>
            <w:tcW w:w="4756" w:type="dxa"/>
          </w:tcPr>
          <w:p w:rsidR="00517711" w:rsidRDefault="00F815BE">
            <w:pPr>
              <w:pStyle w:val="13"/>
            </w:pPr>
            <w:r>
              <w:t>Наименование показателя</w:t>
            </w:r>
          </w:p>
        </w:tc>
        <w:tc>
          <w:tcPr>
            <w:tcW w:w="4706" w:type="dxa"/>
          </w:tcPr>
          <w:p w:rsidR="00517711" w:rsidRDefault="00F815BE">
            <w:pPr>
              <w:pStyle w:val="13"/>
            </w:pPr>
            <w:r>
              <w:t>Величина показателя</w:t>
            </w:r>
          </w:p>
        </w:tc>
      </w:tr>
      <w:tr w:rsidR="00517711">
        <w:tc>
          <w:tcPr>
            <w:tcW w:w="4756" w:type="dxa"/>
          </w:tcPr>
          <w:p w:rsidR="00517711" w:rsidRDefault="00F815BE">
            <w:pPr>
              <w:pStyle w:val="aff1"/>
            </w:pPr>
            <w:r>
              <w:t>Стоимость упаковочной машины, руб.</w:t>
            </w:r>
          </w:p>
        </w:tc>
        <w:tc>
          <w:tcPr>
            <w:tcW w:w="4706" w:type="dxa"/>
          </w:tcPr>
          <w:p w:rsidR="00517711" w:rsidRDefault="00F815BE">
            <w:pPr>
              <w:pStyle w:val="aff1"/>
            </w:pPr>
            <w:r>
              <w:t>14 187 595</w:t>
            </w:r>
          </w:p>
        </w:tc>
      </w:tr>
      <w:tr w:rsidR="00517711">
        <w:tc>
          <w:tcPr>
            <w:tcW w:w="4756" w:type="dxa"/>
          </w:tcPr>
          <w:p w:rsidR="00517711" w:rsidRDefault="00F815BE">
            <w:pPr>
              <w:pStyle w:val="aff1"/>
            </w:pPr>
            <w:r>
              <w:t>Количество упаковочных машин, ед.</w:t>
            </w:r>
          </w:p>
        </w:tc>
        <w:tc>
          <w:tcPr>
            <w:tcW w:w="4706" w:type="dxa"/>
          </w:tcPr>
          <w:p w:rsidR="00517711" w:rsidRDefault="00F815BE">
            <w:pPr>
              <w:pStyle w:val="aff1"/>
            </w:pPr>
            <w:r>
              <w:t>3</w:t>
            </w:r>
          </w:p>
        </w:tc>
      </w:tr>
      <w:tr w:rsidR="00517711">
        <w:tc>
          <w:tcPr>
            <w:tcW w:w="4756" w:type="dxa"/>
          </w:tcPr>
          <w:p w:rsidR="00517711" w:rsidRDefault="00F815BE">
            <w:pPr>
              <w:pStyle w:val="aff1"/>
            </w:pPr>
            <w:r>
              <w:t>Общая сумма покупки, руб.</w:t>
            </w:r>
            <w:r>
              <w:tab/>
            </w:r>
          </w:p>
        </w:tc>
        <w:tc>
          <w:tcPr>
            <w:tcW w:w="4706" w:type="dxa"/>
          </w:tcPr>
          <w:p w:rsidR="00517711" w:rsidRDefault="00F815BE">
            <w:pPr>
              <w:pStyle w:val="aff1"/>
            </w:pPr>
            <w:r>
              <w:t>42 553 785</w:t>
            </w:r>
          </w:p>
        </w:tc>
      </w:tr>
    </w:tbl>
    <w:p w:rsidR="00517711" w:rsidRDefault="00517711">
      <w:pPr>
        <w:spacing w:after="0" w:line="240" w:lineRule="auto"/>
        <w:ind w:firstLine="709"/>
        <w:contextualSpacing/>
        <w:rPr>
          <w:rFonts w:ascii="Times New Roman" w:hAnsi="Times New Roman"/>
          <w:sz w:val="20"/>
          <w:szCs w:val="24"/>
        </w:rPr>
      </w:pPr>
    </w:p>
    <w:p w:rsidR="00517711" w:rsidRDefault="00F815BE">
      <w:pPr>
        <w:spacing w:after="0" w:line="240" w:lineRule="auto"/>
        <w:ind w:firstLine="709"/>
        <w:contextualSpacing/>
        <w:rPr>
          <w:rFonts w:ascii="Times New Roman" w:hAnsi="Times New Roman"/>
          <w:sz w:val="20"/>
          <w:szCs w:val="24"/>
        </w:rPr>
      </w:pPr>
      <w:r>
        <w:rPr>
          <w:rFonts w:ascii="Times New Roman" w:hAnsi="Times New Roman"/>
          <w:sz w:val="20"/>
          <w:szCs w:val="24"/>
        </w:rPr>
        <w:t>Около имеющихся на предприятии карусельно-упаковочных машин постоянно дежурят два человека. Один из них закрепляет мешки на машину, второй готовит пустые мешки и подает их первому, об этом также уже говорилось выше. Этот процесс можно сделать автоматизированным при установке около данных машин такого оборудования как автоматический насадчик мешков. Он размещает пустые клапанные мешки упаковочные машины.</w:t>
      </w:r>
    </w:p>
    <w:p w:rsidR="00517711" w:rsidRDefault="00F815BE">
      <w:pPr>
        <w:pStyle w:val="af4"/>
        <w:spacing w:after="0" w:line="240" w:lineRule="auto"/>
        <w:ind w:left="0" w:firstLine="708"/>
        <w:rPr>
          <w:rFonts w:ascii="Times New Roman" w:hAnsi="Times New Roman"/>
          <w:sz w:val="20"/>
          <w:szCs w:val="24"/>
        </w:rPr>
      </w:pPr>
      <w:r>
        <w:rPr>
          <w:rFonts w:ascii="Times New Roman" w:hAnsi="Times New Roman"/>
          <w:sz w:val="20"/>
          <w:szCs w:val="24"/>
        </w:rPr>
        <w:t xml:space="preserve">Насадчики мешков предназначены для работы с клееными и шитыми мешками, произведенными из бумаги, полиэтилена, полипропиленовой ткани и других сходных материалов. В зависимости от типа пустых мешков, которые необходимо заполнить с помощью упаковочной машины, можно использовать устройство с системой механической насадки мешков с использованием рычага, либо устройство с системой пушечной насадки. При установке данного устройства около машин не потребуется нахождение работников для процесса наполнения мешков, так как все будет регулироваться автоматически. </w:t>
      </w:r>
    </w:p>
    <w:p w:rsidR="00517711" w:rsidRDefault="00F815BE">
      <w:pPr>
        <w:pStyle w:val="af4"/>
        <w:spacing w:after="0" w:line="240" w:lineRule="auto"/>
        <w:ind w:left="0" w:firstLine="708"/>
        <w:rPr>
          <w:rFonts w:ascii="Times New Roman" w:hAnsi="Times New Roman"/>
          <w:sz w:val="20"/>
          <w:szCs w:val="24"/>
        </w:rPr>
      </w:pPr>
      <w:r>
        <w:rPr>
          <w:rFonts w:ascii="Times New Roman" w:hAnsi="Times New Roman"/>
          <w:sz w:val="20"/>
          <w:szCs w:val="24"/>
        </w:rPr>
        <w:t>В таблице 8 представлен расчет годового количества цемента, реализованного в мешках по 50 кг, в тоннах.</w:t>
      </w:r>
    </w:p>
    <w:p w:rsidR="00517711" w:rsidRDefault="00F815BE">
      <w:pPr>
        <w:pStyle w:val="aff0"/>
      </w:pPr>
      <w:r>
        <w:t xml:space="preserve">Таблица 8 </w:t>
      </w:r>
    </w:p>
    <w:p w:rsidR="00517711" w:rsidRDefault="00F815BE">
      <w:pPr>
        <w:pStyle w:val="afa"/>
        <w:keepNext/>
        <w:widowControl/>
        <w:jc w:val="center"/>
        <w:outlineLvl w:val="0"/>
        <w:rPr>
          <w:b/>
          <w:sz w:val="20"/>
          <w:szCs w:val="20"/>
        </w:rPr>
      </w:pPr>
      <w:r>
        <w:rPr>
          <w:b/>
          <w:sz w:val="20"/>
          <w:szCs w:val="20"/>
        </w:rPr>
        <w:t>Годовое количество цемента в таре по 50 кг на цементном заводе, 2017 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6"/>
        <w:gridCol w:w="4706"/>
      </w:tblGrid>
      <w:tr w:rsidR="00517711">
        <w:tc>
          <w:tcPr>
            <w:tcW w:w="4756" w:type="dxa"/>
          </w:tcPr>
          <w:p w:rsidR="00517711" w:rsidRDefault="00F815BE">
            <w:pPr>
              <w:pStyle w:val="13"/>
            </w:pPr>
            <w:r>
              <w:t>Наименование показателя</w:t>
            </w:r>
          </w:p>
        </w:tc>
        <w:tc>
          <w:tcPr>
            <w:tcW w:w="4706" w:type="dxa"/>
          </w:tcPr>
          <w:p w:rsidR="00517711" w:rsidRDefault="00F815BE">
            <w:pPr>
              <w:pStyle w:val="13"/>
            </w:pPr>
            <w:r>
              <w:t>Величина показателя</w:t>
            </w:r>
          </w:p>
        </w:tc>
      </w:tr>
      <w:tr w:rsidR="00517711">
        <w:tc>
          <w:tcPr>
            <w:tcW w:w="4756" w:type="dxa"/>
          </w:tcPr>
          <w:p w:rsidR="00517711" w:rsidRDefault="00F815BE">
            <w:pPr>
              <w:pStyle w:val="aff1"/>
            </w:pPr>
            <w:r>
              <w:t>Годовое количество мешков объемом 50 кг, ед.</w:t>
            </w:r>
          </w:p>
        </w:tc>
        <w:tc>
          <w:tcPr>
            <w:tcW w:w="4706" w:type="dxa"/>
          </w:tcPr>
          <w:p w:rsidR="00517711" w:rsidRDefault="00F815BE">
            <w:pPr>
              <w:pStyle w:val="aff1"/>
            </w:pPr>
            <w:r>
              <w:t>5 676 000</w:t>
            </w:r>
          </w:p>
        </w:tc>
      </w:tr>
      <w:tr w:rsidR="00517711">
        <w:tc>
          <w:tcPr>
            <w:tcW w:w="4756" w:type="dxa"/>
          </w:tcPr>
          <w:p w:rsidR="00517711" w:rsidRDefault="00F815BE">
            <w:pPr>
              <w:pStyle w:val="aff1"/>
            </w:pPr>
            <w:r>
              <w:t>Объём цемента в 1 мешке, кг</w:t>
            </w:r>
          </w:p>
        </w:tc>
        <w:tc>
          <w:tcPr>
            <w:tcW w:w="4706" w:type="dxa"/>
          </w:tcPr>
          <w:p w:rsidR="00517711" w:rsidRDefault="00F815BE">
            <w:pPr>
              <w:pStyle w:val="aff1"/>
            </w:pPr>
            <w:r>
              <w:t>50</w:t>
            </w:r>
          </w:p>
        </w:tc>
      </w:tr>
      <w:tr w:rsidR="00517711">
        <w:tc>
          <w:tcPr>
            <w:tcW w:w="4756" w:type="dxa"/>
          </w:tcPr>
          <w:p w:rsidR="00517711" w:rsidRDefault="00F815BE">
            <w:pPr>
              <w:pStyle w:val="aff1"/>
            </w:pPr>
            <w:r>
              <w:t xml:space="preserve">Годовое количество цемента в мешкотаре по 50 кг, кг </w:t>
            </w:r>
            <w:r>
              <w:tab/>
            </w:r>
          </w:p>
        </w:tc>
        <w:tc>
          <w:tcPr>
            <w:tcW w:w="4706" w:type="dxa"/>
          </w:tcPr>
          <w:p w:rsidR="00517711" w:rsidRDefault="00F815BE">
            <w:pPr>
              <w:pStyle w:val="aff1"/>
            </w:pPr>
            <w:r>
              <w:t>283 800 000</w:t>
            </w:r>
          </w:p>
        </w:tc>
      </w:tr>
      <w:tr w:rsidR="00517711">
        <w:tc>
          <w:tcPr>
            <w:tcW w:w="4756" w:type="dxa"/>
          </w:tcPr>
          <w:p w:rsidR="00517711" w:rsidRDefault="00F815BE">
            <w:pPr>
              <w:pStyle w:val="aff1"/>
            </w:pPr>
            <w:r>
              <w:t>Годовое количество цемента в мешкотаре по 50 кг, тонн</w:t>
            </w:r>
          </w:p>
        </w:tc>
        <w:tc>
          <w:tcPr>
            <w:tcW w:w="4706" w:type="dxa"/>
          </w:tcPr>
          <w:p w:rsidR="00517711" w:rsidRDefault="00F815BE">
            <w:pPr>
              <w:pStyle w:val="aff1"/>
            </w:pPr>
            <w:r>
              <w:t>283 800</w:t>
            </w:r>
          </w:p>
        </w:tc>
      </w:tr>
    </w:tbl>
    <w:p w:rsidR="00517711" w:rsidRDefault="00517711">
      <w:pPr>
        <w:pStyle w:val="af4"/>
        <w:spacing w:line="240" w:lineRule="auto"/>
        <w:ind w:left="0" w:firstLine="709"/>
        <w:rPr>
          <w:rFonts w:ascii="Times New Roman" w:hAnsi="Times New Roman"/>
          <w:sz w:val="20"/>
          <w:szCs w:val="24"/>
        </w:rPr>
      </w:pPr>
    </w:p>
    <w:p w:rsidR="00517711" w:rsidRDefault="00F815BE">
      <w:pPr>
        <w:pStyle w:val="af4"/>
        <w:spacing w:line="240" w:lineRule="auto"/>
        <w:ind w:left="0" w:firstLine="709"/>
        <w:rPr>
          <w:rFonts w:ascii="Times New Roman" w:hAnsi="Times New Roman"/>
          <w:sz w:val="20"/>
          <w:szCs w:val="24"/>
        </w:rPr>
      </w:pPr>
      <w:r>
        <w:rPr>
          <w:rFonts w:ascii="Times New Roman" w:hAnsi="Times New Roman"/>
          <w:sz w:val="20"/>
          <w:szCs w:val="24"/>
        </w:rPr>
        <w:lastRenderedPageBreak/>
        <w:t>В таблице 9 представлен расчет годовой заработной платы работникам, которые обслуживают карусельно-упаковочные машины.</w:t>
      </w:r>
    </w:p>
    <w:p w:rsidR="00517711" w:rsidRDefault="00F815BE">
      <w:pPr>
        <w:pStyle w:val="aff0"/>
      </w:pPr>
      <w:r>
        <w:t xml:space="preserve">Таблица 9 </w:t>
      </w:r>
    </w:p>
    <w:p w:rsidR="00517711" w:rsidRDefault="00F815BE">
      <w:pPr>
        <w:pStyle w:val="afa"/>
        <w:keepNext/>
        <w:widowControl/>
        <w:jc w:val="center"/>
        <w:outlineLvl w:val="0"/>
        <w:rPr>
          <w:b/>
          <w:sz w:val="20"/>
          <w:szCs w:val="20"/>
        </w:rPr>
      </w:pPr>
      <w:r>
        <w:rPr>
          <w:b/>
          <w:sz w:val="20"/>
          <w:szCs w:val="20"/>
        </w:rPr>
        <w:t>Расчет годовой заработной платы работников на цементном заводе, 2017 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4"/>
        <w:gridCol w:w="4688"/>
      </w:tblGrid>
      <w:tr w:rsidR="00517711">
        <w:tc>
          <w:tcPr>
            <w:tcW w:w="4774" w:type="dxa"/>
          </w:tcPr>
          <w:p w:rsidR="00517711" w:rsidRDefault="00F815BE">
            <w:pPr>
              <w:pStyle w:val="13"/>
            </w:pPr>
            <w:r>
              <w:t>Наименование показателя</w:t>
            </w:r>
          </w:p>
        </w:tc>
        <w:tc>
          <w:tcPr>
            <w:tcW w:w="4688" w:type="dxa"/>
          </w:tcPr>
          <w:p w:rsidR="00517711" w:rsidRDefault="00F815BE">
            <w:pPr>
              <w:pStyle w:val="13"/>
            </w:pPr>
            <w:r>
              <w:t>Величина показателя</w:t>
            </w:r>
          </w:p>
        </w:tc>
      </w:tr>
      <w:tr w:rsidR="00517711">
        <w:tc>
          <w:tcPr>
            <w:tcW w:w="4774" w:type="dxa"/>
          </w:tcPr>
          <w:p w:rsidR="00517711" w:rsidRDefault="00F815BE">
            <w:pPr>
              <w:pStyle w:val="aff1"/>
              <w:spacing w:after="0"/>
            </w:pPr>
            <w:r>
              <w:t xml:space="preserve">Оплата работникам упаковки 1 тонны </w:t>
            </w:r>
          </w:p>
          <w:p w:rsidR="00517711" w:rsidRDefault="00F815BE">
            <w:pPr>
              <w:pStyle w:val="aff1"/>
              <w:spacing w:before="0"/>
            </w:pPr>
            <w:r>
              <w:t>цемента в мешкотару по 50 кг, руб.</w:t>
            </w:r>
          </w:p>
        </w:tc>
        <w:tc>
          <w:tcPr>
            <w:tcW w:w="4688" w:type="dxa"/>
          </w:tcPr>
          <w:p w:rsidR="00517711" w:rsidRDefault="00F815BE">
            <w:pPr>
              <w:pStyle w:val="aff1"/>
            </w:pPr>
            <w:r>
              <w:t>1,959</w:t>
            </w:r>
          </w:p>
        </w:tc>
      </w:tr>
      <w:tr w:rsidR="00517711">
        <w:tc>
          <w:tcPr>
            <w:tcW w:w="4774" w:type="dxa"/>
          </w:tcPr>
          <w:p w:rsidR="00517711" w:rsidRDefault="00F815BE">
            <w:pPr>
              <w:pStyle w:val="aff1"/>
            </w:pPr>
            <w:r>
              <w:t>Годовое количество мешков объемом 50 кг, ед.</w:t>
            </w:r>
          </w:p>
        </w:tc>
        <w:tc>
          <w:tcPr>
            <w:tcW w:w="4688" w:type="dxa"/>
          </w:tcPr>
          <w:p w:rsidR="00517711" w:rsidRDefault="00F815BE">
            <w:pPr>
              <w:pStyle w:val="aff1"/>
            </w:pPr>
            <w:r>
              <w:t>5 676 000</w:t>
            </w:r>
          </w:p>
        </w:tc>
      </w:tr>
      <w:tr w:rsidR="00517711">
        <w:tc>
          <w:tcPr>
            <w:tcW w:w="4774" w:type="dxa"/>
          </w:tcPr>
          <w:p w:rsidR="00517711" w:rsidRDefault="00F815BE">
            <w:pPr>
              <w:pStyle w:val="aff1"/>
            </w:pPr>
            <w:r>
              <w:t>Годовое количество упакованного цемента в мешки объемом 50 кг, тонн</w:t>
            </w:r>
            <w:r>
              <w:tab/>
            </w:r>
          </w:p>
        </w:tc>
        <w:tc>
          <w:tcPr>
            <w:tcW w:w="4688" w:type="dxa"/>
          </w:tcPr>
          <w:p w:rsidR="00517711" w:rsidRDefault="00F815BE">
            <w:pPr>
              <w:pStyle w:val="aff1"/>
            </w:pPr>
            <w:r>
              <w:t>283 800</w:t>
            </w:r>
          </w:p>
        </w:tc>
      </w:tr>
      <w:tr w:rsidR="00517711">
        <w:tc>
          <w:tcPr>
            <w:tcW w:w="4774" w:type="dxa"/>
          </w:tcPr>
          <w:p w:rsidR="00517711" w:rsidRDefault="00F815BE">
            <w:pPr>
              <w:pStyle w:val="aff1"/>
            </w:pPr>
            <w:r>
              <w:t>Количество работников, обслуживающих карусельно-упаковочные машины за смену, чел.</w:t>
            </w:r>
          </w:p>
        </w:tc>
        <w:tc>
          <w:tcPr>
            <w:tcW w:w="4688" w:type="dxa"/>
          </w:tcPr>
          <w:p w:rsidR="00517711" w:rsidRDefault="00F815BE">
            <w:pPr>
              <w:pStyle w:val="aff1"/>
            </w:pPr>
            <w:r>
              <w:t>6</w:t>
            </w:r>
          </w:p>
        </w:tc>
      </w:tr>
      <w:tr w:rsidR="00517711">
        <w:tc>
          <w:tcPr>
            <w:tcW w:w="4774" w:type="dxa"/>
          </w:tcPr>
          <w:p w:rsidR="00517711" w:rsidRDefault="00F815BE">
            <w:pPr>
              <w:pStyle w:val="aff1"/>
              <w:spacing w:after="0"/>
            </w:pPr>
            <w:r>
              <w:t xml:space="preserve">Заработная плата работникам, </w:t>
            </w:r>
          </w:p>
          <w:p w:rsidR="00517711" w:rsidRDefault="00F815BE">
            <w:pPr>
              <w:pStyle w:val="aff1"/>
              <w:spacing w:before="0"/>
            </w:pPr>
            <w:r>
              <w:t>обслуживающих карусельно-упаковочные машины за год, руб.</w:t>
            </w:r>
          </w:p>
        </w:tc>
        <w:tc>
          <w:tcPr>
            <w:tcW w:w="4688" w:type="dxa"/>
          </w:tcPr>
          <w:p w:rsidR="00517711" w:rsidRDefault="00F815BE">
            <w:pPr>
              <w:pStyle w:val="aff1"/>
            </w:pPr>
            <w:r>
              <w:t>3 335 785,2</w:t>
            </w:r>
          </w:p>
        </w:tc>
      </w:tr>
    </w:tbl>
    <w:p w:rsidR="00517711" w:rsidRDefault="00517711">
      <w:pPr>
        <w:pStyle w:val="af4"/>
        <w:spacing w:line="240" w:lineRule="auto"/>
        <w:ind w:left="0" w:firstLine="709"/>
        <w:rPr>
          <w:rFonts w:ascii="Times New Roman" w:hAnsi="Times New Roman"/>
          <w:sz w:val="20"/>
          <w:szCs w:val="24"/>
        </w:rPr>
      </w:pPr>
    </w:p>
    <w:p w:rsidR="00517711" w:rsidRDefault="00F815BE">
      <w:pPr>
        <w:pStyle w:val="af4"/>
        <w:spacing w:line="240" w:lineRule="auto"/>
        <w:ind w:left="0" w:firstLine="709"/>
        <w:rPr>
          <w:rFonts w:ascii="Times New Roman" w:hAnsi="Times New Roman"/>
          <w:sz w:val="20"/>
          <w:szCs w:val="24"/>
        </w:rPr>
      </w:pPr>
      <w:r>
        <w:rPr>
          <w:rFonts w:ascii="Times New Roman" w:hAnsi="Times New Roman"/>
          <w:sz w:val="20"/>
          <w:szCs w:val="24"/>
        </w:rPr>
        <w:t>За упаковку 1 тонны цемента в мешкотару по 50 кг работникам выплачивается 1,959 рубля. За 2017 год было упаковано 283 800 тонн цемента в мешки объемом 50 кг, следовательно, за год их заработная плата составила 3 335 785,2 рубля. При установке насадчиков мешков предприятие сэкономит данную сумму, так как не будет выплачивать заработную плату работникам в связи с автоматизацией процесса.</w:t>
      </w:r>
    </w:p>
    <w:p w:rsidR="00517711" w:rsidRDefault="00F815BE">
      <w:pPr>
        <w:pStyle w:val="af4"/>
        <w:spacing w:before="120" w:line="240" w:lineRule="auto"/>
        <w:ind w:left="0" w:firstLine="709"/>
        <w:rPr>
          <w:rFonts w:ascii="Times New Roman" w:hAnsi="Times New Roman"/>
          <w:sz w:val="20"/>
          <w:szCs w:val="24"/>
        </w:rPr>
      </w:pPr>
      <w:r>
        <w:rPr>
          <w:rFonts w:ascii="Times New Roman" w:hAnsi="Times New Roman"/>
          <w:sz w:val="20"/>
          <w:szCs w:val="24"/>
        </w:rPr>
        <w:t>Иностранная компания предлагает две модели насадчиков мешков. Первая имеет производительность до 3000 мешков в час, вторая – до 5000. В данном случае следует остановиться на первой модели, так как упаковочные машины имеют такую же производительность. Цена такого насадчика мешков составляет 7 093 797 рублей.</w:t>
      </w:r>
      <w:r>
        <w:rPr>
          <w:sz w:val="18"/>
        </w:rPr>
        <w:t xml:space="preserve"> </w:t>
      </w:r>
      <w:r>
        <w:rPr>
          <w:rFonts w:ascii="Times New Roman" w:hAnsi="Times New Roman"/>
          <w:sz w:val="20"/>
          <w:szCs w:val="24"/>
        </w:rPr>
        <w:t>Насадчик мешков должен стоять около каждой упаковочной машины, поэтому их нужно 3.</w:t>
      </w:r>
    </w:p>
    <w:p w:rsidR="00517711" w:rsidRDefault="00F815BE">
      <w:pPr>
        <w:pStyle w:val="af4"/>
        <w:spacing w:before="120" w:line="240" w:lineRule="auto"/>
        <w:ind w:left="0" w:firstLine="708"/>
        <w:rPr>
          <w:rFonts w:ascii="Times New Roman" w:hAnsi="Times New Roman"/>
          <w:sz w:val="20"/>
          <w:szCs w:val="24"/>
        </w:rPr>
      </w:pPr>
      <w:r>
        <w:rPr>
          <w:rFonts w:ascii="Times New Roman" w:hAnsi="Times New Roman"/>
          <w:sz w:val="20"/>
          <w:szCs w:val="24"/>
        </w:rPr>
        <w:t>В таблице 10 представлены затраты на покупку насадчиков мешков.</w:t>
      </w:r>
    </w:p>
    <w:p w:rsidR="00517711" w:rsidRDefault="00F815BE">
      <w:pPr>
        <w:pStyle w:val="aff0"/>
      </w:pPr>
      <w:r>
        <w:t xml:space="preserve">Таблица 10 </w:t>
      </w:r>
    </w:p>
    <w:p w:rsidR="00517711" w:rsidRDefault="00F815BE">
      <w:pPr>
        <w:pStyle w:val="afa"/>
        <w:keepNext/>
        <w:widowControl/>
        <w:jc w:val="center"/>
        <w:outlineLvl w:val="0"/>
        <w:rPr>
          <w:b/>
          <w:sz w:val="20"/>
          <w:szCs w:val="20"/>
        </w:rPr>
      </w:pPr>
      <w:r>
        <w:rPr>
          <w:b/>
          <w:sz w:val="20"/>
          <w:szCs w:val="20"/>
        </w:rPr>
        <w:t>Затраты цементного завода на покупку насадчиков мешков, 2019.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3"/>
        <w:gridCol w:w="4863"/>
      </w:tblGrid>
      <w:tr w:rsidR="00517711">
        <w:tc>
          <w:tcPr>
            <w:tcW w:w="5310" w:type="dxa"/>
          </w:tcPr>
          <w:p w:rsidR="00517711" w:rsidRDefault="00F815BE">
            <w:pPr>
              <w:pStyle w:val="13"/>
            </w:pPr>
            <w:r>
              <w:t>Наименование показателя</w:t>
            </w:r>
          </w:p>
        </w:tc>
        <w:tc>
          <w:tcPr>
            <w:tcW w:w="5322" w:type="dxa"/>
          </w:tcPr>
          <w:p w:rsidR="00517711" w:rsidRDefault="00F815BE">
            <w:pPr>
              <w:pStyle w:val="13"/>
            </w:pPr>
            <w:r>
              <w:t>Величина показателя</w:t>
            </w:r>
          </w:p>
        </w:tc>
      </w:tr>
      <w:tr w:rsidR="00517711">
        <w:tc>
          <w:tcPr>
            <w:tcW w:w="5310" w:type="dxa"/>
          </w:tcPr>
          <w:p w:rsidR="00517711" w:rsidRDefault="00F815BE">
            <w:pPr>
              <w:pStyle w:val="aff1"/>
            </w:pPr>
            <w:r>
              <w:t>Стоимость насадчика мешков, руб.</w:t>
            </w:r>
          </w:p>
        </w:tc>
        <w:tc>
          <w:tcPr>
            <w:tcW w:w="5322" w:type="dxa"/>
          </w:tcPr>
          <w:p w:rsidR="00517711" w:rsidRDefault="00F815BE">
            <w:pPr>
              <w:pStyle w:val="aff1"/>
            </w:pPr>
            <w:r>
              <w:t>7 093 797</w:t>
            </w:r>
          </w:p>
        </w:tc>
      </w:tr>
      <w:tr w:rsidR="00517711">
        <w:tc>
          <w:tcPr>
            <w:tcW w:w="5310" w:type="dxa"/>
          </w:tcPr>
          <w:p w:rsidR="00517711" w:rsidRDefault="00F815BE">
            <w:pPr>
              <w:pStyle w:val="aff1"/>
            </w:pPr>
            <w:r>
              <w:t>Количество насадчиков мешков, ед.</w:t>
            </w:r>
          </w:p>
        </w:tc>
        <w:tc>
          <w:tcPr>
            <w:tcW w:w="5322" w:type="dxa"/>
          </w:tcPr>
          <w:p w:rsidR="00517711" w:rsidRDefault="00F815BE">
            <w:pPr>
              <w:pStyle w:val="aff1"/>
            </w:pPr>
            <w:r>
              <w:t>3</w:t>
            </w:r>
          </w:p>
        </w:tc>
      </w:tr>
      <w:tr w:rsidR="00517711">
        <w:tc>
          <w:tcPr>
            <w:tcW w:w="5310" w:type="dxa"/>
          </w:tcPr>
          <w:p w:rsidR="00517711" w:rsidRDefault="00F815BE">
            <w:pPr>
              <w:pStyle w:val="aff1"/>
            </w:pPr>
            <w:r>
              <w:t>Общая сумма покупки, руб.</w:t>
            </w:r>
            <w:r>
              <w:tab/>
            </w:r>
          </w:p>
        </w:tc>
        <w:tc>
          <w:tcPr>
            <w:tcW w:w="5322" w:type="dxa"/>
          </w:tcPr>
          <w:p w:rsidR="00517711" w:rsidRDefault="00F815BE">
            <w:pPr>
              <w:pStyle w:val="aff1"/>
            </w:pPr>
            <w:r>
              <w:t>21 281 391</w:t>
            </w:r>
          </w:p>
        </w:tc>
      </w:tr>
    </w:tbl>
    <w:p w:rsidR="00517711" w:rsidRDefault="00517711">
      <w:pPr>
        <w:spacing w:line="240" w:lineRule="auto"/>
        <w:ind w:firstLine="709"/>
        <w:contextualSpacing/>
        <w:rPr>
          <w:rFonts w:ascii="Times New Roman" w:hAnsi="Times New Roman"/>
          <w:sz w:val="20"/>
          <w:szCs w:val="24"/>
        </w:rPr>
      </w:pPr>
    </w:p>
    <w:p w:rsidR="00517711" w:rsidRDefault="00F815BE">
      <w:pPr>
        <w:spacing w:line="240" w:lineRule="auto"/>
        <w:ind w:firstLine="709"/>
        <w:contextualSpacing/>
        <w:rPr>
          <w:rFonts w:ascii="Times New Roman" w:hAnsi="Times New Roman"/>
          <w:sz w:val="20"/>
          <w:szCs w:val="24"/>
        </w:rPr>
      </w:pPr>
      <w:r>
        <w:rPr>
          <w:rFonts w:ascii="Times New Roman" w:hAnsi="Times New Roman"/>
          <w:sz w:val="20"/>
          <w:szCs w:val="24"/>
        </w:rPr>
        <w:t>Итак, общая сумма покупки насадчиков мешков составит 21 281 391 рубль.</w:t>
      </w:r>
    </w:p>
    <w:p w:rsidR="00517711" w:rsidRDefault="00F815BE">
      <w:pPr>
        <w:spacing w:line="240" w:lineRule="auto"/>
        <w:ind w:firstLine="709"/>
        <w:contextualSpacing/>
        <w:rPr>
          <w:rFonts w:ascii="Times New Roman" w:hAnsi="Times New Roman"/>
          <w:sz w:val="20"/>
          <w:szCs w:val="24"/>
        </w:rPr>
      </w:pPr>
      <w:r>
        <w:rPr>
          <w:rFonts w:ascii="Times New Roman" w:hAnsi="Times New Roman"/>
          <w:sz w:val="20"/>
          <w:szCs w:val="24"/>
        </w:rPr>
        <w:t>В таблице 11 представлен расчет инвестиций в новое оборудование.</w:t>
      </w:r>
    </w:p>
    <w:p w:rsidR="00517711" w:rsidRDefault="00F815BE">
      <w:pPr>
        <w:pStyle w:val="aff0"/>
      </w:pPr>
      <w:r>
        <w:t xml:space="preserve">Таблица 11 </w:t>
      </w:r>
    </w:p>
    <w:p w:rsidR="00517711" w:rsidRDefault="00F815BE">
      <w:pPr>
        <w:pStyle w:val="afa"/>
        <w:keepNext/>
        <w:widowControl/>
        <w:jc w:val="center"/>
        <w:outlineLvl w:val="0"/>
        <w:rPr>
          <w:b/>
          <w:sz w:val="20"/>
          <w:szCs w:val="20"/>
        </w:rPr>
      </w:pPr>
      <w:r>
        <w:rPr>
          <w:b/>
          <w:sz w:val="20"/>
          <w:szCs w:val="20"/>
        </w:rPr>
        <w:t>Инвестиции цементного завода в новое оборудование, 2017 г., руб.</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1"/>
        <w:gridCol w:w="4711"/>
      </w:tblGrid>
      <w:tr w:rsidR="00517711">
        <w:tc>
          <w:tcPr>
            <w:tcW w:w="4751" w:type="dxa"/>
          </w:tcPr>
          <w:p w:rsidR="00517711" w:rsidRDefault="00F815BE">
            <w:pPr>
              <w:pStyle w:val="13"/>
            </w:pPr>
            <w:r>
              <w:t>Наименование показателя</w:t>
            </w:r>
          </w:p>
        </w:tc>
        <w:tc>
          <w:tcPr>
            <w:tcW w:w="4711" w:type="dxa"/>
          </w:tcPr>
          <w:p w:rsidR="00517711" w:rsidRDefault="00F815BE">
            <w:pPr>
              <w:pStyle w:val="13"/>
            </w:pPr>
            <w:r>
              <w:t>Величина показателя</w:t>
            </w:r>
          </w:p>
        </w:tc>
      </w:tr>
      <w:tr w:rsidR="00517711">
        <w:tc>
          <w:tcPr>
            <w:tcW w:w="4751" w:type="dxa"/>
          </w:tcPr>
          <w:p w:rsidR="00517711" w:rsidRDefault="00F815BE">
            <w:pPr>
              <w:pStyle w:val="aff1"/>
            </w:pPr>
            <w:r>
              <w:t>Стоимость 3-х упаковочных машин</w:t>
            </w:r>
          </w:p>
        </w:tc>
        <w:tc>
          <w:tcPr>
            <w:tcW w:w="4711" w:type="dxa"/>
          </w:tcPr>
          <w:p w:rsidR="00517711" w:rsidRDefault="00F815BE">
            <w:pPr>
              <w:pStyle w:val="aff1"/>
            </w:pPr>
            <w:r>
              <w:t>42 553 785</w:t>
            </w:r>
          </w:p>
        </w:tc>
      </w:tr>
      <w:tr w:rsidR="00517711">
        <w:tc>
          <w:tcPr>
            <w:tcW w:w="4751" w:type="dxa"/>
          </w:tcPr>
          <w:p w:rsidR="00517711" w:rsidRDefault="00F815BE">
            <w:pPr>
              <w:pStyle w:val="aff1"/>
            </w:pPr>
            <w:r>
              <w:t>Стоимость 3-х насадчиков мешков</w:t>
            </w:r>
          </w:p>
        </w:tc>
        <w:tc>
          <w:tcPr>
            <w:tcW w:w="4711" w:type="dxa"/>
          </w:tcPr>
          <w:p w:rsidR="00517711" w:rsidRDefault="00F815BE">
            <w:pPr>
              <w:pStyle w:val="aff1"/>
            </w:pPr>
            <w:r>
              <w:t>21 281 391</w:t>
            </w:r>
          </w:p>
        </w:tc>
      </w:tr>
      <w:tr w:rsidR="00517711">
        <w:tc>
          <w:tcPr>
            <w:tcW w:w="4751" w:type="dxa"/>
          </w:tcPr>
          <w:p w:rsidR="00517711" w:rsidRDefault="00F815BE">
            <w:pPr>
              <w:pStyle w:val="aff1"/>
            </w:pPr>
            <w:r>
              <w:t>Итого инвестиций в новое оборудование</w:t>
            </w:r>
            <w:r>
              <w:tab/>
            </w:r>
          </w:p>
        </w:tc>
        <w:tc>
          <w:tcPr>
            <w:tcW w:w="4711" w:type="dxa"/>
          </w:tcPr>
          <w:p w:rsidR="00517711" w:rsidRDefault="00F815BE">
            <w:pPr>
              <w:pStyle w:val="aff1"/>
            </w:pPr>
            <w:r>
              <w:t>63 835 176</w:t>
            </w:r>
          </w:p>
        </w:tc>
      </w:tr>
    </w:tbl>
    <w:p w:rsidR="00517711" w:rsidRDefault="00517711">
      <w:pPr>
        <w:pStyle w:val="af4"/>
        <w:spacing w:line="240" w:lineRule="auto"/>
        <w:ind w:left="0" w:firstLine="709"/>
        <w:rPr>
          <w:rFonts w:ascii="Times New Roman" w:hAnsi="Times New Roman"/>
          <w:sz w:val="20"/>
          <w:szCs w:val="24"/>
        </w:rPr>
      </w:pPr>
    </w:p>
    <w:p w:rsidR="00517711" w:rsidRDefault="00F815BE">
      <w:pPr>
        <w:pStyle w:val="af4"/>
        <w:spacing w:line="240" w:lineRule="auto"/>
        <w:ind w:left="0" w:firstLine="709"/>
        <w:rPr>
          <w:rFonts w:ascii="Times New Roman" w:hAnsi="Times New Roman"/>
          <w:sz w:val="20"/>
          <w:szCs w:val="24"/>
        </w:rPr>
      </w:pPr>
      <w:r>
        <w:rPr>
          <w:rFonts w:ascii="Times New Roman" w:hAnsi="Times New Roman"/>
          <w:sz w:val="20"/>
          <w:szCs w:val="24"/>
        </w:rPr>
        <w:t>Итак, оборудование иностранной компании обойдется предприятию в 63 835 176 рублей.</w:t>
      </w:r>
    </w:p>
    <w:p w:rsidR="00517711" w:rsidRDefault="00F815BE">
      <w:pPr>
        <w:pStyle w:val="af4"/>
        <w:spacing w:before="120" w:line="240" w:lineRule="auto"/>
        <w:ind w:left="0" w:firstLine="708"/>
        <w:rPr>
          <w:rFonts w:ascii="Times New Roman" w:hAnsi="Times New Roman"/>
          <w:sz w:val="20"/>
          <w:szCs w:val="24"/>
        </w:rPr>
      </w:pPr>
      <w:r>
        <w:rPr>
          <w:rFonts w:ascii="Times New Roman" w:hAnsi="Times New Roman"/>
          <w:sz w:val="20"/>
          <w:szCs w:val="24"/>
        </w:rPr>
        <w:t>Общая сумма экономии от замены мешкотары по 50 кг и внедрения насадчиков мешков представлена в таблице 12.</w:t>
      </w:r>
    </w:p>
    <w:p w:rsidR="00517711" w:rsidRDefault="00F815BE">
      <w:pPr>
        <w:pStyle w:val="aff0"/>
      </w:pPr>
      <w:r>
        <w:lastRenderedPageBreak/>
        <w:t xml:space="preserve">Таблица 12  </w:t>
      </w:r>
    </w:p>
    <w:p w:rsidR="00517711" w:rsidRDefault="00F815BE">
      <w:pPr>
        <w:pStyle w:val="afa"/>
        <w:keepNext/>
        <w:widowControl/>
        <w:jc w:val="center"/>
        <w:outlineLvl w:val="0"/>
        <w:rPr>
          <w:b/>
          <w:sz w:val="20"/>
          <w:szCs w:val="20"/>
        </w:rPr>
      </w:pPr>
      <w:r>
        <w:rPr>
          <w:b/>
          <w:sz w:val="20"/>
          <w:szCs w:val="20"/>
        </w:rPr>
        <w:t>Общая сумма экономии цементного завода на 2019 г., руб.</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4"/>
        <w:gridCol w:w="4688"/>
      </w:tblGrid>
      <w:tr w:rsidR="00517711">
        <w:tc>
          <w:tcPr>
            <w:tcW w:w="4774" w:type="dxa"/>
          </w:tcPr>
          <w:p w:rsidR="00517711" w:rsidRDefault="00F815BE">
            <w:pPr>
              <w:pStyle w:val="13"/>
            </w:pPr>
            <w:r>
              <w:t>Наименование показателя</w:t>
            </w:r>
          </w:p>
        </w:tc>
        <w:tc>
          <w:tcPr>
            <w:tcW w:w="4688" w:type="dxa"/>
          </w:tcPr>
          <w:p w:rsidR="00517711" w:rsidRDefault="00F815BE">
            <w:pPr>
              <w:pStyle w:val="13"/>
            </w:pPr>
            <w:r>
              <w:t>Величина показателя</w:t>
            </w:r>
          </w:p>
        </w:tc>
      </w:tr>
      <w:tr w:rsidR="00517711">
        <w:tc>
          <w:tcPr>
            <w:tcW w:w="4774" w:type="dxa"/>
          </w:tcPr>
          <w:p w:rsidR="00517711" w:rsidRDefault="00F815BE">
            <w:pPr>
              <w:pStyle w:val="aff1"/>
            </w:pPr>
            <w:r>
              <w:t>Экономия при замене мешкотары по 50 кг</w:t>
            </w:r>
          </w:p>
        </w:tc>
        <w:tc>
          <w:tcPr>
            <w:tcW w:w="4688" w:type="dxa"/>
          </w:tcPr>
          <w:p w:rsidR="00517711" w:rsidRDefault="00F815BE">
            <w:pPr>
              <w:pStyle w:val="aff1"/>
            </w:pPr>
            <w:r>
              <w:t>5 553202,5</w:t>
            </w:r>
          </w:p>
        </w:tc>
      </w:tr>
      <w:tr w:rsidR="00517711">
        <w:tc>
          <w:tcPr>
            <w:tcW w:w="4774" w:type="dxa"/>
          </w:tcPr>
          <w:p w:rsidR="00517711" w:rsidRDefault="00F815BE">
            <w:pPr>
              <w:pStyle w:val="aff1"/>
            </w:pPr>
            <w:r>
              <w:t>Экономия на заработной плате работникам, обслуживающих карусельно-упаковочные машины</w:t>
            </w:r>
          </w:p>
        </w:tc>
        <w:tc>
          <w:tcPr>
            <w:tcW w:w="4688" w:type="dxa"/>
          </w:tcPr>
          <w:p w:rsidR="00517711" w:rsidRDefault="00F815BE">
            <w:pPr>
              <w:pStyle w:val="aff1"/>
            </w:pPr>
            <w:r>
              <w:t>3 335 785, 2</w:t>
            </w:r>
          </w:p>
        </w:tc>
      </w:tr>
      <w:tr w:rsidR="00517711">
        <w:tc>
          <w:tcPr>
            <w:tcW w:w="4774" w:type="dxa"/>
          </w:tcPr>
          <w:p w:rsidR="00517711" w:rsidRDefault="00F815BE">
            <w:pPr>
              <w:pStyle w:val="aff1"/>
            </w:pPr>
            <w:r>
              <w:t>Итого экономия</w:t>
            </w:r>
          </w:p>
        </w:tc>
        <w:tc>
          <w:tcPr>
            <w:tcW w:w="4688" w:type="dxa"/>
          </w:tcPr>
          <w:p w:rsidR="00517711" w:rsidRDefault="00F815BE">
            <w:pPr>
              <w:pStyle w:val="aff1"/>
            </w:pPr>
            <w:r>
              <w:t>8 888 987,7</w:t>
            </w:r>
          </w:p>
        </w:tc>
      </w:tr>
    </w:tbl>
    <w:p w:rsidR="00517711" w:rsidRDefault="00517711">
      <w:pPr>
        <w:pStyle w:val="af4"/>
        <w:spacing w:line="240" w:lineRule="auto"/>
        <w:rPr>
          <w:rFonts w:ascii="Times New Roman" w:hAnsi="Times New Roman"/>
          <w:sz w:val="20"/>
          <w:szCs w:val="24"/>
        </w:rPr>
      </w:pPr>
    </w:p>
    <w:p w:rsidR="00517711" w:rsidRDefault="00F815BE">
      <w:pPr>
        <w:pStyle w:val="af4"/>
        <w:spacing w:line="240" w:lineRule="auto"/>
        <w:rPr>
          <w:rFonts w:ascii="Times New Roman" w:hAnsi="Times New Roman"/>
          <w:sz w:val="20"/>
          <w:szCs w:val="24"/>
        </w:rPr>
      </w:pPr>
      <w:r>
        <w:rPr>
          <w:rFonts w:ascii="Times New Roman" w:hAnsi="Times New Roman"/>
          <w:sz w:val="20"/>
          <w:szCs w:val="24"/>
        </w:rPr>
        <w:t>В таблице 13 представлен расчет окупаемости внедрения нового оборудования.</w:t>
      </w:r>
    </w:p>
    <w:p w:rsidR="00517711" w:rsidRDefault="00F815BE">
      <w:pPr>
        <w:pStyle w:val="aff0"/>
      </w:pPr>
      <w:r>
        <w:t>Таблица 13</w:t>
      </w:r>
    </w:p>
    <w:p w:rsidR="00517711" w:rsidRDefault="00F815BE">
      <w:pPr>
        <w:pStyle w:val="afa"/>
        <w:keepNext/>
        <w:widowControl/>
        <w:jc w:val="center"/>
        <w:outlineLvl w:val="0"/>
        <w:rPr>
          <w:b/>
          <w:sz w:val="20"/>
          <w:szCs w:val="20"/>
        </w:rPr>
      </w:pPr>
      <w:r>
        <w:rPr>
          <w:b/>
          <w:sz w:val="20"/>
          <w:szCs w:val="20"/>
        </w:rPr>
        <w:t>Окупаемость нового оборудования на цементном заводе, 2019 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6"/>
        <w:gridCol w:w="4706"/>
      </w:tblGrid>
      <w:tr w:rsidR="00517711">
        <w:tc>
          <w:tcPr>
            <w:tcW w:w="4756" w:type="dxa"/>
          </w:tcPr>
          <w:p w:rsidR="00517711" w:rsidRDefault="00F815BE">
            <w:pPr>
              <w:pStyle w:val="13"/>
            </w:pPr>
            <w:r>
              <w:t>Наименование показателя</w:t>
            </w:r>
          </w:p>
        </w:tc>
        <w:tc>
          <w:tcPr>
            <w:tcW w:w="4706" w:type="dxa"/>
          </w:tcPr>
          <w:p w:rsidR="00517711" w:rsidRDefault="00F815BE">
            <w:pPr>
              <w:pStyle w:val="13"/>
            </w:pPr>
            <w:r>
              <w:t>Величина показателя</w:t>
            </w:r>
          </w:p>
        </w:tc>
      </w:tr>
      <w:tr w:rsidR="00517711">
        <w:tc>
          <w:tcPr>
            <w:tcW w:w="4756" w:type="dxa"/>
          </w:tcPr>
          <w:p w:rsidR="00517711" w:rsidRDefault="00F815BE">
            <w:pPr>
              <w:pStyle w:val="aff1"/>
            </w:pPr>
            <w:r>
              <w:t>Итого экономия, руб.</w:t>
            </w:r>
          </w:p>
        </w:tc>
        <w:tc>
          <w:tcPr>
            <w:tcW w:w="4706" w:type="dxa"/>
          </w:tcPr>
          <w:p w:rsidR="00517711" w:rsidRDefault="00F815BE">
            <w:pPr>
              <w:pStyle w:val="aff1"/>
            </w:pPr>
            <w:r>
              <w:t>8 888 987,7</w:t>
            </w:r>
          </w:p>
        </w:tc>
      </w:tr>
      <w:tr w:rsidR="00517711">
        <w:tc>
          <w:tcPr>
            <w:tcW w:w="4756" w:type="dxa"/>
          </w:tcPr>
          <w:p w:rsidR="00517711" w:rsidRDefault="00F815BE">
            <w:pPr>
              <w:pStyle w:val="aff1"/>
            </w:pPr>
            <w:r>
              <w:t>Итого инвестиций в новое оборудование, руб.</w:t>
            </w:r>
            <w:r>
              <w:tab/>
            </w:r>
          </w:p>
        </w:tc>
        <w:tc>
          <w:tcPr>
            <w:tcW w:w="4706" w:type="dxa"/>
          </w:tcPr>
          <w:p w:rsidR="00517711" w:rsidRDefault="00F815BE">
            <w:pPr>
              <w:pStyle w:val="aff1"/>
            </w:pPr>
            <w:r>
              <w:t>63 835 176</w:t>
            </w:r>
          </w:p>
        </w:tc>
      </w:tr>
      <w:tr w:rsidR="00517711">
        <w:tc>
          <w:tcPr>
            <w:tcW w:w="4756" w:type="dxa"/>
          </w:tcPr>
          <w:p w:rsidR="00517711" w:rsidRDefault="00F815BE">
            <w:pPr>
              <w:pStyle w:val="aff1"/>
            </w:pPr>
            <w:r>
              <w:t>Окупаемость, лет</w:t>
            </w:r>
          </w:p>
        </w:tc>
        <w:tc>
          <w:tcPr>
            <w:tcW w:w="4706" w:type="dxa"/>
          </w:tcPr>
          <w:p w:rsidR="00517711" w:rsidRDefault="00F815BE">
            <w:pPr>
              <w:pStyle w:val="aff1"/>
            </w:pPr>
            <w:r>
              <w:t>7,2</w:t>
            </w:r>
          </w:p>
        </w:tc>
      </w:tr>
    </w:tbl>
    <w:p w:rsidR="00517711" w:rsidRDefault="00517711">
      <w:pPr>
        <w:pStyle w:val="af4"/>
        <w:spacing w:line="240" w:lineRule="auto"/>
        <w:ind w:left="0" w:firstLine="709"/>
        <w:rPr>
          <w:rFonts w:ascii="Times New Roman" w:hAnsi="Times New Roman"/>
          <w:sz w:val="20"/>
          <w:szCs w:val="24"/>
        </w:rPr>
      </w:pPr>
    </w:p>
    <w:p w:rsidR="00517711" w:rsidRDefault="00F815BE">
      <w:pPr>
        <w:pStyle w:val="af4"/>
        <w:spacing w:line="240" w:lineRule="auto"/>
        <w:ind w:left="0" w:firstLine="709"/>
        <w:rPr>
          <w:rFonts w:ascii="Times New Roman" w:hAnsi="Times New Roman"/>
          <w:sz w:val="20"/>
          <w:szCs w:val="24"/>
        </w:rPr>
      </w:pPr>
      <w:r>
        <w:rPr>
          <w:rFonts w:ascii="Times New Roman" w:hAnsi="Times New Roman"/>
          <w:sz w:val="20"/>
          <w:szCs w:val="24"/>
        </w:rPr>
        <w:t>Итак, окупаемость оборудования составит 7,2 лет. Такой срок объясняется тем, что закупается 6 единиц сложного и дорогого оборудования.</w:t>
      </w:r>
    </w:p>
    <w:p w:rsidR="00517711" w:rsidRDefault="00F815BE">
      <w:pPr>
        <w:pStyle w:val="af4"/>
        <w:spacing w:before="120" w:line="240" w:lineRule="auto"/>
        <w:ind w:left="0" w:firstLine="708"/>
        <w:rPr>
          <w:rFonts w:ascii="Times New Roman" w:hAnsi="Times New Roman"/>
          <w:sz w:val="20"/>
          <w:szCs w:val="24"/>
        </w:rPr>
      </w:pPr>
      <w:r>
        <w:rPr>
          <w:rFonts w:ascii="Times New Roman" w:hAnsi="Times New Roman"/>
          <w:sz w:val="20"/>
          <w:szCs w:val="24"/>
        </w:rPr>
        <w:t>Как уже было сказано выше, при установке упаковочных машин их общая производительность составит 9000 мешков в час, что на 84% выше существующей.</w:t>
      </w:r>
    </w:p>
    <w:p w:rsidR="00517711" w:rsidRDefault="00F815BE">
      <w:pPr>
        <w:pStyle w:val="af4"/>
        <w:spacing w:before="120" w:line="240" w:lineRule="auto"/>
        <w:ind w:left="0" w:firstLine="708"/>
        <w:rPr>
          <w:rFonts w:ascii="Times New Roman" w:hAnsi="Times New Roman"/>
          <w:sz w:val="20"/>
          <w:szCs w:val="24"/>
        </w:rPr>
      </w:pPr>
      <w:r>
        <w:rPr>
          <w:rFonts w:ascii="Times New Roman" w:hAnsi="Times New Roman"/>
          <w:sz w:val="20"/>
          <w:szCs w:val="24"/>
        </w:rPr>
        <w:t>В таблице 14 представлен расчет увеличения производительности при установке новых упаковочных машин.</w:t>
      </w:r>
    </w:p>
    <w:p w:rsidR="00517711" w:rsidRDefault="00F815BE">
      <w:pPr>
        <w:pStyle w:val="aff0"/>
      </w:pPr>
      <w:r>
        <w:t xml:space="preserve">Таблица 14 </w:t>
      </w:r>
    </w:p>
    <w:p w:rsidR="00517711" w:rsidRDefault="00F815BE">
      <w:pPr>
        <w:pStyle w:val="afa"/>
        <w:keepNext/>
        <w:widowControl/>
        <w:jc w:val="center"/>
        <w:outlineLvl w:val="0"/>
        <w:rPr>
          <w:b/>
          <w:sz w:val="20"/>
          <w:szCs w:val="20"/>
        </w:rPr>
      </w:pPr>
      <w:r>
        <w:rPr>
          <w:b/>
          <w:sz w:val="20"/>
          <w:szCs w:val="20"/>
        </w:rPr>
        <w:t>Расчет увеличения производительности при установке новых упаковочных машин на цементном заводе, 2019 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4647"/>
      </w:tblGrid>
      <w:tr w:rsidR="00517711">
        <w:tc>
          <w:tcPr>
            <w:tcW w:w="4815" w:type="dxa"/>
          </w:tcPr>
          <w:p w:rsidR="00517711" w:rsidRDefault="00F815BE">
            <w:pPr>
              <w:pStyle w:val="13"/>
            </w:pPr>
            <w:r>
              <w:t>Наименование показателя</w:t>
            </w:r>
          </w:p>
        </w:tc>
        <w:tc>
          <w:tcPr>
            <w:tcW w:w="4647" w:type="dxa"/>
          </w:tcPr>
          <w:p w:rsidR="00517711" w:rsidRDefault="00F815BE">
            <w:pPr>
              <w:pStyle w:val="13"/>
            </w:pPr>
            <w:r>
              <w:t>Величина показателя</w:t>
            </w:r>
          </w:p>
        </w:tc>
      </w:tr>
      <w:tr w:rsidR="00517711">
        <w:tc>
          <w:tcPr>
            <w:tcW w:w="4815" w:type="dxa"/>
          </w:tcPr>
          <w:p w:rsidR="00517711" w:rsidRDefault="00F815BE">
            <w:pPr>
              <w:pStyle w:val="aff1"/>
            </w:pPr>
            <w:r>
              <w:t>Годовое количество мешков объемом 50 кг, ед.</w:t>
            </w:r>
          </w:p>
        </w:tc>
        <w:tc>
          <w:tcPr>
            <w:tcW w:w="4647" w:type="dxa"/>
          </w:tcPr>
          <w:p w:rsidR="00517711" w:rsidRDefault="00F815BE">
            <w:pPr>
              <w:pStyle w:val="aff1"/>
            </w:pPr>
            <w:r>
              <w:t>5 676 000</w:t>
            </w:r>
          </w:p>
        </w:tc>
      </w:tr>
      <w:tr w:rsidR="00517711">
        <w:tc>
          <w:tcPr>
            <w:tcW w:w="4815" w:type="dxa"/>
          </w:tcPr>
          <w:p w:rsidR="00517711" w:rsidRDefault="00F815BE">
            <w:pPr>
              <w:pStyle w:val="aff1"/>
            </w:pPr>
            <w:r>
              <w:t>Процент увеличения производительности, %</w:t>
            </w:r>
          </w:p>
        </w:tc>
        <w:tc>
          <w:tcPr>
            <w:tcW w:w="4647" w:type="dxa"/>
          </w:tcPr>
          <w:p w:rsidR="00517711" w:rsidRDefault="00F815BE">
            <w:pPr>
              <w:pStyle w:val="aff1"/>
            </w:pPr>
            <w:r>
              <w:t>84</w:t>
            </w:r>
          </w:p>
        </w:tc>
      </w:tr>
      <w:tr w:rsidR="00517711">
        <w:tc>
          <w:tcPr>
            <w:tcW w:w="4815" w:type="dxa"/>
          </w:tcPr>
          <w:p w:rsidR="00517711" w:rsidRDefault="00F815BE">
            <w:pPr>
              <w:pStyle w:val="aff1"/>
            </w:pPr>
            <w:r>
              <w:t>Годовое количество мешков объемом 50 кг после увеличения производительности, ед.</w:t>
            </w:r>
          </w:p>
        </w:tc>
        <w:tc>
          <w:tcPr>
            <w:tcW w:w="4647" w:type="dxa"/>
          </w:tcPr>
          <w:p w:rsidR="00517711" w:rsidRDefault="00F815BE">
            <w:pPr>
              <w:pStyle w:val="aff1"/>
            </w:pPr>
            <w:r>
              <w:t>10 443 840</w:t>
            </w:r>
          </w:p>
        </w:tc>
      </w:tr>
      <w:tr w:rsidR="00517711">
        <w:tc>
          <w:tcPr>
            <w:tcW w:w="4815" w:type="dxa"/>
          </w:tcPr>
          <w:p w:rsidR="00517711" w:rsidRDefault="00F815BE">
            <w:pPr>
              <w:pStyle w:val="aff1"/>
              <w:spacing w:after="0"/>
            </w:pPr>
            <w:r>
              <w:t xml:space="preserve">Абсолютное отклонение годового </w:t>
            </w:r>
          </w:p>
          <w:p w:rsidR="00517711" w:rsidRDefault="00F815BE">
            <w:pPr>
              <w:pStyle w:val="aff1"/>
              <w:spacing w:before="0"/>
            </w:pPr>
            <w:r>
              <w:t>количества мешков, ед.</w:t>
            </w:r>
          </w:p>
        </w:tc>
        <w:tc>
          <w:tcPr>
            <w:tcW w:w="4647" w:type="dxa"/>
          </w:tcPr>
          <w:p w:rsidR="00517711" w:rsidRDefault="00F815BE">
            <w:pPr>
              <w:pStyle w:val="aff1"/>
            </w:pPr>
            <w:r>
              <w:t>4 767 840</w:t>
            </w:r>
          </w:p>
        </w:tc>
      </w:tr>
      <w:tr w:rsidR="00517711">
        <w:tc>
          <w:tcPr>
            <w:tcW w:w="4815" w:type="dxa"/>
          </w:tcPr>
          <w:p w:rsidR="00517711" w:rsidRDefault="00F815BE">
            <w:pPr>
              <w:pStyle w:val="aff1"/>
            </w:pPr>
            <w:r>
              <w:t>Абсолютное отклонение в тоннах, тонн</w:t>
            </w:r>
          </w:p>
        </w:tc>
        <w:tc>
          <w:tcPr>
            <w:tcW w:w="4647" w:type="dxa"/>
          </w:tcPr>
          <w:p w:rsidR="00517711" w:rsidRDefault="00F815BE">
            <w:pPr>
              <w:pStyle w:val="aff1"/>
            </w:pPr>
            <w:r>
              <w:t>238 392</w:t>
            </w:r>
          </w:p>
        </w:tc>
      </w:tr>
      <w:tr w:rsidR="00517711">
        <w:tc>
          <w:tcPr>
            <w:tcW w:w="4815" w:type="dxa"/>
          </w:tcPr>
          <w:p w:rsidR="00517711" w:rsidRDefault="00F815BE">
            <w:pPr>
              <w:pStyle w:val="aff1"/>
            </w:pPr>
            <w:r>
              <w:t>Стоимость 1 тонны цемента, руб.</w:t>
            </w:r>
          </w:p>
        </w:tc>
        <w:tc>
          <w:tcPr>
            <w:tcW w:w="4647" w:type="dxa"/>
          </w:tcPr>
          <w:p w:rsidR="00517711" w:rsidRDefault="00F815BE">
            <w:pPr>
              <w:pStyle w:val="aff1"/>
            </w:pPr>
            <w:r>
              <w:t>5 130</w:t>
            </w:r>
          </w:p>
        </w:tc>
      </w:tr>
      <w:tr w:rsidR="00517711">
        <w:tc>
          <w:tcPr>
            <w:tcW w:w="4815" w:type="dxa"/>
          </w:tcPr>
          <w:p w:rsidR="00517711" w:rsidRDefault="00F815BE">
            <w:pPr>
              <w:pStyle w:val="aff1"/>
              <w:spacing w:after="0"/>
            </w:pPr>
            <w:r>
              <w:t xml:space="preserve">Абсолютное отклонение выручки от </w:t>
            </w:r>
          </w:p>
          <w:p w:rsidR="00517711" w:rsidRDefault="00F815BE">
            <w:pPr>
              <w:pStyle w:val="aff1"/>
              <w:spacing w:before="0"/>
            </w:pPr>
            <w:r>
              <w:t>продаж, руб.</w:t>
            </w:r>
          </w:p>
        </w:tc>
        <w:tc>
          <w:tcPr>
            <w:tcW w:w="4647" w:type="dxa"/>
          </w:tcPr>
          <w:p w:rsidR="00517711" w:rsidRDefault="00F815BE">
            <w:pPr>
              <w:pStyle w:val="aff1"/>
            </w:pPr>
            <w:r>
              <w:t>1 222 950 960</w:t>
            </w:r>
          </w:p>
        </w:tc>
      </w:tr>
    </w:tbl>
    <w:p w:rsidR="00517711" w:rsidRDefault="00517711">
      <w:pPr>
        <w:pStyle w:val="af4"/>
        <w:spacing w:line="240" w:lineRule="auto"/>
        <w:ind w:left="0" w:firstLine="709"/>
        <w:rPr>
          <w:rFonts w:ascii="Times New Roman" w:hAnsi="Times New Roman"/>
          <w:sz w:val="20"/>
          <w:szCs w:val="24"/>
        </w:rPr>
      </w:pPr>
    </w:p>
    <w:p w:rsidR="00517711" w:rsidRDefault="00F815BE">
      <w:pPr>
        <w:pStyle w:val="af4"/>
        <w:spacing w:line="240" w:lineRule="auto"/>
        <w:ind w:left="0" w:firstLine="709"/>
        <w:rPr>
          <w:rFonts w:ascii="Times New Roman" w:hAnsi="Times New Roman"/>
          <w:sz w:val="20"/>
          <w:szCs w:val="24"/>
        </w:rPr>
      </w:pPr>
      <w:r>
        <w:rPr>
          <w:rFonts w:ascii="Times New Roman" w:hAnsi="Times New Roman"/>
          <w:sz w:val="20"/>
          <w:szCs w:val="24"/>
        </w:rPr>
        <w:t>Таким образом, если предприятие выпускает 5 676 000 мешков цемента в год, то при установке новых машин эта сумма может возрасти до 10 443 840. Это на 4 767 840 мешков больше чем оно реализовало в 2017 году. В килограммах это число составляет 238 392 000 кг, в тоннах - 238 392. Следовательно, при покупке данных машин цементный завод сможет реализовать цемент в мешкотаре по 50 кг на 238 392 тонн больше.</w:t>
      </w:r>
    </w:p>
    <w:p w:rsidR="00517711" w:rsidRDefault="00F815BE">
      <w:pPr>
        <w:pStyle w:val="af4"/>
        <w:spacing w:before="120" w:line="240" w:lineRule="auto"/>
        <w:ind w:left="0" w:firstLine="708"/>
        <w:rPr>
          <w:rFonts w:ascii="Times New Roman" w:hAnsi="Times New Roman"/>
          <w:sz w:val="20"/>
          <w:szCs w:val="24"/>
        </w:rPr>
      </w:pPr>
      <w:r>
        <w:rPr>
          <w:rFonts w:ascii="Times New Roman" w:hAnsi="Times New Roman"/>
          <w:sz w:val="20"/>
          <w:szCs w:val="24"/>
        </w:rPr>
        <w:t>Стоимость 1 тонны цемента составляет 5 130 рублей. При реализации дополнительного объёма цемента в мешкотаре по 50 кг, образовавшегося при увеличении производительности, цементный завод увеличит свою выручку от продаж на 1 222 950 960 рублей. При таком варианте развития событий новое оборудование окупится компании в первый год эксплуатации. Кроме того, предприятие получит дополнительную прибыль.</w:t>
      </w:r>
    </w:p>
    <w:p w:rsidR="00517711" w:rsidRDefault="00F815BE">
      <w:pPr>
        <w:pStyle w:val="af4"/>
        <w:spacing w:before="120" w:line="240" w:lineRule="auto"/>
        <w:ind w:left="0" w:firstLine="708"/>
        <w:rPr>
          <w:rFonts w:ascii="Times New Roman" w:hAnsi="Times New Roman"/>
          <w:sz w:val="20"/>
          <w:szCs w:val="24"/>
        </w:rPr>
      </w:pPr>
      <w:r>
        <w:rPr>
          <w:rFonts w:ascii="Times New Roman" w:hAnsi="Times New Roman"/>
          <w:sz w:val="20"/>
          <w:szCs w:val="24"/>
        </w:rPr>
        <w:lastRenderedPageBreak/>
        <w:t>Таким образом, производственная логистика - одна из функциональных областей логистики, которая решает вопросы организации и управления движением материальных ресурсов между стадиями производственного процесса, включая подачу сырья и материалов на рабочие места.</w:t>
      </w:r>
    </w:p>
    <w:p w:rsidR="00517711" w:rsidRDefault="00F815BE">
      <w:pPr>
        <w:pStyle w:val="af4"/>
        <w:spacing w:before="120" w:line="240" w:lineRule="auto"/>
        <w:ind w:left="0" w:firstLine="708"/>
        <w:rPr>
          <w:rFonts w:ascii="Times New Roman" w:hAnsi="Times New Roman"/>
          <w:sz w:val="20"/>
          <w:szCs w:val="24"/>
        </w:rPr>
      </w:pPr>
      <w:r>
        <w:rPr>
          <w:rFonts w:ascii="Times New Roman" w:hAnsi="Times New Roman"/>
          <w:sz w:val="20"/>
          <w:szCs w:val="24"/>
        </w:rPr>
        <w:t>Для эффективного обеспечения производственного процесса необходимо изучать каждый из его компонентов (профессионально подготовленный персонал, средств и предметов труда, энергии, информации) в отдельности для выявления возможных проблем и поиск их решения путем оптимизации.</w:t>
      </w:r>
    </w:p>
    <w:p w:rsidR="00517711" w:rsidRDefault="00F815BE">
      <w:pPr>
        <w:pStyle w:val="af4"/>
        <w:spacing w:before="120" w:line="240" w:lineRule="auto"/>
        <w:ind w:left="0" w:firstLine="708"/>
        <w:rPr>
          <w:rFonts w:ascii="Times New Roman" w:hAnsi="Times New Roman"/>
          <w:sz w:val="20"/>
          <w:szCs w:val="24"/>
        </w:rPr>
      </w:pPr>
      <w:r>
        <w:rPr>
          <w:rFonts w:ascii="Times New Roman" w:hAnsi="Times New Roman"/>
          <w:sz w:val="20"/>
          <w:szCs w:val="24"/>
        </w:rPr>
        <w:t>На примере цеха упаковки цементного завода были предложены способы решения таких проблем как неправильно подобранная тара, а конкретно мешкотара по 50 кг, не имеющая перфорации, и устаревшее оборудование (карусельно-упаковочные машины). Также было предложено внедрение нового оборудования, не имеющегося в данный момент на предприятии, которое позволит автоматизировать процесс наполнения цемента в тару по 50 кг (насадчики мешков). Неправильно подобранная тара приносит предприятию убыток в виде дополнительного расходования ресурсов необходимых для переработки просыпанного цемента. Для устаревшего оборудования в случае поломки предприятию будет сложно сделать ремонт, так как данные модели уже не выпускаются. К тому же его замена позволит цементному заводу увеличить производительность путем увеличения продукции выпускаемой в таре по 50 кг.</w:t>
      </w:r>
    </w:p>
    <w:p w:rsidR="00517711" w:rsidRDefault="00F815BE">
      <w:pPr>
        <w:pStyle w:val="afb"/>
        <w:ind w:firstLine="708"/>
      </w:pPr>
      <w:r>
        <w:t>____________________________________</w:t>
      </w:r>
    </w:p>
    <w:p w:rsidR="00517711" w:rsidRDefault="00F815BE">
      <w:pPr>
        <w:numPr>
          <w:ilvl w:val="0"/>
          <w:numId w:val="75"/>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Аникин Б. А. Логистика производства: теория и практика: учебник и практикум для бакалавриата и магистратуры / В. А. Волочиенко, Р. В. Серышев; отв. ред. Б. А. Аникин. — М.: Издательство Юрайт, 2017. — 454 с.</w:t>
      </w:r>
    </w:p>
    <w:p w:rsidR="00517711" w:rsidRDefault="00F815BE">
      <w:pPr>
        <w:numPr>
          <w:ilvl w:val="0"/>
          <w:numId w:val="75"/>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Белозерцева Н.П., Локша А.В., Петрова Н.И. Методы оптимизации логистических затрат / Азимут научных исследований: экономика и управление – 2017, т.6, №4(21), с. 50-54.</w:t>
      </w:r>
    </w:p>
    <w:p w:rsidR="00517711" w:rsidRDefault="00F815BE">
      <w:pPr>
        <w:numPr>
          <w:ilvl w:val="0"/>
          <w:numId w:val="75"/>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Дуболазов В.А. Производственная логистика / В.А. Дуболазов, Д.А Гаврилов// Курс «Логистика»: Неделя 4. Производственная логистика, Санкт-Петербург, Политех. – 2017. – 36 с.</w:t>
      </w:r>
    </w:p>
    <w:p w:rsidR="00517711" w:rsidRDefault="00F815BE">
      <w:pPr>
        <w:numPr>
          <w:ilvl w:val="0"/>
          <w:numId w:val="75"/>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Клапанные мешки для сухих смесей AdStar [Электронный ресурс] // Тарус-Про: официал. сайт. – Режим доступа: http://taruspro.ru/pack/valve</w:t>
      </w:r>
    </w:p>
    <w:p w:rsidR="00517711" w:rsidRDefault="00F815BE">
      <w:pPr>
        <w:numPr>
          <w:ilvl w:val="0"/>
          <w:numId w:val="75"/>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Мешки полипропиленовые под цемент с клапаном [Электронный ресурс] // Компания «Тар-ра»: официал. сайт. – Режим доступа: http://tarra.ru/meshki_polipropilenovye_pod_cement_</w:t>
      </w:r>
    </w:p>
    <w:p w:rsidR="00517711" w:rsidRDefault="00F815BE">
      <w:pPr>
        <w:numPr>
          <w:ilvl w:val="0"/>
          <w:numId w:val="75"/>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Производственный процесс [Электронный ресурс] // Центр креативных технологий: официал. сайт. – Режим доступа: https://www.inventech.ru/lib/predpr/predpr0018/</w:t>
      </w:r>
    </w:p>
    <w:p w:rsidR="00517711" w:rsidRDefault="00F815BE">
      <w:pPr>
        <w:numPr>
          <w:ilvl w:val="0"/>
          <w:numId w:val="75"/>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Сушко А.В. Управление и организация производством на предприятии: теоретический аспект: учебное пособие / А.В. Сушко, Е.В.Полицинская. - ЮТИ ТПУ, 2015. – 139 с.</w:t>
      </w:r>
    </w:p>
    <w:p w:rsidR="00517711" w:rsidRDefault="00517711">
      <w:pPr>
        <w:spacing w:after="0" w:line="240" w:lineRule="auto"/>
        <w:jc w:val="both"/>
        <w:rPr>
          <w:rFonts w:ascii="Times New Roman" w:hAnsi="Times New Roman"/>
          <w:sz w:val="24"/>
          <w:szCs w:val="24"/>
          <w:lang w:eastAsia="ru-RU"/>
        </w:rPr>
      </w:pPr>
    </w:p>
    <w:p w:rsidR="00517711" w:rsidRDefault="00F815BE">
      <w:pPr>
        <w:keepNext/>
        <w:spacing w:before="120" w:after="120" w:line="240" w:lineRule="auto"/>
        <w:outlineLvl w:val="3"/>
        <w:rPr>
          <w:rFonts w:ascii="Times New Roman" w:eastAsia="Calibri" w:hAnsi="Times New Roman" w:cs="Times New Roman"/>
          <w:b/>
          <w:bCs/>
          <w:sz w:val="20"/>
          <w:szCs w:val="28"/>
        </w:rPr>
      </w:pPr>
      <w:r>
        <w:rPr>
          <w:rFonts w:ascii="Times New Roman" w:eastAsia="Calibri" w:hAnsi="Times New Roman" w:cs="Times New Roman"/>
          <w:b/>
          <w:bCs/>
          <w:sz w:val="20"/>
          <w:szCs w:val="28"/>
        </w:rPr>
        <w:t>Рубрика: Общие и комплексные проблемы технических и прикладных наук и отраслей народного хозяйства. Материально-техническое снабжение. Логистика</w:t>
      </w:r>
    </w:p>
    <w:p w:rsidR="00517711" w:rsidRDefault="00F815BE">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УДК 627.325.5</w:t>
      </w:r>
    </w:p>
    <w:p w:rsidR="00517711" w:rsidRDefault="00F815BE">
      <w:pPr>
        <w:keepNext/>
        <w:spacing w:before="240" w:after="240" w:line="240" w:lineRule="auto"/>
        <w:jc w:val="center"/>
        <w:outlineLvl w:val="0"/>
        <w:rPr>
          <w:rFonts w:ascii="Book Antiqua" w:hAnsi="Book Antiqua" w:cs="Times New Roman"/>
          <w:b/>
          <w:bCs/>
          <w:caps/>
          <w:sz w:val="26"/>
          <w:szCs w:val="26"/>
        </w:rPr>
      </w:pPr>
      <w:r>
        <w:rPr>
          <w:rFonts w:ascii="Book Antiqua" w:hAnsi="Book Antiqua" w:cs="Times New Roman"/>
          <w:b/>
          <w:bCs/>
          <w:caps/>
          <w:sz w:val="26"/>
          <w:szCs w:val="26"/>
        </w:rPr>
        <w:t>Оптимизация логистической деятельности холодильного склада ответственного хранения.</w:t>
      </w:r>
    </w:p>
    <w:p w:rsidR="00517711" w:rsidRDefault="00F815BE">
      <w:pPr>
        <w:spacing w:after="0" w:line="240" w:lineRule="auto"/>
        <w:ind w:firstLine="709"/>
        <w:jc w:val="center"/>
        <w:rPr>
          <w:rFonts w:ascii="Arial" w:eastAsia="Calibri" w:hAnsi="Arial" w:cs="Times New Roman"/>
          <w:b/>
          <w:bCs/>
          <w:sz w:val="24"/>
          <w:szCs w:val="20"/>
          <w:lang w:eastAsia="ru-RU"/>
        </w:rPr>
      </w:pPr>
      <w:r>
        <w:rPr>
          <w:rFonts w:ascii="Arial" w:eastAsia="Calibri" w:hAnsi="Arial" w:cs="Times New Roman"/>
          <w:b/>
          <w:bCs/>
          <w:sz w:val="24"/>
          <w:szCs w:val="20"/>
          <w:lang w:eastAsia="ru-RU"/>
        </w:rPr>
        <w:t>Торопова Светлана Николаевна,</w:t>
      </w:r>
    </w:p>
    <w:p w:rsidR="00517711" w:rsidRDefault="00F815BE">
      <w:pPr>
        <w:spacing w:line="240" w:lineRule="auto"/>
        <w:ind w:firstLine="709"/>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бакалавр</w:t>
      </w: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Россия. Владивосток</w:t>
      </w:r>
    </w:p>
    <w:p w:rsidR="00517711" w:rsidRDefault="00F815BE">
      <w:pPr>
        <w:spacing w:after="0" w:line="240" w:lineRule="auto"/>
        <w:ind w:firstLine="709"/>
        <w:jc w:val="center"/>
        <w:rPr>
          <w:rFonts w:ascii="Times New Roman" w:hAnsi="Times New Roman"/>
          <w:sz w:val="20"/>
          <w:szCs w:val="20"/>
        </w:rPr>
      </w:pPr>
      <w:r>
        <w:rPr>
          <w:rFonts w:ascii="Times New Roman" w:hAnsi="Times New Roman"/>
          <w:sz w:val="20"/>
          <w:szCs w:val="20"/>
          <w:lang w:val="en-US"/>
        </w:rPr>
        <w:t>E</w:t>
      </w:r>
      <w:r>
        <w:rPr>
          <w:rFonts w:ascii="Times New Roman" w:hAnsi="Times New Roman"/>
          <w:sz w:val="20"/>
          <w:szCs w:val="20"/>
        </w:rPr>
        <w:t>-</w:t>
      </w:r>
      <w:r>
        <w:rPr>
          <w:rFonts w:ascii="Times New Roman" w:hAnsi="Times New Roman"/>
          <w:sz w:val="20"/>
          <w:szCs w:val="20"/>
          <w:lang w:val="en-US"/>
        </w:rPr>
        <w:t>mail</w:t>
      </w:r>
      <w:r>
        <w:rPr>
          <w:rFonts w:ascii="Times New Roman" w:hAnsi="Times New Roman"/>
          <w:sz w:val="20"/>
          <w:szCs w:val="20"/>
        </w:rPr>
        <w:t xml:space="preserve">: </w:t>
      </w:r>
      <w:hyperlink r:id="rId48" w:history="1">
        <w:r>
          <w:rPr>
            <w:rStyle w:val="aa"/>
            <w:sz w:val="20"/>
            <w:szCs w:val="20"/>
            <w:lang w:val="en-US"/>
          </w:rPr>
          <w:t>tsn</w:t>
        </w:r>
        <w:r>
          <w:rPr>
            <w:rStyle w:val="aa"/>
            <w:sz w:val="20"/>
            <w:szCs w:val="20"/>
          </w:rPr>
          <w:t>-951128@</w:t>
        </w:r>
        <w:r>
          <w:rPr>
            <w:rStyle w:val="aa"/>
            <w:sz w:val="20"/>
            <w:szCs w:val="20"/>
            <w:lang w:val="en-US"/>
          </w:rPr>
          <w:t>mail</w:t>
        </w:r>
        <w:r>
          <w:rPr>
            <w:rStyle w:val="aa"/>
            <w:sz w:val="20"/>
            <w:szCs w:val="20"/>
          </w:rPr>
          <w:t>.</w:t>
        </w:r>
        <w:r>
          <w:rPr>
            <w:rStyle w:val="aa"/>
            <w:sz w:val="20"/>
            <w:szCs w:val="20"/>
            <w:lang w:val="en-US"/>
          </w:rPr>
          <w:t>ru</w:t>
        </w:r>
      </w:hyperlink>
      <w:r>
        <w:rPr>
          <w:rFonts w:ascii="Times New Roman" w:hAnsi="Times New Roman"/>
          <w:sz w:val="20"/>
          <w:szCs w:val="20"/>
        </w:rPr>
        <w:t>; +79146862558</w:t>
      </w:r>
    </w:p>
    <w:p w:rsidR="00517711" w:rsidRDefault="00F815BE">
      <w:pPr>
        <w:spacing w:line="240" w:lineRule="auto"/>
        <w:ind w:firstLine="709"/>
        <w:jc w:val="center"/>
        <w:rPr>
          <w:rFonts w:ascii="Times New Roman" w:hAnsi="Times New Roman"/>
          <w:sz w:val="20"/>
          <w:szCs w:val="20"/>
        </w:rPr>
      </w:pPr>
      <w:r>
        <w:rPr>
          <w:rFonts w:ascii="Times New Roman" w:hAnsi="Times New Roman"/>
          <w:sz w:val="20"/>
          <w:szCs w:val="20"/>
        </w:rPr>
        <w:t>ул. Гоголя, 41, г. Владивосток, Приморский край, Россия, 690014</w:t>
      </w:r>
    </w:p>
    <w:p w:rsidR="00517711" w:rsidRDefault="00F815BE">
      <w:pPr>
        <w:spacing w:line="240" w:lineRule="auto"/>
        <w:ind w:firstLine="709"/>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Научный руководитель: канд. экон. наук, доцент Белозерцева Н. П.</w:t>
      </w:r>
    </w:p>
    <w:p w:rsidR="00517711" w:rsidRDefault="00F815BE">
      <w:pPr>
        <w:spacing w:after="0" w:line="240" w:lineRule="auto"/>
        <w:ind w:firstLine="709"/>
        <w:rPr>
          <w:rFonts w:ascii="Times New Roman" w:hAnsi="Times New Roman"/>
          <w:i/>
          <w:szCs w:val="24"/>
        </w:rPr>
      </w:pPr>
      <w:r>
        <w:rPr>
          <w:rFonts w:ascii="Times New Roman" w:hAnsi="Times New Roman"/>
          <w:i/>
          <w:szCs w:val="24"/>
        </w:rPr>
        <w:t>В статье проведен анализ и оценка логистической деятельности холодильного склада ответственного хранения, выявлены основные проблемы и предложены мероприятия по совершенствованию логистических процессов склада.</w:t>
      </w:r>
    </w:p>
    <w:p w:rsidR="00517711" w:rsidRDefault="00F815BE">
      <w:pPr>
        <w:spacing w:after="0" w:line="240" w:lineRule="auto"/>
        <w:ind w:firstLine="709"/>
        <w:rPr>
          <w:rFonts w:ascii="Times New Roman" w:hAnsi="Times New Roman"/>
          <w:i/>
          <w:szCs w:val="24"/>
        </w:rPr>
      </w:pPr>
      <w:r>
        <w:rPr>
          <w:rFonts w:ascii="Times New Roman" w:hAnsi="Times New Roman"/>
          <w:i/>
          <w:szCs w:val="24"/>
        </w:rPr>
        <w:t xml:space="preserve">Практическая значимость исследования заключается в разработке обоснованных рекомендаций по строительству собственного склада, внедрению </w:t>
      </w:r>
      <w:r>
        <w:rPr>
          <w:rFonts w:ascii="Times New Roman" w:hAnsi="Times New Roman"/>
          <w:i/>
          <w:szCs w:val="24"/>
          <w:lang w:val="en-US"/>
        </w:rPr>
        <w:t>WMS</w:t>
      </w:r>
      <w:r>
        <w:rPr>
          <w:rFonts w:ascii="Times New Roman" w:hAnsi="Times New Roman"/>
          <w:i/>
          <w:szCs w:val="24"/>
        </w:rPr>
        <w:t xml:space="preserve"> системы, введению адресного хранения.</w:t>
      </w:r>
    </w:p>
    <w:p w:rsidR="00517711" w:rsidRDefault="00F815BE">
      <w:pPr>
        <w:spacing w:after="0" w:line="240" w:lineRule="auto"/>
        <w:ind w:firstLine="709"/>
        <w:rPr>
          <w:rFonts w:ascii="Times New Roman" w:hAnsi="Times New Roman"/>
          <w:i/>
          <w:szCs w:val="24"/>
        </w:rPr>
      </w:pPr>
      <w:r>
        <w:rPr>
          <w:rFonts w:ascii="Times New Roman" w:hAnsi="Times New Roman"/>
          <w:b/>
          <w:i/>
          <w:szCs w:val="24"/>
        </w:rPr>
        <w:lastRenderedPageBreak/>
        <w:t xml:space="preserve">Ключевые слова и словосочетания: </w:t>
      </w:r>
      <w:r>
        <w:rPr>
          <w:rFonts w:ascii="Times New Roman" w:hAnsi="Times New Roman"/>
          <w:i/>
          <w:szCs w:val="24"/>
        </w:rPr>
        <w:t>холодильный склад, ответственное хранение, холодильная камера, автоматизированная система управления складом, стеллажи, грузовместимость, полезная площадь.</w:t>
      </w:r>
    </w:p>
    <w:p w:rsidR="00517711" w:rsidRDefault="00F815BE">
      <w:pPr>
        <w:keepNext/>
        <w:spacing w:before="240" w:after="240" w:line="240" w:lineRule="auto"/>
        <w:jc w:val="center"/>
        <w:outlineLvl w:val="0"/>
        <w:rPr>
          <w:rFonts w:ascii="Book Antiqua" w:hAnsi="Book Antiqua" w:cs="Times New Roman"/>
          <w:b/>
          <w:bCs/>
          <w:caps/>
          <w:sz w:val="26"/>
          <w:szCs w:val="26"/>
          <w:lang w:val="en-US"/>
        </w:rPr>
      </w:pPr>
      <w:r>
        <w:rPr>
          <w:rFonts w:ascii="Book Antiqua" w:hAnsi="Book Antiqua" w:cs="Times New Roman"/>
          <w:b/>
          <w:bCs/>
          <w:caps/>
          <w:sz w:val="26"/>
          <w:szCs w:val="26"/>
          <w:lang w:val="en-US"/>
        </w:rPr>
        <w:t>Optimization of logistic activity of a refrigerated warehouse of responsible storage.</w:t>
      </w:r>
    </w:p>
    <w:p w:rsidR="00517711" w:rsidRDefault="00F815BE">
      <w:pPr>
        <w:spacing w:after="0" w:line="240" w:lineRule="auto"/>
        <w:ind w:firstLine="709"/>
        <w:rPr>
          <w:rFonts w:ascii="Times New Roman" w:hAnsi="Times New Roman"/>
          <w:i/>
          <w:szCs w:val="24"/>
          <w:lang w:val="en"/>
        </w:rPr>
      </w:pPr>
      <w:r>
        <w:rPr>
          <w:rFonts w:ascii="Times New Roman" w:hAnsi="Times New Roman"/>
          <w:i/>
          <w:szCs w:val="24"/>
          <w:lang w:val="en"/>
        </w:rPr>
        <w:t>The article analyzes and assesses the logistics activities of the refrigerated warehouse of responsible storage, identifies the main problems and suggests measures to improve the logistics processes of the warehouse.</w:t>
      </w:r>
    </w:p>
    <w:p w:rsidR="00517711" w:rsidRDefault="00F815BE">
      <w:pPr>
        <w:spacing w:after="0" w:line="240" w:lineRule="auto"/>
        <w:ind w:firstLine="709"/>
        <w:rPr>
          <w:rFonts w:ascii="Times New Roman" w:hAnsi="Times New Roman"/>
          <w:i/>
          <w:szCs w:val="24"/>
          <w:lang w:val="en-US"/>
        </w:rPr>
      </w:pPr>
      <w:r>
        <w:rPr>
          <w:rFonts w:ascii="Times New Roman" w:hAnsi="Times New Roman"/>
          <w:i/>
          <w:szCs w:val="24"/>
          <w:lang w:val="en"/>
        </w:rPr>
        <w:t>The practical importance of the study is to develop sound recommendations for the construction of its own warehouse, the introduction of the WMS system, the introduction of address storage.</w:t>
      </w:r>
    </w:p>
    <w:p w:rsidR="00517711" w:rsidRDefault="00F815BE">
      <w:pPr>
        <w:spacing w:after="0" w:line="240" w:lineRule="auto"/>
        <w:ind w:firstLine="709"/>
        <w:rPr>
          <w:rFonts w:ascii="Times New Roman" w:hAnsi="Times New Roman"/>
          <w:i/>
          <w:szCs w:val="24"/>
          <w:lang w:val="en-US"/>
        </w:rPr>
      </w:pPr>
      <w:r>
        <w:rPr>
          <w:rFonts w:ascii="Times New Roman" w:hAnsi="Times New Roman"/>
          <w:b/>
          <w:i/>
          <w:szCs w:val="24"/>
          <w:lang w:val="en-US"/>
        </w:rPr>
        <w:t xml:space="preserve">Keywords: </w:t>
      </w:r>
      <w:r>
        <w:rPr>
          <w:rFonts w:ascii="Times New Roman" w:hAnsi="Times New Roman"/>
          <w:i/>
          <w:szCs w:val="24"/>
          <w:lang w:val="en-US"/>
        </w:rPr>
        <w:t>refrigerated warehouse, responsible storage, cold store, automated warehouse management system, shelving, cargo capacity, usable area</w:t>
      </w:r>
    </w:p>
    <w:p w:rsidR="00517711" w:rsidRDefault="00517711">
      <w:pPr>
        <w:spacing w:after="0" w:line="240" w:lineRule="auto"/>
        <w:ind w:firstLine="709"/>
        <w:rPr>
          <w:rFonts w:ascii="Times New Roman" w:hAnsi="Times New Roman"/>
          <w:i/>
          <w:sz w:val="20"/>
          <w:szCs w:val="24"/>
          <w:lang w:val="en-US"/>
        </w:rPr>
      </w:pP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В современном мире бурно развивается продовольственный рынок и главный вопрос возникающий перед предпринимателями, как сохранить качество скоропортящихся продуктов, ведь обычный склад для этого не подойдет, так как для некоторых продуктов должен поддерживаться низкотемпературный режим. С такими условиями могут справиться только холодильные склады.</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Не каждая компания может позволить себе построить холодильный склад, так как это влечет за собой большие затраты и поэтом они обращаются к организациям, которые предлагают услуги ответственного хранения. Компании выбирают именно ответственное хранение, потому что им важно, чтобы с их товаром ничего не случилось, чтобы не нарушалась температура и нормы хранения, так как при нарушении этих условий, товар будет не пригодным для продажи и компания понесет убытки. При ответственном хранении всю ответственность за товар несет компания, которая предоставляет услуги, и клиент может не беспокоиться о том, что что-то произойдет с его товаром.</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Популярность услуг ответственного хранения обусловлена не столько значительно возросшими материальными затратами на строительство и содержание склада, сколько необходимостью подготовки и оформления огромного количества сопроводительных документов и длительной процедурой регистрации складского помещения. Поэтому многие предприятия принимают решение в пользу заключения договора сотрудничества с логистическими фирмами [1].</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 xml:space="preserve">В отличие от Запада страны, во Владивостоке рынок предоставления услуг ответственного хранения на холодильном складе только развивается и очень сложно найти холодильный склад, который был бы автоматизирован, где к хранению подходят ответственно, и клиент мог бы отслеживать перемещения своей продукции в режиме онлайн. </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Но благодаря использованию логистических концепций, современных технологий и опыту современных компаний, эту проблему можно решить и вывести на рынок холодильный склад, который в полном объеме мог бы обеспечить полное удовлетворение потребителей в качестве сервиса. Именно об этом и пойдет речь в данной статье.</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Цель работы – оптимизация логистической деятельности холодильного склада ответственного хранения.</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Поставленная цель будет достигаться решением следующих задач:</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 xml:space="preserve"> - анализ логистических показателей холодильного склада ответственного хранения;</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 выявление проблем холодильного склада ответственного хранения;</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 разработка предложений по оптимизации логистической деятельности склада.</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Методы исследования: изучение и анализ литературы, сравнительный анализ, описательный анализ.</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Холодильный склад – это объект складской недвижимости с располагающимися в нем холодильными камерами для хранения продукции, а также вспомогательными помещениями различного назначения. Конструктивно холодильные склады имеют много общего с обычными сухими складами, однако отличаются от них требованиями к теплоизоляции и большей энергоемкостью [2].</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Согласно действующему СНиП 2.11.02-87 круглогодичная температура в камерах холодильных складов составляет от +12 до -30 °С и не выше +10...–12 °С в зоне экспедиции и погрузки-разгрузки предназначены для временного или длительного хранения пищевой, сельскохозяйственной, фармацевтической и др. видов продукции. Подобные склады проектируются и строятся с обязательной системой регулируемого хладоснабжения с учетом специфических требований, присущих только этому виду складов [2].</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Под общим понятием «холодильники» в прикладном варианте предлагается классифицировать два основных вида – среднетемпературные холодильники (СТХ) и низкотемпературные холодильники (НТХ). Отдельную категорию представляют универсальные холодильники (УХ), где собраны в единый комплекс обслуживания среднетемпературные и низкотемпературные зоны хранения [2].</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 xml:space="preserve">Холодильные склады производственного типа используются для охлаждения и заморозки продукции и последующего ее хранения в течении непродолжительного времени. Такие склады обычно относятся к </w:t>
      </w:r>
      <w:r>
        <w:rPr>
          <w:rFonts w:ascii="Times New Roman" w:hAnsi="Times New Roman"/>
          <w:sz w:val="20"/>
          <w:szCs w:val="24"/>
        </w:rPr>
        <w:lastRenderedPageBreak/>
        <w:t>различным пищевым предприятиям и строятся на их территории. Несмотря на то, что холодильные помещения таких складов не могут похвастаться большой площадью, они оснащаются достаточно мощным оборудованием для холодильной обработки.Холодильные склады распределительного типа имеют наибольшую площадь так как используются для хранения сезонной продукции, которая регулярно потребляется населением городов и мегаполисов.</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Огромная площадь холодильных складов распределительного типа позволяет размещать в них не только разнообразные холодильные помещения, но и целые производственные цехи. Такие склады относятся к классу хладокомбинатов [2].</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 xml:space="preserve">Ответственное хранение - это логистическая услуга по хранению грузов с комплексным подходом. Фирма, предоставляющая услугу ответственного хранения грузов, отвечает за их сохранность, обработку и сопровождение [3]. </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Компания «Х» занимается оказанием услуг по хранению товара юридическим лицам. Для осуществления указанного вида деятельности компания арендует складские и офисные помещения, на основании договора аренды. Складская емкость холодильного склада, который арендует компания «Х» составляет 6000 тонн. Объем одновременного хранения в холодильных камерах и на пандусе от 6000 до 8000 тонн, в зависимости от характера груза. Размер склада составляет 5000 квадратных метров. Холодильник включает в себя низкотемпературные фреоновые камеры для хранения: до 30 °С, камеры с температурой от -18 до +12 °С. На рисунке 1 представлена топология холодильного склада ответственного хранения компании «Х».</w:t>
      </w:r>
    </w:p>
    <w:p w:rsidR="00517711" w:rsidRDefault="00F815BE">
      <w:pPr>
        <w:spacing w:line="240" w:lineRule="auto"/>
        <w:ind w:firstLine="709"/>
        <w:rPr>
          <w:rFonts w:ascii="Times New Roman" w:hAnsi="Times New Roman"/>
          <w:sz w:val="24"/>
          <w:szCs w:val="24"/>
        </w:rPr>
      </w:pPr>
      <w:r>
        <w:object w:dxaOrig="19865" w:dyaOrig="14323">
          <v:rect id="_x0000_i0" o:spid="_x0000_i1025" style="width:447pt;height:273pt;mso-wrap-distance-left:0;mso-wrap-distance-top:0;mso-wrap-distance-right:0;mso-wrap-distance-bottom:0" o:ole="" filled="f" stroked="f">
            <v:imagedata r:id="rId49" o:title=""/>
          </v:rect>
          <o:OLEObject Type="Embed" ProgID="Visio.Drawing.15" ShapeID="_x0000_i0" DrawAspect="Content" ObjectID="_1603718602" r:id="rId50"/>
        </w:object>
      </w:r>
    </w:p>
    <w:p w:rsidR="00517711" w:rsidRDefault="00F815BE">
      <w:pPr>
        <w:spacing w:line="240" w:lineRule="auto"/>
        <w:ind w:firstLine="709"/>
        <w:jc w:val="center"/>
        <w:rPr>
          <w:rFonts w:ascii="Times New Roman" w:hAnsi="Times New Roman"/>
          <w:sz w:val="20"/>
          <w:szCs w:val="24"/>
        </w:rPr>
      </w:pPr>
      <w:r>
        <w:rPr>
          <w:rFonts w:ascii="Times New Roman" w:hAnsi="Times New Roman"/>
          <w:sz w:val="20"/>
          <w:szCs w:val="24"/>
        </w:rPr>
        <w:t>Рис. 1 – Топология склада компании «Х»</w:t>
      </w:r>
    </w:p>
    <w:p w:rsidR="00517711" w:rsidRDefault="00F815BE">
      <w:pPr>
        <w:spacing w:line="240" w:lineRule="auto"/>
        <w:ind w:firstLine="709"/>
        <w:rPr>
          <w:rFonts w:ascii="Times New Roman" w:hAnsi="Times New Roman"/>
          <w:sz w:val="20"/>
          <w:szCs w:val="24"/>
        </w:rPr>
      </w:pPr>
      <w:r>
        <w:rPr>
          <w:rFonts w:ascii="Times New Roman" w:hAnsi="Times New Roman"/>
          <w:sz w:val="20"/>
          <w:szCs w:val="24"/>
        </w:rPr>
        <w:t>Как видно из рисунка 1, компания использует не весь склад, а лишь 60 процентов, в которые входит 6 камер, общий объем, которых составляет 3600 тонн, но согласно договору, компания платит за аренду всего склада и обслуживает также весь склад. Для того, чтобы увидеть насколько компания использует мощность камер, был проведен анализ заполняемости камер за 2017 год.</w:t>
      </w:r>
    </w:p>
    <w:p w:rsidR="00517711" w:rsidRDefault="00F815BE">
      <w:pPr>
        <w:pStyle w:val="af4"/>
        <w:spacing w:line="360" w:lineRule="auto"/>
        <w:ind w:left="0"/>
      </w:pPr>
      <w:r>
        <w:lastRenderedPageBreak/>
        <w:t xml:space="preserve">                                                 </w:t>
      </w:r>
      <w:r>
        <w:rPr>
          <w:noProof/>
          <w:color w:val="000000"/>
          <w:lang w:eastAsia="ru-RU"/>
        </w:rPr>
        <w:drawing>
          <wp:inline distT="0" distB="0" distL="0" distR="0">
            <wp:extent cx="4397373" cy="2019933"/>
            <wp:effectExtent l="0" t="0" r="0" b="0"/>
            <wp:docPr id="22" name="Диаграмма 132"/>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517711" w:rsidRDefault="00F815BE">
      <w:pPr>
        <w:spacing w:line="240" w:lineRule="auto"/>
        <w:ind w:firstLine="709"/>
        <w:jc w:val="center"/>
        <w:rPr>
          <w:rFonts w:ascii="Times New Roman" w:hAnsi="Times New Roman"/>
          <w:sz w:val="20"/>
          <w:szCs w:val="24"/>
        </w:rPr>
      </w:pPr>
      <w:r>
        <w:rPr>
          <w:rFonts w:ascii="Times New Roman" w:hAnsi="Times New Roman"/>
          <w:sz w:val="20"/>
          <w:szCs w:val="24"/>
        </w:rPr>
        <w:t>Рис/ 2 – Средний процент заполняемости камер</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 xml:space="preserve">Как показано на рисунке 36, наиболее заполнены были 5 и 6 камера, также хорошо была заполнена камера номер 4, процент этих камер более 70 процентов. Мощность же других камер не использовалась по максимуму. Исходя из этих данных можно сделать вывод, что компания по максимуму использует только половину склада, а другая половина используется не так часто. </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Также можно увидеть, что наименьшая заполняемость была у 1 и 3 камеры, она составила всего 56 и 49 процентов. Третья камера не была заполнена даже на половину. Исходя из всего вышеперечисленного можно сделать вывод, что компания «Х»</w:t>
      </w:r>
      <w:r>
        <w:rPr>
          <w:rFonts w:ascii="Times New Roman" w:hAnsi="Times New Roman"/>
          <w:color w:val="000000"/>
          <w:sz w:val="20"/>
        </w:rPr>
        <w:t xml:space="preserve"> </w:t>
      </w:r>
      <w:r>
        <w:rPr>
          <w:rFonts w:ascii="Times New Roman" w:hAnsi="Times New Roman"/>
          <w:sz w:val="20"/>
          <w:szCs w:val="24"/>
        </w:rPr>
        <w:t xml:space="preserve">нерационально использует полезную площадь склада. В таблице 1 был проведен анализ использования полезной площади склада </w:t>
      </w:r>
    </w:p>
    <w:p w:rsidR="00517711" w:rsidRDefault="00F815BE">
      <w:pPr>
        <w:spacing w:line="240" w:lineRule="auto"/>
        <w:ind w:firstLine="709"/>
        <w:jc w:val="right"/>
        <w:rPr>
          <w:rFonts w:ascii="Times New Roman" w:hAnsi="Times New Roman"/>
          <w:i/>
          <w:sz w:val="20"/>
          <w:szCs w:val="24"/>
        </w:rPr>
      </w:pPr>
      <w:r>
        <w:rPr>
          <w:rFonts w:ascii="Times New Roman" w:hAnsi="Times New Roman"/>
          <w:i/>
          <w:sz w:val="20"/>
          <w:szCs w:val="24"/>
        </w:rPr>
        <w:t xml:space="preserve">Таблица 1 </w:t>
      </w:r>
    </w:p>
    <w:p w:rsidR="00517711" w:rsidRDefault="00F815BE">
      <w:pPr>
        <w:pStyle w:val="afa"/>
        <w:keepNext/>
        <w:widowControl/>
        <w:spacing w:before="120" w:after="120"/>
        <w:jc w:val="center"/>
        <w:outlineLvl w:val="0"/>
        <w:rPr>
          <w:b/>
          <w:sz w:val="20"/>
          <w:szCs w:val="20"/>
        </w:rPr>
      </w:pPr>
      <w:r>
        <w:rPr>
          <w:b/>
          <w:sz w:val="20"/>
          <w:szCs w:val="20"/>
        </w:rPr>
        <w:t>Использование полезной площади холодильного склада компанией «Х»</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12"/>
        <w:gridCol w:w="2042"/>
      </w:tblGrid>
      <w:tr w:rsidR="00517711">
        <w:trPr>
          <w:trHeight w:val="22"/>
          <w:jc w:val="right"/>
        </w:trPr>
        <w:tc>
          <w:tcPr>
            <w:tcW w:w="3964" w:type="pct"/>
          </w:tcPr>
          <w:p w:rsidR="00517711" w:rsidRDefault="00F815BE">
            <w:pPr>
              <w:pStyle w:val="13"/>
            </w:pPr>
            <w:r>
              <w:t>Наименование рассчитываемого показателя</w:t>
            </w:r>
          </w:p>
        </w:tc>
        <w:tc>
          <w:tcPr>
            <w:tcW w:w="1036" w:type="pct"/>
          </w:tcPr>
          <w:p w:rsidR="00517711" w:rsidRDefault="00F815BE">
            <w:pPr>
              <w:pStyle w:val="13"/>
            </w:pPr>
            <w:r>
              <w:t>Величина показателя</w:t>
            </w:r>
          </w:p>
        </w:tc>
      </w:tr>
      <w:tr w:rsidR="00517711">
        <w:trPr>
          <w:trHeight w:val="22"/>
          <w:jc w:val="right"/>
        </w:trPr>
        <w:tc>
          <w:tcPr>
            <w:tcW w:w="3964" w:type="pct"/>
          </w:tcPr>
          <w:p w:rsidR="00517711" w:rsidRDefault="00F815BE">
            <w:pPr>
              <w:pStyle w:val="aff1"/>
            </w:pPr>
            <w:r>
              <w:t>Общая площадь склада, кв. м.</w:t>
            </w:r>
          </w:p>
        </w:tc>
        <w:tc>
          <w:tcPr>
            <w:tcW w:w="1036" w:type="pct"/>
            <w:noWrap/>
          </w:tcPr>
          <w:p w:rsidR="00517711" w:rsidRDefault="00F815BE">
            <w:pPr>
              <w:pStyle w:val="aff1"/>
            </w:pPr>
            <w:r>
              <w:t>5000</w:t>
            </w:r>
          </w:p>
        </w:tc>
      </w:tr>
      <w:tr w:rsidR="00517711">
        <w:trPr>
          <w:trHeight w:val="22"/>
          <w:jc w:val="right"/>
        </w:trPr>
        <w:tc>
          <w:tcPr>
            <w:tcW w:w="3964" w:type="pct"/>
          </w:tcPr>
          <w:p w:rsidR="00517711" w:rsidRDefault="00F815BE">
            <w:pPr>
              <w:pStyle w:val="aff1"/>
            </w:pPr>
            <w:r>
              <w:t>Полезная складская площадь (площадь, занятая оборудованием с хранимыми на нем товарами) кв. м.</w:t>
            </w:r>
          </w:p>
        </w:tc>
        <w:tc>
          <w:tcPr>
            <w:tcW w:w="1036" w:type="pct"/>
            <w:noWrap/>
          </w:tcPr>
          <w:p w:rsidR="00517711" w:rsidRDefault="00F815BE">
            <w:pPr>
              <w:pStyle w:val="aff1"/>
            </w:pPr>
            <w:r>
              <w:t>3000</w:t>
            </w:r>
          </w:p>
        </w:tc>
      </w:tr>
      <w:tr w:rsidR="00517711">
        <w:trPr>
          <w:trHeight w:val="22"/>
          <w:jc w:val="right"/>
        </w:trPr>
        <w:tc>
          <w:tcPr>
            <w:tcW w:w="3964" w:type="pct"/>
          </w:tcPr>
          <w:p w:rsidR="00517711" w:rsidRDefault="00F815BE">
            <w:pPr>
              <w:pStyle w:val="aff1"/>
            </w:pPr>
            <w:r>
              <w:t>Общая грузовместимость, тонн</w:t>
            </w:r>
          </w:p>
        </w:tc>
        <w:tc>
          <w:tcPr>
            <w:tcW w:w="1036" w:type="pct"/>
            <w:noWrap/>
          </w:tcPr>
          <w:p w:rsidR="00517711" w:rsidRDefault="00F815BE">
            <w:pPr>
              <w:pStyle w:val="aff1"/>
            </w:pPr>
            <w:r>
              <w:t>6000</w:t>
            </w:r>
          </w:p>
        </w:tc>
      </w:tr>
      <w:tr w:rsidR="00517711">
        <w:trPr>
          <w:trHeight w:val="22"/>
          <w:jc w:val="right"/>
        </w:trPr>
        <w:tc>
          <w:tcPr>
            <w:tcW w:w="3964" w:type="pct"/>
          </w:tcPr>
          <w:p w:rsidR="00517711" w:rsidRDefault="00F815BE">
            <w:pPr>
              <w:pStyle w:val="aff1"/>
            </w:pPr>
            <w:r>
              <w:t>Грузовместимость камер, используемых компанией, тонн</w:t>
            </w:r>
          </w:p>
        </w:tc>
        <w:tc>
          <w:tcPr>
            <w:tcW w:w="1036" w:type="pct"/>
            <w:noWrap/>
          </w:tcPr>
          <w:p w:rsidR="00517711" w:rsidRDefault="00F815BE">
            <w:pPr>
              <w:pStyle w:val="aff1"/>
            </w:pPr>
            <w:r>
              <w:t>3600</w:t>
            </w:r>
          </w:p>
        </w:tc>
      </w:tr>
      <w:tr w:rsidR="00517711">
        <w:trPr>
          <w:trHeight w:val="22"/>
          <w:jc w:val="right"/>
        </w:trPr>
        <w:tc>
          <w:tcPr>
            <w:tcW w:w="3964" w:type="pct"/>
          </w:tcPr>
          <w:p w:rsidR="00517711" w:rsidRDefault="00F815BE">
            <w:pPr>
              <w:pStyle w:val="aff1"/>
            </w:pPr>
            <w:r>
              <w:t>Процент грузовместимости компании, от общей грузовместимости</w:t>
            </w:r>
          </w:p>
        </w:tc>
        <w:tc>
          <w:tcPr>
            <w:tcW w:w="1036" w:type="pct"/>
            <w:noWrap/>
          </w:tcPr>
          <w:p w:rsidR="00517711" w:rsidRDefault="00F815BE">
            <w:pPr>
              <w:pStyle w:val="aff1"/>
            </w:pPr>
            <w:r>
              <w:t>0,6</w:t>
            </w:r>
          </w:p>
        </w:tc>
      </w:tr>
      <w:tr w:rsidR="00517711">
        <w:trPr>
          <w:trHeight w:val="22"/>
          <w:jc w:val="right"/>
        </w:trPr>
        <w:tc>
          <w:tcPr>
            <w:tcW w:w="3964" w:type="pct"/>
          </w:tcPr>
          <w:p w:rsidR="00517711" w:rsidRDefault="00F815BE">
            <w:pPr>
              <w:pStyle w:val="aff1"/>
            </w:pPr>
            <w:r>
              <w:t>Использование полезной площади склада компанией, кв. м.</w:t>
            </w:r>
          </w:p>
        </w:tc>
        <w:tc>
          <w:tcPr>
            <w:tcW w:w="1036" w:type="pct"/>
            <w:noWrap/>
          </w:tcPr>
          <w:p w:rsidR="00517711" w:rsidRDefault="00F815BE">
            <w:pPr>
              <w:pStyle w:val="aff1"/>
            </w:pPr>
            <w:r>
              <w:t>1800</w:t>
            </w:r>
          </w:p>
        </w:tc>
      </w:tr>
      <w:tr w:rsidR="00517711">
        <w:trPr>
          <w:trHeight w:val="22"/>
          <w:jc w:val="right"/>
        </w:trPr>
        <w:tc>
          <w:tcPr>
            <w:tcW w:w="3964" w:type="pct"/>
          </w:tcPr>
          <w:p w:rsidR="00517711" w:rsidRDefault="00F815BE">
            <w:pPr>
              <w:pStyle w:val="aff1"/>
            </w:pPr>
            <w:r>
              <w:t>Коэффициент использования полезной площади склада</w:t>
            </w:r>
          </w:p>
        </w:tc>
        <w:tc>
          <w:tcPr>
            <w:tcW w:w="1036" w:type="pct"/>
            <w:noWrap/>
          </w:tcPr>
          <w:p w:rsidR="00517711" w:rsidRDefault="00F815BE">
            <w:pPr>
              <w:pStyle w:val="aff1"/>
            </w:pPr>
            <w:r>
              <w:t>0,36</w:t>
            </w:r>
          </w:p>
        </w:tc>
      </w:tr>
      <w:tr w:rsidR="00517711">
        <w:trPr>
          <w:trHeight w:val="22"/>
          <w:jc w:val="right"/>
        </w:trPr>
        <w:tc>
          <w:tcPr>
            <w:tcW w:w="3964" w:type="pct"/>
          </w:tcPr>
          <w:p w:rsidR="00517711" w:rsidRDefault="00F815BE">
            <w:pPr>
              <w:pStyle w:val="aff1"/>
            </w:pPr>
            <w:r>
              <w:t>Коэффициент использования емкости (полезного объема) склада</w:t>
            </w:r>
          </w:p>
        </w:tc>
        <w:tc>
          <w:tcPr>
            <w:tcW w:w="1036" w:type="pct"/>
            <w:noWrap/>
          </w:tcPr>
          <w:p w:rsidR="00517711" w:rsidRDefault="00F815BE">
            <w:pPr>
              <w:pStyle w:val="aff1"/>
            </w:pPr>
            <w:r>
              <w:t>0,22</w:t>
            </w:r>
          </w:p>
        </w:tc>
      </w:tr>
    </w:tbl>
    <w:p w:rsidR="00517711" w:rsidRDefault="00517711">
      <w:pPr>
        <w:spacing w:after="0" w:line="240" w:lineRule="auto"/>
        <w:ind w:firstLine="709"/>
        <w:rPr>
          <w:rFonts w:ascii="Times New Roman" w:hAnsi="Times New Roman"/>
          <w:sz w:val="20"/>
          <w:szCs w:val="24"/>
        </w:rPr>
      </w:pP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Как видно из расчетов, приведенных в таблице 1, коэффициент использования полезной площади холодильного склада ответственного хранения компании «Х» составляет всего 0,36, при нормах для штабельного хранения 0,6-0,7. Из полезной площади склады 3000 кв. м., компания использует лишь 1800 кв. м. Исходя из всего вышесказанного, можно сделать вывод, что компания не нуждается в таком большом складе, так как не использует его по максимуму. В таблице 2 проведен анализ доходов и расходов компании «Х».</w:t>
      </w:r>
    </w:p>
    <w:p w:rsidR="00517711" w:rsidRDefault="00F815BE">
      <w:pPr>
        <w:pStyle w:val="aff0"/>
      </w:pPr>
      <w:r>
        <w:t xml:space="preserve">Таблица 2 </w:t>
      </w:r>
    </w:p>
    <w:p w:rsidR="00517711" w:rsidRDefault="00F815BE">
      <w:pPr>
        <w:pStyle w:val="afa"/>
        <w:keepNext/>
        <w:widowControl/>
        <w:spacing w:before="120" w:after="120"/>
        <w:jc w:val="center"/>
        <w:outlineLvl w:val="0"/>
        <w:rPr>
          <w:b/>
          <w:sz w:val="20"/>
          <w:szCs w:val="20"/>
        </w:rPr>
      </w:pPr>
      <w:r>
        <w:rPr>
          <w:b/>
          <w:sz w:val="20"/>
          <w:szCs w:val="20"/>
        </w:rPr>
        <w:t>Анализ доходов и расходов компании «Х», за 2017 год</w:t>
      </w:r>
    </w:p>
    <w:tbl>
      <w:tblPr>
        <w:tblW w:w="5018" w:type="pct"/>
        <w:tblLook w:val="04A0" w:firstRow="1" w:lastRow="0" w:firstColumn="1" w:lastColumn="0" w:noHBand="0" w:noVBand="1"/>
      </w:tblPr>
      <w:tblGrid>
        <w:gridCol w:w="6829"/>
        <w:gridCol w:w="3060"/>
      </w:tblGrid>
      <w:tr w:rsidR="00517711">
        <w:trPr>
          <w:trHeight w:val="338"/>
        </w:trPr>
        <w:tc>
          <w:tcPr>
            <w:tcW w:w="5000" w:type="pct"/>
            <w:gridSpan w:val="2"/>
            <w:tcBorders>
              <w:top w:val="single" w:sz="4" w:space="0" w:color="auto"/>
              <w:left w:val="single" w:sz="4" w:space="0" w:color="auto"/>
              <w:bottom w:val="single" w:sz="4" w:space="0" w:color="auto"/>
              <w:right w:val="single" w:sz="4" w:space="0" w:color="000000"/>
            </w:tcBorders>
            <w:noWrap/>
            <w:vAlign w:val="bottom"/>
          </w:tcPr>
          <w:p w:rsidR="00517711" w:rsidRDefault="00F815BE">
            <w:pPr>
              <w:pStyle w:val="13"/>
            </w:pPr>
            <w:r>
              <w:t>Доходы</w:t>
            </w:r>
          </w:p>
        </w:tc>
      </w:tr>
      <w:tr w:rsidR="00517711">
        <w:trPr>
          <w:trHeight w:val="338"/>
        </w:trPr>
        <w:tc>
          <w:tcPr>
            <w:tcW w:w="3453"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13"/>
            </w:pPr>
            <w:r>
              <w:t> </w:t>
            </w:r>
          </w:p>
        </w:tc>
        <w:tc>
          <w:tcPr>
            <w:tcW w:w="1547"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13"/>
            </w:pPr>
            <w:r>
              <w:t>сумма за год</w:t>
            </w:r>
          </w:p>
        </w:tc>
      </w:tr>
      <w:tr w:rsidR="00517711">
        <w:trPr>
          <w:trHeight w:val="338"/>
        </w:trPr>
        <w:tc>
          <w:tcPr>
            <w:tcW w:w="3453"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Хранение</w:t>
            </w:r>
          </w:p>
        </w:tc>
        <w:tc>
          <w:tcPr>
            <w:tcW w:w="1547"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31298400</w:t>
            </w:r>
          </w:p>
        </w:tc>
      </w:tr>
      <w:tr w:rsidR="00517711">
        <w:trPr>
          <w:trHeight w:val="338"/>
        </w:trPr>
        <w:tc>
          <w:tcPr>
            <w:tcW w:w="3453"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Погрузка</w:t>
            </w:r>
          </w:p>
        </w:tc>
        <w:tc>
          <w:tcPr>
            <w:tcW w:w="1547"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18922118,4</w:t>
            </w:r>
          </w:p>
        </w:tc>
      </w:tr>
      <w:tr w:rsidR="00517711">
        <w:trPr>
          <w:trHeight w:val="338"/>
        </w:trPr>
        <w:tc>
          <w:tcPr>
            <w:tcW w:w="3453"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Итого доходы</w:t>
            </w:r>
          </w:p>
        </w:tc>
        <w:tc>
          <w:tcPr>
            <w:tcW w:w="1547"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50220518,4</w:t>
            </w:r>
          </w:p>
        </w:tc>
      </w:tr>
      <w:tr w:rsidR="00517711">
        <w:trPr>
          <w:trHeight w:val="338"/>
        </w:trPr>
        <w:tc>
          <w:tcPr>
            <w:tcW w:w="5000" w:type="pct"/>
            <w:gridSpan w:val="2"/>
            <w:tcBorders>
              <w:top w:val="single" w:sz="4" w:space="0" w:color="auto"/>
              <w:left w:val="single" w:sz="4" w:space="0" w:color="auto"/>
              <w:bottom w:val="single" w:sz="4" w:space="0" w:color="auto"/>
              <w:right w:val="single" w:sz="4" w:space="0" w:color="000000"/>
            </w:tcBorders>
            <w:noWrap/>
            <w:vAlign w:val="bottom"/>
          </w:tcPr>
          <w:p w:rsidR="00517711" w:rsidRDefault="00F815BE">
            <w:pPr>
              <w:pStyle w:val="13"/>
            </w:pPr>
            <w:r>
              <w:lastRenderedPageBreak/>
              <w:t>Расходы</w:t>
            </w:r>
          </w:p>
        </w:tc>
      </w:tr>
      <w:tr w:rsidR="00517711">
        <w:trPr>
          <w:trHeight w:val="338"/>
        </w:trPr>
        <w:tc>
          <w:tcPr>
            <w:tcW w:w="3453"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Зарплата (ФОТ)</w:t>
            </w:r>
          </w:p>
        </w:tc>
        <w:tc>
          <w:tcPr>
            <w:tcW w:w="1547"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6936000</w:t>
            </w:r>
          </w:p>
        </w:tc>
      </w:tr>
      <w:tr w:rsidR="00517711">
        <w:trPr>
          <w:trHeight w:val="338"/>
        </w:trPr>
        <w:tc>
          <w:tcPr>
            <w:tcW w:w="3453"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Налог с ФОТ 7,6%</w:t>
            </w:r>
          </w:p>
        </w:tc>
        <w:tc>
          <w:tcPr>
            <w:tcW w:w="1547"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527136</w:t>
            </w:r>
          </w:p>
        </w:tc>
      </w:tr>
      <w:tr w:rsidR="00517711">
        <w:trPr>
          <w:trHeight w:val="338"/>
        </w:trPr>
        <w:tc>
          <w:tcPr>
            <w:tcW w:w="3453"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Плата за электроэнергию</w:t>
            </w:r>
          </w:p>
        </w:tc>
        <w:tc>
          <w:tcPr>
            <w:tcW w:w="1547"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14005921,5</w:t>
            </w:r>
          </w:p>
        </w:tc>
      </w:tr>
      <w:tr w:rsidR="00517711">
        <w:trPr>
          <w:trHeight w:val="338"/>
        </w:trPr>
        <w:tc>
          <w:tcPr>
            <w:tcW w:w="3453"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Плата за воду холодную</w:t>
            </w:r>
          </w:p>
        </w:tc>
        <w:tc>
          <w:tcPr>
            <w:tcW w:w="1547"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210001,8978</w:t>
            </w:r>
          </w:p>
        </w:tc>
      </w:tr>
      <w:tr w:rsidR="00517711">
        <w:trPr>
          <w:trHeight w:val="338"/>
        </w:trPr>
        <w:tc>
          <w:tcPr>
            <w:tcW w:w="3453"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Аренда склада</w:t>
            </w:r>
          </w:p>
        </w:tc>
        <w:tc>
          <w:tcPr>
            <w:tcW w:w="1547"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12000000</w:t>
            </w:r>
          </w:p>
        </w:tc>
      </w:tr>
      <w:tr w:rsidR="00517711">
        <w:trPr>
          <w:trHeight w:val="338"/>
        </w:trPr>
        <w:tc>
          <w:tcPr>
            <w:tcW w:w="3453"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Прочие расходы</w:t>
            </w:r>
          </w:p>
        </w:tc>
        <w:tc>
          <w:tcPr>
            <w:tcW w:w="1547"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1159200</w:t>
            </w:r>
          </w:p>
        </w:tc>
      </w:tr>
      <w:tr w:rsidR="00517711">
        <w:trPr>
          <w:trHeight w:val="338"/>
        </w:trPr>
        <w:tc>
          <w:tcPr>
            <w:tcW w:w="3453"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Итого расходы</w:t>
            </w:r>
          </w:p>
        </w:tc>
        <w:tc>
          <w:tcPr>
            <w:tcW w:w="1547"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34838259,4</w:t>
            </w:r>
          </w:p>
        </w:tc>
      </w:tr>
      <w:tr w:rsidR="00517711">
        <w:trPr>
          <w:trHeight w:val="338"/>
        </w:trPr>
        <w:tc>
          <w:tcPr>
            <w:tcW w:w="5000" w:type="pct"/>
            <w:gridSpan w:val="2"/>
            <w:tcBorders>
              <w:top w:val="none" w:sz="4" w:space="0" w:color="000000"/>
              <w:left w:val="single" w:sz="4" w:space="0" w:color="auto"/>
              <w:bottom w:val="single" w:sz="4" w:space="0" w:color="auto"/>
              <w:right w:val="single" w:sz="4" w:space="0" w:color="auto"/>
            </w:tcBorders>
            <w:noWrap/>
            <w:vAlign w:val="bottom"/>
          </w:tcPr>
          <w:p w:rsidR="00517711" w:rsidRDefault="00F815BE">
            <w:pPr>
              <w:pStyle w:val="13"/>
            </w:pPr>
            <w:r>
              <w:t>Прибыль </w:t>
            </w:r>
          </w:p>
        </w:tc>
      </w:tr>
      <w:tr w:rsidR="00517711">
        <w:trPr>
          <w:trHeight w:val="338"/>
        </w:trPr>
        <w:tc>
          <w:tcPr>
            <w:tcW w:w="3453"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Валовая прибыль</w:t>
            </w:r>
          </w:p>
        </w:tc>
        <w:tc>
          <w:tcPr>
            <w:tcW w:w="1547"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15382259</w:t>
            </w:r>
          </w:p>
        </w:tc>
      </w:tr>
      <w:tr w:rsidR="00517711">
        <w:trPr>
          <w:trHeight w:val="338"/>
        </w:trPr>
        <w:tc>
          <w:tcPr>
            <w:tcW w:w="3453"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Рентабельность</w:t>
            </w:r>
          </w:p>
        </w:tc>
        <w:tc>
          <w:tcPr>
            <w:tcW w:w="1547"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31%</w:t>
            </w:r>
          </w:p>
        </w:tc>
      </w:tr>
    </w:tbl>
    <w:p w:rsidR="00517711" w:rsidRDefault="00517711">
      <w:pPr>
        <w:spacing w:after="0" w:line="240" w:lineRule="auto"/>
        <w:ind w:firstLine="709"/>
        <w:rPr>
          <w:rFonts w:ascii="Times New Roman" w:hAnsi="Times New Roman"/>
          <w:sz w:val="20"/>
          <w:szCs w:val="24"/>
        </w:rPr>
      </w:pP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 xml:space="preserve">Из данного анализа видно, что компания очень много платит за аренду склада, 12 000 000 рублей в год. Также большие затраты у компании идут за электричество, 14 005 922 рубля. </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Общие затраты за год составляют 34 838 259 рублей, а рентабельность компании 31 процент. Такие затраты связаны с тем, что компания «Х» использует не весь склад, а лишь 60 процентов от всего объема склада, а платит за аренду и обслуживает всю площадь склада.</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Как говорилось выше, ответственное хранение - это логистическая услуга по хранению грузов с комплексным подходом. Фирма, предоставляющая услугу ответственного хранения грузов, отвечает за их сохранность, обработку и сопровождение. В свою очередь организация, пользующаяся услугой ответственного хранения, экономит свои финансы, оплачивая только работу логистической компании со своим грузом и не учитывая ее затраты на строительство или аренду помещения, наем грузчиков, поддержание пожаробезопасности, охраны и т.д.</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Для того, чтобы увидеть насколько качественно компании предоставляет свои услуги клиентам и качество предоставляемого сервиса соответствует холодильному складу ответственного хранения, в таблице 3 был проведен анализ предоставления услуг ответственного хранения компании «Х» в сравнении с современными 3PL компаниями</w:t>
      </w:r>
    </w:p>
    <w:p w:rsidR="00517711" w:rsidRDefault="00F815BE">
      <w:pPr>
        <w:pStyle w:val="aff0"/>
      </w:pPr>
      <w:r>
        <w:t>Таблица 3</w:t>
      </w:r>
    </w:p>
    <w:p w:rsidR="00517711" w:rsidRDefault="00F815BE">
      <w:pPr>
        <w:pStyle w:val="afa"/>
        <w:keepNext/>
        <w:widowControl/>
        <w:spacing w:before="120" w:after="120"/>
        <w:jc w:val="center"/>
        <w:outlineLvl w:val="0"/>
        <w:rPr>
          <w:b/>
          <w:sz w:val="20"/>
          <w:szCs w:val="20"/>
        </w:rPr>
      </w:pPr>
      <w:r>
        <w:rPr>
          <w:b/>
          <w:sz w:val="20"/>
          <w:szCs w:val="20"/>
        </w:rPr>
        <w:t>Анализ предоставления услуг ответственного хранения компании «Х» в сравнении с современными 3PL компаниями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8"/>
        <w:gridCol w:w="8"/>
        <w:gridCol w:w="3880"/>
      </w:tblGrid>
      <w:tr w:rsidR="00517711">
        <w:trPr>
          <w:trHeight w:val="26"/>
        </w:trPr>
        <w:tc>
          <w:tcPr>
            <w:tcW w:w="5828" w:type="dxa"/>
          </w:tcPr>
          <w:p w:rsidR="00517711" w:rsidRDefault="00F815BE">
            <w:pPr>
              <w:pStyle w:val="13"/>
            </w:pPr>
            <w:r>
              <w:t>Склад ответственного хранения</w:t>
            </w:r>
          </w:p>
        </w:tc>
        <w:tc>
          <w:tcPr>
            <w:tcW w:w="3888" w:type="dxa"/>
            <w:gridSpan w:val="2"/>
          </w:tcPr>
          <w:p w:rsidR="00517711" w:rsidRDefault="00F815BE">
            <w:pPr>
              <w:pStyle w:val="13"/>
            </w:pPr>
            <w:r>
              <w:t>Склад компании «Х»</w:t>
            </w:r>
          </w:p>
        </w:tc>
      </w:tr>
      <w:tr w:rsidR="00517711">
        <w:trPr>
          <w:trHeight w:val="26"/>
        </w:trPr>
        <w:tc>
          <w:tcPr>
            <w:tcW w:w="5828" w:type="dxa"/>
          </w:tcPr>
          <w:p w:rsidR="00517711" w:rsidRDefault="00F815BE">
            <w:pPr>
              <w:pStyle w:val="aff1"/>
            </w:pPr>
            <w:r>
              <w:t>Погрузка и разгрузка груза</w:t>
            </w:r>
          </w:p>
        </w:tc>
        <w:tc>
          <w:tcPr>
            <w:tcW w:w="3888" w:type="dxa"/>
            <w:gridSpan w:val="2"/>
          </w:tcPr>
          <w:p w:rsidR="00517711" w:rsidRDefault="00F815BE">
            <w:pPr>
              <w:pStyle w:val="aff1"/>
            </w:pPr>
            <w:r>
              <w:t>+</w:t>
            </w:r>
          </w:p>
        </w:tc>
      </w:tr>
      <w:tr w:rsidR="00517711">
        <w:trPr>
          <w:trHeight w:val="26"/>
        </w:trPr>
        <w:tc>
          <w:tcPr>
            <w:tcW w:w="5828" w:type="dxa"/>
          </w:tcPr>
          <w:p w:rsidR="00517711" w:rsidRDefault="00F815BE">
            <w:pPr>
              <w:pStyle w:val="aff1"/>
            </w:pPr>
            <w:r>
              <w:t>Маркировка</w:t>
            </w:r>
          </w:p>
        </w:tc>
        <w:tc>
          <w:tcPr>
            <w:tcW w:w="3888" w:type="dxa"/>
            <w:gridSpan w:val="2"/>
          </w:tcPr>
          <w:p w:rsidR="00517711" w:rsidRDefault="00F815BE">
            <w:pPr>
              <w:pStyle w:val="aff1"/>
            </w:pPr>
            <w:r>
              <w:t>+</w:t>
            </w:r>
          </w:p>
        </w:tc>
      </w:tr>
      <w:tr w:rsidR="00517711">
        <w:trPr>
          <w:trHeight w:val="26"/>
        </w:trPr>
        <w:tc>
          <w:tcPr>
            <w:tcW w:w="5828" w:type="dxa"/>
          </w:tcPr>
          <w:p w:rsidR="00517711" w:rsidRDefault="00F815BE">
            <w:pPr>
              <w:pStyle w:val="aff1"/>
            </w:pPr>
            <w:r>
              <w:t>Паллетирование</w:t>
            </w:r>
          </w:p>
        </w:tc>
        <w:tc>
          <w:tcPr>
            <w:tcW w:w="3888" w:type="dxa"/>
            <w:gridSpan w:val="2"/>
          </w:tcPr>
          <w:p w:rsidR="00517711" w:rsidRDefault="00F815BE">
            <w:pPr>
              <w:pStyle w:val="aff1"/>
            </w:pPr>
            <w:r>
              <w:t>+</w:t>
            </w:r>
          </w:p>
        </w:tc>
      </w:tr>
      <w:tr w:rsidR="00517711">
        <w:trPr>
          <w:trHeight w:val="26"/>
        </w:trPr>
        <w:tc>
          <w:tcPr>
            <w:tcW w:w="5828" w:type="dxa"/>
          </w:tcPr>
          <w:p w:rsidR="00517711" w:rsidRDefault="00F815BE">
            <w:pPr>
              <w:pStyle w:val="aff1"/>
            </w:pPr>
            <w:r>
              <w:t>Подбор и комплектация товара на отгрузку</w:t>
            </w:r>
          </w:p>
        </w:tc>
        <w:tc>
          <w:tcPr>
            <w:tcW w:w="3888" w:type="dxa"/>
            <w:gridSpan w:val="2"/>
          </w:tcPr>
          <w:p w:rsidR="00517711" w:rsidRDefault="00F815BE">
            <w:pPr>
              <w:pStyle w:val="aff1"/>
            </w:pPr>
            <w:r>
              <w:t>+</w:t>
            </w:r>
          </w:p>
        </w:tc>
      </w:tr>
      <w:tr w:rsidR="00517711">
        <w:trPr>
          <w:trHeight w:val="26"/>
        </w:trPr>
        <w:tc>
          <w:tcPr>
            <w:tcW w:w="5828" w:type="dxa"/>
          </w:tcPr>
          <w:p w:rsidR="00517711" w:rsidRDefault="00F815BE">
            <w:pPr>
              <w:pStyle w:val="aff1"/>
            </w:pPr>
            <w:r>
              <w:t>Взвешивание груза</w:t>
            </w:r>
          </w:p>
        </w:tc>
        <w:tc>
          <w:tcPr>
            <w:tcW w:w="3888" w:type="dxa"/>
            <w:gridSpan w:val="2"/>
          </w:tcPr>
          <w:p w:rsidR="00517711" w:rsidRDefault="00F815BE">
            <w:pPr>
              <w:pStyle w:val="aff1"/>
            </w:pPr>
            <w:r>
              <w:t>+</w:t>
            </w:r>
          </w:p>
        </w:tc>
      </w:tr>
      <w:tr w:rsidR="00517711">
        <w:trPr>
          <w:trHeight w:val="26"/>
        </w:trPr>
        <w:tc>
          <w:tcPr>
            <w:tcW w:w="5828" w:type="dxa"/>
          </w:tcPr>
          <w:p w:rsidR="00517711" w:rsidRDefault="00F815BE">
            <w:pPr>
              <w:pStyle w:val="aff1"/>
            </w:pPr>
            <w:r>
              <w:t>Подготовка товаросопроводительных документов</w:t>
            </w:r>
          </w:p>
        </w:tc>
        <w:tc>
          <w:tcPr>
            <w:tcW w:w="3888" w:type="dxa"/>
            <w:gridSpan w:val="2"/>
          </w:tcPr>
          <w:p w:rsidR="00517711" w:rsidRDefault="00F815BE">
            <w:pPr>
              <w:pStyle w:val="aff1"/>
            </w:pPr>
            <w:r>
              <w:t>+</w:t>
            </w:r>
          </w:p>
        </w:tc>
      </w:tr>
      <w:tr w:rsidR="00517711">
        <w:trPr>
          <w:trHeight w:val="26"/>
        </w:trPr>
        <w:tc>
          <w:tcPr>
            <w:tcW w:w="5828" w:type="dxa"/>
          </w:tcPr>
          <w:p w:rsidR="00517711" w:rsidRDefault="00F815BE">
            <w:pPr>
              <w:pStyle w:val="aff1"/>
            </w:pPr>
            <w:r>
              <w:t>Упаковка</w:t>
            </w:r>
          </w:p>
        </w:tc>
        <w:tc>
          <w:tcPr>
            <w:tcW w:w="3888" w:type="dxa"/>
            <w:gridSpan w:val="2"/>
          </w:tcPr>
          <w:p w:rsidR="00517711" w:rsidRDefault="00F815BE">
            <w:pPr>
              <w:pStyle w:val="aff1"/>
            </w:pPr>
            <w:r>
              <w:t>+</w:t>
            </w:r>
          </w:p>
        </w:tc>
      </w:tr>
      <w:tr w:rsidR="00517711">
        <w:trPr>
          <w:trHeight w:val="26"/>
        </w:trPr>
        <w:tc>
          <w:tcPr>
            <w:tcW w:w="5828" w:type="dxa"/>
          </w:tcPr>
          <w:p w:rsidR="00517711" w:rsidRDefault="00F815BE">
            <w:pPr>
              <w:pStyle w:val="aff1"/>
            </w:pPr>
            <w:r>
              <w:t>Фасовка</w:t>
            </w:r>
          </w:p>
        </w:tc>
        <w:tc>
          <w:tcPr>
            <w:tcW w:w="3888" w:type="dxa"/>
            <w:gridSpan w:val="2"/>
          </w:tcPr>
          <w:p w:rsidR="00517711" w:rsidRDefault="00F815BE">
            <w:pPr>
              <w:pStyle w:val="aff1"/>
            </w:pPr>
            <w:r>
              <w:t>+</w:t>
            </w:r>
          </w:p>
        </w:tc>
      </w:tr>
      <w:tr w:rsidR="00517711">
        <w:trPr>
          <w:trHeight w:val="26"/>
        </w:trPr>
        <w:tc>
          <w:tcPr>
            <w:tcW w:w="5828" w:type="dxa"/>
          </w:tcPr>
          <w:p w:rsidR="00517711" w:rsidRDefault="00F815BE">
            <w:pPr>
              <w:pStyle w:val="aff1"/>
            </w:pPr>
            <w:r>
              <w:t>Хранение грузов на разных видах стеллажей</w:t>
            </w:r>
          </w:p>
        </w:tc>
        <w:tc>
          <w:tcPr>
            <w:tcW w:w="3888" w:type="dxa"/>
            <w:gridSpan w:val="2"/>
          </w:tcPr>
          <w:p w:rsidR="00517711" w:rsidRDefault="00F815BE">
            <w:pPr>
              <w:pStyle w:val="aff1"/>
            </w:pPr>
            <w:r>
              <w:t>Отсутствие стеллажей, хранение только напольное</w:t>
            </w:r>
          </w:p>
        </w:tc>
      </w:tr>
      <w:tr w:rsidR="00517711">
        <w:trPr>
          <w:trHeight w:val="26"/>
        </w:trPr>
        <w:tc>
          <w:tcPr>
            <w:tcW w:w="5828" w:type="dxa"/>
          </w:tcPr>
          <w:p w:rsidR="00517711" w:rsidRDefault="00F815BE">
            <w:pPr>
              <w:pStyle w:val="aff1"/>
            </w:pPr>
            <w:r>
              <w:t>100 процентная ответственность за груз который хранит клиент</w:t>
            </w:r>
          </w:p>
        </w:tc>
        <w:tc>
          <w:tcPr>
            <w:tcW w:w="3888" w:type="dxa"/>
            <w:gridSpan w:val="2"/>
          </w:tcPr>
          <w:p w:rsidR="00517711" w:rsidRDefault="00F815BE">
            <w:pPr>
              <w:pStyle w:val="aff1"/>
            </w:pPr>
            <w:r>
              <w:t>+</w:t>
            </w:r>
          </w:p>
        </w:tc>
      </w:tr>
      <w:tr w:rsidR="00517711">
        <w:trPr>
          <w:trHeight w:val="26"/>
        </w:trPr>
        <w:tc>
          <w:tcPr>
            <w:tcW w:w="5828" w:type="dxa"/>
          </w:tcPr>
          <w:p w:rsidR="00517711" w:rsidRDefault="00F815BE">
            <w:pPr>
              <w:pStyle w:val="aff1"/>
            </w:pPr>
            <w:r>
              <w:t>Соблюдение температурного режима</w:t>
            </w:r>
          </w:p>
        </w:tc>
        <w:tc>
          <w:tcPr>
            <w:tcW w:w="3888" w:type="dxa"/>
            <w:gridSpan w:val="2"/>
          </w:tcPr>
          <w:p w:rsidR="00517711" w:rsidRDefault="00F815BE">
            <w:pPr>
              <w:pStyle w:val="aff1"/>
            </w:pPr>
            <w:r>
              <w:t>+</w:t>
            </w:r>
          </w:p>
        </w:tc>
      </w:tr>
      <w:tr w:rsidR="00517711">
        <w:trPr>
          <w:trHeight w:val="26"/>
        </w:trPr>
        <w:tc>
          <w:tcPr>
            <w:tcW w:w="5828" w:type="dxa"/>
          </w:tcPr>
          <w:p w:rsidR="00517711" w:rsidRDefault="00F815BE">
            <w:pPr>
              <w:pStyle w:val="aff1"/>
            </w:pPr>
            <w:r>
              <w:t>Наличие адресного хранение</w:t>
            </w:r>
          </w:p>
        </w:tc>
        <w:tc>
          <w:tcPr>
            <w:tcW w:w="3888" w:type="dxa"/>
            <w:gridSpan w:val="2"/>
          </w:tcPr>
          <w:p w:rsidR="00517711" w:rsidRDefault="00F815BE">
            <w:pPr>
              <w:pStyle w:val="aff1"/>
            </w:pPr>
            <w:r>
              <w:t>Отсутствие адресного хранения</w:t>
            </w:r>
          </w:p>
        </w:tc>
      </w:tr>
      <w:tr w:rsidR="00517711">
        <w:trPr>
          <w:trHeight w:val="26"/>
        </w:trPr>
        <w:tc>
          <w:tcPr>
            <w:tcW w:w="5836" w:type="dxa"/>
            <w:gridSpan w:val="2"/>
          </w:tcPr>
          <w:p w:rsidR="00517711" w:rsidRDefault="00F815BE">
            <w:pPr>
              <w:pStyle w:val="aff1"/>
            </w:pPr>
            <w:r>
              <w:t>Клиенты имеют возможность отслеживать свой груз при помощи компьютерных технологий</w:t>
            </w:r>
          </w:p>
        </w:tc>
        <w:tc>
          <w:tcPr>
            <w:tcW w:w="3880" w:type="dxa"/>
          </w:tcPr>
          <w:p w:rsidR="00517711" w:rsidRDefault="00F815BE">
            <w:pPr>
              <w:pStyle w:val="aff1"/>
            </w:pPr>
            <w:r>
              <w:t>У клиентов нет возможности отслеживать свой груз</w:t>
            </w:r>
          </w:p>
        </w:tc>
      </w:tr>
      <w:tr w:rsidR="00517711">
        <w:trPr>
          <w:trHeight w:val="891"/>
        </w:trPr>
        <w:tc>
          <w:tcPr>
            <w:tcW w:w="5836" w:type="dxa"/>
            <w:gridSpan w:val="2"/>
          </w:tcPr>
          <w:p w:rsidR="00517711" w:rsidRDefault="00F815BE">
            <w:pPr>
              <w:pStyle w:val="aff1"/>
            </w:pPr>
            <w:r>
              <w:lastRenderedPageBreak/>
              <w:t>Современный автоматизированный учёт товародвижения на складах, WMS система</w:t>
            </w:r>
          </w:p>
        </w:tc>
        <w:tc>
          <w:tcPr>
            <w:tcW w:w="3880" w:type="dxa"/>
          </w:tcPr>
          <w:p w:rsidR="00517711" w:rsidRDefault="00F815BE">
            <w:pPr>
              <w:pStyle w:val="aff1"/>
            </w:pPr>
            <w:r>
              <w:t>Отсутствие WMS  системы, учет ведется в ручную в программе 1С «Торговля и склад»</w:t>
            </w:r>
          </w:p>
        </w:tc>
      </w:tr>
    </w:tbl>
    <w:p w:rsidR="00517711" w:rsidRDefault="00517711">
      <w:pPr>
        <w:spacing w:after="0" w:line="240" w:lineRule="auto"/>
        <w:ind w:firstLine="709"/>
        <w:rPr>
          <w:rFonts w:ascii="Times New Roman" w:hAnsi="Times New Roman"/>
          <w:sz w:val="20"/>
          <w:szCs w:val="24"/>
        </w:rPr>
      </w:pP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 xml:space="preserve">Как показано в таблице 3, у компании «Х» не до конца выполняются условия ответственного хранения, например, отсутствует адресное хранение. </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Адресное хранение - это способ оптимизации размещения груза в помещении склада, предполагающий присвоение каждому месту хранения индивидуального номера (адреса) [4]. Данный способ позволяет быстро найти тот или иной груз и сводит вероятность пересортицы практически к нулю и ускоряет процесс инвентаризации склада и значительно снижает ошибки инвентаризации. Также клиент не имеет возможности отслеживать передвижение своего груза, а многим компаниям, тем более большим, очень важно, что происходит с их грузом.</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 xml:space="preserve">Проанализировав логистическую деятельность холодильного склада ответственного хранения компании «Х», были сделаны выводы о том, что компания нерационально использует полезную площадь склада, для это был проведен анализ заполняемости камер, который показал, что одни камеры используют максимально, а другие стоят полупустыми, максимальный процент заполняемости камер составил 88 процентов, для 7 камеры, а минимальный 49 процентов, для 4 камеры. Исходя из этого можно сделать вывод, что из 3600 тонн грузовместимости склада, компания использует лишь 3168 тонн.  </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Из всего вышеперечисленного анализа можно выделить ряд основных проблем, которые преобладают в компании и пути их решения, данные проблемы приведены в таблице 4.</w:t>
      </w:r>
    </w:p>
    <w:p w:rsidR="00517711" w:rsidRDefault="00F815BE">
      <w:pPr>
        <w:pStyle w:val="aff0"/>
      </w:pPr>
      <w:r>
        <w:t>Таблица 4</w:t>
      </w:r>
    </w:p>
    <w:p w:rsidR="00517711" w:rsidRDefault="00F815BE">
      <w:pPr>
        <w:pStyle w:val="afa"/>
        <w:keepNext/>
        <w:widowControl/>
        <w:spacing w:before="120" w:after="120"/>
        <w:jc w:val="center"/>
        <w:outlineLvl w:val="0"/>
        <w:rPr>
          <w:b/>
          <w:sz w:val="20"/>
          <w:szCs w:val="20"/>
        </w:rPr>
      </w:pPr>
      <w:r>
        <w:rPr>
          <w:b/>
          <w:sz w:val="20"/>
          <w:szCs w:val="20"/>
        </w:rPr>
        <w:t>Выявленные проблемы компании «Х» и пути их решения</w:t>
      </w:r>
    </w:p>
    <w:tbl>
      <w:tblPr>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7"/>
        <w:gridCol w:w="3283"/>
        <w:gridCol w:w="3178"/>
      </w:tblGrid>
      <w:tr w:rsidR="00517711">
        <w:trPr>
          <w:trHeight w:val="301"/>
        </w:trPr>
        <w:tc>
          <w:tcPr>
            <w:tcW w:w="1686" w:type="pct"/>
          </w:tcPr>
          <w:p w:rsidR="00517711" w:rsidRDefault="00F815BE">
            <w:pPr>
              <w:pStyle w:val="13"/>
            </w:pPr>
            <w:r>
              <w:t>Проблема</w:t>
            </w:r>
          </w:p>
        </w:tc>
        <w:tc>
          <w:tcPr>
            <w:tcW w:w="1684" w:type="pct"/>
          </w:tcPr>
          <w:p w:rsidR="00517711" w:rsidRDefault="00F815BE">
            <w:pPr>
              <w:pStyle w:val="13"/>
            </w:pPr>
            <w:r>
              <w:t>Решение</w:t>
            </w:r>
          </w:p>
        </w:tc>
        <w:tc>
          <w:tcPr>
            <w:tcW w:w="1630" w:type="pct"/>
          </w:tcPr>
          <w:p w:rsidR="00517711" w:rsidRDefault="00F815BE">
            <w:pPr>
              <w:pStyle w:val="13"/>
            </w:pPr>
            <w:r>
              <w:t>Предполагаемый результат</w:t>
            </w:r>
          </w:p>
        </w:tc>
      </w:tr>
      <w:tr w:rsidR="00517711">
        <w:trPr>
          <w:trHeight w:val="1380"/>
        </w:trPr>
        <w:tc>
          <w:tcPr>
            <w:tcW w:w="1686" w:type="pct"/>
          </w:tcPr>
          <w:p w:rsidR="00517711" w:rsidRDefault="00F815BE">
            <w:pPr>
              <w:pStyle w:val="aff1"/>
            </w:pPr>
            <w:r>
              <w:t>Большие затраты на аренду и обслуживание склада</w:t>
            </w:r>
          </w:p>
        </w:tc>
        <w:tc>
          <w:tcPr>
            <w:tcW w:w="1684" w:type="pct"/>
          </w:tcPr>
          <w:p w:rsidR="00517711" w:rsidRDefault="00F815BE">
            <w:pPr>
              <w:pStyle w:val="aff1"/>
            </w:pPr>
            <w:r>
              <w:t>Строительство собственного склада и внедрение современного оборудования</w:t>
            </w:r>
          </w:p>
        </w:tc>
        <w:tc>
          <w:tcPr>
            <w:tcW w:w="1630" w:type="pct"/>
          </w:tcPr>
          <w:p w:rsidR="00517711" w:rsidRDefault="00F815BE">
            <w:pPr>
              <w:pStyle w:val="aff1"/>
            </w:pPr>
            <w:r>
              <w:t>Исчезнет такой пункт затрат, как аренда склада и компания в год будет экономить 12 000 000 рублей. Также уменьшаться затраты на электричество, за счет современного оборудования</w:t>
            </w:r>
          </w:p>
        </w:tc>
      </w:tr>
      <w:tr w:rsidR="00517711">
        <w:trPr>
          <w:trHeight w:val="1130"/>
        </w:trPr>
        <w:tc>
          <w:tcPr>
            <w:tcW w:w="1686" w:type="pct"/>
          </w:tcPr>
          <w:p w:rsidR="00517711" w:rsidRDefault="00F815BE">
            <w:pPr>
              <w:pStyle w:val="aff1"/>
            </w:pPr>
            <w:r>
              <w:t>Нерациональное использование площади склада</w:t>
            </w:r>
          </w:p>
        </w:tc>
        <w:tc>
          <w:tcPr>
            <w:tcW w:w="1684" w:type="pct"/>
          </w:tcPr>
          <w:p w:rsidR="00517711" w:rsidRDefault="00F815BE">
            <w:pPr>
              <w:pStyle w:val="aff1"/>
            </w:pPr>
            <w:r>
              <w:t>Уменьшение площади проектируемого склада,</w:t>
            </w:r>
          </w:p>
          <w:p w:rsidR="00517711" w:rsidRDefault="00F815BE">
            <w:pPr>
              <w:pStyle w:val="aff1"/>
            </w:pPr>
            <w:r>
              <w:t>установка стеллажей.</w:t>
            </w:r>
          </w:p>
        </w:tc>
        <w:tc>
          <w:tcPr>
            <w:tcW w:w="1630" w:type="pct"/>
          </w:tcPr>
          <w:p w:rsidR="00517711" w:rsidRDefault="00F815BE">
            <w:pPr>
              <w:pStyle w:val="aff1"/>
            </w:pPr>
            <w:r>
              <w:t>Максимальное использование площади склада, так как средний объем хранимой продукции практически равен полной грузовместимости склада</w:t>
            </w:r>
          </w:p>
        </w:tc>
      </w:tr>
      <w:tr w:rsidR="00517711">
        <w:trPr>
          <w:trHeight w:val="2469"/>
        </w:trPr>
        <w:tc>
          <w:tcPr>
            <w:tcW w:w="1686" w:type="pct"/>
          </w:tcPr>
          <w:p w:rsidR="00517711" w:rsidRDefault="00F815BE">
            <w:pPr>
              <w:pStyle w:val="aff1"/>
            </w:pPr>
            <w:r>
              <w:t>Отсутствие автоматизированный системы управления складом</w:t>
            </w:r>
          </w:p>
        </w:tc>
        <w:tc>
          <w:tcPr>
            <w:tcW w:w="1684" w:type="pct"/>
          </w:tcPr>
          <w:p w:rsidR="00517711" w:rsidRDefault="00F815BE">
            <w:pPr>
              <w:pStyle w:val="aff1"/>
            </w:pPr>
            <w:r>
              <w:t>внедрение WMS – системы</w:t>
            </w:r>
          </w:p>
        </w:tc>
        <w:tc>
          <w:tcPr>
            <w:tcW w:w="1630" w:type="pct"/>
          </w:tcPr>
          <w:p w:rsidR="00517711" w:rsidRDefault="00F815BE">
            <w:pPr>
              <w:pStyle w:val="aff1"/>
            </w:pPr>
            <w:r>
              <w:t>За счет многоуровневой стеллажной системы будет возможность размещать большой объем продукции, не переживая за, то что товар может завалиться, помяться и испортится. Благодаря автоматизации склада, будет удобно отслеживать движение товара, так как будет внедрено адресное хранение и уменьшится фактор человеческой ошибки  и пересортицы</w:t>
            </w:r>
          </w:p>
        </w:tc>
      </w:tr>
    </w:tbl>
    <w:p w:rsidR="00517711" w:rsidRDefault="00517711">
      <w:pPr>
        <w:spacing w:after="0" w:line="240" w:lineRule="auto"/>
        <w:ind w:firstLine="709"/>
        <w:rPr>
          <w:rFonts w:ascii="Times New Roman" w:hAnsi="Times New Roman"/>
          <w:sz w:val="20"/>
          <w:szCs w:val="24"/>
        </w:rPr>
      </w:pP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 xml:space="preserve">Как видно из таблицы 4 предложением по оптимизации логистической деятельности холодильного склада ответственного хранения компании «Х» является строительство и автоматизирование собственного, более современного склада, благодаря этому предложению компания решит свои три основные проблемы, которые приведены в таблице 4, а также на рынке города Владивосток появится современный холодильный склад ответственного хранения. </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Так как компания использует не всю площадь склада, а лишь 6 камер общей грузовместимостью 3 600 тонн, а в реальности, максимальная загрузка камер компании составляет 3 000 тонн в месяц, то было решено, что оптимальный вариант грузовместимости проектируемого склада, будет 3500 тонн и стоимость строительства склада рассматривалась именно для этой грузовместимости, площадь склада составит 2880 квадратных метров.</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 xml:space="preserve">Также были рассчитаны первоначальные затраты на проектирование и оборудование планируемого склада, был проведен предполагаемый анализ доходов и расходов планируемого холодильного склада и его </w:t>
      </w:r>
      <w:r>
        <w:rPr>
          <w:rFonts w:ascii="Times New Roman" w:hAnsi="Times New Roman"/>
          <w:sz w:val="20"/>
          <w:szCs w:val="24"/>
        </w:rPr>
        <w:lastRenderedPageBreak/>
        <w:t>окупаемость, для того, чтобы понять насколько рентабельно будет наличие собственного склада, а не арендованного.</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В таблице 5 приведены первоначальные затраты, связанные с проектированием склада, включая затраты на строительство</w:t>
      </w:r>
    </w:p>
    <w:p w:rsidR="00517711" w:rsidRDefault="00F815BE">
      <w:pPr>
        <w:pStyle w:val="aff0"/>
      </w:pPr>
      <w:r>
        <w:t xml:space="preserve">Таблица 5 </w:t>
      </w:r>
    </w:p>
    <w:p w:rsidR="00517711" w:rsidRDefault="00F815BE">
      <w:pPr>
        <w:pStyle w:val="afa"/>
        <w:keepNext/>
        <w:widowControl/>
        <w:spacing w:before="120" w:after="120"/>
        <w:jc w:val="center"/>
        <w:outlineLvl w:val="0"/>
        <w:rPr>
          <w:b/>
          <w:sz w:val="20"/>
          <w:szCs w:val="20"/>
        </w:rPr>
      </w:pPr>
      <w:r>
        <w:rPr>
          <w:b/>
          <w:sz w:val="20"/>
          <w:szCs w:val="20"/>
        </w:rPr>
        <w:t>Первоначальные затраты, связанные с проектированием склада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3"/>
        <w:gridCol w:w="1214"/>
        <w:gridCol w:w="1784"/>
        <w:gridCol w:w="2753"/>
      </w:tblGrid>
      <w:tr w:rsidR="00517711">
        <w:trPr>
          <w:trHeight w:val="20"/>
        </w:trPr>
        <w:tc>
          <w:tcPr>
            <w:tcW w:w="2082" w:type="pct"/>
            <w:noWrap/>
          </w:tcPr>
          <w:p w:rsidR="00517711" w:rsidRDefault="00F815BE">
            <w:pPr>
              <w:pStyle w:val="13"/>
            </w:pPr>
            <w:r>
              <w:t>Наименование</w:t>
            </w:r>
          </w:p>
        </w:tc>
        <w:tc>
          <w:tcPr>
            <w:tcW w:w="616" w:type="pct"/>
            <w:noWrap/>
          </w:tcPr>
          <w:p w:rsidR="00517711" w:rsidRDefault="00F815BE">
            <w:pPr>
              <w:pStyle w:val="13"/>
            </w:pPr>
            <w:r>
              <w:t>кол-во</w:t>
            </w:r>
          </w:p>
        </w:tc>
        <w:tc>
          <w:tcPr>
            <w:tcW w:w="905" w:type="pct"/>
            <w:noWrap/>
          </w:tcPr>
          <w:p w:rsidR="00517711" w:rsidRDefault="00F815BE">
            <w:pPr>
              <w:pStyle w:val="13"/>
            </w:pPr>
            <w:r>
              <w:t>Цена, руб.</w:t>
            </w:r>
          </w:p>
        </w:tc>
        <w:tc>
          <w:tcPr>
            <w:tcW w:w="1397" w:type="pct"/>
            <w:noWrap/>
          </w:tcPr>
          <w:p w:rsidR="00517711" w:rsidRDefault="00F815BE">
            <w:pPr>
              <w:pStyle w:val="13"/>
            </w:pPr>
            <w:r>
              <w:t>Полная стоимость, руб.</w:t>
            </w:r>
          </w:p>
        </w:tc>
      </w:tr>
      <w:tr w:rsidR="00517711">
        <w:trPr>
          <w:trHeight w:val="20"/>
        </w:trPr>
        <w:tc>
          <w:tcPr>
            <w:tcW w:w="2082" w:type="pct"/>
            <w:noWrap/>
          </w:tcPr>
          <w:p w:rsidR="00517711" w:rsidRDefault="00F815BE">
            <w:pPr>
              <w:pStyle w:val="aff1"/>
            </w:pPr>
            <w:r>
              <w:t>Помещение строительство, м2</w:t>
            </w:r>
          </w:p>
        </w:tc>
        <w:tc>
          <w:tcPr>
            <w:tcW w:w="616" w:type="pct"/>
            <w:noWrap/>
          </w:tcPr>
          <w:p w:rsidR="00517711" w:rsidRDefault="00F815BE">
            <w:pPr>
              <w:pStyle w:val="aff1"/>
            </w:pPr>
            <w:r>
              <w:t>2880</w:t>
            </w:r>
          </w:p>
        </w:tc>
        <w:tc>
          <w:tcPr>
            <w:tcW w:w="905" w:type="pct"/>
            <w:noWrap/>
          </w:tcPr>
          <w:p w:rsidR="00517711" w:rsidRDefault="00F815BE">
            <w:pPr>
              <w:pStyle w:val="aff1"/>
            </w:pPr>
            <w:r>
              <w:t> </w:t>
            </w:r>
          </w:p>
        </w:tc>
        <w:tc>
          <w:tcPr>
            <w:tcW w:w="1397" w:type="pct"/>
            <w:noWrap/>
          </w:tcPr>
          <w:p w:rsidR="00517711" w:rsidRDefault="00F815BE">
            <w:pPr>
              <w:pStyle w:val="aff1"/>
            </w:pPr>
            <w:r>
              <w:t>42 694 282</w:t>
            </w:r>
          </w:p>
        </w:tc>
      </w:tr>
      <w:tr w:rsidR="00517711">
        <w:trPr>
          <w:trHeight w:val="20"/>
        </w:trPr>
        <w:tc>
          <w:tcPr>
            <w:tcW w:w="2082" w:type="pct"/>
            <w:noWrap/>
          </w:tcPr>
          <w:p w:rsidR="00517711" w:rsidRDefault="00F815BE">
            <w:pPr>
              <w:pStyle w:val="aff1"/>
            </w:pPr>
            <w:r>
              <w:t>Антипылевое покрытие, м2</w:t>
            </w:r>
          </w:p>
        </w:tc>
        <w:tc>
          <w:tcPr>
            <w:tcW w:w="616" w:type="pct"/>
            <w:noWrap/>
          </w:tcPr>
          <w:p w:rsidR="00517711" w:rsidRDefault="00F815BE">
            <w:pPr>
              <w:pStyle w:val="aff1"/>
            </w:pPr>
            <w:r>
              <w:t>2880</w:t>
            </w:r>
          </w:p>
        </w:tc>
        <w:tc>
          <w:tcPr>
            <w:tcW w:w="905" w:type="pct"/>
            <w:noWrap/>
          </w:tcPr>
          <w:p w:rsidR="00517711" w:rsidRDefault="00F815BE">
            <w:pPr>
              <w:pStyle w:val="aff1"/>
            </w:pPr>
            <w:r>
              <w:t>69</w:t>
            </w:r>
          </w:p>
        </w:tc>
        <w:tc>
          <w:tcPr>
            <w:tcW w:w="1397" w:type="pct"/>
            <w:noWrap/>
          </w:tcPr>
          <w:p w:rsidR="00517711" w:rsidRDefault="00F815BE">
            <w:pPr>
              <w:pStyle w:val="aff1"/>
            </w:pPr>
            <w:r>
              <w:t>198 625</w:t>
            </w:r>
          </w:p>
        </w:tc>
      </w:tr>
      <w:tr w:rsidR="00517711">
        <w:trPr>
          <w:trHeight w:val="20"/>
        </w:trPr>
        <w:tc>
          <w:tcPr>
            <w:tcW w:w="2082" w:type="pct"/>
            <w:noWrap/>
          </w:tcPr>
          <w:p w:rsidR="00517711" w:rsidRDefault="00F815BE">
            <w:pPr>
              <w:pStyle w:val="aff1"/>
            </w:pPr>
            <w:r>
              <w:t>Стеллажи</w:t>
            </w:r>
          </w:p>
        </w:tc>
        <w:tc>
          <w:tcPr>
            <w:tcW w:w="616" w:type="pct"/>
            <w:noWrap/>
          </w:tcPr>
          <w:p w:rsidR="00517711" w:rsidRDefault="00F815BE">
            <w:pPr>
              <w:pStyle w:val="aff1"/>
            </w:pPr>
            <w:r>
              <w:t>270</w:t>
            </w:r>
          </w:p>
        </w:tc>
        <w:tc>
          <w:tcPr>
            <w:tcW w:w="905" w:type="pct"/>
            <w:noWrap/>
          </w:tcPr>
          <w:p w:rsidR="00517711" w:rsidRDefault="00F815BE">
            <w:pPr>
              <w:pStyle w:val="aff1"/>
            </w:pPr>
            <w:r>
              <w:t>16 647</w:t>
            </w:r>
          </w:p>
        </w:tc>
        <w:tc>
          <w:tcPr>
            <w:tcW w:w="1397" w:type="pct"/>
            <w:noWrap/>
          </w:tcPr>
          <w:p w:rsidR="00517711" w:rsidRDefault="00F815BE">
            <w:pPr>
              <w:pStyle w:val="aff1"/>
            </w:pPr>
            <w:r>
              <w:t>4 494 690</w:t>
            </w:r>
          </w:p>
        </w:tc>
      </w:tr>
      <w:tr w:rsidR="00517711">
        <w:trPr>
          <w:trHeight w:val="20"/>
        </w:trPr>
        <w:tc>
          <w:tcPr>
            <w:tcW w:w="2082" w:type="pct"/>
            <w:noWrap/>
          </w:tcPr>
          <w:p w:rsidR="00517711" w:rsidRDefault="00F815BE">
            <w:pPr>
              <w:pStyle w:val="aff1"/>
            </w:pPr>
            <w:r>
              <w:t>WMS система</w:t>
            </w:r>
          </w:p>
        </w:tc>
        <w:tc>
          <w:tcPr>
            <w:tcW w:w="616" w:type="pct"/>
            <w:noWrap/>
          </w:tcPr>
          <w:p w:rsidR="00517711" w:rsidRDefault="00F815BE">
            <w:pPr>
              <w:pStyle w:val="aff1"/>
            </w:pPr>
            <w:r>
              <w:t>1</w:t>
            </w:r>
          </w:p>
        </w:tc>
        <w:tc>
          <w:tcPr>
            <w:tcW w:w="905" w:type="pct"/>
            <w:noWrap/>
          </w:tcPr>
          <w:p w:rsidR="00517711" w:rsidRDefault="00F815BE">
            <w:pPr>
              <w:pStyle w:val="aff1"/>
            </w:pPr>
            <w:r>
              <w:t>1 096 750</w:t>
            </w:r>
          </w:p>
        </w:tc>
        <w:tc>
          <w:tcPr>
            <w:tcW w:w="1397" w:type="pct"/>
            <w:noWrap/>
          </w:tcPr>
          <w:p w:rsidR="00517711" w:rsidRDefault="00F815BE">
            <w:pPr>
              <w:pStyle w:val="aff1"/>
            </w:pPr>
            <w:r>
              <w:t>1 096 750</w:t>
            </w:r>
          </w:p>
        </w:tc>
      </w:tr>
      <w:tr w:rsidR="00517711">
        <w:trPr>
          <w:trHeight w:val="20"/>
        </w:trPr>
        <w:tc>
          <w:tcPr>
            <w:tcW w:w="2082" w:type="pct"/>
            <w:noWrap/>
          </w:tcPr>
          <w:p w:rsidR="00517711" w:rsidRDefault="00F815BE">
            <w:pPr>
              <w:pStyle w:val="aff1"/>
            </w:pPr>
            <w:r>
              <w:t>Компьютеры</w:t>
            </w:r>
          </w:p>
        </w:tc>
        <w:tc>
          <w:tcPr>
            <w:tcW w:w="616" w:type="pct"/>
            <w:noWrap/>
          </w:tcPr>
          <w:p w:rsidR="00517711" w:rsidRDefault="00F815BE">
            <w:pPr>
              <w:pStyle w:val="aff1"/>
            </w:pPr>
            <w:r>
              <w:t>10</w:t>
            </w:r>
          </w:p>
        </w:tc>
        <w:tc>
          <w:tcPr>
            <w:tcW w:w="905" w:type="pct"/>
            <w:noWrap/>
          </w:tcPr>
          <w:p w:rsidR="00517711" w:rsidRDefault="00F815BE">
            <w:pPr>
              <w:pStyle w:val="aff1"/>
            </w:pPr>
            <w:r>
              <w:t>35 000</w:t>
            </w:r>
          </w:p>
        </w:tc>
        <w:tc>
          <w:tcPr>
            <w:tcW w:w="1397" w:type="pct"/>
            <w:noWrap/>
          </w:tcPr>
          <w:p w:rsidR="00517711" w:rsidRDefault="00F815BE">
            <w:pPr>
              <w:pStyle w:val="aff1"/>
            </w:pPr>
            <w:r>
              <w:t>350 000</w:t>
            </w:r>
          </w:p>
        </w:tc>
      </w:tr>
      <w:tr w:rsidR="00517711">
        <w:trPr>
          <w:trHeight w:val="20"/>
        </w:trPr>
        <w:tc>
          <w:tcPr>
            <w:tcW w:w="2082" w:type="pct"/>
            <w:noWrap/>
          </w:tcPr>
          <w:p w:rsidR="00517711" w:rsidRDefault="00F815BE">
            <w:pPr>
              <w:pStyle w:val="aff1"/>
            </w:pPr>
            <w:r>
              <w:t>Принтер штрихкодов</w:t>
            </w:r>
          </w:p>
        </w:tc>
        <w:tc>
          <w:tcPr>
            <w:tcW w:w="616" w:type="pct"/>
            <w:noWrap/>
          </w:tcPr>
          <w:p w:rsidR="00517711" w:rsidRDefault="00F815BE">
            <w:pPr>
              <w:pStyle w:val="aff1"/>
            </w:pPr>
            <w:r>
              <w:t>3</w:t>
            </w:r>
          </w:p>
        </w:tc>
        <w:tc>
          <w:tcPr>
            <w:tcW w:w="905" w:type="pct"/>
            <w:noWrap/>
          </w:tcPr>
          <w:p w:rsidR="00517711" w:rsidRDefault="00F815BE">
            <w:pPr>
              <w:pStyle w:val="aff1"/>
            </w:pPr>
            <w:r>
              <w:t>21 237</w:t>
            </w:r>
          </w:p>
        </w:tc>
        <w:tc>
          <w:tcPr>
            <w:tcW w:w="1397" w:type="pct"/>
            <w:noWrap/>
          </w:tcPr>
          <w:p w:rsidR="00517711" w:rsidRDefault="00F815BE">
            <w:pPr>
              <w:pStyle w:val="aff1"/>
            </w:pPr>
            <w:r>
              <w:t>63 711</w:t>
            </w:r>
          </w:p>
        </w:tc>
      </w:tr>
      <w:tr w:rsidR="00517711">
        <w:trPr>
          <w:trHeight w:val="20"/>
        </w:trPr>
        <w:tc>
          <w:tcPr>
            <w:tcW w:w="2082" w:type="pct"/>
            <w:noWrap/>
          </w:tcPr>
          <w:p w:rsidR="00517711" w:rsidRDefault="00F815BE">
            <w:pPr>
              <w:pStyle w:val="aff1"/>
            </w:pPr>
            <w:r>
              <w:t>Мебель офисная</w:t>
            </w:r>
          </w:p>
        </w:tc>
        <w:tc>
          <w:tcPr>
            <w:tcW w:w="616" w:type="pct"/>
            <w:noWrap/>
          </w:tcPr>
          <w:p w:rsidR="00517711" w:rsidRDefault="00F815BE">
            <w:pPr>
              <w:pStyle w:val="aff1"/>
            </w:pPr>
            <w:r>
              <w:t>9</w:t>
            </w:r>
          </w:p>
        </w:tc>
        <w:tc>
          <w:tcPr>
            <w:tcW w:w="905" w:type="pct"/>
            <w:noWrap/>
          </w:tcPr>
          <w:p w:rsidR="00517711" w:rsidRDefault="00F815BE">
            <w:pPr>
              <w:pStyle w:val="aff1"/>
            </w:pPr>
            <w:r>
              <w:t>14 560</w:t>
            </w:r>
          </w:p>
        </w:tc>
        <w:tc>
          <w:tcPr>
            <w:tcW w:w="1397" w:type="pct"/>
            <w:noWrap/>
          </w:tcPr>
          <w:p w:rsidR="00517711" w:rsidRDefault="00F815BE">
            <w:pPr>
              <w:pStyle w:val="aff1"/>
            </w:pPr>
            <w:r>
              <w:t>131 040</w:t>
            </w:r>
          </w:p>
        </w:tc>
      </w:tr>
      <w:tr w:rsidR="00517711">
        <w:trPr>
          <w:trHeight w:val="20"/>
        </w:trPr>
        <w:tc>
          <w:tcPr>
            <w:tcW w:w="2082" w:type="pct"/>
            <w:noWrap/>
          </w:tcPr>
          <w:p w:rsidR="00517711" w:rsidRDefault="00F815BE">
            <w:pPr>
              <w:pStyle w:val="aff1"/>
            </w:pPr>
            <w:r>
              <w:t>Погрузчики электрические</w:t>
            </w:r>
          </w:p>
        </w:tc>
        <w:tc>
          <w:tcPr>
            <w:tcW w:w="616" w:type="pct"/>
            <w:noWrap/>
          </w:tcPr>
          <w:p w:rsidR="00517711" w:rsidRDefault="00F815BE">
            <w:pPr>
              <w:pStyle w:val="aff1"/>
            </w:pPr>
            <w:r>
              <w:t>3</w:t>
            </w:r>
          </w:p>
        </w:tc>
        <w:tc>
          <w:tcPr>
            <w:tcW w:w="905" w:type="pct"/>
            <w:noWrap/>
          </w:tcPr>
          <w:p w:rsidR="00517711" w:rsidRDefault="00F815BE">
            <w:pPr>
              <w:pStyle w:val="aff1"/>
            </w:pPr>
            <w:r>
              <w:t>960 000</w:t>
            </w:r>
          </w:p>
        </w:tc>
        <w:tc>
          <w:tcPr>
            <w:tcW w:w="1397" w:type="pct"/>
            <w:noWrap/>
          </w:tcPr>
          <w:p w:rsidR="00517711" w:rsidRDefault="00F815BE">
            <w:pPr>
              <w:pStyle w:val="aff1"/>
            </w:pPr>
            <w:r>
              <w:t>2 880 000</w:t>
            </w:r>
          </w:p>
        </w:tc>
      </w:tr>
      <w:tr w:rsidR="00517711">
        <w:trPr>
          <w:trHeight w:val="20"/>
        </w:trPr>
        <w:tc>
          <w:tcPr>
            <w:tcW w:w="2082" w:type="pct"/>
            <w:noWrap/>
          </w:tcPr>
          <w:p w:rsidR="00517711" w:rsidRDefault="00F815BE">
            <w:pPr>
              <w:pStyle w:val="aff1"/>
            </w:pPr>
            <w:r>
              <w:t>Пожарная система</w:t>
            </w:r>
          </w:p>
        </w:tc>
        <w:tc>
          <w:tcPr>
            <w:tcW w:w="616" w:type="pct"/>
            <w:noWrap/>
          </w:tcPr>
          <w:p w:rsidR="00517711" w:rsidRDefault="00F815BE">
            <w:pPr>
              <w:pStyle w:val="aff1"/>
            </w:pPr>
            <w:r>
              <w:t>1</w:t>
            </w:r>
          </w:p>
        </w:tc>
        <w:tc>
          <w:tcPr>
            <w:tcW w:w="905" w:type="pct"/>
            <w:noWrap/>
          </w:tcPr>
          <w:p w:rsidR="00517711" w:rsidRDefault="00F815BE">
            <w:pPr>
              <w:pStyle w:val="aff1"/>
            </w:pPr>
            <w:r>
              <w:t>109 000</w:t>
            </w:r>
          </w:p>
        </w:tc>
        <w:tc>
          <w:tcPr>
            <w:tcW w:w="1397" w:type="pct"/>
            <w:noWrap/>
          </w:tcPr>
          <w:p w:rsidR="00517711" w:rsidRDefault="00F815BE">
            <w:pPr>
              <w:pStyle w:val="aff1"/>
            </w:pPr>
            <w:r>
              <w:t>292 640</w:t>
            </w:r>
          </w:p>
        </w:tc>
      </w:tr>
      <w:tr w:rsidR="00517711">
        <w:trPr>
          <w:trHeight w:val="20"/>
        </w:trPr>
        <w:tc>
          <w:tcPr>
            <w:tcW w:w="2082" w:type="pct"/>
            <w:noWrap/>
          </w:tcPr>
          <w:p w:rsidR="00517711" w:rsidRDefault="00F815BE">
            <w:pPr>
              <w:pStyle w:val="aff1"/>
            </w:pPr>
            <w:r>
              <w:t>Контроль доступа (видеокамеры, охрана)</w:t>
            </w:r>
          </w:p>
        </w:tc>
        <w:tc>
          <w:tcPr>
            <w:tcW w:w="616" w:type="pct"/>
            <w:noWrap/>
          </w:tcPr>
          <w:p w:rsidR="00517711" w:rsidRDefault="00F815BE">
            <w:pPr>
              <w:pStyle w:val="aff1"/>
            </w:pPr>
            <w:r>
              <w:t> </w:t>
            </w:r>
          </w:p>
        </w:tc>
        <w:tc>
          <w:tcPr>
            <w:tcW w:w="905" w:type="pct"/>
            <w:noWrap/>
          </w:tcPr>
          <w:p w:rsidR="00517711" w:rsidRDefault="00F815BE">
            <w:pPr>
              <w:pStyle w:val="aff1"/>
            </w:pPr>
            <w:r>
              <w:t>962 120</w:t>
            </w:r>
          </w:p>
        </w:tc>
        <w:tc>
          <w:tcPr>
            <w:tcW w:w="1397" w:type="pct"/>
            <w:noWrap/>
          </w:tcPr>
          <w:p w:rsidR="00517711" w:rsidRDefault="00F815BE">
            <w:pPr>
              <w:pStyle w:val="aff1"/>
            </w:pPr>
            <w:r>
              <w:t>962 120</w:t>
            </w:r>
          </w:p>
        </w:tc>
      </w:tr>
      <w:tr w:rsidR="00517711">
        <w:trPr>
          <w:trHeight w:val="20"/>
        </w:trPr>
        <w:tc>
          <w:tcPr>
            <w:tcW w:w="2082" w:type="pct"/>
            <w:noWrap/>
          </w:tcPr>
          <w:p w:rsidR="00517711" w:rsidRDefault="00F815BE">
            <w:pPr>
              <w:pStyle w:val="aff1"/>
            </w:pPr>
            <w:r>
              <w:t>Непредвиденные расходы</w:t>
            </w:r>
          </w:p>
        </w:tc>
        <w:tc>
          <w:tcPr>
            <w:tcW w:w="616" w:type="pct"/>
            <w:noWrap/>
          </w:tcPr>
          <w:p w:rsidR="00517711" w:rsidRDefault="00F815BE">
            <w:pPr>
              <w:pStyle w:val="aff1"/>
            </w:pPr>
            <w:r>
              <w:t> </w:t>
            </w:r>
          </w:p>
        </w:tc>
        <w:tc>
          <w:tcPr>
            <w:tcW w:w="905" w:type="pct"/>
            <w:noWrap/>
          </w:tcPr>
          <w:p w:rsidR="00517711" w:rsidRDefault="00F815BE">
            <w:pPr>
              <w:pStyle w:val="aff1"/>
            </w:pPr>
            <w:r>
              <w:t> </w:t>
            </w:r>
          </w:p>
        </w:tc>
        <w:tc>
          <w:tcPr>
            <w:tcW w:w="1397" w:type="pct"/>
            <w:noWrap/>
          </w:tcPr>
          <w:p w:rsidR="00517711" w:rsidRDefault="00F815BE">
            <w:pPr>
              <w:pStyle w:val="aff1"/>
            </w:pPr>
            <w:r>
              <w:t>5 047 782</w:t>
            </w:r>
          </w:p>
        </w:tc>
      </w:tr>
      <w:tr w:rsidR="00517711">
        <w:trPr>
          <w:trHeight w:val="20"/>
        </w:trPr>
        <w:tc>
          <w:tcPr>
            <w:tcW w:w="2082" w:type="pct"/>
            <w:noWrap/>
          </w:tcPr>
          <w:p w:rsidR="00517711" w:rsidRDefault="00F815BE">
            <w:pPr>
              <w:pStyle w:val="aff1"/>
            </w:pPr>
            <w:r>
              <w:t>ИТОГО:</w:t>
            </w:r>
          </w:p>
        </w:tc>
        <w:tc>
          <w:tcPr>
            <w:tcW w:w="616" w:type="pct"/>
            <w:noWrap/>
          </w:tcPr>
          <w:p w:rsidR="00517711" w:rsidRDefault="00F815BE">
            <w:pPr>
              <w:pStyle w:val="aff1"/>
            </w:pPr>
            <w:r>
              <w:t> </w:t>
            </w:r>
          </w:p>
        </w:tc>
        <w:tc>
          <w:tcPr>
            <w:tcW w:w="905" w:type="pct"/>
            <w:noWrap/>
          </w:tcPr>
          <w:p w:rsidR="00517711" w:rsidRDefault="00F815BE">
            <w:pPr>
              <w:pStyle w:val="aff1"/>
            </w:pPr>
            <w:r>
              <w:t> </w:t>
            </w:r>
          </w:p>
        </w:tc>
        <w:tc>
          <w:tcPr>
            <w:tcW w:w="1397" w:type="pct"/>
            <w:noWrap/>
          </w:tcPr>
          <w:p w:rsidR="00517711" w:rsidRDefault="00F815BE">
            <w:pPr>
              <w:pStyle w:val="aff1"/>
            </w:pPr>
            <w:r>
              <w:t>58 211 640</w:t>
            </w:r>
          </w:p>
        </w:tc>
      </w:tr>
    </w:tbl>
    <w:p w:rsidR="00517711" w:rsidRDefault="00517711">
      <w:pPr>
        <w:spacing w:after="0" w:line="240" w:lineRule="auto"/>
        <w:ind w:firstLine="709"/>
        <w:rPr>
          <w:rFonts w:ascii="Times New Roman" w:hAnsi="Times New Roman"/>
          <w:sz w:val="20"/>
          <w:szCs w:val="24"/>
        </w:rPr>
      </w:pP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Приблизительная стоимость проектирования, строительства и оборудования склада, согласно таблице 5, составляет 58 211 640 рублей. Наибольшие затраты идут на строительство, стеллажи, погрузчики и WMS систему. Погрузчиков приобретается всего 3 штуки, так как на арендованном складе у компании есть свои погрузчики.</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Для того, чтобы увидеть на сколько изменились бы доходы и расходы компании на планируемом складе, в таблице 6 был проведен анализ доходов и расходов на планируемом складе.</w:t>
      </w:r>
    </w:p>
    <w:p w:rsidR="00517711" w:rsidRDefault="00F815BE">
      <w:pPr>
        <w:pStyle w:val="aff0"/>
      </w:pPr>
      <w:r>
        <w:t xml:space="preserve">Таблица 6 </w:t>
      </w:r>
    </w:p>
    <w:p w:rsidR="00517711" w:rsidRDefault="00F815BE">
      <w:pPr>
        <w:pStyle w:val="afa"/>
        <w:keepNext/>
        <w:widowControl/>
        <w:spacing w:before="120" w:after="120"/>
        <w:jc w:val="center"/>
        <w:outlineLvl w:val="0"/>
        <w:rPr>
          <w:b/>
          <w:sz w:val="20"/>
          <w:szCs w:val="20"/>
        </w:rPr>
      </w:pPr>
      <w:r>
        <w:rPr>
          <w:b/>
          <w:sz w:val="20"/>
          <w:szCs w:val="20"/>
        </w:rPr>
        <w:t>Анализ доходов и расходов на планируемом складе</w:t>
      </w:r>
    </w:p>
    <w:tbl>
      <w:tblPr>
        <w:tblW w:w="4946" w:type="pct"/>
        <w:tblLook w:val="04A0" w:firstRow="1" w:lastRow="0" w:firstColumn="1" w:lastColumn="0" w:noHBand="0" w:noVBand="1"/>
      </w:tblPr>
      <w:tblGrid>
        <w:gridCol w:w="6328"/>
        <w:gridCol w:w="3420"/>
      </w:tblGrid>
      <w:tr w:rsidR="00517711">
        <w:trPr>
          <w:trHeight w:val="300"/>
        </w:trPr>
        <w:tc>
          <w:tcPr>
            <w:tcW w:w="5000" w:type="pct"/>
            <w:gridSpan w:val="2"/>
            <w:tcBorders>
              <w:top w:val="single" w:sz="4" w:space="0" w:color="auto"/>
              <w:left w:val="single" w:sz="4" w:space="0" w:color="auto"/>
              <w:bottom w:val="single" w:sz="4" w:space="0" w:color="auto"/>
              <w:right w:val="single" w:sz="4" w:space="0" w:color="auto"/>
            </w:tcBorders>
            <w:noWrap/>
            <w:vAlign w:val="bottom"/>
          </w:tcPr>
          <w:p w:rsidR="00517711" w:rsidRDefault="00F815BE">
            <w:pPr>
              <w:pStyle w:val="13"/>
            </w:pPr>
            <w:r>
              <w:t>Доходы</w:t>
            </w:r>
          </w:p>
        </w:tc>
      </w:tr>
      <w:tr w:rsidR="00517711">
        <w:trPr>
          <w:trHeight w:val="300"/>
        </w:trPr>
        <w:tc>
          <w:tcPr>
            <w:tcW w:w="3246"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13"/>
            </w:pPr>
            <w:r>
              <w:t> </w:t>
            </w:r>
          </w:p>
        </w:tc>
        <w:tc>
          <w:tcPr>
            <w:tcW w:w="1754"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13"/>
            </w:pPr>
            <w:r>
              <w:t>сумма за год</w:t>
            </w:r>
          </w:p>
        </w:tc>
      </w:tr>
      <w:tr w:rsidR="00517711">
        <w:trPr>
          <w:trHeight w:val="300"/>
        </w:trPr>
        <w:tc>
          <w:tcPr>
            <w:tcW w:w="3246"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Хранение</w:t>
            </w:r>
          </w:p>
        </w:tc>
        <w:tc>
          <w:tcPr>
            <w:tcW w:w="1754"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34 776 000</w:t>
            </w:r>
          </w:p>
        </w:tc>
      </w:tr>
      <w:tr w:rsidR="00517711">
        <w:trPr>
          <w:trHeight w:val="300"/>
        </w:trPr>
        <w:tc>
          <w:tcPr>
            <w:tcW w:w="3246"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Погрузка</w:t>
            </w:r>
          </w:p>
        </w:tc>
        <w:tc>
          <w:tcPr>
            <w:tcW w:w="1754"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18 596 466</w:t>
            </w:r>
          </w:p>
        </w:tc>
      </w:tr>
      <w:tr w:rsidR="00517711">
        <w:trPr>
          <w:trHeight w:val="300"/>
        </w:trPr>
        <w:tc>
          <w:tcPr>
            <w:tcW w:w="3246"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Итого доходы</w:t>
            </w:r>
          </w:p>
        </w:tc>
        <w:tc>
          <w:tcPr>
            <w:tcW w:w="1754"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53 372 466</w:t>
            </w:r>
          </w:p>
        </w:tc>
      </w:tr>
      <w:tr w:rsidR="00517711">
        <w:trPr>
          <w:trHeight w:val="300"/>
        </w:trPr>
        <w:tc>
          <w:tcPr>
            <w:tcW w:w="5000" w:type="pct"/>
            <w:gridSpan w:val="2"/>
            <w:tcBorders>
              <w:top w:val="none" w:sz="4" w:space="0" w:color="000000"/>
              <w:left w:val="single" w:sz="4" w:space="0" w:color="auto"/>
              <w:bottom w:val="single" w:sz="4" w:space="0" w:color="auto"/>
              <w:right w:val="single" w:sz="4" w:space="0" w:color="auto"/>
            </w:tcBorders>
            <w:noWrap/>
            <w:vAlign w:val="bottom"/>
          </w:tcPr>
          <w:p w:rsidR="00517711" w:rsidRDefault="00F815BE">
            <w:pPr>
              <w:pStyle w:val="13"/>
            </w:pPr>
            <w:r>
              <w:t>Расходы</w:t>
            </w:r>
          </w:p>
        </w:tc>
      </w:tr>
      <w:tr w:rsidR="00517711">
        <w:trPr>
          <w:trHeight w:val="300"/>
        </w:trPr>
        <w:tc>
          <w:tcPr>
            <w:tcW w:w="3246"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Зарплата (ФОТ)</w:t>
            </w:r>
          </w:p>
        </w:tc>
        <w:tc>
          <w:tcPr>
            <w:tcW w:w="1754"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6 936 000</w:t>
            </w:r>
          </w:p>
        </w:tc>
      </w:tr>
      <w:tr w:rsidR="00517711">
        <w:trPr>
          <w:trHeight w:val="300"/>
        </w:trPr>
        <w:tc>
          <w:tcPr>
            <w:tcW w:w="3246"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Налог с ФОТ 7,6%</w:t>
            </w:r>
          </w:p>
        </w:tc>
        <w:tc>
          <w:tcPr>
            <w:tcW w:w="1754"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527 136</w:t>
            </w:r>
          </w:p>
        </w:tc>
      </w:tr>
      <w:tr w:rsidR="00517711">
        <w:trPr>
          <w:trHeight w:val="300"/>
        </w:trPr>
        <w:tc>
          <w:tcPr>
            <w:tcW w:w="3246"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Плата за электроэнергию</w:t>
            </w:r>
          </w:p>
        </w:tc>
        <w:tc>
          <w:tcPr>
            <w:tcW w:w="1754"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7 013 278</w:t>
            </w:r>
          </w:p>
        </w:tc>
      </w:tr>
      <w:tr w:rsidR="00517711">
        <w:trPr>
          <w:trHeight w:val="300"/>
        </w:trPr>
        <w:tc>
          <w:tcPr>
            <w:tcW w:w="3246"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Плата за воду холодную</w:t>
            </w:r>
          </w:p>
        </w:tc>
        <w:tc>
          <w:tcPr>
            <w:tcW w:w="1754"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105 001</w:t>
            </w:r>
          </w:p>
        </w:tc>
      </w:tr>
      <w:tr w:rsidR="00517711">
        <w:trPr>
          <w:trHeight w:val="300"/>
        </w:trPr>
        <w:tc>
          <w:tcPr>
            <w:tcW w:w="3246"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Прочие расходы</w:t>
            </w:r>
          </w:p>
        </w:tc>
        <w:tc>
          <w:tcPr>
            <w:tcW w:w="1754"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828 000</w:t>
            </w:r>
          </w:p>
        </w:tc>
      </w:tr>
      <w:tr w:rsidR="00517711">
        <w:trPr>
          <w:trHeight w:val="300"/>
        </w:trPr>
        <w:tc>
          <w:tcPr>
            <w:tcW w:w="3246"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Итого расходы</w:t>
            </w:r>
          </w:p>
        </w:tc>
        <w:tc>
          <w:tcPr>
            <w:tcW w:w="1754"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15 409 415</w:t>
            </w:r>
          </w:p>
        </w:tc>
      </w:tr>
      <w:tr w:rsidR="00517711">
        <w:trPr>
          <w:trHeight w:val="300"/>
        </w:trPr>
        <w:tc>
          <w:tcPr>
            <w:tcW w:w="5000" w:type="pct"/>
            <w:gridSpan w:val="2"/>
            <w:tcBorders>
              <w:top w:val="none" w:sz="4" w:space="0" w:color="000000"/>
              <w:left w:val="single" w:sz="4" w:space="0" w:color="auto"/>
              <w:bottom w:val="single" w:sz="4" w:space="0" w:color="auto"/>
              <w:right w:val="single" w:sz="4" w:space="0" w:color="auto"/>
            </w:tcBorders>
            <w:noWrap/>
            <w:vAlign w:val="bottom"/>
          </w:tcPr>
          <w:p w:rsidR="00517711" w:rsidRDefault="00F815BE">
            <w:pPr>
              <w:pStyle w:val="13"/>
            </w:pPr>
            <w:r>
              <w:t>Прибыль</w:t>
            </w:r>
          </w:p>
        </w:tc>
      </w:tr>
      <w:tr w:rsidR="00517711">
        <w:trPr>
          <w:trHeight w:val="300"/>
        </w:trPr>
        <w:tc>
          <w:tcPr>
            <w:tcW w:w="3246"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Валовая прибыль</w:t>
            </w:r>
          </w:p>
        </w:tc>
        <w:tc>
          <w:tcPr>
            <w:tcW w:w="1754"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37 963 051</w:t>
            </w:r>
          </w:p>
        </w:tc>
      </w:tr>
    </w:tbl>
    <w:p w:rsidR="00517711" w:rsidRDefault="00517711">
      <w:pPr>
        <w:spacing w:after="0" w:line="240" w:lineRule="auto"/>
        <w:ind w:firstLine="709"/>
        <w:rPr>
          <w:rFonts w:ascii="Times New Roman" w:hAnsi="Times New Roman"/>
          <w:sz w:val="20"/>
          <w:szCs w:val="24"/>
        </w:rPr>
      </w:pP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lastRenderedPageBreak/>
        <w:t>Благодаря расчетам, приведенным в таблице 6 можно увидеть, что за счет того, что были уменьшены размеры склада, минимизировались и затраты. Общие предполагаемые затраты за год составляют 15 409 415 рублей, что на 19 428 844 рубля меньше, чем в арендованном складе. Для проектируемого склада было решено увеличить стоимость услуг хранения продукции на 5 рублей и стоимость погрузки на 10 рублей, так как качество склада улучшилось и клиент может быть уверен, что с его продукцией ничего не случится и благодаря этому доходы компании увеличились на 3 151 948 рублей. Прибыль же склада за год составит 37 963 051 рубль, что на 22 580 792 рубля больше, чем составляет прибыль компании на арендованном складе.</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 xml:space="preserve"> Рентабельность услуг хранения на планируемом холодильном складе ответственного хранения составит 71 процент, а это в два раза больше, чем рентабельность на арендованном складе.</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В таблице 7 наглядно показано, какие именно сократятся затраты у компании на предполагаемом складе.</w:t>
      </w:r>
    </w:p>
    <w:p w:rsidR="00517711" w:rsidRDefault="00F815BE">
      <w:pPr>
        <w:pStyle w:val="aff0"/>
      </w:pPr>
      <w:r>
        <w:t>Таблица 7</w:t>
      </w:r>
    </w:p>
    <w:p w:rsidR="00517711" w:rsidRDefault="00F815BE">
      <w:pPr>
        <w:pStyle w:val="afa"/>
        <w:keepNext/>
        <w:widowControl/>
        <w:spacing w:before="120" w:after="120"/>
        <w:jc w:val="center"/>
        <w:outlineLvl w:val="0"/>
        <w:rPr>
          <w:b/>
          <w:sz w:val="20"/>
          <w:szCs w:val="20"/>
        </w:rPr>
      </w:pPr>
      <w:r>
        <w:rPr>
          <w:b/>
          <w:sz w:val="20"/>
          <w:szCs w:val="20"/>
        </w:rPr>
        <w:t>Сравнительная таблица годовых затрат арендованного и планируемого склада</w:t>
      </w:r>
    </w:p>
    <w:tbl>
      <w:tblPr>
        <w:tblW w:w="5000" w:type="pct"/>
        <w:tblLook w:val="04A0" w:firstRow="1" w:lastRow="0" w:firstColumn="1" w:lastColumn="0" w:noHBand="0" w:noVBand="1"/>
      </w:tblPr>
      <w:tblGrid>
        <w:gridCol w:w="3384"/>
        <w:gridCol w:w="1996"/>
        <w:gridCol w:w="2580"/>
        <w:gridCol w:w="1894"/>
      </w:tblGrid>
      <w:tr w:rsidR="00517711">
        <w:trPr>
          <w:trHeight w:val="283"/>
        </w:trPr>
        <w:tc>
          <w:tcPr>
            <w:tcW w:w="1717" w:type="pct"/>
            <w:tcBorders>
              <w:top w:val="single" w:sz="8" w:space="0" w:color="auto"/>
              <w:left w:val="single" w:sz="8" w:space="0" w:color="auto"/>
              <w:bottom w:val="single" w:sz="8" w:space="0" w:color="auto"/>
              <w:right w:val="single" w:sz="8" w:space="0" w:color="auto"/>
            </w:tcBorders>
            <w:noWrap/>
            <w:vAlign w:val="center"/>
          </w:tcPr>
          <w:p w:rsidR="00517711" w:rsidRDefault="00F815BE">
            <w:pPr>
              <w:pStyle w:val="13"/>
            </w:pPr>
            <w:r>
              <w:t>Показатели</w:t>
            </w:r>
          </w:p>
        </w:tc>
        <w:tc>
          <w:tcPr>
            <w:tcW w:w="1013" w:type="pct"/>
            <w:tcBorders>
              <w:top w:val="single" w:sz="8" w:space="0" w:color="auto"/>
              <w:left w:val="none" w:sz="4" w:space="0" w:color="000000"/>
              <w:bottom w:val="single" w:sz="8" w:space="0" w:color="auto"/>
              <w:right w:val="single" w:sz="8" w:space="0" w:color="auto"/>
            </w:tcBorders>
            <w:noWrap/>
            <w:vAlign w:val="center"/>
          </w:tcPr>
          <w:p w:rsidR="00517711" w:rsidRDefault="00F815BE">
            <w:pPr>
              <w:pStyle w:val="13"/>
            </w:pPr>
            <w:r>
              <w:t>Настоящий склад</w:t>
            </w:r>
          </w:p>
        </w:tc>
        <w:tc>
          <w:tcPr>
            <w:tcW w:w="1309" w:type="pct"/>
            <w:tcBorders>
              <w:top w:val="single" w:sz="8" w:space="0" w:color="auto"/>
              <w:left w:val="none" w:sz="4" w:space="0" w:color="000000"/>
              <w:bottom w:val="single" w:sz="8" w:space="0" w:color="auto"/>
              <w:right w:val="single" w:sz="8" w:space="0" w:color="auto"/>
            </w:tcBorders>
            <w:noWrap/>
            <w:vAlign w:val="center"/>
          </w:tcPr>
          <w:p w:rsidR="00517711" w:rsidRDefault="00F815BE">
            <w:pPr>
              <w:pStyle w:val="13"/>
            </w:pPr>
            <w:r>
              <w:t>Предполагаемый склад</w:t>
            </w:r>
          </w:p>
        </w:tc>
        <w:tc>
          <w:tcPr>
            <w:tcW w:w="961" w:type="pct"/>
            <w:tcBorders>
              <w:top w:val="single" w:sz="8" w:space="0" w:color="auto"/>
              <w:left w:val="none" w:sz="4" w:space="0" w:color="000000"/>
              <w:bottom w:val="single" w:sz="8" w:space="0" w:color="auto"/>
              <w:right w:val="single" w:sz="8" w:space="0" w:color="auto"/>
            </w:tcBorders>
            <w:noWrap/>
            <w:vAlign w:val="center"/>
          </w:tcPr>
          <w:p w:rsidR="00517711" w:rsidRDefault="00F815BE">
            <w:pPr>
              <w:pStyle w:val="13"/>
            </w:pPr>
            <w:r>
              <w:t>Изменения (+; -)</w:t>
            </w:r>
          </w:p>
        </w:tc>
      </w:tr>
      <w:tr w:rsidR="00517711">
        <w:trPr>
          <w:trHeight w:val="283"/>
        </w:trPr>
        <w:tc>
          <w:tcPr>
            <w:tcW w:w="1717" w:type="pct"/>
            <w:tcBorders>
              <w:top w:val="none" w:sz="4" w:space="0" w:color="000000"/>
              <w:left w:val="single" w:sz="8" w:space="0" w:color="auto"/>
              <w:bottom w:val="single" w:sz="8" w:space="0" w:color="auto"/>
              <w:right w:val="single" w:sz="8" w:space="0" w:color="auto"/>
            </w:tcBorders>
            <w:noWrap/>
            <w:vAlign w:val="center"/>
          </w:tcPr>
          <w:p w:rsidR="00517711" w:rsidRDefault="00F815BE">
            <w:pPr>
              <w:pStyle w:val="aff1"/>
            </w:pPr>
            <w:r>
              <w:t>Зарплата (ФОТ)</w:t>
            </w:r>
          </w:p>
        </w:tc>
        <w:tc>
          <w:tcPr>
            <w:tcW w:w="1013"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6 936 000</w:t>
            </w:r>
          </w:p>
        </w:tc>
        <w:tc>
          <w:tcPr>
            <w:tcW w:w="1309"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6 936 000</w:t>
            </w:r>
          </w:p>
        </w:tc>
        <w:tc>
          <w:tcPr>
            <w:tcW w:w="961"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0</w:t>
            </w:r>
          </w:p>
        </w:tc>
      </w:tr>
      <w:tr w:rsidR="00517711">
        <w:trPr>
          <w:trHeight w:val="283"/>
        </w:trPr>
        <w:tc>
          <w:tcPr>
            <w:tcW w:w="1717" w:type="pct"/>
            <w:tcBorders>
              <w:top w:val="none" w:sz="4" w:space="0" w:color="000000"/>
              <w:left w:val="single" w:sz="8" w:space="0" w:color="auto"/>
              <w:bottom w:val="single" w:sz="8" w:space="0" w:color="auto"/>
              <w:right w:val="single" w:sz="8" w:space="0" w:color="auto"/>
            </w:tcBorders>
            <w:noWrap/>
            <w:vAlign w:val="center"/>
          </w:tcPr>
          <w:p w:rsidR="00517711" w:rsidRDefault="00F815BE">
            <w:pPr>
              <w:pStyle w:val="aff1"/>
            </w:pPr>
            <w:r>
              <w:t>Налог с ФОТ 7,6%</w:t>
            </w:r>
          </w:p>
        </w:tc>
        <w:tc>
          <w:tcPr>
            <w:tcW w:w="1013"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527 136</w:t>
            </w:r>
          </w:p>
        </w:tc>
        <w:tc>
          <w:tcPr>
            <w:tcW w:w="1309"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527 136</w:t>
            </w:r>
          </w:p>
        </w:tc>
        <w:tc>
          <w:tcPr>
            <w:tcW w:w="961"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0</w:t>
            </w:r>
          </w:p>
        </w:tc>
      </w:tr>
      <w:tr w:rsidR="00517711">
        <w:trPr>
          <w:trHeight w:val="283"/>
        </w:trPr>
        <w:tc>
          <w:tcPr>
            <w:tcW w:w="1717" w:type="pct"/>
            <w:tcBorders>
              <w:top w:val="none" w:sz="4" w:space="0" w:color="000000"/>
              <w:left w:val="single" w:sz="8" w:space="0" w:color="auto"/>
              <w:bottom w:val="single" w:sz="8" w:space="0" w:color="auto"/>
              <w:right w:val="single" w:sz="8" w:space="0" w:color="auto"/>
            </w:tcBorders>
            <w:noWrap/>
            <w:vAlign w:val="center"/>
          </w:tcPr>
          <w:p w:rsidR="00517711" w:rsidRDefault="00F815BE">
            <w:pPr>
              <w:pStyle w:val="aff1"/>
            </w:pPr>
            <w:r>
              <w:t>Затраты на электричество, руб.</w:t>
            </w:r>
          </w:p>
        </w:tc>
        <w:tc>
          <w:tcPr>
            <w:tcW w:w="1013"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14 005 922</w:t>
            </w:r>
          </w:p>
        </w:tc>
        <w:tc>
          <w:tcPr>
            <w:tcW w:w="1309"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7 013 278</w:t>
            </w:r>
          </w:p>
        </w:tc>
        <w:tc>
          <w:tcPr>
            <w:tcW w:w="961"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-6 992 644</w:t>
            </w:r>
          </w:p>
        </w:tc>
      </w:tr>
      <w:tr w:rsidR="00517711">
        <w:trPr>
          <w:trHeight w:val="283"/>
        </w:trPr>
        <w:tc>
          <w:tcPr>
            <w:tcW w:w="1717" w:type="pct"/>
            <w:tcBorders>
              <w:top w:val="none" w:sz="4" w:space="0" w:color="000000"/>
              <w:left w:val="single" w:sz="8" w:space="0" w:color="auto"/>
              <w:bottom w:val="single" w:sz="8" w:space="0" w:color="auto"/>
              <w:right w:val="single" w:sz="8" w:space="0" w:color="auto"/>
            </w:tcBorders>
            <w:noWrap/>
            <w:vAlign w:val="center"/>
          </w:tcPr>
          <w:p w:rsidR="00517711" w:rsidRDefault="00F815BE">
            <w:pPr>
              <w:pStyle w:val="aff1"/>
            </w:pPr>
            <w:r>
              <w:t>Затраты на воду, руб.</w:t>
            </w:r>
          </w:p>
        </w:tc>
        <w:tc>
          <w:tcPr>
            <w:tcW w:w="1013"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210 002</w:t>
            </w:r>
          </w:p>
        </w:tc>
        <w:tc>
          <w:tcPr>
            <w:tcW w:w="1309"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105 001</w:t>
            </w:r>
          </w:p>
        </w:tc>
        <w:tc>
          <w:tcPr>
            <w:tcW w:w="961"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-105 001</w:t>
            </w:r>
          </w:p>
        </w:tc>
      </w:tr>
      <w:tr w:rsidR="00517711">
        <w:trPr>
          <w:trHeight w:val="283"/>
        </w:trPr>
        <w:tc>
          <w:tcPr>
            <w:tcW w:w="1717" w:type="pct"/>
            <w:tcBorders>
              <w:top w:val="none" w:sz="4" w:space="0" w:color="000000"/>
              <w:left w:val="single" w:sz="8" w:space="0" w:color="auto"/>
              <w:bottom w:val="single" w:sz="8" w:space="0" w:color="auto"/>
              <w:right w:val="single" w:sz="8" w:space="0" w:color="auto"/>
            </w:tcBorders>
            <w:noWrap/>
            <w:vAlign w:val="center"/>
          </w:tcPr>
          <w:p w:rsidR="00517711" w:rsidRDefault="00F815BE">
            <w:pPr>
              <w:pStyle w:val="aff1"/>
            </w:pPr>
            <w:r>
              <w:t>Аренда склада, руб.</w:t>
            </w:r>
          </w:p>
        </w:tc>
        <w:tc>
          <w:tcPr>
            <w:tcW w:w="1013"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12 000 000</w:t>
            </w:r>
          </w:p>
        </w:tc>
        <w:tc>
          <w:tcPr>
            <w:tcW w:w="1309"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 </w:t>
            </w:r>
          </w:p>
        </w:tc>
        <w:tc>
          <w:tcPr>
            <w:tcW w:w="961"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-12 000 000</w:t>
            </w:r>
          </w:p>
        </w:tc>
      </w:tr>
      <w:tr w:rsidR="00517711">
        <w:trPr>
          <w:trHeight w:val="283"/>
        </w:trPr>
        <w:tc>
          <w:tcPr>
            <w:tcW w:w="1717" w:type="pct"/>
            <w:tcBorders>
              <w:top w:val="none" w:sz="4" w:space="0" w:color="000000"/>
              <w:left w:val="single" w:sz="8" w:space="0" w:color="auto"/>
              <w:bottom w:val="single" w:sz="8" w:space="0" w:color="auto"/>
              <w:right w:val="single" w:sz="8" w:space="0" w:color="auto"/>
            </w:tcBorders>
            <w:noWrap/>
            <w:vAlign w:val="center"/>
          </w:tcPr>
          <w:p w:rsidR="00517711" w:rsidRDefault="00F815BE">
            <w:pPr>
              <w:pStyle w:val="aff1"/>
            </w:pPr>
            <w:r>
              <w:t>Прочие расходы, руб.</w:t>
            </w:r>
          </w:p>
        </w:tc>
        <w:tc>
          <w:tcPr>
            <w:tcW w:w="1013"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1 159 200</w:t>
            </w:r>
          </w:p>
        </w:tc>
        <w:tc>
          <w:tcPr>
            <w:tcW w:w="1309"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828 000</w:t>
            </w:r>
          </w:p>
        </w:tc>
        <w:tc>
          <w:tcPr>
            <w:tcW w:w="961"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-331 200</w:t>
            </w:r>
          </w:p>
        </w:tc>
      </w:tr>
      <w:tr w:rsidR="00517711">
        <w:trPr>
          <w:trHeight w:val="283"/>
        </w:trPr>
        <w:tc>
          <w:tcPr>
            <w:tcW w:w="1717" w:type="pct"/>
            <w:tcBorders>
              <w:top w:val="none" w:sz="4" w:space="0" w:color="000000"/>
              <w:left w:val="single" w:sz="8" w:space="0" w:color="auto"/>
              <w:bottom w:val="single" w:sz="8" w:space="0" w:color="auto"/>
              <w:right w:val="single" w:sz="8" w:space="0" w:color="auto"/>
            </w:tcBorders>
            <w:noWrap/>
            <w:vAlign w:val="center"/>
          </w:tcPr>
          <w:p w:rsidR="00517711" w:rsidRDefault="00F815BE">
            <w:pPr>
              <w:pStyle w:val="aff1"/>
            </w:pPr>
            <w:r>
              <w:t>Итого</w:t>
            </w:r>
          </w:p>
        </w:tc>
        <w:tc>
          <w:tcPr>
            <w:tcW w:w="1013"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34 838 260</w:t>
            </w:r>
          </w:p>
        </w:tc>
        <w:tc>
          <w:tcPr>
            <w:tcW w:w="1309"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15 409 415</w:t>
            </w:r>
          </w:p>
        </w:tc>
        <w:tc>
          <w:tcPr>
            <w:tcW w:w="961"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-19 428 845</w:t>
            </w:r>
          </w:p>
        </w:tc>
      </w:tr>
    </w:tbl>
    <w:p w:rsidR="00517711" w:rsidRDefault="00517711">
      <w:pPr>
        <w:spacing w:after="0" w:line="240" w:lineRule="auto"/>
        <w:ind w:firstLine="709"/>
        <w:rPr>
          <w:rFonts w:ascii="Times New Roman" w:hAnsi="Times New Roman"/>
          <w:sz w:val="20"/>
          <w:szCs w:val="24"/>
        </w:rPr>
      </w:pP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 xml:space="preserve">Благодаря тому, что предполагаемый склад будет меньше, компания сможет экономить в год 19 428 845 рублей в год. Основная экономия будет идти за счет меньшего энергопотребления, так как площадь будет меньше и оборудование более современное и отказа от аренды склада. В настоящее время холодильный склад ответственного хранения компании «Х» потребляет в год 3956,475 МВт, согласно данным 2017 года, это 14 005 922 рублей, а в день 38 905,34 рублей, за счет уменьшения площади склада и установки более современного оборудования, склад будет потреблять 1981,152 МВт в год, это 7 013 278   рублей в год, что на 6 992 643 рублей меньше, чем на арендованном складе.  </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Данный анализ показал, что за небольшие инвестиции, можно вывести на рынок г. Владивосток небольшой современный холодильный склад ответственного хранения, который в полном объеме удовлетворял бы потребности потребителей и стал бы первым автоматизированным холодильным складом ответственного хранения в г. Владивосток.</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____________________________________</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 xml:space="preserve">1. Белозерцева Н.П., Локша А.В., Петрова Н.И. Методы оптимизации логистических затрат / Азимут научных исследований: экономика и управление – 2017, т.6, №4(21), с. 50-54. </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2. Казиев В. Холодильный склад//Продиндустрия. 2009, май – июнь (часть 1), июль август (часть 2)</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3. Сергейчев А.Ю. Организация и внедрение адресной системы склада // Складские технологии. – 2005. – № 6. – С. 17–19.</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4. Тюльменков В.Н., Замятина О.М. Эффективное управление складом на базе адресной системы хранения // Молодежь и современные информационные технологии: Сб. трудов 4ой Все росс. Научно. практ. конф. студентов, аспирантов и молодых ученых. – Томск, 2006. – С. 225–227</w:t>
      </w:r>
    </w:p>
    <w:p w:rsidR="00517711" w:rsidRDefault="00517711">
      <w:pPr>
        <w:pStyle w:val="af4"/>
        <w:spacing w:line="240" w:lineRule="auto"/>
        <w:ind w:left="851"/>
        <w:rPr>
          <w:rFonts w:ascii="Times New Roman" w:hAnsi="Times New Roman"/>
          <w:color w:val="000000"/>
          <w:sz w:val="24"/>
        </w:rPr>
      </w:pPr>
    </w:p>
    <w:p w:rsidR="00517711" w:rsidRDefault="00517711">
      <w:pPr>
        <w:spacing w:after="0" w:line="240" w:lineRule="auto"/>
        <w:jc w:val="both"/>
        <w:rPr>
          <w:rFonts w:ascii="Times New Roman" w:hAnsi="Times New Roman"/>
          <w:sz w:val="20"/>
          <w:szCs w:val="24"/>
        </w:rPr>
      </w:pPr>
    </w:p>
    <w:p w:rsidR="00517711" w:rsidRDefault="00517711"/>
    <w:p w:rsidR="00517711" w:rsidRDefault="00F815BE">
      <w:pPr>
        <w:rPr>
          <w:rFonts w:ascii="Book Antiqua" w:hAnsi="Book Antiqua"/>
          <w:b/>
          <w:sz w:val="24"/>
        </w:rPr>
      </w:pPr>
      <w:r>
        <w:rPr>
          <w:rFonts w:ascii="Book Antiqua" w:hAnsi="Book Antiqua"/>
          <w:b/>
          <w:sz w:val="24"/>
        </w:rPr>
        <w:br w:type="page"/>
      </w:r>
    </w:p>
    <w:p w:rsidR="00517711" w:rsidRDefault="00F815BE">
      <w:pPr>
        <w:jc w:val="center"/>
        <w:rPr>
          <w:rFonts w:ascii="Book Antiqua" w:hAnsi="Book Antiqua"/>
          <w:b/>
          <w:sz w:val="24"/>
        </w:rPr>
      </w:pPr>
      <w:r>
        <w:rPr>
          <w:rFonts w:ascii="Book Antiqua" w:hAnsi="Book Antiqua"/>
          <w:b/>
          <w:sz w:val="24"/>
        </w:rPr>
        <w:lastRenderedPageBreak/>
        <w:t>Секция. «В НАУКУ ПЕРВЫЕ ШАГИ» В РАМКАХ СЕКЦИИ «МАТЕМАТИЧЕСКОЕ МОДЕЛИРОВАНИЕ В ЭКОНОМИКЕ»</w:t>
      </w:r>
    </w:p>
    <w:p w:rsidR="00517711" w:rsidRDefault="00517711">
      <w:pPr>
        <w:rPr>
          <w:rFonts w:ascii="Times New Roman" w:hAnsi="Times New Roman"/>
          <w:b/>
          <w:color w:val="000000"/>
          <w:sz w:val="24"/>
          <w:szCs w:val="24"/>
        </w:rPr>
      </w:pPr>
    </w:p>
    <w:p w:rsidR="00517711" w:rsidRDefault="00F815BE">
      <w:pPr>
        <w:rPr>
          <w:rFonts w:ascii="Times New Roman" w:hAnsi="Times New Roman"/>
          <w:b/>
          <w:color w:val="000000"/>
          <w:sz w:val="20"/>
          <w:szCs w:val="24"/>
        </w:rPr>
      </w:pPr>
      <w:r>
        <w:rPr>
          <w:rFonts w:ascii="Times New Roman" w:hAnsi="Times New Roman"/>
          <w:b/>
          <w:color w:val="000000" w:themeColor="text1"/>
          <w:sz w:val="20"/>
          <w:szCs w:val="24"/>
        </w:rPr>
        <w:t>Рубрика: Сетевое планирование</w:t>
      </w:r>
    </w:p>
    <w:p w:rsidR="00517711" w:rsidRDefault="00F815BE">
      <w:pPr>
        <w:rPr>
          <w:rFonts w:ascii="Times New Roman" w:hAnsi="Times New Roman"/>
          <w:color w:val="000000"/>
          <w:sz w:val="20"/>
          <w:szCs w:val="24"/>
        </w:rPr>
      </w:pPr>
      <w:r>
        <w:rPr>
          <w:rFonts w:ascii="Times New Roman" w:hAnsi="Times New Roman"/>
          <w:color w:val="000000" w:themeColor="text1"/>
          <w:sz w:val="20"/>
          <w:szCs w:val="24"/>
        </w:rPr>
        <w:t>УДК 519.876.3</w:t>
      </w:r>
    </w:p>
    <w:p w:rsidR="00517711" w:rsidRDefault="00F815BE">
      <w:pPr>
        <w:jc w:val="center"/>
        <w:rPr>
          <w:rFonts w:ascii="Book Antiqua" w:hAnsi="Book Antiqua"/>
          <w:b/>
          <w:color w:val="000000"/>
          <w:sz w:val="26"/>
          <w:szCs w:val="26"/>
        </w:rPr>
      </w:pPr>
      <w:r>
        <w:rPr>
          <w:rFonts w:ascii="Book Antiqua" w:hAnsi="Book Antiqua"/>
          <w:b/>
          <w:color w:val="000000" w:themeColor="text1"/>
          <w:sz w:val="26"/>
          <w:szCs w:val="26"/>
        </w:rPr>
        <w:t>ИСПОЛЬЗОВАНИЕ СЕТЕВОГО ПЛАНИРОВАНИЯ В ПОДГОТОВКЕ К ЕГЭ</w:t>
      </w:r>
    </w:p>
    <w:p w:rsidR="00517711" w:rsidRDefault="00F815BE">
      <w:pPr>
        <w:tabs>
          <w:tab w:val="left" w:pos="3735"/>
          <w:tab w:val="center" w:pos="4819"/>
        </w:tabs>
        <w:spacing w:after="0" w:line="240" w:lineRule="auto"/>
        <w:rPr>
          <w:rFonts w:ascii="Arial" w:hAnsi="Arial" w:cs="Arial"/>
          <w:b/>
          <w:color w:val="000000"/>
          <w:sz w:val="24"/>
          <w:szCs w:val="24"/>
        </w:rPr>
      </w:pPr>
      <w:r>
        <w:rPr>
          <w:rFonts w:ascii="Arial" w:hAnsi="Arial" w:cs="Arial"/>
          <w:b/>
          <w:color w:val="000000" w:themeColor="text1"/>
          <w:sz w:val="24"/>
          <w:szCs w:val="24"/>
        </w:rPr>
        <w:tab/>
      </w:r>
      <w:r>
        <w:rPr>
          <w:rFonts w:ascii="Arial" w:hAnsi="Arial" w:cs="Arial"/>
          <w:b/>
          <w:color w:val="000000" w:themeColor="text1"/>
          <w:sz w:val="24"/>
          <w:szCs w:val="24"/>
        </w:rPr>
        <w:tab/>
        <w:t>А.О.БАБИНЦЕВА</w:t>
      </w:r>
    </w:p>
    <w:p w:rsidR="00517711" w:rsidRDefault="00F815BE">
      <w:pPr>
        <w:spacing w:after="0" w:line="240" w:lineRule="auto"/>
        <w:jc w:val="center"/>
        <w:rPr>
          <w:rFonts w:ascii="Arial" w:hAnsi="Arial" w:cs="Arial"/>
          <w:color w:val="000000"/>
          <w:sz w:val="24"/>
          <w:szCs w:val="24"/>
        </w:rPr>
      </w:pPr>
      <w:r>
        <w:rPr>
          <w:rFonts w:ascii="Arial" w:hAnsi="Arial" w:cs="Arial"/>
          <w:color w:val="000000" w:themeColor="text1"/>
          <w:sz w:val="24"/>
          <w:szCs w:val="24"/>
        </w:rPr>
        <w:t>Бакалавр, 1 курс</w:t>
      </w:r>
    </w:p>
    <w:p w:rsidR="00517711" w:rsidRDefault="00517711">
      <w:pPr>
        <w:spacing w:after="0" w:line="240" w:lineRule="auto"/>
        <w:jc w:val="center"/>
        <w:rPr>
          <w:rFonts w:ascii="Arial" w:hAnsi="Arial" w:cs="Arial"/>
          <w:color w:val="000000"/>
          <w:sz w:val="24"/>
          <w:szCs w:val="24"/>
        </w:rPr>
      </w:pPr>
    </w:p>
    <w:p w:rsidR="00517711" w:rsidRDefault="00F815BE">
      <w:pPr>
        <w:spacing w:after="0" w:line="240" w:lineRule="auto"/>
        <w:jc w:val="center"/>
        <w:rPr>
          <w:rFonts w:ascii="Arial" w:hAnsi="Arial" w:cs="Arial"/>
          <w:b/>
          <w:color w:val="000000"/>
          <w:sz w:val="24"/>
          <w:szCs w:val="24"/>
        </w:rPr>
      </w:pPr>
      <w:r>
        <w:rPr>
          <w:rFonts w:ascii="Arial" w:hAnsi="Arial" w:cs="Arial"/>
          <w:b/>
          <w:color w:val="000000" w:themeColor="text1"/>
          <w:sz w:val="24"/>
          <w:szCs w:val="24"/>
        </w:rPr>
        <w:t>Н.Ю.Голодная</w:t>
      </w:r>
    </w:p>
    <w:p w:rsidR="00517711" w:rsidRDefault="00F815BE">
      <w:pPr>
        <w:spacing w:after="0" w:line="240" w:lineRule="auto"/>
        <w:jc w:val="center"/>
        <w:rPr>
          <w:rFonts w:ascii="Arial" w:hAnsi="Arial" w:cs="Arial"/>
          <w:color w:val="000000"/>
          <w:sz w:val="24"/>
          <w:szCs w:val="24"/>
        </w:rPr>
      </w:pPr>
      <w:r>
        <w:rPr>
          <w:rFonts w:ascii="Arial" w:hAnsi="Arial" w:cs="Arial"/>
          <w:color w:val="000000" w:themeColor="text1"/>
          <w:sz w:val="24"/>
          <w:szCs w:val="24"/>
        </w:rPr>
        <w:t>Доцент кафедры математики и моделирования</w:t>
      </w:r>
    </w:p>
    <w:p w:rsidR="00517711" w:rsidRDefault="00517711">
      <w:pPr>
        <w:spacing w:after="0" w:line="240" w:lineRule="auto"/>
        <w:jc w:val="center"/>
        <w:rPr>
          <w:rFonts w:ascii="Arial" w:hAnsi="Arial" w:cs="Arial"/>
          <w:color w:val="000000"/>
          <w:sz w:val="24"/>
          <w:szCs w:val="24"/>
        </w:rPr>
      </w:pPr>
    </w:p>
    <w:p w:rsidR="00517711" w:rsidRDefault="00F815BE">
      <w:pPr>
        <w:spacing w:after="0" w:line="240" w:lineRule="auto"/>
        <w:jc w:val="center"/>
        <w:rPr>
          <w:rFonts w:ascii="Times New Roman" w:hAnsi="Times New Roman"/>
          <w:i/>
          <w:color w:val="000000"/>
          <w:szCs w:val="24"/>
        </w:rPr>
      </w:pPr>
      <w:r>
        <w:rPr>
          <w:rFonts w:ascii="Times New Roman" w:hAnsi="Times New Roman"/>
          <w:i/>
          <w:color w:val="000000" w:themeColor="text1"/>
          <w:szCs w:val="24"/>
        </w:rPr>
        <w:t>Владивостокский государственный университет экономики и сервиса</w:t>
      </w:r>
    </w:p>
    <w:p w:rsidR="00517711" w:rsidRDefault="00F815BE">
      <w:pPr>
        <w:spacing w:after="0" w:line="240" w:lineRule="auto"/>
        <w:jc w:val="center"/>
        <w:rPr>
          <w:rFonts w:ascii="Times New Roman" w:hAnsi="Times New Roman"/>
          <w:i/>
          <w:color w:val="000000"/>
          <w:szCs w:val="24"/>
        </w:rPr>
      </w:pPr>
      <w:r>
        <w:rPr>
          <w:rFonts w:ascii="Times New Roman" w:hAnsi="Times New Roman"/>
          <w:i/>
          <w:color w:val="000000" w:themeColor="text1"/>
          <w:szCs w:val="24"/>
        </w:rPr>
        <w:t xml:space="preserve"> Россия. Владивосток</w:t>
      </w:r>
    </w:p>
    <w:p w:rsidR="00517711" w:rsidRDefault="00517711">
      <w:pPr>
        <w:ind w:firstLine="709"/>
        <w:jc w:val="both"/>
        <w:rPr>
          <w:rFonts w:ascii="Times New Roman" w:hAnsi="Times New Roman"/>
          <w:i/>
          <w:color w:val="000000"/>
          <w:sz w:val="24"/>
          <w:szCs w:val="24"/>
          <w:shd w:val="clear" w:color="auto" w:fill="FFFFFF"/>
        </w:rPr>
      </w:pPr>
    </w:p>
    <w:p w:rsidR="00517711" w:rsidRDefault="00F815BE">
      <w:pPr>
        <w:spacing w:after="0" w:line="240" w:lineRule="auto"/>
        <w:ind w:firstLine="709"/>
        <w:jc w:val="both"/>
        <w:rPr>
          <w:rFonts w:ascii="Times New Roman" w:hAnsi="Times New Roman"/>
          <w:i/>
          <w:color w:val="000000"/>
          <w:szCs w:val="24"/>
        </w:rPr>
      </w:pPr>
      <w:r>
        <w:rPr>
          <w:rFonts w:ascii="Times New Roman" w:hAnsi="Times New Roman"/>
          <w:i/>
          <w:color w:val="000000" w:themeColor="text1"/>
          <w:szCs w:val="24"/>
          <w:shd w:val="clear" w:color="auto" w:fill="FFFFFF"/>
        </w:rPr>
        <w:t>Поиск более эффективных способов планирования сложных процессов привели к необходимости использования моделей сетевого планирования и управления (СПУ). СПУ основано на моделировании процесса с помощью сетевого графика (сетевой модели). Предназначенной для исследования планирования в подготовке к ЕГЭ по математике, с использованием наиболее оперативного варианта.</w:t>
      </w:r>
    </w:p>
    <w:p w:rsidR="00517711" w:rsidRDefault="00F815BE">
      <w:pPr>
        <w:spacing w:after="0" w:line="240" w:lineRule="auto"/>
        <w:ind w:firstLine="709"/>
        <w:rPr>
          <w:rFonts w:ascii="Times New Roman" w:hAnsi="Times New Roman"/>
          <w:i/>
          <w:color w:val="000000"/>
          <w:szCs w:val="24"/>
        </w:rPr>
      </w:pPr>
      <w:r>
        <w:rPr>
          <w:rFonts w:ascii="Times New Roman" w:hAnsi="Times New Roman"/>
          <w:b/>
          <w:i/>
          <w:color w:val="000000" w:themeColor="text1"/>
          <w:szCs w:val="24"/>
        </w:rPr>
        <w:t xml:space="preserve">Ключевые слова и словосочетания: </w:t>
      </w:r>
      <w:r>
        <w:rPr>
          <w:rFonts w:ascii="Times New Roman" w:hAnsi="Times New Roman"/>
          <w:i/>
          <w:color w:val="000000" w:themeColor="text1"/>
          <w:szCs w:val="24"/>
        </w:rPr>
        <w:t>граф, источник, работа, фиктивная работа, событие, путь, критический путь, подкритический путь, сеть.</w:t>
      </w:r>
    </w:p>
    <w:p w:rsidR="00517711" w:rsidRDefault="00517711">
      <w:pPr>
        <w:jc w:val="center"/>
        <w:rPr>
          <w:rFonts w:ascii="Book Antiqua" w:hAnsi="Book Antiqua"/>
          <w:b/>
          <w:color w:val="000000"/>
          <w:sz w:val="26"/>
          <w:szCs w:val="26"/>
        </w:rPr>
      </w:pPr>
    </w:p>
    <w:p w:rsidR="00517711" w:rsidRDefault="00F815BE">
      <w:pPr>
        <w:jc w:val="center"/>
        <w:rPr>
          <w:rFonts w:ascii="Book Antiqua" w:hAnsi="Book Antiqua"/>
          <w:b/>
          <w:color w:val="000000"/>
          <w:sz w:val="26"/>
          <w:szCs w:val="26"/>
          <w:lang w:val="en-US"/>
        </w:rPr>
      </w:pPr>
      <w:r>
        <w:rPr>
          <w:rFonts w:ascii="Book Antiqua" w:hAnsi="Book Antiqua"/>
          <w:b/>
          <w:color w:val="000000" w:themeColor="text1"/>
          <w:sz w:val="26"/>
          <w:szCs w:val="26"/>
          <w:lang w:val="en-US"/>
        </w:rPr>
        <w:t>REVIEW OF NETWORK PLANNING MODELS IN PREPARATION FOR THE USE ON MATHEMATICS</w:t>
      </w:r>
    </w:p>
    <w:p w:rsidR="00517711" w:rsidRDefault="00F815BE">
      <w:pPr>
        <w:spacing w:after="0" w:line="240" w:lineRule="auto"/>
        <w:jc w:val="center"/>
        <w:rPr>
          <w:rFonts w:ascii="Arial" w:hAnsi="Arial" w:cs="Arial"/>
          <w:b/>
          <w:color w:val="000000"/>
          <w:sz w:val="24"/>
          <w:szCs w:val="24"/>
          <w:lang w:val="en-US"/>
        </w:rPr>
      </w:pPr>
      <w:r>
        <w:rPr>
          <w:rFonts w:ascii="Arial" w:hAnsi="Arial" w:cs="Arial"/>
          <w:b/>
          <w:color w:val="000000" w:themeColor="text1"/>
          <w:sz w:val="24"/>
          <w:szCs w:val="24"/>
          <w:lang w:val="en-US"/>
        </w:rPr>
        <w:t>A.O. BABINTSEVA</w:t>
      </w:r>
    </w:p>
    <w:p w:rsidR="00517711" w:rsidRDefault="00F815BE">
      <w:pPr>
        <w:spacing w:after="0" w:line="240" w:lineRule="auto"/>
        <w:jc w:val="center"/>
        <w:rPr>
          <w:rFonts w:ascii="Arial" w:hAnsi="Arial" w:cs="Arial"/>
          <w:color w:val="000000"/>
          <w:sz w:val="24"/>
          <w:szCs w:val="24"/>
          <w:lang w:val="en-US"/>
        </w:rPr>
      </w:pPr>
      <w:r>
        <w:rPr>
          <w:rFonts w:ascii="Arial" w:hAnsi="Arial" w:cs="Arial"/>
          <w:color w:val="000000" w:themeColor="text1"/>
          <w:sz w:val="24"/>
          <w:szCs w:val="24"/>
          <w:lang w:val="en-US"/>
        </w:rPr>
        <w:t>Bachelor, 1 year</w:t>
      </w:r>
    </w:p>
    <w:p w:rsidR="00517711" w:rsidRDefault="00517711">
      <w:pPr>
        <w:spacing w:after="0" w:line="240" w:lineRule="auto"/>
        <w:jc w:val="center"/>
        <w:rPr>
          <w:rFonts w:ascii="Arial" w:hAnsi="Arial" w:cs="Arial"/>
          <w:color w:val="000000"/>
          <w:sz w:val="24"/>
          <w:szCs w:val="24"/>
          <w:lang w:val="en-US"/>
        </w:rPr>
      </w:pPr>
    </w:p>
    <w:p w:rsidR="00517711" w:rsidRDefault="00F815BE">
      <w:pPr>
        <w:spacing w:after="0" w:line="240" w:lineRule="auto"/>
        <w:jc w:val="center"/>
        <w:rPr>
          <w:rFonts w:ascii="Arial" w:hAnsi="Arial" w:cs="Arial"/>
          <w:b/>
          <w:color w:val="000000"/>
          <w:sz w:val="24"/>
          <w:szCs w:val="24"/>
          <w:lang w:val="en-US"/>
        </w:rPr>
      </w:pPr>
      <w:r>
        <w:rPr>
          <w:rFonts w:ascii="Arial" w:hAnsi="Arial" w:cs="Arial"/>
          <w:b/>
          <w:color w:val="000000" w:themeColor="text1"/>
          <w:sz w:val="24"/>
          <w:szCs w:val="24"/>
          <w:lang w:val="en-US"/>
        </w:rPr>
        <w:t>N.Yu. Golodnaya</w:t>
      </w:r>
    </w:p>
    <w:p w:rsidR="00517711" w:rsidRDefault="00F815BE">
      <w:pPr>
        <w:spacing w:after="0" w:line="240" w:lineRule="auto"/>
        <w:jc w:val="center"/>
        <w:rPr>
          <w:rFonts w:ascii="Arial" w:hAnsi="Arial" w:cs="Arial"/>
          <w:color w:val="000000"/>
          <w:sz w:val="24"/>
          <w:szCs w:val="24"/>
          <w:lang w:val="en-US"/>
        </w:rPr>
      </w:pPr>
      <w:r>
        <w:rPr>
          <w:rFonts w:ascii="Arial" w:hAnsi="Arial" w:cs="Arial"/>
          <w:color w:val="000000" w:themeColor="text1"/>
          <w:sz w:val="24"/>
          <w:szCs w:val="24"/>
          <w:lang w:val="en-US"/>
        </w:rPr>
        <w:t>Associate Professor of the Department of Mathematics and Modeling</w:t>
      </w:r>
    </w:p>
    <w:p w:rsidR="00517711" w:rsidRDefault="00517711">
      <w:pPr>
        <w:spacing w:after="0" w:line="240" w:lineRule="auto"/>
        <w:jc w:val="center"/>
        <w:rPr>
          <w:rFonts w:ascii="Arial" w:hAnsi="Arial" w:cs="Arial"/>
          <w:color w:val="000000"/>
          <w:sz w:val="24"/>
          <w:szCs w:val="24"/>
          <w:lang w:val="en-US"/>
        </w:rPr>
      </w:pPr>
    </w:p>
    <w:p w:rsidR="00517711" w:rsidRDefault="00F815BE">
      <w:pPr>
        <w:spacing w:after="0" w:line="240" w:lineRule="auto"/>
        <w:jc w:val="center"/>
        <w:rPr>
          <w:rFonts w:ascii="Times New Roman" w:eastAsia="Calibri" w:hAnsi="Times New Roman" w:cs="Times New Roman"/>
          <w:i/>
          <w:sz w:val="21"/>
          <w:szCs w:val="21"/>
          <w:lang w:val="en-US"/>
        </w:rPr>
      </w:pPr>
      <w:r>
        <w:rPr>
          <w:rFonts w:ascii="Times New Roman" w:eastAsia="Calibri" w:hAnsi="Times New Roman" w:cs="Times New Roman"/>
          <w:i/>
          <w:sz w:val="21"/>
          <w:szCs w:val="21"/>
          <w:lang w:val="en-US"/>
        </w:rPr>
        <w:t xml:space="preserve">Vladivostok State University of Economics and Service </w:t>
      </w:r>
    </w:p>
    <w:p w:rsidR="00517711" w:rsidRDefault="00F815BE">
      <w:pPr>
        <w:spacing w:after="0" w:line="240" w:lineRule="auto"/>
        <w:jc w:val="center"/>
        <w:rPr>
          <w:rFonts w:ascii="Times New Roman" w:eastAsia="Calibri" w:hAnsi="Times New Roman" w:cs="Times New Roman"/>
          <w:i/>
          <w:sz w:val="21"/>
          <w:szCs w:val="21"/>
          <w:lang w:val="en-US"/>
        </w:rPr>
      </w:pPr>
      <w:r>
        <w:rPr>
          <w:rFonts w:ascii="Times New Roman" w:eastAsia="Calibri" w:hAnsi="Times New Roman" w:cs="Times New Roman"/>
          <w:i/>
          <w:sz w:val="21"/>
          <w:szCs w:val="21"/>
          <w:lang w:val="en-US"/>
        </w:rPr>
        <w:t>Russia. Vladivostok</w:t>
      </w:r>
    </w:p>
    <w:p w:rsidR="00517711" w:rsidRDefault="00517711">
      <w:pPr>
        <w:rPr>
          <w:rFonts w:ascii="Times New Roman" w:hAnsi="Times New Roman"/>
          <w:i/>
          <w:color w:val="000000"/>
          <w:sz w:val="24"/>
          <w:szCs w:val="24"/>
          <w:lang w:val="en-US"/>
        </w:rPr>
      </w:pPr>
    </w:p>
    <w:p w:rsidR="00517711" w:rsidRDefault="00F815BE">
      <w:pPr>
        <w:spacing w:after="0" w:line="240" w:lineRule="auto"/>
        <w:ind w:firstLine="709"/>
        <w:jc w:val="both"/>
        <w:rPr>
          <w:rFonts w:ascii="Times New Roman" w:hAnsi="Times New Roman"/>
          <w:i/>
          <w:color w:val="000000"/>
          <w:szCs w:val="24"/>
          <w:lang w:val="en-US"/>
        </w:rPr>
      </w:pPr>
      <w:r>
        <w:rPr>
          <w:rFonts w:ascii="Times New Roman" w:hAnsi="Times New Roman"/>
          <w:i/>
          <w:color w:val="000000" w:themeColor="text1"/>
          <w:szCs w:val="24"/>
          <w:lang w:val="en-US"/>
        </w:rPr>
        <w:t>The search for more efficient ways of planning complex processes led to the need for using models of network planning and management (SDA). The SDS is based on the simulation of the process using a network diagram (network model). Designed to study planning in preparation for the USE in mathematics, using the most operational version.</w:t>
      </w:r>
    </w:p>
    <w:p w:rsidR="00517711" w:rsidRDefault="00F815BE">
      <w:pPr>
        <w:spacing w:after="0" w:line="240" w:lineRule="auto"/>
        <w:ind w:firstLine="709"/>
        <w:jc w:val="both"/>
        <w:rPr>
          <w:rFonts w:ascii="Times New Roman" w:hAnsi="Times New Roman"/>
          <w:i/>
          <w:color w:val="000000"/>
          <w:szCs w:val="24"/>
          <w:lang w:val="en-US"/>
        </w:rPr>
      </w:pPr>
      <w:r>
        <w:rPr>
          <w:rFonts w:ascii="Times New Roman" w:hAnsi="Times New Roman"/>
          <w:b/>
          <w:i/>
          <w:color w:val="000000" w:themeColor="text1"/>
          <w:szCs w:val="24"/>
          <w:lang w:val="en-US"/>
        </w:rPr>
        <w:t>Key words:</w:t>
      </w:r>
      <w:r>
        <w:rPr>
          <w:rFonts w:ascii="Times New Roman" w:hAnsi="Times New Roman"/>
          <w:i/>
          <w:color w:val="000000" w:themeColor="text1"/>
          <w:szCs w:val="24"/>
          <w:lang w:val="en-US"/>
        </w:rPr>
        <w:t xml:space="preserve"> graph, source, work, fictitious work, event, path, critical path, subcritical path, network.</w:t>
      </w:r>
    </w:p>
    <w:p w:rsidR="00517711" w:rsidRDefault="00517711">
      <w:pPr>
        <w:widowControl w:val="0"/>
        <w:spacing w:after="0" w:line="240" w:lineRule="auto"/>
        <w:ind w:firstLine="709"/>
        <w:jc w:val="both"/>
        <w:rPr>
          <w:rFonts w:ascii="Times New Roman" w:hAnsi="Times New Roman"/>
          <w:color w:val="000000"/>
          <w:sz w:val="24"/>
          <w:szCs w:val="24"/>
          <w:shd w:val="clear" w:color="auto" w:fill="FFFFFF"/>
          <w:lang w:val="en-US"/>
        </w:rPr>
      </w:pPr>
    </w:p>
    <w:p w:rsidR="00517711" w:rsidRDefault="00F815BE">
      <w:pPr>
        <w:widowControl w:val="0"/>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shd w:val="clear" w:color="auto" w:fill="FFFFFF"/>
        </w:rPr>
        <w:t>Планирование и управление комплексом проекта представляют собой сложную задачу. Поиск более эффективных способов планирования сложных процессов привели к необходимости использования моделей сетевого планирования и управления (СПУ). СПУ основано на моделировании процесса с помощью сетевого графика (сетевой модели).</w:t>
      </w:r>
      <w:r>
        <w:rPr>
          <w:rFonts w:ascii="Times New Roman" w:hAnsi="Times New Roman" w:cs="Times New Roman"/>
          <w:color w:val="000000" w:themeColor="text1"/>
          <w:sz w:val="20"/>
          <w:szCs w:val="20"/>
        </w:rPr>
        <w:t xml:space="preserve"> Сетевая модель — это экономико-математическая модель, на которой графически изображен комплекс выполнения работ и событий, связанных с реализацией какого-либо проекта. В основе сетевого моделирования лежит изображение планируемого комплекса работ в виде графа или же в виде таблицы. Это позволяет более четко выявить взаимосвязи этапов реализации проекта найти наиболее оптимальный порядок выполнения этих этапов в целях, например, сокращения сроков выполнения всего комплекса работ. Таким образом, методы сетевого моделирования можно отнести к методам принятия </w:t>
      </w:r>
      <w:r>
        <w:rPr>
          <w:rFonts w:ascii="Times New Roman" w:hAnsi="Times New Roman" w:cs="Times New Roman"/>
          <w:color w:val="000000" w:themeColor="text1"/>
          <w:sz w:val="20"/>
          <w:szCs w:val="20"/>
        </w:rPr>
        <w:lastRenderedPageBreak/>
        <w:t xml:space="preserve">оптимальных решений. </w:t>
      </w:r>
    </w:p>
    <w:p w:rsidR="00517711" w:rsidRDefault="00F815BE">
      <w:pPr>
        <w:widowControl w:val="0"/>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Актуальность данного исследования обусловлена наличием огромного выбора различных общеобразовательных программ для подготовки к ЕГЭ по математике и поиском среди них самого удобного варианта.</w:t>
      </w:r>
    </w:p>
    <w:p w:rsidR="00517711" w:rsidRDefault="00F815BE">
      <w:pPr>
        <w:widowControl w:val="0"/>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Цель данного исследования- выбор наиболее удобного варианта для подготовки к ЕГЭ по математике, отвечающего критериям.</w:t>
      </w:r>
    </w:p>
    <w:p w:rsidR="00517711" w:rsidRDefault="00F815BE">
      <w:pPr>
        <w:widowControl w:val="0"/>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Задачи данного исследования- изучение программ для подготовки к ЕГЭ по математике представленные четырьмя авторами, которые чаще всего используются (Колягин, Мордкович, Алимов-авторская, Алимов-рабочая) и рассмотрение тем используемых в кодификаторе ЕГЭ по математике (уравнения, функции, логарифмы, тригонометрия, производная, интеграл и первообразная) для определения критического варианта. Выполнение расчета временных параметров сетевого графика производилось с использованием календарно-тематического планирования по данным учебным общеобразовательным программам используемых в школах и репетиторами при подготовке к ЕГЭ по математике для учащихся 11 классов.</w:t>
      </w:r>
    </w:p>
    <w:p w:rsidR="00517711" w:rsidRDefault="00F815B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                                                                                                                                   </w:t>
      </w:r>
    </w:p>
    <w:p w:rsidR="00517711" w:rsidRDefault="00F815BE">
      <w:pPr>
        <w:widowControl w:val="0"/>
        <w:spacing w:after="240" w:line="240" w:lineRule="auto"/>
        <w:rPr>
          <w:rFonts w:ascii="Times New Roman" w:hAnsi="Times New Roman" w:cs="Times New Roman"/>
          <w:i/>
          <w:color w:val="000000"/>
          <w:sz w:val="20"/>
          <w:szCs w:val="20"/>
        </w:rPr>
      </w:pPr>
      <w:r>
        <w:rPr>
          <w:rFonts w:ascii="Times New Roman" w:hAnsi="Times New Roman" w:cs="Times New Roman"/>
          <w:color w:val="000000" w:themeColor="text1"/>
          <w:sz w:val="20"/>
          <w:szCs w:val="20"/>
        </w:rPr>
        <w:t xml:space="preserve">                                                                                                                                           </w:t>
      </w:r>
      <w:r>
        <w:rPr>
          <w:rFonts w:ascii="Times New Roman" w:hAnsi="Times New Roman" w:cs="Times New Roman"/>
          <w:i/>
          <w:color w:val="000000" w:themeColor="text1"/>
          <w:sz w:val="20"/>
          <w:szCs w:val="20"/>
        </w:rPr>
        <w:t>Таблица1</w:t>
      </w:r>
    </w:p>
    <w:p w:rsidR="00517711" w:rsidRDefault="00F815BE">
      <w:pPr>
        <w:widowControl w:val="0"/>
        <w:spacing w:after="0" w:line="240" w:lineRule="auto"/>
        <w:rPr>
          <w:rFonts w:ascii="Times New Roman" w:hAnsi="Times New Roman" w:cs="Times New Roman"/>
          <w:b/>
          <w:color w:val="000000"/>
          <w:sz w:val="20"/>
          <w:szCs w:val="20"/>
        </w:rPr>
      </w:pPr>
      <w:r>
        <w:rPr>
          <w:rFonts w:ascii="Times New Roman" w:hAnsi="Times New Roman" w:cs="Times New Roman"/>
          <w:color w:val="000000" w:themeColor="text1"/>
          <w:sz w:val="20"/>
          <w:szCs w:val="20"/>
        </w:rPr>
        <w:t xml:space="preserve">                                       Расчет временных параметров сетевого графика</w:t>
      </w:r>
      <w:r>
        <w:rPr>
          <w:rFonts w:ascii="Times New Roman" w:hAnsi="Times New Roman" w:cs="Times New Roman"/>
          <w:b/>
          <w:color w:val="000000" w:themeColor="text1"/>
          <w:sz w:val="20"/>
          <w:szCs w:val="20"/>
        </w:rPr>
        <w:t xml:space="preserve">  </w:t>
      </w:r>
    </w:p>
    <w:p w:rsidR="00517711" w:rsidRDefault="00517711">
      <w:pPr>
        <w:widowControl w:val="0"/>
        <w:spacing w:after="0" w:line="240" w:lineRule="auto"/>
        <w:rPr>
          <w:rFonts w:ascii="Times New Roman" w:hAnsi="Times New Roman" w:cs="Times New Roman"/>
          <w:color w:val="000000"/>
          <w:sz w:val="20"/>
          <w:szCs w:val="20"/>
        </w:rPr>
      </w:pPr>
    </w:p>
    <w:tbl>
      <w:tblPr>
        <w:tblStyle w:val="af1"/>
        <w:tblW w:w="9719" w:type="dxa"/>
        <w:tblLook w:val="04A0" w:firstRow="1" w:lastRow="0" w:firstColumn="1" w:lastColumn="0" w:noHBand="0" w:noVBand="1"/>
      </w:tblPr>
      <w:tblGrid>
        <w:gridCol w:w="1869"/>
        <w:gridCol w:w="1869"/>
        <w:gridCol w:w="2069"/>
        <w:gridCol w:w="2043"/>
        <w:gridCol w:w="1869"/>
      </w:tblGrid>
      <w:tr w:rsidR="00517711">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Темы</w:t>
            </w:r>
          </w:p>
        </w:tc>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Ю.М. Колягин</w:t>
            </w:r>
          </w:p>
        </w:tc>
        <w:tc>
          <w:tcPr>
            <w:tcW w:w="20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А.Г. Мордкович</w:t>
            </w:r>
          </w:p>
        </w:tc>
        <w:tc>
          <w:tcPr>
            <w:tcW w:w="2043"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Ш.А. Алимов -авторская</w:t>
            </w:r>
          </w:p>
        </w:tc>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Ш.А. Алимов-рабочая</w:t>
            </w:r>
          </w:p>
        </w:tc>
      </w:tr>
      <w:tr w:rsidR="00517711">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Уравнения</w:t>
            </w:r>
          </w:p>
        </w:tc>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16</w:t>
            </w:r>
          </w:p>
        </w:tc>
        <w:tc>
          <w:tcPr>
            <w:tcW w:w="20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20</w:t>
            </w:r>
          </w:p>
        </w:tc>
        <w:tc>
          <w:tcPr>
            <w:tcW w:w="2043"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Функция</w:t>
            </w:r>
          </w:p>
        </w:tc>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27</w:t>
            </w:r>
          </w:p>
        </w:tc>
        <w:tc>
          <w:tcPr>
            <w:tcW w:w="20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39</w:t>
            </w:r>
          </w:p>
        </w:tc>
        <w:tc>
          <w:tcPr>
            <w:tcW w:w="2043"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21</w:t>
            </w:r>
          </w:p>
        </w:tc>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22</w:t>
            </w:r>
          </w:p>
        </w:tc>
      </w:tr>
      <w:tr w:rsidR="00517711">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Логарифмы</w:t>
            </w:r>
          </w:p>
        </w:tc>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12</w:t>
            </w:r>
          </w:p>
        </w:tc>
        <w:tc>
          <w:tcPr>
            <w:tcW w:w="20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30</w:t>
            </w:r>
          </w:p>
        </w:tc>
        <w:tc>
          <w:tcPr>
            <w:tcW w:w="2043"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w:t>
            </w:r>
          </w:p>
        </w:tc>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15</w:t>
            </w:r>
          </w:p>
        </w:tc>
      </w:tr>
      <w:tr w:rsidR="00517711">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Тригонометрия</w:t>
            </w:r>
          </w:p>
        </w:tc>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34</w:t>
            </w:r>
          </w:p>
        </w:tc>
        <w:tc>
          <w:tcPr>
            <w:tcW w:w="20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51</w:t>
            </w:r>
          </w:p>
        </w:tc>
        <w:tc>
          <w:tcPr>
            <w:tcW w:w="2043"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49</w:t>
            </w:r>
          </w:p>
        </w:tc>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56</w:t>
            </w:r>
          </w:p>
        </w:tc>
      </w:tr>
      <w:tr w:rsidR="00517711">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Производная</w:t>
            </w:r>
          </w:p>
        </w:tc>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32</w:t>
            </w:r>
          </w:p>
        </w:tc>
        <w:tc>
          <w:tcPr>
            <w:tcW w:w="20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31</w:t>
            </w:r>
          </w:p>
        </w:tc>
        <w:tc>
          <w:tcPr>
            <w:tcW w:w="2043"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32</w:t>
            </w:r>
          </w:p>
        </w:tc>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34</w:t>
            </w:r>
          </w:p>
        </w:tc>
      </w:tr>
      <w:tr w:rsidR="00517711">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Интеграл и первообразная</w:t>
            </w:r>
          </w:p>
        </w:tc>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13</w:t>
            </w:r>
          </w:p>
        </w:tc>
        <w:tc>
          <w:tcPr>
            <w:tcW w:w="20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10</w:t>
            </w:r>
          </w:p>
        </w:tc>
        <w:tc>
          <w:tcPr>
            <w:tcW w:w="2043"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10</w:t>
            </w:r>
          </w:p>
        </w:tc>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15</w:t>
            </w:r>
          </w:p>
        </w:tc>
      </w:tr>
    </w:tbl>
    <w:p w:rsidR="00517711" w:rsidRDefault="00F815BE">
      <w:pPr>
        <w:widowControl w:val="0"/>
        <w:spacing w:before="240"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Последующим шагом нашей работы был, расчёт параметров сети, содержащей не более 300 событий без использования ЭВМ. При исследование использовался табличный метод расчета по срокам выполнения работ. Суть данного метода в последовательное заполнение таблицы по определенным правилам, на основе сетевого графика или перечня работ, расположенных в порядке возрастания.</w:t>
      </w:r>
    </w:p>
    <w:p w:rsidR="00517711" w:rsidRDefault="00517711">
      <w:pPr>
        <w:widowControl w:val="0"/>
        <w:spacing w:before="240" w:after="0" w:line="240" w:lineRule="auto"/>
        <w:ind w:firstLine="709"/>
        <w:jc w:val="both"/>
        <w:rPr>
          <w:rFonts w:ascii="Times New Roman" w:hAnsi="Times New Roman" w:cs="Times New Roman"/>
          <w:color w:val="000000"/>
          <w:sz w:val="20"/>
          <w:szCs w:val="20"/>
        </w:rPr>
      </w:pPr>
    </w:p>
    <w:p w:rsidR="00517711" w:rsidRDefault="00F815BE">
      <w:pPr>
        <w:jc w:val="right"/>
        <w:rPr>
          <w:rFonts w:ascii="Times New Roman" w:hAnsi="Times New Roman" w:cs="Times New Roman"/>
          <w:i/>
          <w:color w:val="000000"/>
          <w:sz w:val="20"/>
          <w:szCs w:val="20"/>
          <w:shd w:val="clear" w:color="auto" w:fill="FFFFFF"/>
        </w:rPr>
      </w:pPr>
      <w:r>
        <w:rPr>
          <w:rFonts w:ascii="Times New Roman" w:hAnsi="Times New Roman" w:cs="Times New Roman"/>
          <w:i/>
          <w:color w:val="000000" w:themeColor="text1"/>
          <w:sz w:val="20"/>
          <w:szCs w:val="20"/>
          <w:shd w:val="clear" w:color="auto" w:fill="FFFFFF"/>
        </w:rPr>
        <w:t>Рис.1.Сетевая модель подготовки к ЕГЭ по математике</w:t>
      </w:r>
    </w:p>
    <w:p w:rsidR="00517711" w:rsidRDefault="00F815BE">
      <w:pPr>
        <w:widowControl w:val="0"/>
        <w:spacing w:after="0" w:line="360" w:lineRule="auto"/>
        <w:jc w:val="center"/>
        <w:rPr>
          <w:rFonts w:ascii="Times New Roman" w:hAnsi="Times New Roman" w:cs="Times New Roman"/>
          <w:i/>
          <w:color w:val="000000"/>
          <w:sz w:val="20"/>
          <w:szCs w:val="20"/>
        </w:rPr>
      </w:pPr>
      <w:r>
        <w:rPr>
          <w:rFonts w:ascii="Times New Roman" w:hAnsi="Times New Roman" w:cs="Times New Roman"/>
          <w:i/>
          <w:noProof/>
          <w:color w:val="000000" w:themeColor="text1"/>
          <w:sz w:val="20"/>
          <w:szCs w:val="20"/>
          <w:lang w:eastAsia="ru-RU"/>
        </w:rPr>
        <w:drawing>
          <wp:inline distT="0" distB="0" distL="0" distR="0">
            <wp:extent cx="4838063" cy="2647314"/>
            <wp:effectExtent l="0" t="0" r="633" b="633"/>
            <wp:docPr id="23" name="Рисунок 3" descr="Описание: Снимок экрана 2018-05-06 в 13.53.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0" descr="Описание: Снимок экрана 2018-05-06 в 13.53.17.png"/>
                    <pic:cNvPicPr>
                      <a:picLocks noChangeAspect="1"/>
                    </pic:cNvPicPr>
                  </pic:nvPicPr>
                  <pic:blipFill>
                    <a:blip r:embed="rId52"/>
                    <a:srcRect l="3528" t="13844" r="16138" b="14355"/>
                    <a:stretch/>
                  </pic:blipFill>
                  <pic:spPr bwMode="auto">
                    <a:xfrm>
                      <a:off x="0" y="0"/>
                      <a:ext cx="4838065" cy="2647315"/>
                    </a:xfrm>
                    <a:prstGeom prst="rect">
                      <a:avLst/>
                    </a:prstGeom>
                    <a:noFill/>
                    <a:ln>
                      <a:noFill/>
                    </a:ln>
                  </pic:spPr>
                </pic:pic>
              </a:graphicData>
            </a:graphic>
          </wp:inline>
        </w:drawing>
      </w:r>
    </w:p>
    <w:p w:rsidR="00517711" w:rsidRDefault="00517711">
      <w:pPr>
        <w:widowControl w:val="0"/>
        <w:spacing w:after="0" w:line="360" w:lineRule="auto"/>
        <w:jc w:val="center"/>
        <w:rPr>
          <w:rFonts w:ascii="Times New Roman" w:hAnsi="Times New Roman" w:cs="Times New Roman"/>
          <w:i/>
          <w:color w:val="000000"/>
          <w:sz w:val="20"/>
          <w:szCs w:val="20"/>
        </w:rPr>
      </w:pPr>
    </w:p>
    <w:p w:rsidR="00517711" w:rsidRDefault="00F815BE">
      <w:pPr>
        <w:spacing w:line="240" w:lineRule="auto"/>
        <w:rPr>
          <w:rFonts w:ascii="Times New Roman" w:hAnsi="Times New Roman" w:cs="Times New Roman"/>
          <w:color w:val="000000"/>
          <w:sz w:val="20"/>
          <w:szCs w:val="20"/>
        </w:rPr>
      </w:pPr>
      <w:r>
        <w:rPr>
          <w:rFonts w:ascii="Times New Roman" w:hAnsi="Times New Roman" w:cs="Times New Roman"/>
          <w:color w:val="000000" w:themeColor="text1"/>
          <w:sz w:val="20"/>
          <w:szCs w:val="20"/>
        </w:rPr>
        <w:lastRenderedPageBreak/>
        <w:t>По данным была построена сетевая модель, которая позволяет определить минимальные сроки решения при ограниченных ресурсах.</w:t>
      </w:r>
    </w:p>
    <w:p w:rsidR="00517711" w:rsidRDefault="00517711">
      <w:pPr>
        <w:widowControl w:val="0"/>
        <w:spacing w:after="0" w:line="360" w:lineRule="auto"/>
        <w:jc w:val="center"/>
        <w:rPr>
          <w:rFonts w:ascii="Times New Roman" w:hAnsi="Times New Roman" w:cs="Times New Roman"/>
          <w:i/>
          <w:color w:val="000000"/>
          <w:sz w:val="20"/>
          <w:szCs w:val="20"/>
        </w:rPr>
      </w:pPr>
    </w:p>
    <w:p w:rsidR="00517711" w:rsidRDefault="00517711">
      <w:pPr>
        <w:widowControl w:val="0"/>
        <w:spacing w:after="0" w:line="360" w:lineRule="auto"/>
        <w:jc w:val="right"/>
        <w:rPr>
          <w:rFonts w:ascii="Times New Roman" w:hAnsi="Times New Roman" w:cs="Times New Roman"/>
          <w:i/>
          <w:color w:val="000000"/>
          <w:sz w:val="20"/>
          <w:szCs w:val="20"/>
        </w:rPr>
      </w:pPr>
    </w:p>
    <w:p w:rsidR="00517711" w:rsidRDefault="00517711">
      <w:pPr>
        <w:widowControl w:val="0"/>
        <w:spacing w:after="0" w:line="360" w:lineRule="auto"/>
        <w:jc w:val="right"/>
        <w:rPr>
          <w:rFonts w:ascii="Times New Roman" w:hAnsi="Times New Roman" w:cs="Times New Roman"/>
          <w:i/>
          <w:color w:val="000000"/>
          <w:sz w:val="20"/>
          <w:szCs w:val="20"/>
        </w:rPr>
      </w:pPr>
    </w:p>
    <w:p w:rsidR="00517711" w:rsidRDefault="00517711">
      <w:pPr>
        <w:widowControl w:val="0"/>
        <w:spacing w:after="0" w:line="360" w:lineRule="auto"/>
        <w:jc w:val="right"/>
        <w:rPr>
          <w:rFonts w:ascii="Times New Roman" w:hAnsi="Times New Roman" w:cs="Times New Roman"/>
          <w:i/>
          <w:color w:val="000000"/>
          <w:sz w:val="20"/>
          <w:szCs w:val="20"/>
        </w:rPr>
      </w:pPr>
    </w:p>
    <w:p w:rsidR="00517711" w:rsidRDefault="00F815BE">
      <w:pPr>
        <w:widowControl w:val="0"/>
        <w:spacing w:after="0" w:line="360" w:lineRule="auto"/>
        <w:jc w:val="right"/>
        <w:rPr>
          <w:rFonts w:ascii="Times New Roman" w:hAnsi="Times New Roman" w:cs="Times New Roman"/>
          <w:i/>
          <w:color w:val="000000"/>
          <w:sz w:val="20"/>
          <w:szCs w:val="20"/>
        </w:rPr>
      </w:pPr>
      <w:r>
        <w:rPr>
          <w:rFonts w:ascii="Times New Roman" w:hAnsi="Times New Roman" w:cs="Times New Roman"/>
          <w:i/>
          <w:color w:val="000000" w:themeColor="text1"/>
          <w:sz w:val="20"/>
          <w:szCs w:val="20"/>
        </w:rPr>
        <w:t>Таблица 2</w:t>
      </w:r>
    </w:p>
    <w:p w:rsidR="00517711" w:rsidRDefault="00F815BE">
      <w:pPr>
        <w:widowControl w:val="0"/>
        <w:spacing w:after="0" w:line="36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Расчет параметров сети</w:t>
      </w:r>
    </w:p>
    <w:tbl>
      <w:tblPr>
        <w:tblStyle w:val="af1"/>
        <w:tblW w:w="7963" w:type="dxa"/>
        <w:jc w:val="center"/>
        <w:tblLook w:val="0480" w:firstRow="0" w:lastRow="0" w:firstColumn="1" w:lastColumn="0" w:noHBand="0" w:noVBand="1"/>
      </w:tblPr>
      <w:tblGrid>
        <w:gridCol w:w="848"/>
        <w:gridCol w:w="708"/>
        <w:gridCol w:w="737"/>
        <w:gridCol w:w="765"/>
        <w:gridCol w:w="793"/>
        <w:gridCol w:w="821"/>
        <w:gridCol w:w="823"/>
        <w:gridCol w:w="741"/>
        <w:gridCol w:w="894"/>
        <w:gridCol w:w="833"/>
      </w:tblGrid>
      <w:tr w:rsidR="00517711">
        <w:trPr>
          <w:trHeight w:val="2359"/>
          <w:jc w:val="center"/>
        </w:trPr>
        <w:tc>
          <w:tcPr>
            <w:tcW w:w="848" w:type="dxa"/>
            <w:tcBorders>
              <w:top w:val="single" w:sz="8" w:space="0" w:color="000000"/>
              <w:left w:val="single" w:sz="8" w:space="0" w:color="000000"/>
              <w:bottom w:val="single" w:sz="8" w:space="0" w:color="000000"/>
              <w:right w:val="single" w:sz="8" w:space="0" w:color="000000"/>
            </w:tcBorders>
            <w:textDirection w:val="btLr"/>
            <w:vAlign w:val="center"/>
          </w:tcPr>
          <w:p w:rsidR="00517711" w:rsidRDefault="00F815BE">
            <w:pPr>
              <w:widowControl w:val="0"/>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Количество предшествующих работ</w:t>
            </w:r>
          </w:p>
        </w:tc>
        <w:tc>
          <w:tcPr>
            <w:tcW w:w="708" w:type="dxa"/>
            <w:tcBorders>
              <w:top w:val="single" w:sz="8" w:space="0" w:color="000000"/>
              <w:left w:val="single" w:sz="8" w:space="0" w:color="000000"/>
              <w:bottom w:val="single" w:sz="8" w:space="0" w:color="000000"/>
              <w:right w:val="single" w:sz="8" w:space="0" w:color="000000"/>
            </w:tcBorders>
            <w:textDirection w:val="btLr"/>
            <w:vAlign w:val="center"/>
          </w:tcPr>
          <w:p w:rsidR="00517711" w:rsidRDefault="00F815BE">
            <w:pPr>
              <w:widowControl w:val="0"/>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Код работы </w:t>
            </w:r>
          </w:p>
        </w:tc>
        <w:tc>
          <w:tcPr>
            <w:tcW w:w="737" w:type="dxa"/>
            <w:tcBorders>
              <w:top w:val="single" w:sz="8" w:space="0" w:color="000000"/>
              <w:left w:val="single" w:sz="8" w:space="0" w:color="000000"/>
              <w:bottom w:val="single" w:sz="8" w:space="0" w:color="000000"/>
              <w:right w:val="single" w:sz="8" w:space="0" w:color="000000"/>
            </w:tcBorders>
            <w:textDirection w:val="btLr"/>
            <w:vAlign w:val="center"/>
          </w:tcPr>
          <w:p w:rsidR="00517711" w:rsidRDefault="00F815BE">
            <w:pPr>
              <w:widowControl w:val="0"/>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Продолжительность работы</w:t>
            </w:r>
          </w:p>
        </w:tc>
        <w:tc>
          <w:tcPr>
            <w:tcW w:w="765" w:type="dxa"/>
            <w:tcBorders>
              <w:top w:val="single" w:sz="8" w:space="0" w:color="000000"/>
              <w:left w:val="single" w:sz="8" w:space="0" w:color="000000"/>
              <w:bottom w:val="single" w:sz="8" w:space="0" w:color="000000"/>
              <w:right w:val="single" w:sz="8" w:space="0" w:color="000000"/>
            </w:tcBorders>
            <w:textDirection w:val="btLr"/>
            <w:vAlign w:val="center"/>
          </w:tcPr>
          <w:p w:rsidR="00517711" w:rsidRDefault="00F815BE">
            <w:pPr>
              <w:widowControl w:val="0"/>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Раннее начало работы</w:t>
            </w:r>
          </w:p>
        </w:tc>
        <w:tc>
          <w:tcPr>
            <w:tcW w:w="793" w:type="dxa"/>
            <w:tcBorders>
              <w:top w:val="single" w:sz="8" w:space="0" w:color="000000"/>
              <w:left w:val="single" w:sz="8" w:space="0" w:color="000000"/>
              <w:bottom w:val="single" w:sz="8" w:space="0" w:color="000000"/>
              <w:right w:val="single" w:sz="8" w:space="0" w:color="000000"/>
            </w:tcBorders>
            <w:textDirection w:val="btLr"/>
            <w:vAlign w:val="center"/>
          </w:tcPr>
          <w:p w:rsidR="00517711" w:rsidRDefault="00F815BE">
            <w:pPr>
              <w:widowControl w:val="0"/>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Раннее окончание работы</w:t>
            </w:r>
          </w:p>
        </w:tc>
        <w:tc>
          <w:tcPr>
            <w:tcW w:w="821" w:type="dxa"/>
            <w:tcBorders>
              <w:top w:val="single" w:sz="8" w:space="0" w:color="000000"/>
              <w:left w:val="single" w:sz="8" w:space="0" w:color="000000"/>
              <w:bottom w:val="single" w:sz="8" w:space="0" w:color="000000"/>
              <w:right w:val="single" w:sz="8" w:space="0" w:color="000000"/>
            </w:tcBorders>
            <w:textDirection w:val="btLr"/>
            <w:vAlign w:val="center"/>
          </w:tcPr>
          <w:p w:rsidR="00517711" w:rsidRDefault="00F815BE">
            <w:pPr>
              <w:widowControl w:val="0"/>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Позднее начало работы</w:t>
            </w:r>
          </w:p>
        </w:tc>
        <w:tc>
          <w:tcPr>
            <w:tcW w:w="823" w:type="dxa"/>
            <w:tcBorders>
              <w:top w:val="single" w:sz="8" w:space="0" w:color="000000"/>
              <w:left w:val="single" w:sz="8" w:space="0" w:color="000000"/>
              <w:bottom w:val="single" w:sz="8" w:space="0" w:color="000000"/>
              <w:right w:val="single" w:sz="8" w:space="0" w:color="000000"/>
            </w:tcBorders>
            <w:textDirection w:val="btLr"/>
            <w:vAlign w:val="center"/>
          </w:tcPr>
          <w:p w:rsidR="00517711" w:rsidRDefault="00F815BE">
            <w:pPr>
              <w:widowControl w:val="0"/>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Позднее окончание работы</w:t>
            </w:r>
          </w:p>
        </w:tc>
        <w:tc>
          <w:tcPr>
            <w:tcW w:w="741" w:type="dxa"/>
            <w:tcBorders>
              <w:top w:val="single" w:sz="8" w:space="0" w:color="000000"/>
              <w:left w:val="single" w:sz="8" w:space="0" w:color="000000"/>
              <w:bottom w:val="single" w:sz="8" w:space="0" w:color="000000"/>
              <w:right w:val="single" w:sz="8" w:space="0" w:color="000000"/>
            </w:tcBorders>
            <w:textDirection w:val="btLr"/>
            <w:vAlign w:val="center"/>
          </w:tcPr>
          <w:p w:rsidR="00517711" w:rsidRDefault="00F815BE">
            <w:pPr>
              <w:widowControl w:val="0"/>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Полный резерв</w:t>
            </w:r>
          </w:p>
        </w:tc>
        <w:tc>
          <w:tcPr>
            <w:tcW w:w="894" w:type="dxa"/>
            <w:tcBorders>
              <w:top w:val="single" w:sz="8" w:space="0" w:color="000000"/>
              <w:left w:val="single" w:sz="8" w:space="0" w:color="000000"/>
              <w:bottom w:val="single" w:sz="8" w:space="0" w:color="000000"/>
              <w:right w:val="single" w:sz="8" w:space="0" w:color="000000"/>
            </w:tcBorders>
            <w:textDirection w:val="btLr"/>
            <w:vAlign w:val="center"/>
          </w:tcPr>
          <w:p w:rsidR="00517711" w:rsidRDefault="00F815BE">
            <w:pPr>
              <w:widowControl w:val="0"/>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Свободный резерв времени</w:t>
            </w:r>
          </w:p>
        </w:tc>
        <w:tc>
          <w:tcPr>
            <w:tcW w:w="833" w:type="dxa"/>
            <w:tcBorders>
              <w:top w:val="single" w:sz="8" w:space="0" w:color="000000"/>
              <w:left w:val="single" w:sz="8" w:space="0" w:color="000000"/>
              <w:bottom w:val="single" w:sz="8" w:space="0" w:color="000000"/>
              <w:right w:val="single" w:sz="8" w:space="0" w:color="000000"/>
            </w:tcBorders>
            <w:textDirection w:val="btLr"/>
            <w:vAlign w:val="center"/>
          </w:tcPr>
          <w:p w:rsidR="00517711" w:rsidRDefault="00F815BE">
            <w:pPr>
              <w:widowControl w:val="0"/>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Резерв времени события</w:t>
            </w:r>
          </w:p>
        </w:tc>
      </w:tr>
      <w:tr w:rsidR="00517711">
        <w:trPr>
          <w:trHeight w:val="145"/>
          <w:jc w:val="center"/>
        </w:trPr>
        <w:tc>
          <w:tcPr>
            <w:tcW w:w="848"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708"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0-1</w:t>
            </w:r>
          </w:p>
        </w:tc>
        <w:tc>
          <w:tcPr>
            <w:tcW w:w="737"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16</w:t>
            </w:r>
          </w:p>
        </w:tc>
        <w:tc>
          <w:tcPr>
            <w:tcW w:w="765"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793"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16</w:t>
            </w:r>
          </w:p>
        </w:tc>
        <w:tc>
          <w:tcPr>
            <w:tcW w:w="821"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13</w:t>
            </w:r>
          </w:p>
        </w:tc>
        <w:tc>
          <w:tcPr>
            <w:tcW w:w="823"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29</w:t>
            </w:r>
          </w:p>
        </w:tc>
        <w:tc>
          <w:tcPr>
            <w:tcW w:w="741"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13</w:t>
            </w:r>
          </w:p>
        </w:tc>
        <w:tc>
          <w:tcPr>
            <w:tcW w:w="894"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33"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13</w:t>
            </w:r>
          </w:p>
        </w:tc>
      </w:tr>
      <w:tr w:rsidR="00517711">
        <w:trPr>
          <w:trHeight w:val="145"/>
          <w:jc w:val="center"/>
        </w:trPr>
        <w:tc>
          <w:tcPr>
            <w:tcW w:w="848"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708"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0-2</w:t>
            </w:r>
          </w:p>
        </w:tc>
        <w:tc>
          <w:tcPr>
            <w:tcW w:w="737"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20</w:t>
            </w:r>
          </w:p>
        </w:tc>
        <w:tc>
          <w:tcPr>
            <w:tcW w:w="765"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793"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20</w:t>
            </w:r>
          </w:p>
        </w:tc>
        <w:tc>
          <w:tcPr>
            <w:tcW w:w="821"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23"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20</w:t>
            </w:r>
          </w:p>
        </w:tc>
        <w:tc>
          <w:tcPr>
            <w:tcW w:w="741"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94"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33"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45"/>
          <w:jc w:val="center"/>
        </w:trPr>
        <w:tc>
          <w:tcPr>
            <w:tcW w:w="848"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708"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0-3</w:t>
            </w:r>
          </w:p>
        </w:tc>
        <w:tc>
          <w:tcPr>
            <w:tcW w:w="737"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765"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793"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21"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30</w:t>
            </w:r>
          </w:p>
        </w:tc>
        <w:tc>
          <w:tcPr>
            <w:tcW w:w="823"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30</w:t>
            </w:r>
          </w:p>
        </w:tc>
        <w:tc>
          <w:tcPr>
            <w:tcW w:w="741"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30</w:t>
            </w:r>
          </w:p>
        </w:tc>
        <w:tc>
          <w:tcPr>
            <w:tcW w:w="894"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33"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30</w:t>
            </w:r>
          </w:p>
        </w:tc>
      </w:tr>
      <w:tr w:rsidR="00517711">
        <w:trPr>
          <w:trHeight w:val="145"/>
          <w:jc w:val="center"/>
        </w:trPr>
        <w:tc>
          <w:tcPr>
            <w:tcW w:w="848"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708"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0-4</w:t>
            </w:r>
          </w:p>
        </w:tc>
        <w:tc>
          <w:tcPr>
            <w:tcW w:w="737"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765"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793"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21"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31</w:t>
            </w:r>
          </w:p>
        </w:tc>
        <w:tc>
          <w:tcPr>
            <w:tcW w:w="823"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31</w:t>
            </w:r>
          </w:p>
        </w:tc>
        <w:tc>
          <w:tcPr>
            <w:tcW w:w="741"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31</w:t>
            </w:r>
          </w:p>
        </w:tc>
        <w:tc>
          <w:tcPr>
            <w:tcW w:w="894"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33"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31</w:t>
            </w:r>
          </w:p>
        </w:tc>
      </w:tr>
      <w:tr w:rsidR="00517711">
        <w:trPr>
          <w:trHeight w:val="145"/>
          <w:jc w:val="center"/>
        </w:trPr>
        <w:tc>
          <w:tcPr>
            <w:tcW w:w="848"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w:t>
            </w:r>
          </w:p>
        </w:tc>
        <w:tc>
          <w:tcPr>
            <w:tcW w:w="708"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 1-5</w:t>
            </w:r>
          </w:p>
        </w:tc>
        <w:tc>
          <w:tcPr>
            <w:tcW w:w="737"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27</w:t>
            </w:r>
          </w:p>
        </w:tc>
        <w:tc>
          <w:tcPr>
            <w:tcW w:w="765"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16</w:t>
            </w:r>
          </w:p>
        </w:tc>
        <w:tc>
          <w:tcPr>
            <w:tcW w:w="793"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43</w:t>
            </w:r>
          </w:p>
        </w:tc>
        <w:tc>
          <w:tcPr>
            <w:tcW w:w="821"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59</w:t>
            </w:r>
          </w:p>
        </w:tc>
        <w:tc>
          <w:tcPr>
            <w:tcW w:w="823"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86</w:t>
            </w:r>
          </w:p>
        </w:tc>
        <w:tc>
          <w:tcPr>
            <w:tcW w:w="741"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43</w:t>
            </w:r>
          </w:p>
        </w:tc>
        <w:tc>
          <w:tcPr>
            <w:tcW w:w="894"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33"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43</w:t>
            </w:r>
          </w:p>
        </w:tc>
      </w:tr>
      <w:tr w:rsidR="00517711">
        <w:trPr>
          <w:trHeight w:val="145"/>
          <w:jc w:val="center"/>
        </w:trPr>
        <w:tc>
          <w:tcPr>
            <w:tcW w:w="84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w:t>
            </w:r>
          </w:p>
        </w:tc>
        <w:tc>
          <w:tcPr>
            <w:tcW w:w="70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1-6</w:t>
            </w:r>
          </w:p>
        </w:tc>
        <w:tc>
          <w:tcPr>
            <w:tcW w:w="737"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30</w:t>
            </w:r>
          </w:p>
        </w:tc>
        <w:tc>
          <w:tcPr>
            <w:tcW w:w="765"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16</w:t>
            </w:r>
          </w:p>
        </w:tc>
        <w:tc>
          <w:tcPr>
            <w:tcW w:w="79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46</w:t>
            </w:r>
          </w:p>
        </w:tc>
        <w:tc>
          <w:tcPr>
            <w:tcW w:w="82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29</w:t>
            </w:r>
          </w:p>
        </w:tc>
        <w:tc>
          <w:tcPr>
            <w:tcW w:w="82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59</w:t>
            </w:r>
          </w:p>
        </w:tc>
        <w:tc>
          <w:tcPr>
            <w:tcW w:w="74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13</w:t>
            </w:r>
          </w:p>
        </w:tc>
        <w:tc>
          <w:tcPr>
            <w:tcW w:w="894"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13</w:t>
            </w:r>
          </w:p>
        </w:tc>
        <w:tc>
          <w:tcPr>
            <w:tcW w:w="83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45"/>
          <w:jc w:val="center"/>
        </w:trPr>
        <w:tc>
          <w:tcPr>
            <w:tcW w:w="84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w:t>
            </w:r>
          </w:p>
        </w:tc>
        <w:tc>
          <w:tcPr>
            <w:tcW w:w="70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2-6</w:t>
            </w:r>
          </w:p>
        </w:tc>
        <w:tc>
          <w:tcPr>
            <w:tcW w:w="737"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39</w:t>
            </w:r>
          </w:p>
        </w:tc>
        <w:tc>
          <w:tcPr>
            <w:tcW w:w="765"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20</w:t>
            </w:r>
          </w:p>
        </w:tc>
        <w:tc>
          <w:tcPr>
            <w:tcW w:w="79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59</w:t>
            </w:r>
          </w:p>
        </w:tc>
        <w:tc>
          <w:tcPr>
            <w:tcW w:w="82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20</w:t>
            </w:r>
          </w:p>
        </w:tc>
        <w:tc>
          <w:tcPr>
            <w:tcW w:w="82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59</w:t>
            </w:r>
          </w:p>
        </w:tc>
        <w:tc>
          <w:tcPr>
            <w:tcW w:w="74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94"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3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45"/>
          <w:jc w:val="center"/>
        </w:trPr>
        <w:tc>
          <w:tcPr>
            <w:tcW w:w="84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w:t>
            </w:r>
          </w:p>
        </w:tc>
        <w:tc>
          <w:tcPr>
            <w:tcW w:w="70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3-7</w:t>
            </w:r>
          </w:p>
        </w:tc>
        <w:tc>
          <w:tcPr>
            <w:tcW w:w="737"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21</w:t>
            </w:r>
          </w:p>
        </w:tc>
        <w:tc>
          <w:tcPr>
            <w:tcW w:w="765"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79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21</w:t>
            </w:r>
          </w:p>
        </w:tc>
        <w:tc>
          <w:tcPr>
            <w:tcW w:w="82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41</w:t>
            </w:r>
          </w:p>
        </w:tc>
        <w:tc>
          <w:tcPr>
            <w:tcW w:w="82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62</w:t>
            </w:r>
          </w:p>
        </w:tc>
        <w:tc>
          <w:tcPr>
            <w:tcW w:w="74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41</w:t>
            </w:r>
          </w:p>
        </w:tc>
        <w:tc>
          <w:tcPr>
            <w:tcW w:w="894"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3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41</w:t>
            </w:r>
          </w:p>
        </w:tc>
      </w:tr>
      <w:tr w:rsidR="00517711">
        <w:trPr>
          <w:trHeight w:val="269"/>
          <w:jc w:val="center"/>
        </w:trPr>
        <w:tc>
          <w:tcPr>
            <w:tcW w:w="84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w:t>
            </w:r>
          </w:p>
        </w:tc>
        <w:tc>
          <w:tcPr>
            <w:tcW w:w="70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3-8</w:t>
            </w:r>
          </w:p>
        </w:tc>
        <w:tc>
          <w:tcPr>
            <w:tcW w:w="737"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23</w:t>
            </w:r>
          </w:p>
        </w:tc>
        <w:tc>
          <w:tcPr>
            <w:tcW w:w="765"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79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23</w:t>
            </w:r>
          </w:p>
        </w:tc>
        <w:tc>
          <w:tcPr>
            <w:tcW w:w="82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30</w:t>
            </w:r>
          </w:p>
        </w:tc>
        <w:tc>
          <w:tcPr>
            <w:tcW w:w="82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53</w:t>
            </w:r>
          </w:p>
        </w:tc>
        <w:tc>
          <w:tcPr>
            <w:tcW w:w="74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30</w:t>
            </w:r>
          </w:p>
        </w:tc>
        <w:tc>
          <w:tcPr>
            <w:tcW w:w="894"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3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30</w:t>
            </w:r>
          </w:p>
        </w:tc>
      </w:tr>
      <w:tr w:rsidR="00517711">
        <w:trPr>
          <w:trHeight w:val="286"/>
          <w:jc w:val="center"/>
        </w:trPr>
        <w:tc>
          <w:tcPr>
            <w:tcW w:w="84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w:t>
            </w:r>
          </w:p>
        </w:tc>
        <w:tc>
          <w:tcPr>
            <w:tcW w:w="70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4-8</w:t>
            </w:r>
          </w:p>
        </w:tc>
        <w:tc>
          <w:tcPr>
            <w:tcW w:w="737"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22</w:t>
            </w:r>
          </w:p>
        </w:tc>
        <w:tc>
          <w:tcPr>
            <w:tcW w:w="765"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79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22</w:t>
            </w:r>
          </w:p>
        </w:tc>
        <w:tc>
          <w:tcPr>
            <w:tcW w:w="82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31</w:t>
            </w:r>
          </w:p>
        </w:tc>
        <w:tc>
          <w:tcPr>
            <w:tcW w:w="82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53</w:t>
            </w:r>
          </w:p>
        </w:tc>
        <w:tc>
          <w:tcPr>
            <w:tcW w:w="74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31</w:t>
            </w:r>
          </w:p>
        </w:tc>
        <w:tc>
          <w:tcPr>
            <w:tcW w:w="894"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w:t>
            </w:r>
          </w:p>
        </w:tc>
        <w:tc>
          <w:tcPr>
            <w:tcW w:w="83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30</w:t>
            </w:r>
          </w:p>
        </w:tc>
      </w:tr>
      <w:tr w:rsidR="00517711">
        <w:trPr>
          <w:trHeight w:val="269"/>
          <w:jc w:val="center"/>
        </w:trPr>
        <w:tc>
          <w:tcPr>
            <w:tcW w:w="848" w:type="dxa"/>
            <w:tcBorders>
              <w:top w:val="single" w:sz="8" w:space="0" w:color="000000"/>
              <w:left w:val="single" w:sz="8" w:space="0" w:color="000000"/>
              <w:bottom w:val="single" w:sz="4" w:space="0" w:color="auto"/>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w:t>
            </w:r>
          </w:p>
        </w:tc>
        <w:tc>
          <w:tcPr>
            <w:tcW w:w="708" w:type="dxa"/>
            <w:tcBorders>
              <w:top w:val="single" w:sz="8" w:space="0" w:color="000000"/>
              <w:left w:val="single" w:sz="8" w:space="0" w:color="000000"/>
              <w:bottom w:val="single" w:sz="4" w:space="0" w:color="auto"/>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5-9</w:t>
            </w:r>
          </w:p>
        </w:tc>
        <w:tc>
          <w:tcPr>
            <w:tcW w:w="737" w:type="dxa"/>
            <w:tcBorders>
              <w:top w:val="single" w:sz="8" w:space="0" w:color="000000"/>
              <w:left w:val="single" w:sz="8" w:space="0" w:color="000000"/>
              <w:bottom w:val="single" w:sz="4" w:space="0" w:color="auto"/>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12</w:t>
            </w:r>
          </w:p>
        </w:tc>
        <w:tc>
          <w:tcPr>
            <w:tcW w:w="765" w:type="dxa"/>
            <w:tcBorders>
              <w:top w:val="single" w:sz="8" w:space="0" w:color="000000"/>
              <w:left w:val="single" w:sz="8" w:space="0" w:color="000000"/>
              <w:bottom w:val="single" w:sz="4" w:space="0" w:color="auto"/>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43</w:t>
            </w:r>
          </w:p>
        </w:tc>
        <w:tc>
          <w:tcPr>
            <w:tcW w:w="793" w:type="dxa"/>
            <w:tcBorders>
              <w:top w:val="single" w:sz="8" w:space="0" w:color="000000"/>
              <w:left w:val="single" w:sz="8" w:space="0" w:color="000000"/>
              <w:bottom w:val="single" w:sz="4" w:space="0" w:color="auto"/>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55</w:t>
            </w:r>
          </w:p>
        </w:tc>
        <w:tc>
          <w:tcPr>
            <w:tcW w:w="821" w:type="dxa"/>
            <w:tcBorders>
              <w:top w:val="single" w:sz="8" w:space="0" w:color="000000"/>
              <w:left w:val="single" w:sz="8" w:space="0" w:color="000000"/>
              <w:bottom w:val="single" w:sz="4" w:space="0" w:color="auto"/>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86</w:t>
            </w:r>
          </w:p>
        </w:tc>
        <w:tc>
          <w:tcPr>
            <w:tcW w:w="823" w:type="dxa"/>
            <w:tcBorders>
              <w:top w:val="single" w:sz="8" w:space="0" w:color="000000"/>
              <w:left w:val="single" w:sz="8" w:space="0" w:color="000000"/>
              <w:bottom w:val="single" w:sz="4" w:space="0" w:color="auto"/>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98</w:t>
            </w:r>
          </w:p>
        </w:tc>
        <w:tc>
          <w:tcPr>
            <w:tcW w:w="741" w:type="dxa"/>
            <w:tcBorders>
              <w:top w:val="single" w:sz="8" w:space="0" w:color="000000"/>
              <w:left w:val="single" w:sz="8" w:space="0" w:color="000000"/>
              <w:bottom w:val="single" w:sz="4" w:space="0" w:color="auto"/>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43</w:t>
            </w:r>
          </w:p>
        </w:tc>
        <w:tc>
          <w:tcPr>
            <w:tcW w:w="894" w:type="dxa"/>
            <w:tcBorders>
              <w:top w:val="single" w:sz="8" w:space="0" w:color="000000"/>
              <w:left w:val="single" w:sz="8" w:space="0" w:color="000000"/>
              <w:bottom w:val="single" w:sz="4" w:space="0" w:color="auto"/>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28</w:t>
            </w:r>
          </w:p>
        </w:tc>
        <w:tc>
          <w:tcPr>
            <w:tcW w:w="833" w:type="dxa"/>
            <w:tcBorders>
              <w:top w:val="single" w:sz="8" w:space="0" w:color="000000"/>
              <w:left w:val="single" w:sz="8" w:space="0" w:color="000000"/>
              <w:bottom w:val="single" w:sz="4" w:space="0" w:color="auto"/>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15</w:t>
            </w:r>
          </w:p>
        </w:tc>
      </w:tr>
      <w:tr w:rsidR="00517711">
        <w:trPr>
          <w:trHeight w:val="286"/>
          <w:jc w:val="center"/>
        </w:trPr>
        <w:tc>
          <w:tcPr>
            <w:tcW w:w="84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w:t>
            </w:r>
          </w:p>
        </w:tc>
        <w:tc>
          <w:tcPr>
            <w:tcW w:w="70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6-9</w:t>
            </w:r>
          </w:p>
        </w:tc>
        <w:tc>
          <w:tcPr>
            <w:tcW w:w="737"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24</w:t>
            </w:r>
          </w:p>
        </w:tc>
        <w:tc>
          <w:tcPr>
            <w:tcW w:w="765"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59</w:t>
            </w:r>
          </w:p>
        </w:tc>
        <w:tc>
          <w:tcPr>
            <w:tcW w:w="79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83</w:t>
            </w:r>
          </w:p>
        </w:tc>
        <w:tc>
          <w:tcPr>
            <w:tcW w:w="82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74</w:t>
            </w:r>
          </w:p>
        </w:tc>
        <w:tc>
          <w:tcPr>
            <w:tcW w:w="82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98</w:t>
            </w:r>
          </w:p>
        </w:tc>
        <w:tc>
          <w:tcPr>
            <w:tcW w:w="74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15</w:t>
            </w:r>
          </w:p>
        </w:tc>
        <w:tc>
          <w:tcPr>
            <w:tcW w:w="894"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3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15</w:t>
            </w:r>
          </w:p>
        </w:tc>
      </w:tr>
      <w:tr w:rsidR="00517711">
        <w:trPr>
          <w:trHeight w:val="269"/>
          <w:jc w:val="center"/>
        </w:trPr>
        <w:tc>
          <w:tcPr>
            <w:tcW w:w="84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w:t>
            </w:r>
          </w:p>
        </w:tc>
        <w:tc>
          <w:tcPr>
            <w:tcW w:w="70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6-10</w:t>
            </w:r>
          </w:p>
        </w:tc>
        <w:tc>
          <w:tcPr>
            <w:tcW w:w="737"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30</w:t>
            </w:r>
          </w:p>
        </w:tc>
        <w:tc>
          <w:tcPr>
            <w:tcW w:w="765"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59</w:t>
            </w:r>
          </w:p>
        </w:tc>
        <w:tc>
          <w:tcPr>
            <w:tcW w:w="79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89</w:t>
            </w:r>
          </w:p>
        </w:tc>
        <w:tc>
          <w:tcPr>
            <w:tcW w:w="82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59</w:t>
            </w:r>
          </w:p>
        </w:tc>
        <w:tc>
          <w:tcPr>
            <w:tcW w:w="82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89</w:t>
            </w:r>
          </w:p>
        </w:tc>
        <w:tc>
          <w:tcPr>
            <w:tcW w:w="74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94"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3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286"/>
          <w:jc w:val="center"/>
        </w:trPr>
        <w:tc>
          <w:tcPr>
            <w:tcW w:w="84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w:t>
            </w:r>
          </w:p>
        </w:tc>
        <w:tc>
          <w:tcPr>
            <w:tcW w:w="70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6-11</w:t>
            </w:r>
          </w:p>
        </w:tc>
        <w:tc>
          <w:tcPr>
            <w:tcW w:w="737"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20</w:t>
            </w:r>
          </w:p>
        </w:tc>
        <w:tc>
          <w:tcPr>
            <w:tcW w:w="765"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59</w:t>
            </w:r>
          </w:p>
        </w:tc>
        <w:tc>
          <w:tcPr>
            <w:tcW w:w="79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79</w:t>
            </w:r>
          </w:p>
        </w:tc>
        <w:tc>
          <w:tcPr>
            <w:tcW w:w="82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59</w:t>
            </w:r>
          </w:p>
        </w:tc>
        <w:tc>
          <w:tcPr>
            <w:tcW w:w="82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79</w:t>
            </w:r>
          </w:p>
        </w:tc>
        <w:tc>
          <w:tcPr>
            <w:tcW w:w="74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94"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3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286"/>
          <w:jc w:val="center"/>
        </w:trPr>
        <w:tc>
          <w:tcPr>
            <w:tcW w:w="84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w:t>
            </w:r>
          </w:p>
        </w:tc>
        <w:tc>
          <w:tcPr>
            <w:tcW w:w="70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7-11</w:t>
            </w:r>
          </w:p>
        </w:tc>
        <w:tc>
          <w:tcPr>
            <w:tcW w:w="737"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w:t>
            </w:r>
          </w:p>
        </w:tc>
        <w:tc>
          <w:tcPr>
            <w:tcW w:w="765"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21</w:t>
            </w:r>
          </w:p>
        </w:tc>
        <w:tc>
          <w:tcPr>
            <w:tcW w:w="79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38</w:t>
            </w:r>
          </w:p>
        </w:tc>
        <w:tc>
          <w:tcPr>
            <w:tcW w:w="82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62</w:t>
            </w:r>
          </w:p>
        </w:tc>
        <w:tc>
          <w:tcPr>
            <w:tcW w:w="82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79</w:t>
            </w:r>
          </w:p>
        </w:tc>
        <w:tc>
          <w:tcPr>
            <w:tcW w:w="74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41</w:t>
            </w:r>
          </w:p>
        </w:tc>
        <w:tc>
          <w:tcPr>
            <w:tcW w:w="894"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41</w:t>
            </w:r>
          </w:p>
        </w:tc>
        <w:tc>
          <w:tcPr>
            <w:tcW w:w="83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286"/>
          <w:jc w:val="center"/>
        </w:trPr>
        <w:tc>
          <w:tcPr>
            <w:tcW w:w="84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w:t>
            </w:r>
          </w:p>
        </w:tc>
        <w:tc>
          <w:tcPr>
            <w:tcW w:w="70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8-11</w:t>
            </w:r>
          </w:p>
        </w:tc>
        <w:tc>
          <w:tcPr>
            <w:tcW w:w="737"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12</w:t>
            </w:r>
          </w:p>
        </w:tc>
        <w:tc>
          <w:tcPr>
            <w:tcW w:w="765"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23</w:t>
            </w:r>
          </w:p>
        </w:tc>
        <w:tc>
          <w:tcPr>
            <w:tcW w:w="79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35</w:t>
            </w:r>
          </w:p>
        </w:tc>
        <w:tc>
          <w:tcPr>
            <w:tcW w:w="82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67</w:t>
            </w:r>
          </w:p>
        </w:tc>
        <w:tc>
          <w:tcPr>
            <w:tcW w:w="82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79</w:t>
            </w:r>
          </w:p>
        </w:tc>
        <w:tc>
          <w:tcPr>
            <w:tcW w:w="74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44</w:t>
            </w:r>
          </w:p>
        </w:tc>
        <w:tc>
          <w:tcPr>
            <w:tcW w:w="894"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44</w:t>
            </w:r>
          </w:p>
        </w:tc>
        <w:tc>
          <w:tcPr>
            <w:tcW w:w="83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286"/>
          <w:jc w:val="center"/>
        </w:trPr>
        <w:tc>
          <w:tcPr>
            <w:tcW w:w="848" w:type="dxa"/>
            <w:tcBorders>
              <w:top w:val="single" w:sz="8" w:space="0" w:color="000000"/>
              <w:left w:val="single" w:sz="8" w:space="0" w:color="000000"/>
              <w:bottom w:val="single" w:sz="4" w:space="0" w:color="auto"/>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w:t>
            </w:r>
          </w:p>
        </w:tc>
        <w:tc>
          <w:tcPr>
            <w:tcW w:w="708" w:type="dxa"/>
            <w:tcBorders>
              <w:top w:val="single" w:sz="8" w:space="0" w:color="000000"/>
              <w:left w:val="single" w:sz="8" w:space="0" w:color="000000"/>
              <w:bottom w:val="single" w:sz="4" w:space="0" w:color="auto"/>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8-12</w:t>
            </w:r>
          </w:p>
        </w:tc>
        <w:tc>
          <w:tcPr>
            <w:tcW w:w="737" w:type="dxa"/>
            <w:tcBorders>
              <w:top w:val="single" w:sz="8" w:space="0" w:color="000000"/>
              <w:left w:val="single" w:sz="8" w:space="0" w:color="000000"/>
              <w:bottom w:val="single" w:sz="4" w:space="0" w:color="auto"/>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15</w:t>
            </w:r>
          </w:p>
        </w:tc>
        <w:tc>
          <w:tcPr>
            <w:tcW w:w="765" w:type="dxa"/>
            <w:tcBorders>
              <w:top w:val="single" w:sz="8" w:space="0" w:color="000000"/>
              <w:left w:val="single" w:sz="8" w:space="0" w:color="000000"/>
              <w:bottom w:val="single" w:sz="4" w:space="0" w:color="auto"/>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23</w:t>
            </w:r>
          </w:p>
        </w:tc>
        <w:tc>
          <w:tcPr>
            <w:tcW w:w="793" w:type="dxa"/>
            <w:tcBorders>
              <w:top w:val="single" w:sz="8" w:space="0" w:color="000000"/>
              <w:left w:val="single" w:sz="8" w:space="0" w:color="000000"/>
              <w:bottom w:val="single" w:sz="4" w:space="0" w:color="auto"/>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38</w:t>
            </w:r>
          </w:p>
        </w:tc>
        <w:tc>
          <w:tcPr>
            <w:tcW w:w="821" w:type="dxa"/>
            <w:tcBorders>
              <w:top w:val="single" w:sz="8" w:space="0" w:color="000000"/>
              <w:left w:val="single" w:sz="8" w:space="0" w:color="000000"/>
              <w:bottom w:val="single" w:sz="4" w:space="0" w:color="auto"/>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53</w:t>
            </w:r>
          </w:p>
        </w:tc>
        <w:tc>
          <w:tcPr>
            <w:tcW w:w="823" w:type="dxa"/>
            <w:tcBorders>
              <w:top w:val="single" w:sz="8" w:space="0" w:color="000000"/>
              <w:left w:val="single" w:sz="8" w:space="0" w:color="000000"/>
              <w:bottom w:val="single" w:sz="4" w:space="0" w:color="auto"/>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68</w:t>
            </w:r>
          </w:p>
        </w:tc>
        <w:tc>
          <w:tcPr>
            <w:tcW w:w="741" w:type="dxa"/>
            <w:tcBorders>
              <w:top w:val="single" w:sz="8" w:space="0" w:color="000000"/>
              <w:left w:val="single" w:sz="8" w:space="0" w:color="000000"/>
              <w:bottom w:val="single" w:sz="4" w:space="0" w:color="auto"/>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30</w:t>
            </w:r>
          </w:p>
        </w:tc>
        <w:tc>
          <w:tcPr>
            <w:tcW w:w="894" w:type="dxa"/>
            <w:tcBorders>
              <w:top w:val="single" w:sz="8" w:space="0" w:color="000000"/>
              <w:left w:val="single" w:sz="8" w:space="0" w:color="000000"/>
              <w:bottom w:val="single" w:sz="4" w:space="0" w:color="auto"/>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33" w:type="dxa"/>
            <w:tcBorders>
              <w:top w:val="single" w:sz="8" w:space="0" w:color="000000"/>
              <w:left w:val="single" w:sz="8" w:space="0" w:color="000000"/>
              <w:bottom w:val="single" w:sz="4" w:space="0" w:color="auto"/>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30</w:t>
            </w:r>
          </w:p>
        </w:tc>
      </w:tr>
      <w:tr w:rsidR="00517711">
        <w:trPr>
          <w:trHeight w:val="286"/>
          <w:jc w:val="center"/>
        </w:trPr>
        <w:tc>
          <w:tcPr>
            <w:tcW w:w="848" w:type="dxa"/>
            <w:tcBorders>
              <w:top w:val="single" w:sz="4" w:space="0" w:color="auto"/>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c>
          <w:tcPr>
            <w:tcW w:w="708" w:type="dxa"/>
            <w:tcBorders>
              <w:top w:val="single" w:sz="4" w:space="0" w:color="auto"/>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c>
          <w:tcPr>
            <w:tcW w:w="737" w:type="dxa"/>
            <w:tcBorders>
              <w:top w:val="single" w:sz="4" w:space="0" w:color="auto"/>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c>
          <w:tcPr>
            <w:tcW w:w="765" w:type="dxa"/>
            <w:tcBorders>
              <w:top w:val="single" w:sz="4" w:space="0" w:color="auto"/>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c>
          <w:tcPr>
            <w:tcW w:w="793" w:type="dxa"/>
            <w:tcBorders>
              <w:top w:val="single" w:sz="4" w:space="0" w:color="auto"/>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c>
          <w:tcPr>
            <w:tcW w:w="821" w:type="dxa"/>
            <w:tcBorders>
              <w:top w:val="single" w:sz="4" w:space="0" w:color="auto"/>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c>
          <w:tcPr>
            <w:tcW w:w="823" w:type="dxa"/>
            <w:tcBorders>
              <w:top w:val="single" w:sz="4" w:space="0" w:color="auto"/>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c>
          <w:tcPr>
            <w:tcW w:w="741" w:type="dxa"/>
            <w:tcBorders>
              <w:top w:val="single" w:sz="4" w:space="0" w:color="auto"/>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c>
          <w:tcPr>
            <w:tcW w:w="894" w:type="dxa"/>
            <w:tcBorders>
              <w:top w:val="single" w:sz="4" w:space="0" w:color="auto"/>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c>
          <w:tcPr>
            <w:tcW w:w="833" w:type="dxa"/>
            <w:tcBorders>
              <w:top w:val="single" w:sz="4" w:space="0" w:color="auto"/>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r>
      <w:tr w:rsidR="00517711">
        <w:trPr>
          <w:trHeight w:val="601"/>
          <w:jc w:val="center"/>
        </w:trPr>
        <w:tc>
          <w:tcPr>
            <w:tcW w:w="848" w:type="dxa"/>
            <w:tcBorders>
              <w:top w:val="none" w:sz="4" w:space="0" w:color="000000"/>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c>
          <w:tcPr>
            <w:tcW w:w="708" w:type="dxa"/>
            <w:tcBorders>
              <w:top w:val="none" w:sz="4" w:space="0" w:color="000000"/>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c>
          <w:tcPr>
            <w:tcW w:w="737" w:type="dxa"/>
            <w:tcBorders>
              <w:top w:val="none" w:sz="4" w:space="0" w:color="000000"/>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c>
          <w:tcPr>
            <w:tcW w:w="765" w:type="dxa"/>
            <w:tcBorders>
              <w:top w:val="none" w:sz="4" w:space="0" w:color="000000"/>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c>
          <w:tcPr>
            <w:tcW w:w="793" w:type="dxa"/>
            <w:tcBorders>
              <w:top w:val="none" w:sz="4" w:space="0" w:color="000000"/>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c>
          <w:tcPr>
            <w:tcW w:w="821" w:type="dxa"/>
            <w:tcBorders>
              <w:top w:val="none" w:sz="4" w:space="0" w:color="000000"/>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c>
          <w:tcPr>
            <w:tcW w:w="823" w:type="dxa"/>
            <w:tcBorders>
              <w:top w:val="none" w:sz="4" w:space="0" w:color="000000"/>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c>
          <w:tcPr>
            <w:tcW w:w="741" w:type="dxa"/>
            <w:tcBorders>
              <w:top w:val="none" w:sz="4" w:space="0" w:color="000000"/>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c>
          <w:tcPr>
            <w:tcW w:w="894" w:type="dxa"/>
            <w:tcBorders>
              <w:top w:val="none" w:sz="4" w:space="0" w:color="000000"/>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c>
          <w:tcPr>
            <w:tcW w:w="833" w:type="dxa"/>
            <w:tcBorders>
              <w:top w:val="none" w:sz="4" w:space="0" w:color="000000"/>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r>
      <w:tr w:rsidR="00517711">
        <w:trPr>
          <w:trHeight w:val="286"/>
          <w:jc w:val="center"/>
        </w:trPr>
        <w:tc>
          <w:tcPr>
            <w:tcW w:w="848" w:type="dxa"/>
            <w:tcBorders>
              <w:top w:val="none" w:sz="4" w:space="0" w:color="000000"/>
              <w:left w:val="none" w:sz="4" w:space="0" w:color="000000"/>
              <w:bottom w:val="none" w:sz="4" w:space="0" w:color="000000"/>
              <w:right w:val="none" w:sz="4" w:space="0" w:color="000000"/>
            </w:tcBorders>
            <w:vAlign w:val="bottom"/>
          </w:tcPr>
          <w:p w:rsidR="00517711" w:rsidRDefault="00517711">
            <w:pPr>
              <w:widowControl w:val="0"/>
              <w:jc w:val="center"/>
              <w:rPr>
                <w:rFonts w:ascii="Times New Roman" w:hAnsi="Times New Roman" w:cs="Times New Roman"/>
                <w:color w:val="000000"/>
                <w:sz w:val="20"/>
                <w:szCs w:val="20"/>
              </w:rPr>
            </w:pPr>
          </w:p>
        </w:tc>
        <w:tc>
          <w:tcPr>
            <w:tcW w:w="708" w:type="dxa"/>
            <w:tcBorders>
              <w:top w:val="none" w:sz="4" w:space="0" w:color="000000"/>
              <w:left w:val="none" w:sz="4" w:space="0" w:color="000000"/>
              <w:bottom w:val="none" w:sz="4" w:space="0" w:color="000000"/>
              <w:right w:val="none" w:sz="4" w:space="0" w:color="000000"/>
            </w:tcBorders>
            <w:vAlign w:val="bottom"/>
          </w:tcPr>
          <w:p w:rsidR="00517711" w:rsidRDefault="00517711">
            <w:pPr>
              <w:widowControl w:val="0"/>
              <w:jc w:val="center"/>
              <w:rPr>
                <w:rFonts w:ascii="Times New Roman" w:hAnsi="Times New Roman" w:cs="Times New Roman"/>
                <w:color w:val="000000"/>
                <w:sz w:val="20"/>
                <w:szCs w:val="20"/>
              </w:rPr>
            </w:pPr>
          </w:p>
        </w:tc>
        <w:tc>
          <w:tcPr>
            <w:tcW w:w="737" w:type="dxa"/>
            <w:tcBorders>
              <w:top w:val="none" w:sz="4" w:space="0" w:color="000000"/>
              <w:left w:val="none" w:sz="4" w:space="0" w:color="000000"/>
              <w:bottom w:val="none" w:sz="4" w:space="0" w:color="000000"/>
              <w:right w:val="none" w:sz="4" w:space="0" w:color="000000"/>
            </w:tcBorders>
            <w:vAlign w:val="bottom"/>
          </w:tcPr>
          <w:p w:rsidR="00517711" w:rsidRDefault="00517711">
            <w:pPr>
              <w:widowControl w:val="0"/>
              <w:jc w:val="center"/>
              <w:rPr>
                <w:rFonts w:ascii="Times New Roman" w:hAnsi="Times New Roman" w:cs="Times New Roman"/>
                <w:color w:val="000000"/>
                <w:sz w:val="20"/>
                <w:szCs w:val="20"/>
              </w:rPr>
            </w:pPr>
          </w:p>
        </w:tc>
        <w:tc>
          <w:tcPr>
            <w:tcW w:w="765" w:type="dxa"/>
            <w:tcBorders>
              <w:top w:val="none" w:sz="4" w:space="0" w:color="000000"/>
              <w:left w:val="none" w:sz="4" w:space="0" w:color="000000"/>
              <w:bottom w:val="none" w:sz="4" w:space="0" w:color="000000"/>
              <w:right w:val="none" w:sz="4" w:space="0" w:color="000000"/>
            </w:tcBorders>
            <w:vAlign w:val="bottom"/>
          </w:tcPr>
          <w:p w:rsidR="00517711" w:rsidRDefault="00517711">
            <w:pPr>
              <w:widowControl w:val="0"/>
              <w:jc w:val="center"/>
              <w:rPr>
                <w:rFonts w:ascii="Times New Roman" w:hAnsi="Times New Roman" w:cs="Times New Roman"/>
                <w:color w:val="000000"/>
                <w:sz w:val="20"/>
                <w:szCs w:val="20"/>
              </w:rPr>
            </w:pPr>
          </w:p>
        </w:tc>
        <w:tc>
          <w:tcPr>
            <w:tcW w:w="793" w:type="dxa"/>
            <w:tcBorders>
              <w:top w:val="none" w:sz="4" w:space="0" w:color="000000"/>
              <w:left w:val="none" w:sz="4" w:space="0" w:color="000000"/>
              <w:bottom w:val="none" w:sz="4" w:space="0" w:color="000000"/>
              <w:right w:val="none" w:sz="4" w:space="0" w:color="000000"/>
            </w:tcBorders>
            <w:vAlign w:val="bottom"/>
          </w:tcPr>
          <w:p w:rsidR="00517711" w:rsidRDefault="00517711">
            <w:pPr>
              <w:widowControl w:val="0"/>
              <w:jc w:val="center"/>
              <w:rPr>
                <w:rFonts w:ascii="Times New Roman" w:hAnsi="Times New Roman" w:cs="Times New Roman"/>
                <w:color w:val="000000"/>
                <w:sz w:val="20"/>
                <w:szCs w:val="20"/>
              </w:rPr>
            </w:pPr>
          </w:p>
        </w:tc>
        <w:tc>
          <w:tcPr>
            <w:tcW w:w="821" w:type="dxa"/>
            <w:tcBorders>
              <w:top w:val="none" w:sz="4" w:space="0" w:color="000000"/>
              <w:left w:val="none" w:sz="4" w:space="0" w:color="000000"/>
              <w:bottom w:val="none" w:sz="4" w:space="0" w:color="000000"/>
              <w:right w:val="none" w:sz="4" w:space="0" w:color="000000"/>
            </w:tcBorders>
            <w:vAlign w:val="bottom"/>
          </w:tcPr>
          <w:p w:rsidR="00517711" w:rsidRDefault="00517711">
            <w:pPr>
              <w:widowControl w:val="0"/>
              <w:jc w:val="center"/>
              <w:rPr>
                <w:rFonts w:ascii="Times New Roman" w:hAnsi="Times New Roman" w:cs="Times New Roman"/>
                <w:color w:val="000000"/>
                <w:sz w:val="20"/>
                <w:szCs w:val="20"/>
              </w:rPr>
            </w:pPr>
          </w:p>
        </w:tc>
        <w:tc>
          <w:tcPr>
            <w:tcW w:w="823" w:type="dxa"/>
            <w:tcBorders>
              <w:top w:val="none" w:sz="4" w:space="0" w:color="000000"/>
              <w:left w:val="none" w:sz="4" w:space="0" w:color="000000"/>
              <w:bottom w:val="none" w:sz="4" w:space="0" w:color="000000"/>
              <w:right w:val="none" w:sz="4" w:space="0" w:color="000000"/>
            </w:tcBorders>
            <w:vAlign w:val="bottom"/>
          </w:tcPr>
          <w:p w:rsidR="00517711" w:rsidRDefault="00517711">
            <w:pPr>
              <w:widowControl w:val="0"/>
              <w:jc w:val="center"/>
              <w:rPr>
                <w:rFonts w:ascii="Times New Roman" w:hAnsi="Times New Roman" w:cs="Times New Roman"/>
                <w:color w:val="000000"/>
                <w:sz w:val="20"/>
                <w:szCs w:val="20"/>
              </w:rPr>
            </w:pPr>
          </w:p>
        </w:tc>
        <w:tc>
          <w:tcPr>
            <w:tcW w:w="741" w:type="dxa"/>
            <w:tcBorders>
              <w:top w:val="none" w:sz="4" w:space="0" w:color="000000"/>
              <w:left w:val="none" w:sz="4" w:space="0" w:color="000000"/>
              <w:bottom w:val="none" w:sz="4" w:space="0" w:color="000000"/>
              <w:right w:val="none" w:sz="4" w:space="0" w:color="000000"/>
            </w:tcBorders>
            <w:vAlign w:val="bottom"/>
          </w:tcPr>
          <w:p w:rsidR="00517711" w:rsidRDefault="00517711">
            <w:pPr>
              <w:widowControl w:val="0"/>
              <w:jc w:val="center"/>
              <w:rPr>
                <w:rFonts w:ascii="Times New Roman" w:hAnsi="Times New Roman" w:cs="Times New Roman"/>
                <w:color w:val="000000"/>
                <w:sz w:val="20"/>
                <w:szCs w:val="20"/>
              </w:rPr>
            </w:pPr>
          </w:p>
        </w:tc>
        <w:tc>
          <w:tcPr>
            <w:tcW w:w="894" w:type="dxa"/>
            <w:tcBorders>
              <w:top w:val="none" w:sz="4" w:space="0" w:color="000000"/>
              <w:left w:val="none" w:sz="4" w:space="0" w:color="000000"/>
              <w:bottom w:val="none" w:sz="4" w:space="0" w:color="000000"/>
              <w:right w:val="none" w:sz="4" w:space="0" w:color="000000"/>
            </w:tcBorders>
            <w:vAlign w:val="bottom"/>
          </w:tcPr>
          <w:p w:rsidR="00517711" w:rsidRDefault="00517711">
            <w:pPr>
              <w:widowControl w:val="0"/>
              <w:jc w:val="center"/>
              <w:rPr>
                <w:rFonts w:ascii="Times New Roman" w:hAnsi="Times New Roman" w:cs="Times New Roman"/>
                <w:color w:val="000000"/>
                <w:sz w:val="20"/>
                <w:szCs w:val="20"/>
              </w:rPr>
            </w:pPr>
          </w:p>
        </w:tc>
        <w:tc>
          <w:tcPr>
            <w:tcW w:w="833" w:type="dxa"/>
            <w:tcBorders>
              <w:top w:val="none" w:sz="4" w:space="0" w:color="000000"/>
              <w:left w:val="none" w:sz="4" w:space="0" w:color="000000"/>
              <w:bottom w:val="none" w:sz="4" w:space="0" w:color="000000"/>
              <w:right w:val="none" w:sz="4" w:space="0" w:color="000000"/>
            </w:tcBorders>
            <w:vAlign w:val="bottom"/>
          </w:tcPr>
          <w:p w:rsidR="00517711" w:rsidRDefault="00517711">
            <w:pPr>
              <w:widowControl w:val="0"/>
              <w:jc w:val="center"/>
              <w:rPr>
                <w:rFonts w:ascii="Times New Roman" w:hAnsi="Times New Roman" w:cs="Times New Roman"/>
                <w:color w:val="000000"/>
                <w:sz w:val="20"/>
                <w:szCs w:val="20"/>
              </w:rPr>
            </w:pPr>
          </w:p>
        </w:tc>
      </w:tr>
    </w:tbl>
    <w:p w:rsidR="00517711" w:rsidRDefault="00517711">
      <w:pPr>
        <w:widowControl w:val="0"/>
        <w:spacing w:after="0" w:line="360" w:lineRule="auto"/>
        <w:jc w:val="center"/>
        <w:rPr>
          <w:rFonts w:ascii="Times New Roman" w:hAnsi="Times New Roman" w:cs="Times New Roman"/>
          <w:color w:val="000000"/>
          <w:sz w:val="20"/>
          <w:szCs w:val="20"/>
        </w:rPr>
      </w:pPr>
    </w:p>
    <w:tbl>
      <w:tblPr>
        <w:tblpPr w:leftFromText="180" w:rightFromText="180" w:bottomFromText="160" w:vertAnchor="text" w:horzAnchor="margin" w:tblpXSpec="center" w:tblpY="-1130"/>
        <w:tblW w:w="8084" w:type="dxa"/>
        <w:tblCellMar>
          <w:left w:w="0" w:type="dxa"/>
          <w:right w:w="0" w:type="dxa"/>
        </w:tblCellMar>
        <w:tblLook w:val="0600" w:firstRow="0" w:lastRow="0" w:firstColumn="0" w:lastColumn="0" w:noHBand="1" w:noVBand="1"/>
      </w:tblPr>
      <w:tblGrid>
        <w:gridCol w:w="841"/>
        <w:gridCol w:w="801"/>
        <w:gridCol w:w="798"/>
        <w:gridCol w:w="742"/>
        <w:gridCol w:w="756"/>
        <w:gridCol w:w="785"/>
        <w:gridCol w:w="875"/>
        <w:gridCol w:w="775"/>
        <w:gridCol w:w="812"/>
        <w:gridCol w:w="899"/>
      </w:tblGrid>
      <w:tr w:rsidR="00517711">
        <w:trPr>
          <w:cantSplit/>
          <w:trHeight w:val="399"/>
        </w:trPr>
        <w:tc>
          <w:tcPr>
            <w:tcW w:w="8084" w:type="dxa"/>
            <w:gridSpan w:val="10"/>
            <w:tcBorders>
              <w:top w:val="none" w:sz="4" w:space="0" w:color="000000"/>
              <w:left w:val="none" w:sz="4" w:space="0" w:color="000000"/>
              <w:bottom w:val="single" w:sz="8" w:space="0" w:color="000000"/>
              <w:right w:val="none" w:sz="4" w:space="0" w:color="000000"/>
            </w:tcBorders>
            <w:tcMar>
              <w:top w:w="7" w:type="dxa"/>
              <w:left w:w="7" w:type="dxa"/>
              <w:bottom w:w="0" w:type="dxa"/>
              <w:right w:w="7" w:type="dxa"/>
            </w:tcMar>
            <w:vAlign w:val="center"/>
          </w:tcPr>
          <w:p w:rsidR="00517711" w:rsidRDefault="00F815B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themeColor="text1"/>
                <w:sz w:val="20"/>
                <w:szCs w:val="20"/>
              </w:rPr>
              <w:lastRenderedPageBreak/>
              <w:t>Продолжение Таблицы 2</w:t>
            </w:r>
          </w:p>
        </w:tc>
      </w:tr>
      <w:tr w:rsidR="00517711">
        <w:trPr>
          <w:cantSplit/>
          <w:trHeight w:val="2383"/>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textDirection w:val="btLr"/>
            <w:vAlign w:val="center"/>
          </w:tcPr>
          <w:p w:rsidR="00517711" w:rsidRDefault="00F815BE">
            <w:pPr>
              <w:widowControl w:val="0"/>
              <w:spacing w:after="0" w:line="240" w:lineRule="auto"/>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Количество предшествующих работ</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textDirection w:val="btLr"/>
            <w:vAlign w:val="center"/>
          </w:tcPr>
          <w:p w:rsidR="00517711" w:rsidRDefault="00F815BE">
            <w:pPr>
              <w:widowControl w:val="0"/>
              <w:spacing w:after="0" w:line="240" w:lineRule="auto"/>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Код работы </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textDirection w:val="btLr"/>
            <w:vAlign w:val="center"/>
          </w:tcPr>
          <w:p w:rsidR="00517711" w:rsidRDefault="00F815BE">
            <w:pPr>
              <w:widowControl w:val="0"/>
              <w:spacing w:after="0" w:line="240" w:lineRule="auto"/>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Продолжительность работы</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textDirection w:val="btLr"/>
            <w:vAlign w:val="center"/>
          </w:tcPr>
          <w:p w:rsidR="00517711" w:rsidRDefault="00F815BE">
            <w:pPr>
              <w:widowControl w:val="0"/>
              <w:spacing w:after="0" w:line="240" w:lineRule="auto"/>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Раннее начало работы</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textDirection w:val="btLr"/>
            <w:vAlign w:val="center"/>
          </w:tcPr>
          <w:p w:rsidR="00517711" w:rsidRDefault="00F815BE">
            <w:pPr>
              <w:widowControl w:val="0"/>
              <w:spacing w:after="0" w:line="240" w:lineRule="auto"/>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Раннее окончание работы</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textDirection w:val="btLr"/>
            <w:vAlign w:val="center"/>
          </w:tcPr>
          <w:p w:rsidR="00517711" w:rsidRDefault="00F815BE">
            <w:pPr>
              <w:widowControl w:val="0"/>
              <w:spacing w:after="0" w:line="240" w:lineRule="auto"/>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Позднее начало работы</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textDirection w:val="btLr"/>
            <w:vAlign w:val="center"/>
          </w:tcPr>
          <w:p w:rsidR="00517711" w:rsidRDefault="00F815BE">
            <w:pPr>
              <w:widowControl w:val="0"/>
              <w:spacing w:after="0" w:line="240" w:lineRule="auto"/>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Позднее окончание работы</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textDirection w:val="btLr"/>
            <w:vAlign w:val="center"/>
          </w:tcPr>
          <w:p w:rsidR="00517711" w:rsidRDefault="00F815BE">
            <w:pPr>
              <w:widowControl w:val="0"/>
              <w:spacing w:after="0" w:line="240" w:lineRule="auto"/>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Полный резерв</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textDirection w:val="btLr"/>
            <w:vAlign w:val="center"/>
          </w:tcPr>
          <w:p w:rsidR="00517711" w:rsidRDefault="00F815BE">
            <w:pPr>
              <w:widowControl w:val="0"/>
              <w:spacing w:after="0" w:line="240" w:lineRule="auto"/>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Свободный резерв времени</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textDirection w:val="btLr"/>
            <w:vAlign w:val="center"/>
          </w:tcPr>
          <w:p w:rsidR="00517711" w:rsidRDefault="00F815BE">
            <w:pPr>
              <w:widowControl w:val="0"/>
              <w:spacing w:after="0" w:line="240" w:lineRule="auto"/>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Резерв времени события</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 9-13</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34</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83</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117</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104</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138</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21</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ind w:left="57" w:hanging="55"/>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21</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 9-14</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42</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83</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125</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98</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140</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15</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15</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220"/>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 10-14</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51</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89</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140</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89</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140</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 11-15</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49</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79</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128</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79</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128</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 12-16</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56</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38</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94</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68</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124</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30</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30</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 13-17</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32</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117</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149</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138</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170</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21</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21</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 14-17</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30</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140</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170</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140</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170</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 14-18</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31</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140</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171</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140</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171</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 14-19</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29</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140</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169</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140</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169</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 15-19</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32</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128</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160</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137</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169</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9</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9</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 15-20</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30</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128</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158</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128</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158</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 16-20</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34</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94</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128</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124</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158</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30</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30</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 17-21</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13</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170</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183</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170</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183</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18-22</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10</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171</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181</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171</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181</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19-23</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10</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169</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179</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169</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179</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20-23</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11</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158</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169</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168</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179</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10</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10</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20-24</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15</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158</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173</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158</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173</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21-25</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14</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183</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197</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183</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197</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22-25</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16</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181</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193</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181</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197</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4</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4</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23-25</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18</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179</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197</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179</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197</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24-25</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24</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173</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194</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173</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197</w:t>
            </w:r>
          </w:p>
        </w:tc>
        <w:tc>
          <w:tcPr>
            <w:tcW w:w="775" w:type="dxa"/>
            <w:tcBorders>
              <w:top w:val="single" w:sz="4" w:space="0" w:color="auto"/>
              <w:left w:val="single" w:sz="4" w:space="0" w:color="auto"/>
              <w:bottom w:val="single" w:sz="4" w:space="0" w:color="auto"/>
              <w:right w:val="single" w:sz="4" w:space="0" w:color="auto"/>
            </w:tcBorders>
            <w:tcMar>
              <w:top w:w="7" w:type="dxa"/>
              <w:left w:w="7" w:type="dxa"/>
              <w:bottom w:w="0" w:type="dxa"/>
              <w:right w:w="7" w:type="dxa"/>
            </w:tcMar>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812" w:type="dxa"/>
            <w:tcBorders>
              <w:top w:val="single" w:sz="4" w:space="0" w:color="auto"/>
              <w:left w:val="none" w:sz="4" w:space="0" w:color="000000"/>
              <w:bottom w:val="single" w:sz="4" w:space="0" w:color="auto"/>
              <w:right w:val="single" w:sz="4" w:space="0" w:color="auto"/>
            </w:tcBorders>
            <w:tcMar>
              <w:top w:w="7" w:type="dxa"/>
              <w:left w:w="7" w:type="dxa"/>
              <w:bottom w:w="0" w:type="dxa"/>
              <w:right w:w="7" w:type="dxa"/>
            </w:tcMar>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899" w:type="dxa"/>
            <w:tcBorders>
              <w:top w:val="single" w:sz="4" w:space="0" w:color="auto"/>
              <w:left w:val="none" w:sz="4" w:space="0" w:color="000000"/>
              <w:bottom w:val="single" w:sz="4" w:space="0" w:color="auto"/>
              <w:right w:val="single" w:sz="4" w:space="0" w:color="auto"/>
            </w:tcBorders>
            <w:tcMar>
              <w:top w:w="7" w:type="dxa"/>
              <w:left w:w="7" w:type="dxa"/>
              <w:bottom w:w="0" w:type="dxa"/>
              <w:right w:w="7" w:type="dxa"/>
            </w:tcMar>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r>
    </w:tbl>
    <w:p w:rsidR="00517711" w:rsidRDefault="00517711">
      <w:pPr>
        <w:spacing w:line="240" w:lineRule="auto"/>
        <w:rPr>
          <w:rFonts w:ascii="Times New Roman" w:hAnsi="Times New Roman" w:cs="Times New Roman"/>
          <w:color w:val="000000"/>
          <w:sz w:val="20"/>
          <w:szCs w:val="20"/>
        </w:rPr>
      </w:pPr>
    </w:p>
    <w:p w:rsidR="00517711" w:rsidRDefault="00517711">
      <w:pPr>
        <w:spacing w:line="240" w:lineRule="auto"/>
        <w:rPr>
          <w:rFonts w:ascii="Times New Roman" w:hAnsi="Times New Roman" w:cs="Times New Roman"/>
          <w:color w:val="000000"/>
          <w:sz w:val="20"/>
          <w:szCs w:val="20"/>
          <w:shd w:val="clear" w:color="auto" w:fill="FFFFFF"/>
        </w:rPr>
      </w:pPr>
    </w:p>
    <w:p w:rsidR="00517711" w:rsidRDefault="00F815BE">
      <w:pPr>
        <w:widowControl w:val="0"/>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themeColor="text1"/>
          <w:sz w:val="20"/>
          <w:szCs w:val="20"/>
          <w:shd w:val="clear" w:color="auto" w:fill="FFFFFF"/>
        </w:rPr>
        <w:t xml:space="preserve">Подводя итог, </w:t>
      </w:r>
      <w:r>
        <w:rPr>
          <w:rFonts w:ascii="Times New Roman" w:hAnsi="Times New Roman" w:cs="Times New Roman"/>
          <w:color w:val="000000" w:themeColor="text1"/>
          <w:sz w:val="20"/>
          <w:szCs w:val="20"/>
        </w:rPr>
        <w:t xml:space="preserve">нами были найдены оптимальные варианты изучения алгебры для профильных и обычных классов и определенно, что </w:t>
      </w:r>
      <w:hyperlink r:id="rId53" w:history="1">
        <w:r>
          <w:rPr>
            <w:rStyle w:val="aa"/>
            <w:rFonts w:ascii="Times New Roman" w:hAnsi="Times New Roman" w:cs="Times New Roman"/>
            <w:color w:val="000000" w:themeColor="text1"/>
            <w:sz w:val="20"/>
            <w:szCs w:val="20"/>
            <w:u w:val="none"/>
            <w:shd w:val="clear" w:color="auto" w:fill="FFFFFF"/>
          </w:rPr>
          <w:t>модели сетевого планирования</w:t>
        </w:r>
      </w:hyperlink>
      <w:r>
        <w:rPr>
          <w:rFonts w:ascii="Times New Roman" w:hAnsi="Times New Roman" w:cs="Times New Roman"/>
          <w:color w:val="000000" w:themeColor="text1"/>
          <w:sz w:val="20"/>
          <w:szCs w:val="20"/>
          <w:shd w:val="clear" w:color="auto" w:fill="FFFFFF"/>
        </w:rPr>
        <w:t> позволяют определить различные пути изучения школьной, в том числе и критический путь, он же наиболее протяженный по времени от начала до конца. Безусловно, руководитель проекта стремится сократить длину критического пути при помощи увеличения и перераспределения ресурсов. Планирование каждого проекта не обходится без расчета длины критического пути сетевого графика. Данная величина показывает наиболее быстрый путь из реальных сроков всех работ включенных в данный проект. Стоит так же обратить внимание, что у этой работы отсутствуют резервы, то есть их необходимо выполнять во время.</w:t>
      </w:r>
    </w:p>
    <w:p w:rsidR="00517711" w:rsidRDefault="00517711">
      <w:pPr>
        <w:widowControl w:val="0"/>
        <w:spacing w:after="0" w:line="240" w:lineRule="auto"/>
        <w:ind w:firstLine="709"/>
        <w:jc w:val="both"/>
        <w:rPr>
          <w:rFonts w:ascii="Times New Roman" w:hAnsi="Times New Roman" w:cs="Times New Roman"/>
          <w:color w:val="000000"/>
          <w:sz w:val="20"/>
          <w:szCs w:val="20"/>
          <w:shd w:val="clear" w:color="auto" w:fill="FFFFFF"/>
        </w:rPr>
      </w:pPr>
    </w:p>
    <w:p w:rsidR="00517711" w:rsidRDefault="00517711">
      <w:pPr>
        <w:widowControl w:val="0"/>
        <w:spacing w:after="0" w:line="240" w:lineRule="auto"/>
        <w:ind w:firstLine="709"/>
        <w:jc w:val="both"/>
        <w:rPr>
          <w:rFonts w:ascii="Times New Roman" w:hAnsi="Times New Roman" w:cs="Times New Roman"/>
          <w:color w:val="000000"/>
          <w:sz w:val="20"/>
          <w:szCs w:val="20"/>
          <w:shd w:val="clear" w:color="auto" w:fill="FFFFFF"/>
        </w:rPr>
      </w:pPr>
    </w:p>
    <w:p w:rsidR="00517711" w:rsidRDefault="00F815BE">
      <w:pPr>
        <w:widowControl w:val="0"/>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themeColor="text1"/>
          <w:sz w:val="20"/>
          <w:szCs w:val="20"/>
          <w:shd w:val="clear" w:color="auto" w:fill="FFFFFF"/>
        </w:rPr>
        <w:t>Источники:</w:t>
      </w:r>
    </w:p>
    <w:p w:rsidR="00517711" w:rsidRDefault="00F815BE">
      <w:pPr>
        <w:pStyle w:val="af4"/>
        <w:widowControl w:val="0"/>
        <w:numPr>
          <w:ilvl w:val="0"/>
          <w:numId w:val="2"/>
        </w:numPr>
        <w:spacing w:after="0" w:line="240" w:lineRule="auto"/>
        <w:jc w:val="both"/>
        <w:rPr>
          <w:rFonts w:ascii="Times New Roman" w:hAnsi="Times New Roman"/>
          <w:sz w:val="20"/>
          <w:szCs w:val="20"/>
        </w:rPr>
      </w:pPr>
      <w:r>
        <w:rPr>
          <w:rFonts w:ascii="Times New Roman" w:hAnsi="Times New Roman"/>
          <w:color w:val="000000"/>
          <w:sz w:val="20"/>
          <w:szCs w:val="20"/>
          <w:shd w:val="clear" w:color="auto" w:fill="FFFFFF"/>
        </w:rPr>
        <w:t xml:space="preserve">Статья «Оптимизация работы информационной системы предприятия малого бизнеса по оказанию консультационных услуг». Авторы: Одияко Н.Н., </w:t>
      </w:r>
    </w:p>
    <w:p w:rsidR="00517711" w:rsidRDefault="00F815BE">
      <w:pPr>
        <w:pStyle w:val="af4"/>
        <w:widowControl w:val="0"/>
        <w:spacing w:after="0" w:line="240" w:lineRule="auto"/>
        <w:ind w:left="1069"/>
        <w:jc w:val="both"/>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Голодная Н.Ю., Реуцкий Р.С. Журнал фундаментальные исследования 2016г.</w:t>
      </w:r>
    </w:p>
    <w:p w:rsidR="00517711" w:rsidRDefault="00F815BE">
      <w:pPr>
        <w:pStyle w:val="af4"/>
        <w:widowControl w:val="0"/>
        <w:numPr>
          <w:ilvl w:val="0"/>
          <w:numId w:val="2"/>
        </w:numPr>
        <w:spacing w:after="0" w:line="240" w:lineRule="auto"/>
        <w:jc w:val="both"/>
        <w:rPr>
          <w:rFonts w:ascii="Times New Roman" w:hAnsi="Times New Roman"/>
          <w:sz w:val="20"/>
          <w:szCs w:val="20"/>
        </w:rPr>
      </w:pPr>
      <w:r>
        <w:rPr>
          <w:rFonts w:ascii="Times New Roman" w:hAnsi="Times New Roman"/>
          <w:color w:val="000000"/>
          <w:sz w:val="20"/>
          <w:szCs w:val="20"/>
          <w:shd w:val="clear" w:color="auto" w:fill="FFFFFF"/>
        </w:rPr>
        <w:t>«Методические указания к выполнению лабораторной работы для студентов технологического факультета». Составитель: А.Х. Раздобреев, 1995г.</w:t>
      </w:r>
    </w:p>
    <w:p w:rsidR="00517711" w:rsidRDefault="00F815BE">
      <w:pPr>
        <w:pStyle w:val="af4"/>
        <w:widowControl w:val="0"/>
        <w:numPr>
          <w:ilvl w:val="0"/>
          <w:numId w:val="2"/>
        </w:numPr>
        <w:spacing w:after="0" w:line="240" w:lineRule="auto"/>
        <w:jc w:val="both"/>
        <w:rPr>
          <w:rFonts w:ascii="Times New Roman" w:hAnsi="Times New Roman"/>
          <w:sz w:val="20"/>
          <w:szCs w:val="20"/>
        </w:rPr>
      </w:pPr>
      <w:r>
        <w:rPr>
          <w:rFonts w:ascii="Times New Roman" w:hAnsi="Times New Roman"/>
          <w:sz w:val="20"/>
          <w:szCs w:val="20"/>
        </w:rPr>
        <w:t>«Основы математики и её приложения в экономическом образовании». Авторы: Красс М.С., Чупрынов Б.П., 2000г.</w:t>
      </w:r>
    </w:p>
    <w:p w:rsidR="00517711" w:rsidRDefault="00F815BE">
      <w:pPr>
        <w:rPr>
          <w:rFonts w:ascii="Times New Roman" w:hAnsi="Times New Roman" w:cs="Times New Roman"/>
          <w:b/>
          <w:sz w:val="20"/>
          <w:szCs w:val="20"/>
        </w:rPr>
      </w:pPr>
      <w:r>
        <w:rPr>
          <w:rFonts w:ascii="Times New Roman" w:hAnsi="Times New Roman" w:cs="Times New Roman"/>
          <w:b/>
          <w:sz w:val="20"/>
          <w:szCs w:val="20"/>
        </w:rPr>
        <w:br w:type="page"/>
      </w:r>
    </w:p>
    <w:p w:rsidR="00517711" w:rsidRDefault="00F815BE">
      <w:pPr>
        <w:jc w:val="center"/>
        <w:rPr>
          <w:rFonts w:ascii="Book Antiqua" w:hAnsi="Book Antiqua" w:cs="Times New Roman"/>
          <w:b/>
          <w:sz w:val="24"/>
          <w:szCs w:val="20"/>
        </w:rPr>
      </w:pPr>
      <w:r>
        <w:rPr>
          <w:rFonts w:ascii="Book Antiqua" w:hAnsi="Book Antiqua" w:cs="Times New Roman"/>
          <w:b/>
          <w:sz w:val="24"/>
          <w:szCs w:val="20"/>
        </w:rPr>
        <w:lastRenderedPageBreak/>
        <w:t>Секция. КАЧЕСТВО УСЛУГ И ТЕХНОЛОГИЙ В ИНДУСТРИИ ГОСТЕПРИИМСТВА.</w:t>
      </w:r>
    </w:p>
    <w:p w:rsidR="00517711" w:rsidRDefault="00F815BE">
      <w:pPr>
        <w:spacing w:after="0" w:line="240" w:lineRule="auto"/>
        <w:contextualSpacing/>
        <w:jc w:val="both"/>
        <w:rPr>
          <w:rFonts w:ascii="Times New Roman" w:hAnsi="Times New Roman"/>
          <w:b/>
          <w:sz w:val="20"/>
          <w:szCs w:val="24"/>
        </w:rPr>
      </w:pPr>
      <w:r>
        <w:rPr>
          <w:rFonts w:ascii="Times New Roman" w:hAnsi="Times New Roman"/>
          <w:b/>
          <w:sz w:val="20"/>
          <w:szCs w:val="24"/>
        </w:rPr>
        <w:t>Рубрика: Туризм по ораслям</w:t>
      </w:r>
    </w:p>
    <w:p w:rsidR="00517711" w:rsidRDefault="00517711">
      <w:pPr>
        <w:spacing w:after="0" w:line="240" w:lineRule="auto"/>
        <w:contextualSpacing/>
        <w:jc w:val="both"/>
        <w:rPr>
          <w:rFonts w:ascii="Times New Roman" w:hAnsi="Times New Roman"/>
          <w:sz w:val="20"/>
          <w:szCs w:val="24"/>
        </w:rPr>
      </w:pPr>
    </w:p>
    <w:p w:rsidR="00517711" w:rsidRDefault="00F815BE">
      <w:pPr>
        <w:spacing w:after="0" w:line="240" w:lineRule="auto"/>
        <w:contextualSpacing/>
        <w:jc w:val="both"/>
        <w:rPr>
          <w:rFonts w:ascii="Times New Roman" w:hAnsi="Times New Roman"/>
          <w:sz w:val="20"/>
          <w:szCs w:val="24"/>
        </w:rPr>
      </w:pPr>
      <w:r>
        <w:rPr>
          <w:rFonts w:ascii="Times New Roman" w:hAnsi="Times New Roman"/>
          <w:sz w:val="20"/>
          <w:szCs w:val="24"/>
        </w:rPr>
        <w:t>УДК 658.56</w:t>
      </w:r>
    </w:p>
    <w:p w:rsidR="00517711" w:rsidRDefault="00517711">
      <w:pPr>
        <w:spacing w:after="0" w:line="240" w:lineRule="auto"/>
        <w:ind w:firstLine="709"/>
        <w:contextualSpacing/>
        <w:jc w:val="both"/>
        <w:rPr>
          <w:rFonts w:ascii="Times New Roman" w:hAnsi="Times New Roman"/>
          <w:sz w:val="24"/>
          <w:szCs w:val="24"/>
        </w:rPr>
      </w:pPr>
    </w:p>
    <w:p w:rsidR="00517711" w:rsidRDefault="00F815BE">
      <w:pPr>
        <w:spacing w:after="0" w:line="240" w:lineRule="auto"/>
        <w:contextualSpacing/>
        <w:jc w:val="center"/>
        <w:rPr>
          <w:rFonts w:ascii="Book Antiqua" w:hAnsi="Book Antiqua"/>
          <w:b/>
          <w:sz w:val="26"/>
          <w:szCs w:val="26"/>
        </w:rPr>
      </w:pPr>
      <w:r>
        <w:rPr>
          <w:rFonts w:ascii="Book Antiqua" w:hAnsi="Book Antiqua"/>
          <w:b/>
          <w:sz w:val="26"/>
          <w:szCs w:val="26"/>
        </w:rPr>
        <w:t>КОНТРОЛЬ СИСТЕМЫ КАЧЕСТВА НА ПРЕДПРИЯТИИ ОБЩЕСТВЕННОГО ПИТАНИЯ С ПРИМЕНЕНИЕМ ПРОГРАММЫ ОБЯЗАТЕЛЬНЫХ ПРЕДВАРИТЕЛЬНЫХ МЕРОПРИЯТИЙ ПО ОБЕСПЕЧЕНИЮ БЕЗОПАСНОСТИ ПИЩЕВОЙ ПРОДУКЦИИ</w:t>
      </w:r>
    </w:p>
    <w:p w:rsidR="00517711" w:rsidRDefault="00517711">
      <w:pPr>
        <w:spacing w:after="0" w:line="240" w:lineRule="auto"/>
        <w:contextualSpacing/>
        <w:jc w:val="center"/>
        <w:rPr>
          <w:rFonts w:ascii="Times New Roman" w:hAnsi="Times New Roman"/>
          <w:b/>
          <w:sz w:val="24"/>
          <w:szCs w:val="24"/>
        </w:rPr>
      </w:pPr>
    </w:p>
    <w:p w:rsidR="00517711" w:rsidRDefault="00F815BE">
      <w:pPr>
        <w:spacing w:after="0" w:line="240" w:lineRule="auto"/>
        <w:ind w:firstLine="709"/>
        <w:contextualSpacing/>
        <w:jc w:val="center"/>
        <w:rPr>
          <w:rFonts w:ascii="Arial" w:hAnsi="Arial" w:cs="Arial"/>
          <w:b/>
          <w:sz w:val="24"/>
          <w:szCs w:val="24"/>
        </w:rPr>
      </w:pPr>
      <w:r>
        <w:rPr>
          <w:rFonts w:ascii="Arial" w:hAnsi="Arial" w:cs="Arial"/>
          <w:b/>
          <w:sz w:val="24"/>
          <w:szCs w:val="24"/>
        </w:rPr>
        <w:t>Антоненко Дмитрий Данилович</w:t>
      </w:r>
    </w:p>
    <w:p w:rsidR="00517711" w:rsidRDefault="00F815BE">
      <w:pPr>
        <w:spacing w:after="0" w:line="240" w:lineRule="auto"/>
        <w:ind w:firstLine="709"/>
        <w:contextualSpacing/>
        <w:jc w:val="center"/>
        <w:rPr>
          <w:rFonts w:ascii="Times New Roman" w:hAnsi="Times New Roman"/>
          <w:sz w:val="24"/>
          <w:szCs w:val="24"/>
        </w:rPr>
      </w:pPr>
      <w:r>
        <w:rPr>
          <w:rFonts w:ascii="Arial" w:hAnsi="Arial" w:cs="Arial"/>
          <w:sz w:val="24"/>
          <w:szCs w:val="24"/>
        </w:rPr>
        <w:t>бакалавр</w:t>
      </w:r>
    </w:p>
    <w:p w:rsidR="00517711" w:rsidRDefault="00517711">
      <w:pPr>
        <w:spacing w:after="0" w:line="240" w:lineRule="auto"/>
        <w:ind w:firstLine="709"/>
        <w:contextualSpacing/>
        <w:jc w:val="center"/>
        <w:rPr>
          <w:rFonts w:ascii="Times New Roman" w:hAnsi="Times New Roman"/>
          <w:i/>
          <w:sz w:val="24"/>
          <w:szCs w:val="24"/>
        </w:rPr>
      </w:pPr>
    </w:p>
    <w:p w:rsidR="00517711" w:rsidRDefault="00F815BE">
      <w:pPr>
        <w:spacing w:after="0" w:line="240" w:lineRule="auto"/>
        <w:ind w:firstLine="709"/>
        <w:contextualSpacing/>
        <w:jc w:val="center"/>
        <w:rPr>
          <w:rFonts w:ascii="Times New Roman" w:hAnsi="Times New Roman"/>
          <w:i/>
          <w:szCs w:val="24"/>
        </w:rPr>
      </w:pPr>
      <w:r>
        <w:rPr>
          <w:rFonts w:ascii="Times New Roman" w:hAnsi="Times New Roman"/>
          <w:i/>
          <w:szCs w:val="24"/>
        </w:rPr>
        <w:t>Владивостокский государственный университет экономики и сервиса</w:t>
      </w:r>
    </w:p>
    <w:p w:rsidR="00517711" w:rsidRDefault="00F815BE">
      <w:pPr>
        <w:spacing w:after="0" w:line="240" w:lineRule="auto"/>
        <w:ind w:firstLine="709"/>
        <w:contextualSpacing/>
        <w:jc w:val="center"/>
        <w:rPr>
          <w:rFonts w:ascii="Times New Roman" w:hAnsi="Times New Roman"/>
          <w:i/>
          <w:szCs w:val="24"/>
        </w:rPr>
      </w:pPr>
      <w:r>
        <w:rPr>
          <w:rFonts w:ascii="Times New Roman" w:hAnsi="Times New Roman"/>
          <w:i/>
          <w:szCs w:val="24"/>
        </w:rPr>
        <w:t>Россия. Владивосток</w:t>
      </w:r>
    </w:p>
    <w:p w:rsidR="00517711" w:rsidRDefault="00517711">
      <w:pPr>
        <w:spacing w:after="0" w:line="240" w:lineRule="auto"/>
        <w:ind w:firstLine="709"/>
        <w:contextualSpacing/>
        <w:jc w:val="center"/>
        <w:rPr>
          <w:rFonts w:ascii="Times New Roman" w:hAnsi="Times New Roman"/>
          <w:sz w:val="24"/>
          <w:szCs w:val="24"/>
        </w:rPr>
      </w:pPr>
    </w:p>
    <w:p w:rsidR="00517711" w:rsidRPr="008A2A0D" w:rsidRDefault="00F815BE">
      <w:pPr>
        <w:spacing w:after="0" w:line="240" w:lineRule="auto"/>
        <w:ind w:firstLine="709"/>
        <w:contextualSpacing/>
        <w:jc w:val="center"/>
        <w:rPr>
          <w:rFonts w:ascii="Times New Roman" w:hAnsi="Times New Roman"/>
          <w:sz w:val="20"/>
          <w:szCs w:val="24"/>
        </w:rPr>
      </w:pPr>
      <w:r>
        <w:rPr>
          <w:rFonts w:ascii="Times New Roman" w:hAnsi="Times New Roman"/>
          <w:sz w:val="20"/>
          <w:szCs w:val="24"/>
          <w:lang w:val="en-US"/>
        </w:rPr>
        <w:t>E</w:t>
      </w:r>
      <w:r w:rsidRPr="008A2A0D">
        <w:rPr>
          <w:rFonts w:ascii="Times New Roman" w:hAnsi="Times New Roman"/>
          <w:sz w:val="20"/>
          <w:szCs w:val="24"/>
        </w:rPr>
        <w:t>-</w:t>
      </w:r>
      <w:r>
        <w:rPr>
          <w:rFonts w:ascii="Times New Roman" w:hAnsi="Times New Roman"/>
          <w:sz w:val="20"/>
          <w:szCs w:val="24"/>
          <w:lang w:val="en-US"/>
        </w:rPr>
        <w:t>mail</w:t>
      </w:r>
      <w:r w:rsidRPr="008A2A0D">
        <w:rPr>
          <w:rFonts w:ascii="Times New Roman" w:hAnsi="Times New Roman"/>
          <w:sz w:val="20"/>
          <w:szCs w:val="24"/>
        </w:rPr>
        <w:t xml:space="preserve">: </w:t>
      </w:r>
      <w:r>
        <w:rPr>
          <w:rFonts w:ascii="Times New Roman" w:hAnsi="Times New Roman"/>
          <w:sz w:val="20"/>
          <w:szCs w:val="24"/>
          <w:lang w:val="en-US"/>
        </w:rPr>
        <w:t>antonenko</w:t>
      </w:r>
      <w:r w:rsidRPr="008A2A0D">
        <w:rPr>
          <w:rFonts w:ascii="Times New Roman" w:hAnsi="Times New Roman"/>
          <w:sz w:val="20"/>
          <w:szCs w:val="24"/>
        </w:rPr>
        <w:t>_</w:t>
      </w:r>
      <w:r>
        <w:rPr>
          <w:rFonts w:ascii="Times New Roman" w:hAnsi="Times New Roman"/>
          <w:sz w:val="20"/>
          <w:szCs w:val="24"/>
          <w:lang w:val="en-US"/>
        </w:rPr>
        <w:t>social</w:t>
      </w:r>
      <w:r w:rsidRPr="008A2A0D">
        <w:rPr>
          <w:rFonts w:ascii="Times New Roman" w:hAnsi="Times New Roman"/>
          <w:sz w:val="20"/>
          <w:szCs w:val="24"/>
        </w:rPr>
        <w:t>@</w:t>
      </w:r>
      <w:r>
        <w:rPr>
          <w:rFonts w:ascii="Times New Roman" w:hAnsi="Times New Roman"/>
          <w:sz w:val="20"/>
          <w:szCs w:val="24"/>
          <w:lang w:val="en-US"/>
        </w:rPr>
        <w:t>bk</w:t>
      </w:r>
      <w:r w:rsidRPr="008A2A0D">
        <w:rPr>
          <w:rFonts w:ascii="Times New Roman" w:hAnsi="Times New Roman"/>
          <w:sz w:val="20"/>
          <w:szCs w:val="24"/>
        </w:rPr>
        <w:t>.</w:t>
      </w:r>
      <w:r>
        <w:rPr>
          <w:rFonts w:ascii="Times New Roman" w:hAnsi="Times New Roman"/>
          <w:sz w:val="20"/>
          <w:szCs w:val="24"/>
          <w:lang w:val="en-US"/>
        </w:rPr>
        <w:t>ru</w:t>
      </w:r>
      <w:r w:rsidRPr="008A2A0D">
        <w:rPr>
          <w:rFonts w:ascii="Times New Roman" w:hAnsi="Times New Roman"/>
          <w:sz w:val="20"/>
          <w:szCs w:val="24"/>
        </w:rPr>
        <w:t xml:space="preserve">; </w:t>
      </w:r>
      <w:r>
        <w:rPr>
          <w:rFonts w:ascii="Times New Roman" w:hAnsi="Times New Roman"/>
          <w:sz w:val="20"/>
          <w:szCs w:val="24"/>
        </w:rPr>
        <w:t>тел</w:t>
      </w:r>
      <w:r w:rsidRPr="008A2A0D">
        <w:rPr>
          <w:rFonts w:ascii="Times New Roman" w:hAnsi="Times New Roman"/>
          <w:sz w:val="20"/>
          <w:szCs w:val="24"/>
        </w:rPr>
        <w:t>.: +79532104433</w:t>
      </w:r>
    </w:p>
    <w:p w:rsidR="00517711" w:rsidRDefault="00F815BE">
      <w:pPr>
        <w:spacing w:after="0" w:line="240" w:lineRule="auto"/>
        <w:ind w:firstLine="709"/>
        <w:contextualSpacing/>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517711">
      <w:pPr>
        <w:spacing w:after="0" w:line="240" w:lineRule="auto"/>
        <w:contextualSpacing/>
        <w:jc w:val="both"/>
        <w:rPr>
          <w:rFonts w:ascii="Times New Roman" w:hAnsi="Times New Roman"/>
          <w:sz w:val="24"/>
          <w:szCs w:val="24"/>
        </w:rPr>
      </w:pPr>
    </w:p>
    <w:p w:rsidR="00517711" w:rsidRDefault="00F815BE">
      <w:pPr>
        <w:spacing w:after="0" w:line="240" w:lineRule="auto"/>
        <w:ind w:firstLine="709"/>
        <w:contextualSpacing/>
        <w:jc w:val="both"/>
        <w:rPr>
          <w:rFonts w:ascii="Times New Roman" w:hAnsi="Times New Roman"/>
          <w:i/>
          <w:color w:val="FF0000"/>
          <w:szCs w:val="24"/>
        </w:rPr>
      </w:pPr>
      <w:r>
        <w:rPr>
          <w:rFonts w:ascii="Times New Roman" w:hAnsi="Times New Roman"/>
          <w:i/>
          <w:szCs w:val="24"/>
        </w:rPr>
        <w:t>На сегодняшний день предприятия общественного питания формируют новый виток развития, обусловленный повышенной требовательностью гостей и высокими требованиями к менеджменту. Они характеризуются большей взыскательностью и желанием удостовериться в высоком качестве и безопасности пищевой продукции, которую потребляют. Новые технологии и современное оборудование, внедряемое на производствах, формируют необходимость ужесточения требований к безопасности производства, обозначенные системой ХАССП.</w:t>
      </w:r>
    </w:p>
    <w:p w:rsidR="00517711" w:rsidRDefault="00F815BE">
      <w:pPr>
        <w:spacing w:after="0" w:line="240" w:lineRule="auto"/>
        <w:ind w:firstLine="709"/>
        <w:contextualSpacing/>
        <w:jc w:val="both"/>
        <w:rPr>
          <w:rFonts w:ascii="Times New Roman" w:hAnsi="Times New Roman"/>
          <w:i/>
          <w:szCs w:val="24"/>
        </w:rPr>
      </w:pPr>
      <w:r>
        <w:rPr>
          <w:rFonts w:ascii="Times New Roman" w:hAnsi="Times New Roman"/>
          <w:b/>
          <w:i/>
          <w:szCs w:val="24"/>
        </w:rPr>
        <w:t>Ключевые слова и словосочетания</w:t>
      </w:r>
      <w:r>
        <w:rPr>
          <w:rFonts w:ascii="Times New Roman" w:hAnsi="Times New Roman"/>
          <w:i/>
          <w:szCs w:val="24"/>
        </w:rPr>
        <w:t>:</w:t>
      </w:r>
      <w:r>
        <w:rPr>
          <w:rFonts w:ascii="Times New Roman" w:hAnsi="Times New Roman"/>
          <w:szCs w:val="24"/>
        </w:rPr>
        <w:t xml:space="preserve"> </w:t>
      </w:r>
      <w:r>
        <w:rPr>
          <w:rFonts w:ascii="Times New Roman" w:hAnsi="Times New Roman"/>
          <w:i/>
          <w:szCs w:val="24"/>
        </w:rPr>
        <w:t>предприятия общественного питания; менеджмент качества; безопасность производства; система ХАССП</w:t>
      </w:r>
    </w:p>
    <w:p w:rsidR="00517711" w:rsidRDefault="00F815BE">
      <w:pPr>
        <w:spacing w:after="0" w:line="240" w:lineRule="auto"/>
        <w:ind w:firstLine="709"/>
        <w:contextualSpacing/>
        <w:jc w:val="center"/>
        <w:rPr>
          <w:rFonts w:ascii="Book Antiqua" w:hAnsi="Book Antiqua"/>
          <w:b/>
          <w:sz w:val="26"/>
          <w:szCs w:val="26"/>
          <w:lang w:val="en-US"/>
        </w:rPr>
      </w:pPr>
      <w:r w:rsidRPr="00161824">
        <w:rPr>
          <w:rFonts w:ascii="Times New Roman" w:hAnsi="Times New Roman"/>
          <w:b/>
          <w:sz w:val="24"/>
          <w:szCs w:val="24"/>
          <w:lang w:val="en-US"/>
        </w:rPr>
        <w:br/>
      </w:r>
      <w:r>
        <w:rPr>
          <w:rFonts w:ascii="Book Antiqua" w:hAnsi="Book Antiqua"/>
          <w:b/>
          <w:sz w:val="26"/>
          <w:szCs w:val="26"/>
          <w:lang w:val="en-US"/>
        </w:rPr>
        <w:t>CONTROL OF THE QUALITY SYSTEM AT THE PUBLIC CATERING ENTERPRISE WITH THE APPLICATION OF THE PROGRAM OF MANDATORY PRELIMINARY MEASURES TO ENSURE FOOD SAFETY</w:t>
      </w:r>
    </w:p>
    <w:p w:rsidR="00517711" w:rsidRDefault="00517711">
      <w:pPr>
        <w:spacing w:after="0" w:line="240" w:lineRule="auto"/>
        <w:ind w:firstLine="709"/>
        <w:contextualSpacing/>
        <w:jc w:val="both"/>
        <w:rPr>
          <w:rFonts w:ascii="Times New Roman" w:hAnsi="Times New Roman"/>
          <w:i/>
          <w:sz w:val="24"/>
          <w:szCs w:val="24"/>
          <w:lang w:val="en-US"/>
        </w:rPr>
      </w:pPr>
    </w:p>
    <w:p w:rsidR="00517711" w:rsidRDefault="00F815BE">
      <w:pPr>
        <w:spacing w:after="0" w:line="240" w:lineRule="auto"/>
        <w:ind w:firstLine="709"/>
        <w:contextualSpacing/>
        <w:jc w:val="both"/>
        <w:rPr>
          <w:rFonts w:ascii="Times New Roman" w:hAnsi="Times New Roman"/>
          <w:i/>
          <w:szCs w:val="24"/>
          <w:lang w:val="en-US"/>
        </w:rPr>
      </w:pPr>
      <w:r>
        <w:rPr>
          <w:rFonts w:ascii="Times New Roman" w:hAnsi="Times New Roman"/>
          <w:i/>
          <w:szCs w:val="24"/>
          <w:lang w:val="en-US"/>
        </w:rPr>
        <w:t>Today public catering establishments form the new round of development caused by the insistence of guests and high requirements to management. They are characterized by greater discretion and a desire to make sure of the high quality and safety of the products they consume. New technologies and the modern equipment introduced on production form the need to toughening of safety of production, designated by the HACCP system.</w:t>
      </w:r>
    </w:p>
    <w:p w:rsidR="00517711" w:rsidRDefault="00F815BE">
      <w:pPr>
        <w:spacing w:after="0" w:line="240" w:lineRule="auto"/>
        <w:ind w:firstLine="709"/>
        <w:contextualSpacing/>
        <w:jc w:val="both"/>
        <w:rPr>
          <w:rFonts w:ascii="Times New Roman" w:hAnsi="Times New Roman"/>
          <w:i/>
          <w:szCs w:val="24"/>
          <w:lang w:val="en-US"/>
        </w:rPr>
      </w:pPr>
      <w:r>
        <w:rPr>
          <w:rFonts w:ascii="Times New Roman" w:hAnsi="Times New Roman"/>
          <w:b/>
          <w:i/>
          <w:szCs w:val="24"/>
          <w:lang w:val="en-US"/>
        </w:rPr>
        <w:t xml:space="preserve">Keywords: </w:t>
      </w:r>
      <w:r>
        <w:rPr>
          <w:rFonts w:ascii="Times New Roman" w:hAnsi="Times New Roman"/>
          <w:i/>
          <w:szCs w:val="24"/>
          <w:lang w:val="en-US"/>
        </w:rPr>
        <w:t xml:space="preserve">public catering establishments; quality management; food safety; HACCP system. </w:t>
      </w:r>
    </w:p>
    <w:p w:rsidR="00517711" w:rsidRDefault="00517711">
      <w:pPr>
        <w:spacing w:after="0" w:line="240" w:lineRule="auto"/>
        <w:ind w:firstLine="709"/>
        <w:contextualSpacing/>
        <w:jc w:val="both"/>
        <w:rPr>
          <w:rFonts w:ascii="Times New Roman" w:hAnsi="Times New Roman"/>
          <w:sz w:val="24"/>
          <w:szCs w:val="24"/>
          <w:lang w:val="en-US"/>
        </w:rPr>
      </w:pP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Проблемы обеспечения безопасности и качества реализуемой продукции становятся все более актуальными для предприятий пищевой промышленности и индустрии гостеприимства. В последнее время потребители пищевых продуктов стали уделять пристальное внимание вопросам пищевой безопасности. Именно поэтому, проблемы обеспечения безопасности и качества реализуемой продукции становятся все более актуальными для предприятий индустрии питания.</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Цель данного исследования заключается в изучении возможностей системы качества анализа рисков и критических контрольных точек (</w:t>
      </w:r>
      <w:r>
        <w:rPr>
          <w:rFonts w:ascii="Times New Roman" w:hAnsi="Times New Roman" w:cs="Times New Roman"/>
          <w:sz w:val="20"/>
          <w:szCs w:val="20"/>
          <w:lang w:val="en-US"/>
        </w:rPr>
        <w:t>Hazard</w:t>
      </w:r>
      <w:r>
        <w:rPr>
          <w:rFonts w:ascii="Times New Roman" w:hAnsi="Times New Roman" w:cs="Times New Roman"/>
          <w:sz w:val="20"/>
          <w:szCs w:val="20"/>
        </w:rPr>
        <w:t xml:space="preserve"> </w:t>
      </w:r>
      <w:r>
        <w:rPr>
          <w:rFonts w:ascii="Times New Roman" w:hAnsi="Times New Roman" w:cs="Times New Roman"/>
          <w:sz w:val="20"/>
          <w:szCs w:val="20"/>
          <w:lang w:val="en-US"/>
        </w:rPr>
        <w:t>Analysis</w:t>
      </w:r>
      <w:r>
        <w:rPr>
          <w:rFonts w:ascii="Times New Roman" w:hAnsi="Times New Roman" w:cs="Times New Roman"/>
          <w:sz w:val="20"/>
          <w:szCs w:val="20"/>
        </w:rPr>
        <w:t xml:space="preserve"> </w:t>
      </w:r>
      <w:r>
        <w:rPr>
          <w:rFonts w:ascii="Times New Roman" w:hAnsi="Times New Roman" w:cs="Times New Roman"/>
          <w:sz w:val="20"/>
          <w:szCs w:val="20"/>
          <w:lang w:val="en-US"/>
        </w:rPr>
        <w:t>and</w:t>
      </w:r>
      <w:r>
        <w:rPr>
          <w:rFonts w:ascii="Times New Roman" w:hAnsi="Times New Roman" w:cs="Times New Roman"/>
          <w:sz w:val="20"/>
          <w:szCs w:val="20"/>
        </w:rPr>
        <w:t xml:space="preserve"> </w:t>
      </w:r>
      <w:r>
        <w:rPr>
          <w:rFonts w:ascii="Times New Roman" w:hAnsi="Times New Roman" w:cs="Times New Roman"/>
          <w:sz w:val="20"/>
          <w:szCs w:val="20"/>
          <w:lang w:val="en-US"/>
        </w:rPr>
        <w:t>Citical</w:t>
      </w:r>
      <w:r>
        <w:rPr>
          <w:rFonts w:ascii="Times New Roman" w:hAnsi="Times New Roman" w:cs="Times New Roman"/>
          <w:sz w:val="20"/>
          <w:szCs w:val="20"/>
        </w:rPr>
        <w:t xml:space="preserve"> </w:t>
      </w:r>
      <w:r>
        <w:rPr>
          <w:rFonts w:ascii="Times New Roman" w:hAnsi="Times New Roman" w:cs="Times New Roman"/>
          <w:sz w:val="20"/>
          <w:szCs w:val="20"/>
          <w:lang w:val="en-US"/>
        </w:rPr>
        <w:t>Control</w:t>
      </w:r>
      <w:r>
        <w:rPr>
          <w:rFonts w:ascii="Times New Roman" w:hAnsi="Times New Roman" w:cs="Times New Roman"/>
          <w:sz w:val="20"/>
          <w:szCs w:val="20"/>
        </w:rPr>
        <w:t xml:space="preserve"> </w:t>
      </w:r>
      <w:r>
        <w:rPr>
          <w:rFonts w:ascii="Times New Roman" w:hAnsi="Times New Roman" w:cs="Times New Roman"/>
          <w:sz w:val="20"/>
          <w:szCs w:val="20"/>
          <w:lang w:val="en-US"/>
        </w:rPr>
        <w:t>Points</w:t>
      </w:r>
      <w:r>
        <w:rPr>
          <w:rFonts w:ascii="Times New Roman" w:hAnsi="Times New Roman" w:cs="Times New Roman"/>
          <w:sz w:val="20"/>
          <w:szCs w:val="20"/>
        </w:rPr>
        <w:t xml:space="preserve">, </w:t>
      </w:r>
      <w:r>
        <w:rPr>
          <w:rFonts w:ascii="Times New Roman" w:hAnsi="Times New Roman" w:cs="Times New Roman"/>
          <w:sz w:val="20"/>
          <w:szCs w:val="20"/>
          <w:lang w:val="en-US"/>
        </w:rPr>
        <w:t>HACCP</w:t>
      </w:r>
      <w:r>
        <w:rPr>
          <w:rFonts w:ascii="Times New Roman" w:hAnsi="Times New Roman" w:cs="Times New Roman"/>
          <w:sz w:val="20"/>
          <w:szCs w:val="20"/>
        </w:rPr>
        <w:t xml:space="preserve">) с учетом программы обязательных предварительных мероприятий по обеспечению безопасности пищевой продукции.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Научная новизна исследования заключается в комплексном исследовании основных преимуществ системы качества ХАССП с целью внедрения ее в систему контроля качества на предприятии общественного питания.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Методическую основу исследования составили диалектический метод и основанные на нем общенаучные, частно-научные и специальные методы познания. В процессе написания работы были применены различные общенаучные методы познания, состоящие из теоретических, формально-логических и эмпирических методов.</w:t>
      </w:r>
    </w:p>
    <w:p w:rsidR="00517711" w:rsidRDefault="00517711">
      <w:pPr>
        <w:spacing w:after="0" w:line="240" w:lineRule="auto"/>
        <w:contextualSpacing/>
        <w:jc w:val="both"/>
        <w:rPr>
          <w:rFonts w:ascii="Times New Roman" w:hAnsi="Times New Roman" w:cs="Times New Roman"/>
          <w:sz w:val="20"/>
          <w:szCs w:val="20"/>
        </w:rPr>
      </w:pPr>
    </w:p>
    <w:p w:rsidR="00517711" w:rsidRDefault="00517711">
      <w:pPr>
        <w:spacing w:after="0" w:line="240" w:lineRule="auto"/>
        <w:ind w:firstLine="709"/>
        <w:contextualSpacing/>
        <w:jc w:val="both"/>
        <w:rPr>
          <w:rFonts w:ascii="Times New Roman" w:hAnsi="Times New Roman" w:cs="Times New Roman"/>
          <w:b/>
          <w:sz w:val="20"/>
          <w:szCs w:val="20"/>
        </w:rPr>
      </w:pP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Предприятия общественного питания, как и любые другие предприятия, связанные с производством пищевой продукции, с 15 февраля 2015 года должны внедрить и поддерживать систему безопасности пищевой продукции – систему ХАССП [3,5].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Основная задача системы ХАССП на предприятиях общественного питания – обеспечить контроль на всех этапах производственного процесса: начиная с приемки и хранения сырья и полуфабрикатов, заканчивая подачей готовой продукции конечному потребителю.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Система ХАССП на предприятиях общественного питания имеет свои особенности, обусловленные спецификой пищевой отрасли [1].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Нами определены особенности внедрения и использования системы ХАССП в общественном питании: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Как правило, кафе, рестораны и другие точки общественного питания имеют достаточно обширное меню. Ассортимент готовой продукции, а также сырья и полуфабрикатов, на предприятиях общественного питания значительно больше, чем у производственных компаний. Поэтому все этапы разработки документации по ХАССП требуют существенных временных затрат и определенных знаний, и навыков. Также в связи с большим количеством готовых блюд и сырья используется принцип группировки однотипных блюд и однотипных процессов. При этом важно внимательно и корректно проводить оценку возможных опасных факторов. Производственные процессы предприятий общественного питания имеют свои контрольные критические точки, обусловленные спецификой отрасли [7, с. 273].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На сегодняшний день многие компании внедряют систему ХАССП уже не только потому, что ее наличие регламентировано законодательством, а потому, что ХАССП на практике показал себя как эффективный инструмент повышения качества и безопасности продукции. Все больше компаний используют не только шаблонные решения, а внедряют и поддерживают в рабочем состоянии систему на всех этапах производства [6, с. 90].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Немаловажен и тот факт, что в процессе разработки и внедрения системы ХАССП на предприятии меняется психология сотрудников: приходит осознание важности вопросов обеспечения стабильного качества и безопасности продукции, формируется понимание того, каким должно быть управление современным предприятием питания [2, с. 7].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Наличие системы ХАССП зачастую становится условием участия в конкурсах и тендерах. А сертификация системы ХАССП позволяет повысить конкурентоспособность компании и лояльность клиентов.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Преимущества от внедрения системы ХАССП в деятельности предприятия общественного питания заключаются в следующем: </w:t>
      </w:r>
    </w:p>
    <w:p w:rsidR="00517711" w:rsidRDefault="00F815BE">
      <w:pPr>
        <w:pStyle w:val="af4"/>
        <w:numPr>
          <w:ilvl w:val="0"/>
          <w:numId w:val="3"/>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системный подход к обеспечению безопасности пищевой продукции; </w:t>
      </w:r>
    </w:p>
    <w:p w:rsidR="00517711" w:rsidRDefault="00F815BE">
      <w:pPr>
        <w:pStyle w:val="af4"/>
        <w:numPr>
          <w:ilvl w:val="0"/>
          <w:numId w:val="3"/>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оптимизация процессов управления, четкое распределение полномочий, ответственности и взаимодействия персонала; </w:t>
      </w:r>
    </w:p>
    <w:p w:rsidR="00517711" w:rsidRDefault="00F815BE">
      <w:pPr>
        <w:pStyle w:val="af4"/>
        <w:numPr>
          <w:ilvl w:val="0"/>
          <w:numId w:val="3"/>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использование предупреждающих мер, а не запоздалых действий по исправлению брака и отзыву продукции; </w:t>
      </w:r>
    </w:p>
    <w:p w:rsidR="00517711" w:rsidRDefault="00F815BE">
      <w:pPr>
        <w:pStyle w:val="af4"/>
        <w:numPr>
          <w:ilvl w:val="0"/>
          <w:numId w:val="3"/>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безошибочное выявление критических процессов и концентрация на них основных ресурсов и усилий предприятия; </w:t>
      </w:r>
    </w:p>
    <w:p w:rsidR="00517711" w:rsidRDefault="00F815BE">
      <w:pPr>
        <w:pStyle w:val="af4"/>
        <w:numPr>
          <w:ilvl w:val="0"/>
          <w:numId w:val="3"/>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значительная экономия финансовых средств за счет снижения доли брака; </w:t>
      </w:r>
    </w:p>
    <w:p w:rsidR="00517711" w:rsidRDefault="00F815BE">
      <w:pPr>
        <w:pStyle w:val="af4"/>
        <w:numPr>
          <w:ilvl w:val="0"/>
          <w:numId w:val="3"/>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рост доверия потребителей к производимой продукции; </w:t>
      </w:r>
    </w:p>
    <w:p w:rsidR="00517711" w:rsidRDefault="00F815BE">
      <w:pPr>
        <w:pStyle w:val="af4"/>
        <w:numPr>
          <w:ilvl w:val="0"/>
          <w:numId w:val="3"/>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дополнительные преимущества для участия в тендерах; - повышение конкурентоспособности продукции предприятия; </w:t>
      </w:r>
    </w:p>
    <w:p w:rsidR="00517711" w:rsidRDefault="00F815BE">
      <w:pPr>
        <w:pStyle w:val="af4"/>
        <w:numPr>
          <w:ilvl w:val="0"/>
          <w:numId w:val="3"/>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снижение числа рекламаций за счет обеспечения стабильного качества продукции; </w:t>
      </w:r>
    </w:p>
    <w:p w:rsidR="00517711" w:rsidRDefault="00F815BE">
      <w:pPr>
        <w:pStyle w:val="af4"/>
        <w:numPr>
          <w:ilvl w:val="0"/>
          <w:numId w:val="3"/>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формирование репутации производителя безопасной и качественной продукции; </w:t>
      </w:r>
    </w:p>
    <w:p w:rsidR="00517711" w:rsidRDefault="00F815BE">
      <w:pPr>
        <w:pStyle w:val="af4"/>
        <w:numPr>
          <w:ilvl w:val="0"/>
          <w:numId w:val="3"/>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документальные подтверждения безопасности производимых продуктов, что особо важно при анализе претензий и в судебных разбирательствах [4, </w:t>
      </w:r>
      <w:r>
        <w:rPr>
          <w:rFonts w:ascii="Times New Roman" w:hAnsi="Times New Roman"/>
          <w:sz w:val="20"/>
          <w:szCs w:val="20"/>
          <w:lang w:val="en-US"/>
        </w:rPr>
        <w:t>c</w:t>
      </w:r>
      <w:r>
        <w:rPr>
          <w:rFonts w:ascii="Times New Roman" w:hAnsi="Times New Roman"/>
          <w:sz w:val="20"/>
          <w:szCs w:val="20"/>
        </w:rPr>
        <w:t xml:space="preserve">. 47].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По нашему мнению, именно благодаря основным принципам системы  ХАССП может быть сформирована эффективная система контроля качества на предприятии общественного питания с применением программы обязательных предварительных мероприятий по обеспечению безопасности пищевой продукции.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Систему контроля качества продукции на предприятиях общественного питания формируют взаимосвязанные объекты и субъекты контроля, используемые различные виды, методы и средства оценки качества изделий, включающие организацию профилактики брака на различных этапах жизненного цикла продукции и уровнях управления качеством.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Благодаря эффективной системе контроля осуществляется формирование своевременного и целенаправленного воздействия на все уровни качества выпускаемой продукции, способные предупредить всевозможные недостатки и сбои в работе, обеспечивающие их оперативное выявление и ликвидацию с наименьшими затратами ресурсов.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Контроль системы качества на предприятии общественного питания должен осуществляться в соответствии с принципами, состоящими из: </w:t>
      </w:r>
    </w:p>
    <w:p w:rsidR="00517711" w:rsidRDefault="00F815BE">
      <w:pPr>
        <w:pStyle w:val="af4"/>
        <w:numPr>
          <w:ilvl w:val="0"/>
          <w:numId w:val="4"/>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Определения концепции контроля (всеобъемлющей система контроля «Controlling» либо путем реализации частных проверок); </w:t>
      </w:r>
    </w:p>
    <w:p w:rsidR="00517711" w:rsidRDefault="00F815BE">
      <w:pPr>
        <w:pStyle w:val="af4"/>
        <w:numPr>
          <w:ilvl w:val="0"/>
          <w:numId w:val="4"/>
        </w:numPr>
        <w:spacing w:after="0" w:line="240" w:lineRule="auto"/>
        <w:ind w:left="0" w:firstLine="709"/>
        <w:jc w:val="both"/>
        <w:rPr>
          <w:rFonts w:ascii="Times New Roman" w:hAnsi="Times New Roman"/>
          <w:sz w:val="20"/>
          <w:szCs w:val="20"/>
        </w:rPr>
      </w:pPr>
      <w:r>
        <w:rPr>
          <w:rFonts w:ascii="Times New Roman" w:hAnsi="Times New Roman"/>
          <w:sz w:val="20"/>
          <w:szCs w:val="20"/>
        </w:rPr>
        <w:lastRenderedPageBreak/>
        <w:t xml:space="preserve">Определения цели контроля (контроль должен быть целесообразным, правильным, регулярным); </w:t>
      </w:r>
    </w:p>
    <w:p w:rsidR="00517711" w:rsidRDefault="00F815BE">
      <w:pPr>
        <w:pStyle w:val="af4"/>
        <w:numPr>
          <w:ilvl w:val="0"/>
          <w:numId w:val="4"/>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Планирования проверок, состоящих из: </w:t>
      </w:r>
    </w:p>
    <w:p w:rsidR="00517711" w:rsidRDefault="00F815BE">
      <w:pPr>
        <w:pStyle w:val="af4"/>
        <w:numPr>
          <w:ilvl w:val="1"/>
          <w:numId w:val="4"/>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объектов контроля (потенциала, методов, результатов, показателей и т.д.); </w:t>
      </w:r>
    </w:p>
    <w:p w:rsidR="00517711" w:rsidRDefault="00F815BE">
      <w:pPr>
        <w:pStyle w:val="af4"/>
        <w:numPr>
          <w:ilvl w:val="1"/>
          <w:numId w:val="4"/>
        </w:numPr>
        <w:spacing w:after="0" w:line="240" w:lineRule="auto"/>
        <w:ind w:left="0" w:firstLine="709"/>
        <w:jc w:val="both"/>
        <w:rPr>
          <w:rFonts w:ascii="Times New Roman" w:hAnsi="Times New Roman"/>
          <w:sz w:val="20"/>
          <w:szCs w:val="20"/>
        </w:rPr>
      </w:pPr>
      <w:r>
        <w:rPr>
          <w:rFonts w:ascii="Times New Roman" w:hAnsi="Times New Roman"/>
          <w:sz w:val="20"/>
          <w:szCs w:val="20"/>
        </w:rPr>
        <w:t>проверяемых норм (этических, правовых, производственных);</w:t>
      </w:r>
    </w:p>
    <w:p w:rsidR="00517711" w:rsidRDefault="00F815BE">
      <w:pPr>
        <w:pStyle w:val="af4"/>
        <w:numPr>
          <w:ilvl w:val="1"/>
          <w:numId w:val="4"/>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субъектов контроля (внутренних или внешних органов контроля); </w:t>
      </w:r>
    </w:p>
    <w:p w:rsidR="00517711" w:rsidRDefault="00F815BE">
      <w:pPr>
        <w:pStyle w:val="af4"/>
        <w:numPr>
          <w:ilvl w:val="1"/>
          <w:numId w:val="4"/>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методов контроля; </w:t>
      </w:r>
    </w:p>
    <w:p w:rsidR="00517711" w:rsidRDefault="00F815BE">
      <w:pPr>
        <w:pStyle w:val="af4"/>
        <w:numPr>
          <w:ilvl w:val="1"/>
          <w:numId w:val="4"/>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объема и средств контроля (полного, сплошного, выборочного, ручного, автоматического, компьютеризированного); </w:t>
      </w:r>
    </w:p>
    <w:p w:rsidR="00517711" w:rsidRDefault="00F815BE">
      <w:pPr>
        <w:pStyle w:val="af4"/>
        <w:numPr>
          <w:ilvl w:val="1"/>
          <w:numId w:val="4"/>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сроков и продолжительности проверок; </w:t>
      </w:r>
    </w:p>
    <w:p w:rsidR="00517711" w:rsidRDefault="00F815BE">
      <w:pPr>
        <w:pStyle w:val="af4"/>
        <w:numPr>
          <w:ilvl w:val="1"/>
          <w:numId w:val="4"/>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последовательности, методики и допуска проверок. </w:t>
      </w:r>
    </w:p>
    <w:p w:rsidR="00517711" w:rsidRDefault="00F815BE">
      <w:pPr>
        <w:pStyle w:val="af4"/>
        <w:numPr>
          <w:ilvl w:val="0"/>
          <w:numId w:val="4"/>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Определения значений действительных и предписанных. </w:t>
      </w:r>
    </w:p>
    <w:p w:rsidR="00517711" w:rsidRDefault="00F815BE">
      <w:pPr>
        <w:pStyle w:val="af4"/>
        <w:numPr>
          <w:ilvl w:val="0"/>
          <w:numId w:val="4"/>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Установления идентичности расхождений (обнаружения, количественной оценки). </w:t>
      </w:r>
    </w:p>
    <w:p w:rsidR="00517711" w:rsidRDefault="00F815BE">
      <w:pPr>
        <w:pStyle w:val="af4"/>
        <w:numPr>
          <w:ilvl w:val="0"/>
          <w:numId w:val="4"/>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Выработке решения, определения его веса. </w:t>
      </w:r>
    </w:p>
    <w:p w:rsidR="00517711" w:rsidRDefault="00F815BE">
      <w:pPr>
        <w:pStyle w:val="af4"/>
        <w:numPr>
          <w:ilvl w:val="0"/>
          <w:numId w:val="4"/>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Документирования решения. </w:t>
      </w:r>
    </w:p>
    <w:p w:rsidR="00517711" w:rsidRDefault="00F815BE">
      <w:pPr>
        <w:pStyle w:val="af4"/>
        <w:numPr>
          <w:ilvl w:val="0"/>
          <w:numId w:val="4"/>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Метапроверке (проверке проверки). </w:t>
      </w:r>
    </w:p>
    <w:p w:rsidR="00517711" w:rsidRDefault="00F815BE">
      <w:pPr>
        <w:pStyle w:val="af4"/>
        <w:numPr>
          <w:ilvl w:val="0"/>
          <w:numId w:val="4"/>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Сообщения решения (устного, письменного отчета). </w:t>
      </w:r>
    </w:p>
    <w:p w:rsidR="00517711" w:rsidRDefault="00F815BE">
      <w:pPr>
        <w:pStyle w:val="af4"/>
        <w:numPr>
          <w:ilvl w:val="0"/>
          <w:numId w:val="4"/>
        </w:numPr>
        <w:spacing w:after="0" w:line="240" w:lineRule="auto"/>
        <w:ind w:left="0" w:firstLine="709"/>
        <w:jc w:val="both"/>
        <w:rPr>
          <w:rFonts w:ascii="Times New Roman" w:hAnsi="Times New Roman"/>
          <w:sz w:val="20"/>
          <w:szCs w:val="20"/>
        </w:rPr>
      </w:pPr>
      <w:r>
        <w:rPr>
          <w:rFonts w:ascii="Times New Roman" w:hAnsi="Times New Roman"/>
          <w:sz w:val="20"/>
          <w:szCs w:val="20"/>
        </w:rPr>
        <w:t>Оценки решения (анализа отклонений, локализации причин, установления ответственности, исследования возможностей исправления, мер по устранению недостатков).</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Принцип системы качества должен охватывать все стадии цикла продукции. Апробируя данный принцип на предприятия общественного питания, отметим, что стадии жизненного цикла продукции состоят из: </w:t>
      </w:r>
    </w:p>
    <w:p w:rsidR="00517711" w:rsidRDefault="00F815BE">
      <w:pPr>
        <w:pStyle w:val="af4"/>
        <w:numPr>
          <w:ilvl w:val="0"/>
          <w:numId w:val="5"/>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Маркетинга, поиска и изучения рынка. </w:t>
      </w:r>
    </w:p>
    <w:p w:rsidR="00517711" w:rsidRDefault="00F815BE">
      <w:pPr>
        <w:pStyle w:val="af4"/>
        <w:numPr>
          <w:ilvl w:val="0"/>
          <w:numId w:val="5"/>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Разработки технических требований к продукции, стандартов предприятий. </w:t>
      </w:r>
    </w:p>
    <w:p w:rsidR="00517711" w:rsidRDefault="00F815BE">
      <w:pPr>
        <w:pStyle w:val="af4"/>
        <w:numPr>
          <w:ilvl w:val="0"/>
          <w:numId w:val="5"/>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Материально-технического снабжения. </w:t>
      </w:r>
    </w:p>
    <w:p w:rsidR="00517711" w:rsidRDefault="00F815BE">
      <w:pPr>
        <w:pStyle w:val="af4"/>
        <w:numPr>
          <w:ilvl w:val="0"/>
          <w:numId w:val="5"/>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Подготовке и разработке производственных процессов. </w:t>
      </w:r>
    </w:p>
    <w:p w:rsidR="00517711" w:rsidRDefault="00F815BE">
      <w:pPr>
        <w:pStyle w:val="af4"/>
        <w:numPr>
          <w:ilvl w:val="0"/>
          <w:numId w:val="5"/>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Производства. </w:t>
      </w:r>
    </w:p>
    <w:p w:rsidR="00517711" w:rsidRDefault="00F815BE">
      <w:pPr>
        <w:pStyle w:val="af4"/>
        <w:numPr>
          <w:ilvl w:val="0"/>
          <w:numId w:val="5"/>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Контроля, проверки качества. </w:t>
      </w:r>
    </w:p>
    <w:p w:rsidR="00517711" w:rsidRDefault="00F815BE">
      <w:pPr>
        <w:pStyle w:val="af4"/>
        <w:numPr>
          <w:ilvl w:val="0"/>
          <w:numId w:val="5"/>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Технической помощи и обслуживания. </w:t>
      </w:r>
    </w:p>
    <w:p w:rsidR="00517711" w:rsidRDefault="00F815BE">
      <w:pPr>
        <w:pStyle w:val="af4"/>
        <w:numPr>
          <w:ilvl w:val="0"/>
          <w:numId w:val="5"/>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Реализации и распределения готовой продукции.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В соответствии с характером воздействия на стадии жизненного цикла продукции в системе качества можно выделить три направления: </w:t>
      </w:r>
    </w:p>
    <w:p w:rsidR="00517711" w:rsidRDefault="00F815BE">
      <w:pPr>
        <w:pStyle w:val="af4"/>
        <w:numPr>
          <w:ilvl w:val="0"/>
          <w:numId w:val="6"/>
        </w:numPr>
        <w:spacing w:after="0" w:line="240" w:lineRule="auto"/>
        <w:ind w:left="0" w:firstLine="709"/>
        <w:jc w:val="both"/>
        <w:rPr>
          <w:rFonts w:ascii="Times New Roman" w:hAnsi="Times New Roman"/>
          <w:sz w:val="20"/>
          <w:szCs w:val="20"/>
        </w:rPr>
      </w:pPr>
      <w:r>
        <w:rPr>
          <w:rFonts w:ascii="Times New Roman" w:hAnsi="Times New Roman"/>
          <w:sz w:val="20"/>
          <w:szCs w:val="20"/>
        </w:rPr>
        <w:t>обеспечение качества;</w:t>
      </w:r>
    </w:p>
    <w:p w:rsidR="00517711" w:rsidRDefault="00F815BE">
      <w:pPr>
        <w:pStyle w:val="af4"/>
        <w:numPr>
          <w:ilvl w:val="0"/>
          <w:numId w:val="6"/>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управление качеством; </w:t>
      </w:r>
    </w:p>
    <w:p w:rsidR="00517711" w:rsidRDefault="00F815BE">
      <w:pPr>
        <w:pStyle w:val="af4"/>
        <w:numPr>
          <w:ilvl w:val="0"/>
          <w:numId w:val="6"/>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улучшение качества [8, с. 32].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Функциями первого этапа - маркетинга, является формирование рыночного спроса и объема реализации продукции, для того, чтобы планировать объемы производства, осуществлять объективную оценку требований потребителей, включая консолидацию претензионных обращений клиентов.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В процессе разработки технических требований к продукции, стандартов предприятий осуществляется разработка рецептур, технических условий, стандартов, реализация экспериментов, испытаний, проверка качества лабораторным путем. Здесь очень важно предотвратить ошибки в разработке новой продукции.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Целью комплекса работ по материально-техническому снабжению в системе качества является обеспечение стабильного качества поступающего сырья, полуфабрикатов, предметов материально-технического оснащения. Основу надежности реализации данного этапа составляет поставщик. Эффективная работа должна быть построена на основе реализации эффективной системы планирования, для того, чтобы произвести расчет необходимого оборудования, оценку рынка поставки оборудования. Помимо этого, данный этап должен включать разработку производственных процессов, формирование оптимальных условий для стабильного производства продукции, которое должно основываться на требованиях нормативной документации. Решаются задачи освоения новой технологии, обеспечения стабильности работы оборудования, обучения кадров и т. д.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Этап производства системы качества состоит из комплекса мероприятий, которые направлены на обеспечение стабильности производства для выпуска продукции на основании требований нормативной документации.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Этап технической помощи и обслуживания состоит из: </w:t>
      </w:r>
    </w:p>
    <w:p w:rsidR="00517711" w:rsidRDefault="00F815BE">
      <w:pPr>
        <w:pStyle w:val="af4"/>
        <w:numPr>
          <w:ilvl w:val="0"/>
          <w:numId w:val="7"/>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реализации погрузочно-разгрузочных работ; </w:t>
      </w:r>
    </w:p>
    <w:p w:rsidR="00517711" w:rsidRDefault="00F815BE">
      <w:pPr>
        <w:pStyle w:val="af4"/>
        <w:numPr>
          <w:ilvl w:val="0"/>
          <w:numId w:val="7"/>
        </w:numPr>
        <w:spacing w:after="0" w:line="240" w:lineRule="auto"/>
        <w:ind w:left="0" w:firstLine="709"/>
        <w:rPr>
          <w:rFonts w:ascii="Times New Roman" w:hAnsi="Times New Roman"/>
          <w:sz w:val="20"/>
          <w:szCs w:val="20"/>
        </w:rPr>
      </w:pPr>
      <w:r>
        <w:rPr>
          <w:rFonts w:ascii="Times New Roman" w:hAnsi="Times New Roman"/>
          <w:sz w:val="20"/>
          <w:szCs w:val="20"/>
        </w:rPr>
        <w:t>строгого соблюдения требований сохранности продукции;</w:t>
      </w:r>
    </w:p>
    <w:p w:rsidR="00517711" w:rsidRDefault="00F815BE">
      <w:pPr>
        <w:pStyle w:val="af4"/>
        <w:numPr>
          <w:ilvl w:val="0"/>
          <w:numId w:val="7"/>
        </w:numPr>
        <w:spacing w:after="0" w:line="240" w:lineRule="auto"/>
        <w:ind w:left="0" w:firstLine="709"/>
        <w:jc w:val="both"/>
        <w:rPr>
          <w:rFonts w:ascii="Times New Roman" w:hAnsi="Times New Roman"/>
          <w:sz w:val="20"/>
          <w:szCs w:val="20"/>
        </w:rPr>
      </w:pPr>
      <w:r>
        <w:rPr>
          <w:rFonts w:ascii="Times New Roman" w:hAnsi="Times New Roman"/>
          <w:sz w:val="20"/>
          <w:szCs w:val="20"/>
        </w:rPr>
        <w:t>создания наиболее оптимальных условий хранения;</w:t>
      </w:r>
    </w:p>
    <w:p w:rsidR="00517711" w:rsidRDefault="00F815BE">
      <w:pPr>
        <w:pStyle w:val="af4"/>
        <w:numPr>
          <w:ilvl w:val="0"/>
          <w:numId w:val="7"/>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технической помощи в обслуживании оборудования.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Помимо этого, основные элементы системы качества должны состоять из: </w:t>
      </w:r>
    </w:p>
    <w:p w:rsidR="00517711" w:rsidRDefault="00F815BE">
      <w:pPr>
        <w:pStyle w:val="af4"/>
        <w:numPr>
          <w:ilvl w:val="0"/>
          <w:numId w:val="8"/>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личного участия и ответственности руководителя в работах, направленных на обеспечение качества продукции; </w:t>
      </w:r>
    </w:p>
    <w:p w:rsidR="00517711" w:rsidRDefault="00F815BE">
      <w:pPr>
        <w:pStyle w:val="af4"/>
        <w:numPr>
          <w:ilvl w:val="0"/>
          <w:numId w:val="8"/>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наличия эффективной системы планирования в области качества; </w:t>
      </w:r>
    </w:p>
    <w:p w:rsidR="00517711" w:rsidRDefault="00F815BE">
      <w:pPr>
        <w:pStyle w:val="af4"/>
        <w:numPr>
          <w:ilvl w:val="0"/>
          <w:numId w:val="8"/>
        </w:numPr>
        <w:spacing w:after="0" w:line="240" w:lineRule="auto"/>
        <w:ind w:left="0" w:firstLine="709"/>
        <w:jc w:val="both"/>
        <w:rPr>
          <w:rFonts w:ascii="Times New Roman" w:hAnsi="Times New Roman"/>
          <w:sz w:val="20"/>
          <w:szCs w:val="20"/>
        </w:rPr>
      </w:pPr>
      <w:r>
        <w:rPr>
          <w:rFonts w:ascii="Times New Roman" w:hAnsi="Times New Roman"/>
          <w:sz w:val="20"/>
          <w:szCs w:val="20"/>
        </w:rPr>
        <w:lastRenderedPageBreak/>
        <w:t xml:space="preserve">четкого распределения ответственности и полномочий на все виды деятельности, способные обеспечить реализацию плана предприятия в области качества; </w:t>
      </w:r>
    </w:p>
    <w:p w:rsidR="00517711" w:rsidRDefault="00F815BE">
      <w:pPr>
        <w:pStyle w:val="af4"/>
        <w:numPr>
          <w:ilvl w:val="0"/>
          <w:numId w:val="8"/>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определения затрат, направленных на обеспечение качества продукции; </w:t>
      </w:r>
    </w:p>
    <w:p w:rsidR="00517711" w:rsidRDefault="00F815BE">
      <w:pPr>
        <w:pStyle w:val="af4"/>
        <w:numPr>
          <w:ilvl w:val="0"/>
          <w:numId w:val="8"/>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обеспечения безопасности продукции, работ, услуг для потребителя и окружающей среды; </w:t>
      </w:r>
    </w:p>
    <w:p w:rsidR="00517711" w:rsidRDefault="00F815BE">
      <w:pPr>
        <w:pStyle w:val="af4"/>
        <w:numPr>
          <w:ilvl w:val="0"/>
          <w:numId w:val="8"/>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стимулирования развития работ, направленных на улучшение качества; </w:t>
      </w:r>
    </w:p>
    <w:p w:rsidR="00517711" w:rsidRDefault="00F815BE">
      <w:pPr>
        <w:pStyle w:val="af4"/>
        <w:numPr>
          <w:ilvl w:val="0"/>
          <w:numId w:val="8"/>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систематического совершенствования методов и средств обеспечения и контроля качества [6, </w:t>
      </w:r>
      <w:r>
        <w:rPr>
          <w:rFonts w:ascii="Times New Roman" w:hAnsi="Times New Roman"/>
          <w:sz w:val="20"/>
          <w:szCs w:val="20"/>
          <w:lang w:val="en-US"/>
        </w:rPr>
        <w:t>c</w:t>
      </w:r>
      <w:r>
        <w:rPr>
          <w:rFonts w:ascii="Times New Roman" w:hAnsi="Times New Roman"/>
          <w:sz w:val="20"/>
          <w:szCs w:val="20"/>
        </w:rPr>
        <w:t xml:space="preserve">.91]. </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Соответственно, формирование контроля качества продукции должно осуществляться в процессе разработки самой продукции, а формирование нормативной документации, на всех стадиях производства, и должно поддерживаться на стадии хранения, транспортирования и реализации, и иметь тесную взаимосвязь с различными факторами. </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Факторы, составляющие основу достижения качества, состоят из лучшего проектирования, лучших средств связи, успехов рационализации, стандартизации, улучшения технологии и оборудования, лучших материалов, улучшении измерительной техники и организации контроля, разделения труда, экономического и научно-технического сотрудничества, стабильного выпуска одной и той же продукции и др. </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Первоочередно, уровень качества выпускаемой продукции зависит от четкости сформулированных в нормативной документации требований к качеству продукции и исходного сырья или полуфабрикатов. </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Таким образом, резюмируя анализ контроля системы качества на предприятии общественного питания, отметим, что для повышения качества, в первую очередь, особое внимание должно быть уделено новым технологиям. Повышение качества продукции может быть достигнуто только посредством усилий всех сотрудников предприятия; проведения эффективного контроля процесса производства, а не конечного результата; </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Обеспечение качества продукции, является единым объектом управления, совокупностью взаимоувязанных, взаимоподчиненных стадий и операций: от приемки сырья до хранения и реализации готовой продукции. А именно, из-за одной некачественно выполненной операции технологического процесса может быть испорчена ранее выполненная высококачественная работа, что, как следствие, приведет к невозможности получения продукции заданного качества. В связи с этим, следует особое внимание уделять соблюдению технологической дисциплины, предписанной нормативной документации, особое внимание должно уделяться контролю качества выполнения не только всего технологического процесса, но и качеству выполнения отдельных промежуточных операций. </w:t>
      </w:r>
    </w:p>
    <w:p w:rsidR="00517711" w:rsidRDefault="00517711">
      <w:pPr>
        <w:spacing w:after="0" w:line="240" w:lineRule="auto"/>
        <w:ind w:firstLine="709"/>
        <w:contextualSpacing/>
        <w:jc w:val="both"/>
        <w:rPr>
          <w:rFonts w:ascii="Times New Roman" w:hAnsi="Times New Roman" w:cs="Times New Roman"/>
          <w:sz w:val="20"/>
          <w:szCs w:val="20"/>
        </w:rPr>
      </w:pPr>
    </w:p>
    <w:p w:rsidR="00517711" w:rsidRDefault="00517711">
      <w:pPr>
        <w:pBdr>
          <w:top w:val="single" w:sz="4" w:space="1" w:color="auto"/>
        </w:pBdr>
        <w:spacing w:after="0" w:line="240" w:lineRule="auto"/>
        <w:contextualSpacing/>
        <w:jc w:val="both"/>
        <w:rPr>
          <w:rFonts w:ascii="Times New Roman" w:hAnsi="Times New Roman" w:cs="Times New Roman"/>
          <w:b/>
          <w:sz w:val="20"/>
          <w:szCs w:val="20"/>
        </w:rPr>
      </w:pPr>
    </w:p>
    <w:p w:rsidR="00517711" w:rsidRDefault="00F815BE">
      <w:pPr>
        <w:pStyle w:val="af4"/>
        <w:numPr>
          <w:ilvl w:val="0"/>
          <w:numId w:val="9"/>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ГОСТ Р 53995-2010 «Услуги общественного питания. Общие требования к методам и формам обслуживания на предприятиях общественного питания». </w:t>
      </w:r>
    </w:p>
    <w:p w:rsidR="00517711" w:rsidRDefault="00F815BE">
      <w:pPr>
        <w:pStyle w:val="af4"/>
        <w:numPr>
          <w:ilvl w:val="0"/>
          <w:numId w:val="9"/>
        </w:numPr>
        <w:spacing w:after="0" w:line="240" w:lineRule="auto"/>
        <w:ind w:left="0" w:firstLine="709"/>
        <w:jc w:val="both"/>
        <w:rPr>
          <w:rFonts w:ascii="Times New Roman" w:hAnsi="Times New Roman"/>
          <w:sz w:val="20"/>
          <w:szCs w:val="20"/>
        </w:rPr>
      </w:pPr>
      <w:r>
        <w:rPr>
          <w:rFonts w:ascii="Times New Roman" w:hAnsi="Times New Roman"/>
          <w:sz w:val="20"/>
          <w:szCs w:val="20"/>
        </w:rPr>
        <w:t>Абдуллина Р.Р., Храмцова Л.А., Иванова О.В. О преимуществах внедрения системы ХАССП // В сборнике: Безопасность жизнедеятельности в современных условиях: проблемы и пути решения. Материалы Международной научно- практической конференции. 2015. С. 7-8.</w:t>
      </w:r>
    </w:p>
    <w:p w:rsidR="00517711" w:rsidRDefault="00F815BE">
      <w:pPr>
        <w:pStyle w:val="af4"/>
        <w:numPr>
          <w:ilvl w:val="0"/>
          <w:numId w:val="9"/>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Иванова О.В. Словарь основных терминов управления качеством. – Уфа: РИЦ БашГУ, 2014. – 68 с. </w:t>
      </w:r>
    </w:p>
    <w:p w:rsidR="00517711" w:rsidRDefault="00F815BE">
      <w:pPr>
        <w:pStyle w:val="af4"/>
        <w:numPr>
          <w:ilvl w:val="0"/>
          <w:numId w:val="9"/>
        </w:numPr>
        <w:spacing w:after="0" w:line="240" w:lineRule="auto"/>
        <w:ind w:left="0" w:firstLine="709"/>
        <w:jc w:val="both"/>
        <w:rPr>
          <w:rFonts w:ascii="Times New Roman" w:hAnsi="Times New Roman"/>
          <w:sz w:val="20"/>
          <w:szCs w:val="20"/>
        </w:rPr>
      </w:pPr>
      <w:r>
        <w:rPr>
          <w:rFonts w:ascii="Times New Roman" w:hAnsi="Times New Roman"/>
          <w:sz w:val="20"/>
          <w:szCs w:val="20"/>
        </w:rPr>
        <w:t>Крапива, Т.В. Менеджмент качества в ресторанном бизнесе: монография / Т.В. Крапива, Л.А. Маюрникова, Н.И. Давыденко: – Кемерово, 2010. – 200 с.</w:t>
      </w:r>
    </w:p>
    <w:p w:rsidR="00517711" w:rsidRDefault="00F815BE">
      <w:pPr>
        <w:pStyle w:val="af4"/>
        <w:numPr>
          <w:ilvl w:val="0"/>
          <w:numId w:val="9"/>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Маюрникова Л.А., Крапива Т.В., Кокшаров А.А. Обоснование необходимости внедрения систем качества на предприятиях общественного питания. Ползуновский вестник, №3/2, 2011 г. С.192-196. </w:t>
      </w:r>
    </w:p>
    <w:p w:rsidR="00517711" w:rsidRDefault="00F815BE">
      <w:pPr>
        <w:pStyle w:val="af4"/>
        <w:numPr>
          <w:ilvl w:val="0"/>
          <w:numId w:val="9"/>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Муратова Р.Р., Харисова Э.Б., Иванова О.В. Внедрение системы безопасности пищевых продуктов HACCP на предприятиях России // В сборнике: Качество жизнеобеспечения населения. Сборник научных статей участников Всероссийской научно-практической конференции с международным участием. Башкирский государственный медицинский университет. 2016. С. 89-91. </w:t>
      </w:r>
    </w:p>
    <w:p w:rsidR="00517711" w:rsidRDefault="00F815BE">
      <w:pPr>
        <w:pStyle w:val="af4"/>
        <w:numPr>
          <w:ilvl w:val="0"/>
          <w:numId w:val="9"/>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Мустафина Д.Ф., Иванова О.В. Принципы ХАСПП как основа системы безопасности пищевой продукции на предприятиях сферы общественного питания // В сборнике: Актуальные вопросы современной науки сборник научных статей Международной научно-практической заочной конференции. Уфимский государственный университет экономики и сервиса. 2016. С. 273-276. </w:t>
      </w:r>
    </w:p>
    <w:p w:rsidR="00517711" w:rsidRDefault="00F815BE">
      <w:pPr>
        <w:pStyle w:val="af4"/>
        <w:numPr>
          <w:ilvl w:val="0"/>
          <w:numId w:val="9"/>
        </w:numPr>
        <w:spacing w:after="0" w:line="240" w:lineRule="auto"/>
        <w:ind w:left="0" w:firstLine="709"/>
        <w:jc w:val="both"/>
        <w:rPr>
          <w:rFonts w:ascii="Times New Roman" w:hAnsi="Times New Roman"/>
          <w:sz w:val="20"/>
          <w:szCs w:val="20"/>
        </w:rPr>
      </w:pPr>
      <w:r>
        <w:rPr>
          <w:rFonts w:ascii="Times New Roman" w:hAnsi="Times New Roman"/>
          <w:sz w:val="20"/>
          <w:szCs w:val="20"/>
        </w:rPr>
        <w:t>Организация производства и управление качеством продукции в общественном питании / Т.А.Васюкова [и др.]. М.: Издательско-торговая корпорация «Дашков и Ко», 2006. 296 с.</w:t>
      </w:r>
    </w:p>
    <w:p w:rsidR="00517711" w:rsidRDefault="00517711"/>
    <w:p w:rsidR="00517711" w:rsidRDefault="00F815BE">
      <w:pPr>
        <w:keepNext/>
        <w:spacing w:before="120" w:after="120" w:line="240" w:lineRule="auto"/>
        <w:outlineLvl w:val="3"/>
        <w:rPr>
          <w:rFonts w:ascii="Times New Roman" w:eastAsia="Calibri" w:hAnsi="Times New Roman" w:cs="Times New Roman"/>
          <w:b/>
          <w:bCs/>
          <w:sz w:val="20"/>
          <w:szCs w:val="28"/>
        </w:rPr>
      </w:pPr>
      <w:r>
        <w:rPr>
          <w:rFonts w:ascii="Times New Roman" w:eastAsia="Calibri" w:hAnsi="Times New Roman" w:cs="Times New Roman"/>
          <w:b/>
          <w:bCs/>
          <w:sz w:val="20"/>
          <w:szCs w:val="28"/>
        </w:rPr>
        <w:t>Рубрика: Гостиничное хозяйство</w:t>
      </w:r>
    </w:p>
    <w:p w:rsidR="00517711" w:rsidRDefault="00F815BE">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УДК 640.41</w:t>
      </w:r>
    </w:p>
    <w:p w:rsidR="00517711" w:rsidRDefault="00F815BE">
      <w:pPr>
        <w:keepNext/>
        <w:spacing w:before="240" w:after="0" w:line="240" w:lineRule="auto"/>
        <w:jc w:val="center"/>
        <w:outlineLvl w:val="0"/>
        <w:rPr>
          <w:rFonts w:ascii="Book Antiqua" w:hAnsi="Book Antiqua" w:cs="Times New Roman"/>
          <w:b/>
          <w:bCs/>
          <w:caps/>
          <w:sz w:val="26"/>
          <w:szCs w:val="26"/>
        </w:rPr>
      </w:pPr>
      <w:r>
        <w:rPr>
          <w:rFonts w:ascii="Book Antiqua" w:hAnsi="Book Antiqua" w:cs="Times New Roman"/>
          <w:b/>
          <w:bCs/>
          <w:caps/>
          <w:sz w:val="26"/>
          <w:szCs w:val="26"/>
        </w:rPr>
        <w:lastRenderedPageBreak/>
        <w:t xml:space="preserve">Совершенствование гостиничных услуг (на примере сети отелей «Азимут», </w:t>
      </w:r>
    </w:p>
    <w:p w:rsidR="00517711" w:rsidRDefault="00F815BE">
      <w:pPr>
        <w:keepNext/>
        <w:spacing w:after="240" w:line="240" w:lineRule="auto"/>
        <w:jc w:val="center"/>
        <w:outlineLvl w:val="0"/>
        <w:rPr>
          <w:rFonts w:ascii="Book Antiqua" w:hAnsi="Book Antiqua" w:cs="Times New Roman"/>
          <w:b/>
          <w:bCs/>
          <w:caps/>
          <w:sz w:val="26"/>
          <w:szCs w:val="26"/>
        </w:rPr>
      </w:pPr>
      <w:r>
        <w:rPr>
          <w:rFonts w:ascii="Book Antiqua" w:hAnsi="Book Antiqua" w:cs="Times New Roman"/>
          <w:b/>
          <w:bCs/>
          <w:caps/>
          <w:sz w:val="26"/>
          <w:szCs w:val="26"/>
        </w:rPr>
        <w:t>г. Владивосток)</w:t>
      </w:r>
    </w:p>
    <w:p w:rsidR="00517711" w:rsidRDefault="00F815BE">
      <w:pPr>
        <w:spacing w:after="0" w:line="240" w:lineRule="auto"/>
        <w:ind w:firstLine="709"/>
        <w:jc w:val="center"/>
        <w:rPr>
          <w:rFonts w:ascii="Arial" w:eastAsia="Calibri" w:hAnsi="Arial" w:cs="Times New Roman"/>
          <w:b/>
          <w:bCs/>
          <w:sz w:val="24"/>
          <w:szCs w:val="20"/>
          <w:lang w:eastAsia="ru-RU"/>
        </w:rPr>
      </w:pPr>
      <w:r>
        <w:rPr>
          <w:rFonts w:ascii="Arial" w:eastAsia="Calibri" w:hAnsi="Arial" w:cs="Times New Roman"/>
          <w:b/>
          <w:bCs/>
          <w:sz w:val="24"/>
          <w:szCs w:val="20"/>
          <w:lang w:eastAsia="ru-RU"/>
        </w:rPr>
        <w:t>Булатова Диана Мехмановна,</w:t>
      </w:r>
    </w:p>
    <w:p w:rsidR="00517711" w:rsidRDefault="00F815BE">
      <w:pPr>
        <w:spacing w:line="240" w:lineRule="auto"/>
        <w:ind w:firstLine="709"/>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бакалавр</w:t>
      </w: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Россия. Владивосток</w:t>
      </w:r>
    </w:p>
    <w:p w:rsidR="00517711" w:rsidRDefault="00F815BE">
      <w:pPr>
        <w:spacing w:after="0" w:line="240" w:lineRule="auto"/>
        <w:ind w:firstLine="709"/>
        <w:jc w:val="center"/>
        <w:rPr>
          <w:rFonts w:ascii="Times New Roman" w:hAnsi="Times New Roman"/>
          <w:color w:val="000000"/>
          <w:sz w:val="20"/>
          <w:szCs w:val="24"/>
          <w:lang w:eastAsia="ru-RU"/>
        </w:rPr>
      </w:pPr>
      <w:r>
        <w:rPr>
          <w:rFonts w:ascii="Times New Roman" w:hAnsi="Times New Roman"/>
          <w:color w:val="000000"/>
          <w:sz w:val="20"/>
          <w:szCs w:val="24"/>
          <w:lang w:val="en-US" w:eastAsia="ru-RU"/>
        </w:rPr>
        <w:t>E</w:t>
      </w:r>
      <w:r>
        <w:rPr>
          <w:rFonts w:ascii="Times New Roman" w:hAnsi="Times New Roman"/>
          <w:color w:val="000000"/>
          <w:sz w:val="20"/>
          <w:szCs w:val="24"/>
          <w:lang w:eastAsia="ru-RU"/>
        </w:rPr>
        <w:t>-</w:t>
      </w:r>
      <w:r>
        <w:rPr>
          <w:rFonts w:ascii="Times New Roman" w:hAnsi="Times New Roman"/>
          <w:color w:val="000000"/>
          <w:sz w:val="20"/>
          <w:szCs w:val="24"/>
          <w:lang w:val="en-US" w:eastAsia="ru-RU"/>
        </w:rPr>
        <w:t>mail</w:t>
      </w:r>
      <w:r>
        <w:rPr>
          <w:rFonts w:ascii="Times New Roman" w:hAnsi="Times New Roman"/>
          <w:color w:val="000000"/>
          <w:sz w:val="20"/>
          <w:szCs w:val="24"/>
          <w:lang w:eastAsia="ru-RU"/>
        </w:rPr>
        <w:t xml:space="preserve">: </w:t>
      </w:r>
      <w:r>
        <w:rPr>
          <w:rFonts w:ascii="Times New Roman" w:hAnsi="Times New Roman"/>
          <w:color w:val="000000"/>
          <w:sz w:val="20"/>
          <w:szCs w:val="24"/>
          <w:lang w:val="en-US" w:eastAsia="ru-RU"/>
        </w:rPr>
        <w:t>dianabulatova</w:t>
      </w:r>
      <w:r>
        <w:rPr>
          <w:rFonts w:ascii="Times New Roman" w:hAnsi="Times New Roman"/>
          <w:color w:val="000000"/>
          <w:sz w:val="20"/>
          <w:szCs w:val="24"/>
          <w:lang w:eastAsia="ru-RU"/>
        </w:rPr>
        <w:t>107@</w:t>
      </w:r>
      <w:r>
        <w:rPr>
          <w:rFonts w:ascii="Times New Roman" w:hAnsi="Times New Roman"/>
          <w:color w:val="000000"/>
          <w:sz w:val="20"/>
          <w:szCs w:val="24"/>
          <w:lang w:val="en-US" w:eastAsia="ru-RU"/>
        </w:rPr>
        <w:t>gmail</w:t>
      </w:r>
      <w:r>
        <w:rPr>
          <w:rFonts w:ascii="Times New Roman" w:hAnsi="Times New Roman"/>
          <w:color w:val="000000"/>
          <w:sz w:val="20"/>
          <w:szCs w:val="24"/>
          <w:lang w:eastAsia="ru-RU"/>
        </w:rPr>
        <w:t>.</w:t>
      </w:r>
      <w:r>
        <w:rPr>
          <w:rFonts w:ascii="Times New Roman" w:hAnsi="Times New Roman"/>
          <w:color w:val="000000"/>
          <w:sz w:val="20"/>
          <w:szCs w:val="24"/>
          <w:lang w:val="en-US" w:eastAsia="ru-RU"/>
        </w:rPr>
        <w:t>com</w:t>
      </w:r>
      <w:r>
        <w:rPr>
          <w:rFonts w:ascii="Times New Roman" w:hAnsi="Times New Roman"/>
          <w:color w:val="000000"/>
          <w:sz w:val="20"/>
          <w:szCs w:val="24"/>
          <w:lang w:eastAsia="ru-RU"/>
        </w:rPr>
        <w:t>, тел. +79020509666</w:t>
      </w:r>
    </w:p>
    <w:p w:rsidR="00517711" w:rsidRDefault="00F815BE">
      <w:pPr>
        <w:spacing w:line="240" w:lineRule="auto"/>
        <w:ind w:firstLine="709"/>
        <w:jc w:val="center"/>
        <w:rPr>
          <w:rFonts w:ascii="Times New Roman" w:hAnsi="Times New Roman"/>
          <w:color w:val="000000"/>
          <w:sz w:val="20"/>
          <w:szCs w:val="24"/>
          <w:lang w:eastAsia="ru-RU"/>
        </w:rPr>
      </w:pPr>
      <w:r>
        <w:rPr>
          <w:rFonts w:ascii="Times New Roman" w:hAnsi="Times New Roman"/>
          <w:color w:val="000000"/>
          <w:sz w:val="20"/>
          <w:szCs w:val="24"/>
          <w:lang w:eastAsia="ru-RU"/>
        </w:rPr>
        <w:t>ул. Гоголя, 41, г. Владивосток, Приморский край, Россия, 690014</w:t>
      </w:r>
    </w:p>
    <w:p w:rsidR="00517711" w:rsidRDefault="00F815BE">
      <w:pPr>
        <w:spacing w:after="0" w:line="240" w:lineRule="auto"/>
        <w:ind w:firstLine="709"/>
        <w:jc w:val="center"/>
        <w:rPr>
          <w:rFonts w:ascii="Arial" w:eastAsia="Calibri" w:hAnsi="Arial" w:cs="Times New Roman"/>
          <w:b/>
          <w:bCs/>
          <w:sz w:val="24"/>
          <w:szCs w:val="20"/>
          <w:lang w:eastAsia="ru-RU"/>
        </w:rPr>
      </w:pPr>
      <w:r>
        <w:rPr>
          <w:rFonts w:ascii="Arial" w:eastAsia="Calibri" w:hAnsi="Arial" w:cs="Times New Roman"/>
          <w:b/>
          <w:bCs/>
          <w:sz w:val="24"/>
          <w:szCs w:val="20"/>
          <w:lang w:eastAsia="ru-RU"/>
        </w:rPr>
        <w:t>Шеметова Елена Васильевна,</w:t>
      </w:r>
    </w:p>
    <w:p w:rsidR="00517711" w:rsidRDefault="00F815BE">
      <w:pPr>
        <w:spacing w:line="240" w:lineRule="auto"/>
        <w:ind w:firstLine="709"/>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старший преподаватель, кафедра туризма и экологии</w:t>
      </w:r>
    </w:p>
    <w:p w:rsidR="00517711" w:rsidRDefault="00F815BE">
      <w:pPr>
        <w:spacing w:after="0" w:line="240" w:lineRule="auto"/>
        <w:ind w:firstLine="709"/>
        <w:jc w:val="center"/>
        <w:rPr>
          <w:rFonts w:ascii="Times New Roman" w:hAnsi="Times New Roman"/>
          <w:color w:val="000000"/>
          <w:sz w:val="20"/>
          <w:szCs w:val="24"/>
          <w:lang w:val="en-US" w:eastAsia="ru-RU"/>
        </w:rPr>
      </w:pPr>
      <w:r>
        <w:rPr>
          <w:rFonts w:ascii="Times New Roman" w:hAnsi="Times New Roman"/>
          <w:color w:val="000000"/>
          <w:sz w:val="20"/>
          <w:szCs w:val="24"/>
          <w:lang w:val="en-US" w:eastAsia="ru-RU"/>
        </w:rPr>
        <w:t>E-mail: elena.shemetova@vvsu.ru</w:t>
      </w:r>
    </w:p>
    <w:p w:rsidR="00517711" w:rsidRDefault="00517711">
      <w:pPr>
        <w:spacing w:after="0" w:line="240" w:lineRule="auto"/>
        <w:ind w:firstLine="709"/>
        <w:jc w:val="both"/>
        <w:rPr>
          <w:rFonts w:ascii="Times New Roman" w:hAnsi="Times New Roman"/>
          <w:b/>
          <w:color w:val="000000"/>
          <w:szCs w:val="24"/>
          <w:lang w:val="en-US" w:eastAsia="ru-RU"/>
        </w:rPr>
      </w:pPr>
    </w:p>
    <w:p w:rsidR="00517711" w:rsidRDefault="00F815BE">
      <w:pPr>
        <w:spacing w:after="0" w:line="240" w:lineRule="auto"/>
        <w:ind w:firstLine="709"/>
        <w:jc w:val="both"/>
        <w:rPr>
          <w:rFonts w:ascii="Times New Roman" w:hAnsi="Times New Roman"/>
          <w:i/>
          <w:color w:val="000000"/>
          <w:szCs w:val="24"/>
          <w:lang w:eastAsia="ru-RU"/>
        </w:rPr>
      </w:pPr>
      <w:r>
        <w:rPr>
          <w:rFonts w:ascii="Times New Roman" w:hAnsi="Times New Roman"/>
          <w:i/>
          <w:color w:val="000000"/>
          <w:szCs w:val="24"/>
          <w:lang w:eastAsia="ru-RU"/>
        </w:rPr>
        <w:t>В статье представлены статистические данные о потребителях гостиничных услуг в ГК Азимут Отель-Владивосток, анализ потребительских предпочтений, отзывов гостей. А также предложены рекомендации по усовершенствованию услуг в данном отеле.</w:t>
      </w:r>
    </w:p>
    <w:p w:rsidR="00517711" w:rsidRDefault="00F815BE">
      <w:pPr>
        <w:spacing w:after="0" w:line="240" w:lineRule="auto"/>
        <w:ind w:firstLine="709"/>
        <w:jc w:val="both"/>
        <w:rPr>
          <w:rFonts w:ascii="Times New Roman" w:hAnsi="Times New Roman"/>
          <w:i/>
          <w:color w:val="000000"/>
          <w:szCs w:val="24"/>
          <w:lang w:eastAsia="ru-RU"/>
        </w:rPr>
      </w:pPr>
      <w:r>
        <w:rPr>
          <w:rFonts w:ascii="Times New Roman" w:hAnsi="Times New Roman"/>
          <w:b/>
          <w:i/>
          <w:color w:val="000000"/>
          <w:szCs w:val="24"/>
          <w:lang w:eastAsia="ru-RU"/>
        </w:rPr>
        <w:t xml:space="preserve">Ключевые слова: </w:t>
      </w:r>
      <w:r>
        <w:rPr>
          <w:rFonts w:ascii="Times New Roman" w:hAnsi="Times New Roman"/>
          <w:i/>
          <w:color w:val="000000"/>
          <w:szCs w:val="24"/>
          <w:lang w:eastAsia="ru-RU"/>
        </w:rPr>
        <w:t>отель, услуги, потребители, предпочтения, анализ,</w:t>
      </w:r>
      <w:r>
        <w:rPr>
          <w:rFonts w:ascii="Times New Roman" w:hAnsi="Times New Roman"/>
          <w:b/>
          <w:i/>
          <w:color w:val="000000"/>
          <w:szCs w:val="24"/>
          <w:lang w:eastAsia="ru-RU"/>
        </w:rPr>
        <w:t xml:space="preserve"> </w:t>
      </w:r>
      <w:r>
        <w:rPr>
          <w:rFonts w:ascii="Times New Roman" w:hAnsi="Times New Roman"/>
          <w:i/>
          <w:color w:val="000000"/>
          <w:szCs w:val="24"/>
          <w:lang w:eastAsia="ru-RU"/>
        </w:rPr>
        <w:t>статистика, усовершенствование.</w:t>
      </w:r>
    </w:p>
    <w:p w:rsidR="00517711" w:rsidRDefault="00F815BE">
      <w:pPr>
        <w:keepNext/>
        <w:spacing w:before="240" w:after="240" w:line="240" w:lineRule="auto"/>
        <w:jc w:val="center"/>
        <w:outlineLvl w:val="0"/>
        <w:rPr>
          <w:rFonts w:ascii="Book Antiqua" w:hAnsi="Book Antiqua" w:cs="Times New Roman"/>
          <w:b/>
          <w:bCs/>
          <w:caps/>
          <w:sz w:val="26"/>
          <w:szCs w:val="26"/>
          <w:lang w:val="en-US"/>
        </w:rPr>
      </w:pPr>
      <w:r>
        <w:rPr>
          <w:rFonts w:ascii="Book Antiqua" w:hAnsi="Book Antiqua" w:cs="Times New Roman"/>
          <w:b/>
          <w:bCs/>
          <w:caps/>
          <w:sz w:val="26"/>
          <w:szCs w:val="26"/>
          <w:lang w:val="en-US"/>
        </w:rPr>
        <w:t>Improvement of hotel services (on the example of Azimut Hotel-Vladivostok)</w:t>
      </w:r>
    </w:p>
    <w:p w:rsidR="00517711" w:rsidRDefault="00F815BE">
      <w:pPr>
        <w:spacing w:after="0" w:line="240" w:lineRule="auto"/>
        <w:ind w:firstLine="709"/>
        <w:jc w:val="both"/>
        <w:rPr>
          <w:rFonts w:ascii="Times New Roman" w:hAnsi="Times New Roman"/>
          <w:i/>
          <w:color w:val="000000"/>
          <w:szCs w:val="24"/>
          <w:lang w:val="en-US" w:eastAsia="ru-RU"/>
        </w:rPr>
      </w:pPr>
      <w:r>
        <w:rPr>
          <w:rFonts w:ascii="Times New Roman" w:hAnsi="Times New Roman"/>
          <w:i/>
          <w:color w:val="000000"/>
          <w:szCs w:val="24"/>
          <w:lang w:val="en-US" w:eastAsia="ru-RU"/>
        </w:rPr>
        <w:t>The article presents statistical data on consumers of hotel services in Azimut Hotel-Vladivostok, analysis of consumer preferences, guest reviews. And also recommendations on improvement of services in this hotel are offered.</w:t>
      </w:r>
    </w:p>
    <w:p w:rsidR="00517711" w:rsidRDefault="00F815BE">
      <w:pPr>
        <w:spacing w:after="0" w:line="240" w:lineRule="auto"/>
        <w:ind w:firstLine="709"/>
        <w:jc w:val="both"/>
        <w:rPr>
          <w:rFonts w:ascii="Times New Roman" w:hAnsi="Times New Roman"/>
          <w:i/>
          <w:color w:val="000000"/>
          <w:szCs w:val="24"/>
          <w:lang w:val="en-US" w:eastAsia="ru-RU"/>
        </w:rPr>
      </w:pPr>
      <w:r>
        <w:rPr>
          <w:rFonts w:ascii="Times New Roman" w:hAnsi="Times New Roman"/>
          <w:b/>
          <w:i/>
          <w:color w:val="000000"/>
          <w:szCs w:val="24"/>
          <w:lang w:val="en-US" w:eastAsia="ru-RU"/>
        </w:rPr>
        <w:t>Keywords:</w:t>
      </w:r>
      <w:r>
        <w:rPr>
          <w:rFonts w:ascii="Times New Roman" w:hAnsi="Times New Roman"/>
          <w:i/>
          <w:color w:val="000000"/>
          <w:szCs w:val="24"/>
          <w:lang w:val="en-US" w:eastAsia="ru-RU"/>
        </w:rPr>
        <w:t xml:space="preserve"> hotel, services, consumers, preferences, analysis, statistics, improvement.</w:t>
      </w:r>
    </w:p>
    <w:p w:rsidR="00517711" w:rsidRDefault="00517711">
      <w:pPr>
        <w:spacing w:after="0" w:line="240" w:lineRule="auto"/>
        <w:ind w:firstLine="709"/>
        <w:jc w:val="both"/>
        <w:rPr>
          <w:rFonts w:ascii="Times New Roman" w:hAnsi="Times New Roman"/>
          <w:i/>
          <w:color w:val="000000"/>
          <w:sz w:val="20"/>
          <w:szCs w:val="24"/>
          <w:lang w:val="en-US" w:eastAsia="ru-RU"/>
        </w:rPr>
      </w:pPr>
    </w:p>
    <w:p w:rsidR="00517711" w:rsidRDefault="00F815BE">
      <w:pPr>
        <w:spacing w:after="0" w:line="240" w:lineRule="auto"/>
        <w:ind w:firstLine="709"/>
        <w:jc w:val="both"/>
        <w:rPr>
          <w:rFonts w:ascii="Times New Roman" w:hAnsi="Times New Roman"/>
          <w:color w:val="000000"/>
          <w:sz w:val="20"/>
          <w:szCs w:val="24"/>
          <w:lang w:eastAsia="ru-RU"/>
        </w:rPr>
      </w:pPr>
      <w:r>
        <w:rPr>
          <w:rFonts w:ascii="Times New Roman" w:hAnsi="Times New Roman"/>
          <w:color w:val="000000"/>
          <w:sz w:val="20"/>
          <w:szCs w:val="24"/>
          <w:lang w:eastAsia="ru-RU"/>
        </w:rPr>
        <w:t>Владивосток все чаще становится центром больших событий и громких мероприятий, а также с каждым годом принимает все больше гостей. Актуальность данной темы исследования состоит в том, что для удержания лидирующих позиций на рынке гостиничных услуг необходимо постоянное усовершенствование услуг.</w:t>
      </w:r>
    </w:p>
    <w:p w:rsidR="00517711" w:rsidRDefault="00F815BE">
      <w:pPr>
        <w:spacing w:after="0" w:line="240" w:lineRule="auto"/>
        <w:ind w:firstLine="709"/>
        <w:jc w:val="both"/>
        <w:rPr>
          <w:rFonts w:ascii="Times New Roman" w:hAnsi="Times New Roman"/>
          <w:color w:val="000000"/>
          <w:sz w:val="20"/>
          <w:szCs w:val="24"/>
          <w:lang w:eastAsia="ru-RU"/>
        </w:rPr>
      </w:pPr>
      <w:r>
        <w:rPr>
          <w:rFonts w:ascii="Times New Roman" w:hAnsi="Times New Roman"/>
          <w:color w:val="000000"/>
          <w:sz w:val="20"/>
          <w:szCs w:val="24"/>
          <w:lang w:eastAsia="ru-RU"/>
        </w:rPr>
        <w:t>Цель исследования - проанализировать потребительские предпочтения гостей ГК «Азимут Отель-Владивосток и разработать предложения по усовершенствованию услуг в данном отеле.</w:t>
      </w:r>
    </w:p>
    <w:p w:rsidR="00517711" w:rsidRDefault="00F815BE">
      <w:pPr>
        <w:spacing w:after="0" w:line="240" w:lineRule="auto"/>
        <w:ind w:firstLine="709"/>
        <w:jc w:val="both"/>
        <w:rPr>
          <w:rFonts w:ascii="Times New Roman" w:hAnsi="Times New Roman"/>
          <w:color w:val="000000"/>
          <w:sz w:val="20"/>
          <w:szCs w:val="24"/>
          <w:lang w:eastAsia="ru-RU"/>
        </w:rPr>
      </w:pPr>
      <w:r>
        <w:rPr>
          <w:rFonts w:ascii="Times New Roman" w:hAnsi="Times New Roman"/>
          <w:color w:val="000000"/>
          <w:sz w:val="20"/>
          <w:szCs w:val="24"/>
          <w:lang w:eastAsia="ru-RU"/>
        </w:rPr>
        <w:t>При написании использовались методы: анализ, синтез, опрос.</w:t>
      </w:r>
    </w:p>
    <w:p w:rsidR="00517711" w:rsidRDefault="00F815BE">
      <w:pPr>
        <w:spacing w:after="0" w:line="240" w:lineRule="auto"/>
        <w:ind w:firstLine="708"/>
        <w:jc w:val="both"/>
        <w:rPr>
          <w:rFonts w:ascii="Times New Roman" w:hAnsi="Times New Roman"/>
          <w:color w:val="000000"/>
          <w:sz w:val="20"/>
          <w:szCs w:val="24"/>
          <w:lang w:eastAsia="ru-RU"/>
        </w:rPr>
      </w:pPr>
      <w:r>
        <w:rPr>
          <w:rFonts w:ascii="Times New Roman" w:hAnsi="Times New Roman"/>
          <w:color w:val="000000"/>
          <w:sz w:val="20"/>
          <w:szCs w:val="24"/>
          <w:lang w:eastAsia="ru-RU"/>
        </w:rPr>
        <w:t>ГК «Азимут Отель-Владивосток» - это один из самых вместительных отелей нашего города, номерной фонд которого состоит из 378 номеров: 280 номеров категории SMART Стандарт, 80 номеров категории SMART Супериор, 18 номеров категории SMART Люкс.</w:t>
      </w:r>
    </w:p>
    <w:p w:rsidR="00517711" w:rsidRDefault="00F815BE">
      <w:pPr>
        <w:spacing w:after="0" w:line="240" w:lineRule="auto"/>
        <w:ind w:firstLine="709"/>
        <w:jc w:val="both"/>
        <w:rPr>
          <w:rFonts w:ascii="Times New Roman" w:hAnsi="Times New Roman"/>
          <w:color w:val="000000"/>
          <w:sz w:val="20"/>
          <w:szCs w:val="24"/>
          <w:lang w:eastAsia="ru-RU"/>
        </w:rPr>
      </w:pPr>
      <w:r>
        <w:rPr>
          <w:rFonts w:ascii="Times New Roman" w:hAnsi="Times New Roman"/>
          <w:color w:val="000000"/>
          <w:sz w:val="20"/>
          <w:szCs w:val="24"/>
          <w:lang w:eastAsia="ru-RU"/>
        </w:rPr>
        <w:t xml:space="preserve">Данный отель имеет концепцию </w:t>
      </w:r>
      <w:r>
        <w:rPr>
          <w:rFonts w:ascii="Times New Roman" w:hAnsi="Times New Roman"/>
          <w:color w:val="000000"/>
          <w:sz w:val="20"/>
          <w:szCs w:val="24"/>
          <w:lang w:val="en-US" w:eastAsia="ru-RU"/>
        </w:rPr>
        <w:t>SMART</w:t>
      </w:r>
      <w:r>
        <w:rPr>
          <w:rFonts w:ascii="Times New Roman" w:hAnsi="Times New Roman"/>
          <w:color w:val="000000"/>
          <w:sz w:val="20"/>
          <w:szCs w:val="24"/>
          <w:lang w:eastAsia="ru-RU"/>
        </w:rPr>
        <w:t xml:space="preserve"> «умный», что означает многофункциональность номеров, удобство и комфорт даже на небольшой площади номера.</w:t>
      </w:r>
    </w:p>
    <w:p w:rsidR="00517711" w:rsidRDefault="00F815BE">
      <w:pPr>
        <w:spacing w:after="0" w:line="240" w:lineRule="auto"/>
        <w:ind w:firstLine="709"/>
        <w:jc w:val="both"/>
        <w:rPr>
          <w:rFonts w:ascii="Times New Roman" w:hAnsi="Times New Roman"/>
          <w:color w:val="000000"/>
          <w:sz w:val="20"/>
          <w:szCs w:val="24"/>
          <w:lang w:eastAsia="ru-RU"/>
        </w:rPr>
      </w:pPr>
      <w:r>
        <w:rPr>
          <w:rFonts w:ascii="Times New Roman" w:hAnsi="Times New Roman"/>
          <w:color w:val="000000"/>
          <w:sz w:val="20"/>
          <w:szCs w:val="24"/>
          <w:lang w:eastAsia="ru-RU"/>
        </w:rPr>
        <w:t xml:space="preserve">Круглосуточная стойка регистрации соединена с лобби-баром – это новая концепция ведения гостиничного бизнеса не обошла стороной и наш город. Это очень удобно для гостя, ведь по приезду в отель не всегда удается зарегистрироваться сразу, из-за большой проходимости гостей зачастую создаются очереди на регистрацию и в таком случае гость может выпить кашку кофе и дождаться своей очереди, сидя в уютном лобби-баре. </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 xml:space="preserve">Потребители гостиничных услуг отеля представлены на рисунке 1. Исходя из этих данных можно сделать вывод о том, что главными потребителями гостиничных услуг в Азимуте-Владивосток являются русские и азиатские гости. </w:t>
      </w:r>
    </w:p>
    <w:p w:rsidR="00517711" w:rsidRDefault="00F815BE">
      <w:pPr>
        <w:spacing w:after="0" w:line="240" w:lineRule="auto"/>
        <w:ind w:firstLine="709"/>
        <w:jc w:val="center"/>
        <w:rPr>
          <w:rFonts w:ascii="Times New Roman" w:hAnsi="Times New Roman"/>
          <w:sz w:val="24"/>
          <w:szCs w:val="24"/>
          <w:lang w:eastAsia="ru-RU"/>
        </w:rPr>
      </w:pPr>
      <w:r>
        <w:rPr>
          <w:rFonts w:ascii="Times New Roman" w:hAnsi="Times New Roman"/>
          <w:noProof/>
          <w:sz w:val="24"/>
          <w:szCs w:val="24"/>
          <w:lang w:eastAsia="ru-RU"/>
        </w:rPr>
        <w:lastRenderedPageBreak/>
        <w:drawing>
          <wp:inline distT="0" distB="0" distL="0" distR="0">
            <wp:extent cx="3530598" cy="1654173"/>
            <wp:effectExtent l="0" t="0" r="0" b="0"/>
            <wp:docPr id="24" name="Объект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517711" w:rsidRDefault="00517711">
      <w:pPr>
        <w:spacing w:after="0" w:line="240" w:lineRule="auto"/>
        <w:ind w:firstLine="709"/>
        <w:jc w:val="both"/>
        <w:rPr>
          <w:rFonts w:ascii="Times New Roman" w:hAnsi="Times New Roman"/>
          <w:sz w:val="24"/>
          <w:szCs w:val="24"/>
          <w:lang w:val="en-US" w:eastAsia="ru-RU"/>
        </w:rPr>
      </w:pPr>
    </w:p>
    <w:p w:rsidR="00517711" w:rsidRDefault="00F815BE">
      <w:pPr>
        <w:pStyle w:val="af6"/>
        <w:spacing w:after="0"/>
        <w:jc w:val="center"/>
        <w:rPr>
          <w:sz w:val="20"/>
        </w:rPr>
      </w:pPr>
      <w:r>
        <w:rPr>
          <w:sz w:val="20"/>
        </w:rPr>
        <w:t>Рис.1.</w:t>
      </w:r>
      <w:r>
        <w:rPr>
          <w:b/>
          <w:bCs/>
          <w:color w:val="000000"/>
          <w:sz w:val="20"/>
        </w:rPr>
        <w:t xml:space="preserve"> </w:t>
      </w:r>
      <w:r>
        <w:rPr>
          <w:bCs/>
          <w:color w:val="000000"/>
          <w:sz w:val="20"/>
        </w:rPr>
        <w:t>Потребители гостиничных услуг ГК «Азимут Отель Владивосток», 2017 год</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Далее следует сказать непосредственно о сегменте потребителей - рисунок 2.</w:t>
      </w:r>
    </w:p>
    <w:p w:rsidR="00517711" w:rsidRDefault="00517711">
      <w:pPr>
        <w:spacing w:after="0" w:line="240" w:lineRule="auto"/>
        <w:ind w:firstLine="709"/>
        <w:jc w:val="both"/>
        <w:rPr>
          <w:rFonts w:ascii="Times New Roman" w:hAnsi="Times New Roman"/>
          <w:sz w:val="24"/>
          <w:szCs w:val="24"/>
          <w:lang w:eastAsia="ru-RU"/>
        </w:rPr>
      </w:pPr>
    </w:p>
    <w:p w:rsidR="00517711" w:rsidRDefault="00F815BE">
      <w:pPr>
        <w:spacing w:after="0" w:line="240" w:lineRule="auto"/>
        <w:ind w:firstLine="709"/>
        <w:jc w:val="center"/>
        <w:rPr>
          <w:rFonts w:ascii="Times New Roman" w:hAnsi="Times New Roman"/>
          <w:sz w:val="24"/>
          <w:szCs w:val="24"/>
          <w:lang w:eastAsia="ru-RU"/>
        </w:rPr>
      </w:pPr>
      <w:r>
        <w:rPr>
          <w:rFonts w:ascii="Times New Roman" w:hAnsi="Times New Roman"/>
          <w:noProof/>
          <w:color w:val="EEECE1" w:themeColor="background2"/>
          <w:sz w:val="24"/>
          <w:szCs w:val="24"/>
          <w:lang w:eastAsia="ru-RU"/>
        </w:rPr>
        <w:drawing>
          <wp:inline distT="0" distB="0" distL="0" distR="0">
            <wp:extent cx="3307713" cy="1423035"/>
            <wp:effectExtent l="0" t="0" r="0" b="0"/>
            <wp:docPr id="25" name="Объект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517711" w:rsidRDefault="00517711">
      <w:pPr>
        <w:spacing w:after="0" w:line="240" w:lineRule="auto"/>
        <w:ind w:firstLine="709"/>
        <w:jc w:val="both"/>
        <w:rPr>
          <w:rFonts w:ascii="Times New Roman" w:hAnsi="Times New Roman"/>
          <w:sz w:val="24"/>
          <w:szCs w:val="24"/>
          <w:lang w:eastAsia="ru-RU"/>
        </w:rPr>
      </w:pPr>
    </w:p>
    <w:p w:rsidR="00517711" w:rsidRDefault="00F815BE">
      <w:pPr>
        <w:spacing w:after="0" w:line="240" w:lineRule="auto"/>
        <w:ind w:firstLine="709"/>
        <w:jc w:val="center"/>
        <w:rPr>
          <w:rFonts w:ascii="Times New Roman" w:hAnsi="Times New Roman"/>
          <w:bCs/>
          <w:sz w:val="20"/>
          <w:szCs w:val="24"/>
          <w:lang w:eastAsia="ru-RU"/>
        </w:rPr>
      </w:pPr>
      <w:r>
        <w:rPr>
          <w:rFonts w:ascii="Times New Roman" w:hAnsi="Times New Roman"/>
          <w:bCs/>
          <w:sz w:val="20"/>
          <w:szCs w:val="24"/>
          <w:lang w:eastAsia="ru-RU"/>
        </w:rPr>
        <w:t>Рис. 2. Потреребители гостиничных услуг ГК Азимут Отель Владивосток по сегментам</w:t>
      </w:r>
    </w:p>
    <w:p w:rsidR="00517711" w:rsidRDefault="00517711">
      <w:pPr>
        <w:spacing w:after="0" w:line="240" w:lineRule="auto"/>
        <w:ind w:firstLine="709"/>
        <w:jc w:val="center"/>
        <w:rPr>
          <w:rFonts w:ascii="Times New Roman" w:hAnsi="Times New Roman"/>
          <w:sz w:val="20"/>
          <w:szCs w:val="24"/>
          <w:lang w:eastAsia="ru-RU"/>
        </w:rPr>
      </w:pP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 xml:space="preserve">Публичный сегмент </w:t>
      </w:r>
      <w:r>
        <w:rPr>
          <w:rFonts w:ascii="Times New Roman" w:hAnsi="Times New Roman"/>
          <w:sz w:val="20"/>
          <w:szCs w:val="24"/>
          <w:lang w:val="en-US" w:eastAsia="ru-RU"/>
        </w:rPr>
        <w:t>PUBLIC</w:t>
      </w:r>
      <w:r>
        <w:rPr>
          <w:rFonts w:ascii="Times New Roman" w:hAnsi="Times New Roman"/>
          <w:sz w:val="20"/>
          <w:szCs w:val="24"/>
          <w:lang w:eastAsia="ru-RU"/>
        </w:rPr>
        <w:t xml:space="preserve"> 37% - это гости-индивидуалы, заезжающие либо по-одному либо группой туристов. Корпоративный сегмент – 43%, он подразделяется на </w:t>
      </w:r>
      <w:r>
        <w:rPr>
          <w:rFonts w:ascii="Times New Roman" w:hAnsi="Times New Roman"/>
          <w:sz w:val="20"/>
          <w:szCs w:val="24"/>
          <w:lang w:val="en-US" w:eastAsia="ru-RU"/>
        </w:rPr>
        <w:t>CORP</w:t>
      </w:r>
      <w:r>
        <w:rPr>
          <w:rFonts w:ascii="Times New Roman" w:hAnsi="Times New Roman"/>
          <w:sz w:val="20"/>
          <w:szCs w:val="24"/>
          <w:lang w:eastAsia="ru-RU"/>
        </w:rPr>
        <w:t xml:space="preserve"> – 15% это гости которые приехали в командировку от своей компании, которая брониует места и оплачивает их по корпоративным тарифам. А также </w:t>
      </w:r>
      <w:r>
        <w:rPr>
          <w:rFonts w:ascii="Times New Roman" w:hAnsi="Times New Roman"/>
          <w:sz w:val="20"/>
          <w:szCs w:val="24"/>
          <w:lang w:val="en-US" w:eastAsia="ru-RU"/>
        </w:rPr>
        <w:t>LEISURE</w:t>
      </w:r>
      <w:r>
        <w:rPr>
          <w:rFonts w:ascii="Times New Roman" w:hAnsi="Times New Roman"/>
          <w:sz w:val="20"/>
          <w:szCs w:val="24"/>
          <w:lang w:eastAsia="ru-RU"/>
        </w:rPr>
        <w:t xml:space="preserve"> – это в большинстве азиатские группы туристов, заезжающие также по договорным тарифам от туристических компаний. Событиный или </w:t>
      </w:r>
      <w:r>
        <w:rPr>
          <w:rFonts w:ascii="Times New Roman" w:hAnsi="Times New Roman"/>
          <w:sz w:val="20"/>
          <w:szCs w:val="24"/>
          <w:lang w:val="en-US" w:eastAsia="ru-RU"/>
        </w:rPr>
        <w:t>EVENT</w:t>
      </w:r>
      <w:r>
        <w:rPr>
          <w:rFonts w:ascii="Times New Roman" w:hAnsi="Times New Roman"/>
          <w:sz w:val="20"/>
          <w:szCs w:val="24"/>
          <w:lang w:eastAsia="ru-RU"/>
        </w:rPr>
        <w:t xml:space="preserve"> сегмент составляет 20%. Так так Азимут Отель позиционирует себя как бизнес-отель, многие гости приезжают сюда для проведения разлиных меропритий (собрания, конференции, презентации и так далее). Эта услуга очень востребована среди гостей. Практически каждый будний день в стенах отеля проводится несколько событийных мероприятий.</w:t>
      </w:r>
    </w:p>
    <w:p w:rsidR="00517711" w:rsidRDefault="00F815BE">
      <w:pPr>
        <w:pStyle w:val="aff0"/>
      </w:pPr>
      <w:r>
        <w:t xml:space="preserve">Таблица 1. </w:t>
      </w:r>
    </w:p>
    <w:p w:rsidR="00517711" w:rsidRDefault="00F815BE">
      <w:pPr>
        <w:pStyle w:val="afa"/>
        <w:keepNext/>
        <w:widowControl/>
        <w:spacing w:before="120" w:after="120"/>
        <w:jc w:val="center"/>
        <w:outlineLvl w:val="0"/>
        <w:rPr>
          <w:b/>
          <w:sz w:val="20"/>
          <w:szCs w:val="20"/>
        </w:rPr>
      </w:pPr>
      <w:r>
        <w:rPr>
          <w:b/>
          <w:sz w:val="20"/>
          <w:szCs w:val="20"/>
        </w:rPr>
        <w:t>Потебительские предпочтения гостей ГК «Азимут Отель-Владивосток»</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476"/>
        <w:gridCol w:w="1525"/>
        <w:gridCol w:w="1526"/>
        <w:gridCol w:w="1525"/>
        <w:gridCol w:w="1526"/>
      </w:tblGrid>
      <w:tr w:rsidR="00517711">
        <w:trPr>
          <w:trHeight w:val="150"/>
        </w:trPr>
        <w:tc>
          <w:tcPr>
            <w:tcW w:w="2476" w:type="dxa"/>
          </w:tcPr>
          <w:p w:rsidR="00517711" w:rsidRDefault="00F815BE">
            <w:pPr>
              <w:pStyle w:val="13"/>
            </w:pPr>
            <w:r>
              <w:t>Показатель</w:t>
            </w:r>
          </w:p>
        </w:tc>
        <w:tc>
          <w:tcPr>
            <w:tcW w:w="1525" w:type="dxa"/>
          </w:tcPr>
          <w:p w:rsidR="00517711" w:rsidRDefault="00F815BE">
            <w:pPr>
              <w:pStyle w:val="13"/>
            </w:pPr>
            <w:r>
              <w:t>PUBLIC</w:t>
            </w:r>
          </w:p>
        </w:tc>
        <w:tc>
          <w:tcPr>
            <w:tcW w:w="1526" w:type="dxa"/>
          </w:tcPr>
          <w:p w:rsidR="00517711" w:rsidRDefault="00F815BE">
            <w:pPr>
              <w:pStyle w:val="13"/>
            </w:pPr>
            <w:r>
              <w:t>CORP</w:t>
            </w:r>
          </w:p>
        </w:tc>
        <w:tc>
          <w:tcPr>
            <w:tcW w:w="1525" w:type="dxa"/>
          </w:tcPr>
          <w:p w:rsidR="00517711" w:rsidRDefault="00F815BE">
            <w:pPr>
              <w:pStyle w:val="13"/>
            </w:pPr>
            <w:r>
              <w:t>EVENT</w:t>
            </w:r>
          </w:p>
        </w:tc>
        <w:tc>
          <w:tcPr>
            <w:tcW w:w="1526" w:type="dxa"/>
          </w:tcPr>
          <w:p w:rsidR="00517711" w:rsidRDefault="00F815BE">
            <w:pPr>
              <w:pStyle w:val="13"/>
            </w:pPr>
            <w:r>
              <w:t>LEISURE</w:t>
            </w:r>
          </w:p>
        </w:tc>
      </w:tr>
      <w:tr w:rsidR="00517711">
        <w:trPr>
          <w:trHeight w:val="150"/>
        </w:trPr>
        <w:tc>
          <w:tcPr>
            <w:tcW w:w="2476" w:type="dxa"/>
          </w:tcPr>
          <w:p w:rsidR="00517711" w:rsidRDefault="00F815BE">
            <w:pPr>
              <w:pStyle w:val="aff1"/>
            </w:pPr>
            <w:r>
              <w:t>WI-FI</w:t>
            </w:r>
          </w:p>
        </w:tc>
        <w:tc>
          <w:tcPr>
            <w:tcW w:w="1525" w:type="dxa"/>
          </w:tcPr>
          <w:p w:rsidR="00517711" w:rsidRDefault="00F815BE">
            <w:pPr>
              <w:pStyle w:val="aff1"/>
            </w:pPr>
            <w:r>
              <w:t>+</w:t>
            </w:r>
          </w:p>
        </w:tc>
        <w:tc>
          <w:tcPr>
            <w:tcW w:w="1526" w:type="dxa"/>
          </w:tcPr>
          <w:p w:rsidR="00517711" w:rsidRDefault="00F815BE">
            <w:pPr>
              <w:pStyle w:val="aff1"/>
            </w:pPr>
            <w:r>
              <w:t>+</w:t>
            </w:r>
          </w:p>
        </w:tc>
        <w:tc>
          <w:tcPr>
            <w:tcW w:w="1525" w:type="dxa"/>
          </w:tcPr>
          <w:p w:rsidR="00517711" w:rsidRDefault="00F815BE">
            <w:pPr>
              <w:pStyle w:val="aff1"/>
            </w:pPr>
            <w:r>
              <w:t>+</w:t>
            </w:r>
          </w:p>
        </w:tc>
        <w:tc>
          <w:tcPr>
            <w:tcW w:w="1526" w:type="dxa"/>
          </w:tcPr>
          <w:p w:rsidR="00517711" w:rsidRDefault="00F815BE">
            <w:pPr>
              <w:pStyle w:val="aff1"/>
            </w:pPr>
            <w:r>
              <w:t>+</w:t>
            </w:r>
          </w:p>
        </w:tc>
      </w:tr>
      <w:tr w:rsidR="00517711">
        <w:trPr>
          <w:trHeight w:val="310"/>
        </w:trPr>
        <w:tc>
          <w:tcPr>
            <w:tcW w:w="2476" w:type="dxa"/>
          </w:tcPr>
          <w:p w:rsidR="00517711" w:rsidRDefault="00F815BE">
            <w:pPr>
              <w:pStyle w:val="aff1"/>
            </w:pPr>
            <w:r>
              <w:t>Тренаженый зал</w:t>
            </w:r>
          </w:p>
        </w:tc>
        <w:tc>
          <w:tcPr>
            <w:tcW w:w="1525" w:type="dxa"/>
          </w:tcPr>
          <w:p w:rsidR="00517711" w:rsidRDefault="00F815BE">
            <w:pPr>
              <w:pStyle w:val="aff1"/>
            </w:pPr>
            <w:r>
              <w:t>+</w:t>
            </w:r>
          </w:p>
        </w:tc>
        <w:tc>
          <w:tcPr>
            <w:tcW w:w="1526" w:type="dxa"/>
          </w:tcPr>
          <w:p w:rsidR="00517711" w:rsidRDefault="00F815BE">
            <w:pPr>
              <w:pStyle w:val="aff1"/>
            </w:pPr>
            <w:r>
              <w:t>+</w:t>
            </w:r>
          </w:p>
        </w:tc>
        <w:tc>
          <w:tcPr>
            <w:tcW w:w="1525" w:type="dxa"/>
          </w:tcPr>
          <w:p w:rsidR="00517711" w:rsidRDefault="00517711">
            <w:pPr>
              <w:pStyle w:val="aff1"/>
            </w:pPr>
          </w:p>
        </w:tc>
        <w:tc>
          <w:tcPr>
            <w:tcW w:w="1526" w:type="dxa"/>
          </w:tcPr>
          <w:p w:rsidR="00517711" w:rsidRDefault="00F815BE">
            <w:pPr>
              <w:pStyle w:val="aff1"/>
            </w:pPr>
            <w:r>
              <w:t>-</w:t>
            </w:r>
          </w:p>
        </w:tc>
      </w:tr>
      <w:tr w:rsidR="00517711">
        <w:trPr>
          <w:trHeight w:val="310"/>
        </w:trPr>
        <w:tc>
          <w:tcPr>
            <w:tcW w:w="2476" w:type="dxa"/>
          </w:tcPr>
          <w:p w:rsidR="00517711" w:rsidRDefault="00F815BE">
            <w:pPr>
              <w:pStyle w:val="aff1"/>
            </w:pPr>
            <w:r>
              <w:t>Бизнес центр</w:t>
            </w:r>
          </w:p>
        </w:tc>
        <w:tc>
          <w:tcPr>
            <w:tcW w:w="1525" w:type="dxa"/>
          </w:tcPr>
          <w:p w:rsidR="00517711" w:rsidRDefault="00F815BE">
            <w:pPr>
              <w:pStyle w:val="aff1"/>
            </w:pPr>
            <w:r>
              <w:t>+</w:t>
            </w:r>
          </w:p>
        </w:tc>
        <w:tc>
          <w:tcPr>
            <w:tcW w:w="1526" w:type="dxa"/>
          </w:tcPr>
          <w:p w:rsidR="00517711" w:rsidRDefault="00F815BE">
            <w:pPr>
              <w:pStyle w:val="aff1"/>
            </w:pPr>
            <w:r>
              <w:t>+</w:t>
            </w:r>
          </w:p>
        </w:tc>
        <w:tc>
          <w:tcPr>
            <w:tcW w:w="1525" w:type="dxa"/>
          </w:tcPr>
          <w:p w:rsidR="00517711" w:rsidRDefault="00F815BE">
            <w:pPr>
              <w:pStyle w:val="aff1"/>
            </w:pPr>
            <w:r>
              <w:t>+</w:t>
            </w:r>
          </w:p>
        </w:tc>
        <w:tc>
          <w:tcPr>
            <w:tcW w:w="1526" w:type="dxa"/>
          </w:tcPr>
          <w:p w:rsidR="00517711" w:rsidRDefault="00F815BE">
            <w:pPr>
              <w:pStyle w:val="aff1"/>
            </w:pPr>
            <w:r>
              <w:t>-</w:t>
            </w:r>
          </w:p>
        </w:tc>
      </w:tr>
      <w:tr w:rsidR="00517711">
        <w:trPr>
          <w:trHeight w:val="301"/>
        </w:trPr>
        <w:tc>
          <w:tcPr>
            <w:tcW w:w="2476" w:type="dxa"/>
          </w:tcPr>
          <w:p w:rsidR="00517711" w:rsidRDefault="00F815BE">
            <w:pPr>
              <w:pStyle w:val="aff1"/>
            </w:pPr>
            <w:r>
              <w:t>Трансфер,такси</w:t>
            </w:r>
          </w:p>
        </w:tc>
        <w:tc>
          <w:tcPr>
            <w:tcW w:w="1525" w:type="dxa"/>
          </w:tcPr>
          <w:p w:rsidR="00517711" w:rsidRDefault="00F815BE">
            <w:pPr>
              <w:pStyle w:val="aff1"/>
            </w:pPr>
            <w:r>
              <w:t>+</w:t>
            </w:r>
          </w:p>
        </w:tc>
        <w:tc>
          <w:tcPr>
            <w:tcW w:w="1526" w:type="dxa"/>
          </w:tcPr>
          <w:p w:rsidR="00517711" w:rsidRDefault="00F815BE">
            <w:pPr>
              <w:pStyle w:val="aff1"/>
            </w:pPr>
            <w:r>
              <w:t>+</w:t>
            </w:r>
          </w:p>
        </w:tc>
        <w:tc>
          <w:tcPr>
            <w:tcW w:w="1525" w:type="dxa"/>
          </w:tcPr>
          <w:p w:rsidR="00517711" w:rsidRDefault="00F815BE">
            <w:pPr>
              <w:pStyle w:val="aff1"/>
            </w:pPr>
            <w:r>
              <w:t>+</w:t>
            </w:r>
          </w:p>
        </w:tc>
        <w:tc>
          <w:tcPr>
            <w:tcW w:w="1526" w:type="dxa"/>
          </w:tcPr>
          <w:p w:rsidR="00517711" w:rsidRDefault="00F815BE">
            <w:pPr>
              <w:pStyle w:val="aff1"/>
            </w:pPr>
            <w:r>
              <w:t>-</w:t>
            </w:r>
          </w:p>
        </w:tc>
      </w:tr>
      <w:tr w:rsidR="00517711">
        <w:trPr>
          <w:trHeight w:val="301"/>
        </w:trPr>
        <w:tc>
          <w:tcPr>
            <w:tcW w:w="2476" w:type="dxa"/>
          </w:tcPr>
          <w:p w:rsidR="00517711" w:rsidRDefault="00F815BE">
            <w:pPr>
              <w:pStyle w:val="aff1"/>
            </w:pPr>
            <w:r>
              <w:t>Прачечная</w:t>
            </w:r>
          </w:p>
        </w:tc>
        <w:tc>
          <w:tcPr>
            <w:tcW w:w="1525" w:type="dxa"/>
          </w:tcPr>
          <w:p w:rsidR="00517711" w:rsidRDefault="00F815BE">
            <w:pPr>
              <w:pStyle w:val="aff1"/>
            </w:pPr>
            <w:r>
              <w:t>-</w:t>
            </w:r>
          </w:p>
        </w:tc>
        <w:tc>
          <w:tcPr>
            <w:tcW w:w="1526" w:type="dxa"/>
          </w:tcPr>
          <w:p w:rsidR="00517711" w:rsidRDefault="00F815BE">
            <w:pPr>
              <w:pStyle w:val="aff1"/>
            </w:pPr>
            <w:r>
              <w:t>+</w:t>
            </w:r>
          </w:p>
        </w:tc>
        <w:tc>
          <w:tcPr>
            <w:tcW w:w="1525" w:type="dxa"/>
          </w:tcPr>
          <w:p w:rsidR="00517711" w:rsidRDefault="00F815BE">
            <w:pPr>
              <w:pStyle w:val="aff1"/>
            </w:pPr>
            <w:r>
              <w:t>-</w:t>
            </w:r>
          </w:p>
        </w:tc>
        <w:tc>
          <w:tcPr>
            <w:tcW w:w="1526" w:type="dxa"/>
          </w:tcPr>
          <w:p w:rsidR="00517711" w:rsidRDefault="00F815BE">
            <w:pPr>
              <w:pStyle w:val="aff1"/>
            </w:pPr>
            <w:r>
              <w:t>-</w:t>
            </w:r>
          </w:p>
        </w:tc>
      </w:tr>
      <w:tr w:rsidR="00517711">
        <w:trPr>
          <w:trHeight w:val="310"/>
        </w:trPr>
        <w:tc>
          <w:tcPr>
            <w:tcW w:w="2476" w:type="dxa"/>
          </w:tcPr>
          <w:p w:rsidR="00517711" w:rsidRDefault="00F815BE">
            <w:pPr>
              <w:pStyle w:val="aff1"/>
            </w:pPr>
            <w:r>
              <w:t>Экскурсии</w:t>
            </w:r>
          </w:p>
        </w:tc>
        <w:tc>
          <w:tcPr>
            <w:tcW w:w="1525" w:type="dxa"/>
          </w:tcPr>
          <w:p w:rsidR="00517711" w:rsidRDefault="00F815BE">
            <w:pPr>
              <w:pStyle w:val="aff1"/>
            </w:pPr>
            <w:r>
              <w:t>+</w:t>
            </w:r>
          </w:p>
        </w:tc>
        <w:tc>
          <w:tcPr>
            <w:tcW w:w="1526" w:type="dxa"/>
          </w:tcPr>
          <w:p w:rsidR="00517711" w:rsidRDefault="00F815BE">
            <w:pPr>
              <w:pStyle w:val="aff1"/>
            </w:pPr>
            <w:r>
              <w:t>-</w:t>
            </w:r>
          </w:p>
        </w:tc>
        <w:tc>
          <w:tcPr>
            <w:tcW w:w="1525" w:type="dxa"/>
          </w:tcPr>
          <w:p w:rsidR="00517711" w:rsidRDefault="00F815BE">
            <w:pPr>
              <w:pStyle w:val="aff1"/>
            </w:pPr>
            <w:r>
              <w:t>-</w:t>
            </w:r>
          </w:p>
        </w:tc>
        <w:tc>
          <w:tcPr>
            <w:tcW w:w="1526" w:type="dxa"/>
          </w:tcPr>
          <w:p w:rsidR="00517711" w:rsidRDefault="00F815BE">
            <w:pPr>
              <w:pStyle w:val="aff1"/>
            </w:pPr>
            <w:r>
              <w:t>-</w:t>
            </w:r>
          </w:p>
        </w:tc>
      </w:tr>
      <w:tr w:rsidR="00517711">
        <w:trPr>
          <w:trHeight w:val="310"/>
        </w:trPr>
        <w:tc>
          <w:tcPr>
            <w:tcW w:w="2476" w:type="dxa"/>
          </w:tcPr>
          <w:p w:rsidR="00517711" w:rsidRDefault="00F815BE">
            <w:pPr>
              <w:pStyle w:val="aff1"/>
            </w:pPr>
            <w:r>
              <w:t>Багажная комната</w:t>
            </w:r>
          </w:p>
        </w:tc>
        <w:tc>
          <w:tcPr>
            <w:tcW w:w="1525" w:type="dxa"/>
          </w:tcPr>
          <w:p w:rsidR="00517711" w:rsidRDefault="00F815BE">
            <w:pPr>
              <w:pStyle w:val="aff1"/>
            </w:pPr>
            <w:r>
              <w:t>-</w:t>
            </w:r>
          </w:p>
        </w:tc>
        <w:tc>
          <w:tcPr>
            <w:tcW w:w="1526" w:type="dxa"/>
          </w:tcPr>
          <w:p w:rsidR="00517711" w:rsidRDefault="00F815BE">
            <w:pPr>
              <w:pStyle w:val="aff1"/>
            </w:pPr>
            <w:r>
              <w:t>-</w:t>
            </w:r>
          </w:p>
        </w:tc>
        <w:tc>
          <w:tcPr>
            <w:tcW w:w="1525" w:type="dxa"/>
          </w:tcPr>
          <w:p w:rsidR="00517711" w:rsidRDefault="00F815BE">
            <w:pPr>
              <w:pStyle w:val="aff1"/>
            </w:pPr>
            <w:r>
              <w:t>+</w:t>
            </w:r>
          </w:p>
        </w:tc>
        <w:tc>
          <w:tcPr>
            <w:tcW w:w="1526" w:type="dxa"/>
          </w:tcPr>
          <w:p w:rsidR="00517711" w:rsidRDefault="00F815BE">
            <w:pPr>
              <w:pStyle w:val="aff1"/>
            </w:pPr>
            <w:r>
              <w:t>+</w:t>
            </w:r>
          </w:p>
        </w:tc>
      </w:tr>
      <w:tr w:rsidR="00517711">
        <w:trPr>
          <w:trHeight w:val="310"/>
        </w:trPr>
        <w:tc>
          <w:tcPr>
            <w:tcW w:w="2476" w:type="dxa"/>
          </w:tcPr>
          <w:p w:rsidR="00517711" w:rsidRDefault="00F815BE">
            <w:pPr>
              <w:pStyle w:val="aff1"/>
            </w:pPr>
            <w:r>
              <w:t>Морозильная камера</w:t>
            </w:r>
          </w:p>
        </w:tc>
        <w:tc>
          <w:tcPr>
            <w:tcW w:w="1525" w:type="dxa"/>
          </w:tcPr>
          <w:p w:rsidR="00517711" w:rsidRDefault="00F815BE">
            <w:pPr>
              <w:pStyle w:val="aff1"/>
            </w:pPr>
            <w:r>
              <w:t>+</w:t>
            </w:r>
          </w:p>
        </w:tc>
        <w:tc>
          <w:tcPr>
            <w:tcW w:w="1526" w:type="dxa"/>
          </w:tcPr>
          <w:p w:rsidR="00517711" w:rsidRDefault="00F815BE">
            <w:pPr>
              <w:pStyle w:val="aff1"/>
            </w:pPr>
            <w:r>
              <w:t>+</w:t>
            </w:r>
          </w:p>
        </w:tc>
        <w:tc>
          <w:tcPr>
            <w:tcW w:w="1525" w:type="dxa"/>
          </w:tcPr>
          <w:p w:rsidR="00517711" w:rsidRDefault="00F815BE">
            <w:pPr>
              <w:pStyle w:val="aff1"/>
            </w:pPr>
            <w:r>
              <w:t>-</w:t>
            </w:r>
          </w:p>
        </w:tc>
        <w:tc>
          <w:tcPr>
            <w:tcW w:w="1526" w:type="dxa"/>
          </w:tcPr>
          <w:p w:rsidR="00517711" w:rsidRDefault="00F815BE">
            <w:pPr>
              <w:pStyle w:val="aff1"/>
            </w:pPr>
            <w:r>
              <w:t>-</w:t>
            </w:r>
          </w:p>
        </w:tc>
      </w:tr>
      <w:tr w:rsidR="00517711">
        <w:trPr>
          <w:trHeight w:val="150"/>
        </w:trPr>
        <w:tc>
          <w:tcPr>
            <w:tcW w:w="2476" w:type="dxa"/>
          </w:tcPr>
          <w:p w:rsidR="00517711" w:rsidRDefault="00F815BE">
            <w:pPr>
              <w:pStyle w:val="aff1"/>
            </w:pPr>
            <w:r>
              <w:t>Массаж</w:t>
            </w:r>
          </w:p>
        </w:tc>
        <w:tc>
          <w:tcPr>
            <w:tcW w:w="1525" w:type="dxa"/>
          </w:tcPr>
          <w:p w:rsidR="00517711" w:rsidRDefault="00F815BE">
            <w:pPr>
              <w:pStyle w:val="aff1"/>
            </w:pPr>
            <w:r>
              <w:t>+</w:t>
            </w:r>
          </w:p>
        </w:tc>
        <w:tc>
          <w:tcPr>
            <w:tcW w:w="1526" w:type="dxa"/>
          </w:tcPr>
          <w:p w:rsidR="00517711" w:rsidRDefault="00F815BE">
            <w:pPr>
              <w:pStyle w:val="aff1"/>
            </w:pPr>
            <w:r>
              <w:t>-</w:t>
            </w:r>
          </w:p>
        </w:tc>
        <w:tc>
          <w:tcPr>
            <w:tcW w:w="1525" w:type="dxa"/>
          </w:tcPr>
          <w:p w:rsidR="00517711" w:rsidRDefault="00F815BE">
            <w:pPr>
              <w:pStyle w:val="aff1"/>
            </w:pPr>
            <w:r>
              <w:t>-</w:t>
            </w:r>
          </w:p>
        </w:tc>
        <w:tc>
          <w:tcPr>
            <w:tcW w:w="1526" w:type="dxa"/>
          </w:tcPr>
          <w:p w:rsidR="00517711" w:rsidRDefault="00F815BE">
            <w:pPr>
              <w:pStyle w:val="aff1"/>
            </w:pPr>
            <w:r>
              <w:t>+</w:t>
            </w:r>
          </w:p>
        </w:tc>
      </w:tr>
      <w:tr w:rsidR="00517711">
        <w:trPr>
          <w:trHeight w:val="150"/>
        </w:trPr>
        <w:tc>
          <w:tcPr>
            <w:tcW w:w="2476" w:type="dxa"/>
          </w:tcPr>
          <w:p w:rsidR="00517711" w:rsidRDefault="00F815BE">
            <w:pPr>
              <w:pStyle w:val="aff1"/>
            </w:pPr>
            <w:r>
              <w:t>Лобби-бар, ресторан</w:t>
            </w:r>
          </w:p>
        </w:tc>
        <w:tc>
          <w:tcPr>
            <w:tcW w:w="1525" w:type="dxa"/>
          </w:tcPr>
          <w:p w:rsidR="00517711" w:rsidRDefault="00F815BE">
            <w:pPr>
              <w:pStyle w:val="aff1"/>
            </w:pPr>
            <w:r>
              <w:t>+</w:t>
            </w:r>
          </w:p>
        </w:tc>
        <w:tc>
          <w:tcPr>
            <w:tcW w:w="1526" w:type="dxa"/>
          </w:tcPr>
          <w:p w:rsidR="00517711" w:rsidRDefault="00F815BE">
            <w:pPr>
              <w:pStyle w:val="aff1"/>
            </w:pPr>
            <w:r>
              <w:t>+</w:t>
            </w:r>
          </w:p>
        </w:tc>
        <w:tc>
          <w:tcPr>
            <w:tcW w:w="1525" w:type="dxa"/>
          </w:tcPr>
          <w:p w:rsidR="00517711" w:rsidRDefault="00F815BE">
            <w:pPr>
              <w:pStyle w:val="aff1"/>
            </w:pPr>
            <w:r>
              <w:t>+</w:t>
            </w:r>
          </w:p>
        </w:tc>
        <w:tc>
          <w:tcPr>
            <w:tcW w:w="1526" w:type="dxa"/>
          </w:tcPr>
          <w:p w:rsidR="00517711" w:rsidRDefault="00F815BE">
            <w:pPr>
              <w:pStyle w:val="aff1"/>
            </w:pPr>
            <w:r>
              <w:t>+</w:t>
            </w:r>
          </w:p>
        </w:tc>
      </w:tr>
    </w:tbl>
    <w:p w:rsidR="00517711" w:rsidRDefault="00517711">
      <w:pPr>
        <w:spacing w:after="0" w:line="240" w:lineRule="auto"/>
        <w:ind w:firstLine="709"/>
        <w:jc w:val="both"/>
        <w:rPr>
          <w:rFonts w:ascii="Times New Roman" w:hAnsi="Times New Roman"/>
          <w:sz w:val="20"/>
          <w:szCs w:val="24"/>
          <w:lang w:eastAsia="ru-RU"/>
        </w:rPr>
      </w:pP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 xml:space="preserve">Исходя из данной таблицы можно сделать вывод о том, что услугами питания и </w:t>
      </w:r>
      <w:r>
        <w:rPr>
          <w:rFonts w:ascii="Times New Roman" w:hAnsi="Times New Roman"/>
          <w:sz w:val="20"/>
          <w:szCs w:val="24"/>
          <w:lang w:val="en-US" w:eastAsia="ru-RU"/>
        </w:rPr>
        <w:t>WI</w:t>
      </w:r>
      <w:r>
        <w:rPr>
          <w:rFonts w:ascii="Times New Roman" w:hAnsi="Times New Roman"/>
          <w:sz w:val="20"/>
          <w:szCs w:val="24"/>
          <w:lang w:eastAsia="ru-RU"/>
        </w:rPr>
        <w:t>-</w:t>
      </w:r>
      <w:r>
        <w:rPr>
          <w:rFonts w:ascii="Times New Roman" w:hAnsi="Times New Roman"/>
          <w:sz w:val="20"/>
          <w:szCs w:val="24"/>
          <w:lang w:val="en-US" w:eastAsia="ru-RU"/>
        </w:rPr>
        <w:t>FI</w:t>
      </w:r>
      <w:r>
        <w:rPr>
          <w:rFonts w:ascii="Times New Roman" w:hAnsi="Times New Roman"/>
          <w:sz w:val="20"/>
          <w:szCs w:val="24"/>
          <w:lang w:eastAsia="ru-RU"/>
        </w:rPr>
        <w:t xml:space="preserve"> пользуются все категории гостей.</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lastRenderedPageBreak/>
        <w:t xml:space="preserve">Бизнес центром и услугами такси пользуются, зачастую все, кроме сегмента </w:t>
      </w:r>
      <w:r>
        <w:rPr>
          <w:rFonts w:ascii="Times New Roman" w:hAnsi="Times New Roman"/>
          <w:sz w:val="20"/>
          <w:szCs w:val="24"/>
          <w:lang w:val="en-US" w:eastAsia="ru-RU"/>
        </w:rPr>
        <w:t>LEISURE</w:t>
      </w:r>
      <w:r>
        <w:rPr>
          <w:rFonts w:ascii="Times New Roman" w:hAnsi="Times New Roman"/>
          <w:sz w:val="20"/>
          <w:szCs w:val="24"/>
          <w:lang w:eastAsia="ru-RU"/>
        </w:rPr>
        <w:t>, так как это чаще всего корейские группы туристов, приезжающие на пару дней и имеющие своих перевозиков.</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Категории гостей, приехавшие в командировку (</w:t>
      </w:r>
      <w:r>
        <w:rPr>
          <w:rFonts w:ascii="Times New Roman" w:hAnsi="Times New Roman"/>
          <w:sz w:val="20"/>
          <w:szCs w:val="24"/>
          <w:lang w:val="en-US" w:eastAsia="ru-RU"/>
        </w:rPr>
        <w:t>CORP</w:t>
      </w:r>
      <w:r>
        <w:rPr>
          <w:rFonts w:ascii="Times New Roman" w:hAnsi="Times New Roman"/>
          <w:sz w:val="20"/>
          <w:szCs w:val="24"/>
          <w:lang w:eastAsia="ru-RU"/>
        </w:rPr>
        <w:t>) пользуются всеми популярными услугами в отеле, за исключением массажа, экскурсий и багажной комнаты. Это объясняется тем, что данный сегмент гостей не готов тратиться на развлечения, как правило у них ограниченные средства и небольшое количество вещей, которые они смело могут разместить в своем номере.</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Событийный сегмент гостей – расположился где-то между людьми приехавшими отдыхать и корпоративным сегментом. Все потому, что часто они приезжают своими рабочими группами на разлиные мероприятия и презентации. Поэтому для них очень важной услугой является аренда конференц-залов, а также багажная комната, где они могут хранить реквизиты и свое оборудование, если таковое имеется. А после меропрития, как правило, следует фуршет или банкет, далее гости постепенно переходят в уютный лобби-бар, который работает круглосуточно.</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 xml:space="preserve">Группы азиатских туристов приезжают отдыхать, поэтому как только гости походят процедуру  заселения, то сразу собираются в ресторане или лобби большими компаниями, поэтому услуги бара и ресторана для них очень важны. </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Отзывы потребителей услуг отеля отражены на рисунке 3.</w:t>
      </w:r>
    </w:p>
    <w:p w:rsidR="00517711" w:rsidRDefault="00517711">
      <w:pPr>
        <w:spacing w:after="0" w:line="240" w:lineRule="auto"/>
        <w:ind w:firstLine="709"/>
        <w:jc w:val="both"/>
        <w:rPr>
          <w:rFonts w:ascii="Times New Roman" w:hAnsi="Times New Roman"/>
          <w:sz w:val="24"/>
          <w:szCs w:val="24"/>
          <w:lang w:eastAsia="ru-RU"/>
        </w:rPr>
      </w:pPr>
    </w:p>
    <w:p w:rsidR="00517711" w:rsidRDefault="00F815BE">
      <w:pPr>
        <w:spacing w:after="0" w:line="240" w:lineRule="auto"/>
        <w:ind w:firstLine="709"/>
        <w:jc w:val="center"/>
        <w:rPr>
          <w:rFonts w:ascii="Times New Roman" w:hAnsi="Times New Roman"/>
          <w:sz w:val="24"/>
          <w:szCs w:val="24"/>
        </w:rPr>
      </w:pPr>
      <w:r>
        <w:rPr>
          <w:rFonts w:ascii="Times New Roman" w:hAnsi="Times New Roman"/>
          <w:noProof/>
          <w:sz w:val="24"/>
          <w:szCs w:val="24"/>
          <w:lang w:eastAsia="ru-RU"/>
        </w:rPr>
        <w:drawing>
          <wp:inline distT="0" distB="0" distL="0" distR="0">
            <wp:extent cx="3880485" cy="1725293"/>
            <wp:effectExtent l="0" t="0" r="0" b="0"/>
            <wp:docPr id="26" name="Объект 3"/>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517711" w:rsidRDefault="00F815BE">
      <w:pPr>
        <w:spacing w:after="0" w:line="240" w:lineRule="auto"/>
        <w:jc w:val="center"/>
        <w:rPr>
          <w:rFonts w:ascii="Times New Roman" w:hAnsi="Times New Roman"/>
          <w:bCs/>
          <w:sz w:val="20"/>
          <w:szCs w:val="24"/>
        </w:rPr>
      </w:pPr>
      <w:r>
        <w:rPr>
          <w:rFonts w:ascii="Times New Roman" w:hAnsi="Times New Roman"/>
          <w:bCs/>
          <w:sz w:val="20"/>
          <w:szCs w:val="24"/>
        </w:rPr>
        <w:t>Рис. 3. Отзывы потребителей гостиничных услуг, в процентах</w:t>
      </w:r>
    </w:p>
    <w:p w:rsidR="00517711" w:rsidRDefault="00517711">
      <w:pPr>
        <w:spacing w:after="0" w:line="240" w:lineRule="auto"/>
        <w:jc w:val="center"/>
        <w:rPr>
          <w:rFonts w:ascii="Times New Roman" w:hAnsi="Times New Roman"/>
          <w:sz w:val="20"/>
          <w:szCs w:val="24"/>
        </w:rPr>
      </w:pPr>
    </w:p>
    <w:p w:rsidR="00517711" w:rsidRDefault="00F815BE">
      <w:pPr>
        <w:spacing w:after="0" w:line="240" w:lineRule="auto"/>
        <w:ind w:firstLine="708"/>
        <w:jc w:val="both"/>
        <w:rPr>
          <w:rFonts w:ascii="Times New Roman" w:hAnsi="Times New Roman"/>
          <w:sz w:val="20"/>
          <w:szCs w:val="24"/>
          <w:lang w:eastAsia="ru-RU"/>
        </w:rPr>
      </w:pPr>
      <w:r>
        <w:rPr>
          <w:rFonts w:ascii="Times New Roman" w:hAnsi="Times New Roman"/>
          <w:sz w:val="20"/>
          <w:szCs w:val="24"/>
          <w:lang w:eastAsia="ru-RU"/>
        </w:rPr>
        <w:t>Анализируя отзывы потребителей гостиничных услуг, можно прийти к выводу, что большинство гостей оценили качество уборки номеров, удобное месторасположение и поставили хорошую оценку работе персонала в целом.</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 xml:space="preserve">Комфорт находится на позициях ниже, поскольку небольшая площадь номеров (18 кв. м) даже для отеля </w:t>
      </w:r>
      <w:r>
        <w:rPr>
          <w:rFonts w:ascii="Times New Roman" w:hAnsi="Times New Roman"/>
          <w:sz w:val="20"/>
          <w:szCs w:val="24"/>
          <w:lang w:val="en-US" w:eastAsia="ru-RU"/>
        </w:rPr>
        <w:t>SMART</w:t>
      </w:r>
      <w:r>
        <w:rPr>
          <w:rFonts w:ascii="Times New Roman" w:hAnsi="Times New Roman"/>
          <w:sz w:val="20"/>
          <w:szCs w:val="24"/>
          <w:lang w:eastAsia="ru-RU"/>
        </w:rPr>
        <w:t xml:space="preserve">-Категории не всегда нравится потребителям. Также многие гости жаловались на слабый сигнал </w:t>
      </w:r>
      <w:r>
        <w:rPr>
          <w:rFonts w:ascii="Times New Roman" w:hAnsi="Times New Roman"/>
          <w:sz w:val="20"/>
          <w:szCs w:val="24"/>
          <w:lang w:val="en-US" w:eastAsia="ru-RU"/>
        </w:rPr>
        <w:t>wii</w:t>
      </w:r>
      <w:r>
        <w:rPr>
          <w:rFonts w:ascii="Times New Roman" w:hAnsi="Times New Roman"/>
          <w:sz w:val="20"/>
          <w:szCs w:val="24"/>
          <w:lang w:eastAsia="ru-RU"/>
        </w:rPr>
        <w:t>-</w:t>
      </w:r>
      <w:r>
        <w:rPr>
          <w:rFonts w:ascii="Times New Roman" w:hAnsi="Times New Roman"/>
          <w:sz w:val="20"/>
          <w:szCs w:val="24"/>
          <w:lang w:val="en-US" w:eastAsia="ru-RU"/>
        </w:rPr>
        <w:t>fi</w:t>
      </w:r>
      <w:r>
        <w:rPr>
          <w:rFonts w:ascii="Times New Roman" w:hAnsi="Times New Roman"/>
          <w:sz w:val="20"/>
          <w:szCs w:val="24"/>
          <w:lang w:eastAsia="ru-RU"/>
        </w:rPr>
        <w:t xml:space="preserve"> и ТВ, что обусловлено несовсем удачным расположением отеля – постоянные ветра приводят к сетевым неполадкам.</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lang w:eastAsia="ru-RU"/>
        </w:rPr>
        <w:t>И соответственно цена/качество не совсем устраивают потребителя. И с этим можно согласиться, поскольку цена за номер действительно высокая для гостя-индивидуала, который легко может найти номер в отеле за меньшие деньги. Именно поэтому процент корпоративного сегмента в данном отеле превышает публичный.</w:t>
      </w:r>
    </w:p>
    <w:p w:rsidR="00517711" w:rsidRDefault="00F815BE">
      <w:pPr>
        <w:spacing w:after="0" w:line="240" w:lineRule="auto"/>
        <w:ind w:firstLine="709"/>
        <w:jc w:val="both"/>
        <w:rPr>
          <w:rFonts w:ascii="Times New Roman" w:hAnsi="Times New Roman"/>
          <w:color w:val="000000"/>
          <w:sz w:val="20"/>
          <w:szCs w:val="24"/>
          <w:lang w:eastAsia="ru-RU"/>
        </w:rPr>
      </w:pPr>
      <w:r>
        <w:rPr>
          <w:rFonts w:ascii="Times New Roman" w:hAnsi="Times New Roman"/>
          <w:sz w:val="20"/>
          <w:szCs w:val="24"/>
        </w:rPr>
        <w:t xml:space="preserve">На основании проведенного анализа, можно сделать следующие рекомендации по усовершенствованию услуг. </w:t>
      </w:r>
      <w:r>
        <w:rPr>
          <w:rFonts w:ascii="Times New Roman" w:hAnsi="Times New Roman"/>
          <w:color w:val="000000"/>
          <w:sz w:val="20"/>
          <w:szCs w:val="24"/>
          <w:lang w:eastAsia="ru-RU"/>
        </w:rPr>
        <w:t>В ГК Азимут Отель Владивосток представлены стандартные услуги, как и во всех отелях нашего города. Рассуждая о совершенствовании услуг в данном отеле, не говоря о перепланировке и различных инновациях, были выделены основные моменты, которые можно было бы изменить или добавить.</w:t>
      </w:r>
    </w:p>
    <w:p w:rsidR="00517711" w:rsidRDefault="00F815BE">
      <w:pPr>
        <w:spacing w:after="0" w:line="240" w:lineRule="auto"/>
        <w:ind w:firstLine="709"/>
        <w:jc w:val="both"/>
        <w:rPr>
          <w:rFonts w:ascii="Times New Roman" w:hAnsi="Times New Roman"/>
          <w:color w:val="000000"/>
          <w:sz w:val="20"/>
          <w:szCs w:val="24"/>
          <w:lang w:eastAsia="ru-RU"/>
        </w:rPr>
      </w:pPr>
      <w:r>
        <w:rPr>
          <w:rFonts w:ascii="Times New Roman" w:hAnsi="Times New Roman"/>
          <w:color w:val="000000"/>
          <w:sz w:val="20"/>
          <w:szCs w:val="24"/>
          <w:lang w:eastAsia="ru-RU"/>
        </w:rPr>
        <w:t>Первая проблема  - это очередь. Двухканальный поток людей  и на заселение и на выселение, а также третий поток из людей которым просто спросить или решить какую-то проблему – замедляет работу ресепшена, а также затягивает очередь. Мы не можем сократить поток людей, которые прилетают все одним самолетом в одно время, но можем скоординировать работу другим образом. Можно добавить как минимум одну стойку только для процедуры выселения (в чек-аут тайм), а также добавить одного человека, который бы находился непосредственно в лобби с гостями и решал их проблемы, отвечал на вопросы и помогал, например с багажом.  Это очень актуально в высокий сезон, когда поток людей непрерывен.</w:t>
      </w:r>
    </w:p>
    <w:p w:rsidR="00517711" w:rsidRDefault="00F815BE">
      <w:pPr>
        <w:spacing w:after="0" w:line="240" w:lineRule="auto"/>
        <w:ind w:firstLine="709"/>
        <w:jc w:val="both"/>
        <w:rPr>
          <w:rFonts w:ascii="Times New Roman" w:hAnsi="Times New Roman"/>
          <w:color w:val="000000"/>
          <w:sz w:val="20"/>
          <w:szCs w:val="24"/>
          <w:lang w:eastAsia="ru-RU"/>
        </w:rPr>
      </w:pPr>
      <w:r>
        <w:rPr>
          <w:rFonts w:ascii="Times New Roman" w:hAnsi="Times New Roman"/>
          <w:color w:val="000000"/>
          <w:sz w:val="20"/>
          <w:szCs w:val="24"/>
          <w:lang w:eastAsia="ru-RU"/>
        </w:rPr>
        <w:t>Также, некоторые гости, оставляя обратную связь на фронт-деске, желали бы видеть больше морепродуктов в меню ресторана.</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Еще одним положительным моментом была бы круглосуточная работа прачечной. В данный момент прачечная работает с 8 утра до 18 часов. Для гостей это не совсем удобно, так как именно в это время большинство из них заняты. А вечером, по приезду в отель у них возникает потребность в стирке одежды.</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Как известно первый и второй этажи данного отеля отданы под аренду. Было бы неплохо открыть там обменный пункт и стойку мобильной связи. Часто бывает так, что гости забывают обменять деньги, а они нужны им прямо сейчас. Понятно, что это халатность гостя, который должен заботиться о своих финансах, но иметь такой обменник на территории отеля тоже было бы неплохо. Салон мобильной связи во многом решил </w:t>
      </w:r>
      <w:r>
        <w:rPr>
          <w:rFonts w:ascii="Times New Roman" w:hAnsi="Times New Roman"/>
          <w:sz w:val="20"/>
          <w:szCs w:val="24"/>
        </w:rPr>
        <w:lastRenderedPageBreak/>
        <w:t>бы проблемы гостей, которые постоянно забывают или теряют свои зарядные устройства, а также если гость забыл сменить тариф в аэропорту, то ему не придется искать салон связи по городу.</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Что касается усовершенствования номеров, то здесь хотелось бы сказать о номерах категории Супериор. Эти номера считаются улученными. Но по факту они улучены только наличием чайника и чанного набора в номере, а также видом на залив. Мы не можем раздвинуть стены и улучить его большей площадью,  также в целом они оснащены всем необходимым для комфортного пребывания. Но так как они считаются улучшенными, и гость платит за такой номер на 2000 рублей больше, чем стоит такой же стандарт, можно было бы улучшить его, например бесплатной доставкой еды в номер, или бесплатной стиркой и глажкой рубашки в день заезда или бесплатной парковкой.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Вывод: Азимут Отель-Владивосток имеет все условия для удовлетворения предпочтений гостей. Всем известно, что Владивосток с каждым годом принимает все больше и больше гостей, соответственно конкуренция на рынке гостиничных услуг растет с каждым годом, поэтому чтобы держать лидирующие позиции на рынке, необходимо внедрять новые и усовершенствовать старые услуги.</w:t>
      </w:r>
    </w:p>
    <w:p w:rsidR="00517711" w:rsidRDefault="00517711">
      <w:pPr>
        <w:spacing w:after="0" w:line="240" w:lineRule="auto"/>
        <w:ind w:firstLine="709"/>
        <w:jc w:val="both"/>
        <w:rPr>
          <w:rFonts w:ascii="Times New Roman" w:hAnsi="Times New Roman"/>
          <w:sz w:val="20"/>
          <w:szCs w:val="24"/>
        </w:rPr>
      </w:pPr>
    </w:p>
    <w:p w:rsidR="00517711" w:rsidRDefault="00F815BE">
      <w:pPr>
        <w:spacing w:after="0" w:line="240" w:lineRule="auto"/>
        <w:ind w:firstLine="709"/>
        <w:jc w:val="both"/>
        <w:rPr>
          <w:rFonts w:ascii="Times New Roman" w:hAnsi="Times New Roman"/>
          <w:sz w:val="20"/>
          <w:szCs w:val="24"/>
          <w:lang w:val="en-US"/>
        </w:rPr>
      </w:pPr>
      <w:r>
        <w:rPr>
          <w:rFonts w:ascii="Times New Roman" w:hAnsi="Times New Roman"/>
          <w:sz w:val="20"/>
          <w:szCs w:val="24"/>
        </w:rPr>
        <w:t>__________________________________________________________________________</w:t>
      </w:r>
    </w:p>
    <w:p w:rsidR="00517711" w:rsidRDefault="00F815BE">
      <w:pPr>
        <w:numPr>
          <w:ilvl w:val="0"/>
          <w:numId w:val="76"/>
        </w:numPr>
        <w:spacing w:after="0" w:line="240" w:lineRule="auto"/>
        <w:jc w:val="both"/>
        <w:rPr>
          <w:rFonts w:ascii="Times New Roman" w:hAnsi="Times New Roman"/>
          <w:sz w:val="20"/>
          <w:szCs w:val="24"/>
        </w:rPr>
      </w:pPr>
      <w:r>
        <w:rPr>
          <w:rFonts w:ascii="Times New Roman" w:hAnsi="Times New Roman"/>
          <w:sz w:val="20"/>
          <w:szCs w:val="24"/>
        </w:rPr>
        <w:t xml:space="preserve">Азимут Отель-Владивосток, официальный сайт [Электронный ресурс]. – </w:t>
      </w:r>
    </w:p>
    <w:p w:rsidR="00517711" w:rsidRDefault="00F815BE">
      <w:pPr>
        <w:spacing w:after="0" w:line="240" w:lineRule="auto"/>
        <w:ind w:left="1069"/>
        <w:jc w:val="both"/>
        <w:rPr>
          <w:rFonts w:ascii="Times New Roman" w:hAnsi="Times New Roman"/>
          <w:sz w:val="20"/>
          <w:szCs w:val="24"/>
        </w:rPr>
      </w:pPr>
      <w:r>
        <w:rPr>
          <w:rFonts w:ascii="Times New Roman" w:hAnsi="Times New Roman"/>
          <w:sz w:val="20"/>
          <w:szCs w:val="24"/>
        </w:rPr>
        <w:t>Режим доступа: https://azimuthotels.com/.</w:t>
      </w:r>
    </w:p>
    <w:p w:rsidR="00517711" w:rsidRDefault="00517711"/>
    <w:p w:rsidR="00517711" w:rsidRDefault="00F815BE">
      <w:pPr>
        <w:pStyle w:val="af6"/>
        <w:spacing w:before="0" w:beforeAutospacing="0" w:after="0" w:afterAutospacing="0"/>
        <w:rPr>
          <w:b/>
          <w:color w:val="FF0000"/>
          <w:sz w:val="20"/>
        </w:rPr>
      </w:pPr>
      <w:r>
        <w:rPr>
          <w:b/>
          <w:sz w:val="20"/>
        </w:rPr>
        <w:t xml:space="preserve">Рубрика: </w:t>
      </w:r>
      <w:r>
        <w:rPr>
          <w:b/>
          <w:color w:val="000000" w:themeColor="text1"/>
          <w:sz w:val="20"/>
        </w:rPr>
        <w:t>Туризм (по отраслям)</w:t>
      </w:r>
    </w:p>
    <w:p w:rsidR="00517711" w:rsidRDefault="00517711">
      <w:pPr>
        <w:pStyle w:val="1"/>
        <w:spacing w:before="0" w:beforeAutospacing="0" w:after="0" w:afterAutospacing="0"/>
        <w:rPr>
          <w:b w:val="0"/>
          <w:sz w:val="20"/>
        </w:rPr>
      </w:pPr>
    </w:p>
    <w:p w:rsidR="00517711" w:rsidRDefault="00F815BE">
      <w:pPr>
        <w:pStyle w:val="1"/>
        <w:spacing w:before="0" w:beforeAutospacing="0" w:after="0" w:afterAutospacing="0"/>
        <w:rPr>
          <w:b w:val="0"/>
          <w:sz w:val="20"/>
        </w:rPr>
      </w:pPr>
      <w:r>
        <w:rPr>
          <w:b w:val="0"/>
          <w:sz w:val="20"/>
        </w:rPr>
        <w:t>УДК:</w:t>
      </w:r>
      <w:r>
        <w:rPr>
          <w:b w:val="0"/>
          <w:color w:val="FF0000"/>
          <w:sz w:val="20"/>
        </w:rPr>
        <w:t xml:space="preserve"> </w:t>
      </w:r>
      <w:r>
        <w:rPr>
          <w:b w:val="0"/>
          <w:sz w:val="20"/>
        </w:rPr>
        <w:t>338.48.640.4</w:t>
      </w:r>
    </w:p>
    <w:p w:rsidR="00517711" w:rsidRDefault="00517711">
      <w:pPr>
        <w:pStyle w:val="af6"/>
        <w:spacing w:before="0" w:beforeAutospacing="0" w:after="0" w:afterAutospacing="0"/>
        <w:ind w:left="705"/>
        <w:rPr>
          <w:rFonts w:ascii="Arial" w:hAnsi="Arial" w:cs="Arial"/>
          <w:position w:val="12"/>
          <w:sz w:val="26"/>
          <w:szCs w:val="26"/>
        </w:rPr>
      </w:pPr>
    </w:p>
    <w:p w:rsidR="00517711" w:rsidRDefault="00F815BE">
      <w:pPr>
        <w:pStyle w:val="af6"/>
        <w:spacing w:before="0" w:beforeAutospacing="0" w:after="0" w:afterAutospacing="0"/>
        <w:ind w:left="705"/>
        <w:jc w:val="center"/>
        <w:rPr>
          <w:rFonts w:ascii="Book Antiqua" w:hAnsi="Book Antiqua"/>
          <w:b/>
          <w:color w:val="000000"/>
          <w:position w:val="12"/>
          <w:sz w:val="26"/>
          <w:szCs w:val="26"/>
        </w:rPr>
      </w:pPr>
      <w:r>
        <w:rPr>
          <w:rFonts w:ascii="Book Antiqua" w:hAnsi="Book Antiqua"/>
          <w:b/>
          <w:color w:val="000000" w:themeColor="text1"/>
          <w:position w:val="12"/>
          <w:sz w:val="26"/>
          <w:szCs w:val="26"/>
        </w:rPr>
        <w:t>ТЕНДЕНЦИИ РАЗВИТИЯ ИНДУСТРИИ ГОСТЕПРИИМСТВА В ДВФО И ПРИМОРСКОМ КРАЕ</w:t>
      </w:r>
    </w:p>
    <w:p w:rsidR="00517711" w:rsidRDefault="00517711">
      <w:pPr>
        <w:pStyle w:val="af6"/>
        <w:spacing w:before="0" w:beforeAutospacing="0" w:after="0" w:afterAutospacing="0"/>
        <w:jc w:val="center"/>
      </w:pPr>
    </w:p>
    <w:p w:rsidR="00517711" w:rsidRDefault="00F815BE">
      <w:pPr>
        <w:pStyle w:val="af6"/>
        <w:spacing w:before="0" w:beforeAutospacing="0" w:after="0" w:afterAutospacing="0"/>
        <w:jc w:val="center"/>
        <w:rPr>
          <w:rFonts w:ascii="Arial" w:hAnsi="Arial" w:cs="Arial"/>
          <w:b/>
        </w:rPr>
      </w:pPr>
      <w:r>
        <w:rPr>
          <w:rFonts w:ascii="Arial" w:hAnsi="Arial" w:cs="Arial"/>
          <w:b/>
        </w:rPr>
        <w:t>Королева Ксения Семёновна,</w:t>
      </w:r>
    </w:p>
    <w:p w:rsidR="00517711" w:rsidRDefault="00F815BE">
      <w:pPr>
        <w:pStyle w:val="af6"/>
        <w:spacing w:before="0" w:beforeAutospacing="0" w:after="0" w:afterAutospacing="0"/>
        <w:jc w:val="center"/>
        <w:rPr>
          <w:rFonts w:ascii="Arial" w:hAnsi="Arial" w:cs="Arial"/>
        </w:rPr>
      </w:pPr>
      <w:r>
        <w:rPr>
          <w:rFonts w:ascii="Arial" w:hAnsi="Arial" w:cs="Arial"/>
        </w:rPr>
        <w:t>бакалавр</w:t>
      </w:r>
    </w:p>
    <w:p w:rsidR="00517711" w:rsidRDefault="00517711">
      <w:pPr>
        <w:pStyle w:val="af6"/>
        <w:spacing w:before="0" w:beforeAutospacing="0" w:after="0" w:afterAutospacing="0"/>
        <w:jc w:val="center"/>
        <w:rPr>
          <w:i/>
        </w:rPr>
      </w:pPr>
    </w:p>
    <w:p w:rsidR="00517711" w:rsidRDefault="00F815BE">
      <w:pPr>
        <w:pStyle w:val="af6"/>
        <w:spacing w:before="0" w:beforeAutospacing="0" w:after="0" w:afterAutospacing="0"/>
        <w:jc w:val="center"/>
        <w:rPr>
          <w:i/>
          <w:sz w:val="22"/>
        </w:rPr>
      </w:pPr>
      <w:r>
        <w:rPr>
          <w:i/>
          <w:sz w:val="22"/>
        </w:rPr>
        <w:t>Владивостокский государственный университет экономики и сервиса</w:t>
      </w:r>
    </w:p>
    <w:p w:rsidR="00517711" w:rsidRDefault="00F815BE">
      <w:pPr>
        <w:pStyle w:val="af6"/>
        <w:spacing w:before="0" w:beforeAutospacing="0" w:after="0" w:afterAutospacing="0"/>
        <w:jc w:val="center"/>
        <w:rPr>
          <w:i/>
          <w:sz w:val="22"/>
        </w:rPr>
      </w:pPr>
      <w:r>
        <w:rPr>
          <w:i/>
          <w:sz w:val="22"/>
        </w:rPr>
        <w:t>Россия. Владивосток</w:t>
      </w:r>
    </w:p>
    <w:p w:rsidR="00517711" w:rsidRDefault="00517711">
      <w:pPr>
        <w:pStyle w:val="af6"/>
        <w:spacing w:before="0" w:beforeAutospacing="0" w:after="0" w:afterAutospacing="0"/>
        <w:jc w:val="center"/>
      </w:pPr>
    </w:p>
    <w:p w:rsidR="00517711" w:rsidRPr="008A2A0D" w:rsidRDefault="00F815BE">
      <w:pPr>
        <w:pStyle w:val="af6"/>
        <w:spacing w:before="0" w:beforeAutospacing="0" w:after="0" w:afterAutospacing="0"/>
        <w:jc w:val="center"/>
        <w:rPr>
          <w:sz w:val="20"/>
        </w:rPr>
      </w:pPr>
      <w:r>
        <w:rPr>
          <w:sz w:val="20"/>
          <w:lang w:val="en-US"/>
        </w:rPr>
        <w:t>E</w:t>
      </w:r>
      <w:r w:rsidRPr="008A2A0D">
        <w:rPr>
          <w:sz w:val="20"/>
        </w:rPr>
        <w:t>-</w:t>
      </w:r>
      <w:r>
        <w:rPr>
          <w:sz w:val="20"/>
          <w:lang w:val="en-US"/>
        </w:rPr>
        <w:t>mail</w:t>
      </w:r>
      <w:r w:rsidRPr="008A2A0D">
        <w:rPr>
          <w:sz w:val="20"/>
        </w:rPr>
        <w:t xml:space="preserve">: </w:t>
      </w:r>
      <w:r>
        <w:rPr>
          <w:sz w:val="20"/>
          <w:lang w:val="en-US"/>
        </w:rPr>
        <w:t>hauray</w:t>
      </w:r>
      <w:r w:rsidRPr="008A2A0D">
        <w:rPr>
          <w:sz w:val="20"/>
        </w:rPr>
        <w:t>@</w:t>
      </w:r>
      <w:r>
        <w:rPr>
          <w:sz w:val="20"/>
          <w:lang w:val="en-US"/>
        </w:rPr>
        <w:t>yandex</w:t>
      </w:r>
      <w:r w:rsidRPr="008A2A0D">
        <w:rPr>
          <w:sz w:val="20"/>
        </w:rPr>
        <w:t>.</w:t>
      </w:r>
      <w:r>
        <w:rPr>
          <w:sz w:val="20"/>
          <w:lang w:val="en-US"/>
        </w:rPr>
        <w:t>ru</w:t>
      </w:r>
      <w:r w:rsidRPr="008A2A0D">
        <w:rPr>
          <w:sz w:val="20"/>
        </w:rPr>
        <w:t xml:space="preserve">; </w:t>
      </w:r>
      <w:r>
        <w:rPr>
          <w:sz w:val="20"/>
        </w:rPr>
        <w:t>тел</w:t>
      </w:r>
      <w:r w:rsidRPr="008A2A0D">
        <w:rPr>
          <w:sz w:val="20"/>
        </w:rPr>
        <w:t>.: +79242352855</w:t>
      </w:r>
    </w:p>
    <w:p w:rsidR="00517711" w:rsidRDefault="00F815BE">
      <w:pPr>
        <w:pStyle w:val="af6"/>
        <w:spacing w:before="0" w:beforeAutospacing="0" w:after="0" w:afterAutospacing="0"/>
        <w:jc w:val="center"/>
        <w:rPr>
          <w:sz w:val="20"/>
        </w:rPr>
      </w:pPr>
      <w:r>
        <w:rPr>
          <w:sz w:val="20"/>
        </w:rPr>
        <w:t>ул. Сафонова, 24, г. Владивосток, Приморский край, Россия, 690011</w:t>
      </w:r>
    </w:p>
    <w:p w:rsidR="00517711" w:rsidRDefault="00517711">
      <w:pPr>
        <w:pStyle w:val="af6"/>
        <w:spacing w:before="0" w:beforeAutospacing="0" w:after="0" w:afterAutospacing="0"/>
        <w:jc w:val="center"/>
      </w:pPr>
    </w:p>
    <w:p w:rsidR="00517711" w:rsidRDefault="00F815BE">
      <w:pPr>
        <w:spacing w:after="0" w:line="240" w:lineRule="auto"/>
        <w:ind w:firstLine="709"/>
        <w:jc w:val="both"/>
        <w:rPr>
          <w:rFonts w:ascii="Times New Roman" w:hAnsi="Times New Roman"/>
          <w:i/>
          <w:szCs w:val="24"/>
        </w:rPr>
      </w:pPr>
      <w:r>
        <w:rPr>
          <w:rFonts w:ascii="Times New Roman" w:hAnsi="Times New Roman"/>
          <w:i/>
          <w:szCs w:val="24"/>
        </w:rPr>
        <w:t xml:space="preserve">В рамках данной работы рассматриваются тенденции в сфере индустрии гостеприимства. В работе приведены статистические данные для более полного понимания состояния гостиничной индустрии последних лет. Рассмотрена динамика роста в Российской Федерации в целом, в ДВФО и Приморском крае. </w:t>
      </w:r>
    </w:p>
    <w:p w:rsidR="00517711" w:rsidRDefault="00F815BE">
      <w:pPr>
        <w:pStyle w:val="af6"/>
        <w:spacing w:before="0" w:beforeAutospacing="0" w:after="0" w:afterAutospacing="0"/>
        <w:ind w:firstLine="709"/>
        <w:rPr>
          <w:i/>
          <w:sz w:val="22"/>
        </w:rPr>
      </w:pPr>
      <w:r>
        <w:rPr>
          <w:b/>
          <w:i/>
          <w:sz w:val="22"/>
        </w:rPr>
        <w:t>Ключевые слова и словосочетания:</w:t>
      </w:r>
      <w:r>
        <w:rPr>
          <w:i/>
          <w:sz w:val="22"/>
        </w:rPr>
        <w:t xml:space="preserve"> тенденции, коллективные средства размещения, индустрия гостеприимства, динамика роста, статистика.</w:t>
      </w:r>
    </w:p>
    <w:p w:rsidR="00517711" w:rsidRDefault="00517711">
      <w:pPr>
        <w:pStyle w:val="af6"/>
        <w:spacing w:before="120" w:beforeAutospacing="0" w:after="120" w:afterAutospacing="0"/>
        <w:jc w:val="center"/>
        <w:rPr>
          <w:rFonts w:ascii="Book Antiqua" w:hAnsi="Book Antiqua"/>
          <w:b/>
          <w:sz w:val="26"/>
          <w:szCs w:val="26"/>
        </w:rPr>
      </w:pPr>
    </w:p>
    <w:p w:rsidR="00517711" w:rsidRDefault="00F815BE">
      <w:pPr>
        <w:pStyle w:val="af6"/>
        <w:spacing w:before="120" w:beforeAutospacing="0" w:after="120" w:afterAutospacing="0"/>
        <w:jc w:val="center"/>
        <w:rPr>
          <w:rFonts w:ascii="Book Antiqua" w:hAnsi="Book Antiqua"/>
          <w:b/>
          <w:sz w:val="26"/>
          <w:szCs w:val="26"/>
          <w:lang w:val="en-US"/>
        </w:rPr>
      </w:pPr>
      <w:r>
        <w:rPr>
          <w:rFonts w:ascii="Book Antiqua" w:hAnsi="Book Antiqua"/>
          <w:b/>
          <w:sz w:val="26"/>
          <w:szCs w:val="26"/>
          <w:lang w:val="en-US"/>
        </w:rPr>
        <w:t>TRENDS IN THE DEVELOPMENT OF THE HOSPITALITY INDUSTRY IN THE FAR EASTERN FEDERAL DISTRICT AND PRIMORYE TERRITORY</w:t>
      </w:r>
    </w:p>
    <w:p w:rsidR="00517711" w:rsidRDefault="00517711">
      <w:pPr>
        <w:pStyle w:val="af6"/>
        <w:spacing w:before="0" w:beforeAutospacing="0" w:after="200" w:afterAutospacing="0"/>
        <w:rPr>
          <w:lang w:val="en-US"/>
        </w:rPr>
      </w:pPr>
    </w:p>
    <w:p w:rsidR="00517711" w:rsidRDefault="00F815BE">
      <w:pPr>
        <w:pStyle w:val="af6"/>
        <w:spacing w:before="0" w:beforeAutospacing="0" w:after="0" w:afterAutospacing="0"/>
        <w:ind w:firstLine="709"/>
        <w:rPr>
          <w:i/>
          <w:sz w:val="22"/>
          <w:lang w:val="en-US"/>
        </w:rPr>
      </w:pPr>
      <w:r>
        <w:rPr>
          <w:i/>
          <w:sz w:val="22"/>
          <w:lang w:val="en-US"/>
        </w:rPr>
        <w:t>In the framework of this paper, trends in the hospitality industry are considered. The paper presents statistical data for a more complete understanding of the state of the hotel industry in recent years. The dynamics of growth in Russia as a whole, in the Far Eastern Federal District and the Primorsky Territory is considered.</w:t>
      </w:r>
    </w:p>
    <w:p w:rsidR="00517711" w:rsidRDefault="00F815BE">
      <w:pPr>
        <w:pStyle w:val="af6"/>
        <w:spacing w:before="0" w:beforeAutospacing="0" w:after="0" w:afterAutospacing="0"/>
        <w:ind w:firstLine="709"/>
        <w:rPr>
          <w:i/>
          <w:sz w:val="22"/>
          <w:lang w:val="en-US"/>
        </w:rPr>
      </w:pPr>
      <w:r>
        <w:rPr>
          <w:b/>
          <w:i/>
          <w:sz w:val="22"/>
          <w:lang w:val="en-US"/>
        </w:rPr>
        <w:t>Keywords</w:t>
      </w:r>
      <w:r>
        <w:rPr>
          <w:i/>
          <w:sz w:val="22"/>
          <w:lang w:val="en-US"/>
        </w:rPr>
        <w:t>: trends, collective accommodation facilities, hospitality industry, dynamics of growth, statistics.</w:t>
      </w:r>
    </w:p>
    <w:p w:rsidR="00517711" w:rsidRDefault="00517711">
      <w:pPr>
        <w:spacing w:after="0" w:line="240" w:lineRule="auto"/>
        <w:ind w:firstLine="709"/>
        <w:jc w:val="both"/>
        <w:rPr>
          <w:rFonts w:ascii="Times New Roman" w:hAnsi="Times New Roman"/>
          <w:sz w:val="24"/>
          <w:szCs w:val="24"/>
          <w:lang w:val="en-US"/>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Гостиничная индустрия представляет собой довольно мощную, одну из самых быстро развивающихся отраслей в мире. Изучение основных характеристик российского гостиничного рынка, прежде всего, позволяет говорить, что, начиная с 2004 г. в стране происходит рост количества коллективных средств размещения. Если </w:t>
      </w:r>
      <w:r>
        <w:rPr>
          <w:rFonts w:ascii="Times New Roman" w:hAnsi="Times New Roman" w:cs="Times New Roman"/>
          <w:sz w:val="20"/>
          <w:szCs w:val="20"/>
        </w:rPr>
        <w:lastRenderedPageBreak/>
        <w:t>в 2004 г. в Российской Федерации (РФ) насчитывалось 8 581 средство размещения, то к 2016 г. количество выросло до 20 023 средств размещения [4]. Прирост составил 11 442 средства размещения, что может быть связано с проведением в РФ крупнейших соревновательных мероприятий мира. Благодаря им, правительством были выделены средства на строительство современной инфраструктуры.</w:t>
      </w:r>
    </w:p>
    <w:p w:rsidR="00517711" w:rsidRDefault="00F815BE">
      <w:pPr>
        <w:spacing w:after="0" w:line="240" w:lineRule="auto"/>
        <w:ind w:firstLine="709"/>
        <w:jc w:val="both"/>
        <w:rPr>
          <w:rFonts w:ascii="Times New Roman" w:hAnsi="Times New Roman" w:cs="Times New Roman"/>
          <w:b/>
          <w:sz w:val="20"/>
          <w:szCs w:val="20"/>
        </w:rPr>
      </w:pPr>
      <w:r>
        <w:rPr>
          <w:rFonts w:ascii="Times New Roman" w:hAnsi="Times New Roman" w:cs="Times New Roman"/>
          <w:color w:val="000000" w:themeColor="text1"/>
          <w:sz w:val="20"/>
          <w:szCs w:val="20"/>
        </w:rPr>
        <w:t xml:space="preserve">В состав российской гостиничной индустрии входят разнообразные средства коллективного и </w:t>
      </w:r>
      <w:r>
        <w:rPr>
          <w:rFonts w:ascii="Times New Roman" w:hAnsi="Times New Roman" w:cs="Times New Roman"/>
          <w:sz w:val="20"/>
          <w:szCs w:val="20"/>
        </w:rPr>
        <w:t>индивидуального размещения: среди них гостиницы, мотели, молодёжные отели и общежития, апартаменты и т.д. рис</w:t>
      </w:r>
      <w:r>
        <w:rPr>
          <w:rFonts w:ascii="Times New Roman" w:hAnsi="Times New Roman" w:cs="Times New Roman"/>
          <w:sz w:val="20"/>
          <w:szCs w:val="20"/>
          <w:lang w:eastAsia="ru-RU"/>
        </w:rPr>
        <w:t xml:space="preserve">. </w:t>
      </w:r>
      <w:r>
        <w:rPr>
          <w:rFonts w:ascii="Times New Roman" w:hAnsi="Times New Roman" w:cs="Times New Roman"/>
          <w:sz w:val="20"/>
          <w:szCs w:val="20"/>
        </w:rPr>
        <w:t>1. [8 с. 24].</w:t>
      </w:r>
    </w:p>
    <w:p w:rsidR="00517711" w:rsidRDefault="00517711">
      <w:pPr>
        <w:spacing w:after="0" w:line="240" w:lineRule="auto"/>
        <w:jc w:val="center"/>
        <w:rPr>
          <w:rFonts w:ascii="Times New Roman" w:hAnsi="Times New Roman" w:cs="Times New Roman"/>
          <w:b/>
          <w:sz w:val="20"/>
          <w:szCs w:val="20"/>
        </w:rPr>
      </w:pPr>
    </w:p>
    <w:p w:rsidR="00517711" w:rsidRDefault="00F815BE">
      <w:pPr>
        <w:spacing w:after="0" w:line="240" w:lineRule="auto"/>
        <w:jc w:val="center"/>
        <w:rPr>
          <w:rFonts w:ascii="Times New Roman" w:hAnsi="Times New Roman" w:cs="Times New Roman"/>
          <w:b/>
          <w:sz w:val="20"/>
          <w:szCs w:val="20"/>
        </w:rPr>
      </w:pPr>
      <w:r>
        <w:rPr>
          <w:rFonts w:ascii="Times New Roman" w:hAnsi="Times New Roman" w:cs="Times New Roman"/>
          <w:b/>
          <w:noProof/>
          <w:sz w:val="20"/>
          <w:szCs w:val="20"/>
          <w:lang w:eastAsia="ru-RU"/>
        </w:rPr>
        <w:drawing>
          <wp:inline distT="0" distB="0" distL="0" distR="0">
            <wp:extent cx="5735318" cy="1781173"/>
            <wp:effectExtent l="0" t="0" r="0" b="0"/>
            <wp:docPr id="27"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Рис</w:t>
      </w:r>
      <w:r>
        <w:rPr>
          <w:rFonts w:ascii="Times New Roman" w:hAnsi="Times New Roman" w:cs="Times New Roman"/>
          <w:sz w:val="20"/>
          <w:szCs w:val="20"/>
          <w:lang w:eastAsia="ru-RU"/>
        </w:rPr>
        <w:t xml:space="preserve">. </w:t>
      </w:r>
      <w:r>
        <w:rPr>
          <w:rFonts w:ascii="Times New Roman" w:hAnsi="Times New Roman" w:cs="Times New Roman"/>
          <w:sz w:val="20"/>
          <w:szCs w:val="20"/>
        </w:rPr>
        <w:t>1. Структурное представление гостиничного рынка России [8 с. 24]</w:t>
      </w:r>
    </w:p>
    <w:p w:rsidR="00517711" w:rsidRDefault="00517711">
      <w:pPr>
        <w:spacing w:after="0" w:line="240" w:lineRule="auto"/>
        <w:ind w:firstLine="708"/>
        <w:jc w:val="both"/>
        <w:rPr>
          <w:rFonts w:ascii="Times New Roman" w:hAnsi="Times New Roman" w:cs="Times New Roman"/>
          <w:sz w:val="20"/>
          <w:szCs w:val="20"/>
        </w:rPr>
      </w:pP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Из рис. 1. следует, что почти половину всех средств размещения в нашей стране составляют гостиницы (44%). Они являются самым востребованным местом временного пребывания, как для иностранных, так и для российских туристов, особенно для тех, кто посещает тот или иной город страны с целями отдыха или ведения бизнеса. Для тех, кто въезжает в регион с целями оздоровительного, экологического, спортивного, охотничьего (рыболовного) и некоторых других видов туризма средствами размещения чаще служат соответственно санатории, пансионаты, мотели, хостелы, туристские базы и т.д.</w:t>
      </w:r>
    </w:p>
    <w:p w:rsidR="00517711" w:rsidRDefault="00F815BE">
      <w:pPr>
        <w:widowControl w:val="0"/>
        <w:spacing w:after="0" w:line="240" w:lineRule="auto"/>
        <w:ind w:firstLine="709"/>
        <w:jc w:val="both"/>
        <w:rPr>
          <w:rFonts w:ascii="Times New Roman" w:hAnsi="Times New Roman" w:cs="Times New Roman"/>
          <w:b/>
          <w:sz w:val="20"/>
          <w:szCs w:val="20"/>
        </w:rPr>
      </w:pPr>
      <w:r>
        <w:rPr>
          <w:rFonts w:ascii="Times New Roman" w:hAnsi="Times New Roman" w:cs="Times New Roman"/>
          <w:sz w:val="20"/>
          <w:szCs w:val="20"/>
        </w:rPr>
        <w:t xml:space="preserve">По официальным данным в России в 2017 г. классифицировано 11 172 средств размещения и это положительная тенденция по отношению к проведению классификации гостиничных предприятий, причиной которой стало предписание Министерства культуры </w:t>
      </w:r>
      <w:r>
        <w:rPr>
          <w:rFonts w:ascii="Times New Roman" w:hAnsi="Times New Roman" w:cs="Times New Roman"/>
          <w:spacing w:val="1"/>
          <w:sz w:val="20"/>
          <w:szCs w:val="20"/>
          <w:shd w:val="clear" w:color="auto" w:fill="FFFFFF"/>
        </w:rPr>
        <w:t>[10]</w:t>
      </w:r>
      <w:r>
        <w:rPr>
          <w:rFonts w:ascii="Times New Roman" w:hAnsi="Times New Roman" w:cs="Times New Roman"/>
          <w:sz w:val="20"/>
          <w:szCs w:val="20"/>
        </w:rPr>
        <w:t>.</w:t>
      </w:r>
      <w:r>
        <w:rPr>
          <w:rFonts w:ascii="Times New Roman" w:hAnsi="Times New Roman" w:cs="Times New Roman"/>
          <w:spacing w:val="1"/>
          <w:sz w:val="20"/>
          <w:szCs w:val="20"/>
          <w:shd w:val="clear" w:color="auto" w:fill="FFFFFF"/>
        </w:rPr>
        <w:t xml:space="preserve"> </w:t>
      </w:r>
      <w:r>
        <w:rPr>
          <w:rFonts w:ascii="Times New Roman" w:hAnsi="Times New Roman" w:cs="Times New Roman"/>
          <w:sz w:val="20"/>
          <w:szCs w:val="20"/>
        </w:rPr>
        <w:t xml:space="preserve">Последствием данной меры должен стать ряд положительных результатов: повышение качества, предоставляемых гостиничными предприятиями услуг; </w:t>
      </w:r>
      <w:r>
        <w:rPr>
          <w:rFonts w:ascii="Times New Roman" w:hAnsi="Times New Roman" w:cs="Times New Roman"/>
          <w:spacing w:val="1"/>
          <w:sz w:val="20"/>
          <w:szCs w:val="20"/>
          <w:shd w:val="clear" w:color="auto" w:fill="FFFFFF"/>
        </w:rPr>
        <w:t>предоставление потребителям достоверной информации, а также укрепление доверия, о соответствии гостиничного предприятия заявленной категории.</w:t>
      </w:r>
    </w:p>
    <w:p w:rsidR="00517711" w:rsidRDefault="00F815BE">
      <w:pPr>
        <w:spacing w:after="0" w:line="240" w:lineRule="auto"/>
        <w:ind w:firstLine="709"/>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Если рассматривать динамику роста коллективных средств размещения по федеральным округам, то лидерами являются ЦФО и ЮФО рис. 2 </w:t>
      </w:r>
      <w:r>
        <w:rPr>
          <w:rFonts w:ascii="Times New Roman" w:hAnsi="Times New Roman" w:cs="Times New Roman"/>
          <w:sz w:val="20"/>
          <w:szCs w:val="20"/>
        </w:rPr>
        <w:t>[3]</w:t>
      </w:r>
      <w:r>
        <w:rPr>
          <w:rFonts w:ascii="Times New Roman" w:hAnsi="Times New Roman" w:cs="Times New Roman"/>
          <w:sz w:val="20"/>
          <w:szCs w:val="20"/>
          <w:lang w:eastAsia="ru-RU"/>
        </w:rPr>
        <w:t>.</w:t>
      </w:r>
    </w:p>
    <w:p w:rsidR="00517711" w:rsidRDefault="00F815BE">
      <w:pPr>
        <w:spacing w:after="0" w:line="240" w:lineRule="auto"/>
        <w:jc w:val="center"/>
        <w:rPr>
          <w:rFonts w:ascii="Times New Roman" w:hAnsi="Times New Roman" w:cs="Times New Roman"/>
          <w:sz w:val="20"/>
          <w:szCs w:val="20"/>
          <w:lang w:eastAsia="ru-RU"/>
        </w:rPr>
      </w:pPr>
      <w:r>
        <w:rPr>
          <w:rFonts w:ascii="Times New Roman" w:hAnsi="Times New Roman" w:cs="Times New Roman"/>
          <w:noProof/>
          <w:sz w:val="20"/>
          <w:szCs w:val="20"/>
          <w:lang w:eastAsia="ru-RU"/>
        </w:rPr>
        <w:drawing>
          <wp:inline distT="0" distB="0" distL="0" distR="0">
            <wp:extent cx="5848348" cy="2228850"/>
            <wp:effectExtent l="0" t="0" r="0" b="0"/>
            <wp:docPr id="28"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517711" w:rsidRDefault="00F815BE">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 xml:space="preserve">Рис. 2. Динамика роста коллективных средств размещения по округам </w:t>
      </w:r>
      <w:r>
        <w:rPr>
          <w:rFonts w:ascii="Times New Roman" w:hAnsi="Times New Roman" w:cs="Times New Roman"/>
          <w:sz w:val="20"/>
          <w:szCs w:val="20"/>
        </w:rPr>
        <w:t>[3]</w:t>
      </w:r>
    </w:p>
    <w:p w:rsidR="00517711" w:rsidRDefault="00517711">
      <w:pPr>
        <w:spacing w:after="0" w:line="240" w:lineRule="auto"/>
        <w:ind w:firstLine="708"/>
        <w:jc w:val="both"/>
        <w:rPr>
          <w:rFonts w:ascii="Times New Roman" w:hAnsi="Times New Roman" w:cs="Times New Roman"/>
          <w:sz w:val="20"/>
          <w:szCs w:val="20"/>
          <w:lang w:eastAsia="ru-RU"/>
        </w:rPr>
      </w:pPr>
    </w:p>
    <w:p w:rsidR="00517711" w:rsidRDefault="00F815BE">
      <w:pPr>
        <w:spacing w:after="0" w:line="240" w:lineRule="auto"/>
        <w:ind w:firstLine="708"/>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Несмотря на представленную в рис. 2. положительную динамику, в настоящее время на долю рынка гостиничных услуг России приходится немногим более 1% от международного рынка [11 с. 132]. </w:t>
      </w:r>
    </w:p>
    <w:p w:rsidR="00517711" w:rsidRDefault="00F815BE">
      <w:pPr>
        <w:pStyle w:val="af6"/>
        <w:spacing w:before="0" w:beforeAutospacing="0" w:after="0" w:afterAutospacing="0"/>
        <w:ind w:firstLine="709"/>
        <w:jc w:val="both"/>
        <w:rPr>
          <w:sz w:val="20"/>
          <w:szCs w:val="20"/>
        </w:rPr>
      </w:pPr>
      <w:r>
        <w:rPr>
          <w:sz w:val="20"/>
          <w:szCs w:val="20"/>
        </w:rPr>
        <w:t>Для российского рынка характерны четко выраженные функциональные и пространственные особенности развития. Ключевыми центрами являются столичные города. Так, на долю Москвы приходится более 50% объема качественного номерного фонда РФ.</w:t>
      </w:r>
    </w:p>
    <w:p w:rsidR="00517711" w:rsidRDefault="00F815BE">
      <w:pPr>
        <w:pStyle w:val="af6"/>
        <w:spacing w:before="0" w:beforeAutospacing="0" w:after="0" w:afterAutospacing="0"/>
        <w:ind w:firstLine="709"/>
        <w:jc w:val="both"/>
        <w:rPr>
          <w:sz w:val="20"/>
          <w:szCs w:val="20"/>
        </w:rPr>
      </w:pPr>
      <w:r>
        <w:rPr>
          <w:sz w:val="20"/>
          <w:szCs w:val="20"/>
        </w:rPr>
        <w:t>Рассмотрим основные характеристики гостиничного рынка Дальневосточного федерального округа (ДВФО) и Приморского края в сопоставлении с российскими значениями.</w:t>
      </w:r>
    </w:p>
    <w:p w:rsidR="00517711" w:rsidRDefault="00F815BE">
      <w:pPr>
        <w:pStyle w:val="af6"/>
        <w:spacing w:before="0" w:beforeAutospacing="0" w:after="0" w:afterAutospacing="0"/>
        <w:ind w:firstLine="709"/>
        <w:jc w:val="both"/>
        <w:rPr>
          <w:sz w:val="20"/>
          <w:szCs w:val="20"/>
        </w:rPr>
      </w:pPr>
      <w:r>
        <w:rPr>
          <w:sz w:val="20"/>
          <w:szCs w:val="20"/>
        </w:rPr>
        <w:t>Динамика количества средств размещения ДВФО была положительной в период 2010-2015 гг., в 2016 г. можно констатировать небольшое снижение этого показателя табл. 1. [2].</w:t>
      </w:r>
    </w:p>
    <w:p w:rsidR="00517711" w:rsidRDefault="00F815BE">
      <w:pPr>
        <w:pStyle w:val="af6"/>
        <w:spacing w:before="120" w:beforeAutospacing="0" w:after="0" w:afterAutospacing="0"/>
        <w:jc w:val="right"/>
        <w:rPr>
          <w:i/>
          <w:sz w:val="20"/>
          <w:szCs w:val="20"/>
        </w:rPr>
      </w:pPr>
      <w:r>
        <w:rPr>
          <w:i/>
          <w:sz w:val="20"/>
          <w:szCs w:val="20"/>
        </w:rPr>
        <w:lastRenderedPageBreak/>
        <w:t>Таблица 1</w:t>
      </w:r>
    </w:p>
    <w:p w:rsidR="00517711" w:rsidRDefault="00F815BE">
      <w:pPr>
        <w:pStyle w:val="af6"/>
        <w:spacing w:before="0" w:beforeAutospacing="0" w:after="0" w:afterAutospacing="0"/>
        <w:jc w:val="center"/>
        <w:rPr>
          <w:b/>
          <w:sz w:val="20"/>
          <w:szCs w:val="20"/>
        </w:rPr>
      </w:pPr>
      <w:r>
        <w:rPr>
          <w:b/>
          <w:sz w:val="20"/>
          <w:szCs w:val="20"/>
        </w:rPr>
        <w:t>Динамика роста коллективных средств размещения ДВФО и Приморского края</w:t>
      </w:r>
    </w:p>
    <w:p w:rsidR="00517711" w:rsidRDefault="00517711">
      <w:pPr>
        <w:pStyle w:val="af6"/>
        <w:spacing w:before="0" w:beforeAutospacing="0" w:after="0" w:afterAutospacing="0"/>
        <w:rPr>
          <w:b/>
          <w:sz w:val="20"/>
          <w:szCs w:val="20"/>
        </w:rPr>
      </w:pPr>
    </w:p>
    <w:tbl>
      <w:tblPr>
        <w:tblStyle w:val="af1"/>
        <w:tblW w:w="0" w:type="auto"/>
        <w:tblLook w:val="04A0" w:firstRow="1" w:lastRow="0" w:firstColumn="1" w:lastColumn="0" w:noHBand="0" w:noVBand="1"/>
      </w:tblPr>
      <w:tblGrid>
        <w:gridCol w:w="2055"/>
        <w:gridCol w:w="1115"/>
        <w:gridCol w:w="1114"/>
        <w:gridCol w:w="1114"/>
        <w:gridCol w:w="1114"/>
        <w:gridCol w:w="1114"/>
        <w:gridCol w:w="1114"/>
        <w:gridCol w:w="1114"/>
      </w:tblGrid>
      <w:tr w:rsidR="00517711">
        <w:trPr>
          <w:trHeight w:val="397"/>
        </w:trPr>
        <w:tc>
          <w:tcPr>
            <w:tcW w:w="2055" w:type="dxa"/>
            <w:vAlign w:val="center"/>
          </w:tcPr>
          <w:p w:rsidR="00517711" w:rsidRDefault="00F815BE">
            <w:pPr>
              <w:pStyle w:val="af6"/>
              <w:spacing w:before="0" w:beforeAutospacing="0" w:after="0" w:afterAutospacing="0"/>
              <w:jc w:val="center"/>
              <w:rPr>
                <w:sz w:val="20"/>
                <w:szCs w:val="20"/>
              </w:rPr>
            </w:pPr>
            <w:r>
              <w:rPr>
                <w:bCs/>
                <w:sz w:val="20"/>
                <w:szCs w:val="20"/>
              </w:rPr>
              <w:t>Наименование</w:t>
            </w:r>
          </w:p>
        </w:tc>
        <w:tc>
          <w:tcPr>
            <w:tcW w:w="1115" w:type="dxa"/>
            <w:vAlign w:val="center"/>
          </w:tcPr>
          <w:p w:rsidR="00517711" w:rsidRDefault="00F815BE">
            <w:pPr>
              <w:pStyle w:val="af6"/>
              <w:spacing w:before="0" w:beforeAutospacing="0" w:after="0" w:afterAutospacing="0"/>
              <w:jc w:val="center"/>
              <w:rPr>
                <w:sz w:val="20"/>
                <w:szCs w:val="20"/>
              </w:rPr>
            </w:pPr>
            <w:r>
              <w:rPr>
                <w:sz w:val="20"/>
                <w:szCs w:val="20"/>
              </w:rPr>
              <w:t>2010</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2011</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2012</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2013</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2014</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2015</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2016</w:t>
            </w:r>
          </w:p>
        </w:tc>
      </w:tr>
      <w:tr w:rsidR="00517711">
        <w:trPr>
          <w:trHeight w:val="397"/>
        </w:trPr>
        <w:tc>
          <w:tcPr>
            <w:tcW w:w="2055" w:type="dxa"/>
            <w:vAlign w:val="center"/>
          </w:tcPr>
          <w:p w:rsidR="00517711" w:rsidRDefault="00F815BE">
            <w:pPr>
              <w:pStyle w:val="af6"/>
              <w:spacing w:before="0" w:beforeAutospacing="0" w:after="0" w:afterAutospacing="0"/>
              <w:rPr>
                <w:sz w:val="20"/>
                <w:szCs w:val="20"/>
              </w:rPr>
            </w:pPr>
            <w:r>
              <w:rPr>
                <w:sz w:val="20"/>
                <w:szCs w:val="20"/>
              </w:rPr>
              <w:t xml:space="preserve">Российская </w:t>
            </w:r>
          </w:p>
          <w:p w:rsidR="00517711" w:rsidRDefault="00F815BE">
            <w:pPr>
              <w:pStyle w:val="af6"/>
              <w:spacing w:before="0" w:beforeAutospacing="0" w:after="0" w:afterAutospacing="0"/>
              <w:rPr>
                <w:sz w:val="20"/>
                <w:szCs w:val="20"/>
              </w:rPr>
            </w:pPr>
            <w:r>
              <w:rPr>
                <w:sz w:val="20"/>
                <w:szCs w:val="20"/>
              </w:rPr>
              <w:t>Федерация</w:t>
            </w:r>
          </w:p>
        </w:tc>
        <w:tc>
          <w:tcPr>
            <w:tcW w:w="1115" w:type="dxa"/>
            <w:vAlign w:val="center"/>
          </w:tcPr>
          <w:p w:rsidR="00517711" w:rsidRDefault="00F815BE">
            <w:pPr>
              <w:pStyle w:val="af6"/>
              <w:spacing w:before="0" w:beforeAutospacing="0" w:after="0" w:afterAutospacing="0"/>
              <w:jc w:val="center"/>
              <w:rPr>
                <w:sz w:val="20"/>
                <w:szCs w:val="20"/>
              </w:rPr>
            </w:pPr>
            <w:r>
              <w:rPr>
                <w:sz w:val="20"/>
                <w:szCs w:val="20"/>
              </w:rPr>
              <w:t>12 585</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13 062</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14 019</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14 583</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15 590</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20 135</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20 023</w:t>
            </w:r>
          </w:p>
        </w:tc>
      </w:tr>
      <w:tr w:rsidR="00517711">
        <w:trPr>
          <w:trHeight w:val="397"/>
        </w:trPr>
        <w:tc>
          <w:tcPr>
            <w:tcW w:w="2055" w:type="dxa"/>
            <w:vAlign w:val="center"/>
          </w:tcPr>
          <w:p w:rsidR="00517711" w:rsidRDefault="00F815BE">
            <w:pPr>
              <w:pStyle w:val="af6"/>
              <w:spacing w:before="0" w:beforeAutospacing="0" w:after="0" w:afterAutospacing="0"/>
              <w:rPr>
                <w:sz w:val="20"/>
                <w:szCs w:val="20"/>
              </w:rPr>
            </w:pPr>
            <w:r>
              <w:rPr>
                <w:sz w:val="20"/>
                <w:szCs w:val="20"/>
              </w:rPr>
              <w:t>Дальневосточный федеральный округ</w:t>
            </w:r>
          </w:p>
        </w:tc>
        <w:tc>
          <w:tcPr>
            <w:tcW w:w="1115" w:type="dxa"/>
            <w:vAlign w:val="center"/>
          </w:tcPr>
          <w:p w:rsidR="00517711" w:rsidRDefault="00F815BE">
            <w:pPr>
              <w:pStyle w:val="af6"/>
              <w:spacing w:before="0" w:beforeAutospacing="0" w:after="0" w:afterAutospacing="0"/>
              <w:jc w:val="center"/>
              <w:rPr>
                <w:sz w:val="20"/>
                <w:szCs w:val="20"/>
              </w:rPr>
            </w:pPr>
            <w:r>
              <w:rPr>
                <w:sz w:val="20"/>
                <w:szCs w:val="20"/>
              </w:rPr>
              <w:t>891</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970</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1 001</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1 038</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1 084</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1 168</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1 120</w:t>
            </w:r>
          </w:p>
        </w:tc>
      </w:tr>
      <w:tr w:rsidR="00517711">
        <w:trPr>
          <w:trHeight w:val="397"/>
        </w:trPr>
        <w:tc>
          <w:tcPr>
            <w:tcW w:w="2055" w:type="dxa"/>
            <w:vAlign w:val="center"/>
          </w:tcPr>
          <w:p w:rsidR="00517711" w:rsidRDefault="00F815BE">
            <w:pPr>
              <w:pStyle w:val="af6"/>
              <w:spacing w:before="0" w:beforeAutospacing="0" w:after="0" w:afterAutospacing="0"/>
              <w:rPr>
                <w:sz w:val="20"/>
                <w:szCs w:val="20"/>
              </w:rPr>
            </w:pPr>
            <w:r>
              <w:rPr>
                <w:sz w:val="20"/>
                <w:szCs w:val="20"/>
              </w:rPr>
              <w:t>Приморский край</w:t>
            </w:r>
          </w:p>
        </w:tc>
        <w:tc>
          <w:tcPr>
            <w:tcW w:w="1115" w:type="dxa"/>
            <w:vAlign w:val="center"/>
          </w:tcPr>
          <w:p w:rsidR="00517711" w:rsidRDefault="00F815BE">
            <w:pPr>
              <w:pStyle w:val="af6"/>
              <w:spacing w:before="0" w:beforeAutospacing="0" w:after="0" w:afterAutospacing="0"/>
              <w:jc w:val="center"/>
              <w:rPr>
                <w:sz w:val="20"/>
                <w:szCs w:val="20"/>
              </w:rPr>
            </w:pPr>
            <w:r>
              <w:rPr>
                <w:sz w:val="20"/>
                <w:szCs w:val="20"/>
              </w:rPr>
              <w:t>312</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368</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360</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347</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379</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422</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292</w:t>
            </w:r>
          </w:p>
        </w:tc>
      </w:tr>
    </w:tbl>
    <w:p w:rsidR="00517711" w:rsidRDefault="00517711">
      <w:pPr>
        <w:pStyle w:val="af6"/>
        <w:spacing w:before="0" w:beforeAutospacing="0" w:after="0" w:afterAutospacing="0"/>
        <w:ind w:firstLine="709"/>
        <w:jc w:val="both"/>
        <w:rPr>
          <w:sz w:val="20"/>
          <w:szCs w:val="20"/>
        </w:rPr>
      </w:pPr>
    </w:p>
    <w:p w:rsidR="00517711" w:rsidRDefault="00F815BE">
      <w:pPr>
        <w:pStyle w:val="af6"/>
        <w:spacing w:before="0" w:beforeAutospacing="0" w:after="0" w:afterAutospacing="0"/>
        <w:ind w:firstLine="709"/>
        <w:jc w:val="both"/>
        <w:rPr>
          <w:sz w:val="20"/>
          <w:szCs w:val="20"/>
        </w:rPr>
      </w:pPr>
      <w:r>
        <w:rPr>
          <w:sz w:val="20"/>
          <w:szCs w:val="20"/>
        </w:rPr>
        <w:t>Также, табл. 1. показывает следующую ситуацию с изменением количества средств размещения в Приморском крае, в течение рассматриваемого периода динамика была нестабильна: 2010-2011 гг. – происходит рост средств размещения, 2012-2013 гг. – снижение, 2014-2015 гг. – рост, в 2016 г. происходит резкое снижение [2].</w:t>
      </w:r>
    </w:p>
    <w:p w:rsidR="00517711" w:rsidRDefault="00F815BE">
      <w:pPr>
        <w:pStyle w:val="af6"/>
        <w:spacing w:before="0" w:beforeAutospacing="0" w:after="0" w:afterAutospacing="0"/>
        <w:ind w:firstLine="708"/>
        <w:jc w:val="both"/>
        <w:rPr>
          <w:sz w:val="20"/>
          <w:szCs w:val="20"/>
        </w:rPr>
      </w:pPr>
      <w:r>
        <w:rPr>
          <w:sz w:val="20"/>
          <w:szCs w:val="20"/>
        </w:rPr>
        <w:t>Несмотря на негативные тенденции, связанные с сокращением количества средств размещения в ДВФО и Приморском крае, можно говорить об увеличении численности размещенных лиц в коллективных средствах размещения.</w:t>
      </w:r>
    </w:p>
    <w:p w:rsidR="00517711" w:rsidRDefault="00F815BE">
      <w:pPr>
        <w:pStyle w:val="af6"/>
        <w:spacing w:before="0" w:beforeAutospacing="0" w:after="0" w:afterAutospacing="0"/>
        <w:ind w:firstLine="708"/>
        <w:jc w:val="both"/>
        <w:rPr>
          <w:sz w:val="20"/>
          <w:szCs w:val="20"/>
        </w:rPr>
      </w:pPr>
      <w:r>
        <w:rPr>
          <w:sz w:val="20"/>
          <w:szCs w:val="20"/>
        </w:rPr>
        <w:t>В России за 2010-2016 г. наблюдался стабильный рост лиц, размещенных в коллективных средствах размещения с 34 до 54 млн. чел. Последние положительные скачки на три, а затем еще на пять млн. чел., вероятно связаны с упавшим почти в два раза курсом рубля в 2015 г. благодаря чему возрос поток иностранных туристов.</w:t>
      </w:r>
    </w:p>
    <w:p w:rsidR="00517711" w:rsidRDefault="00F815BE">
      <w:pPr>
        <w:pStyle w:val="af6"/>
        <w:spacing w:before="0" w:beforeAutospacing="0" w:after="0" w:afterAutospacing="0"/>
        <w:ind w:firstLine="708"/>
        <w:jc w:val="both"/>
        <w:rPr>
          <w:sz w:val="20"/>
          <w:szCs w:val="20"/>
        </w:rPr>
      </w:pPr>
      <w:r>
        <w:rPr>
          <w:sz w:val="20"/>
          <w:szCs w:val="20"/>
        </w:rPr>
        <w:t>В ДВФО за тот же период не наблюдается резких изменений, но можно увидеть незначительный рост количества размещенных лиц с 2 176 млн. чел. до 2 555 млн. чел. [12].</w:t>
      </w:r>
    </w:p>
    <w:p w:rsidR="00517711" w:rsidRDefault="00F815BE">
      <w:pPr>
        <w:pStyle w:val="af6"/>
        <w:spacing w:before="0" w:beforeAutospacing="0" w:after="0" w:afterAutospacing="0"/>
        <w:ind w:firstLine="708"/>
        <w:jc w:val="both"/>
        <w:rPr>
          <w:sz w:val="20"/>
          <w:szCs w:val="20"/>
        </w:rPr>
      </w:pPr>
      <w:r>
        <w:rPr>
          <w:sz w:val="20"/>
          <w:szCs w:val="20"/>
        </w:rPr>
        <w:t>В Приморском крае за 2010-2014 г. наблюдался постепенный спад с 914 до 752 тыс. чел., а за 2015-2016 гг. постепенное увеличение с 958 до 1 098 тыс. чел. Рост потока туристов в 2015 г. можно также, как и рост количества гостиниц, связать с проведением Восточного экономического форума. Это подтверждает рост количества бизнес туристов. Пробудившаяся в иностранных гостях заинтересованность к перспективам данного региона спровоцировала рост размещенных лиц [12].</w:t>
      </w:r>
    </w:p>
    <w:p w:rsidR="00517711" w:rsidRDefault="00F815BE">
      <w:pPr>
        <w:pStyle w:val="af6"/>
        <w:spacing w:before="0" w:beforeAutospacing="0" w:after="0" w:afterAutospacing="0"/>
        <w:ind w:firstLine="708"/>
        <w:jc w:val="both"/>
        <w:rPr>
          <w:sz w:val="20"/>
          <w:szCs w:val="20"/>
        </w:rPr>
      </w:pPr>
      <w:r>
        <w:rPr>
          <w:sz w:val="20"/>
          <w:szCs w:val="20"/>
        </w:rPr>
        <w:t>В целом, можно увидеть положительную тенденцию в количестве размещенных лиц в коллективных средства размещения.</w:t>
      </w:r>
    </w:p>
    <w:p w:rsidR="00517711" w:rsidRDefault="00F815BE">
      <w:pPr>
        <w:pStyle w:val="af6"/>
        <w:spacing w:before="0" w:beforeAutospacing="0" w:after="0" w:afterAutospacing="0"/>
        <w:ind w:firstLine="709"/>
        <w:jc w:val="both"/>
        <w:rPr>
          <w:sz w:val="20"/>
          <w:szCs w:val="20"/>
        </w:rPr>
      </w:pPr>
      <w:r>
        <w:rPr>
          <w:sz w:val="20"/>
          <w:szCs w:val="20"/>
        </w:rPr>
        <w:t>Доходы коллективных средств размещения РФ по итогам 2016 г. составили 418,4 млн.руб., а темп прироста – 12,8% [6]. При этом, если говорить о главном лидере предоставления гостиничных услуг в России – Москве, то на ее долю приходится также наибольший процент выручки от оказания услуг по размещению – почти 25%. Падение рубля сыграло не маловажную роль и позволило привлечь интерес иностранных туристов, для которых отдых в России значительно подешевел.</w:t>
      </w:r>
    </w:p>
    <w:p w:rsidR="00517711" w:rsidRDefault="00F815BE">
      <w:pPr>
        <w:spacing w:after="0" w:line="240" w:lineRule="auto"/>
        <w:ind w:firstLine="709"/>
        <w:jc w:val="both"/>
        <w:rPr>
          <w:rFonts w:ascii="Times New Roman" w:hAnsi="Times New Roman" w:cs="Times New Roman"/>
          <w:bCs/>
          <w:sz w:val="20"/>
          <w:szCs w:val="20"/>
          <w:lang w:eastAsia="ru-RU"/>
        </w:rPr>
      </w:pPr>
      <w:r>
        <w:rPr>
          <w:rFonts w:ascii="Times New Roman" w:hAnsi="Times New Roman" w:cs="Times New Roman"/>
          <w:bCs/>
          <w:sz w:val="20"/>
          <w:szCs w:val="20"/>
          <w:lang w:eastAsia="ru-RU"/>
        </w:rPr>
        <w:t>Что касается доходов, которые были получены средствами размещения округа и края, то можно говорить о положительной динамике в период 2010-2016 гг.</w:t>
      </w:r>
    </w:p>
    <w:p w:rsidR="00517711" w:rsidRDefault="00F815BE">
      <w:pPr>
        <w:spacing w:after="0" w:line="240" w:lineRule="auto"/>
        <w:ind w:firstLine="709"/>
        <w:jc w:val="both"/>
        <w:rPr>
          <w:rFonts w:ascii="Times New Roman" w:hAnsi="Times New Roman" w:cs="Times New Roman"/>
          <w:bCs/>
          <w:sz w:val="20"/>
          <w:szCs w:val="20"/>
          <w:lang w:eastAsia="ru-RU"/>
        </w:rPr>
      </w:pPr>
      <w:r>
        <w:rPr>
          <w:rFonts w:ascii="Times New Roman" w:hAnsi="Times New Roman" w:cs="Times New Roman"/>
          <w:bCs/>
          <w:sz w:val="20"/>
          <w:szCs w:val="20"/>
          <w:lang w:eastAsia="ru-RU"/>
        </w:rPr>
        <w:t>В ДВФО доход среднего средства размещения к 2016 г. поднялся на 42% по отношению к показателю 2010 г. и составил 14 153 млн. руб.</w:t>
      </w:r>
      <w:r>
        <w:rPr>
          <w:rFonts w:ascii="Times New Roman" w:hAnsi="Times New Roman" w:cs="Times New Roman"/>
          <w:sz w:val="20"/>
          <w:szCs w:val="20"/>
        </w:rPr>
        <w:t xml:space="preserve"> </w:t>
      </w:r>
      <w:r>
        <w:rPr>
          <w:rFonts w:ascii="Times New Roman" w:hAnsi="Times New Roman" w:cs="Times New Roman"/>
          <w:bCs/>
          <w:sz w:val="20"/>
          <w:szCs w:val="20"/>
          <w:lang w:eastAsia="ru-RU"/>
        </w:rPr>
        <w:t>[7].</w:t>
      </w:r>
    </w:p>
    <w:p w:rsidR="00517711" w:rsidRDefault="00F815BE">
      <w:pPr>
        <w:spacing w:after="0" w:line="240" w:lineRule="auto"/>
        <w:ind w:firstLine="709"/>
        <w:jc w:val="both"/>
        <w:rPr>
          <w:rFonts w:ascii="Times New Roman" w:hAnsi="Times New Roman" w:cs="Times New Roman"/>
          <w:bCs/>
          <w:sz w:val="20"/>
          <w:szCs w:val="20"/>
          <w:lang w:eastAsia="ru-RU"/>
        </w:rPr>
      </w:pPr>
      <w:r>
        <w:rPr>
          <w:rFonts w:ascii="Times New Roman" w:hAnsi="Times New Roman" w:cs="Times New Roman"/>
          <w:bCs/>
          <w:sz w:val="20"/>
          <w:szCs w:val="20"/>
          <w:lang w:eastAsia="ru-RU"/>
        </w:rPr>
        <w:t>В Приморском крае за тот же период доход поднялся на47%, и сумма составила 5 277 млн. руб.</w:t>
      </w:r>
      <w:r>
        <w:rPr>
          <w:rFonts w:ascii="Times New Roman" w:hAnsi="Times New Roman" w:cs="Times New Roman"/>
          <w:sz w:val="20"/>
          <w:szCs w:val="20"/>
        </w:rPr>
        <w:t xml:space="preserve"> [7].</w:t>
      </w:r>
    </w:p>
    <w:p w:rsidR="00517711" w:rsidRDefault="00F815BE">
      <w:pPr>
        <w:pStyle w:val="af6"/>
        <w:spacing w:before="0" w:beforeAutospacing="0" w:after="0" w:afterAutospacing="0"/>
        <w:ind w:firstLine="709"/>
        <w:jc w:val="both"/>
        <w:rPr>
          <w:sz w:val="20"/>
          <w:szCs w:val="20"/>
        </w:rPr>
      </w:pPr>
      <w:r>
        <w:rPr>
          <w:sz w:val="20"/>
          <w:szCs w:val="20"/>
        </w:rPr>
        <w:t xml:space="preserve">Также следует сказать, что анализ данных доходов средств размещения Приморского </w:t>
      </w:r>
    </w:p>
    <w:p w:rsidR="00517711" w:rsidRDefault="00F815BE">
      <w:pPr>
        <w:pStyle w:val="af6"/>
        <w:spacing w:before="0" w:beforeAutospacing="0" w:after="0" w:afterAutospacing="0"/>
        <w:jc w:val="both"/>
        <w:rPr>
          <w:sz w:val="20"/>
          <w:szCs w:val="20"/>
        </w:rPr>
      </w:pPr>
      <w:r>
        <w:rPr>
          <w:sz w:val="20"/>
          <w:szCs w:val="20"/>
        </w:rPr>
        <w:t>края не соответствует запланированным Государственной программой «О государственной программе Приморского края «</w:t>
      </w:r>
      <w:r>
        <w:rPr>
          <w:bCs/>
          <w:sz w:val="20"/>
          <w:szCs w:val="20"/>
        </w:rPr>
        <w:t>Развитие туризма в Приморском крае</w:t>
      </w:r>
      <w:r>
        <w:rPr>
          <w:sz w:val="20"/>
          <w:szCs w:val="20"/>
        </w:rPr>
        <w:t>» на 2013-2020 годы» показателям [1]. В период 2011-2013 гг. наблюдалось превышение запланированных показателей до 16%, но в период 2014-2016 гг. наблюдается спад до 31% [5].</w:t>
      </w:r>
    </w:p>
    <w:p w:rsidR="00517711" w:rsidRDefault="00F815BE">
      <w:pPr>
        <w:spacing w:after="0" w:line="240" w:lineRule="auto"/>
        <w:ind w:firstLine="709"/>
        <w:jc w:val="both"/>
        <w:rPr>
          <w:rFonts w:ascii="Times New Roman" w:hAnsi="Times New Roman" w:cs="Times New Roman"/>
          <w:bCs/>
          <w:sz w:val="20"/>
          <w:szCs w:val="20"/>
          <w:lang w:eastAsia="ru-RU"/>
        </w:rPr>
      </w:pPr>
      <w:r>
        <w:rPr>
          <w:rFonts w:ascii="Times New Roman" w:hAnsi="Times New Roman" w:cs="Times New Roman"/>
          <w:bCs/>
          <w:sz w:val="20"/>
          <w:szCs w:val="20"/>
          <w:lang w:eastAsia="ru-RU"/>
        </w:rPr>
        <w:t xml:space="preserve">Владивосток </w:t>
      </w:r>
      <w:r>
        <w:rPr>
          <w:rFonts w:ascii="Times New Roman" w:hAnsi="Times New Roman" w:cs="Times New Roman"/>
          <w:sz w:val="20"/>
          <w:szCs w:val="20"/>
        </w:rPr>
        <w:t>– по</w:t>
      </w:r>
      <w:r>
        <w:rPr>
          <w:rFonts w:ascii="Times New Roman" w:hAnsi="Times New Roman" w:cs="Times New Roman"/>
          <w:bCs/>
          <w:sz w:val="20"/>
          <w:szCs w:val="20"/>
          <w:lang w:eastAsia="ru-RU"/>
        </w:rPr>
        <w:t>мимо того, что является административным центром Приморского края, так же является политическим, экономическим и культурным центром региона с наибольшей концентрацией гостиничных предприятий.</w:t>
      </w:r>
    </w:p>
    <w:p w:rsidR="00517711" w:rsidRDefault="00F815BE">
      <w:pPr>
        <w:spacing w:after="0" w:line="240" w:lineRule="auto"/>
        <w:ind w:firstLine="709"/>
        <w:jc w:val="both"/>
        <w:rPr>
          <w:rFonts w:ascii="Times New Roman" w:hAnsi="Times New Roman" w:cs="Times New Roman"/>
          <w:bCs/>
          <w:sz w:val="20"/>
          <w:szCs w:val="20"/>
          <w:lang w:eastAsia="ru-RU"/>
        </w:rPr>
      </w:pPr>
      <w:r>
        <w:rPr>
          <w:rFonts w:ascii="Times New Roman" w:hAnsi="Times New Roman" w:cs="Times New Roman"/>
          <w:bCs/>
          <w:sz w:val="20"/>
          <w:szCs w:val="20"/>
          <w:lang w:eastAsia="ru-RU"/>
        </w:rPr>
        <w:t>Из анализа данных по показателям деятельности средств размещения г. Владивостока за 2014-2016 гг., можно сказать, что число коллективных средств размещения резко выросло с 39 до 116 средств размещения, причем резкий скачок наблюдается именно в 2016 г., причиной этому послужило увеличение потока иностранных туристов, в частности из азиатских стран. Если в 2014 коллективные средства размещения приняли 239 641 чел., то в 2016 году их количество составило 602 522 чел.</w:t>
      </w:r>
      <w:r>
        <w:rPr>
          <w:rFonts w:ascii="Times New Roman" w:hAnsi="Times New Roman" w:cs="Times New Roman"/>
          <w:sz w:val="20"/>
          <w:szCs w:val="20"/>
        </w:rPr>
        <w:t xml:space="preserve"> [9].</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Подводя итог, можно говорить, что на фоне роста среднероссийских показателей деятельности средств размещения, данные ДВФО по количеству средств размещения и численности размещенных лиц в коллективных средствах размещения и экономическим показателям демонстрируют негативную тенденцию. В тоже время если рассматривать показатели Приморского края в масштабах ДВФО, то можно увидеть, что многие показатели Приморского края занимают значительную часть в показателях ДВФО, тому имеется ряд причин. В последние годы Приморский край, в частности г. Владивосток, становился центром многих культурных и экономических мероприятий: </w:t>
      </w:r>
      <w:r>
        <w:rPr>
          <w:rStyle w:val="af8"/>
          <w:rFonts w:ascii="Times New Roman" w:hAnsi="Times New Roman"/>
          <w:sz w:val="20"/>
          <w:szCs w:val="20"/>
        </w:rPr>
        <w:t xml:space="preserve">Фестиваль удэгейской культуры, </w:t>
      </w:r>
      <w:r>
        <w:rPr>
          <w:rFonts w:ascii="Times New Roman" w:hAnsi="Times New Roman" w:cs="Times New Roman"/>
          <w:sz w:val="20"/>
          <w:szCs w:val="20"/>
        </w:rPr>
        <w:t xml:space="preserve">Восточный экономический форум, форум </w:t>
      </w:r>
      <w:r>
        <w:rPr>
          <w:rStyle w:val="extended-textshort"/>
          <w:rFonts w:ascii="Times New Roman" w:hAnsi="Times New Roman"/>
          <w:bCs/>
          <w:sz w:val="20"/>
          <w:szCs w:val="20"/>
        </w:rPr>
        <w:t>Азиатско</w:t>
      </w:r>
      <w:r>
        <w:rPr>
          <w:rStyle w:val="extended-textshort"/>
          <w:rFonts w:ascii="Times New Roman" w:hAnsi="Times New Roman"/>
          <w:sz w:val="20"/>
          <w:szCs w:val="20"/>
        </w:rPr>
        <w:t>-</w:t>
      </w:r>
      <w:r>
        <w:rPr>
          <w:rStyle w:val="extended-textshort"/>
          <w:rFonts w:ascii="Times New Roman" w:hAnsi="Times New Roman"/>
          <w:bCs/>
          <w:sz w:val="20"/>
          <w:szCs w:val="20"/>
        </w:rPr>
        <w:t>Тихоокеанского</w:t>
      </w:r>
      <w:r>
        <w:rPr>
          <w:rStyle w:val="extended-textshort"/>
          <w:rFonts w:ascii="Times New Roman" w:hAnsi="Times New Roman"/>
          <w:sz w:val="20"/>
          <w:szCs w:val="20"/>
        </w:rPr>
        <w:t xml:space="preserve"> Экономического Сотрудничества (АТЭС) и др</w:t>
      </w:r>
      <w:r>
        <w:rPr>
          <w:rFonts w:ascii="Times New Roman" w:hAnsi="Times New Roman" w:cs="Times New Roman"/>
          <w:sz w:val="20"/>
          <w:szCs w:val="20"/>
        </w:rPr>
        <w:t xml:space="preserve">. Приморский край стал </w:t>
      </w:r>
      <w:r>
        <w:rPr>
          <w:rFonts w:ascii="Times New Roman" w:hAnsi="Times New Roman" w:cs="Times New Roman"/>
          <w:sz w:val="20"/>
          <w:szCs w:val="20"/>
        </w:rPr>
        <w:lastRenderedPageBreak/>
        <w:t>одним из центров туристского интереса, в частности у азиатских гостей. Все это говорит о развитии не только ДВФО и Приморского края, но и о развитии отдельных отраслей экономики, таких как гостиничная индустрия. Как можно увидеть из приведенных в данной статье статистических и экономических показателей – гостиничная индустрия в ДВФО и Приморском крае не просто быстро развивается, на сегодняшний день она занимает довольно большую экономическую нишу и не имеет признаков прекращения развития.</w:t>
      </w:r>
    </w:p>
    <w:p w:rsidR="00517711" w:rsidRDefault="00F815BE">
      <w:pPr>
        <w:spacing w:after="0" w:line="240" w:lineRule="auto"/>
        <w:rPr>
          <w:rFonts w:ascii="Times New Roman" w:hAnsi="Times New Roman" w:cs="Times New Roman"/>
          <w:position w:val="24"/>
          <w:sz w:val="20"/>
          <w:szCs w:val="20"/>
        </w:rPr>
      </w:pPr>
      <w:r>
        <w:rPr>
          <w:rFonts w:ascii="Times New Roman" w:hAnsi="Times New Roman" w:cs="Times New Roman"/>
          <w:position w:val="24"/>
          <w:sz w:val="20"/>
          <w:szCs w:val="20"/>
        </w:rPr>
        <w:t>_______________________________________</w:t>
      </w:r>
    </w:p>
    <w:p w:rsidR="00517711" w:rsidRDefault="00F815BE">
      <w:pPr>
        <w:pStyle w:val="af4"/>
        <w:numPr>
          <w:ilvl w:val="0"/>
          <w:numId w:val="10"/>
        </w:numPr>
        <w:tabs>
          <w:tab w:val="left" w:pos="142"/>
          <w:tab w:val="left" w:pos="993"/>
        </w:tabs>
        <w:spacing w:after="0" w:line="240" w:lineRule="auto"/>
        <w:ind w:left="0" w:firstLine="633"/>
        <w:jc w:val="both"/>
        <w:rPr>
          <w:rFonts w:ascii="Times New Roman" w:hAnsi="Times New Roman"/>
          <w:sz w:val="20"/>
          <w:szCs w:val="20"/>
        </w:rPr>
      </w:pPr>
      <w:r>
        <w:rPr>
          <w:rFonts w:ascii="Times New Roman" w:hAnsi="Times New Roman"/>
          <w:bCs/>
          <w:sz w:val="20"/>
          <w:szCs w:val="20"/>
        </w:rPr>
        <w:t>Государственная программа Приморского края</w:t>
      </w:r>
      <w:r>
        <w:rPr>
          <w:rFonts w:ascii="Times New Roman" w:hAnsi="Times New Roman"/>
          <w:sz w:val="20"/>
          <w:szCs w:val="20"/>
        </w:rPr>
        <w:t xml:space="preserve"> «</w:t>
      </w:r>
      <w:r>
        <w:rPr>
          <w:rFonts w:ascii="Times New Roman" w:hAnsi="Times New Roman"/>
          <w:bCs/>
          <w:sz w:val="20"/>
          <w:szCs w:val="20"/>
        </w:rPr>
        <w:t>Развитие туризма в Приморском крае</w:t>
      </w:r>
      <w:r>
        <w:rPr>
          <w:rFonts w:ascii="Times New Roman" w:hAnsi="Times New Roman"/>
          <w:sz w:val="20"/>
          <w:szCs w:val="20"/>
        </w:rPr>
        <w:t xml:space="preserve">» </w:t>
      </w:r>
      <w:r>
        <w:rPr>
          <w:rFonts w:ascii="Times New Roman" w:hAnsi="Times New Roman"/>
          <w:bCs/>
          <w:sz w:val="20"/>
          <w:szCs w:val="20"/>
        </w:rPr>
        <w:t>на 2013-2020 годы</w:t>
      </w:r>
      <w:r>
        <w:rPr>
          <w:rFonts w:ascii="Times New Roman" w:hAnsi="Times New Roman"/>
          <w:sz w:val="20"/>
          <w:szCs w:val="20"/>
        </w:rPr>
        <w:t xml:space="preserve"> [Электронный ресурс]. – Ре</w:t>
      </w:r>
      <w:r>
        <w:rPr>
          <w:rFonts w:ascii="Times New Roman" w:hAnsi="Times New Roman"/>
          <w:color w:val="000000" w:themeColor="text1"/>
          <w:sz w:val="20"/>
          <w:szCs w:val="20"/>
        </w:rPr>
        <w:t xml:space="preserve">жим доступа: </w:t>
      </w:r>
      <w:hyperlink r:id="rId59" w:history="1">
        <w:r>
          <w:rPr>
            <w:rStyle w:val="aa"/>
            <w:rFonts w:ascii="Times New Roman" w:hAnsi="Times New Roman"/>
            <w:color w:val="000000" w:themeColor="text1"/>
            <w:sz w:val="20"/>
            <w:szCs w:val="20"/>
          </w:rPr>
          <w:t>Primorsky.ru/authorities</w:t>
        </w:r>
      </w:hyperlink>
    </w:p>
    <w:p w:rsidR="00517711" w:rsidRDefault="00F815BE">
      <w:pPr>
        <w:pStyle w:val="af4"/>
        <w:numPr>
          <w:ilvl w:val="0"/>
          <w:numId w:val="10"/>
        </w:numPr>
        <w:tabs>
          <w:tab w:val="left" w:pos="142"/>
          <w:tab w:val="left" w:pos="993"/>
        </w:tabs>
        <w:spacing w:after="0" w:line="240" w:lineRule="auto"/>
        <w:ind w:left="0" w:firstLine="633"/>
        <w:jc w:val="both"/>
        <w:rPr>
          <w:rFonts w:ascii="Times New Roman" w:hAnsi="Times New Roman"/>
          <w:sz w:val="20"/>
          <w:szCs w:val="20"/>
        </w:rPr>
      </w:pPr>
      <w:r>
        <w:rPr>
          <w:rFonts w:ascii="Times New Roman" w:hAnsi="Times New Roman"/>
          <w:sz w:val="20"/>
          <w:szCs w:val="20"/>
        </w:rPr>
        <w:t>Динамика роста коллективных средств размещения ДВФО и Приморского края</w:t>
      </w:r>
      <w:r>
        <w:rPr>
          <w:rFonts w:ascii="Times New Roman" w:hAnsi="Times New Roman"/>
          <w:sz w:val="20"/>
          <w:szCs w:val="20"/>
          <w:lang w:eastAsia="ru-RU"/>
        </w:rPr>
        <w:t xml:space="preserve"> [Электронный ресурс]. – Режим доступа: </w:t>
      </w:r>
      <w:r>
        <w:rPr>
          <w:rFonts w:ascii="Times New Roman" w:hAnsi="Times New Roman"/>
          <w:sz w:val="20"/>
          <w:szCs w:val="20"/>
        </w:rPr>
        <w:t xml:space="preserve">http://www.gks.ru.                                        </w:t>
      </w:r>
    </w:p>
    <w:p w:rsidR="00517711" w:rsidRDefault="00F815BE">
      <w:pPr>
        <w:pStyle w:val="af4"/>
        <w:numPr>
          <w:ilvl w:val="0"/>
          <w:numId w:val="10"/>
        </w:numPr>
        <w:tabs>
          <w:tab w:val="left" w:pos="142"/>
          <w:tab w:val="left" w:pos="993"/>
        </w:tabs>
        <w:spacing w:after="0" w:line="240" w:lineRule="auto"/>
        <w:ind w:left="0" w:firstLine="633"/>
        <w:jc w:val="both"/>
        <w:rPr>
          <w:rFonts w:ascii="Times New Roman" w:hAnsi="Times New Roman"/>
          <w:sz w:val="20"/>
          <w:szCs w:val="20"/>
        </w:rPr>
      </w:pPr>
      <w:r>
        <w:rPr>
          <w:rFonts w:ascii="Times New Roman" w:hAnsi="Times New Roman"/>
          <w:sz w:val="20"/>
          <w:szCs w:val="20"/>
          <w:lang w:eastAsia="ru-RU"/>
        </w:rPr>
        <w:t xml:space="preserve">Динамика роста коллективных средств размещения по округам [Электронный ресурс]. – Режим доступа: </w:t>
      </w:r>
      <w:r>
        <w:rPr>
          <w:rFonts w:ascii="Times New Roman" w:hAnsi="Times New Roman"/>
          <w:sz w:val="20"/>
          <w:szCs w:val="20"/>
        </w:rPr>
        <w:t xml:space="preserve">http://www.gks.ru.                            </w:t>
      </w:r>
    </w:p>
    <w:p w:rsidR="00517711" w:rsidRDefault="00F815BE">
      <w:pPr>
        <w:pStyle w:val="af4"/>
        <w:numPr>
          <w:ilvl w:val="0"/>
          <w:numId w:val="10"/>
        </w:numPr>
        <w:tabs>
          <w:tab w:val="left" w:pos="142"/>
          <w:tab w:val="left" w:pos="993"/>
        </w:tabs>
        <w:spacing w:after="0" w:line="240" w:lineRule="auto"/>
        <w:ind w:left="0" w:firstLine="633"/>
        <w:jc w:val="both"/>
        <w:rPr>
          <w:rFonts w:ascii="Times New Roman" w:hAnsi="Times New Roman"/>
          <w:sz w:val="20"/>
          <w:szCs w:val="20"/>
        </w:rPr>
      </w:pPr>
      <w:r>
        <w:rPr>
          <w:rFonts w:ascii="Times New Roman" w:hAnsi="Times New Roman"/>
          <w:sz w:val="20"/>
          <w:szCs w:val="20"/>
          <w:lang w:eastAsia="ru-RU"/>
        </w:rPr>
        <w:t xml:space="preserve">Динамика роста коллективных средств размещения Российской Федерации [Электронный ресурс]. – Режим доступа: </w:t>
      </w:r>
      <w:r>
        <w:rPr>
          <w:rFonts w:ascii="Times New Roman" w:hAnsi="Times New Roman"/>
          <w:sz w:val="20"/>
          <w:szCs w:val="20"/>
        </w:rPr>
        <w:t xml:space="preserve">http://www.gks.ru                       </w:t>
      </w:r>
    </w:p>
    <w:p w:rsidR="00517711" w:rsidRDefault="00F815BE">
      <w:pPr>
        <w:pStyle w:val="af4"/>
        <w:numPr>
          <w:ilvl w:val="0"/>
          <w:numId w:val="10"/>
        </w:numPr>
        <w:tabs>
          <w:tab w:val="left" w:pos="142"/>
          <w:tab w:val="left" w:pos="993"/>
        </w:tabs>
        <w:spacing w:after="0" w:line="240" w:lineRule="auto"/>
        <w:ind w:left="0" w:firstLine="633"/>
        <w:jc w:val="both"/>
        <w:rPr>
          <w:rFonts w:ascii="Times New Roman" w:hAnsi="Times New Roman"/>
          <w:sz w:val="20"/>
          <w:szCs w:val="20"/>
        </w:rPr>
      </w:pPr>
      <w:r>
        <w:rPr>
          <w:rFonts w:ascii="Times New Roman" w:hAnsi="Times New Roman"/>
          <w:sz w:val="20"/>
          <w:szCs w:val="20"/>
        </w:rPr>
        <w:t>Доля доходов коллективного средства размещения от предоставляемых услуг Приморского края в доходах средств размещения ДВФО, %</w:t>
      </w:r>
      <w:r>
        <w:rPr>
          <w:rFonts w:ascii="Times New Roman" w:hAnsi="Times New Roman"/>
          <w:sz w:val="20"/>
          <w:szCs w:val="20"/>
          <w:lang w:eastAsia="ru-RU"/>
        </w:rPr>
        <w:t xml:space="preserve"> [Электронный ресурс]. – Режим доступа:</w:t>
      </w:r>
      <w:r>
        <w:rPr>
          <w:rFonts w:ascii="Times New Roman" w:hAnsi="Times New Roman"/>
          <w:sz w:val="20"/>
          <w:szCs w:val="20"/>
        </w:rPr>
        <w:t xml:space="preserve"> http://www.gks.ru.          </w:t>
      </w:r>
    </w:p>
    <w:p w:rsidR="00517711" w:rsidRDefault="00F815BE">
      <w:pPr>
        <w:pStyle w:val="af4"/>
        <w:numPr>
          <w:ilvl w:val="0"/>
          <w:numId w:val="10"/>
        </w:numPr>
        <w:tabs>
          <w:tab w:val="left" w:pos="142"/>
          <w:tab w:val="left" w:pos="993"/>
        </w:tabs>
        <w:spacing w:after="0" w:line="240" w:lineRule="auto"/>
        <w:ind w:left="0" w:firstLine="633"/>
        <w:jc w:val="both"/>
        <w:rPr>
          <w:rFonts w:ascii="Times New Roman" w:hAnsi="Times New Roman"/>
          <w:sz w:val="20"/>
          <w:szCs w:val="20"/>
        </w:rPr>
      </w:pPr>
      <w:r>
        <w:rPr>
          <w:rFonts w:ascii="Times New Roman" w:hAnsi="Times New Roman"/>
          <w:sz w:val="20"/>
          <w:szCs w:val="20"/>
        </w:rPr>
        <w:t xml:space="preserve">Доходы коллективных средств размещения РФ по итогам 2016 г. </w:t>
      </w:r>
      <w:r>
        <w:rPr>
          <w:rFonts w:ascii="Times New Roman" w:hAnsi="Times New Roman"/>
          <w:sz w:val="20"/>
          <w:szCs w:val="20"/>
          <w:lang w:eastAsia="ru-RU"/>
        </w:rPr>
        <w:t xml:space="preserve">[Электронный ресурс]. – Режим доступа: </w:t>
      </w:r>
      <w:r>
        <w:rPr>
          <w:rFonts w:ascii="Times New Roman" w:hAnsi="Times New Roman"/>
          <w:sz w:val="20"/>
          <w:szCs w:val="20"/>
        </w:rPr>
        <w:t xml:space="preserve">http://www.gks.ru.                                  </w:t>
      </w:r>
    </w:p>
    <w:p w:rsidR="00517711" w:rsidRDefault="00F815BE">
      <w:pPr>
        <w:pStyle w:val="af4"/>
        <w:numPr>
          <w:ilvl w:val="0"/>
          <w:numId w:val="10"/>
        </w:numPr>
        <w:tabs>
          <w:tab w:val="left" w:pos="142"/>
          <w:tab w:val="left" w:pos="993"/>
        </w:tabs>
        <w:spacing w:after="0" w:line="240" w:lineRule="auto"/>
        <w:ind w:left="0" w:firstLine="633"/>
        <w:jc w:val="both"/>
        <w:rPr>
          <w:rFonts w:ascii="Times New Roman" w:hAnsi="Times New Roman"/>
          <w:sz w:val="20"/>
          <w:szCs w:val="20"/>
        </w:rPr>
      </w:pPr>
      <w:r>
        <w:rPr>
          <w:rFonts w:ascii="Times New Roman" w:hAnsi="Times New Roman"/>
          <w:sz w:val="20"/>
          <w:szCs w:val="20"/>
        </w:rPr>
        <w:t>Доходы среднего коллективного средства размещения от предоставляемых услуг, тыс.руб.</w:t>
      </w:r>
      <w:r>
        <w:rPr>
          <w:rFonts w:ascii="Times New Roman" w:hAnsi="Times New Roman"/>
          <w:sz w:val="20"/>
          <w:szCs w:val="20"/>
          <w:lang w:eastAsia="ru-RU"/>
        </w:rPr>
        <w:t xml:space="preserve"> [Электронный ресурс]. – Режим доступа:</w:t>
      </w:r>
      <w:r>
        <w:rPr>
          <w:rFonts w:ascii="Times New Roman" w:hAnsi="Times New Roman"/>
          <w:sz w:val="20"/>
          <w:szCs w:val="20"/>
        </w:rPr>
        <w:t xml:space="preserve"> http://www.gks.ru.</w:t>
      </w:r>
    </w:p>
    <w:p w:rsidR="00517711" w:rsidRDefault="00F815BE">
      <w:pPr>
        <w:pStyle w:val="af4"/>
        <w:numPr>
          <w:ilvl w:val="0"/>
          <w:numId w:val="10"/>
        </w:numPr>
        <w:shd w:val="clear" w:color="auto" w:fill="FFFFFF" w:themeFill="background1"/>
        <w:tabs>
          <w:tab w:val="left" w:pos="142"/>
          <w:tab w:val="left" w:pos="993"/>
        </w:tabs>
        <w:spacing w:after="0" w:line="240" w:lineRule="auto"/>
        <w:ind w:left="0" w:firstLine="633"/>
        <w:jc w:val="both"/>
        <w:rPr>
          <w:rFonts w:ascii="Times New Roman" w:hAnsi="Times New Roman"/>
          <w:sz w:val="20"/>
          <w:szCs w:val="20"/>
        </w:rPr>
      </w:pPr>
      <w:r>
        <w:rPr>
          <w:rFonts w:ascii="Times New Roman" w:hAnsi="Times New Roman"/>
          <w:bCs/>
          <w:sz w:val="20"/>
          <w:szCs w:val="20"/>
          <w:shd w:val="clear" w:color="auto" w:fill="FFFFFF" w:themeFill="background1"/>
        </w:rPr>
        <w:t>Корнеев Н.В. Технология гостиничной деятельности</w:t>
      </w:r>
      <w:r>
        <w:rPr>
          <w:rFonts w:ascii="Times New Roman" w:hAnsi="Times New Roman"/>
          <w:sz w:val="20"/>
          <w:szCs w:val="20"/>
          <w:shd w:val="clear" w:color="auto" w:fill="FFFFFF" w:themeFill="background1"/>
        </w:rPr>
        <w:t xml:space="preserve">: учебник для студентов вузов, обуч. по направл. подгот. </w:t>
      </w:r>
      <w:r>
        <w:rPr>
          <w:rFonts w:ascii="Times New Roman" w:hAnsi="Times New Roman"/>
          <w:sz w:val="20"/>
          <w:szCs w:val="20"/>
        </w:rPr>
        <w:t>«</w:t>
      </w:r>
      <w:r>
        <w:rPr>
          <w:rFonts w:ascii="Times New Roman" w:hAnsi="Times New Roman"/>
          <w:sz w:val="20"/>
          <w:szCs w:val="20"/>
          <w:shd w:val="clear" w:color="auto" w:fill="FFFFFF" w:themeFill="background1"/>
        </w:rPr>
        <w:t>Гостиничное дело</w:t>
      </w:r>
      <w:r>
        <w:rPr>
          <w:rFonts w:ascii="Times New Roman" w:hAnsi="Times New Roman"/>
          <w:sz w:val="20"/>
          <w:szCs w:val="20"/>
        </w:rPr>
        <w:t>»</w:t>
      </w:r>
      <w:r>
        <w:rPr>
          <w:rFonts w:ascii="Times New Roman" w:hAnsi="Times New Roman"/>
          <w:sz w:val="20"/>
          <w:szCs w:val="20"/>
          <w:shd w:val="clear" w:color="auto" w:fill="FFFFFF" w:themeFill="background1"/>
        </w:rPr>
        <w:t xml:space="preserve"> и </w:t>
      </w:r>
      <w:r>
        <w:rPr>
          <w:rFonts w:ascii="Times New Roman" w:hAnsi="Times New Roman"/>
          <w:sz w:val="20"/>
          <w:szCs w:val="20"/>
        </w:rPr>
        <w:t>«</w:t>
      </w:r>
      <w:r>
        <w:rPr>
          <w:rFonts w:ascii="Times New Roman" w:hAnsi="Times New Roman"/>
          <w:sz w:val="20"/>
          <w:szCs w:val="20"/>
          <w:shd w:val="clear" w:color="auto" w:fill="FFFFFF" w:themeFill="background1"/>
        </w:rPr>
        <w:t>Туризм</w:t>
      </w:r>
      <w:r>
        <w:rPr>
          <w:rFonts w:ascii="Times New Roman" w:hAnsi="Times New Roman"/>
          <w:sz w:val="20"/>
          <w:szCs w:val="20"/>
        </w:rPr>
        <w:t>»</w:t>
      </w:r>
      <w:r>
        <w:rPr>
          <w:rFonts w:ascii="Times New Roman" w:hAnsi="Times New Roman"/>
          <w:sz w:val="20"/>
          <w:szCs w:val="20"/>
          <w:shd w:val="clear" w:color="auto" w:fill="FFFFFF" w:themeFill="background1"/>
        </w:rPr>
        <w:t xml:space="preserve"> / Н.В. Корнеев, Ю.В. Корнеева. </w:t>
      </w:r>
      <w:r>
        <w:rPr>
          <w:rFonts w:ascii="Times New Roman" w:hAnsi="Times New Roman"/>
          <w:sz w:val="20"/>
          <w:szCs w:val="20"/>
        </w:rPr>
        <w:t>–</w:t>
      </w:r>
      <w:r>
        <w:rPr>
          <w:rFonts w:ascii="Times New Roman" w:hAnsi="Times New Roman"/>
          <w:sz w:val="20"/>
          <w:szCs w:val="20"/>
          <w:shd w:val="clear" w:color="auto" w:fill="FFFFFF" w:themeFill="background1"/>
        </w:rPr>
        <w:t>М. : Академия,</w:t>
      </w:r>
      <w:r>
        <w:rPr>
          <w:rStyle w:val="apple-converted-space"/>
          <w:rFonts w:ascii="Times New Roman" w:hAnsi="Times New Roman"/>
          <w:sz w:val="20"/>
          <w:szCs w:val="20"/>
          <w:shd w:val="clear" w:color="auto" w:fill="FFFFFF" w:themeFill="background1"/>
        </w:rPr>
        <w:t> </w:t>
      </w:r>
      <w:r>
        <w:rPr>
          <w:rFonts w:ascii="Times New Roman" w:hAnsi="Times New Roman"/>
          <w:bCs/>
          <w:sz w:val="20"/>
          <w:szCs w:val="20"/>
          <w:shd w:val="clear" w:color="auto" w:fill="FFFFFF" w:themeFill="background1"/>
        </w:rPr>
        <w:t>2015</w:t>
      </w:r>
      <w:r>
        <w:rPr>
          <w:rFonts w:ascii="Times New Roman" w:hAnsi="Times New Roman"/>
          <w:sz w:val="20"/>
          <w:szCs w:val="20"/>
          <w:shd w:val="clear" w:color="auto" w:fill="FFFFFF" w:themeFill="background1"/>
        </w:rPr>
        <w:t xml:space="preserve">. </w:t>
      </w:r>
      <w:r>
        <w:rPr>
          <w:rFonts w:ascii="Times New Roman" w:hAnsi="Times New Roman"/>
          <w:sz w:val="20"/>
          <w:szCs w:val="20"/>
        </w:rPr>
        <w:t>–</w:t>
      </w:r>
      <w:r>
        <w:rPr>
          <w:rFonts w:ascii="Times New Roman" w:hAnsi="Times New Roman"/>
          <w:sz w:val="20"/>
          <w:szCs w:val="20"/>
          <w:shd w:val="clear" w:color="auto" w:fill="FFFFFF" w:themeFill="background1"/>
        </w:rPr>
        <w:t xml:space="preserve"> 288 с.</w:t>
      </w:r>
    </w:p>
    <w:p w:rsidR="00517711" w:rsidRDefault="00F815BE">
      <w:pPr>
        <w:pStyle w:val="af4"/>
        <w:numPr>
          <w:ilvl w:val="0"/>
          <w:numId w:val="10"/>
        </w:numPr>
        <w:tabs>
          <w:tab w:val="left" w:pos="142"/>
          <w:tab w:val="left" w:pos="993"/>
        </w:tabs>
        <w:spacing w:after="0" w:line="240" w:lineRule="auto"/>
        <w:ind w:left="0" w:firstLine="633"/>
        <w:jc w:val="both"/>
        <w:rPr>
          <w:rFonts w:ascii="Times New Roman" w:hAnsi="Times New Roman"/>
          <w:sz w:val="20"/>
          <w:szCs w:val="20"/>
        </w:rPr>
      </w:pPr>
      <w:r>
        <w:rPr>
          <w:rFonts w:ascii="Times New Roman" w:hAnsi="Times New Roman"/>
          <w:sz w:val="20"/>
          <w:szCs w:val="20"/>
        </w:rPr>
        <w:t xml:space="preserve">КСР (гостиницы и иные средства размещения), г. Владивосток, 2014-2016 г. </w:t>
      </w:r>
      <w:r>
        <w:rPr>
          <w:rFonts w:ascii="Times New Roman" w:hAnsi="Times New Roman"/>
          <w:sz w:val="20"/>
          <w:szCs w:val="20"/>
          <w:lang w:eastAsia="ru-RU"/>
        </w:rPr>
        <w:t xml:space="preserve">[Электронный ресурс]. – Режим доступа: </w:t>
      </w:r>
      <w:r>
        <w:rPr>
          <w:rFonts w:ascii="Times New Roman" w:hAnsi="Times New Roman"/>
          <w:sz w:val="20"/>
          <w:szCs w:val="20"/>
        </w:rPr>
        <w:t xml:space="preserve">http://www.gks.ru         </w:t>
      </w:r>
    </w:p>
    <w:p w:rsidR="00517711" w:rsidRDefault="00F815BE">
      <w:pPr>
        <w:pStyle w:val="af4"/>
        <w:numPr>
          <w:ilvl w:val="0"/>
          <w:numId w:val="10"/>
        </w:numPr>
        <w:tabs>
          <w:tab w:val="left" w:pos="142"/>
          <w:tab w:val="left" w:pos="993"/>
        </w:tabs>
        <w:spacing w:after="0" w:line="240" w:lineRule="auto"/>
        <w:ind w:left="0" w:firstLine="633"/>
        <w:jc w:val="both"/>
        <w:rPr>
          <w:rFonts w:ascii="Times New Roman" w:hAnsi="Times New Roman"/>
          <w:sz w:val="20"/>
          <w:szCs w:val="20"/>
        </w:rPr>
      </w:pPr>
      <w:r>
        <w:rPr>
          <w:rFonts w:ascii="Times New Roman" w:hAnsi="Times New Roman"/>
          <w:bCs/>
          <w:sz w:val="20"/>
          <w:szCs w:val="20"/>
          <w:lang w:eastAsia="ru-RU"/>
        </w:rPr>
        <w:t xml:space="preserve">Отчет о подготовке инфраструктуры коллективных средств размещения к Чемпионату миру по футболу-2018 </w:t>
      </w:r>
      <w:r>
        <w:rPr>
          <w:rFonts w:ascii="Times New Roman" w:hAnsi="Times New Roman"/>
          <w:sz w:val="20"/>
          <w:szCs w:val="20"/>
          <w:lang w:eastAsia="ru-RU"/>
        </w:rPr>
        <w:t xml:space="preserve">[Электронный ресурс]. – Режим доступа: </w:t>
      </w:r>
      <w:r>
        <w:rPr>
          <w:rFonts w:ascii="Times New Roman" w:hAnsi="Times New Roman"/>
          <w:sz w:val="20"/>
          <w:szCs w:val="20"/>
        </w:rPr>
        <w:t xml:space="preserve">http: //классификация-туризм.рф/statistic.php       </w:t>
      </w:r>
    </w:p>
    <w:p w:rsidR="00517711" w:rsidRDefault="00F815BE">
      <w:pPr>
        <w:pStyle w:val="af4"/>
        <w:numPr>
          <w:ilvl w:val="0"/>
          <w:numId w:val="10"/>
        </w:numPr>
        <w:tabs>
          <w:tab w:val="left" w:pos="142"/>
          <w:tab w:val="left" w:pos="993"/>
        </w:tabs>
        <w:spacing w:line="240" w:lineRule="auto"/>
        <w:ind w:left="0" w:firstLine="633"/>
        <w:rPr>
          <w:rFonts w:ascii="Times New Roman" w:hAnsi="Times New Roman"/>
          <w:sz w:val="20"/>
          <w:szCs w:val="20"/>
          <w:lang w:eastAsia="ru-RU"/>
        </w:rPr>
      </w:pPr>
      <w:r>
        <w:rPr>
          <w:rFonts w:ascii="Times New Roman" w:hAnsi="Times New Roman"/>
          <w:sz w:val="20"/>
          <w:szCs w:val="20"/>
        </w:rPr>
        <w:t xml:space="preserve">Соколовская М.О. Развитие рынка гостиничных услуг в России сборник </w:t>
      </w:r>
      <w:r>
        <w:rPr>
          <w:rStyle w:val="s41"/>
          <w:rFonts w:ascii="Times New Roman" w:hAnsi="Times New Roman"/>
          <w:sz w:val="20"/>
          <w:szCs w:val="20"/>
          <w:shd w:val="clear" w:color="auto" w:fill="FFFFFF"/>
        </w:rPr>
        <w:t xml:space="preserve">/ </w:t>
      </w:r>
      <w:r>
        <w:rPr>
          <w:rFonts w:ascii="Times New Roman" w:hAnsi="Times New Roman"/>
          <w:sz w:val="20"/>
          <w:szCs w:val="20"/>
        </w:rPr>
        <w:t>М.О. Соколовская</w:t>
      </w:r>
      <w:r>
        <w:rPr>
          <w:rStyle w:val="s41"/>
          <w:rFonts w:ascii="Times New Roman" w:hAnsi="Times New Roman"/>
          <w:sz w:val="20"/>
          <w:szCs w:val="20"/>
          <w:shd w:val="clear" w:color="auto" w:fill="FFFFFF"/>
        </w:rPr>
        <w:t xml:space="preserve"> //</w:t>
      </w:r>
      <w:r>
        <w:rPr>
          <w:rFonts w:ascii="Times New Roman" w:hAnsi="Times New Roman"/>
          <w:sz w:val="20"/>
          <w:szCs w:val="20"/>
        </w:rPr>
        <w:t xml:space="preserve">сборник научных трудов по мат. </w:t>
      </w:r>
      <w:r>
        <w:rPr>
          <w:rFonts w:ascii="Times New Roman" w:hAnsi="Times New Roman"/>
          <w:sz w:val="20"/>
          <w:szCs w:val="20"/>
          <w:lang w:eastAsia="ru-RU"/>
        </w:rPr>
        <w:t xml:space="preserve">VIII </w:t>
      </w:r>
      <w:r>
        <w:rPr>
          <w:rFonts w:ascii="Times New Roman" w:hAnsi="Times New Roman"/>
          <w:sz w:val="20"/>
          <w:szCs w:val="20"/>
        </w:rPr>
        <w:t xml:space="preserve">Международ. научно-практической конф. </w:t>
      </w:r>
      <w:r>
        <w:rPr>
          <w:rStyle w:val="s41"/>
          <w:rFonts w:ascii="Times New Roman" w:hAnsi="Times New Roman"/>
          <w:sz w:val="20"/>
          <w:szCs w:val="20"/>
          <w:shd w:val="clear" w:color="auto" w:fill="FFFFFF"/>
        </w:rPr>
        <w:t>–</w:t>
      </w:r>
      <w:r>
        <w:rPr>
          <w:rFonts w:ascii="Times New Roman" w:hAnsi="Times New Roman"/>
          <w:sz w:val="20"/>
          <w:szCs w:val="20"/>
        </w:rPr>
        <w:t xml:space="preserve"> 2015.– 160 с.</w:t>
      </w:r>
    </w:p>
    <w:p w:rsidR="00517711" w:rsidRDefault="00F815BE">
      <w:pPr>
        <w:pStyle w:val="af4"/>
        <w:numPr>
          <w:ilvl w:val="0"/>
          <w:numId w:val="10"/>
        </w:numPr>
        <w:tabs>
          <w:tab w:val="left" w:pos="142"/>
          <w:tab w:val="left" w:pos="993"/>
        </w:tabs>
        <w:spacing w:after="0" w:line="240" w:lineRule="auto"/>
        <w:ind w:left="0" w:firstLine="633"/>
        <w:jc w:val="both"/>
        <w:rPr>
          <w:rFonts w:ascii="Times New Roman" w:hAnsi="Times New Roman"/>
          <w:sz w:val="20"/>
          <w:szCs w:val="20"/>
        </w:rPr>
      </w:pPr>
      <w:r>
        <w:rPr>
          <w:rFonts w:ascii="Times New Roman" w:hAnsi="Times New Roman"/>
          <w:sz w:val="20"/>
          <w:szCs w:val="20"/>
        </w:rPr>
        <w:t>Численность размещенных лиц в коллективных средствах размещения, чел.</w:t>
      </w:r>
      <w:r>
        <w:rPr>
          <w:rFonts w:ascii="Times New Roman" w:hAnsi="Times New Roman"/>
          <w:sz w:val="20"/>
          <w:szCs w:val="20"/>
          <w:lang w:eastAsia="ru-RU"/>
        </w:rPr>
        <w:t xml:space="preserve"> [Электронный ресурс]. – Режим доступа: </w:t>
      </w:r>
      <w:r>
        <w:rPr>
          <w:rFonts w:ascii="Times New Roman" w:hAnsi="Times New Roman"/>
          <w:sz w:val="20"/>
          <w:szCs w:val="20"/>
        </w:rPr>
        <w:t xml:space="preserve">http://www.gks.ru. </w:t>
      </w:r>
    </w:p>
    <w:p w:rsidR="00517711" w:rsidRDefault="00517711">
      <w:pPr>
        <w:tabs>
          <w:tab w:val="left" w:pos="142"/>
          <w:tab w:val="left" w:pos="993"/>
        </w:tabs>
        <w:spacing w:after="0" w:line="240" w:lineRule="auto"/>
        <w:jc w:val="both"/>
        <w:rPr>
          <w:rFonts w:ascii="Times New Roman" w:hAnsi="Times New Roman" w:cs="Times New Roman"/>
          <w:sz w:val="20"/>
          <w:szCs w:val="20"/>
        </w:rPr>
      </w:pPr>
    </w:p>
    <w:p w:rsidR="00517711" w:rsidRDefault="00F815BE">
      <w:pPr>
        <w:rPr>
          <w:rFonts w:ascii="Times New Roman" w:hAnsi="Times New Roman"/>
          <w:b/>
          <w:sz w:val="20"/>
          <w:szCs w:val="24"/>
        </w:rPr>
      </w:pPr>
      <w:r>
        <w:rPr>
          <w:rFonts w:ascii="Times New Roman" w:hAnsi="Times New Roman"/>
          <w:b/>
          <w:sz w:val="20"/>
          <w:szCs w:val="24"/>
        </w:rPr>
        <w:t>Рубрика: Экономика труда</w:t>
      </w:r>
    </w:p>
    <w:p w:rsidR="00517711" w:rsidRDefault="00F815BE">
      <w:pPr>
        <w:rPr>
          <w:rFonts w:ascii="Times New Roman" w:hAnsi="Times New Roman"/>
          <w:sz w:val="20"/>
          <w:szCs w:val="24"/>
        </w:rPr>
      </w:pPr>
      <w:r>
        <w:rPr>
          <w:rFonts w:ascii="Times New Roman" w:hAnsi="Times New Roman"/>
          <w:sz w:val="20"/>
          <w:szCs w:val="24"/>
        </w:rPr>
        <w:t>УДК 331.22</w:t>
      </w:r>
    </w:p>
    <w:p w:rsidR="00517711" w:rsidRDefault="00F815BE">
      <w:pPr>
        <w:spacing w:before="240" w:line="240" w:lineRule="auto"/>
        <w:jc w:val="center"/>
        <w:rPr>
          <w:rFonts w:ascii="Book Antiqua" w:hAnsi="Book Antiqua"/>
          <w:sz w:val="26"/>
          <w:szCs w:val="26"/>
        </w:rPr>
      </w:pPr>
      <w:r>
        <w:rPr>
          <w:rFonts w:ascii="Book Antiqua" w:hAnsi="Book Antiqua"/>
          <w:b/>
          <w:sz w:val="26"/>
          <w:szCs w:val="26"/>
          <w:lang w:eastAsia="ar-SA"/>
        </w:rPr>
        <w:t>ВИДЫ, ФОРМЫ И СИСТЕМЫ ОПЛАТЫ ТРУДА, ИХ ХАРАКТЕРИСТИКА И ОРГАНИЗАЦИЯ УЧЁТА НА ПРИМЕРЕ ООО РТС «ВОСТОЧНОЕ» Г. МОСКВА.</w:t>
      </w:r>
    </w:p>
    <w:p w:rsidR="00517711" w:rsidRDefault="00F815BE">
      <w:pPr>
        <w:spacing w:after="0" w:line="240" w:lineRule="auto"/>
        <w:jc w:val="center"/>
        <w:rPr>
          <w:rFonts w:ascii="Arial" w:hAnsi="Arial" w:cs="Arial"/>
          <w:b/>
          <w:sz w:val="24"/>
          <w:szCs w:val="24"/>
        </w:rPr>
      </w:pPr>
      <w:r>
        <w:rPr>
          <w:rFonts w:ascii="Arial" w:hAnsi="Arial" w:cs="Arial"/>
          <w:b/>
          <w:sz w:val="24"/>
          <w:szCs w:val="24"/>
          <w:lang w:eastAsia="ar-SA"/>
        </w:rPr>
        <w:t>Куськова Юлия Александровна,</w:t>
      </w:r>
    </w:p>
    <w:p w:rsidR="00517711" w:rsidRDefault="00F815BE">
      <w:pPr>
        <w:spacing w:after="0" w:line="240" w:lineRule="auto"/>
        <w:jc w:val="center"/>
        <w:rPr>
          <w:rFonts w:ascii="Arial" w:hAnsi="Arial" w:cs="Arial"/>
          <w:sz w:val="24"/>
          <w:szCs w:val="24"/>
        </w:rPr>
      </w:pPr>
      <w:r>
        <w:rPr>
          <w:rFonts w:ascii="Arial" w:hAnsi="Arial" w:cs="Arial"/>
          <w:sz w:val="24"/>
          <w:szCs w:val="24"/>
          <w:lang w:eastAsia="ar-SA"/>
        </w:rPr>
        <w:t>бакалавр</w:t>
      </w:r>
    </w:p>
    <w:p w:rsidR="00517711" w:rsidRDefault="00F815BE">
      <w:pPr>
        <w:spacing w:before="240" w:line="240" w:lineRule="auto"/>
        <w:jc w:val="center"/>
        <w:rPr>
          <w:rFonts w:ascii="Times New Roman" w:hAnsi="Times New Roman"/>
          <w:i/>
          <w:szCs w:val="24"/>
        </w:rPr>
      </w:pPr>
      <w:r>
        <w:rPr>
          <w:rFonts w:ascii="Times New Roman" w:hAnsi="Times New Roman"/>
          <w:i/>
          <w:szCs w:val="24"/>
        </w:rPr>
        <w:t>Владивостокский государственный университет экономики и сервиса</w:t>
      </w:r>
      <w:r>
        <w:rPr>
          <w:rFonts w:ascii="Times New Roman" w:hAnsi="Times New Roman"/>
          <w:i/>
          <w:szCs w:val="24"/>
        </w:rPr>
        <w:br/>
        <w:t>Россия, Владивосток</w:t>
      </w:r>
    </w:p>
    <w:p w:rsidR="00517711" w:rsidRDefault="00F815BE">
      <w:pPr>
        <w:spacing w:before="24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lang w:val="en-US"/>
        </w:rPr>
        <w:t>E</w:t>
      </w:r>
      <w:r>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lang w:val="en-US"/>
        </w:rPr>
        <w:t>mail</w:t>
      </w:r>
      <w:r>
        <w:rPr>
          <w:rFonts w:ascii="Times New Roman" w:hAnsi="Times New Roman" w:cs="Times New Roman"/>
          <w:color w:val="000000" w:themeColor="text1"/>
          <w:sz w:val="20"/>
          <w:szCs w:val="20"/>
        </w:rPr>
        <w:t>:</w:t>
      </w:r>
      <w:hyperlink r:id="rId60" w:history="1">
        <w:r>
          <w:rPr>
            <w:rStyle w:val="aa"/>
            <w:rFonts w:ascii="Times New Roman" w:hAnsi="Times New Roman" w:cs="Times New Roman"/>
            <w:color w:val="000000" w:themeColor="text1"/>
            <w:sz w:val="20"/>
            <w:szCs w:val="20"/>
            <w:lang w:val="en-US"/>
          </w:rPr>
          <w:t>kuskova</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yuliya</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mail</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ru</w:t>
        </w:r>
      </w:hyperlink>
      <w:r>
        <w:rPr>
          <w:rFonts w:ascii="Times New Roman" w:hAnsi="Times New Roman" w:cs="Times New Roman"/>
          <w:color w:val="000000" w:themeColor="text1"/>
          <w:sz w:val="20"/>
          <w:szCs w:val="20"/>
        </w:rPr>
        <w:t>, 89940084202</w:t>
      </w:r>
      <w:r>
        <w:rPr>
          <w:rFonts w:ascii="Times New Roman" w:hAnsi="Times New Roman" w:cs="Times New Roman"/>
          <w:color w:val="000000" w:themeColor="text1"/>
          <w:sz w:val="20"/>
          <w:szCs w:val="20"/>
        </w:rPr>
        <w:br/>
        <w:t>ул. Гоголя, 41, г. Владивосток, Приморский край, Россия, 690014</w:t>
      </w:r>
    </w:p>
    <w:p w:rsidR="00517711" w:rsidRDefault="00F815BE">
      <w:pPr>
        <w:spacing w:before="240" w:after="0" w:line="240" w:lineRule="auto"/>
        <w:ind w:firstLine="709"/>
        <w:jc w:val="both"/>
        <w:rPr>
          <w:rFonts w:ascii="Times New Roman" w:hAnsi="Times New Roman"/>
          <w:i/>
          <w:szCs w:val="24"/>
        </w:rPr>
      </w:pPr>
      <w:r>
        <w:rPr>
          <w:rFonts w:ascii="Times New Roman" w:hAnsi="Times New Roman"/>
          <w:i/>
          <w:szCs w:val="24"/>
        </w:rPr>
        <w:t>Данная статья посвящена комплексному исследованию заработной платы предприятия ООО РТС «Восточное», затрагивая системы оплаты труда, применяемые предприятием и пути их совершенствования. Целью статьи является анализ и оценка оплаты труда работников, работающих на предприятии ООО РТС «Восточное». Также в статье выяснены особенности документального оформления расчетов по оплате труда.</w:t>
      </w:r>
    </w:p>
    <w:p w:rsidR="00517711" w:rsidRDefault="00F815BE">
      <w:pPr>
        <w:widowControl w:val="0"/>
        <w:spacing w:after="0" w:line="240" w:lineRule="auto"/>
        <w:ind w:right="-72" w:firstLine="709"/>
        <w:jc w:val="both"/>
        <w:rPr>
          <w:rFonts w:ascii="Times New Roman" w:hAnsi="Times New Roman"/>
          <w:i/>
          <w:szCs w:val="24"/>
          <w:lang w:eastAsia="ar-SA"/>
        </w:rPr>
      </w:pPr>
      <w:r>
        <w:rPr>
          <w:rFonts w:ascii="Times New Roman" w:hAnsi="Times New Roman"/>
          <w:b/>
          <w:i/>
          <w:szCs w:val="24"/>
          <w:lang w:eastAsia="ar-SA"/>
        </w:rPr>
        <w:t>Ключевые слова и словосочетания:</w:t>
      </w:r>
      <w:r>
        <w:rPr>
          <w:rFonts w:ascii="Times New Roman" w:hAnsi="Times New Roman"/>
          <w:i/>
          <w:szCs w:val="24"/>
          <w:lang w:eastAsia="ar-SA"/>
        </w:rPr>
        <w:t xml:space="preserve"> оплата труда, заработная плата, системы оплаты труда, виды оплаты труда, выплаты, мотивация, фонд оплаты труда, производительность труда, пособия, премии, учёт заработной платы.</w:t>
      </w:r>
    </w:p>
    <w:p w:rsidR="00517711" w:rsidRDefault="00517711">
      <w:pPr>
        <w:spacing w:before="240" w:line="240" w:lineRule="auto"/>
        <w:jc w:val="center"/>
        <w:rPr>
          <w:rFonts w:ascii="Book Antiqua" w:hAnsi="Book Antiqua"/>
          <w:b/>
          <w:sz w:val="26"/>
          <w:szCs w:val="26"/>
        </w:rPr>
      </w:pPr>
    </w:p>
    <w:p w:rsidR="00517711" w:rsidRDefault="00F815BE">
      <w:pPr>
        <w:spacing w:before="240" w:line="240" w:lineRule="auto"/>
        <w:jc w:val="center"/>
        <w:rPr>
          <w:rFonts w:ascii="Book Antiqua" w:hAnsi="Book Antiqua"/>
          <w:b/>
          <w:sz w:val="26"/>
          <w:szCs w:val="26"/>
          <w:lang w:val="en-US"/>
        </w:rPr>
      </w:pPr>
      <w:r>
        <w:rPr>
          <w:rFonts w:ascii="Book Antiqua" w:hAnsi="Book Antiqua"/>
          <w:b/>
          <w:sz w:val="26"/>
          <w:szCs w:val="26"/>
          <w:lang w:val="en-US"/>
        </w:rPr>
        <w:lastRenderedPageBreak/>
        <w:t>TYPES, FORMS AND PAYMENT SYSTEMS, THEIR CHARACTERISTICS AND ORGANIZATION OF ACCOUNTING ON THE EXAMPLE OF LLC RTS «EASTERLY», MOSCOW.</w:t>
      </w:r>
    </w:p>
    <w:p w:rsidR="00517711" w:rsidRDefault="00F815BE">
      <w:pPr>
        <w:spacing w:before="240" w:after="0" w:line="240" w:lineRule="auto"/>
        <w:ind w:firstLine="709"/>
        <w:jc w:val="both"/>
        <w:rPr>
          <w:rFonts w:ascii="Times New Roman" w:hAnsi="Times New Roman"/>
          <w:b/>
          <w:i/>
          <w:szCs w:val="24"/>
          <w:lang w:val="en-US"/>
        </w:rPr>
      </w:pPr>
      <w:r>
        <w:rPr>
          <w:rFonts w:ascii="Times New Roman" w:hAnsi="Times New Roman"/>
          <w:i/>
          <w:szCs w:val="24"/>
          <w:lang w:val="en-US"/>
        </w:rPr>
        <w:t>This article is devoted to complex research of a salary of the LLC RTS « Easterly» enterprise, affecting the wage systems applied by the enterprise and ways of their improvement. The purpose of the article is to analyze and assess the remuneration of employees working at the enterprise LLC RTS Easterly». Also in article features of documentary registration of calculations on compensation are found out.</w:t>
      </w:r>
    </w:p>
    <w:p w:rsidR="00517711" w:rsidRDefault="00F815BE">
      <w:pPr>
        <w:spacing w:after="0" w:line="240" w:lineRule="auto"/>
        <w:ind w:firstLine="709"/>
        <w:jc w:val="both"/>
        <w:rPr>
          <w:rFonts w:ascii="Times New Roman" w:hAnsi="Times New Roman"/>
          <w:b/>
          <w:i/>
          <w:szCs w:val="24"/>
          <w:lang w:val="en-US"/>
        </w:rPr>
      </w:pPr>
      <w:r>
        <w:rPr>
          <w:rFonts w:ascii="Times New Roman" w:hAnsi="Times New Roman"/>
          <w:b/>
          <w:i/>
          <w:szCs w:val="24"/>
          <w:lang w:val="en-US"/>
        </w:rPr>
        <w:t xml:space="preserve">Key words: </w:t>
      </w:r>
      <w:r>
        <w:rPr>
          <w:rFonts w:ascii="Times New Roman" w:hAnsi="Times New Roman"/>
          <w:i/>
          <w:szCs w:val="24"/>
          <w:lang w:val="en-US"/>
        </w:rPr>
        <w:t>remuneration, wages, wage systems, types of remuneration, payments, motivation, wage Fund, productivity, benefits, bonuses, payroll accounting.</w:t>
      </w:r>
    </w:p>
    <w:p w:rsidR="00517711" w:rsidRDefault="00F815BE">
      <w:pPr>
        <w:spacing w:before="240"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Оплата труда является одной из наиболее значимых составляющих в отношениях между работником и работодателем. Задачей работодателя является выбор оптимальной системы оплаты труда, размера тарифных ставок, выплат в пользу работника и т.д. В свою очередь, задачами работника какого-либо предприятия являются качественное и своевременное выполнение своих обязанностей, положительная производительность труда и другое. После Конституции РФ главным регулятором трудовых отношений между работником и работодателем является Трудовой кодекс РФ, определяющий права и обязанности сторон [1].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        Актуальность исследуемого вопроса заключается в том, что оплату труда, являющуюся неотъемлемой составляющей жизни каждого человека, нельзя назвать идеальной, полностью удовлетворяющей потребности всех людей, поэтому она требует более глубокого изучения с целью дальнейшего совершенствования.  </w:t>
      </w:r>
    </w:p>
    <w:p w:rsidR="00517711" w:rsidRDefault="00F815BE">
      <w:pPr>
        <w:spacing w:after="0" w:line="240" w:lineRule="auto"/>
        <w:ind w:firstLine="709"/>
        <w:jc w:val="both"/>
        <w:rPr>
          <w:rFonts w:ascii="Times New Roman" w:hAnsi="Times New Roman" w:cs="Times New Roman"/>
          <w:b/>
          <w:sz w:val="20"/>
          <w:szCs w:val="20"/>
        </w:rPr>
      </w:pPr>
      <w:r>
        <w:rPr>
          <w:rFonts w:ascii="Times New Roman" w:hAnsi="Times New Roman" w:cs="Times New Roman"/>
          <w:sz w:val="20"/>
          <w:szCs w:val="20"/>
        </w:rPr>
        <w:t>Задача данной статьи состоит в рассмотрении системы оплаты труда и путей её совершенствования на примере ООО РТС «Восточное».</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Исследование проводится в рамках ООО РТС «Восточное». Что касается анализа оплаты труда, то актуально применение способа сравнения, который путём сопоставления фактических показателей с показателями прошлых лет помогает определить развитие тенденций экономических процессов.</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ООО РТС «Восточное», занимающаяся </w:t>
      </w:r>
      <w:r>
        <w:rPr>
          <w:rFonts w:ascii="Times New Roman" w:hAnsi="Times New Roman" w:cs="Times New Roman"/>
          <w:sz w:val="20"/>
          <w:szCs w:val="20"/>
          <w:shd w:val="clear" w:color="auto" w:fill="FFFFFF"/>
        </w:rPr>
        <w:t>оптовой торговлей</w:t>
      </w:r>
      <w:r>
        <w:rPr>
          <w:rFonts w:ascii="Times New Roman" w:hAnsi="Times New Roman" w:cs="Times New Roman"/>
          <w:sz w:val="20"/>
          <w:szCs w:val="20"/>
        </w:rPr>
        <w:t xml:space="preserve"> рыбой</w:t>
      </w:r>
      <w:r>
        <w:rPr>
          <w:rFonts w:ascii="Times New Roman" w:hAnsi="Times New Roman" w:cs="Times New Roman"/>
          <w:sz w:val="20"/>
          <w:szCs w:val="20"/>
          <w:shd w:val="clear" w:color="auto" w:fill="FFFFFF"/>
        </w:rPr>
        <w:t xml:space="preserve">, ракообразными, </w:t>
      </w:r>
      <w:r>
        <w:rPr>
          <w:rFonts w:ascii="Times New Roman" w:hAnsi="Times New Roman" w:cs="Times New Roman"/>
          <w:sz w:val="20"/>
          <w:szCs w:val="20"/>
        </w:rPr>
        <w:t xml:space="preserve">моллюсками </w:t>
      </w:r>
      <w:r>
        <w:rPr>
          <w:rFonts w:ascii="Times New Roman" w:hAnsi="Times New Roman" w:cs="Times New Roman"/>
          <w:sz w:val="20"/>
          <w:szCs w:val="20"/>
          <w:shd w:val="clear" w:color="auto" w:fill="FFFFFF"/>
        </w:rPr>
        <w:t xml:space="preserve">и консервами было зарегистрировано в 2006 году в Москве. На данный момент предприятие работает эффективно и имеет прибыль в размере 465 тыс. рублей в 2017 году [2].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Для того, чтобы проанализировать показатели, связанные с оплатой труда, рассмотрим нижеприведенную таблицу.</w:t>
      </w:r>
    </w:p>
    <w:p w:rsidR="00517711" w:rsidRDefault="00F815BE">
      <w:pPr>
        <w:spacing w:after="0" w:line="240" w:lineRule="auto"/>
        <w:jc w:val="right"/>
        <w:rPr>
          <w:rFonts w:ascii="Times New Roman" w:hAnsi="Times New Roman" w:cs="Times New Roman"/>
          <w:i/>
          <w:sz w:val="20"/>
          <w:szCs w:val="20"/>
        </w:rPr>
      </w:pPr>
      <w:r>
        <w:rPr>
          <w:rFonts w:ascii="Times New Roman" w:hAnsi="Times New Roman" w:cs="Times New Roman"/>
          <w:i/>
          <w:sz w:val="20"/>
          <w:szCs w:val="20"/>
        </w:rPr>
        <w:t>Таблица 1</w:t>
      </w:r>
    </w:p>
    <w:p w:rsidR="00517711" w:rsidRDefault="00F815BE">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Экономические показатели ООО РТС «Восточное» за 2016-2017 годы</w:t>
      </w:r>
    </w:p>
    <w:p w:rsidR="00517711" w:rsidRDefault="00517711">
      <w:pPr>
        <w:spacing w:after="0" w:line="240" w:lineRule="auto"/>
        <w:jc w:val="center"/>
        <w:rPr>
          <w:rFonts w:ascii="Times New Roman" w:hAnsi="Times New Roman" w:cs="Times New Roman"/>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7"/>
        <w:gridCol w:w="1882"/>
        <w:gridCol w:w="1882"/>
        <w:gridCol w:w="1904"/>
        <w:gridCol w:w="1886"/>
      </w:tblGrid>
      <w:tr w:rsidR="00517711">
        <w:trPr>
          <w:jc w:val="center"/>
        </w:trPr>
        <w:tc>
          <w:tcPr>
            <w:tcW w:w="2017" w:type="dxa"/>
            <w:vMerge w:val="restart"/>
            <w:vAlign w:val="center"/>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Показатель</w:t>
            </w:r>
          </w:p>
        </w:tc>
        <w:tc>
          <w:tcPr>
            <w:tcW w:w="1882" w:type="dxa"/>
            <w:vMerge w:val="restart"/>
            <w:vAlign w:val="center"/>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2016</w:t>
            </w:r>
          </w:p>
        </w:tc>
        <w:tc>
          <w:tcPr>
            <w:tcW w:w="1882" w:type="dxa"/>
            <w:vMerge w:val="restart"/>
            <w:vAlign w:val="center"/>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2017</w:t>
            </w:r>
          </w:p>
        </w:tc>
        <w:tc>
          <w:tcPr>
            <w:tcW w:w="3790" w:type="dxa"/>
            <w:gridSpan w:val="2"/>
            <w:vAlign w:val="center"/>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Изменения</w:t>
            </w:r>
          </w:p>
        </w:tc>
      </w:tr>
      <w:tr w:rsidR="00517711">
        <w:trPr>
          <w:jc w:val="center"/>
        </w:trPr>
        <w:tc>
          <w:tcPr>
            <w:tcW w:w="2017" w:type="dxa"/>
            <w:vMerge/>
            <w:vAlign w:val="center"/>
          </w:tcPr>
          <w:p w:rsidR="00517711" w:rsidRDefault="00517711">
            <w:pPr>
              <w:spacing w:after="0" w:line="240" w:lineRule="auto"/>
              <w:jc w:val="center"/>
              <w:rPr>
                <w:rFonts w:ascii="Times New Roman" w:hAnsi="Times New Roman" w:cs="Times New Roman"/>
                <w:sz w:val="20"/>
                <w:szCs w:val="20"/>
              </w:rPr>
            </w:pPr>
          </w:p>
        </w:tc>
        <w:tc>
          <w:tcPr>
            <w:tcW w:w="1882" w:type="dxa"/>
            <w:vMerge/>
            <w:vAlign w:val="center"/>
          </w:tcPr>
          <w:p w:rsidR="00517711" w:rsidRDefault="00517711">
            <w:pPr>
              <w:spacing w:after="0" w:line="240" w:lineRule="auto"/>
              <w:jc w:val="center"/>
              <w:rPr>
                <w:rFonts w:ascii="Times New Roman" w:hAnsi="Times New Roman" w:cs="Times New Roman"/>
                <w:sz w:val="20"/>
                <w:szCs w:val="20"/>
              </w:rPr>
            </w:pPr>
          </w:p>
        </w:tc>
        <w:tc>
          <w:tcPr>
            <w:tcW w:w="1882" w:type="dxa"/>
            <w:vMerge/>
            <w:vAlign w:val="center"/>
          </w:tcPr>
          <w:p w:rsidR="00517711" w:rsidRDefault="00517711">
            <w:pPr>
              <w:spacing w:after="0" w:line="240" w:lineRule="auto"/>
              <w:jc w:val="center"/>
              <w:rPr>
                <w:rFonts w:ascii="Times New Roman" w:hAnsi="Times New Roman" w:cs="Times New Roman"/>
                <w:sz w:val="20"/>
                <w:szCs w:val="20"/>
              </w:rPr>
            </w:pPr>
          </w:p>
        </w:tc>
        <w:tc>
          <w:tcPr>
            <w:tcW w:w="1904" w:type="dxa"/>
            <w:vAlign w:val="center"/>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В абс. выражении, тыс. руб.</w:t>
            </w:r>
          </w:p>
        </w:tc>
        <w:tc>
          <w:tcPr>
            <w:tcW w:w="1886" w:type="dxa"/>
            <w:vAlign w:val="center"/>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В %</w:t>
            </w:r>
          </w:p>
        </w:tc>
      </w:tr>
      <w:tr w:rsidR="00517711">
        <w:trPr>
          <w:jc w:val="center"/>
        </w:trPr>
        <w:tc>
          <w:tcPr>
            <w:tcW w:w="2017" w:type="dxa"/>
          </w:tcPr>
          <w:p w:rsidR="00517711" w:rsidRDefault="00F815BE">
            <w:pPr>
              <w:pStyle w:val="afa"/>
              <w:jc w:val="left"/>
              <w:rPr>
                <w:bCs/>
                <w:sz w:val="20"/>
                <w:szCs w:val="20"/>
              </w:rPr>
            </w:pPr>
            <w:r>
              <w:rPr>
                <w:sz w:val="20"/>
                <w:szCs w:val="20"/>
              </w:rPr>
              <w:t xml:space="preserve">Среднегодовой фонд </w:t>
            </w:r>
            <w:r>
              <w:rPr>
                <w:bCs/>
                <w:sz w:val="20"/>
                <w:szCs w:val="20"/>
              </w:rPr>
              <w:t>оплаты труда (руб.)</w:t>
            </w:r>
          </w:p>
        </w:tc>
        <w:tc>
          <w:tcPr>
            <w:tcW w:w="1882" w:type="dxa"/>
            <w:vAlign w:val="center"/>
          </w:tcPr>
          <w:p w:rsidR="00517711" w:rsidRDefault="00F815BE">
            <w:pPr>
              <w:pStyle w:val="afa"/>
              <w:jc w:val="center"/>
              <w:rPr>
                <w:bCs/>
                <w:sz w:val="20"/>
                <w:szCs w:val="20"/>
              </w:rPr>
            </w:pPr>
            <w:r>
              <w:rPr>
                <w:sz w:val="20"/>
                <w:szCs w:val="20"/>
              </w:rPr>
              <w:t>1892</w:t>
            </w:r>
          </w:p>
        </w:tc>
        <w:tc>
          <w:tcPr>
            <w:tcW w:w="1882" w:type="dxa"/>
            <w:vAlign w:val="center"/>
          </w:tcPr>
          <w:p w:rsidR="00517711" w:rsidRDefault="00F815BE">
            <w:pPr>
              <w:pStyle w:val="afa"/>
              <w:jc w:val="center"/>
              <w:rPr>
                <w:bCs/>
                <w:sz w:val="20"/>
                <w:szCs w:val="20"/>
              </w:rPr>
            </w:pPr>
            <w:r>
              <w:rPr>
                <w:sz w:val="20"/>
                <w:szCs w:val="20"/>
              </w:rPr>
              <w:t>1977</w:t>
            </w:r>
          </w:p>
        </w:tc>
        <w:tc>
          <w:tcPr>
            <w:tcW w:w="1904" w:type="dxa"/>
            <w:vAlign w:val="center"/>
          </w:tcPr>
          <w:p w:rsidR="00517711" w:rsidRDefault="00F815BE">
            <w:pPr>
              <w:pStyle w:val="afa"/>
              <w:jc w:val="center"/>
              <w:rPr>
                <w:bCs/>
                <w:sz w:val="20"/>
                <w:szCs w:val="20"/>
              </w:rPr>
            </w:pPr>
            <w:r>
              <w:rPr>
                <w:bCs/>
                <w:sz w:val="20"/>
                <w:szCs w:val="20"/>
              </w:rPr>
              <w:t>+85</w:t>
            </w:r>
          </w:p>
        </w:tc>
        <w:tc>
          <w:tcPr>
            <w:tcW w:w="1886" w:type="dxa"/>
            <w:vAlign w:val="center"/>
          </w:tcPr>
          <w:p w:rsidR="00517711" w:rsidRDefault="00F815BE">
            <w:pPr>
              <w:pStyle w:val="afa"/>
              <w:jc w:val="center"/>
              <w:rPr>
                <w:bCs/>
                <w:sz w:val="20"/>
                <w:szCs w:val="20"/>
              </w:rPr>
            </w:pPr>
            <w:r>
              <w:rPr>
                <w:sz w:val="20"/>
                <w:szCs w:val="20"/>
              </w:rPr>
              <w:t>104,49</w:t>
            </w:r>
          </w:p>
        </w:tc>
      </w:tr>
      <w:tr w:rsidR="00517711">
        <w:trPr>
          <w:jc w:val="center"/>
        </w:trPr>
        <w:tc>
          <w:tcPr>
            <w:tcW w:w="2017" w:type="dxa"/>
          </w:tcPr>
          <w:p w:rsidR="00517711" w:rsidRDefault="00F815BE">
            <w:pPr>
              <w:pStyle w:val="afa"/>
              <w:jc w:val="left"/>
              <w:rPr>
                <w:bCs/>
                <w:sz w:val="20"/>
                <w:szCs w:val="20"/>
              </w:rPr>
            </w:pPr>
            <w:r>
              <w:rPr>
                <w:bCs/>
                <w:sz w:val="20"/>
                <w:szCs w:val="20"/>
              </w:rPr>
              <w:t>Средняя зарплата (</w:t>
            </w:r>
            <w:r>
              <w:rPr>
                <w:sz w:val="20"/>
                <w:szCs w:val="20"/>
              </w:rPr>
              <w:t>руб.</w:t>
            </w:r>
            <w:r>
              <w:rPr>
                <w:bCs/>
                <w:sz w:val="20"/>
                <w:szCs w:val="20"/>
              </w:rPr>
              <w:t>)</w:t>
            </w:r>
          </w:p>
        </w:tc>
        <w:tc>
          <w:tcPr>
            <w:tcW w:w="1882" w:type="dxa"/>
            <w:vAlign w:val="center"/>
          </w:tcPr>
          <w:p w:rsidR="00517711" w:rsidRDefault="00F815BE">
            <w:pPr>
              <w:pStyle w:val="afa"/>
              <w:jc w:val="center"/>
              <w:rPr>
                <w:bCs/>
                <w:color w:val="000000"/>
                <w:sz w:val="20"/>
                <w:szCs w:val="20"/>
              </w:rPr>
            </w:pPr>
            <w:r>
              <w:rPr>
                <w:bCs/>
                <w:sz w:val="20"/>
                <w:szCs w:val="20"/>
              </w:rPr>
              <w:t>19,7</w:t>
            </w:r>
          </w:p>
        </w:tc>
        <w:tc>
          <w:tcPr>
            <w:tcW w:w="1882" w:type="dxa"/>
            <w:vAlign w:val="center"/>
          </w:tcPr>
          <w:p w:rsidR="00517711" w:rsidRDefault="00F815BE">
            <w:pPr>
              <w:pStyle w:val="afa"/>
              <w:jc w:val="center"/>
              <w:rPr>
                <w:bCs/>
                <w:color w:val="000000"/>
                <w:sz w:val="20"/>
                <w:szCs w:val="20"/>
              </w:rPr>
            </w:pPr>
            <w:r>
              <w:rPr>
                <w:bCs/>
                <w:sz w:val="20"/>
                <w:szCs w:val="20"/>
              </w:rPr>
              <w:t>20,6</w:t>
            </w:r>
          </w:p>
        </w:tc>
        <w:tc>
          <w:tcPr>
            <w:tcW w:w="1904" w:type="dxa"/>
            <w:vAlign w:val="center"/>
          </w:tcPr>
          <w:p w:rsidR="00517711" w:rsidRDefault="00F815BE">
            <w:pPr>
              <w:pStyle w:val="afa"/>
              <w:jc w:val="center"/>
              <w:rPr>
                <w:bCs/>
                <w:sz w:val="20"/>
                <w:szCs w:val="20"/>
              </w:rPr>
            </w:pPr>
            <w:r>
              <w:rPr>
                <w:bCs/>
                <w:sz w:val="20"/>
                <w:szCs w:val="20"/>
              </w:rPr>
              <w:t>0,9</w:t>
            </w:r>
          </w:p>
        </w:tc>
        <w:tc>
          <w:tcPr>
            <w:tcW w:w="1886" w:type="dxa"/>
            <w:vAlign w:val="center"/>
          </w:tcPr>
          <w:p w:rsidR="00517711" w:rsidRDefault="00F815BE">
            <w:pPr>
              <w:pStyle w:val="afa"/>
              <w:jc w:val="center"/>
              <w:rPr>
                <w:bCs/>
                <w:sz w:val="20"/>
                <w:szCs w:val="20"/>
              </w:rPr>
            </w:pPr>
            <w:r>
              <w:rPr>
                <w:sz w:val="20"/>
                <w:szCs w:val="20"/>
              </w:rPr>
              <w:t>104,57</w:t>
            </w:r>
          </w:p>
        </w:tc>
      </w:tr>
      <w:tr w:rsidR="00517711">
        <w:trPr>
          <w:jc w:val="center"/>
        </w:trPr>
        <w:tc>
          <w:tcPr>
            <w:tcW w:w="2017" w:type="dxa"/>
          </w:tcPr>
          <w:p w:rsidR="00517711" w:rsidRDefault="00F815BE">
            <w:pPr>
              <w:pStyle w:val="afa"/>
              <w:jc w:val="left"/>
              <w:rPr>
                <w:bCs/>
                <w:sz w:val="20"/>
                <w:szCs w:val="20"/>
              </w:rPr>
            </w:pPr>
            <w:bookmarkStart w:id="3" w:name="_Toc328064591"/>
            <w:r>
              <w:rPr>
                <w:sz w:val="20"/>
                <w:szCs w:val="20"/>
              </w:rPr>
              <w:t xml:space="preserve">Среднесписочная численность работников </w:t>
            </w:r>
            <w:r>
              <w:rPr>
                <w:bCs/>
                <w:sz w:val="20"/>
                <w:szCs w:val="20"/>
              </w:rPr>
              <w:t>(чел.)</w:t>
            </w:r>
            <w:bookmarkEnd w:id="3"/>
          </w:p>
          <w:p w:rsidR="00517711" w:rsidRDefault="00517711">
            <w:pPr>
              <w:pStyle w:val="afa"/>
              <w:jc w:val="left"/>
              <w:rPr>
                <w:bCs/>
                <w:sz w:val="20"/>
                <w:szCs w:val="20"/>
              </w:rPr>
            </w:pPr>
          </w:p>
        </w:tc>
        <w:tc>
          <w:tcPr>
            <w:tcW w:w="1882" w:type="dxa"/>
            <w:vAlign w:val="center"/>
          </w:tcPr>
          <w:p w:rsidR="00517711" w:rsidRDefault="00F815BE">
            <w:pPr>
              <w:pStyle w:val="afa"/>
              <w:jc w:val="center"/>
              <w:rPr>
                <w:color w:val="000000"/>
                <w:sz w:val="20"/>
                <w:szCs w:val="20"/>
              </w:rPr>
            </w:pPr>
            <w:r>
              <w:rPr>
                <w:color w:val="000000"/>
                <w:sz w:val="20"/>
                <w:szCs w:val="20"/>
              </w:rPr>
              <w:t>8</w:t>
            </w:r>
          </w:p>
        </w:tc>
        <w:tc>
          <w:tcPr>
            <w:tcW w:w="1882" w:type="dxa"/>
            <w:vAlign w:val="center"/>
          </w:tcPr>
          <w:p w:rsidR="00517711" w:rsidRDefault="00F815BE">
            <w:pPr>
              <w:pStyle w:val="afa"/>
              <w:jc w:val="center"/>
              <w:rPr>
                <w:color w:val="000000"/>
                <w:sz w:val="20"/>
                <w:szCs w:val="20"/>
              </w:rPr>
            </w:pPr>
            <w:r>
              <w:rPr>
                <w:color w:val="000000"/>
                <w:sz w:val="20"/>
                <w:szCs w:val="20"/>
              </w:rPr>
              <w:t>8</w:t>
            </w:r>
          </w:p>
        </w:tc>
        <w:tc>
          <w:tcPr>
            <w:tcW w:w="1904" w:type="dxa"/>
            <w:vAlign w:val="center"/>
          </w:tcPr>
          <w:p w:rsidR="00517711" w:rsidRDefault="00F815BE">
            <w:pPr>
              <w:pStyle w:val="afa"/>
              <w:jc w:val="center"/>
              <w:rPr>
                <w:bCs/>
                <w:sz w:val="20"/>
                <w:szCs w:val="20"/>
              </w:rPr>
            </w:pPr>
            <w:r>
              <w:rPr>
                <w:bCs/>
                <w:sz w:val="20"/>
                <w:szCs w:val="20"/>
              </w:rPr>
              <w:t>-</w:t>
            </w:r>
          </w:p>
        </w:tc>
        <w:tc>
          <w:tcPr>
            <w:tcW w:w="1886" w:type="dxa"/>
            <w:vAlign w:val="center"/>
          </w:tcPr>
          <w:p w:rsidR="00517711" w:rsidRDefault="00F815BE">
            <w:pPr>
              <w:pStyle w:val="afa"/>
              <w:jc w:val="center"/>
              <w:rPr>
                <w:bCs/>
                <w:sz w:val="20"/>
                <w:szCs w:val="20"/>
              </w:rPr>
            </w:pPr>
            <w:r>
              <w:rPr>
                <w:bCs/>
                <w:sz w:val="20"/>
                <w:szCs w:val="20"/>
              </w:rPr>
              <w:t>100</w:t>
            </w:r>
          </w:p>
        </w:tc>
      </w:tr>
    </w:tbl>
    <w:p w:rsidR="00517711" w:rsidRDefault="00F815BE">
      <w:pPr>
        <w:spacing w:before="120"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Из приведённой таблицы видно, что численность персонала за рассматриваемый период осталасьнеизменной и составляет 8 человек. Средняя заработная плата увеличилась с 19,7 тыс. рублей до 20,6 тыс. рублей в отчетном 2017году. В связи с возрастанием средней заработной платы, годовой фонд оплаты труда увеличивается на 85 тыс. рублей и составил 1977 тыс. рублей. Увеличение фонда оплаты труда говорит о росте расходов на заработную плату работникам ООО РТС «Восточное», в том числе о росте премий, надбавок и каких-либо компенсаций в пользу рабочего персонала [3, с 852]. </w:t>
      </w:r>
    </w:p>
    <w:p w:rsidR="00517711" w:rsidRDefault="00F815BE">
      <w:pPr>
        <w:tabs>
          <w:tab w:val="right" w:pos="2410"/>
        </w:tabs>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На предприятии используется повременная форма оплаты труда, рассчитываемая исходя из установленного оклада за фактически отработанное время. Размеры окладов для различных категорий работников ООО РТС «Восточное» устанавливаются в Положении об оплате труда и указываются в штатном расписании. Основополагающим документом</w:t>
      </w:r>
      <w:r>
        <w:rPr>
          <w:rFonts w:ascii="Times New Roman" w:hAnsi="Times New Roman" w:cs="Times New Roman"/>
          <w:spacing w:val="-5"/>
          <w:sz w:val="20"/>
          <w:szCs w:val="20"/>
        </w:rPr>
        <w:t xml:space="preserve"> при расчёте заработка </w:t>
      </w:r>
      <w:r>
        <w:rPr>
          <w:rFonts w:ascii="Times New Roman" w:hAnsi="Times New Roman" w:cs="Times New Roman"/>
          <w:sz w:val="20"/>
          <w:szCs w:val="20"/>
        </w:rPr>
        <w:t>рабочего-повременщика является</w:t>
      </w:r>
      <w:r>
        <w:rPr>
          <w:rFonts w:ascii="Times New Roman" w:hAnsi="Times New Roman" w:cs="Times New Roman"/>
          <w:spacing w:val="-5"/>
          <w:sz w:val="20"/>
          <w:szCs w:val="20"/>
        </w:rPr>
        <w:t xml:space="preserve"> табель учёта  </w:t>
      </w:r>
      <w:r>
        <w:rPr>
          <w:rFonts w:ascii="Times New Roman" w:hAnsi="Times New Roman" w:cs="Times New Roman"/>
          <w:sz w:val="20"/>
          <w:szCs w:val="20"/>
        </w:rPr>
        <w:t>использования рабочего</w:t>
      </w:r>
      <w:r>
        <w:rPr>
          <w:rFonts w:ascii="Times New Roman" w:hAnsi="Times New Roman" w:cs="Times New Roman"/>
          <w:spacing w:val="-5"/>
          <w:sz w:val="20"/>
          <w:szCs w:val="20"/>
        </w:rPr>
        <w:t xml:space="preserve"> времени.</w:t>
      </w:r>
    </w:p>
    <w:p w:rsidR="00517711" w:rsidRDefault="00F815BE">
      <w:pPr>
        <w:pStyle w:val="af9"/>
        <w:spacing w:line="240" w:lineRule="auto"/>
        <w:rPr>
          <w:sz w:val="20"/>
          <w:szCs w:val="20"/>
          <w:shd w:val="clear" w:color="auto" w:fill="FFFFFF"/>
        </w:rPr>
      </w:pPr>
      <w:r>
        <w:rPr>
          <w:sz w:val="20"/>
          <w:szCs w:val="20"/>
        </w:rPr>
        <w:t>Аналитический учёт</w:t>
      </w:r>
      <w:r>
        <w:rPr>
          <w:sz w:val="20"/>
          <w:szCs w:val="20"/>
          <w:shd w:val="clear" w:color="auto" w:fill="FFFFFF"/>
        </w:rPr>
        <w:t xml:space="preserve"> заработной </w:t>
      </w:r>
      <w:r>
        <w:rPr>
          <w:sz w:val="20"/>
          <w:szCs w:val="20"/>
        </w:rPr>
        <w:t>платы</w:t>
      </w:r>
      <w:r>
        <w:rPr>
          <w:sz w:val="20"/>
          <w:szCs w:val="20"/>
          <w:shd w:val="clear" w:color="auto" w:fill="FFFFFF"/>
        </w:rPr>
        <w:t xml:space="preserve"> ведется с </w:t>
      </w:r>
      <w:r>
        <w:rPr>
          <w:sz w:val="20"/>
          <w:szCs w:val="20"/>
        </w:rPr>
        <w:t>использованием лицевого счёта</w:t>
      </w:r>
      <w:r>
        <w:rPr>
          <w:sz w:val="20"/>
          <w:szCs w:val="20"/>
          <w:shd w:val="clear" w:color="auto" w:fill="FFFFFF"/>
        </w:rPr>
        <w:t xml:space="preserve">, </w:t>
      </w:r>
      <w:r>
        <w:rPr>
          <w:sz w:val="20"/>
          <w:szCs w:val="20"/>
        </w:rPr>
        <w:t xml:space="preserve">расчётной </w:t>
      </w:r>
      <w:r>
        <w:rPr>
          <w:sz w:val="20"/>
          <w:szCs w:val="20"/>
          <w:shd w:val="clear" w:color="auto" w:fill="FFFFFF"/>
        </w:rPr>
        <w:t xml:space="preserve">ведомости, платежной </w:t>
      </w:r>
      <w:r>
        <w:rPr>
          <w:sz w:val="20"/>
          <w:szCs w:val="20"/>
        </w:rPr>
        <w:t>ведомости</w:t>
      </w:r>
      <w:r>
        <w:rPr>
          <w:sz w:val="20"/>
          <w:szCs w:val="20"/>
          <w:shd w:val="clear" w:color="auto" w:fill="FFFFFF"/>
        </w:rPr>
        <w:t xml:space="preserve">, </w:t>
      </w:r>
      <w:r>
        <w:rPr>
          <w:sz w:val="20"/>
          <w:szCs w:val="20"/>
        </w:rPr>
        <w:t xml:space="preserve">расчётно-платежной </w:t>
      </w:r>
      <w:r>
        <w:rPr>
          <w:sz w:val="20"/>
          <w:szCs w:val="20"/>
          <w:shd w:val="clear" w:color="auto" w:fill="FFFFFF"/>
        </w:rPr>
        <w:t xml:space="preserve">ведомости. В </w:t>
      </w:r>
      <w:r>
        <w:rPr>
          <w:sz w:val="20"/>
          <w:szCs w:val="20"/>
        </w:rPr>
        <w:t>этих формах</w:t>
      </w:r>
      <w:r>
        <w:rPr>
          <w:sz w:val="20"/>
          <w:szCs w:val="20"/>
          <w:shd w:val="clear" w:color="auto" w:fill="FFFFFF"/>
        </w:rPr>
        <w:t xml:space="preserve"> отражается </w:t>
      </w:r>
      <w:r>
        <w:rPr>
          <w:sz w:val="20"/>
          <w:szCs w:val="20"/>
        </w:rPr>
        <w:t>информация</w:t>
      </w:r>
      <w:r>
        <w:rPr>
          <w:sz w:val="20"/>
          <w:szCs w:val="20"/>
          <w:shd w:val="clear" w:color="auto" w:fill="FFFFFF"/>
        </w:rPr>
        <w:t xml:space="preserve"> по </w:t>
      </w:r>
      <w:r>
        <w:rPr>
          <w:sz w:val="20"/>
          <w:szCs w:val="20"/>
        </w:rPr>
        <w:t xml:space="preserve">начислению </w:t>
      </w:r>
      <w:r>
        <w:rPr>
          <w:sz w:val="20"/>
          <w:szCs w:val="20"/>
          <w:shd w:val="clear" w:color="auto" w:fill="FFFFFF"/>
        </w:rPr>
        <w:t xml:space="preserve">оплаты </w:t>
      </w:r>
      <w:r>
        <w:rPr>
          <w:sz w:val="20"/>
          <w:szCs w:val="20"/>
        </w:rPr>
        <w:t>труда</w:t>
      </w:r>
      <w:r>
        <w:rPr>
          <w:sz w:val="20"/>
          <w:szCs w:val="20"/>
          <w:shd w:val="clear" w:color="auto" w:fill="FFFFFF"/>
        </w:rPr>
        <w:t xml:space="preserve">, </w:t>
      </w:r>
      <w:r>
        <w:rPr>
          <w:sz w:val="20"/>
          <w:szCs w:val="20"/>
        </w:rPr>
        <w:t>удержаниям</w:t>
      </w:r>
      <w:r>
        <w:rPr>
          <w:sz w:val="20"/>
          <w:szCs w:val="20"/>
          <w:shd w:val="clear" w:color="auto" w:fill="FFFFFF"/>
        </w:rPr>
        <w:t xml:space="preserve">, начисленным налогам, </w:t>
      </w:r>
      <w:r>
        <w:rPr>
          <w:sz w:val="20"/>
          <w:szCs w:val="20"/>
        </w:rPr>
        <w:t xml:space="preserve">выплатам </w:t>
      </w:r>
      <w:r>
        <w:rPr>
          <w:sz w:val="20"/>
          <w:szCs w:val="20"/>
          <w:shd w:val="clear" w:color="auto" w:fill="FFFFFF"/>
        </w:rPr>
        <w:t>и т.д. [4].</w:t>
      </w:r>
    </w:p>
    <w:p w:rsidR="00517711" w:rsidRDefault="00F815BE">
      <w:pPr>
        <w:pStyle w:val="af9"/>
        <w:spacing w:line="240" w:lineRule="auto"/>
        <w:rPr>
          <w:sz w:val="20"/>
          <w:szCs w:val="20"/>
        </w:rPr>
      </w:pPr>
      <w:r>
        <w:rPr>
          <w:spacing w:val="-4"/>
          <w:sz w:val="20"/>
          <w:szCs w:val="20"/>
          <w:lang w:eastAsia="ru-RU"/>
        </w:rPr>
        <w:t xml:space="preserve">Учет расчетов по </w:t>
      </w:r>
      <w:r>
        <w:rPr>
          <w:sz w:val="20"/>
          <w:szCs w:val="20"/>
        </w:rPr>
        <w:t>заработной плате</w:t>
      </w:r>
      <w:r>
        <w:rPr>
          <w:spacing w:val="-4"/>
          <w:sz w:val="20"/>
          <w:szCs w:val="20"/>
          <w:lang w:eastAsia="ru-RU"/>
        </w:rPr>
        <w:t xml:space="preserve"> ведется на </w:t>
      </w:r>
      <w:r>
        <w:rPr>
          <w:sz w:val="20"/>
          <w:szCs w:val="20"/>
        </w:rPr>
        <w:t>синтетическом счёте</w:t>
      </w:r>
      <w:r>
        <w:rPr>
          <w:spacing w:val="-4"/>
          <w:sz w:val="20"/>
          <w:szCs w:val="20"/>
          <w:lang w:eastAsia="ru-RU"/>
        </w:rPr>
        <w:t xml:space="preserve"> 70 </w:t>
      </w:r>
      <w:r>
        <w:rPr>
          <w:spacing w:val="-5"/>
          <w:sz w:val="20"/>
          <w:szCs w:val="20"/>
          <w:lang w:eastAsia="ru-RU"/>
        </w:rPr>
        <w:t xml:space="preserve">«Расчеты с персоналом по </w:t>
      </w:r>
      <w:r>
        <w:rPr>
          <w:sz w:val="20"/>
          <w:szCs w:val="20"/>
        </w:rPr>
        <w:t xml:space="preserve">оплате </w:t>
      </w:r>
      <w:r>
        <w:rPr>
          <w:sz w:val="20"/>
          <w:szCs w:val="20"/>
        </w:rPr>
        <w:lastRenderedPageBreak/>
        <w:t>труда</w:t>
      </w:r>
      <w:r>
        <w:rPr>
          <w:spacing w:val="-5"/>
          <w:sz w:val="20"/>
          <w:szCs w:val="20"/>
          <w:lang w:eastAsia="ru-RU"/>
        </w:rPr>
        <w:t xml:space="preserve">», являющимся пассивным по отношению к балансу. </w:t>
      </w:r>
      <w:r>
        <w:rPr>
          <w:sz w:val="20"/>
          <w:szCs w:val="20"/>
        </w:rPr>
        <w:t xml:space="preserve">Оборот </w:t>
      </w:r>
      <w:r>
        <w:rPr>
          <w:sz w:val="20"/>
          <w:szCs w:val="20"/>
          <w:lang w:eastAsia="ru-RU"/>
        </w:rPr>
        <w:t xml:space="preserve">по кредиту </w:t>
      </w:r>
      <w:r>
        <w:rPr>
          <w:sz w:val="20"/>
          <w:szCs w:val="20"/>
        </w:rPr>
        <w:t>показывает сумму</w:t>
      </w:r>
      <w:r>
        <w:rPr>
          <w:spacing w:val="-4"/>
          <w:sz w:val="20"/>
          <w:szCs w:val="20"/>
          <w:lang w:eastAsia="ru-RU"/>
        </w:rPr>
        <w:t xml:space="preserve"> начисленной </w:t>
      </w:r>
      <w:r>
        <w:rPr>
          <w:sz w:val="20"/>
          <w:szCs w:val="20"/>
        </w:rPr>
        <w:t xml:space="preserve">заработной </w:t>
      </w:r>
      <w:r>
        <w:rPr>
          <w:spacing w:val="-2"/>
          <w:sz w:val="20"/>
          <w:szCs w:val="20"/>
          <w:lang w:eastAsia="ru-RU"/>
        </w:rPr>
        <w:t xml:space="preserve">платы, </w:t>
      </w:r>
      <w:r>
        <w:rPr>
          <w:sz w:val="20"/>
          <w:szCs w:val="20"/>
        </w:rPr>
        <w:t>премий</w:t>
      </w:r>
      <w:r>
        <w:rPr>
          <w:spacing w:val="-2"/>
          <w:sz w:val="20"/>
          <w:szCs w:val="20"/>
          <w:lang w:eastAsia="ru-RU"/>
        </w:rPr>
        <w:t xml:space="preserve">, пособий и </w:t>
      </w:r>
      <w:r>
        <w:rPr>
          <w:sz w:val="20"/>
          <w:szCs w:val="20"/>
        </w:rPr>
        <w:t>прочих</w:t>
      </w:r>
      <w:r>
        <w:rPr>
          <w:spacing w:val="-2"/>
          <w:sz w:val="20"/>
          <w:szCs w:val="20"/>
          <w:lang w:eastAsia="ru-RU"/>
        </w:rPr>
        <w:t xml:space="preserve"> платежей. </w:t>
      </w:r>
      <w:r>
        <w:rPr>
          <w:sz w:val="20"/>
          <w:szCs w:val="20"/>
        </w:rPr>
        <w:t>Рассмотрим корреспонденцию счёта 70 с некоторыми другими счетами в приведённой ниже таблице.</w:t>
      </w:r>
    </w:p>
    <w:p w:rsidR="00517711" w:rsidRDefault="00F815BE">
      <w:pPr>
        <w:pStyle w:val="af9"/>
        <w:spacing w:line="240" w:lineRule="auto"/>
        <w:ind w:firstLine="0"/>
        <w:jc w:val="right"/>
        <w:rPr>
          <w:i/>
          <w:sz w:val="20"/>
          <w:szCs w:val="20"/>
        </w:rPr>
      </w:pPr>
      <w:r>
        <w:rPr>
          <w:i/>
          <w:sz w:val="20"/>
          <w:szCs w:val="20"/>
        </w:rPr>
        <w:t>Таблица 2</w:t>
      </w:r>
    </w:p>
    <w:p w:rsidR="00517711" w:rsidRDefault="00F815BE">
      <w:pPr>
        <w:pStyle w:val="af9"/>
        <w:spacing w:line="240" w:lineRule="auto"/>
        <w:ind w:firstLine="0"/>
        <w:jc w:val="center"/>
        <w:rPr>
          <w:b/>
          <w:spacing w:val="-4"/>
          <w:sz w:val="20"/>
          <w:szCs w:val="20"/>
          <w:lang w:eastAsia="ru-RU"/>
        </w:rPr>
      </w:pPr>
      <w:r>
        <w:rPr>
          <w:b/>
          <w:spacing w:val="-4"/>
          <w:sz w:val="20"/>
          <w:szCs w:val="20"/>
          <w:lang w:eastAsia="ru-RU"/>
        </w:rPr>
        <w:t>Корреспонденция счёта 70 с другими счетами ООО РТС «Восточное»</w:t>
      </w:r>
    </w:p>
    <w:p w:rsidR="00517711" w:rsidRDefault="00517711">
      <w:pPr>
        <w:pStyle w:val="af9"/>
        <w:spacing w:line="240" w:lineRule="auto"/>
        <w:ind w:firstLine="0"/>
        <w:jc w:val="center"/>
        <w:rPr>
          <w:b/>
          <w:spacing w:val="-4"/>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27"/>
        <w:gridCol w:w="1439"/>
        <w:gridCol w:w="1588"/>
      </w:tblGrid>
      <w:tr w:rsidR="00517711">
        <w:trPr>
          <w:trHeight w:val="454"/>
        </w:trPr>
        <w:tc>
          <w:tcPr>
            <w:tcW w:w="3464" w:type="pct"/>
          </w:tcPr>
          <w:p w:rsidR="00517711" w:rsidRDefault="00F815BE">
            <w:pPr>
              <w:widowControl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Хозяйственная операция</w:t>
            </w:r>
          </w:p>
        </w:tc>
        <w:tc>
          <w:tcPr>
            <w:tcW w:w="730" w:type="pct"/>
          </w:tcPr>
          <w:p w:rsidR="00517711" w:rsidRDefault="00F815BE">
            <w:pPr>
              <w:widowControl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Дебет</w:t>
            </w:r>
          </w:p>
        </w:tc>
        <w:tc>
          <w:tcPr>
            <w:tcW w:w="806" w:type="pct"/>
          </w:tcPr>
          <w:p w:rsidR="00517711" w:rsidRDefault="00F815BE">
            <w:pPr>
              <w:widowControl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Кредит</w:t>
            </w:r>
          </w:p>
        </w:tc>
      </w:tr>
      <w:tr w:rsidR="00517711">
        <w:trPr>
          <w:trHeight w:val="454"/>
        </w:trPr>
        <w:tc>
          <w:tcPr>
            <w:tcW w:w="3464" w:type="pct"/>
          </w:tcPr>
          <w:p w:rsidR="00517711" w:rsidRDefault="00F815BE">
            <w:pPr>
              <w:widowControl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Сумма заработной </w:t>
            </w:r>
            <w:r>
              <w:rPr>
                <w:rFonts w:ascii="Times New Roman" w:hAnsi="Times New Roman" w:cs="Times New Roman"/>
                <w:spacing w:val="-5"/>
                <w:sz w:val="20"/>
                <w:szCs w:val="20"/>
              </w:rPr>
              <w:t xml:space="preserve">платы, </w:t>
            </w:r>
            <w:r>
              <w:rPr>
                <w:rFonts w:ascii="Times New Roman" w:hAnsi="Times New Roman" w:cs="Times New Roman"/>
                <w:sz w:val="20"/>
                <w:szCs w:val="20"/>
              </w:rPr>
              <w:t>выплаченная наличным</w:t>
            </w:r>
          </w:p>
        </w:tc>
        <w:tc>
          <w:tcPr>
            <w:tcW w:w="730" w:type="pct"/>
          </w:tcPr>
          <w:p w:rsidR="00517711" w:rsidRDefault="00F815BE">
            <w:pPr>
              <w:widowControl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70</w:t>
            </w:r>
          </w:p>
        </w:tc>
        <w:tc>
          <w:tcPr>
            <w:tcW w:w="806" w:type="pct"/>
          </w:tcPr>
          <w:p w:rsidR="00517711" w:rsidRDefault="00F815BE">
            <w:pPr>
              <w:widowControl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50</w:t>
            </w:r>
          </w:p>
        </w:tc>
      </w:tr>
      <w:tr w:rsidR="00517711">
        <w:trPr>
          <w:trHeight w:val="454"/>
        </w:trPr>
        <w:tc>
          <w:tcPr>
            <w:tcW w:w="3464" w:type="pct"/>
          </w:tcPr>
          <w:p w:rsidR="00517711" w:rsidRDefault="00F815BE">
            <w:pPr>
              <w:widowControl w:val="0"/>
              <w:spacing w:after="0" w:line="240" w:lineRule="auto"/>
              <w:jc w:val="both"/>
              <w:rPr>
                <w:rFonts w:ascii="Times New Roman" w:hAnsi="Times New Roman" w:cs="Times New Roman"/>
                <w:sz w:val="20"/>
                <w:szCs w:val="20"/>
              </w:rPr>
            </w:pPr>
            <w:r>
              <w:rPr>
                <w:rFonts w:ascii="Times New Roman" w:hAnsi="Times New Roman" w:cs="Times New Roman"/>
                <w:spacing w:val="-5"/>
                <w:sz w:val="20"/>
                <w:szCs w:val="20"/>
              </w:rPr>
              <w:t xml:space="preserve">Сумма </w:t>
            </w:r>
            <w:r>
              <w:rPr>
                <w:rFonts w:ascii="Times New Roman" w:hAnsi="Times New Roman" w:cs="Times New Roman"/>
                <w:sz w:val="20"/>
                <w:szCs w:val="20"/>
              </w:rPr>
              <w:t>удержанных</w:t>
            </w:r>
            <w:r>
              <w:rPr>
                <w:rFonts w:ascii="Times New Roman" w:hAnsi="Times New Roman" w:cs="Times New Roman"/>
                <w:spacing w:val="-5"/>
                <w:sz w:val="20"/>
                <w:szCs w:val="20"/>
              </w:rPr>
              <w:t xml:space="preserve"> из заработной </w:t>
            </w:r>
            <w:r>
              <w:rPr>
                <w:rFonts w:ascii="Times New Roman" w:hAnsi="Times New Roman" w:cs="Times New Roman"/>
                <w:sz w:val="20"/>
                <w:szCs w:val="20"/>
              </w:rPr>
              <w:t>платы налогов</w:t>
            </w:r>
            <w:r>
              <w:rPr>
                <w:rFonts w:ascii="Times New Roman" w:hAnsi="Times New Roman" w:cs="Times New Roman"/>
                <w:spacing w:val="-5"/>
                <w:sz w:val="20"/>
                <w:szCs w:val="20"/>
              </w:rPr>
              <w:t xml:space="preserve"> в бюджет</w:t>
            </w:r>
          </w:p>
        </w:tc>
        <w:tc>
          <w:tcPr>
            <w:tcW w:w="730" w:type="pct"/>
          </w:tcPr>
          <w:p w:rsidR="00517711" w:rsidRDefault="00F815BE">
            <w:pPr>
              <w:widowControl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70</w:t>
            </w:r>
          </w:p>
        </w:tc>
        <w:tc>
          <w:tcPr>
            <w:tcW w:w="806" w:type="pct"/>
          </w:tcPr>
          <w:p w:rsidR="00517711" w:rsidRDefault="00F815BE">
            <w:pPr>
              <w:widowControl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68</w:t>
            </w:r>
          </w:p>
        </w:tc>
      </w:tr>
      <w:tr w:rsidR="00517711">
        <w:trPr>
          <w:trHeight w:val="454"/>
        </w:trPr>
        <w:tc>
          <w:tcPr>
            <w:tcW w:w="3464" w:type="pct"/>
          </w:tcPr>
          <w:p w:rsidR="00517711" w:rsidRDefault="00F815BE">
            <w:pPr>
              <w:widowControl w:val="0"/>
              <w:spacing w:after="0" w:line="240" w:lineRule="auto"/>
              <w:jc w:val="both"/>
              <w:rPr>
                <w:rFonts w:ascii="Times New Roman" w:hAnsi="Times New Roman" w:cs="Times New Roman"/>
                <w:sz w:val="20"/>
                <w:szCs w:val="20"/>
              </w:rPr>
            </w:pPr>
            <w:r>
              <w:rPr>
                <w:rFonts w:ascii="Times New Roman" w:hAnsi="Times New Roman" w:cs="Times New Roman"/>
                <w:spacing w:val="-4"/>
                <w:sz w:val="20"/>
                <w:szCs w:val="20"/>
              </w:rPr>
              <w:t xml:space="preserve">Сумма </w:t>
            </w:r>
            <w:r>
              <w:rPr>
                <w:rFonts w:ascii="Times New Roman" w:hAnsi="Times New Roman" w:cs="Times New Roman"/>
                <w:sz w:val="20"/>
                <w:szCs w:val="20"/>
              </w:rPr>
              <w:t>депонированной заработной</w:t>
            </w:r>
            <w:r>
              <w:rPr>
                <w:rFonts w:ascii="Times New Roman" w:hAnsi="Times New Roman" w:cs="Times New Roman"/>
                <w:spacing w:val="-4"/>
                <w:sz w:val="20"/>
                <w:szCs w:val="20"/>
              </w:rPr>
              <w:t xml:space="preserve"> платы</w:t>
            </w:r>
          </w:p>
        </w:tc>
        <w:tc>
          <w:tcPr>
            <w:tcW w:w="730" w:type="pct"/>
          </w:tcPr>
          <w:p w:rsidR="00517711" w:rsidRDefault="00F815BE">
            <w:pPr>
              <w:widowControl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70</w:t>
            </w:r>
          </w:p>
        </w:tc>
        <w:tc>
          <w:tcPr>
            <w:tcW w:w="806" w:type="pct"/>
          </w:tcPr>
          <w:p w:rsidR="00517711" w:rsidRDefault="00F815BE">
            <w:pPr>
              <w:widowControl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76</w:t>
            </w:r>
          </w:p>
        </w:tc>
      </w:tr>
      <w:tr w:rsidR="00517711">
        <w:trPr>
          <w:trHeight w:val="825"/>
        </w:trPr>
        <w:tc>
          <w:tcPr>
            <w:tcW w:w="3464" w:type="pct"/>
          </w:tcPr>
          <w:p w:rsidR="00517711" w:rsidRDefault="00F815BE">
            <w:pPr>
              <w:widowControl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Сумма, удержанной зарплаты в погашение задолженности за ранее нанесённый ущерб предприятию</w:t>
            </w:r>
          </w:p>
        </w:tc>
        <w:tc>
          <w:tcPr>
            <w:tcW w:w="730" w:type="pct"/>
          </w:tcPr>
          <w:p w:rsidR="00517711" w:rsidRDefault="00F815BE">
            <w:pPr>
              <w:widowControl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70</w:t>
            </w:r>
          </w:p>
        </w:tc>
        <w:tc>
          <w:tcPr>
            <w:tcW w:w="806" w:type="pct"/>
          </w:tcPr>
          <w:p w:rsidR="00517711" w:rsidRDefault="00F815BE">
            <w:pPr>
              <w:widowControl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73</w:t>
            </w:r>
          </w:p>
        </w:tc>
      </w:tr>
      <w:tr w:rsidR="00517711">
        <w:trPr>
          <w:trHeight w:val="825"/>
        </w:trPr>
        <w:tc>
          <w:tcPr>
            <w:tcW w:w="3464" w:type="pct"/>
          </w:tcPr>
          <w:p w:rsidR="00517711" w:rsidRDefault="00F815BE">
            <w:pPr>
              <w:widowControl w:val="0"/>
              <w:spacing w:after="0" w:line="240" w:lineRule="auto"/>
              <w:jc w:val="both"/>
              <w:rPr>
                <w:rFonts w:ascii="Times New Roman" w:hAnsi="Times New Roman" w:cs="Times New Roman"/>
                <w:sz w:val="20"/>
                <w:szCs w:val="20"/>
              </w:rPr>
            </w:pPr>
            <w:r>
              <w:rPr>
                <w:rFonts w:ascii="Times New Roman" w:hAnsi="Times New Roman" w:cs="Times New Roman"/>
                <w:spacing w:val="-4"/>
                <w:sz w:val="20"/>
                <w:szCs w:val="20"/>
              </w:rPr>
              <w:t xml:space="preserve">Сумма </w:t>
            </w:r>
            <w:r>
              <w:rPr>
                <w:rFonts w:ascii="Times New Roman" w:hAnsi="Times New Roman" w:cs="Times New Roman"/>
                <w:sz w:val="20"/>
                <w:szCs w:val="20"/>
              </w:rPr>
              <w:t>начисленных</w:t>
            </w:r>
            <w:r>
              <w:rPr>
                <w:rFonts w:ascii="Times New Roman" w:hAnsi="Times New Roman" w:cs="Times New Roman"/>
                <w:spacing w:val="-4"/>
                <w:sz w:val="20"/>
                <w:szCs w:val="20"/>
              </w:rPr>
              <w:t xml:space="preserve"> пособий по </w:t>
            </w:r>
            <w:r>
              <w:rPr>
                <w:rFonts w:ascii="Times New Roman" w:hAnsi="Times New Roman" w:cs="Times New Roman"/>
                <w:sz w:val="20"/>
                <w:szCs w:val="20"/>
              </w:rPr>
              <w:t xml:space="preserve">временной нетрудоспособности </w:t>
            </w:r>
            <w:r>
              <w:rPr>
                <w:rFonts w:ascii="Times New Roman" w:hAnsi="Times New Roman" w:cs="Times New Roman"/>
                <w:spacing w:val="-7"/>
                <w:sz w:val="20"/>
                <w:szCs w:val="20"/>
              </w:rPr>
              <w:t xml:space="preserve">всем </w:t>
            </w:r>
            <w:r>
              <w:rPr>
                <w:rFonts w:ascii="Times New Roman" w:hAnsi="Times New Roman" w:cs="Times New Roman"/>
                <w:sz w:val="20"/>
                <w:szCs w:val="20"/>
              </w:rPr>
              <w:t>работникам</w:t>
            </w:r>
            <w:r>
              <w:rPr>
                <w:rFonts w:ascii="Times New Roman" w:hAnsi="Times New Roman" w:cs="Times New Roman"/>
                <w:spacing w:val="-7"/>
                <w:sz w:val="20"/>
                <w:szCs w:val="20"/>
              </w:rPr>
              <w:t xml:space="preserve">, </w:t>
            </w:r>
            <w:r>
              <w:rPr>
                <w:rFonts w:ascii="Times New Roman" w:hAnsi="Times New Roman" w:cs="Times New Roman"/>
                <w:sz w:val="20"/>
                <w:szCs w:val="20"/>
              </w:rPr>
              <w:t xml:space="preserve">пособий </w:t>
            </w:r>
            <w:r>
              <w:rPr>
                <w:rFonts w:ascii="Times New Roman" w:hAnsi="Times New Roman" w:cs="Times New Roman"/>
                <w:spacing w:val="-7"/>
                <w:sz w:val="20"/>
                <w:szCs w:val="20"/>
              </w:rPr>
              <w:t xml:space="preserve">по беременности и </w:t>
            </w:r>
            <w:r>
              <w:rPr>
                <w:rFonts w:ascii="Times New Roman" w:hAnsi="Times New Roman" w:cs="Times New Roman"/>
                <w:sz w:val="20"/>
                <w:szCs w:val="20"/>
              </w:rPr>
              <w:t>родам</w:t>
            </w:r>
            <w:r>
              <w:rPr>
                <w:rFonts w:ascii="Times New Roman" w:hAnsi="Times New Roman" w:cs="Times New Roman"/>
                <w:spacing w:val="-7"/>
                <w:sz w:val="20"/>
                <w:szCs w:val="20"/>
              </w:rPr>
              <w:t xml:space="preserve">, прочие выплаты за </w:t>
            </w:r>
            <w:r>
              <w:rPr>
                <w:rFonts w:ascii="Times New Roman" w:hAnsi="Times New Roman" w:cs="Times New Roman"/>
                <w:sz w:val="20"/>
                <w:szCs w:val="20"/>
              </w:rPr>
              <w:t>счёт средств социального страхования.</w:t>
            </w:r>
          </w:p>
        </w:tc>
        <w:tc>
          <w:tcPr>
            <w:tcW w:w="730" w:type="pct"/>
          </w:tcPr>
          <w:p w:rsidR="00517711" w:rsidRDefault="00F815BE">
            <w:pPr>
              <w:widowControl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69</w:t>
            </w:r>
          </w:p>
        </w:tc>
        <w:tc>
          <w:tcPr>
            <w:tcW w:w="806" w:type="pct"/>
          </w:tcPr>
          <w:p w:rsidR="00517711" w:rsidRDefault="00F815BE">
            <w:pPr>
              <w:widowControl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70</w:t>
            </w:r>
          </w:p>
        </w:tc>
      </w:tr>
      <w:tr w:rsidR="00517711">
        <w:trPr>
          <w:trHeight w:val="825"/>
        </w:trPr>
        <w:tc>
          <w:tcPr>
            <w:tcW w:w="3464" w:type="pct"/>
          </w:tcPr>
          <w:p w:rsidR="00517711" w:rsidRDefault="00F815BE">
            <w:pPr>
              <w:widowControl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Суммы </w:t>
            </w:r>
            <w:r>
              <w:rPr>
                <w:rFonts w:ascii="Times New Roman" w:hAnsi="Times New Roman" w:cs="Times New Roman"/>
                <w:spacing w:val="-5"/>
                <w:sz w:val="20"/>
                <w:szCs w:val="20"/>
              </w:rPr>
              <w:t xml:space="preserve">начисленной </w:t>
            </w:r>
            <w:r>
              <w:rPr>
                <w:rFonts w:ascii="Times New Roman" w:hAnsi="Times New Roman" w:cs="Times New Roman"/>
                <w:sz w:val="20"/>
                <w:szCs w:val="20"/>
              </w:rPr>
              <w:t>заработной</w:t>
            </w:r>
            <w:r>
              <w:rPr>
                <w:rFonts w:ascii="Times New Roman" w:hAnsi="Times New Roman" w:cs="Times New Roman"/>
                <w:spacing w:val="-5"/>
                <w:sz w:val="20"/>
                <w:szCs w:val="20"/>
              </w:rPr>
              <w:t xml:space="preserve"> платы </w:t>
            </w:r>
            <w:r>
              <w:rPr>
                <w:rFonts w:ascii="Times New Roman" w:hAnsi="Times New Roman" w:cs="Times New Roman"/>
                <w:sz w:val="20"/>
                <w:szCs w:val="20"/>
              </w:rPr>
              <w:t xml:space="preserve">всем категориям </w:t>
            </w:r>
            <w:r>
              <w:rPr>
                <w:rFonts w:ascii="Times New Roman" w:hAnsi="Times New Roman" w:cs="Times New Roman"/>
                <w:spacing w:val="-2"/>
                <w:sz w:val="20"/>
                <w:szCs w:val="20"/>
              </w:rPr>
              <w:t xml:space="preserve">сотрудников за </w:t>
            </w:r>
            <w:r>
              <w:rPr>
                <w:rFonts w:ascii="Times New Roman" w:hAnsi="Times New Roman" w:cs="Times New Roman"/>
                <w:sz w:val="20"/>
                <w:szCs w:val="20"/>
              </w:rPr>
              <w:t>проработанное</w:t>
            </w:r>
            <w:r>
              <w:rPr>
                <w:rFonts w:ascii="Times New Roman" w:hAnsi="Times New Roman" w:cs="Times New Roman"/>
                <w:spacing w:val="-2"/>
                <w:sz w:val="20"/>
                <w:szCs w:val="20"/>
              </w:rPr>
              <w:t xml:space="preserve"> и не </w:t>
            </w:r>
            <w:r>
              <w:rPr>
                <w:rFonts w:ascii="Times New Roman" w:hAnsi="Times New Roman" w:cs="Times New Roman"/>
                <w:sz w:val="20"/>
                <w:szCs w:val="20"/>
              </w:rPr>
              <w:t>проработанное</w:t>
            </w:r>
            <w:r>
              <w:rPr>
                <w:rFonts w:ascii="Times New Roman" w:hAnsi="Times New Roman" w:cs="Times New Roman"/>
                <w:spacing w:val="-2"/>
                <w:sz w:val="20"/>
                <w:szCs w:val="20"/>
              </w:rPr>
              <w:t xml:space="preserve"> время, за </w:t>
            </w:r>
            <w:r>
              <w:rPr>
                <w:rFonts w:ascii="Times New Roman" w:hAnsi="Times New Roman" w:cs="Times New Roman"/>
                <w:sz w:val="20"/>
                <w:szCs w:val="20"/>
              </w:rPr>
              <w:t xml:space="preserve">выполненные </w:t>
            </w:r>
            <w:r>
              <w:rPr>
                <w:rFonts w:ascii="Times New Roman" w:hAnsi="Times New Roman" w:cs="Times New Roman"/>
                <w:spacing w:val="-5"/>
                <w:sz w:val="20"/>
                <w:szCs w:val="20"/>
              </w:rPr>
              <w:t xml:space="preserve">работы, </w:t>
            </w:r>
            <w:r>
              <w:rPr>
                <w:rFonts w:ascii="Times New Roman" w:hAnsi="Times New Roman" w:cs="Times New Roman"/>
                <w:sz w:val="20"/>
                <w:szCs w:val="20"/>
              </w:rPr>
              <w:t xml:space="preserve">доплаты </w:t>
            </w:r>
            <w:r>
              <w:rPr>
                <w:rFonts w:ascii="Times New Roman" w:hAnsi="Times New Roman" w:cs="Times New Roman"/>
                <w:spacing w:val="-5"/>
                <w:sz w:val="20"/>
                <w:szCs w:val="20"/>
              </w:rPr>
              <w:t xml:space="preserve">в </w:t>
            </w:r>
            <w:r>
              <w:rPr>
                <w:rFonts w:ascii="Times New Roman" w:hAnsi="Times New Roman" w:cs="Times New Roman"/>
                <w:sz w:val="20"/>
                <w:szCs w:val="20"/>
              </w:rPr>
              <w:t>ночное</w:t>
            </w:r>
            <w:r>
              <w:rPr>
                <w:rFonts w:ascii="Times New Roman" w:hAnsi="Times New Roman" w:cs="Times New Roman"/>
                <w:spacing w:val="-5"/>
                <w:sz w:val="20"/>
                <w:szCs w:val="20"/>
              </w:rPr>
              <w:t xml:space="preserve"> время, </w:t>
            </w:r>
            <w:r>
              <w:rPr>
                <w:rFonts w:ascii="Times New Roman" w:hAnsi="Times New Roman" w:cs="Times New Roman"/>
                <w:sz w:val="20"/>
                <w:szCs w:val="20"/>
              </w:rPr>
              <w:t xml:space="preserve">сверхурочное </w:t>
            </w:r>
            <w:r>
              <w:rPr>
                <w:rFonts w:ascii="Times New Roman" w:hAnsi="Times New Roman" w:cs="Times New Roman"/>
                <w:spacing w:val="-5"/>
                <w:sz w:val="20"/>
                <w:szCs w:val="20"/>
              </w:rPr>
              <w:t xml:space="preserve">время, </w:t>
            </w:r>
            <w:r>
              <w:rPr>
                <w:rFonts w:ascii="Times New Roman" w:hAnsi="Times New Roman" w:cs="Times New Roman"/>
                <w:sz w:val="20"/>
                <w:szCs w:val="20"/>
              </w:rPr>
              <w:t>суммы начисленных премий.</w:t>
            </w:r>
          </w:p>
        </w:tc>
        <w:tc>
          <w:tcPr>
            <w:tcW w:w="730" w:type="pct"/>
          </w:tcPr>
          <w:p w:rsidR="00517711" w:rsidRDefault="00F815BE">
            <w:pPr>
              <w:widowControl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20</w:t>
            </w:r>
          </w:p>
        </w:tc>
        <w:tc>
          <w:tcPr>
            <w:tcW w:w="806" w:type="pct"/>
          </w:tcPr>
          <w:p w:rsidR="00517711" w:rsidRDefault="00F815BE">
            <w:pPr>
              <w:widowControl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70</w:t>
            </w:r>
          </w:p>
        </w:tc>
      </w:tr>
    </w:tbl>
    <w:p w:rsidR="00517711" w:rsidRDefault="00517711">
      <w:pPr>
        <w:pStyle w:val="af9"/>
        <w:spacing w:line="240" w:lineRule="auto"/>
        <w:ind w:firstLine="0"/>
        <w:rPr>
          <w:sz w:val="20"/>
          <w:szCs w:val="20"/>
        </w:rPr>
      </w:pPr>
    </w:p>
    <w:p w:rsidR="00517711" w:rsidRDefault="00F815BE">
      <w:pPr>
        <w:pStyle w:val="af9"/>
        <w:spacing w:line="240" w:lineRule="auto"/>
        <w:rPr>
          <w:spacing w:val="-5"/>
          <w:sz w:val="20"/>
          <w:szCs w:val="20"/>
          <w:lang w:eastAsia="ru-RU"/>
        </w:rPr>
      </w:pPr>
      <w:r>
        <w:rPr>
          <w:sz w:val="20"/>
          <w:szCs w:val="20"/>
        </w:rPr>
        <w:t xml:space="preserve">Немаловажным вопросом в организации труда ООО РТС «Восточное» является мотивация работников. Мотивация может проявляться в виде как материального стимулировании, так и нематериального. Таким образом, </w:t>
      </w:r>
      <w:r>
        <w:rPr>
          <w:spacing w:val="-6"/>
          <w:sz w:val="20"/>
          <w:szCs w:val="20"/>
          <w:lang w:eastAsia="ru-RU"/>
        </w:rPr>
        <w:t xml:space="preserve">доходы сотрудников </w:t>
      </w:r>
      <w:r>
        <w:rPr>
          <w:sz w:val="20"/>
          <w:szCs w:val="20"/>
        </w:rPr>
        <w:t>складываются</w:t>
      </w:r>
      <w:r>
        <w:rPr>
          <w:spacing w:val="-6"/>
          <w:sz w:val="20"/>
          <w:szCs w:val="20"/>
          <w:lang w:eastAsia="ru-RU"/>
        </w:rPr>
        <w:t xml:space="preserve"> не </w:t>
      </w:r>
      <w:r>
        <w:rPr>
          <w:sz w:val="20"/>
          <w:szCs w:val="20"/>
        </w:rPr>
        <w:t>только</w:t>
      </w:r>
      <w:r>
        <w:rPr>
          <w:spacing w:val="-6"/>
          <w:sz w:val="20"/>
          <w:szCs w:val="20"/>
          <w:lang w:eastAsia="ru-RU"/>
        </w:rPr>
        <w:t xml:space="preserve"> из повременной </w:t>
      </w:r>
      <w:r>
        <w:rPr>
          <w:sz w:val="20"/>
          <w:szCs w:val="20"/>
        </w:rPr>
        <w:t xml:space="preserve">заработной </w:t>
      </w:r>
      <w:r>
        <w:rPr>
          <w:spacing w:val="-5"/>
          <w:sz w:val="20"/>
          <w:szCs w:val="20"/>
          <w:lang w:eastAsia="ru-RU"/>
        </w:rPr>
        <w:t xml:space="preserve">платы, но и из </w:t>
      </w:r>
      <w:r>
        <w:rPr>
          <w:sz w:val="20"/>
          <w:szCs w:val="20"/>
        </w:rPr>
        <w:t>надбавок</w:t>
      </w:r>
      <w:r>
        <w:rPr>
          <w:spacing w:val="-5"/>
          <w:sz w:val="20"/>
          <w:szCs w:val="20"/>
          <w:lang w:eastAsia="ru-RU"/>
        </w:rPr>
        <w:t xml:space="preserve"> и</w:t>
      </w:r>
      <w:r>
        <w:rPr>
          <w:sz w:val="20"/>
          <w:szCs w:val="20"/>
        </w:rPr>
        <w:t>доплат</w:t>
      </w:r>
      <w:r>
        <w:rPr>
          <w:spacing w:val="-5"/>
          <w:sz w:val="20"/>
          <w:szCs w:val="20"/>
          <w:lang w:eastAsia="ru-RU"/>
        </w:rPr>
        <w:t>, играющими важную роль в материальном стимулировании. Также к материальному стимулированию персонала можно отнести доплаты за совмещение профессий и за высокое качество выполненной работы. Размер таких доплат определяется и устанавливается самим ООО РТС «Восточное». К нематериальному стимулированию можно отнести продвижение по карьерной лестнице, улучшение рабочих условий, соревнование за звание лучшего сотрудника месяца и более гибкий график работы.</w:t>
      </w:r>
    </w:p>
    <w:p w:rsidR="00517711" w:rsidRDefault="00F815BE">
      <w:pPr>
        <w:pStyle w:val="af9"/>
        <w:spacing w:line="240" w:lineRule="auto"/>
        <w:rPr>
          <w:spacing w:val="-5"/>
          <w:sz w:val="20"/>
          <w:szCs w:val="20"/>
          <w:lang w:eastAsia="ru-RU"/>
        </w:rPr>
      </w:pPr>
      <w:r>
        <w:rPr>
          <w:spacing w:val="-5"/>
          <w:sz w:val="20"/>
          <w:szCs w:val="20"/>
          <w:lang w:eastAsia="ru-RU"/>
        </w:rPr>
        <w:t>Предприятию важно не превратить материальное стимулирование в простую постоянную выплату, не зависящую от вклада работника в трудовой процесс, так как следствием этого может стать неудовлетворенность работника в случае неполучения такого вида денежных средств[5, с 149].</w:t>
      </w:r>
    </w:p>
    <w:p w:rsidR="00517711" w:rsidRDefault="00F815BE">
      <w:pPr>
        <w:pStyle w:val="af9"/>
        <w:spacing w:line="240" w:lineRule="auto"/>
        <w:rPr>
          <w:spacing w:val="-5"/>
          <w:sz w:val="20"/>
          <w:szCs w:val="20"/>
          <w:lang w:eastAsia="ru-RU"/>
        </w:rPr>
      </w:pPr>
      <w:r>
        <w:rPr>
          <w:spacing w:val="-5"/>
          <w:sz w:val="20"/>
          <w:szCs w:val="20"/>
          <w:lang w:eastAsia="ru-RU"/>
        </w:rPr>
        <w:t xml:space="preserve">Таким образом, рассмотрев деятельность ООО РТС «Восточное», можно отметить, что организация работает эффективно и её деятельность соответствует требованиям законодательства и нормативным документам. Организация  всячески мотивирует сотрудников, стимулирует производительность труда с помощью как материальных, так и нематериальных вариантов. Заработная плата сотрудников напрямую зависит от их вклада в рабочий процесс. </w:t>
      </w:r>
    </w:p>
    <w:p w:rsidR="00517711" w:rsidRDefault="00F815BE">
      <w:pPr>
        <w:pStyle w:val="af9"/>
        <w:spacing w:line="240" w:lineRule="auto"/>
        <w:rPr>
          <w:spacing w:val="-5"/>
          <w:sz w:val="20"/>
          <w:szCs w:val="20"/>
          <w:lang w:eastAsia="ru-RU"/>
        </w:rPr>
      </w:pPr>
      <w:r>
        <w:rPr>
          <w:spacing w:val="-5"/>
          <w:sz w:val="20"/>
          <w:szCs w:val="20"/>
          <w:lang w:eastAsia="ru-RU"/>
        </w:rPr>
        <w:t>Так как целью статьи являлосьрассмотрение иоценка оплаты труда работников ООО РТС «Восточное», данная статья может представлять интерес как руководителям каких-либо организаций, так и для персонала с ознакомительной целью.</w:t>
      </w:r>
    </w:p>
    <w:p w:rsidR="00517711" w:rsidRDefault="00F815BE">
      <w:pPr>
        <w:pStyle w:val="af9"/>
        <w:spacing w:line="240" w:lineRule="auto"/>
        <w:ind w:firstLine="0"/>
        <w:rPr>
          <w:spacing w:val="-5"/>
          <w:sz w:val="20"/>
          <w:szCs w:val="20"/>
          <w:lang w:eastAsia="ru-RU"/>
        </w:rPr>
      </w:pPr>
      <w:r>
        <w:rPr>
          <w:spacing w:val="-5"/>
          <w:sz w:val="20"/>
          <w:szCs w:val="20"/>
          <w:lang w:eastAsia="ru-RU"/>
        </w:rPr>
        <w:t>___________________________________________________</w:t>
      </w:r>
    </w:p>
    <w:p w:rsidR="00517711" w:rsidRDefault="00517711">
      <w:pPr>
        <w:pStyle w:val="af9"/>
        <w:spacing w:line="240" w:lineRule="auto"/>
        <w:ind w:firstLine="567"/>
        <w:rPr>
          <w:b/>
          <w:spacing w:val="-5"/>
          <w:sz w:val="20"/>
          <w:szCs w:val="20"/>
          <w:lang w:eastAsia="ru-RU"/>
        </w:rPr>
      </w:pPr>
    </w:p>
    <w:p w:rsidR="00517711" w:rsidRDefault="00F815BE">
      <w:pPr>
        <w:pStyle w:val="af9"/>
        <w:spacing w:line="240" w:lineRule="auto"/>
        <w:ind w:firstLine="567"/>
        <w:rPr>
          <w:spacing w:val="-5"/>
          <w:sz w:val="20"/>
          <w:szCs w:val="20"/>
          <w:lang w:eastAsia="ru-RU"/>
        </w:rPr>
      </w:pPr>
      <w:r>
        <w:rPr>
          <w:spacing w:val="-5"/>
          <w:sz w:val="20"/>
          <w:szCs w:val="20"/>
          <w:lang w:eastAsia="ru-RU"/>
        </w:rPr>
        <w:t>1.</w:t>
      </w:r>
      <w:r>
        <w:rPr>
          <w:spacing w:val="-5"/>
          <w:sz w:val="20"/>
          <w:szCs w:val="20"/>
          <w:lang w:eastAsia="ru-RU"/>
        </w:rPr>
        <w:tab/>
        <w:t>Трудовой кодекс Российской Федерации: Принят государственной думой 30.12.2001 № 197-ФЗ (ред. от 05.02.2018) // СПС «Консультант Плюс».- Режим доступа: http://www.consultant.ru/document/cons_doc_LAW_34683/</w:t>
      </w:r>
    </w:p>
    <w:p w:rsidR="00517711" w:rsidRDefault="00F815BE">
      <w:pPr>
        <w:pStyle w:val="af9"/>
        <w:spacing w:line="240" w:lineRule="auto"/>
        <w:ind w:firstLine="567"/>
        <w:rPr>
          <w:spacing w:val="-5"/>
          <w:sz w:val="20"/>
          <w:szCs w:val="20"/>
          <w:lang w:eastAsia="ru-RU"/>
        </w:rPr>
      </w:pPr>
      <w:r>
        <w:rPr>
          <w:spacing w:val="-5"/>
          <w:sz w:val="20"/>
          <w:szCs w:val="20"/>
          <w:lang w:eastAsia="ru-RU"/>
        </w:rPr>
        <w:t>2.</w:t>
      </w:r>
      <w:r>
        <w:rPr>
          <w:spacing w:val="-5"/>
          <w:sz w:val="20"/>
          <w:szCs w:val="20"/>
          <w:lang w:eastAsia="ru-RU"/>
        </w:rPr>
        <w:tab/>
        <w:t>Об обществах с ограниченной ответственностью: Федеральный закон от 08.02.1998  № 14 ФЗ (ред. от 01.02.2018) [Электронный ресурс] // СПС «Консультант Плюс».- Режим доступа: http://www.consultant.ru/document/cons_doc_LAW_17819/</w:t>
      </w:r>
    </w:p>
    <w:p w:rsidR="00517711" w:rsidRDefault="00F815BE">
      <w:pPr>
        <w:pStyle w:val="af9"/>
        <w:spacing w:line="240" w:lineRule="auto"/>
        <w:ind w:firstLine="567"/>
        <w:rPr>
          <w:spacing w:val="-5"/>
          <w:sz w:val="20"/>
          <w:szCs w:val="20"/>
          <w:lang w:eastAsia="ru-RU"/>
        </w:rPr>
      </w:pPr>
      <w:r>
        <w:rPr>
          <w:spacing w:val="-5"/>
          <w:sz w:val="20"/>
          <w:szCs w:val="20"/>
          <w:lang w:eastAsia="ru-RU"/>
        </w:rPr>
        <w:t>3.</w:t>
      </w:r>
      <w:r>
        <w:rPr>
          <w:spacing w:val="-5"/>
          <w:sz w:val="20"/>
          <w:szCs w:val="20"/>
          <w:lang w:eastAsia="ru-RU"/>
        </w:rPr>
        <w:tab/>
        <w:t>Астафурова И.С. Оценка методик формирования системы показателей деятельности организаций / Экономика и предпринимательство. – 2014. - № 12-3 (53-3). – С. 850-854.</w:t>
      </w:r>
    </w:p>
    <w:p w:rsidR="00517711" w:rsidRDefault="00F815BE">
      <w:pPr>
        <w:pStyle w:val="af9"/>
        <w:spacing w:line="240" w:lineRule="auto"/>
        <w:ind w:firstLine="567"/>
        <w:rPr>
          <w:spacing w:val="-5"/>
          <w:sz w:val="20"/>
          <w:szCs w:val="20"/>
          <w:lang w:eastAsia="ru-RU"/>
        </w:rPr>
      </w:pPr>
      <w:r>
        <w:rPr>
          <w:spacing w:val="-5"/>
          <w:sz w:val="20"/>
          <w:szCs w:val="20"/>
          <w:lang w:eastAsia="ru-RU"/>
        </w:rPr>
        <w:t>4.   Налоговый кодекс Российской Федерации (часть первая): Принят Государственной Думой РФ 16.07.1998 № 146 – ФЗ (ред. от 19.02.2018) // СПС «Консультант Плюс».- Режим доступа: http://www.consultant.ru/document/cons_doc_LAW_19671/</w:t>
      </w:r>
    </w:p>
    <w:p w:rsidR="00517711" w:rsidRDefault="00F815BE">
      <w:pPr>
        <w:pStyle w:val="af9"/>
        <w:spacing w:line="240" w:lineRule="auto"/>
        <w:ind w:firstLine="567"/>
        <w:rPr>
          <w:spacing w:val="-5"/>
          <w:sz w:val="20"/>
          <w:szCs w:val="20"/>
          <w:lang w:eastAsia="ru-RU"/>
        </w:rPr>
      </w:pPr>
      <w:r>
        <w:rPr>
          <w:spacing w:val="-5"/>
          <w:sz w:val="20"/>
          <w:szCs w:val="20"/>
          <w:lang w:eastAsia="ru-RU"/>
        </w:rPr>
        <w:t>5.     Ветлужских Е. Н. Мотивация и оплата труда. Инструменты. Методики. Практика / Е. Н. Ветлужских. - 7-е изд. - М. : Альпина Паблишер, 2016. - 149 с.</w:t>
      </w:r>
    </w:p>
    <w:p w:rsidR="00517711" w:rsidRDefault="00517711">
      <w:pPr>
        <w:spacing w:line="240" w:lineRule="auto"/>
        <w:jc w:val="center"/>
        <w:rPr>
          <w:rFonts w:ascii="Times New Roman" w:hAnsi="Times New Roman"/>
          <w:b/>
          <w:sz w:val="28"/>
          <w:szCs w:val="28"/>
        </w:rPr>
      </w:pPr>
    </w:p>
    <w:p w:rsidR="00517711" w:rsidRDefault="00F815BE">
      <w:pPr>
        <w:spacing w:after="0" w:line="240" w:lineRule="auto"/>
        <w:rPr>
          <w:rFonts w:ascii="Times New Roman" w:hAnsi="Times New Roman" w:cs="Times New Roman"/>
          <w:b/>
          <w:sz w:val="20"/>
        </w:rPr>
      </w:pPr>
      <w:r>
        <w:rPr>
          <w:rFonts w:ascii="Times New Roman" w:hAnsi="Times New Roman" w:cs="Times New Roman"/>
          <w:b/>
          <w:sz w:val="20"/>
        </w:rPr>
        <w:t>Рубрика: Качество услуг и технологий в индустрии гостеприимства</w:t>
      </w:r>
    </w:p>
    <w:p w:rsidR="00517711" w:rsidRDefault="00517711">
      <w:pPr>
        <w:spacing w:after="0" w:line="240" w:lineRule="auto"/>
        <w:ind w:firstLine="709"/>
        <w:rPr>
          <w:rFonts w:ascii="Times New Roman" w:hAnsi="Times New Roman" w:cs="Times New Roman"/>
          <w:b/>
          <w:sz w:val="20"/>
        </w:rPr>
      </w:pPr>
    </w:p>
    <w:p w:rsidR="00517711" w:rsidRDefault="00F815BE">
      <w:pPr>
        <w:spacing w:after="0" w:line="240" w:lineRule="auto"/>
        <w:rPr>
          <w:rFonts w:ascii="Times New Roman" w:hAnsi="Times New Roman" w:cs="Times New Roman"/>
          <w:sz w:val="20"/>
        </w:rPr>
      </w:pPr>
      <w:r>
        <w:rPr>
          <w:rFonts w:ascii="Times New Roman" w:hAnsi="Times New Roman" w:cs="Times New Roman"/>
          <w:sz w:val="20"/>
        </w:rPr>
        <w:t>УДК 338.467</w:t>
      </w:r>
    </w:p>
    <w:p w:rsidR="00517711" w:rsidRDefault="00517711">
      <w:pPr>
        <w:spacing w:after="0" w:line="240" w:lineRule="auto"/>
        <w:ind w:firstLine="709"/>
      </w:pPr>
    </w:p>
    <w:p w:rsidR="00517711" w:rsidRDefault="00F815BE">
      <w:pPr>
        <w:spacing w:after="0" w:line="240" w:lineRule="auto"/>
        <w:ind w:firstLine="709"/>
        <w:jc w:val="center"/>
        <w:rPr>
          <w:rFonts w:ascii="Book Antiqua" w:hAnsi="Book Antiqua"/>
          <w:b/>
          <w:sz w:val="26"/>
          <w:szCs w:val="26"/>
        </w:rPr>
      </w:pPr>
      <w:r>
        <w:rPr>
          <w:rFonts w:ascii="Book Antiqua" w:hAnsi="Book Antiqua"/>
          <w:b/>
          <w:sz w:val="26"/>
          <w:szCs w:val="26"/>
        </w:rPr>
        <w:t>КЛИЕНТООРИЕНТИРОВАННОСТЬ КАК СПОСОБ ПРОДВИЖЕНИЯ ПРЕДПРИЯТИЙ ПИТАНИЯ В УСЛОВИЯХ КОНКУРЕНЦИИ</w:t>
      </w:r>
    </w:p>
    <w:p w:rsidR="00517711" w:rsidRDefault="00517711">
      <w:pPr>
        <w:spacing w:after="0" w:line="240" w:lineRule="auto"/>
        <w:ind w:firstLine="709"/>
        <w:jc w:val="center"/>
        <w:rPr>
          <w:rFonts w:ascii="Arial" w:hAnsi="Arial" w:cs="Arial"/>
          <w:sz w:val="24"/>
        </w:rPr>
      </w:pPr>
    </w:p>
    <w:p w:rsidR="00517711" w:rsidRDefault="00F815BE">
      <w:pPr>
        <w:spacing w:after="0" w:line="240" w:lineRule="auto"/>
        <w:ind w:firstLine="709"/>
        <w:jc w:val="center"/>
        <w:rPr>
          <w:rFonts w:ascii="Arial" w:hAnsi="Arial" w:cs="Arial"/>
          <w:b/>
          <w:sz w:val="24"/>
        </w:rPr>
      </w:pPr>
      <w:r>
        <w:rPr>
          <w:rFonts w:ascii="Arial" w:hAnsi="Arial" w:cs="Arial"/>
          <w:b/>
          <w:sz w:val="24"/>
        </w:rPr>
        <w:t>Кушнарева Алина Александровна,</w:t>
      </w:r>
    </w:p>
    <w:p w:rsidR="00517711" w:rsidRDefault="00F815BE">
      <w:pPr>
        <w:spacing w:after="0" w:line="240" w:lineRule="auto"/>
        <w:ind w:firstLine="709"/>
        <w:jc w:val="center"/>
        <w:rPr>
          <w:rFonts w:ascii="Arial" w:hAnsi="Arial" w:cs="Arial"/>
          <w:sz w:val="24"/>
        </w:rPr>
      </w:pPr>
      <w:r>
        <w:rPr>
          <w:rFonts w:ascii="Arial" w:hAnsi="Arial" w:cs="Arial"/>
          <w:sz w:val="24"/>
        </w:rPr>
        <w:t>бакалавриат</w:t>
      </w:r>
    </w:p>
    <w:p w:rsidR="00517711" w:rsidRDefault="00517711">
      <w:pPr>
        <w:spacing w:after="0" w:line="240" w:lineRule="auto"/>
        <w:ind w:firstLine="709"/>
        <w:jc w:val="center"/>
        <w:rPr>
          <w:i/>
        </w:rPr>
      </w:pPr>
    </w:p>
    <w:p w:rsidR="00517711" w:rsidRDefault="00F815BE">
      <w:pPr>
        <w:spacing w:after="0" w:line="240" w:lineRule="auto"/>
        <w:ind w:firstLine="709"/>
        <w:jc w:val="center"/>
        <w:rPr>
          <w:rFonts w:ascii="Times New Roman" w:hAnsi="Times New Roman" w:cs="Times New Roman"/>
          <w:i/>
        </w:rPr>
      </w:pPr>
      <w:r>
        <w:rPr>
          <w:rFonts w:ascii="Times New Roman" w:hAnsi="Times New Roman" w:cs="Times New Roman"/>
          <w:i/>
        </w:rPr>
        <w:t>Владивостокский государственный университет экономики и сервиса</w:t>
      </w:r>
    </w:p>
    <w:p w:rsidR="00517711" w:rsidRDefault="00F815BE">
      <w:pPr>
        <w:spacing w:after="0" w:line="240" w:lineRule="auto"/>
        <w:ind w:firstLine="709"/>
        <w:jc w:val="center"/>
        <w:rPr>
          <w:i/>
        </w:rPr>
      </w:pPr>
      <w:r>
        <w:rPr>
          <w:rFonts w:ascii="Times New Roman" w:hAnsi="Times New Roman" w:cs="Times New Roman"/>
          <w:i/>
        </w:rPr>
        <w:t>Россия, Владивосток</w:t>
      </w:r>
    </w:p>
    <w:p w:rsidR="00517711" w:rsidRDefault="00517711">
      <w:pPr>
        <w:spacing w:after="0" w:line="240" w:lineRule="auto"/>
        <w:ind w:firstLine="709"/>
        <w:jc w:val="center"/>
      </w:pPr>
    </w:p>
    <w:p w:rsidR="00517711" w:rsidRPr="008A2A0D" w:rsidRDefault="00F815BE">
      <w:pPr>
        <w:spacing w:after="0" w:line="240" w:lineRule="auto"/>
        <w:ind w:firstLine="709"/>
        <w:jc w:val="center"/>
        <w:rPr>
          <w:rFonts w:ascii="Times New Roman" w:hAnsi="Times New Roman" w:cs="Times New Roman"/>
          <w:sz w:val="20"/>
        </w:rPr>
      </w:pPr>
      <w:r>
        <w:rPr>
          <w:rFonts w:ascii="Times New Roman" w:hAnsi="Times New Roman" w:cs="Times New Roman"/>
          <w:sz w:val="20"/>
        </w:rPr>
        <w:t>Е</w:t>
      </w:r>
      <w:r w:rsidRPr="008A2A0D">
        <w:rPr>
          <w:rFonts w:ascii="Times New Roman" w:hAnsi="Times New Roman" w:cs="Times New Roman"/>
          <w:sz w:val="20"/>
        </w:rPr>
        <w:t>-</w:t>
      </w:r>
      <w:r>
        <w:rPr>
          <w:rFonts w:ascii="Times New Roman" w:hAnsi="Times New Roman" w:cs="Times New Roman"/>
          <w:sz w:val="20"/>
          <w:lang w:val="en-US"/>
        </w:rPr>
        <w:t>mail</w:t>
      </w:r>
      <w:r w:rsidRPr="008A2A0D">
        <w:rPr>
          <w:rFonts w:ascii="Times New Roman" w:hAnsi="Times New Roman" w:cs="Times New Roman"/>
          <w:sz w:val="20"/>
        </w:rPr>
        <w:t xml:space="preserve">: </w:t>
      </w:r>
      <w:r>
        <w:rPr>
          <w:rFonts w:ascii="Times New Roman" w:hAnsi="Times New Roman" w:cs="Times New Roman"/>
          <w:sz w:val="20"/>
          <w:lang w:val="en-US"/>
        </w:rPr>
        <w:t>kusnariha</w:t>
      </w:r>
      <w:r w:rsidRPr="008A2A0D">
        <w:rPr>
          <w:rFonts w:ascii="Times New Roman" w:hAnsi="Times New Roman" w:cs="Times New Roman"/>
          <w:sz w:val="20"/>
        </w:rPr>
        <w:t>@</w:t>
      </w:r>
      <w:r>
        <w:rPr>
          <w:rFonts w:ascii="Times New Roman" w:hAnsi="Times New Roman" w:cs="Times New Roman"/>
          <w:sz w:val="20"/>
          <w:lang w:val="en-US"/>
        </w:rPr>
        <w:t>mail</w:t>
      </w:r>
      <w:r w:rsidRPr="008A2A0D">
        <w:rPr>
          <w:rFonts w:ascii="Times New Roman" w:hAnsi="Times New Roman" w:cs="Times New Roman"/>
          <w:sz w:val="20"/>
        </w:rPr>
        <w:t>.</w:t>
      </w:r>
      <w:r>
        <w:rPr>
          <w:rFonts w:ascii="Times New Roman" w:hAnsi="Times New Roman" w:cs="Times New Roman"/>
          <w:sz w:val="20"/>
          <w:lang w:val="en-US"/>
        </w:rPr>
        <w:t>ru</w:t>
      </w:r>
      <w:r w:rsidRPr="008A2A0D">
        <w:rPr>
          <w:rFonts w:ascii="Times New Roman" w:hAnsi="Times New Roman" w:cs="Times New Roman"/>
          <w:sz w:val="20"/>
        </w:rPr>
        <w:t xml:space="preserve">; </w:t>
      </w:r>
      <w:r>
        <w:rPr>
          <w:rFonts w:ascii="Times New Roman" w:hAnsi="Times New Roman" w:cs="Times New Roman"/>
          <w:sz w:val="20"/>
        </w:rPr>
        <w:t>тел</w:t>
      </w:r>
      <w:r w:rsidRPr="008A2A0D">
        <w:rPr>
          <w:rFonts w:ascii="Times New Roman" w:hAnsi="Times New Roman" w:cs="Times New Roman"/>
          <w:sz w:val="20"/>
        </w:rPr>
        <w:t>.: +7951002970</w:t>
      </w:r>
    </w:p>
    <w:p w:rsidR="00517711" w:rsidRDefault="00F815BE">
      <w:pPr>
        <w:spacing w:after="0" w:line="240" w:lineRule="auto"/>
        <w:ind w:firstLine="709"/>
        <w:jc w:val="center"/>
        <w:rPr>
          <w:rFonts w:ascii="Times New Roman" w:hAnsi="Times New Roman" w:cs="Times New Roman"/>
          <w:sz w:val="20"/>
        </w:rPr>
      </w:pPr>
      <w:r>
        <w:rPr>
          <w:rFonts w:ascii="Times New Roman" w:hAnsi="Times New Roman" w:cs="Times New Roman"/>
          <w:sz w:val="20"/>
        </w:rPr>
        <w:t>ул. Гоголя, 41, г. Владивосток, Приморский край, Россия, 690014</w:t>
      </w:r>
    </w:p>
    <w:p w:rsidR="00517711" w:rsidRDefault="00517711">
      <w:pPr>
        <w:spacing w:after="0" w:line="240" w:lineRule="auto"/>
        <w:ind w:firstLine="709"/>
      </w:pPr>
    </w:p>
    <w:p w:rsidR="00517711" w:rsidRDefault="00517711">
      <w:pPr>
        <w:spacing w:after="0" w:line="240" w:lineRule="auto"/>
        <w:ind w:firstLine="709"/>
      </w:pPr>
    </w:p>
    <w:p w:rsidR="00517711" w:rsidRDefault="00F815BE">
      <w:pPr>
        <w:spacing w:after="0" w:line="240" w:lineRule="auto"/>
        <w:ind w:firstLine="709"/>
        <w:jc w:val="both"/>
        <w:rPr>
          <w:rFonts w:ascii="Times New Roman" w:hAnsi="Times New Roman" w:cs="Times New Roman"/>
          <w:i/>
        </w:rPr>
      </w:pPr>
      <w:r>
        <w:rPr>
          <w:rFonts w:ascii="Times New Roman" w:hAnsi="Times New Roman" w:cs="Times New Roman"/>
          <w:i/>
        </w:rPr>
        <w:t>Известно, что сфера общественного питания в г. Владивосток в целом сформирована, однако на данный момент помимо удовлетворения потребности в утолении голода потребителей, возникает такая задача, как удовлетворить потребность в эстетическом оформлении пищи, высоком уровне обслуживания, социальном признании. Актуально что, возрастает и конкуренция среди предприятий, которые используют всевозможные инструменты для привлечения клиентов. Одним из таких инструментов называют клиентоориентированностью, роль которой предстоит выявить в ходе работы.</w:t>
      </w:r>
    </w:p>
    <w:p w:rsidR="00517711" w:rsidRDefault="00F815BE">
      <w:pPr>
        <w:spacing w:after="0" w:line="240" w:lineRule="auto"/>
        <w:ind w:firstLine="709"/>
        <w:jc w:val="both"/>
        <w:rPr>
          <w:rFonts w:ascii="Times New Roman" w:hAnsi="Times New Roman" w:cs="Times New Roman"/>
          <w:i/>
        </w:rPr>
      </w:pPr>
      <w:r>
        <w:rPr>
          <w:rFonts w:ascii="Times New Roman" w:hAnsi="Times New Roman" w:cs="Times New Roman"/>
          <w:b/>
          <w:i/>
        </w:rPr>
        <w:t>Ключевые слова и словосочетания:</w:t>
      </w:r>
      <w:r>
        <w:rPr>
          <w:rFonts w:ascii="Times New Roman" w:hAnsi="Times New Roman" w:cs="Times New Roman"/>
          <w:i/>
        </w:rPr>
        <w:t xml:space="preserve"> клиентоориентированность, предприятие питания, г. Владивосток, конкуренция, продвижение.</w:t>
      </w:r>
    </w:p>
    <w:p w:rsidR="00517711" w:rsidRDefault="00517711">
      <w:pPr>
        <w:spacing w:after="0" w:line="240" w:lineRule="auto"/>
        <w:ind w:firstLine="709"/>
        <w:rPr>
          <w:b/>
          <w:i/>
        </w:rPr>
      </w:pPr>
    </w:p>
    <w:p w:rsidR="00517711" w:rsidRDefault="00F815BE">
      <w:pPr>
        <w:spacing w:after="0" w:line="240" w:lineRule="auto"/>
        <w:ind w:firstLine="709"/>
        <w:jc w:val="center"/>
        <w:rPr>
          <w:rFonts w:ascii="Book Antiqua" w:hAnsi="Book Antiqua"/>
          <w:b/>
          <w:sz w:val="26"/>
          <w:szCs w:val="26"/>
          <w:lang w:val="en-US"/>
        </w:rPr>
      </w:pPr>
      <w:r>
        <w:rPr>
          <w:rFonts w:ascii="Book Antiqua" w:hAnsi="Book Antiqua"/>
          <w:b/>
          <w:sz w:val="26"/>
          <w:szCs w:val="26"/>
          <w:lang w:val="en-US"/>
        </w:rPr>
        <w:t xml:space="preserve">CLIENT-ORIENTED APPROACH AS A WAY TO PROMOTE FOOD ENTERPRISES IN A COMPETITIVE </w:t>
      </w:r>
    </w:p>
    <w:p w:rsidR="00517711" w:rsidRDefault="00F815BE">
      <w:pPr>
        <w:spacing w:after="0" w:line="240" w:lineRule="auto"/>
        <w:ind w:firstLine="709"/>
        <w:jc w:val="center"/>
        <w:rPr>
          <w:rFonts w:ascii="Book Antiqua" w:hAnsi="Book Antiqua"/>
          <w:b/>
          <w:sz w:val="26"/>
          <w:szCs w:val="26"/>
          <w:lang w:val="en-US"/>
        </w:rPr>
      </w:pPr>
      <w:r>
        <w:rPr>
          <w:rFonts w:ascii="Book Antiqua" w:hAnsi="Book Antiqua"/>
          <w:b/>
          <w:sz w:val="26"/>
          <w:szCs w:val="26"/>
          <w:lang w:val="en-US"/>
        </w:rPr>
        <w:t>ENVIRONMENT</w:t>
      </w:r>
    </w:p>
    <w:p w:rsidR="00517711" w:rsidRDefault="00517711">
      <w:pPr>
        <w:spacing w:after="0" w:line="240" w:lineRule="auto"/>
        <w:ind w:firstLine="709"/>
        <w:jc w:val="center"/>
        <w:rPr>
          <w:b/>
          <w:lang w:val="en-US"/>
        </w:rPr>
      </w:pPr>
    </w:p>
    <w:p w:rsidR="00517711" w:rsidRDefault="00F815BE">
      <w:pPr>
        <w:spacing w:after="0" w:line="240" w:lineRule="auto"/>
        <w:ind w:firstLine="709"/>
        <w:jc w:val="both"/>
        <w:rPr>
          <w:rFonts w:ascii="Times New Roman" w:hAnsi="Times New Roman" w:cs="Times New Roman"/>
          <w:i/>
          <w:lang w:val="en-US"/>
        </w:rPr>
      </w:pPr>
      <w:r>
        <w:rPr>
          <w:rFonts w:ascii="Times New Roman" w:hAnsi="Times New Roman" w:cs="Times New Roman"/>
          <w:i/>
          <w:lang w:val="en-US"/>
        </w:rPr>
        <w:t>It is known that the public catering sector in Vladivostok as a whole is formed, but at the moment, in addition to satisfying the need to satisfy the hunger of consumers, there is such a task as to satisfy the need for aesthetic design of food, high level of service, social recognition. Actually, the competition among enterprises that use all sorts of tools to attract customers is also growing. One such tool is called client-oriented, whose role is to be identified in the course of the work.</w:t>
      </w:r>
    </w:p>
    <w:p w:rsidR="00517711" w:rsidRDefault="00F815BE">
      <w:pPr>
        <w:spacing w:after="0" w:line="240" w:lineRule="auto"/>
        <w:ind w:firstLine="709"/>
        <w:jc w:val="both"/>
        <w:rPr>
          <w:rFonts w:ascii="Times New Roman" w:hAnsi="Times New Roman" w:cs="Times New Roman"/>
          <w:i/>
          <w:lang w:val="en-US"/>
        </w:rPr>
      </w:pPr>
      <w:r>
        <w:rPr>
          <w:rFonts w:ascii="Times New Roman" w:hAnsi="Times New Roman" w:cs="Times New Roman"/>
          <w:b/>
          <w:i/>
          <w:lang w:val="en-US"/>
        </w:rPr>
        <w:t>Key words:</w:t>
      </w:r>
      <w:r>
        <w:rPr>
          <w:rFonts w:ascii="Times New Roman" w:hAnsi="Times New Roman" w:cs="Times New Roman"/>
          <w:i/>
          <w:lang w:val="en-US"/>
        </w:rPr>
        <w:t xml:space="preserve"> client-oriented, enterprise, Vladivostok, competition, promotion.</w:t>
      </w:r>
    </w:p>
    <w:p w:rsidR="00517711" w:rsidRDefault="00517711">
      <w:pPr>
        <w:spacing w:after="0" w:line="240" w:lineRule="auto"/>
        <w:ind w:firstLine="709"/>
        <w:rPr>
          <w:lang w:val="en-US"/>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В городе Владивосток рынок предприятий общественного питания в общей сложности определен, однако существует проблема конкуренции, которая дает направление на поиск новых, более креативных способов продвижения. Поиск подходов, подходящих под определенное предприятие, под определенных клиентов, зависит успех самого предприятия.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Целью данной работы является выявить роль клиентоориентированности как способа продвижения услуг питания. Для достижения цели, потребовалось решить такие задачи, как:</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обобщить теоретические научные положения управления политикой продвижения услуг общественного питания;</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провести анализ текущего состояния рынка предприятий общественного питания и сегментации клиентской базы г. Владивосток;</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выявить влияние клиентоориентированности на успех ресторана «Синдикат» ООО «БИ-ЭС-БИ Медиа», г. Владивосток.</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Как было уже сказано, рынок предприятий питания г. Владивостока в общем построен, однако дальнейшее развитие рынка зависит от правильных подходов, которые отбираются среди многочисленных. Известно четыре более успешных вида продвижения, среди которых:</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Реклама;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Индивидульная продажа;</w:t>
      </w:r>
    </w:p>
    <w:p w:rsidR="00517711" w:rsidRDefault="00F815BE">
      <w:pPr>
        <w:spacing w:after="0" w:line="240" w:lineRule="auto"/>
        <w:ind w:firstLine="709"/>
        <w:jc w:val="both"/>
        <w:rPr>
          <w:rFonts w:ascii="Times New Roman" w:hAnsi="Times New Roman" w:cs="Times New Roman"/>
          <w:sz w:val="20"/>
          <w:szCs w:val="20"/>
          <w:lang w:val="en-US"/>
        </w:rPr>
      </w:pPr>
      <w:r>
        <w:rPr>
          <w:rFonts w:ascii="Times New Roman" w:hAnsi="Times New Roman" w:cs="Times New Roman"/>
          <w:sz w:val="20"/>
          <w:szCs w:val="20"/>
          <w:lang w:val="en-US"/>
        </w:rPr>
        <w:t>- Public relations;</w:t>
      </w:r>
    </w:p>
    <w:p w:rsidR="00517711" w:rsidRDefault="00F815BE">
      <w:pPr>
        <w:spacing w:after="0" w:line="240" w:lineRule="auto"/>
        <w:ind w:firstLine="709"/>
        <w:jc w:val="both"/>
        <w:rPr>
          <w:rFonts w:ascii="Times New Roman" w:hAnsi="Times New Roman" w:cs="Times New Roman"/>
          <w:sz w:val="20"/>
          <w:szCs w:val="20"/>
          <w:lang w:val="en-US"/>
        </w:rPr>
      </w:pPr>
      <w:r>
        <w:rPr>
          <w:rFonts w:ascii="Times New Roman" w:hAnsi="Times New Roman" w:cs="Times New Roman"/>
          <w:sz w:val="20"/>
          <w:szCs w:val="20"/>
          <w:lang w:val="en-US"/>
        </w:rPr>
        <w:t>- Sales promotion (</w:t>
      </w:r>
      <w:r>
        <w:rPr>
          <w:rFonts w:ascii="Times New Roman" w:hAnsi="Times New Roman" w:cs="Times New Roman"/>
          <w:sz w:val="20"/>
          <w:szCs w:val="20"/>
        </w:rPr>
        <w:t>продвижение</w:t>
      </w:r>
      <w:r>
        <w:rPr>
          <w:rFonts w:ascii="Times New Roman" w:hAnsi="Times New Roman" w:cs="Times New Roman"/>
          <w:sz w:val="20"/>
          <w:szCs w:val="20"/>
          <w:lang w:val="en-US"/>
        </w:rPr>
        <w:t xml:space="preserve"> </w:t>
      </w:r>
      <w:r>
        <w:rPr>
          <w:rFonts w:ascii="Times New Roman" w:hAnsi="Times New Roman" w:cs="Times New Roman"/>
          <w:sz w:val="20"/>
          <w:szCs w:val="20"/>
        </w:rPr>
        <w:t>продаж</w:t>
      </w:r>
      <w:r>
        <w:rPr>
          <w:rFonts w:ascii="Times New Roman" w:hAnsi="Times New Roman" w:cs="Times New Roman"/>
          <w:sz w:val="20"/>
          <w:szCs w:val="20"/>
          <w:lang w:val="en-US"/>
        </w:rPr>
        <w:t>) [1].</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В особенности значение в продвижении гастрономических услуг имеют реклама и индивидуальные продажи, но это не означает, что продвижение продаж и public relations можно рассматривать как </w:t>
      </w:r>
      <w:r>
        <w:rPr>
          <w:rFonts w:ascii="Times New Roman" w:hAnsi="Times New Roman" w:cs="Times New Roman"/>
          <w:sz w:val="20"/>
          <w:szCs w:val="20"/>
        </w:rPr>
        <w:lastRenderedPageBreak/>
        <w:t>второстепенные инструменты. Наоборот, их роль в продвижении услуг общественного питания постоянно возрастает.</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Персональное продвижение состоит в проведении предприятиями общественного питания презентаций. Для этих целей используются рекламные послания как средство персонального продвижения: менеджер ресторана рассылает рекламу с предложением посетить данное заведение.</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инновационном мире, где каждый пользуется смартфоном, выходя в глобальную сеть, мнение о предприятии питания складывается у потребителя исходя из отзывов в интернете, но как показывает практика, положительные отзывы пишутся редко, в силу того, что это занимает время. Отрицательные отзывы пишутся чаще и описание состоит не только из одного предложения, как правило. Поэтому, чтобы чаще писали положительные отзывы, заведения предлагают оставить комментарий на определённом сайте взамен за небольшой приз, в виде напитка или десерта.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Для формирования внимания посетителей к новым блюдам или специфическим продуктам, не известным на данном сегменте ресторанной индустрии, устраивается презентация и  дегустация блюд и напитков.</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Есть заведения, поток клиентов у которых приходит на вечернее время, однако они работают и днем. Для того, чтобы привлечь людей на время, когда предприятие пустует, рестораторы и иже с ними по небольшой цене, приемлемой для клиентов, включают в меню бизнес-ланч. Представителем такого заведения в г. Владивосток является мясной ресторан «Синдикат».</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Стоит отметить, что нередко мнение о предприятии складывается именно от официантов, так как именно они являются лицом заведения и от них зависит повторное посещение потребителя.</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Видов продвижения много и о них можно долго говорить, выявлять новые, усовершенствовать старые, однако эти виды  объединяет главная цель – удовлетворение желания клиента.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Для того, чтобы открыть одно из предприятий питания, для начала стоит выделить клиента, так как именно от его вкусов, желаний будет зависеть коммерческий успех заведения. Если предприниматель не будет опираться на клиентоориентированность, то предприятие потерпит крах.</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На данный момент нет научного понятия, что такое клиентоориентированность, так как для каждого маркетолога, менеджера, предпринимателя и даже для официанта это понятие разное.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По мнению Серых Е.О. – «Клиентоориентированность – это выставление интересов покупателя (клиента) превыше всех остальных» [2].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словаре академика клиентоориентированность описывается как стратегия работы предприятия при которой решения о начале каких-либо изменений и инноваций принимаются только при соответствующей реакции потребителя (клиента). Также и оценка работы предприятия производится только по удовлетворенности клиента. Дополнительный сервис разрабатывается с целью увеличения удовлетворенности клиента и, только во вторую очередь - с целью получения прибыли [3].</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«Клиентоориентированность – это способность компании создавать дополнительный поток клиентов и дополнительную прибыль за счет глубокого понимания и удовлетворения потребностей клиентов» - пишет Лучков В.С [4].</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На основе анализа выше перечисленных терминов, можно сделать обобщенный вывод, что клиентоориентированность – это дополнительный инструмент для увеличения прибыли, целью которого является удовлетворение интересов клиента.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Если в основе стратегии компании лежит принцип ориентации на клиента, то на практике это должно означать, что:</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потребитель – главный человек в компании;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каждый сотрудник ее, помимо основной профессии, имеет еще одну – торгового агента, продвигающего торговую марку или бренд, или маркетолога по совместительству, который передает всю имеющуюся у него информацию о контактах с клиентами для последующего исследования и принятия решения;</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невозможно сделать счастливым внешнего клиента, если внутренние остаются недовольными или несчастными;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каждый сотрудник принимает на себя стопроцентную ответственность за качество обслуживания внешнего клиента и повышения степени его преданности (лояльности) компании;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каждый сотрудник должен помнить: главное – не его улыбка при общении с внешним клиентом, а улыбка клиента после общения с ним;</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если компания не позаботится о клиенте, то это с удовольствием сделают ее конкуренты;</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необходимо превосходить ожидания клиента, иначе он уйдет к конкурентам [5].</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Для того, чтобы использовать клиентоориентированность следует изучить своего клиента. Для этого стоит провести сегментацию клиентской базы. Определить определённого клиента стоит больших затрат, поэтому для экономии стоит разделять клиентов на несколько групп. Типичный представитель такой группы называется персоной.</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В таблице 2 даны критерии для сегментации клиентской базы общественного питания, на которых ориентируются предприниматели на начале предпринимательской деятельности. </w:t>
      </w:r>
    </w:p>
    <w:p w:rsidR="00517711" w:rsidRDefault="00517711">
      <w:pPr>
        <w:spacing w:after="0" w:line="240" w:lineRule="auto"/>
        <w:ind w:firstLine="709"/>
        <w:jc w:val="both"/>
        <w:rPr>
          <w:rFonts w:ascii="Times New Roman" w:hAnsi="Times New Roman" w:cs="Times New Roman"/>
          <w:sz w:val="20"/>
          <w:szCs w:val="20"/>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Таблица 2 – Критерии для сегментации клиентской базы предприятий общественного питания</w:t>
      </w:r>
    </w:p>
    <w:p w:rsidR="00517711" w:rsidRDefault="00517711">
      <w:pPr>
        <w:spacing w:after="0" w:line="240" w:lineRule="auto"/>
        <w:ind w:firstLine="709"/>
        <w:jc w:val="both"/>
        <w:rPr>
          <w:rFonts w:ascii="Times New Roman" w:hAnsi="Times New Roman" w:cs="Times New Roman"/>
          <w:sz w:val="20"/>
          <w:szCs w:val="20"/>
        </w:rPr>
      </w:pPr>
    </w:p>
    <w:tbl>
      <w:tblPr>
        <w:tblStyle w:val="af1"/>
        <w:tblW w:w="0" w:type="auto"/>
        <w:tblInd w:w="108" w:type="dxa"/>
        <w:tblLayout w:type="fixed"/>
        <w:tblLook w:val="04A0" w:firstRow="1" w:lastRow="0" w:firstColumn="1" w:lastColumn="0" w:noHBand="0" w:noVBand="1"/>
      </w:tblPr>
      <w:tblGrid>
        <w:gridCol w:w="1560"/>
        <w:gridCol w:w="1701"/>
        <w:gridCol w:w="1417"/>
        <w:gridCol w:w="2126"/>
        <w:gridCol w:w="1418"/>
        <w:gridCol w:w="1524"/>
      </w:tblGrid>
      <w:tr w:rsidR="00517711">
        <w:tc>
          <w:tcPr>
            <w:tcW w:w="1560" w:type="dxa"/>
            <w:vMerge w:val="restart"/>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Критерии</w:t>
            </w:r>
          </w:p>
        </w:tc>
        <w:tc>
          <w:tcPr>
            <w:tcW w:w="8186" w:type="dxa"/>
            <w:gridSpan w:val="5"/>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Тип предприятия</w:t>
            </w:r>
          </w:p>
        </w:tc>
      </w:tr>
      <w:tr w:rsidR="00517711">
        <w:tc>
          <w:tcPr>
            <w:tcW w:w="1560" w:type="dxa"/>
            <w:vMerge/>
            <w:vAlign w:val="center"/>
          </w:tcPr>
          <w:p w:rsidR="00517711" w:rsidRDefault="00517711">
            <w:pPr>
              <w:jc w:val="both"/>
              <w:rPr>
                <w:rFonts w:ascii="Times New Roman" w:hAnsi="Times New Roman" w:cs="Times New Roman"/>
                <w:sz w:val="20"/>
                <w:szCs w:val="20"/>
              </w:rPr>
            </w:pPr>
          </w:p>
        </w:tc>
        <w:tc>
          <w:tcPr>
            <w:tcW w:w="1701"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Рестораны</w:t>
            </w:r>
          </w:p>
        </w:tc>
        <w:tc>
          <w:tcPr>
            <w:tcW w:w="1417"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Бары</w:t>
            </w:r>
          </w:p>
        </w:tc>
        <w:tc>
          <w:tcPr>
            <w:tcW w:w="2126"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Кафе</w:t>
            </w:r>
          </w:p>
        </w:tc>
        <w:tc>
          <w:tcPr>
            <w:tcW w:w="1418"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Фаст-фуд</w:t>
            </w:r>
          </w:p>
        </w:tc>
        <w:tc>
          <w:tcPr>
            <w:tcW w:w="1524"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Кофейни</w:t>
            </w:r>
          </w:p>
        </w:tc>
      </w:tr>
      <w:tr w:rsidR="00517711">
        <w:tc>
          <w:tcPr>
            <w:tcW w:w="1560"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1 Возраст</w:t>
            </w:r>
          </w:p>
        </w:tc>
        <w:tc>
          <w:tcPr>
            <w:tcW w:w="1701"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 xml:space="preserve"> 30-60 лет</w:t>
            </w:r>
          </w:p>
        </w:tc>
        <w:tc>
          <w:tcPr>
            <w:tcW w:w="1417"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20-40 лет</w:t>
            </w:r>
          </w:p>
        </w:tc>
        <w:tc>
          <w:tcPr>
            <w:tcW w:w="2126"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14-80 лет</w:t>
            </w:r>
          </w:p>
        </w:tc>
        <w:tc>
          <w:tcPr>
            <w:tcW w:w="1418"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14-26 лет</w:t>
            </w:r>
          </w:p>
        </w:tc>
        <w:tc>
          <w:tcPr>
            <w:tcW w:w="1524"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18-40 лет</w:t>
            </w:r>
          </w:p>
        </w:tc>
      </w:tr>
      <w:tr w:rsidR="00517711">
        <w:tc>
          <w:tcPr>
            <w:tcW w:w="1560"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2 Уровень дохода</w:t>
            </w:r>
          </w:p>
        </w:tc>
        <w:tc>
          <w:tcPr>
            <w:tcW w:w="1701"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Выше среднего, высокий</w:t>
            </w:r>
          </w:p>
        </w:tc>
        <w:tc>
          <w:tcPr>
            <w:tcW w:w="1417"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Средний, выше среднего, высокий</w:t>
            </w:r>
          </w:p>
        </w:tc>
        <w:tc>
          <w:tcPr>
            <w:tcW w:w="2126"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Средний</w:t>
            </w:r>
          </w:p>
        </w:tc>
        <w:tc>
          <w:tcPr>
            <w:tcW w:w="1418"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Средний</w:t>
            </w:r>
          </w:p>
        </w:tc>
        <w:tc>
          <w:tcPr>
            <w:tcW w:w="1524"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Средний</w:t>
            </w:r>
          </w:p>
        </w:tc>
      </w:tr>
      <w:tr w:rsidR="00517711">
        <w:tc>
          <w:tcPr>
            <w:tcW w:w="1560"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3 Размер семьи</w:t>
            </w:r>
          </w:p>
        </w:tc>
        <w:tc>
          <w:tcPr>
            <w:tcW w:w="1701"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Бездетные, малодетные</w:t>
            </w:r>
          </w:p>
        </w:tc>
        <w:tc>
          <w:tcPr>
            <w:tcW w:w="1417"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Бездетные</w:t>
            </w:r>
          </w:p>
        </w:tc>
        <w:tc>
          <w:tcPr>
            <w:tcW w:w="2126"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Бездетные, малодетные, многодетные</w:t>
            </w:r>
          </w:p>
        </w:tc>
        <w:tc>
          <w:tcPr>
            <w:tcW w:w="1418"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Бездетные, малодетные, многодетные</w:t>
            </w:r>
          </w:p>
        </w:tc>
        <w:tc>
          <w:tcPr>
            <w:tcW w:w="1524"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Бездетные, малодетные</w:t>
            </w:r>
          </w:p>
        </w:tc>
      </w:tr>
      <w:tr w:rsidR="00517711">
        <w:tc>
          <w:tcPr>
            <w:tcW w:w="1560"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4 Этапы жизненного цикла</w:t>
            </w:r>
          </w:p>
        </w:tc>
        <w:tc>
          <w:tcPr>
            <w:tcW w:w="1701"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Одинокие, молодожены без детей, супруги с детьми старше 6 лет</w:t>
            </w:r>
          </w:p>
        </w:tc>
        <w:tc>
          <w:tcPr>
            <w:tcW w:w="1417"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Молодые, одинокие</w:t>
            </w:r>
          </w:p>
        </w:tc>
        <w:tc>
          <w:tcPr>
            <w:tcW w:w="2126"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Молодые, одинокие, молодожены без детей, супруги с детьми до 6 лет, супруги с детьми старше 6 лет, пожилые супруги с работающим главой семьи, супруги с неработающим главой семьи</w:t>
            </w:r>
          </w:p>
        </w:tc>
        <w:tc>
          <w:tcPr>
            <w:tcW w:w="1418"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Молодые, одинокие,  супруги с детьми до 6 лет; супруги с детьми старше 6 лет</w:t>
            </w:r>
          </w:p>
        </w:tc>
        <w:tc>
          <w:tcPr>
            <w:tcW w:w="1524"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Молодые, одинокие,  супруги с детьми до 6 лет; супруги с детьми старше 6 лет</w:t>
            </w:r>
          </w:p>
        </w:tc>
      </w:tr>
      <w:tr w:rsidR="00517711">
        <w:tc>
          <w:tcPr>
            <w:tcW w:w="1560"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5 Образ жизни</w:t>
            </w:r>
          </w:p>
        </w:tc>
        <w:tc>
          <w:tcPr>
            <w:tcW w:w="1701"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Эстеты</w:t>
            </w:r>
          </w:p>
        </w:tc>
        <w:tc>
          <w:tcPr>
            <w:tcW w:w="1417"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Эстеты</w:t>
            </w:r>
          </w:p>
        </w:tc>
        <w:tc>
          <w:tcPr>
            <w:tcW w:w="2126"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Жизнелюбы</w:t>
            </w:r>
          </w:p>
        </w:tc>
        <w:tc>
          <w:tcPr>
            <w:tcW w:w="1418"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Жизнелюбы</w:t>
            </w:r>
          </w:p>
        </w:tc>
        <w:tc>
          <w:tcPr>
            <w:tcW w:w="1524"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Жизнелюбы</w:t>
            </w:r>
          </w:p>
        </w:tc>
      </w:tr>
      <w:tr w:rsidR="00517711">
        <w:tc>
          <w:tcPr>
            <w:tcW w:w="1560"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 xml:space="preserve">6 Частота пользования услугой </w:t>
            </w:r>
          </w:p>
        </w:tc>
        <w:tc>
          <w:tcPr>
            <w:tcW w:w="1701"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Специальная</w:t>
            </w:r>
          </w:p>
        </w:tc>
        <w:tc>
          <w:tcPr>
            <w:tcW w:w="1417"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Специальная</w:t>
            </w:r>
          </w:p>
        </w:tc>
        <w:tc>
          <w:tcPr>
            <w:tcW w:w="2126"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Регулярная</w:t>
            </w:r>
          </w:p>
        </w:tc>
        <w:tc>
          <w:tcPr>
            <w:tcW w:w="1418"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Регулярная</w:t>
            </w:r>
          </w:p>
        </w:tc>
        <w:tc>
          <w:tcPr>
            <w:tcW w:w="1524"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Регулярная</w:t>
            </w:r>
          </w:p>
        </w:tc>
      </w:tr>
      <w:tr w:rsidR="00517711">
        <w:tc>
          <w:tcPr>
            <w:tcW w:w="1560"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7 Искомые выгоды</w:t>
            </w:r>
          </w:p>
        </w:tc>
        <w:tc>
          <w:tcPr>
            <w:tcW w:w="1701"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Качество услуги, надежность, обслуживание, статус, престиж</w:t>
            </w:r>
          </w:p>
        </w:tc>
        <w:tc>
          <w:tcPr>
            <w:tcW w:w="1417"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Качество услуги, надежность, статус</w:t>
            </w:r>
          </w:p>
        </w:tc>
        <w:tc>
          <w:tcPr>
            <w:tcW w:w="2126"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Качество услуги, обслуживание, экономия, надежность</w:t>
            </w:r>
          </w:p>
        </w:tc>
        <w:tc>
          <w:tcPr>
            <w:tcW w:w="1418"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Обслуживание, экономия</w:t>
            </w:r>
          </w:p>
        </w:tc>
        <w:tc>
          <w:tcPr>
            <w:tcW w:w="1524"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Качество услуги, надежность, статус</w:t>
            </w:r>
          </w:p>
        </w:tc>
      </w:tr>
      <w:tr w:rsidR="00517711">
        <w:tc>
          <w:tcPr>
            <w:tcW w:w="1560"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8 Степень потребления</w:t>
            </w:r>
          </w:p>
        </w:tc>
        <w:tc>
          <w:tcPr>
            <w:tcW w:w="1701"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Умеренный потребитель</w:t>
            </w:r>
          </w:p>
        </w:tc>
        <w:tc>
          <w:tcPr>
            <w:tcW w:w="1417"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Умеренный потребитель</w:t>
            </w:r>
          </w:p>
        </w:tc>
        <w:tc>
          <w:tcPr>
            <w:tcW w:w="2126"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Умеренный потребитель</w:t>
            </w:r>
          </w:p>
        </w:tc>
        <w:tc>
          <w:tcPr>
            <w:tcW w:w="1418"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Активный потребитель</w:t>
            </w:r>
          </w:p>
        </w:tc>
        <w:tc>
          <w:tcPr>
            <w:tcW w:w="1524"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Активный потребитель</w:t>
            </w:r>
          </w:p>
        </w:tc>
      </w:tr>
      <w:tr w:rsidR="00517711">
        <w:tc>
          <w:tcPr>
            <w:tcW w:w="1560"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9 Нормы использования</w:t>
            </w:r>
          </w:p>
        </w:tc>
        <w:tc>
          <w:tcPr>
            <w:tcW w:w="1701"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Каждый месяц</w:t>
            </w:r>
          </w:p>
        </w:tc>
        <w:tc>
          <w:tcPr>
            <w:tcW w:w="1417"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Каждый месяц</w:t>
            </w:r>
          </w:p>
        </w:tc>
        <w:tc>
          <w:tcPr>
            <w:tcW w:w="2126"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Каждую неделю</w:t>
            </w:r>
          </w:p>
        </w:tc>
        <w:tc>
          <w:tcPr>
            <w:tcW w:w="1418"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Каждый день</w:t>
            </w:r>
          </w:p>
        </w:tc>
        <w:tc>
          <w:tcPr>
            <w:tcW w:w="1524"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Каждый день</w:t>
            </w:r>
          </w:p>
        </w:tc>
      </w:tr>
    </w:tbl>
    <w:p w:rsidR="00517711" w:rsidRDefault="00517711">
      <w:pPr>
        <w:spacing w:after="0" w:line="240" w:lineRule="auto"/>
        <w:ind w:firstLine="709"/>
        <w:jc w:val="both"/>
        <w:rPr>
          <w:rFonts w:ascii="Times New Roman" w:hAnsi="Times New Roman" w:cs="Times New Roman"/>
          <w:sz w:val="20"/>
          <w:szCs w:val="20"/>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На основе этой таблицы был составлен портрет потенциального потребителя ресторана «Синдикат» (таблица 3).</w:t>
      </w:r>
    </w:p>
    <w:p w:rsidR="00517711" w:rsidRDefault="00517711">
      <w:pPr>
        <w:spacing w:after="0" w:line="240" w:lineRule="auto"/>
        <w:ind w:firstLine="709"/>
        <w:jc w:val="both"/>
        <w:rPr>
          <w:rFonts w:ascii="Times New Roman" w:hAnsi="Times New Roman" w:cs="Times New Roman"/>
          <w:sz w:val="20"/>
          <w:szCs w:val="20"/>
        </w:rPr>
      </w:pP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Таблица 3 – Потенциальный потребитель ресторана «Синдикат»</w:t>
      </w:r>
    </w:p>
    <w:p w:rsidR="00517711" w:rsidRDefault="00517711">
      <w:pPr>
        <w:spacing w:after="0" w:line="240" w:lineRule="auto"/>
        <w:jc w:val="both"/>
        <w:rPr>
          <w:rFonts w:ascii="Times New Roman" w:hAnsi="Times New Roman" w:cs="Times New Roman"/>
          <w:sz w:val="20"/>
          <w:szCs w:val="20"/>
        </w:rPr>
      </w:pPr>
    </w:p>
    <w:tbl>
      <w:tblPr>
        <w:tblStyle w:val="af1"/>
        <w:tblW w:w="0" w:type="auto"/>
        <w:tblLook w:val="04A0" w:firstRow="1" w:lastRow="0" w:firstColumn="1" w:lastColumn="0" w:noHBand="0" w:noVBand="1"/>
      </w:tblPr>
      <w:tblGrid>
        <w:gridCol w:w="4927"/>
        <w:gridCol w:w="4927"/>
      </w:tblGrid>
      <w:tr w:rsidR="00517711">
        <w:tc>
          <w:tcPr>
            <w:tcW w:w="4927" w:type="dxa"/>
          </w:tcPr>
          <w:p w:rsidR="00517711" w:rsidRDefault="00F815BE">
            <w:pPr>
              <w:spacing w:line="360" w:lineRule="auto"/>
              <w:jc w:val="both"/>
              <w:rPr>
                <w:rFonts w:ascii="Times New Roman" w:hAnsi="Times New Roman" w:cs="Times New Roman"/>
                <w:sz w:val="20"/>
                <w:szCs w:val="20"/>
              </w:rPr>
            </w:pPr>
            <w:r>
              <w:rPr>
                <w:rFonts w:ascii="Times New Roman" w:hAnsi="Times New Roman" w:cs="Times New Roman"/>
                <w:sz w:val="20"/>
                <w:szCs w:val="20"/>
              </w:rPr>
              <w:t>Критерий</w:t>
            </w:r>
          </w:p>
        </w:tc>
        <w:tc>
          <w:tcPr>
            <w:tcW w:w="4927" w:type="dxa"/>
          </w:tcPr>
          <w:p w:rsidR="00517711" w:rsidRDefault="00F815BE">
            <w:pPr>
              <w:spacing w:line="360" w:lineRule="auto"/>
              <w:jc w:val="both"/>
              <w:rPr>
                <w:rFonts w:ascii="Times New Roman" w:hAnsi="Times New Roman" w:cs="Times New Roman"/>
                <w:sz w:val="20"/>
                <w:szCs w:val="20"/>
              </w:rPr>
            </w:pPr>
            <w:r>
              <w:rPr>
                <w:rFonts w:ascii="Times New Roman" w:hAnsi="Times New Roman" w:cs="Times New Roman"/>
                <w:sz w:val="20"/>
                <w:szCs w:val="20"/>
              </w:rPr>
              <w:t>Ресторан «Синдикат»</w:t>
            </w:r>
          </w:p>
        </w:tc>
      </w:tr>
      <w:tr w:rsidR="00517711">
        <w:tc>
          <w:tcPr>
            <w:tcW w:w="4927" w:type="dxa"/>
          </w:tcPr>
          <w:p w:rsidR="00517711" w:rsidRDefault="00F815BE">
            <w:pPr>
              <w:spacing w:line="360" w:lineRule="auto"/>
              <w:jc w:val="both"/>
              <w:rPr>
                <w:rFonts w:ascii="Times New Roman" w:hAnsi="Times New Roman" w:cs="Times New Roman"/>
                <w:sz w:val="20"/>
                <w:szCs w:val="20"/>
              </w:rPr>
            </w:pPr>
            <w:r>
              <w:rPr>
                <w:rFonts w:ascii="Times New Roman" w:hAnsi="Times New Roman" w:cs="Times New Roman"/>
                <w:sz w:val="20"/>
                <w:szCs w:val="20"/>
              </w:rPr>
              <w:t>Возраст</w:t>
            </w:r>
          </w:p>
        </w:tc>
        <w:tc>
          <w:tcPr>
            <w:tcW w:w="4927" w:type="dxa"/>
          </w:tcPr>
          <w:p w:rsidR="00517711" w:rsidRDefault="00F815BE">
            <w:pPr>
              <w:spacing w:line="360" w:lineRule="auto"/>
              <w:jc w:val="both"/>
              <w:rPr>
                <w:rFonts w:ascii="Times New Roman" w:hAnsi="Times New Roman" w:cs="Times New Roman"/>
                <w:sz w:val="20"/>
                <w:szCs w:val="20"/>
              </w:rPr>
            </w:pPr>
            <w:r>
              <w:rPr>
                <w:rFonts w:ascii="Times New Roman" w:hAnsi="Times New Roman" w:cs="Times New Roman"/>
                <w:sz w:val="20"/>
                <w:szCs w:val="20"/>
              </w:rPr>
              <w:t>30-49 лет</w:t>
            </w:r>
          </w:p>
        </w:tc>
      </w:tr>
      <w:tr w:rsidR="00517711">
        <w:tc>
          <w:tcPr>
            <w:tcW w:w="4927" w:type="dxa"/>
          </w:tcPr>
          <w:p w:rsidR="00517711" w:rsidRDefault="00F815BE">
            <w:pPr>
              <w:spacing w:line="360" w:lineRule="auto"/>
              <w:jc w:val="both"/>
              <w:rPr>
                <w:rFonts w:ascii="Times New Roman" w:hAnsi="Times New Roman" w:cs="Times New Roman"/>
                <w:sz w:val="20"/>
                <w:szCs w:val="20"/>
              </w:rPr>
            </w:pPr>
            <w:r>
              <w:rPr>
                <w:rFonts w:ascii="Times New Roman" w:hAnsi="Times New Roman" w:cs="Times New Roman"/>
                <w:sz w:val="20"/>
                <w:szCs w:val="20"/>
              </w:rPr>
              <w:t>Пол</w:t>
            </w:r>
          </w:p>
        </w:tc>
        <w:tc>
          <w:tcPr>
            <w:tcW w:w="4927" w:type="dxa"/>
          </w:tcPr>
          <w:p w:rsidR="00517711" w:rsidRDefault="00F815BE">
            <w:pPr>
              <w:spacing w:line="360" w:lineRule="auto"/>
              <w:jc w:val="both"/>
              <w:rPr>
                <w:rFonts w:ascii="Times New Roman" w:hAnsi="Times New Roman" w:cs="Times New Roman"/>
                <w:sz w:val="20"/>
                <w:szCs w:val="20"/>
              </w:rPr>
            </w:pPr>
            <w:r>
              <w:rPr>
                <w:rFonts w:ascii="Times New Roman" w:hAnsi="Times New Roman" w:cs="Times New Roman"/>
                <w:sz w:val="20"/>
                <w:szCs w:val="20"/>
              </w:rPr>
              <w:t>Мужской</w:t>
            </w:r>
          </w:p>
        </w:tc>
      </w:tr>
      <w:tr w:rsidR="00517711">
        <w:tc>
          <w:tcPr>
            <w:tcW w:w="4927" w:type="dxa"/>
          </w:tcPr>
          <w:p w:rsidR="00517711" w:rsidRDefault="00F815BE">
            <w:pPr>
              <w:spacing w:line="360" w:lineRule="auto"/>
              <w:jc w:val="both"/>
              <w:rPr>
                <w:rFonts w:ascii="Times New Roman" w:hAnsi="Times New Roman" w:cs="Times New Roman"/>
                <w:sz w:val="20"/>
                <w:szCs w:val="20"/>
              </w:rPr>
            </w:pPr>
            <w:r>
              <w:rPr>
                <w:rFonts w:ascii="Times New Roman" w:hAnsi="Times New Roman" w:cs="Times New Roman"/>
                <w:sz w:val="20"/>
                <w:szCs w:val="20"/>
              </w:rPr>
              <w:t>Уровень дохода</w:t>
            </w:r>
          </w:p>
        </w:tc>
        <w:tc>
          <w:tcPr>
            <w:tcW w:w="4927" w:type="dxa"/>
          </w:tcPr>
          <w:p w:rsidR="00517711" w:rsidRDefault="00F815BE">
            <w:pPr>
              <w:spacing w:line="360" w:lineRule="auto"/>
              <w:jc w:val="both"/>
              <w:rPr>
                <w:rFonts w:ascii="Times New Roman" w:hAnsi="Times New Roman" w:cs="Times New Roman"/>
                <w:sz w:val="20"/>
                <w:szCs w:val="20"/>
              </w:rPr>
            </w:pPr>
            <w:r>
              <w:rPr>
                <w:rFonts w:ascii="Times New Roman" w:hAnsi="Times New Roman" w:cs="Times New Roman"/>
                <w:sz w:val="20"/>
                <w:szCs w:val="20"/>
              </w:rPr>
              <w:t>Высокий</w:t>
            </w:r>
          </w:p>
        </w:tc>
      </w:tr>
      <w:tr w:rsidR="00517711">
        <w:tc>
          <w:tcPr>
            <w:tcW w:w="4927" w:type="dxa"/>
          </w:tcPr>
          <w:p w:rsidR="00517711" w:rsidRDefault="00F815BE">
            <w:pPr>
              <w:spacing w:line="360" w:lineRule="auto"/>
              <w:jc w:val="both"/>
              <w:rPr>
                <w:rFonts w:ascii="Times New Roman" w:hAnsi="Times New Roman" w:cs="Times New Roman"/>
                <w:sz w:val="20"/>
                <w:szCs w:val="20"/>
              </w:rPr>
            </w:pPr>
            <w:r>
              <w:rPr>
                <w:rFonts w:ascii="Times New Roman" w:hAnsi="Times New Roman" w:cs="Times New Roman"/>
                <w:sz w:val="20"/>
                <w:szCs w:val="20"/>
              </w:rPr>
              <w:t>Образ жизни</w:t>
            </w:r>
          </w:p>
        </w:tc>
        <w:tc>
          <w:tcPr>
            <w:tcW w:w="4927" w:type="dxa"/>
          </w:tcPr>
          <w:p w:rsidR="00517711" w:rsidRDefault="00F815BE">
            <w:pPr>
              <w:spacing w:line="360" w:lineRule="auto"/>
              <w:jc w:val="both"/>
              <w:rPr>
                <w:rFonts w:ascii="Times New Roman" w:hAnsi="Times New Roman" w:cs="Times New Roman"/>
                <w:sz w:val="20"/>
                <w:szCs w:val="20"/>
              </w:rPr>
            </w:pPr>
            <w:r>
              <w:rPr>
                <w:rFonts w:ascii="Times New Roman" w:hAnsi="Times New Roman" w:cs="Times New Roman"/>
                <w:sz w:val="20"/>
                <w:szCs w:val="20"/>
              </w:rPr>
              <w:t>Эстеты</w:t>
            </w:r>
          </w:p>
        </w:tc>
      </w:tr>
      <w:tr w:rsidR="00517711">
        <w:tc>
          <w:tcPr>
            <w:tcW w:w="4927" w:type="dxa"/>
          </w:tcPr>
          <w:p w:rsidR="00517711" w:rsidRDefault="00F815BE">
            <w:pPr>
              <w:spacing w:line="360" w:lineRule="auto"/>
              <w:jc w:val="both"/>
              <w:rPr>
                <w:rFonts w:ascii="Times New Roman" w:hAnsi="Times New Roman" w:cs="Times New Roman"/>
                <w:sz w:val="20"/>
                <w:szCs w:val="20"/>
              </w:rPr>
            </w:pPr>
            <w:r>
              <w:rPr>
                <w:rFonts w:ascii="Times New Roman" w:hAnsi="Times New Roman" w:cs="Times New Roman"/>
                <w:sz w:val="20"/>
                <w:szCs w:val="20"/>
              </w:rPr>
              <w:lastRenderedPageBreak/>
              <w:t>Степень потребления</w:t>
            </w:r>
          </w:p>
        </w:tc>
        <w:tc>
          <w:tcPr>
            <w:tcW w:w="4927" w:type="dxa"/>
          </w:tcPr>
          <w:p w:rsidR="00517711" w:rsidRDefault="00F815BE">
            <w:pPr>
              <w:spacing w:line="360" w:lineRule="auto"/>
              <w:jc w:val="both"/>
              <w:rPr>
                <w:rFonts w:ascii="Times New Roman" w:hAnsi="Times New Roman" w:cs="Times New Roman"/>
                <w:sz w:val="20"/>
                <w:szCs w:val="20"/>
              </w:rPr>
            </w:pPr>
            <w:r>
              <w:rPr>
                <w:rFonts w:ascii="Times New Roman" w:hAnsi="Times New Roman" w:cs="Times New Roman"/>
                <w:sz w:val="20"/>
                <w:szCs w:val="20"/>
              </w:rPr>
              <w:t>Активный потребитель</w:t>
            </w:r>
          </w:p>
        </w:tc>
      </w:tr>
      <w:tr w:rsidR="00517711">
        <w:tc>
          <w:tcPr>
            <w:tcW w:w="4927" w:type="dxa"/>
          </w:tcPr>
          <w:p w:rsidR="00517711" w:rsidRDefault="00F815BE">
            <w:pPr>
              <w:spacing w:line="360" w:lineRule="auto"/>
              <w:jc w:val="both"/>
              <w:rPr>
                <w:rFonts w:ascii="Times New Roman" w:hAnsi="Times New Roman" w:cs="Times New Roman"/>
                <w:sz w:val="20"/>
                <w:szCs w:val="20"/>
              </w:rPr>
            </w:pPr>
            <w:r>
              <w:rPr>
                <w:rFonts w:ascii="Times New Roman" w:hAnsi="Times New Roman" w:cs="Times New Roman"/>
                <w:sz w:val="20"/>
                <w:szCs w:val="20"/>
              </w:rPr>
              <w:t>Нормы использования</w:t>
            </w:r>
          </w:p>
        </w:tc>
        <w:tc>
          <w:tcPr>
            <w:tcW w:w="4927" w:type="dxa"/>
          </w:tcPr>
          <w:p w:rsidR="00517711" w:rsidRDefault="00F815BE">
            <w:pPr>
              <w:spacing w:line="360" w:lineRule="auto"/>
              <w:jc w:val="both"/>
              <w:rPr>
                <w:rFonts w:ascii="Times New Roman" w:hAnsi="Times New Roman" w:cs="Times New Roman"/>
                <w:sz w:val="20"/>
                <w:szCs w:val="20"/>
              </w:rPr>
            </w:pPr>
            <w:r>
              <w:rPr>
                <w:rFonts w:ascii="Times New Roman" w:hAnsi="Times New Roman" w:cs="Times New Roman"/>
                <w:sz w:val="20"/>
                <w:szCs w:val="20"/>
              </w:rPr>
              <w:t>Каждый день или несколько раз в неделю</w:t>
            </w:r>
          </w:p>
        </w:tc>
      </w:tr>
    </w:tbl>
    <w:p w:rsidR="00517711" w:rsidRDefault="00517711">
      <w:pPr>
        <w:spacing w:after="0" w:line="240" w:lineRule="auto"/>
        <w:ind w:firstLine="709"/>
        <w:jc w:val="both"/>
        <w:rPr>
          <w:rFonts w:ascii="Times New Roman" w:hAnsi="Times New Roman" w:cs="Times New Roman"/>
          <w:sz w:val="20"/>
          <w:szCs w:val="20"/>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Как видно потенциальный потребитель ресторана «Синдикат» – мужчины от 30 до 49 лет, с высоким уровнем достатка, которые выбирают заведение исходя из эстетических побуждений, активно пользуется услугой каждый день или же несколько раз в неделю.</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ходе исследования ресторана было выявлено особое отношение к потребителю, которое проявлялось уже при входе, где встречает доброжелательный персонал и помогают в снятии одежды, провожают к свободным местам, спрашивая пожелания клиента.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Ресторан расположен во Фрунзенском районе, который располагает больше всех предприятий общественного питания. Однако если рассматривать конкурентов именно с географической точки зрения, то рядом расположенных предприятий подобного типа нет, поэтому их невозможно назвать конкурентами, потенциальные потребители разные.</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Среди всего города Владивосток единственными конкурентами для себя ресторан «Синдикат» считает ресторан «Огонёк», который позиционирует себя как заведение, в кото-ром поддерживают Приморские фермерские хозяйства и готовят исключительно из экологи-чески чистых продуктов.</w:t>
      </w:r>
    </w:p>
    <w:p w:rsidR="00517711" w:rsidRDefault="00517711">
      <w:pPr>
        <w:spacing w:after="0" w:line="240" w:lineRule="auto"/>
        <w:ind w:firstLine="709"/>
        <w:jc w:val="both"/>
        <w:rPr>
          <w:rFonts w:ascii="Times New Roman" w:hAnsi="Times New Roman" w:cs="Times New Roman"/>
          <w:sz w:val="20"/>
          <w:szCs w:val="20"/>
        </w:rPr>
      </w:pP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Таблица 4 – Сравнение ресторана «Синдикат» с потениальными конкурентами</w:t>
      </w:r>
    </w:p>
    <w:p w:rsidR="00517711" w:rsidRDefault="00517711">
      <w:pPr>
        <w:spacing w:after="0" w:line="240" w:lineRule="auto"/>
        <w:jc w:val="both"/>
        <w:rPr>
          <w:rFonts w:ascii="Times New Roman" w:hAnsi="Times New Roman" w:cs="Times New Roman"/>
          <w:sz w:val="20"/>
          <w:szCs w:val="20"/>
        </w:rPr>
      </w:pPr>
    </w:p>
    <w:tbl>
      <w:tblPr>
        <w:tblStyle w:val="12"/>
        <w:tblW w:w="5000" w:type="pct"/>
        <w:tblLook w:val="04A0" w:firstRow="1" w:lastRow="0" w:firstColumn="1" w:lastColumn="0" w:noHBand="0" w:noVBand="1"/>
      </w:tblPr>
      <w:tblGrid>
        <w:gridCol w:w="2094"/>
        <w:gridCol w:w="2586"/>
        <w:gridCol w:w="2588"/>
        <w:gridCol w:w="2586"/>
      </w:tblGrid>
      <w:tr w:rsidR="00517711">
        <w:tc>
          <w:tcPr>
            <w:tcW w:w="1063" w:type="pct"/>
            <w:tcBorders>
              <w:top w:val="single" w:sz="4" w:space="0" w:color="auto"/>
              <w:left w:val="single" w:sz="4" w:space="0" w:color="auto"/>
              <w:bottom w:val="single" w:sz="4" w:space="0" w:color="auto"/>
              <w:right w:val="single" w:sz="4" w:space="0" w:color="auto"/>
            </w:tcBorders>
          </w:tcPr>
          <w:p w:rsidR="00517711" w:rsidRDefault="00F815BE">
            <w:pPr>
              <w:jc w:val="both"/>
              <w:rPr>
                <w:rFonts w:ascii="Times New Roman" w:hAnsi="Times New Roman"/>
                <w:sz w:val="20"/>
                <w:szCs w:val="20"/>
              </w:rPr>
            </w:pPr>
            <w:r>
              <w:rPr>
                <w:rFonts w:ascii="Times New Roman" w:hAnsi="Times New Roman"/>
                <w:sz w:val="20"/>
                <w:szCs w:val="20"/>
              </w:rPr>
              <w:t>Критерии</w:t>
            </w:r>
          </w:p>
        </w:tc>
        <w:tc>
          <w:tcPr>
            <w:tcW w:w="1312"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«Синдикат»</w:t>
            </w:r>
          </w:p>
        </w:tc>
        <w:tc>
          <w:tcPr>
            <w:tcW w:w="1313"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«Огонёк»</w:t>
            </w:r>
          </w:p>
        </w:tc>
        <w:tc>
          <w:tcPr>
            <w:tcW w:w="1313"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w:t>
            </w:r>
            <w:r>
              <w:rPr>
                <w:rFonts w:ascii="Times New Roman" w:hAnsi="Times New Roman"/>
                <w:sz w:val="20"/>
                <w:szCs w:val="20"/>
                <w:lang w:val="en-US"/>
              </w:rPr>
              <w:t>The times</w:t>
            </w:r>
            <w:r>
              <w:rPr>
                <w:rFonts w:ascii="Times New Roman" w:hAnsi="Times New Roman"/>
                <w:sz w:val="20"/>
                <w:szCs w:val="20"/>
              </w:rPr>
              <w:t>»</w:t>
            </w:r>
          </w:p>
        </w:tc>
      </w:tr>
      <w:tr w:rsidR="00517711">
        <w:tc>
          <w:tcPr>
            <w:tcW w:w="1063" w:type="pct"/>
            <w:tcBorders>
              <w:top w:val="single" w:sz="4" w:space="0" w:color="auto"/>
              <w:left w:val="single" w:sz="4" w:space="0" w:color="auto"/>
              <w:bottom w:val="single" w:sz="4" w:space="0" w:color="auto"/>
              <w:right w:val="single" w:sz="4" w:space="0" w:color="auto"/>
            </w:tcBorders>
          </w:tcPr>
          <w:p w:rsidR="00517711" w:rsidRDefault="00F815BE">
            <w:pPr>
              <w:jc w:val="both"/>
              <w:rPr>
                <w:rFonts w:ascii="Times New Roman" w:hAnsi="Times New Roman"/>
                <w:sz w:val="20"/>
                <w:szCs w:val="20"/>
              </w:rPr>
            </w:pPr>
            <w:r>
              <w:rPr>
                <w:rFonts w:ascii="Times New Roman" w:hAnsi="Times New Roman"/>
                <w:sz w:val="20"/>
                <w:szCs w:val="20"/>
              </w:rPr>
              <w:t>Кухня</w:t>
            </w:r>
          </w:p>
        </w:tc>
        <w:tc>
          <w:tcPr>
            <w:tcW w:w="1312"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Стейкхаус</w:t>
            </w:r>
          </w:p>
        </w:tc>
        <w:tc>
          <w:tcPr>
            <w:tcW w:w="1313"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Фермерская</w:t>
            </w:r>
          </w:p>
        </w:tc>
        <w:tc>
          <w:tcPr>
            <w:tcW w:w="1313"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Классический стейкхаус</w:t>
            </w:r>
          </w:p>
        </w:tc>
      </w:tr>
      <w:tr w:rsidR="00517711">
        <w:tc>
          <w:tcPr>
            <w:tcW w:w="1063" w:type="pct"/>
            <w:tcBorders>
              <w:top w:val="single" w:sz="4" w:space="0" w:color="auto"/>
              <w:left w:val="single" w:sz="4" w:space="0" w:color="auto"/>
              <w:bottom w:val="single" w:sz="4" w:space="0" w:color="auto"/>
              <w:right w:val="single" w:sz="4" w:space="0" w:color="auto"/>
            </w:tcBorders>
          </w:tcPr>
          <w:p w:rsidR="00517711" w:rsidRDefault="00F815BE">
            <w:pPr>
              <w:jc w:val="both"/>
              <w:rPr>
                <w:rFonts w:ascii="Times New Roman" w:hAnsi="Times New Roman"/>
                <w:sz w:val="20"/>
                <w:szCs w:val="20"/>
              </w:rPr>
            </w:pPr>
            <w:r>
              <w:rPr>
                <w:rFonts w:ascii="Times New Roman" w:hAnsi="Times New Roman"/>
                <w:sz w:val="20"/>
                <w:szCs w:val="20"/>
              </w:rPr>
              <w:t>Средний чек (на чел.)(руб.)</w:t>
            </w:r>
          </w:p>
        </w:tc>
        <w:tc>
          <w:tcPr>
            <w:tcW w:w="1312"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1500</w:t>
            </w:r>
          </w:p>
        </w:tc>
        <w:tc>
          <w:tcPr>
            <w:tcW w:w="1313"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2000</w:t>
            </w:r>
          </w:p>
        </w:tc>
        <w:tc>
          <w:tcPr>
            <w:tcW w:w="1313"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2000</w:t>
            </w:r>
          </w:p>
        </w:tc>
      </w:tr>
      <w:tr w:rsidR="00517711">
        <w:tc>
          <w:tcPr>
            <w:tcW w:w="1063" w:type="pct"/>
            <w:tcBorders>
              <w:top w:val="single" w:sz="4" w:space="0" w:color="auto"/>
              <w:left w:val="single" w:sz="4" w:space="0" w:color="auto"/>
              <w:bottom w:val="single" w:sz="4" w:space="0" w:color="auto"/>
              <w:right w:val="single" w:sz="4" w:space="0" w:color="auto"/>
            </w:tcBorders>
          </w:tcPr>
          <w:p w:rsidR="00517711" w:rsidRDefault="00F815BE">
            <w:pPr>
              <w:jc w:val="both"/>
              <w:rPr>
                <w:rFonts w:ascii="Times New Roman" w:hAnsi="Times New Roman"/>
                <w:sz w:val="20"/>
                <w:szCs w:val="20"/>
              </w:rPr>
            </w:pPr>
            <w:r>
              <w:rPr>
                <w:rFonts w:ascii="Times New Roman" w:hAnsi="Times New Roman"/>
                <w:sz w:val="20"/>
                <w:szCs w:val="20"/>
              </w:rPr>
              <w:t>Время работы (ч.)</w:t>
            </w:r>
          </w:p>
        </w:tc>
        <w:tc>
          <w:tcPr>
            <w:tcW w:w="1312"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12:00-00:00</w:t>
            </w:r>
          </w:p>
        </w:tc>
        <w:tc>
          <w:tcPr>
            <w:tcW w:w="1313"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12:00-01:00</w:t>
            </w:r>
          </w:p>
        </w:tc>
        <w:tc>
          <w:tcPr>
            <w:tcW w:w="1313"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Будни: 18:00-00:00</w:t>
            </w:r>
          </w:p>
          <w:p w:rsidR="00517711" w:rsidRDefault="00F815BE">
            <w:pPr>
              <w:jc w:val="both"/>
              <w:rPr>
                <w:rFonts w:ascii="Times New Roman" w:hAnsi="Times New Roman"/>
                <w:sz w:val="20"/>
                <w:szCs w:val="20"/>
              </w:rPr>
            </w:pPr>
            <w:r>
              <w:rPr>
                <w:rFonts w:ascii="Times New Roman" w:hAnsi="Times New Roman"/>
                <w:sz w:val="20"/>
                <w:szCs w:val="20"/>
              </w:rPr>
              <w:t>Выходные: 12:00-00:00</w:t>
            </w:r>
          </w:p>
        </w:tc>
      </w:tr>
      <w:tr w:rsidR="00517711">
        <w:tc>
          <w:tcPr>
            <w:tcW w:w="1063" w:type="pct"/>
            <w:tcBorders>
              <w:top w:val="single" w:sz="4" w:space="0" w:color="auto"/>
              <w:left w:val="single" w:sz="4" w:space="0" w:color="auto"/>
              <w:bottom w:val="single" w:sz="4" w:space="0" w:color="auto"/>
              <w:right w:val="single" w:sz="4" w:space="0" w:color="auto"/>
            </w:tcBorders>
          </w:tcPr>
          <w:p w:rsidR="00517711" w:rsidRDefault="00F815BE">
            <w:pPr>
              <w:jc w:val="both"/>
              <w:rPr>
                <w:rFonts w:ascii="Times New Roman" w:hAnsi="Times New Roman"/>
                <w:sz w:val="20"/>
                <w:szCs w:val="20"/>
              </w:rPr>
            </w:pPr>
            <w:r>
              <w:rPr>
                <w:rFonts w:ascii="Times New Roman" w:hAnsi="Times New Roman"/>
                <w:sz w:val="20"/>
                <w:szCs w:val="20"/>
              </w:rPr>
              <w:t>Вместительность</w:t>
            </w:r>
          </w:p>
        </w:tc>
        <w:tc>
          <w:tcPr>
            <w:tcW w:w="1312"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60 мест</w:t>
            </w:r>
          </w:p>
        </w:tc>
        <w:tc>
          <w:tcPr>
            <w:tcW w:w="1313"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100 мест</w:t>
            </w:r>
          </w:p>
        </w:tc>
        <w:tc>
          <w:tcPr>
            <w:tcW w:w="1313"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40 мест</w:t>
            </w:r>
          </w:p>
        </w:tc>
      </w:tr>
      <w:tr w:rsidR="00517711">
        <w:tc>
          <w:tcPr>
            <w:tcW w:w="1063" w:type="pct"/>
            <w:tcBorders>
              <w:top w:val="single" w:sz="4" w:space="0" w:color="auto"/>
              <w:left w:val="single" w:sz="4" w:space="0" w:color="auto"/>
              <w:bottom w:val="single" w:sz="4" w:space="0" w:color="auto"/>
              <w:right w:val="single" w:sz="4" w:space="0" w:color="auto"/>
            </w:tcBorders>
          </w:tcPr>
          <w:p w:rsidR="00517711" w:rsidRDefault="00F815BE">
            <w:pPr>
              <w:jc w:val="both"/>
              <w:rPr>
                <w:rFonts w:ascii="Times New Roman" w:hAnsi="Times New Roman"/>
                <w:sz w:val="20"/>
                <w:szCs w:val="20"/>
              </w:rPr>
            </w:pPr>
            <w:r>
              <w:rPr>
                <w:rFonts w:ascii="Times New Roman" w:hAnsi="Times New Roman"/>
                <w:sz w:val="20"/>
                <w:szCs w:val="20"/>
              </w:rPr>
              <w:t>Сколько лет на рынке</w:t>
            </w:r>
          </w:p>
        </w:tc>
        <w:tc>
          <w:tcPr>
            <w:tcW w:w="1312"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11 лет</w:t>
            </w:r>
          </w:p>
        </w:tc>
        <w:tc>
          <w:tcPr>
            <w:tcW w:w="1313"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3 года</w:t>
            </w:r>
          </w:p>
        </w:tc>
        <w:tc>
          <w:tcPr>
            <w:tcW w:w="1313"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Меньше года</w:t>
            </w:r>
          </w:p>
        </w:tc>
      </w:tr>
      <w:tr w:rsidR="00517711">
        <w:tc>
          <w:tcPr>
            <w:tcW w:w="1063" w:type="pct"/>
            <w:tcBorders>
              <w:top w:val="single" w:sz="4" w:space="0" w:color="auto"/>
              <w:left w:val="single" w:sz="4" w:space="0" w:color="auto"/>
              <w:bottom w:val="single" w:sz="4" w:space="0" w:color="auto"/>
              <w:right w:val="single" w:sz="4" w:space="0" w:color="auto"/>
            </w:tcBorders>
          </w:tcPr>
          <w:p w:rsidR="00517711" w:rsidRDefault="00F815BE">
            <w:pPr>
              <w:jc w:val="both"/>
              <w:rPr>
                <w:rFonts w:ascii="Times New Roman" w:hAnsi="Times New Roman"/>
                <w:sz w:val="20"/>
                <w:szCs w:val="20"/>
              </w:rPr>
            </w:pPr>
            <w:r>
              <w:rPr>
                <w:rFonts w:ascii="Times New Roman" w:hAnsi="Times New Roman"/>
                <w:sz w:val="20"/>
                <w:szCs w:val="20"/>
              </w:rPr>
              <w:t>Дополнительно</w:t>
            </w:r>
          </w:p>
        </w:tc>
        <w:tc>
          <w:tcPr>
            <w:tcW w:w="1312"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«До последнего клиента». Ресторан не закроется, пока последний клиент не покинет заведение</w:t>
            </w:r>
          </w:p>
        </w:tc>
        <w:tc>
          <w:tcPr>
            <w:tcW w:w="1313"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При оставлении отзыва, подарок от ресторана – чашка кофе</w:t>
            </w:r>
          </w:p>
        </w:tc>
        <w:tc>
          <w:tcPr>
            <w:tcW w:w="1313"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Всегда проходят акции на стейк</w:t>
            </w:r>
          </w:p>
        </w:tc>
      </w:tr>
    </w:tbl>
    <w:p w:rsidR="00517711" w:rsidRDefault="00517711">
      <w:pPr>
        <w:spacing w:after="0" w:line="240" w:lineRule="auto"/>
        <w:jc w:val="both"/>
        <w:rPr>
          <w:rFonts w:ascii="Times New Roman" w:hAnsi="Times New Roman" w:cs="Times New Roman"/>
          <w:sz w:val="20"/>
          <w:szCs w:val="20"/>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Многое в этих предприятиях схоже: живая музыка, эксклюзивные блюда, различные поощрения для гостей, однако в «Огоньке» сервис оставляет желать лучшего. Многие посетители уходят недовольные именно обслуживанием, отчего у данного заведения, по сравнению с «Синдикатом», не так много постоянных клиентов.</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В результате исследования было выявлено, что ресторан «Синдикат» имеет потенциал в дальнейшем развитии. Несмотря на то, что у них уже наработана клиентская база, имеет смысл использовать помимо использующихся способов продвижения, способы, применяющиеся другими предприятиями. Например, такой способ, как оставление отзыва в просторах всемирной сети, за небольшой презент, в виде десерта или напитка.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На данный момент идёт разработка способов продвижения, которые ориентируются именно на потребителей мясных ресторанов.</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Подводя итог, можно сказать, что клиентоориентированность имеет не последнюю роль в продвижении гастрономических услуг, так как именно от клиента зависит коммерческий успех предприятия. Также немаловажную роль в клиентоориентированности влияет персонал, так как именно от него будет исходить ориентированность на клиента.</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color w:val="000000" w:themeColor="text1"/>
          <w:sz w:val="20"/>
          <w:szCs w:val="20"/>
        </w:rPr>
        <w:t>_________________________</w:t>
      </w:r>
    </w:p>
    <w:p w:rsidR="00517711" w:rsidRDefault="00F815BE">
      <w:pPr>
        <w:pStyle w:val="afb"/>
        <w:rPr>
          <w:rFonts w:cs="Times New Roman"/>
        </w:rPr>
      </w:pPr>
      <w:r>
        <w:rPr>
          <w:rFonts w:cs="Times New Roman"/>
        </w:rPr>
        <w:t>1. Юшкова А.И. Продвижение ресторанного предприятия на целевой рынок при помощи современных возможностей рекламы [Электронный ресурс] / А. И. Юшкова // Российский экономический университет им. Г.В.  Плеханова. – 2014. – Режим доступа: https://studydoc.ru/</w:t>
      </w:r>
    </w:p>
    <w:p w:rsidR="00517711" w:rsidRDefault="00F815BE">
      <w:pPr>
        <w:pStyle w:val="afb"/>
        <w:rPr>
          <w:rFonts w:cs="Times New Roman"/>
        </w:rPr>
      </w:pPr>
      <w:r>
        <w:rPr>
          <w:rFonts w:cs="Times New Roman"/>
        </w:rPr>
        <w:t>2. Серых Е.О. Клиентоориентированность, в чем суть? [Электронный ресурс] / Е.О. Серых // Персонал 2016: проблемы, перспективы, развитие. – 2016. – Режим доступа: http://obrazovanie9.ru</w:t>
      </w:r>
    </w:p>
    <w:p w:rsidR="00517711" w:rsidRDefault="00F815BE">
      <w:pPr>
        <w:pStyle w:val="afb"/>
        <w:rPr>
          <w:rFonts w:cs="Times New Roman"/>
        </w:rPr>
      </w:pPr>
      <w:r>
        <w:rPr>
          <w:rFonts w:cs="Times New Roman"/>
        </w:rPr>
        <w:t>3. Словарь бизнес-терминов. Академик.ру [Электронный ресурс] / Режим доступа: https://dic.academic.ru/</w:t>
      </w:r>
    </w:p>
    <w:p w:rsidR="00517711" w:rsidRDefault="00F815BE">
      <w:pPr>
        <w:pStyle w:val="afb"/>
        <w:rPr>
          <w:rFonts w:cs="Times New Roman"/>
        </w:rPr>
      </w:pPr>
      <w:r>
        <w:rPr>
          <w:rFonts w:cs="Times New Roman"/>
        </w:rPr>
        <w:lastRenderedPageBreak/>
        <w:t>4. Лучков В.С. Что такое клиентоориентированность? / В.С. Лучков // Бизнес-журнал. – 2014. – Режим доступа: http://victorluchkov.ru</w:t>
      </w:r>
    </w:p>
    <w:p w:rsidR="00517711" w:rsidRDefault="00F815BE">
      <w:pPr>
        <w:pStyle w:val="afb"/>
        <w:rPr>
          <w:rFonts w:cs="Times New Roman"/>
        </w:rPr>
      </w:pPr>
      <w:r>
        <w:rPr>
          <w:rFonts w:cs="Times New Roman"/>
        </w:rPr>
        <w:t xml:space="preserve">5. Новиков А.М. Что такое клиентоориентированность? [Электронный ресурс] / А.М. Новиков // – 2014. – Режим доступа: </w:t>
      </w:r>
      <w:r>
        <w:rPr>
          <w:rFonts w:cs="Times New Roman"/>
          <w:lang w:val="en-US"/>
        </w:rPr>
        <w:t>http</w:t>
      </w:r>
      <w:r>
        <w:rPr>
          <w:rFonts w:cs="Times New Roman"/>
        </w:rPr>
        <w:t>://</w:t>
      </w:r>
      <w:r>
        <w:rPr>
          <w:rFonts w:cs="Times New Roman"/>
          <w:lang w:val="en-US"/>
        </w:rPr>
        <w:t>blog</w:t>
      </w:r>
      <w:r>
        <w:rPr>
          <w:rFonts w:cs="Times New Roman"/>
        </w:rPr>
        <w:t>.</w:t>
      </w:r>
      <w:r>
        <w:rPr>
          <w:rFonts w:cs="Times New Roman"/>
          <w:lang w:val="en-US"/>
        </w:rPr>
        <w:t>micromarketing</w:t>
      </w:r>
      <w:r>
        <w:rPr>
          <w:rFonts w:cs="Times New Roman"/>
        </w:rPr>
        <w:t>.</w:t>
      </w:r>
      <w:r>
        <w:rPr>
          <w:rFonts w:cs="Times New Roman"/>
          <w:lang w:val="en-US"/>
        </w:rPr>
        <w:t>ru</w:t>
      </w:r>
    </w:p>
    <w:p w:rsidR="00517711" w:rsidRDefault="00517711">
      <w:pPr>
        <w:spacing w:after="0" w:line="240" w:lineRule="auto"/>
        <w:jc w:val="both"/>
        <w:rPr>
          <w:rFonts w:ascii="Times New Roman" w:eastAsia="Calibri" w:hAnsi="Times New Roman" w:cs="Times New Roman"/>
          <w:color w:val="000000"/>
          <w:sz w:val="20"/>
          <w:szCs w:val="20"/>
          <w:lang w:eastAsia="ko-KR"/>
        </w:rPr>
      </w:pPr>
    </w:p>
    <w:p w:rsidR="00517711" w:rsidRDefault="00F815BE">
      <w:pPr>
        <w:keepNext/>
        <w:spacing w:before="120" w:after="120" w:line="240" w:lineRule="auto"/>
        <w:outlineLvl w:val="3"/>
        <w:rPr>
          <w:rFonts w:ascii="Times New Roman" w:eastAsia="Calibri" w:hAnsi="Times New Roman" w:cs="Times New Roman"/>
          <w:b/>
          <w:bCs/>
          <w:sz w:val="20"/>
          <w:szCs w:val="28"/>
        </w:rPr>
      </w:pPr>
      <w:r>
        <w:rPr>
          <w:rFonts w:ascii="Times New Roman" w:eastAsia="Calibri" w:hAnsi="Times New Roman" w:cs="Times New Roman"/>
          <w:b/>
          <w:bCs/>
          <w:sz w:val="20"/>
          <w:szCs w:val="28"/>
        </w:rPr>
        <w:t>Рубрика: Туризм (по отраслям)</w:t>
      </w:r>
    </w:p>
    <w:p w:rsidR="00517711" w:rsidRDefault="00F815BE">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УДК 339.133.017:640.43(571.63-25)</w:t>
      </w:r>
    </w:p>
    <w:p w:rsidR="00517711" w:rsidRDefault="00F815BE">
      <w:pPr>
        <w:keepNext/>
        <w:spacing w:before="240" w:after="240" w:line="240" w:lineRule="auto"/>
        <w:jc w:val="center"/>
        <w:outlineLvl w:val="0"/>
        <w:rPr>
          <w:rFonts w:ascii="Book Antiqua" w:hAnsi="Book Antiqua" w:cs="Times New Roman"/>
          <w:b/>
          <w:bCs/>
          <w:caps/>
          <w:sz w:val="26"/>
          <w:szCs w:val="26"/>
        </w:rPr>
      </w:pPr>
      <w:r>
        <w:rPr>
          <w:rFonts w:ascii="Book Antiqua" w:hAnsi="Book Antiqua" w:cs="Times New Roman"/>
          <w:b/>
          <w:bCs/>
          <w:caps/>
          <w:sz w:val="26"/>
          <w:szCs w:val="26"/>
        </w:rPr>
        <w:t>Сегментация рынка потребителей услуг ресторана «Tokyo» г. Владивосток</w:t>
      </w:r>
    </w:p>
    <w:p w:rsidR="00517711" w:rsidRDefault="00F815BE">
      <w:pPr>
        <w:spacing w:after="0" w:line="240" w:lineRule="auto"/>
        <w:contextualSpacing/>
        <w:jc w:val="center"/>
        <w:rPr>
          <w:rFonts w:ascii="Arial" w:eastAsia="Calibri" w:hAnsi="Arial" w:cs="Times New Roman"/>
          <w:b/>
          <w:bCs/>
          <w:sz w:val="24"/>
          <w:szCs w:val="20"/>
          <w:lang w:eastAsia="ru-RU"/>
        </w:rPr>
      </w:pPr>
      <w:r>
        <w:rPr>
          <w:rFonts w:ascii="Arial" w:eastAsia="Calibri" w:hAnsi="Arial" w:cs="Times New Roman"/>
          <w:b/>
          <w:bCs/>
          <w:sz w:val="24"/>
          <w:szCs w:val="20"/>
          <w:lang w:eastAsia="ru-RU"/>
        </w:rPr>
        <w:t>Пискарёва Оксана Романовна,</w:t>
      </w:r>
    </w:p>
    <w:p w:rsidR="00517711" w:rsidRDefault="00F815BE">
      <w:pPr>
        <w:spacing w:after="0" w:line="240" w:lineRule="auto"/>
        <w:contextualSpacing/>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бакалавр</w:t>
      </w:r>
    </w:p>
    <w:p w:rsidR="00517711" w:rsidRDefault="00F815BE">
      <w:pPr>
        <w:spacing w:before="240"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Россия. Владивосток</w:t>
      </w:r>
    </w:p>
    <w:p w:rsidR="00517711" w:rsidRPr="00BD6187" w:rsidRDefault="00F815BE">
      <w:pPr>
        <w:spacing w:after="0" w:line="240" w:lineRule="auto"/>
        <w:ind w:firstLine="709"/>
        <w:contextualSpacing/>
        <w:jc w:val="center"/>
        <w:rPr>
          <w:rFonts w:ascii="Times New Roman" w:hAnsi="Times New Roman"/>
          <w:sz w:val="20"/>
          <w:szCs w:val="24"/>
        </w:rPr>
      </w:pPr>
      <w:r>
        <w:rPr>
          <w:rFonts w:ascii="Times New Roman" w:hAnsi="Times New Roman"/>
          <w:sz w:val="20"/>
          <w:szCs w:val="24"/>
          <w:lang w:val="en-US"/>
        </w:rPr>
        <w:t>E</w:t>
      </w:r>
      <w:r w:rsidRPr="00BD6187">
        <w:rPr>
          <w:rFonts w:ascii="Times New Roman" w:hAnsi="Times New Roman"/>
          <w:sz w:val="20"/>
          <w:szCs w:val="24"/>
        </w:rPr>
        <w:t>-</w:t>
      </w:r>
      <w:r>
        <w:rPr>
          <w:rFonts w:ascii="Times New Roman" w:hAnsi="Times New Roman"/>
          <w:sz w:val="20"/>
          <w:szCs w:val="24"/>
          <w:lang w:val="en-US"/>
        </w:rPr>
        <w:t>mail</w:t>
      </w:r>
      <w:r w:rsidRPr="00BD6187">
        <w:rPr>
          <w:rFonts w:ascii="Times New Roman" w:hAnsi="Times New Roman"/>
          <w:sz w:val="20"/>
          <w:szCs w:val="24"/>
        </w:rPr>
        <w:t xml:space="preserve">: </w:t>
      </w:r>
      <w:r>
        <w:rPr>
          <w:rFonts w:ascii="Times New Roman" w:hAnsi="Times New Roman"/>
          <w:sz w:val="20"/>
          <w:szCs w:val="24"/>
          <w:lang w:val="en-US"/>
        </w:rPr>
        <w:t>POksa</w:t>
      </w:r>
      <w:r w:rsidRPr="00BD6187">
        <w:rPr>
          <w:rFonts w:ascii="Times New Roman" w:hAnsi="Times New Roman"/>
          <w:sz w:val="20"/>
          <w:szCs w:val="24"/>
        </w:rPr>
        <w:t>-1996@</w:t>
      </w:r>
      <w:r>
        <w:rPr>
          <w:rFonts w:ascii="Times New Roman" w:hAnsi="Times New Roman"/>
          <w:sz w:val="20"/>
          <w:szCs w:val="24"/>
          <w:lang w:val="en-US"/>
        </w:rPr>
        <w:t>mail</w:t>
      </w:r>
      <w:r w:rsidRPr="00BD6187">
        <w:rPr>
          <w:rFonts w:ascii="Times New Roman" w:hAnsi="Times New Roman"/>
          <w:sz w:val="20"/>
          <w:szCs w:val="24"/>
        </w:rPr>
        <w:t>.</w:t>
      </w:r>
      <w:r>
        <w:rPr>
          <w:rFonts w:ascii="Times New Roman" w:hAnsi="Times New Roman"/>
          <w:sz w:val="20"/>
          <w:szCs w:val="24"/>
          <w:lang w:val="en-US"/>
        </w:rPr>
        <w:t>ru</w:t>
      </w:r>
      <w:r w:rsidRPr="00BD6187">
        <w:rPr>
          <w:rFonts w:ascii="Times New Roman" w:hAnsi="Times New Roman"/>
          <w:sz w:val="20"/>
          <w:szCs w:val="24"/>
        </w:rPr>
        <w:t xml:space="preserve">; </w:t>
      </w:r>
      <w:r>
        <w:rPr>
          <w:rFonts w:ascii="Times New Roman" w:hAnsi="Times New Roman"/>
          <w:sz w:val="20"/>
          <w:szCs w:val="24"/>
        </w:rPr>
        <w:t>тел</w:t>
      </w:r>
      <w:r w:rsidRPr="00BD6187">
        <w:rPr>
          <w:rFonts w:ascii="Times New Roman" w:hAnsi="Times New Roman"/>
          <w:sz w:val="20"/>
          <w:szCs w:val="24"/>
        </w:rPr>
        <w:t>.: +79146924177</w:t>
      </w:r>
    </w:p>
    <w:p w:rsidR="00517711" w:rsidRDefault="00F815BE">
      <w:pPr>
        <w:spacing w:after="0" w:line="240" w:lineRule="auto"/>
        <w:ind w:firstLine="709"/>
        <w:contextualSpacing/>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517711">
      <w:pPr>
        <w:spacing w:after="0" w:line="240" w:lineRule="auto"/>
        <w:ind w:firstLine="709"/>
        <w:contextualSpacing/>
        <w:jc w:val="center"/>
        <w:rPr>
          <w:rFonts w:ascii="Times New Roman" w:hAnsi="Times New Roman"/>
          <w:sz w:val="20"/>
          <w:szCs w:val="24"/>
        </w:rPr>
      </w:pPr>
    </w:p>
    <w:p w:rsidR="00517711" w:rsidRDefault="00F815BE">
      <w:pPr>
        <w:spacing w:after="0" w:line="240" w:lineRule="auto"/>
        <w:ind w:firstLine="709"/>
        <w:contextualSpacing/>
        <w:jc w:val="both"/>
        <w:rPr>
          <w:rFonts w:ascii="Times New Roman" w:hAnsi="Times New Roman"/>
          <w:i/>
          <w:szCs w:val="24"/>
        </w:rPr>
      </w:pPr>
      <w:r>
        <w:rPr>
          <w:rFonts w:ascii="Times New Roman" w:hAnsi="Times New Roman"/>
          <w:i/>
          <w:szCs w:val="24"/>
        </w:rPr>
        <w:t>Основной проблемой рынка услуг предприятий общественного питания г. Владивостока является малоизученность потребительских предпочтений. Важнейшей практической задачей является поиск клиента, выгодного с точки зрения коммерческих интересов фирмы. В данной статье дана характеристика основных элементов сегментации рынка потребителей услуг общественного питания на примере конкретного предприятия.</w:t>
      </w:r>
    </w:p>
    <w:p w:rsidR="00517711" w:rsidRDefault="00F815BE">
      <w:pPr>
        <w:spacing w:after="0" w:line="240" w:lineRule="auto"/>
        <w:ind w:firstLine="709"/>
        <w:contextualSpacing/>
        <w:jc w:val="both"/>
        <w:rPr>
          <w:rFonts w:ascii="Times New Roman" w:hAnsi="Times New Roman"/>
          <w:i/>
          <w:szCs w:val="24"/>
        </w:rPr>
      </w:pPr>
      <w:r>
        <w:rPr>
          <w:rFonts w:ascii="Times New Roman" w:hAnsi="Times New Roman"/>
          <w:b/>
          <w:i/>
          <w:szCs w:val="24"/>
        </w:rPr>
        <w:t>Ключевые слова:</w:t>
      </w:r>
      <w:r>
        <w:rPr>
          <w:rFonts w:ascii="Times New Roman" w:hAnsi="Times New Roman"/>
          <w:i/>
          <w:szCs w:val="24"/>
        </w:rPr>
        <w:t xml:space="preserve"> потребитель, сфера общественного питания, сегментация потребителей, маргетинг, позиционирование.</w:t>
      </w:r>
    </w:p>
    <w:p w:rsidR="00517711" w:rsidRDefault="00F815BE">
      <w:pPr>
        <w:keepNext/>
        <w:spacing w:before="240" w:after="240" w:line="240" w:lineRule="auto"/>
        <w:jc w:val="center"/>
        <w:outlineLvl w:val="0"/>
        <w:rPr>
          <w:rFonts w:ascii="Book Antiqua" w:hAnsi="Book Antiqua" w:cs="Times New Roman"/>
          <w:b/>
          <w:bCs/>
          <w:caps/>
          <w:sz w:val="26"/>
          <w:szCs w:val="26"/>
          <w:lang w:val="en-US"/>
        </w:rPr>
      </w:pPr>
      <w:r>
        <w:rPr>
          <w:rFonts w:ascii="Book Antiqua" w:hAnsi="Book Antiqua" w:cs="Times New Roman"/>
          <w:b/>
          <w:bCs/>
          <w:caps/>
          <w:sz w:val="26"/>
          <w:szCs w:val="26"/>
          <w:lang w:val="en-US"/>
        </w:rPr>
        <w:t>Segmentation of the market of consumers of catering services (on the example of the restaurant «Tokyo» Vladivostok)</w:t>
      </w:r>
    </w:p>
    <w:p w:rsidR="00517711" w:rsidRDefault="00F815BE">
      <w:pPr>
        <w:spacing w:after="0" w:line="240" w:lineRule="auto"/>
        <w:ind w:firstLine="709"/>
        <w:contextualSpacing/>
        <w:jc w:val="both"/>
        <w:rPr>
          <w:rFonts w:ascii="Times New Roman" w:hAnsi="Times New Roman"/>
          <w:i/>
          <w:szCs w:val="24"/>
          <w:lang w:val="en-US"/>
        </w:rPr>
      </w:pPr>
      <w:r>
        <w:rPr>
          <w:rFonts w:ascii="Times New Roman" w:hAnsi="Times New Roman"/>
          <w:i/>
          <w:szCs w:val="24"/>
          <w:lang w:val="en-US"/>
        </w:rPr>
        <w:t>The main problem of the market of catering services in Vladivostok is the lack of consumer preferences. The most important practical task is to find the client, beneficial from the point of view of commercial interests of the company. This article will be the characteristic of basic elements of market segmentation of consumers of services of public catering on the example of the concrete enterprise.</w:t>
      </w:r>
    </w:p>
    <w:p w:rsidR="00517711" w:rsidRDefault="00F815BE">
      <w:pPr>
        <w:spacing w:after="0" w:line="240" w:lineRule="auto"/>
        <w:ind w:firstLine="709"/>
        <w:contextualSpacing/>
        <w:jc w:val="both"/>
        <w:rPr>
          <w:rFonts w:ascii="Times New Roman" w:hAnsi="Times New Roman"/>
          <w:i/>
          <w:szCs w:val="24"/>
          <w:lang w:val="en-US"/>
        </w:rPr>
      </w:pPr>
      <w:r>
        <w:rPr>
          <w:rFonts w:ascii="Times New Roman" w:hAnsi="Times New Roman"/>
          <w:b/>
          <w:i/>
          <w:szCs w:val="24"/>
          <w:lang w:val="en-US"/>
        </w:rPr>
        <w:t>Keywords:</w:t>
      </w:r>
      <w:r>
        <w:rPr>
          <w:rFonts w:ascii="Times New Roman" w:hAnsi="Times New Roman"/>
          <w:i/>
          <w:szCs w:val="24"/>
          <w:lang w:val="en-US"/>
        </w:rPr>
        <w:t xml:space="preserve"> consumer, catering sphere, consumer segmentation, margeting, positioning.</w:t>
      </w:r>
    </w:p>
    <w:p w:rsidR="00517711" w:rsidRDefault="00517711">
      <w:pPr>
        <w:spacing w:after="0" w:line="240" w:lineRule="auto"/>
        <w:ind w:firstLine="709"/>
        <w:contextualSpacing/>
        <w:jc w:val="both"/>
        <w:rPr>
          <w:rFonts w:ascii="Times New Roman" w:hAnsi="Times New Roman"/>
          <w:i/>
          <w:sz w:val="20"/>
          <w:szCs w:val="24"/>
          <w:lang w:val="en-US"/>
        </w:rPr>
      </w:pPr>
    </w:p>
    <w:p w:rsidR="00517711" w:rsidRDefault="00F815BE">
      <w:pPr>
        <w:spacing w:after="0" w:line="240" w:lineRule="auto"/>
        <w:ind w:firstLine="709"/>
        <w:contextualSpacing/>
        <w:jc w:val="both"/>
        <w:rPr>
          <w:rFonts w:ascii="Times New Roman" w:hAnsi="Times New Roman"/>
          <w:sz w:val="20"/>
          <w:szCs w:val="24"/>
        </w:rPr>
      </w:pPr>
      <w:r>
        <w:rPr>
          <w:rFonts w:ascii="Times New Roman" w:hAnsi="Times New Roman"/>
          <w:sz w:val="20"/>
          <w:szCs w:val="24"/>
        </w:rPr>
        <w:t>Современный рынок услуг общественного питания характеризуется динамичным развитием и высокой конкуренцией. Одним из базовых условий успешной работы на высококонкурентных рынках является позиционирование предприятия относительно его основных конкурентов.</w:t>
      </w:r>
    </w:p>
    <w:p w:rsidR="00517711" w:rsidRDefault="00F815BE">
      <w:pPr>
        <w:spacing w:after="0" w:line="240" w:lineRule="auto"/>
        <w:ind w:firstLine="709"/>
        <w:contextualSpacing/>
        <w:jc w:val="both"/>
        <w:rPr>
          <w:rFonts w:ascii="Times New Roman" w:hAnsi="Times New Roman"/>
          <w:sz w:val="20"/>
          <w:szCs w:val="24"/>
        </w:rPr>
      </w:pPr>
      <w:r>
        <w:rPr>
          <w:rFonts w:ascii="Times New Roman" w:hAnsi="Times New Roman"/>
          <w:sz w:val="20"/>
          <w:szCs w:val="24"/>
        </w:rPr>
        <w:t>Целью исследования является сегментирование потребителей ресторана «Токио» г. Владивосток. Для достижения цели исследования были поставлены следующие задачи:</w:t>
      </w:r>
    </w:p>
    <w:p w:rsidR="00517711" w:rsidRDefault="00F815BE">
      <w:pPr>
        <w:spacing w:after="0" w:line="240" w:lineRule="auto"/>
        <w:ind w:firstLine="709"/>
        <w:contextualSpacing/>
        <w:jc w:val="both"/>
        <w:rPr>
          <w:rFonts w:ascii="Times New Roman" w:hAnsi="Times New Roman"/>
          <w:sz w:val="20"/>
          <w:szCs w:val="24"/>
        </w:rPr>
      </w:pPr>
      <w:r>
        <w:rPr>
          <w:rFonts w:ascii="Times New Roman" w:hAnsi="Times New Roman"/>
          <w:sz w:val="20"/>
          <w:szCs w:val="24"/>
        </w:rPr>
        <w:t>– изучить теоретические основы сегментирования рынка;</w:t>
      </w:r>
    </w:p>
    <w:p w:rsidR="00517711" w:rsidRDefault="00F815BE">
      <w:pPr>
        <w:spacing w:after="0" w:line="240" w:lineRule="auto"/>
        <w:ind w:firstLine="709"/>
        <w:contextualSpacing/>
        <w:jc w:val="both"/>
        <w:rPr>
          <w:rFonts w:ascii="Times New Roman" w:hAnsi="Times New Roman"/>
          <w:sz w:val="20"/>
          <w:szCs w:val="24"/>
        </w:rPr>
      </w:pPr>
      <w:r>
        <w:rPr>
          <w:rFonts w:ascii="Times New Roman" w:hAnsi="Times New Roman"/>
          <w:sz w:val="20"/>
          <w:szCs w:val="24"/>
        </w:rPr>
        <w:t>– проанализировать состояние рынка услуг общественного питания в г. Владивостоке;</w:t>
      </w:r>
    </w:p>
    <w:p w:rsidR="00517711" w:rsidRDefault="00F815BE">
      <w:pPr>
        <w:spacing w:after="0" w:line="240" w:lineRule="auto"/>
        <w:ind w:firstLine="709"/>
        <w:contextualSpacing/>
        <w:jc w:val="both"/>
        <w:rPr>
          <w:rFonts w:ascii="Times New Roman" w:hAnsi="Times New Roman"/>
          <w:sz w:val="20"/>
          <w:szCs w:val="24"/>
        </w:rPr>
      </w:pPr>
      <w:r>
        <w:rPr>
          <w:rFonts w:ascii="Times New Roman" w:hAnsi="Times New Roman"/>
          <w:sz w:val="20"/>
          <w:szCs w:val="24"/>
        </w:rPr>
        <w:t>– провести сегментацию потребителей ресторана «</w:t>
      </w:r>
      <w:r>
        <w:rPr>
          <w:rFonts w:ascii="Times New Roman" w:hAnsi="Times New Roman"/>
          <w:sz w:val="20"/>
          <w:szCs w:val="24"/>
          <w:lang w:val="en-US"/>
        </w:rPr>
        <w:t>Tokyo</w:t>
      </w:r>
      <w:r>
        <w:rPr>
          <w:rFonts w:ascii="Times New Roman" w:hAnsi="Times New Roman"/>
          <w:sz w:val="20"/>
          <w:szCs w:val="24"/>
        </w:rPr>
        <w:t>» г. Владивосток на основе данных, полученных в ходе экспертного опроса и опроса респондентов.</w:t>
      </w:r>
    </w:p>
    <w:p w:rsidR="00517711" w:rsidRDefault="00F815BE">
      <w:pPr>
        <w:spacing w:after="0" w:line="240" w:lineRule="auto"/>
        <w:ind w:firstLine="709"/>
        <w:contextualSpacing/>
        <w:jc w:val="both"/>
        <w:rPr>
          <w:rFonts w:ascii="Times New Roman" w:hAnsi="Times New Roman"/>
          <w:sz w:val="20"/>
          <w:szCs w:val="24"/>
        </w:rPr>
      </w:pPr>
      <w:r>
        <w:rPr>
          <w:rFonts w:ascii="Times New Roman" w:hAnsi="Times New Roman"/>
          <w:sz w:val="20"/>
          <w:szCs w:val="24"/>
        </w:rPr>
        <w:t>Исследование осуществлялось с помощью наблюдения, анкетирования, интервью, обработки статистических данных.</w:t>
      </w:r>
    </w:p>
    <w:p w:rsidR="00517711" w:rsidRDefault="00F815BE">
      <w:pPr>
        <w:spacing w:after="0" w:line="240" w:lineRule="auto"/>
        <w:ind w:firstLine="709"/>
        <w:contextualSpacing/>
        <w:jc w:val="both"/>
        <w:rPr>
          <w:rFonts w:ascii="Times New Roman" w:hAnsi="Times New Roman"/>
          <w:sz w:val="20"/>
          <w:szCs w:val="24"/>
        </w:rPr>
      </w:pPr>
      <w:r>
        <w:rPr>
          <w:rFonts w:ascii="Times New Roman" w:hAnsi="Times New Roman"/>
          <w:sz w:val="20"/>
          <w:szCs w:val="24"/>
        </w:rPr>
        <w:t xml:space="preserve">Позиционированию предприятия предшествует сегментирование рынка. </w:t>
      </w:r>
    </w:p>
    <w:p w:rsidR="00517711" w:rsidRDefault="00F815BE">
      <w:pPr>
        <w:spacing w:after="0" w:line="240" w:lineRule="auto"/>
        <w:ind w:firstLine="709"/>
        <w:contextualSpacing/>
        <w:jc w:val="both"/>
        <w:rPr>
          <w:rFonts w:ascii="Times New Roman" w:hAnsi="Times New Roman"/>
          <w:sz w:val="20"/>
          <w:szCs w:val="24"/>
          <w:shd w:val="clear" w:color="auto" w:fill="FFFFFF"/>
        </w:rPr>
      </w:pPr>
      <w:r>
        <w:rPr>
          <w:rFonts w:ascii="Times New Roman" w:hAnsi="Times New Roman"/>
          <w:sz w:val="20"/>
          <w:szCs w:val="24"/>
        </w:rPr>
        <w:t xml:space="preserve">Сущность сегментирования заключается в выборе предпочтительных для фирмы сегментов рынка [1, </w:t>
      </w:r>
      <w:r>
        <w:rPr>
          <w:rFonts w:ascii="Times New Roman" w:hAnsi="Times New Roman"/>
          <w:sz w:val="20"/>
          <w:szCs w:val="24"/>
          <w:lang w:val="en-US"/>
        </w:rPr>
        <w:t>c</w:t>
      </w:r>
      <w:r>
        <w:rPr>
          <w:rFonts w:ascii="Times New Roman" w:hAnsi="Times New Roman"/>
          <w:sz w:val="20"/>
          <w:szCs w:val="24"/>
        </w:rPr>
        <w:t xml:space="preserve">.49]. Важнейшей практической задачей является поиск «своего» покупателя, т.е. клиента, выгодного с точки зрения коммерческих интересов фирмы. Ей необходимо найти покупателя, наиболее близкого по целевым характеристикам тому «образу», для которого предназначена продукция фирмы. </w:t>
      </w:r>
      <w:r>
        <w:rPr>
          <w:rFonts w:ascii="Times New Roman" w:hAnsi="Times New Roman"/>
          <w:sz w:val="20"/>
          <w:szCs w:val="24"/>
          <w:shd w:val="clear" w:color="auto" w:fill="FFFFFF"/>
        </w:rPr>
        <w:t>Необходимость сегментирования обусловлена необходимостью выбора оптимального сегмента для позиционирования услуги на рынке.</w:t>
      </w:r>
    </w:p>
    <w:p w:rsidR="00517711" w:rsidRDefault="00F815BE">
      <w:pPr>
        <w:spacing w:after="0" w:line="240" w:lineRule="auto"/>
        <w:ind w:firstLine="709"/>
        <w:contextualSpacing/>
        <w:jc w:val="both"/>
        <w:rPr>
          <w:rFonts w:ascii="Times New Roman" w:hAnsi="Times New Roman"/>
          <w:sz w:val="20"/>
          <w:szCs w:val="24"/>
          <w:shd w:val="clear" w:color="auto" w:fill="FFFFFF"/>
        </w:rPr>
      </w:pPr>
      <w:r>
        <w:rPr>
          <w:rFonts w:ascii="Times New Roman" w:hAnsi="Times New Roman"/>
          <w:sz w:val="20"/>
          <w:szCs w:val="24"/>
        </w:rPr>
        <w:t>Результатами процесса сегментации потребителей являются:</w:t>
      </w:r>
    </w:p>
    <w:p w:rsidR="00517711" w:rsidRDefault="00F815BE">
      <w:pPr>
        <w:spacing w:after="0" w:line="240" w:lineRule="auto"/>
        <w:ind w:firstLine="709"/>
        <w:contextualSpacing/>
        <w:jc w:val="both"/>
        <w:rPr>
          <w:rFonts w:ascii="Times New Roman" w:hAnsi="Times New Roman"/>
          <w:sz w:val="20"/>
          <w:szCs w:val="24"/>
        </w:rPr>
      </w:pPr>
      <w:r>
        <w:rPr>
          <w:rFonts w:ascii="Times New Roman" w:hAnsi="Times New Roman"/>
          <w:sz w:val="20"/>
          <w:szCs w:val="24"/>
        </w:rPr>
        <w:t>– быстрая адаптация к запросам покупателей и максимальное их удовлетворение;</w:t>
      </w:r>
    </w:p>
    <w:p w:rsidR="00517711" w:rsidRDefault="00F815BE">
      <w:pPr>
        <w:spacing w:after="0" w:line="240" w:lineRule="auto"/>
        <w:ind w:firstLine="709"/>
        <w:contextualSpacing/>
        <w:jc w:val="both"/>
        <w:rPr>
          <w:rFonts w:ascii="Times New Roman" w:hAnsi="Times New Roman"/>
          <w:sz w:val="20"/>
          <w:szCs w:val="24"/>
        </w:rPr>
      </w:pPr>
      <w:r>
        <w:rPr>
          <w:rFonts w:ascii="Times New Roman" w:hAnsi="Times New Roman"/>
          <w:sz w:val="20"/>
          <w:szCs w:val="24"/>
        </w:rPr>
        <w:lastRenderedPageBreak/>
        <w:t>– выявление неудовлетворённого спроса, позволяющего вносить необходимые коррективы в маркетинговые стратегии;</w:t>
      </w:r>
    </w:p>
    <w:p w:rsidR="00517711" w:rsidRDefault="00F815BE">
      <w:pPr>
        <w:spacing w:after="0" w:line="240" w:lineRule="auto"/>
        <w:ind w:firstLine="709"/>
        <w:contextualSpacing/>
        <w:jc w:val="both"/>
        <w:rPr>
          <w:rFonts w:ascii="Times New Roman" w:hAnsi="Times New Roman"/>
          <w:sz w:val="20"/>
          <w:szCs w:val="24"/>
        </w:rPr>
      </w:pPr>
      <w:r>
        <w:rPr>
          <w:rFonts w:ascii="Times New Roman" w:hAnsi="Times New Roman"/>
          <w:sz w:val="20"/>
          <w:szCs w:val="24"/>
        </w:rPr>
        <w:t>– органическая увязка концепции нового товара со стратегией жизненного цикла в целевом сегменте;</w:t>
      </w:r>
    </w:p>
    <w:p w:rsidR="00517711" w:rsidRDefault="00F815BE">
      <w:pPr>
        <w:spacing w:after="0" w:line="240" w:lineRule="auto"/>
        <w:ind w:firstLine="709"/>
        <w:contextualSpacing/>
        <w:jc w:val="both"/>
        <w:rPr>
          <w:rFonts w:ascii="Times New Roman" w:hAnsi="Times New Roman"/>
          <w:sz w:val="20"/>
          <w:szCs w:val="24"/>
        </w:rPr>
      </w:pPr>
      <w:r>
        <w:rPr>
          <w:rFonts w:ascii="Times New Roman" w:hAnsi="Times New Roman"/>
          <w:sz w:val="20"/>
          <w:szCs w:val="24"/>
        </w:rPr>
        <w:t>– усиление конкурентных преимуществ компании за счёт своевременной оценки порога цен, выгодного ассортимента и сервисного обслуживания клиентов;</w:t>
      </w:r>
    </w:p>
    <w:p w:rsidR="00517711" w:rsidRDefault="00F815BE">
      <w:pPr>
        <w:spacing w:after="0" w:line="240" w:lineRule="auto"/>
        <w:ind w:firstLine="709"/>
        <w:contextualSpacing/>
        <w:jc w:val="both"/>
        <w:rPr>
          <w:rFonts w:ascii="Times New Roman" w:hAnsi="Times New Roman"/>
          <w:sz w:val="20"/>
          <w:szCs w:val="24"/>
        </w:rPr>
      </w:pPr>
      <w:r>
        <w:rPr>
          <w:rFonts w:ascii="Times New Roman" w:hAnsi="Times New Roman"/>
          <w:sz w:val="20"/>
          <w:szCs w:val="24"/>
        </w:rPr>
        <w:t>– формирование позитивного общественного мнения в целевых аудиториях покупателей [2, с. 210].</w:t>
      </w:r>
    </w:p>
    <w:p w:rsidR="00517711" w:rsidRDefault="00F815BE">
      <w:pPr>
        <w:shd w:val="clear" w:color="auto" w:fill="FFFFFF"/>
        <w:spacing w:after="0" w:line="240" w:lineRule="auto"/>
        <w:ind w:firstLine="709"/>
        <w:contextualSpacing/>
        <w:jc w:val="both"/>
        <w:rPr>
          <w:rFonts w:ascii="Times New Roman" w:hAnsi="Times New Roman"/>
          <w:sz w:val="20"/>
          <w:szCs w:val="24"/>
        </w:rPr>
      </w:pPr>
      <w:r>
        <w:rPr>
          <w:rFonts w:ascii="Times New Roman" w:hAnsi="Times New Roman"/>
          <w:sz w:val="20"/>
          <w:szCs w:val="24"/>
        </w:rPr>
        <w:t xml:space="preserve">Для сегментирования потребительского рынка используют признаки, представленные на рисунке 1. </w:t>
      </w:r>
    </w:p>
    <w:p w:rsidR="00517711" w:rsidRDefault="00F815BE">
      <w:pPr>
        <w:shd w:val="clear" w:color="auto" w:fill="FFFFFF"/>
        <w:spacing w:after="0" w:line="240" w:lineRule="auto"/>
        <w:ind w:firstLine="709"/>
        <w:contextualSpacing/>
        <w:jc w:val="both"/>
        <w:rPr>
          <w:rFonts w:ascii="Times New Roman" w:hAnsi="Times New Roman"/>
          <w:sz w:val="24"/>
          <w:szCs w:val="24"/>
        </w:rPr>
      </w:pPr>
      <w:r>
        <w:rPr>
          <w:noProof/>
          <w:lang w:eastAsia="ru-RU"/>
        </w:rPr>
        <mc:AlternateContent>
          <mc:Choice Requires="wps">
            <w:drawing>
              <wp:anchor distT="0" distB="0" distL="114300" distR="114300" simplePos="0" relativeHeight="251718656" behindDoc="0" locked="0" layoutInCell="1" allowOverlap="1">
                <wp:simplePos x="0" y="0"/>
                <wp:positionH relativeFrom="column">
                  <wp:posOffset>1497963</wp:posOffset>
                </wp:positionH>
                <wp:positionV relativeFrom="paragraph">
                  <wp:posOffset>120015</wp:posOffset>
                </wp:positionV>
                <wp:extent cx="2377440" cy="457200"/>
                <wp:effectExtent l="0" t="0" r="22860" b="19048"/>
                <wp:wrapNone/>
                <wp:docPr id="29" name="Поле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7440" cy="457200"/>
                        </a:xfrm>
                        <a:prstGeom prst="rect">
                          <a:avLst/>
                        </a:prstGeom>
                        <a:solidFill>
                          <a:srgbClr val="FFFFFF"/>
                        </a:solidFill>
                        <a:ln w="9525">
                          <a:solidFill>
                            <a:srgbClr val="000000"/>
                          </a:solidFill>
                          <a:miter lim="800000"/>
                          <a:headEnd/>
                          <a:tailEnd/>
                        </a:ln>
                      </wps:spPr>
                      <wps:txbx>
                        <w:txbxContent>
                          <w:p w:rsidR="00306ED2" w:rsidRDefault="00306ED2">
                            <w:pPr>
                              <w:pStyle w:val="af6"/>
                              <w:spacing w:before="0" w:beforeAutospacing="0" w:after="0" w:afterAutospacing="0"/>
                              <w:jc w:val="center"/>
                              <w:rPr>
                                <w:color w:val="000000"/>
                                <w:sz w:val="16"/>
                                <w:szCs w:val="16"/>
                              </w:rPr>
                            </w:pPr>
                            <w:r>
                              <w:rPr>
                                <w:color w:val="000000"/>
                                <w:sz w:val="16"/>
                                <w:szCs w:val="16"/>
                              </w:rPr>
                              <w:t>Признаки сегментирования</w:t>
                            </w:r>
                          </w:p>
                          <w:p w:rsidR="00306ED2" w:rsidRDefault="00306ED2">
                            <w:pPr>
                              <w:pStyle w:val="af6"/>
                              <w:spacing w:before="0" w:beforeAutospacing="0" w:after="0" w:afterAutospacing="0"/>
                              <w:jc w:val="center"/>
                              <w:rPr>
                                <w:color w:val="000000"/>
                                <w:sz w:val="16"/>
                                <w:szCs w:val="16"/>
                              </w:rPr>
                            </w:pPr>
                            <w:r>
                              <w:rPr>
                                <w:color w:val="000000"/>
                                <w:sz w:val="16"/>
                                <w:szCs w:val="16"/>
                              </w:rPr>
                              <w:t>потребительских рынков</w:t>
                            </w:r>
                          </w:p>
                          <w:p w:rsidR="00306ED2" w:rsidRDefault="00306ED2">
                            <w:pPr>
                              <w:jc w:val="both"/>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оле 120" o:spid="_x0000_s1026" style="position:absolute;left:0;text-align:left;margin-left:117.95pt;margin-top:9.45pt;width:187.2pt;height:3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">
                <v:path arrowok="t"/>
                <v:textbox>
                  <w:txbxContent>
                    <w:p w:rsidR="00306ED2" w:rsidRDefault="00306ED2">
                      <w:pPr>
                        <w:pStyle w:val="af6"/>
                        <w:spacing w:before="0" w:beforeAutospacing="0" w:after="0" w:afterAutospacing="0"/>
                        <w:jc w:val="center"/>
                        <w:rPr>
                          <w:color w:val="000000"/>
                          <w:sz w:val="16"/>
                          <w:szCs w:val="16"/>
                        </w:rPr>
                      </w:pPr>
                      <w:r>
                        <w:rPr>
                          <w:color w:val="000000"/>
                          <w:sz w:val="16"/>
                          <w:szCs w:val="16"/>
                        </w:rPr>
                        <w:t>Признаки сегментирования</w:t>
                      </w:r>
                    </w:p>
                    <w:p w:rsidR="00306ED2" w:rsidRDefault="00306ED2">
                      <w:pPr>
                        <w:pStyle w:val="af6"/>
                        <w:spacing w:before="0" w:beforeAutospacing="0" w:after="0" w:afterAutospacing="0"/>
                        <w:jc w:val="center"/>
                        <w:rPr>
                          <w:color w:val="000000"/>
                          <w:sz w:val="16"/>
                          <w:szCs w:val="16"/>
                        </w:rPr>
                      </w:pPr>
                      <w:r>
                        <w:rPr>
                          <w:color w:val="000000"/>
                          <w:sz w:val="16"/>
                          <w:szCs w:val="16"/>
                        </w:rPr>
                        <w:t>потребительских рынков</w:t>
                      </w:r>
                    </w:p>
                    <w:p w:rsidR="00306ED2" w:rsidRDefault="00306ED2">
                      <w:pPr>
                        <w:jc w:val="both"/>
                        <w:rPr>
                          <w:sz w:val="16"/>
                          <w:szCs w:val="16"/>
                        </w:rPr>
                      </w:pPr>
                    </w:p>
                  </w:txbxContent>
                </v:textbox>
              </v:rect>
            </w:pict>
          </mc:Fallback>
        </mc:AlternateContent>
      </w:r>
    </w:p>
    <w:p w:rsidR="00517711" w:rsidRDefault="00517711">
      <w:pPr>
        <w:shd w:val="clear" w:color="auto" w:fill="FFFFFF"/>
        <w:spacing w:after="0" w:line="240" w:lineRule="auto"/>
        <w:ind w:firstLine="709"/>
        <w:contextualSpacing/>
        <w:jc w:val="both"/>
        <w:rPr>
          <w:rFonts w:ascii="Times New Roman" w:hAnsi="Times New Roman"/>
          <w:sz w:val="24"/>
          <w:szCs w:val="24"/>
        </w:rPr>
      </w:pPr>
    </w:p>
    <w:p w:rsidR="00517711" w:rsidRDefault="00F815BE">
      <w:pPr>
        <w:shd w:val="clear" w:color="auto" w:fill="FFFFFF"/>
        <w:spacing w:after="0" w:line="240" w:lineRule="auto"/>
        <w:ind w:firstLine="709"/>
        <w:contextualSpacing/>
        <w:jc w:val="both"/>
        <w:rPr>
          <w:rFonts w:ascii="Times New Roman" w:hAnsi="Times New Roman"/>
          <w:sz w:val="24"/>
          <w:szCs w:val="24"/>
        </w:rPr>
      </w:pPr>
      <w:r>
        <w:rPr>
          <w:noProof/>
          <w:lang w:eastAsia="ru-RU"/>
        </w:rPr>
        <mc:AlternateContent>
          <mc:Choice Requires="wps">
            <w:drawing>
              <wp:anchor distT="0" distB="0" distL="114297" distR="114297" simplePos="0" relativeHeight="251719680" behindDoc="0" locked="0" layoutInCell="1" allowOverlap="1">
                <wp:simplePos x="0" y="0"/>
                <wp:positionH relativeFrom="column">
                  <wp:posOffset>2699382</wp:posOffset>
                </wp:positionH>
                <wp:positionV relativeFrom="paragraph">
                  <wp:posOffset>222248</wp:posOffset>
                </wp:positionV>
                <wp:extent cx="0" cy="304798"/>
                <wp:effectExtent l="0" t="0" r="19048" b="19048"/>
                <wp:wrapNone/>
                <wp:docPr id="30" name="Прямая соединительная линия 119"/>
                <wp:cNvGraphicFramePr/>
                <a:graphic xmlns:a="http://schemas.openxmlformats.org/drawingml/2006/main">
                  <a:graphicData uri="http://schemas.microsoft.com/office/word/2010/wordprocessingShape">
                    <wps:wsp>
                      <wps:cNvCnPr/>
                      <wps:spPr bwMode="auto">
                        <a:xfrm>
                          <a:off x="0" y="0"/>
                          <a:ext cx="0" cy="30480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4DAD60E" id="Прямая соединительная линия 119" o:spid="_x0000_s1026" style="position:absolute;z-index:25171968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212.55pt,17.5pt" to="212.5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"/>
            </w:pict>
          </mc:Fallback>
        </mc:AlternateContent>
      </w:r>
    </w:p>
    <w:p w:rsidR="00517711" w:rsidRDefault="00517711">
      <w:pPr>
        <w:shd w:val="clear" w:color="auto" w:fill="FFFFFF"/>
        <w:spacing w:after="0" w:line="240" w:lineRule="auto"/>
        <w:ind w:firstLine="709"/>
        <w:contextualSpacing/>
        <w:jc w:val="both"/>
        <w:rPr>
          <w:rFonts w:ascii="Times New Roman" w:hAnsi="Times New Roman"/>
          <w:sz w:val="24"/>
          <w:szCs w:val="24"/>
        </w:rPr>
      </w:pPr>
    </w:p>
    <w:p w:rsidR="00517711" w:rsidRDefault="00F815BE">
      <w:pPr>
        <w:shd w:val="clear" w:color="auto" w:fill="FFFFFF"/>
        <w:spacing w:after="0" w:line="240" w:lineRule="auto"/>
        <w:ind w:firstLine="709"/>
        <w:contextualSpacing/>
        <w:jc w:val="both"/>
        <w:rPr>
          <w:rFonts w:ascii="Times New Roman" w:hAnsi="Times New Roman"/>
          <w:sz w:val="24"/>
          <w:szCs w:val="24"/>
        </w:rPr>
      </w:pPr>
      <w:r>
        <w:rPr>
          <w:noProof/>
          <w:lang w:eastAsia="ru-RU"/>
        </w:rPr>
        <mc:AlternateContent>
          <mc:Choice Requires="wpg">
            <w:drawing>
              <wp:inline distT="0" distB="0" distL="0" distR="0">
                <wp:extent cx="5448298" cy="3238498"/>
                <wp:effectExtent l="0" t="0" r="0" b="0"/>
                <wp:docPr id="31" name="Полотно 118"/>
                <wp:cNvGraphicFramePr/>
                <a:graphic xmlns:a="http://schemas.openxmlformats.org/drawingml/2006/main">
                  <a:graphicData uri="http://schemas.microsoft.com/office/word/2010/wordprocessingGroup">
                    <wpg:wgp>
                      <wpg:cNvGrpSpPr/>
                      <wpg:grpSpPr bwMode="auto">
                        <a:xfrm>
                          <a:off x="0" y="0"/>
                          <a:ext cx="5448299" cy="3238499"/>
                          <a:chOff x="0" y="0"/>
                          <a:chExt cx="5448299" cy="3238499"/>
                        </a:xfrm>
                      </wpg:grpSpPr>
                      <wps:wsp>
                        <wps:cNvPr id="21" name="Прямая соединительная линия 21"/>
                        <wps:cNvCnPr/>
                        <wps:spPr bwMode="auto">
                          <a:xfrm>
                            <a:off x="416857" y="213"/>
                            <a:ext cx="4617654" cy="744"/>
                          </a:xfrm>
                          <a:prstGeom prst="line">
                            <a:avLst/>
                          </a:prstGeom>
                          <a:noFill/>
                          <a:ln w="9525">
                            <a:solidFill>
                              <a:srgbClr val="000000"/>
                            </a:solidFill>
                            <a:round/>
                            <a:headEnd/>
                            <a:tailEnd/>
                          </a:ln>
                        </wps:spPr>
                        <wps:bodyPr/>
                      </wps:wsp>
                      <wps:wsp>
                        <wps:cNvPr id="32" name="Прямая соединительная линия 32"/>
                        <wps:cNvCnPr/>
                        <wps:spPr bwMode="auto">
                          <a:xfrm>
                            <a:off x="403131" y="1538"/>
                            <a:ext cx="0" cy="207026"/>
                          </a:xfrm>
                          <a:prstGeom prst="line">
                            <a:avLst/>
                          </a:prstGeom>
                          <a:noFill/>
                          <a:ln w="9525">
                            <a:solidFill>
                              <a:srgbClr val="000000"/>
                            </a:solidFill>
                            <a:round/>
                            <a:headEnd/>
                            <a:tailEnd/>
                          </a:ln>
                        </wps:spPr>
                        <wps:bodyPr/>
                      </wps:wsp>
                      <wps:wsp>
                        <wps:cNvPr id="33" name="Прямая соединительная линия 33"/>
                        <wps:cNvCnPr/>
                        <wps:spPr bwMode="auto">
                          <a:xfrm>
                            <a:off x="5040352" y="228"/>
                            <a:ext cx="0" cy="206282"/>
                          </a:xfrm>
                          <a:prstGeom prst="line">
                            <a:avLst/>
                          </a:prstGeom>
                          <a:noFill/>
                          <a:ln w="9525">
                            <a:solidFill>
                              <a:srgbClr val="000000"/>
                            </a:solidFill>
                            <a:round/>
                            <a:headEnd/>
                            <a:tailEnd/>
                          </a:ln>
                        </wps:spPr>
                        <wps:bodyPr/>
                      </wps:wsp>
                      <wps:wsp>
                        <wps:cNvPr id="34" name="Прямоугольник 34"/>
                        <wps:cNvSpPr>
                          <a:spLocks noChangeArrowheads="1"/>
                        </wps:cNvSpPr>
                        <wps:spPr bwMode="auto">
                          <a:xfrm>
                            <a:off x="4100748" y="207760"/>
                            <a:ext cx="1240768" cy="394220"/>
                          </a:xfrm>
                          <a:prstGeom prst="rect">
                            <a:avLst/>
                          </a:prstGeom>
                          <a:solidFill>
                            <a:srgbClr val="FFFFFF"/>
                          </a:solidFill>
                          <a:ln w="9525">
                            <a:solidFill>
                              <a:srgbClr val="000000"/>
                            </a:solidFill>
                            <a:miter lim="800000"/>
                            <a:headEnd/>
                            <a:tailEnd/>
                          </a:ln>
                        </wps:spPr>
                        <wps:txbx>
                          <w:txbxContent>
                            <w:p w:rsidR="00306ED2" w:rsidRDefault="00306ED2">
                              <w:pPr>
                                <w:jc w:val="center"/>
                                <w:rPr>
                                  <w:rFonts w:ascii="Times New Roman" w:hAnsi="Times New Roman"/>
                                  <w:sz w:val="16"/>
                                  <w:szCs w:val="16"/>
                                </w:rPr>
                              </w:pPr>
                              <w:r>
                                <w:rPr>
                                  <w:rFonts w:ascii="Times New Roman" w:hAnsi="Times New Roman"/>
                                  <w:sz w:val="16"/>
                                  <w:szCs w:val="16"/>
                                </w:rPr>
                                <w:t>Психографический</w:t>
                              </w:r>
                            </w:p>
                          </w:txbxContent>
                        </wps:txbx>
                        <wps:bodyPr rot="0" vert="horz" wrap="square" lIns="82671" tIns="41333" rIns="82671" bIns="41333" anchor="t" anchorCtr="0" upright="1">
                          <a:noAutofit/>
                        </wps:bodyPr>
                      </wps:wsp>
                      <wps:wsp>
                        <wps:cNvPr id="35" name="Прямая соединительная линия 35"/>
                        <wps:cNvCnPr/>
                        <wps:spPr bwMode="auto">
                          <a:xfrm>
                            <a:off x="1971232" y="1523"/>
                            <a:ext cx="0" cy="206282"/>
                          </a:xfrm>
                          <a:prstGeom prst="line">
                            <a:avLst/>
                          </a:prstGeom>
                          <a:noFill/>
                          <a:ln w="9525">
                            <a:solidFill>
                              <a:srgbClr val="000000"/>
                            </a:solidFill>
                            <a:round/>
                            <a:headEnd/>
                            <a:tailEnd/>
                          </a:ln>
                        </wps:spPr>
                        <wps:bodyPr/>
                      </wps:wsp>
                      <wps:wsp>
                        <wps:cNvPr id="36" name="Прямая соединительная линия 36"/>
                        <wps:cNvCnPr/>
                        <wps:spPr bwMode="auto">
                          <a:xfrm>
                            <a:off x="3587724" y="1494"/>
                            <a:ext cx="734" cy="206282"/>
                          </a:xfrm>
                          <a:prstGeom prst="line">
                            <a:avLst/>
                          </a:prstGeom>
                          <a:noFill/>
                          <a:ln w="9525">
                            <a:solidFill>
                              <a:srgbClr val="000000"/>
                            </a:solidFill>
                            <a:round/>
                            <a:headEnd/>
                            <a:tailEnd/>
                          </a:ln>
                        </wps:spPr>
                        <wps:bodyPr/>
                      </wps:wsp>
                      <wps:wsp>
                        <wps:cNvPr id="37" name="Прямоугольник 37"/>
                        <wps:cNvSpPr>
                          <a:spLocks noChangeArrowheads="1"/>
                        </wps:cNvSpPr>
                        <wps:spPr bwMode="auto">
                          <a:xfrm>
                            <a:off x="1463035" y="207759"/>
                            <a:ext cx="1295405" cy="310167"/>
                          </a:xfrm>
                          <a:prstGeom prst="rect">
                            <a:avLst/>
                          </a:prstGeom>
                          <a:solidFill>
                            <a:srgbClr val="FFFFFF"/>
                          </a:solidFill>
                          <a:ln w="9525">
                            <a:solidFill>
                              <a:srgbClr val="000000"/>
                            </a:solidFill>
                            <a:miter lim="800000"/>
                            <a:headEnd/>
                            <a:tailEnd/>
                          </a:ln>
                        </wps:spPr>
                        <wps:txbx>
                          <w:txbxContent>
                            <w:p w:rsidR="00306ED2" w:rsidRDefault="00306ED2">
                              <w:pPr>
                                <w:jc w:val="center"/>
                                <w:rPr>
                                  <w:rFonts w:ascii="Times New Roman" w:hAnsi="Times New Roman"/>
                                  <w:sz w:val="16"/>
                                  <w:szCs w:val="16"/>
                                </w:rPr>
                              </w:pPr>
                              <w:r>
                                <w:rPr>
                                  <w:rFonts w:ascii="Times New Roman" w:hAnsi="Times New Roman"/>
                                  <w:sz w:val="16"/>
                                  <w:szCs w:val="16"/>
                                </w:rPr>
                                <w:t>Демографический</w:t>
                              </w:r>
                            </w:p>
                          </w:txbxContent>
                        </wps:txbx>
                        <wps:bodyPr rot="0" vert="horz" wrap="square" lIns="82671" tIns="41333" rIns="82671" bIns="41333" anchor="t" anchorCtr="0" upright="1">
                          <a:noAutofit/>
                        </wps:bodyPr>
                      </wps:wsp>
                      <wps:wsp>
                        <wps:cNvPr id="38" name="Прямоугольник 38"/>
                        <wps:cNvSpPr>
                          <a:spLocks noChangeArrowheads="1"/>
                        </wps:cNvSpPr>
                        <wps:spPr bwMode="auto">
                          <a:xfrm>
                            <a:off x="2864803" y="207790"/>
                            <a:ext cx="1137488" cy="310167"/>
                          </a:xfrm>
                          <a:prstGeom prst="rect">
                            <a:avLst/>
                          </a:prstGeom>
                          <a:solidFill>
                            <a:srgbClr val="FFFFFF"/>
                          </a:solidFill>
                          <a:ln w="9525">
                            <a:solidFill>
                              <a:srgbClr val="000000"/>
                            </a:solidFill>
                            <a:miter lim="800000"/>
                            <a:headEnd/>
                            <a:tailEnd/>
                          </a:ln>
                        </wps:spPr>
                        <wps:txbx>
                          <w:txbxContent>
                            <w:p w:rsidR="00306ED2" w:rsidRDefault="00306ED2">
                              <w:pPr>
                                <w:jc w:val="center"/>
                                <w:rPr>
                                  <w:rFonts w:ascii="Times New Roman" w:hAnsi="Times New Roman"/>
                                  <w:sz w:val="16"/>
                                  <w:szCs w:val="16"/>
                                </w:rPr>
                              </w:pPr>
                              <w:r>
                                <w:rPr>
                                  <w:rFonts w:ascii="Times New Roman" w:hAnsi="Times New Roman"/>
                                  <w:sz w:val="16"/>
                                  <w:szCs w:val="16"/>
                                </w:rPr>
                                <w:t>Поведенческий</w:t>
                              </w:r>
                            </w:p>
                          </w:txbxContent>
                        </wps:txbx>
                        <wps:bodyPr rot="0" vert="horz" wrap="square" lIns="82671" tIns="41333" rIns="82671" bIns="41333" anchor="t" anchorCtr="0" upright="1">
                          <a:noAutofit/>
                        </wps:bodyPr>
                      </wps:wsp>
                      <wps:wsp>
                        <wps:cNvPr id="39" name="Прямая соединительная линия 39"/>
                        <wps:cNvCnPr/>
                        <wps:spPr bwMode="auto">
                          <a:xfrm>
                            <a:off x="1462757" y="517846"/>
                            <a:ext cx="138" cy="2377107"/>
                          </a:xfrm>
                          <a:prstGeom prst="line">
                            <a:avLst/>
                          </a:prstGeom>
                          <a:noFill/>
                          <a:ln w="9525">
                            <a:solidFill>
                              <a:srgbClr val="000000"/>
                            </a:solidFill>
                            <a:round/>
                            <a:headEnd/>
                            <a:tailEnd/>
                          </a:ln>
                        </wps:spPr>
                        <wps:bodyPr/>
                      </wps:wsp>
                      <wps:wsp>
                        <wps:cNvPr id="40" name="Прямая соединительная линия 40"/>
                        <wps:cNvCnPr/>
                        <wps:spPr bwMode="auto">
                          <a:xfrm>
                            <a:off x="2868413" y="501530"/>
                            <a:ext cx="734" cy="2291240"/>
                          </a:xfrm>
                          <a:prstGeom prst="line">
                            <a:avLst/>
                          </a:prstGeom>
                          <a:noFill/>
                          <a:ln w="9525">
                            <a:solidFill>
                              <a:srgbClr val="000000"/>
                            </a:solidFill>
                            <a:round/>
                            <a:headEnd/>
                            <a:tailEnd/>
                          </a:ln>
                        </wps:spPr>
                        <wps:bodyPr/>
                      </wps:wsp>
                      <wps:wsp>
                        <wps:cNvPr id="41" name="Прямая соединительная линия 41"/>
                        <wps:cNvCnPr/>
                        <wps:spPr bwMode="auto">
                          <a:xfrm>
                            <a:off x="4105902" y="601945"/>
                            <a:ext cx="734" cy="1569055"/>
                          </a:xfrm>
                          <a:prstGeom prst="line">
                            <a:avLst/>
                          </a:prstGeom>
                          <a:noFill/>
                          <a:ln w="9525">
                            <a:solidFill>
                              <a:srgbClr val="000000"/>
                            </a:solidFill>
                            <a:round/>
                            <a:headEnd/>
                            <a:tailEnd/>
                          </a:ln>
                        </wps:spPr>
                        <wps:bodyPr/>
                      </wps:wsp>
                      <wps:wsp>
                        <wps:cNvPr id="42" name="Прямоугольник 42"/>
                        <wps:cNvSpPr>
                          <a:spLocks noChangeArrowheads="1"/>
                        </wps:cNvSpPr>
                        <wps:spPr bwMode="auto">
                          <a:xfrm>
                            <a:off x="278536" y="930497"/>
                            <a:ext cx="1034218" cy="457082"/>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sz w:val="16"/>
                                  <w:szCs w:val="16"/>
                                </w:rPr>
                              </w:pPr>
                              <w:r>
                                <w:rPr>
                                  <w:rFonts w:ascii="Times New Roman" w:hAnsi="Times New Roman"/>
                                  <w:sz w:val="16"/>
                                  <w:szCs w:val="16"/>
                                </w:rPr>
                                <w:t>Расположение региона</w:t>
                              </w:r>
                            </w:p>
                          </w:txbxContent>
                        </wps:txbx>
                        <wps:bodyPr rot="0" vert="horz" wrap="square" lIns="82671" tIns="41333" rIns="82671" bIns="41333" anchor="t" anchorCtr="0" upright="1">
                          <a:noAutofit/>
                        </wps:bodyPr>
                      </wps:wsp>
                      <wps:wsp>
                        <wps:cNvPr id="43" name="Прямоугольник 43"/>
                        <wps:cNvSpPr>
                          <a:spLocks noChangeArrowheads="1"/>
                        </wps:cNvSpPr>
                        <wps:spPr bwMode="auto">
                          <a:xfrm>
                            <a:off x="278536" y="1507792"/>
                            <a:ext cx="1034218" cy="414045"/>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sz w:val="16"/>
                                  <w:szCs w:val="16"/>
                                </w:rPr>
                              </w:pPr>
                              <w:r>
                                <w:rPr>
                                  <w:rFonts w:ascii="Times New Roman" w:hAnsi="Times New Roman"/>
                                  <w:sz w:val="16"/>
                                  <w:szCs w:val="16"/>
                                </w:rPr>
                                <w:t>Численность населения</w:t>
                              </w:r>
                            </w:p>
                          </w:txbxContent>
                        </wps:txbx>
                        <wps:bodyPr rot="0" vert="horz" wrap="square" lIns="82671" tIns="41333" rIns="82671" bIns="41333" anchor="t" anchorCtr="0" upright="1">
                          <a:noAutofit/>
                        </wps:bodyPr>
                      </wps:wsp>
                      <wps:wsp>
                        <wps:cNvPr id="44" name="Прямоугольник 44"/>
                        <wps:cNvSpPr>
                          <a:spLocks noChangeArrowheads="1"/>
                        </wps:cNvSpPr>
                        <wps:spPr bwMode="auto">
                          <a:xfrm>
                            <a:off x="278536" y="2024974"/>
                            <a:ext cx="1034218" cy="413308"/>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sz w:val="16"/>
                                  <w:szCs w:val="16"/>
                                </w:rPr>
                              </w:pPr>
                              <w:r>
                                <w:rPr>
                                  <w:rFonts w:ascii="Times New Roman" w:hAnsi="Times New Roman"/>
                                  <w:sz w:val="16"/>
                                  <w:szCs w:val="16"/>
                                </w:rPr>
                                <w:t>Плотность населения</w:t>
                              </w:r>
                            </w:p>
                          </w:txbxContent>
                        </wps:txbx>
                        <wps:bodyPr rot="0" vert="horz" wrap="square" lIns="82671" tIns="41333" rIns="82671" bIns="41333" anchor="t" anchorCtr="0" upright="1">
                          <a:noAutofit/>
                        </wps:bodyPr>
                      </wps:wsp>
                      <wps:wsp>
                        <wps:cNvPr id="45" name="Прямоугольник 45"/>
                        <wps:cNvSpPr>
                          <a:spLocks noChangeArrowheads="1"/>
                        </wps:cNvSpPr>
                        <wps:spPr bwMode="auto">
                          <a:xfrm>
                            <a:off x="278536" y="2641620"/>
                            <a:ext cx="1034218" cy="414045"/>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sz w:val="16"/>
                                  <w:szCs w:val="16"/>
                                </w:rPr>
                              </w:pPr>
                              <w:r>
                                <w:rPr>
                                  <w:rFonts w:ascii="Times New Roman" w:hAnsi="Times New Roman"/>
                                  <w:sz w:val="16"/>
                                  <w:szCs w:val="16"/>
                                </w:rPr>
                                <w:t>Структура региона</w:t>
                              </w:r>
                            </w:p>
                          </w:txbxContent>
                        </wps:txbx>
                        <wps:bodyPr rot="0" vert="horz" wrap="square" lIns="82671" tIns="41333" rIns="82671" bIns="41333" anchor="t" anchorCtr="0" upright="1">
                          <a:noAutofit/>
                        </wps:bodyPr>
                      </wps:wsp>
                      <wps:wsp>
                        <wps:cNvPr id="46" name="Прямая соединительная линия 46"/>
                        <wps:cNvCnPr/>
                        <wps:spPr bwMode="auto">
                          <a:xfrm>
                            <a:off x="1462895" y="1137438"/>
                            <a:ext cx="159525" cy="744"/>
                          </a:xfrm>
                          <a:prstGeom prst="line">
                            <a:avLst/>
                          </a:prstGeom>
                          <a:noFill/>
                          <a:ln w="9525">
                            <a:solidFill>
                              <a:srgbClr val="000000"/>
                            </a:solidFill>
                            <a:round/>
                            <a:headEnd/>
                            <a:tailEnd/>
                          </a:ln>
                        </wps:spPr>
                        <wps:bodyPr/>
                      </wps:wsp>
                      <wps:wsp>
                        <wps:cNvPr id="47" name="Прямоугольник 47"/>
                        <wps:cNvSpPr>
                          <a:spLocks noChangeArrowheads="1"/>
                        </wps:cNvSpPr>
                        <wps:spPr bwMode="auto">
                          <a:xfrm>
                            <a:off x="1622577" y="930496"/>
                            <a:ext cx="1035676" cy="414045"/>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sz w:val="16"/>
                                  <w:szCs w:val="16"/>
                                </w:rPr>
                              </w:pPr>
                              <w:r>
                                <w:rPr>
                                  <w:rFonts w:ascii="Times New Roman" w:hAnsi="Times New Roman"/>
                                  <w:sz w:val="16"/>
                                  <w:szCs w:val="16"/>
                                </w:rPr>
                                <w:t xml:space="preserve">Возраст </w:t>
                              </w:r>
                            </w:p>
                          </w:txbxContent>
                        </wps:txbx>
                        <wps:bodyPr rot="0" vert="horz" wrap="square" lIns="82671" tIns="41333" rIns="82671" bIns="41333" anchor="t" anchorCtr="0" upright="1">
                          <a:noAutofit/>
                        </wps:bodyPr>
                      </wps:wsp>
                      <wps:wsp>
                        <wps:cNvPr id="48" name="Прямая соединительная линия 48"/>
                        <wps:cNvCnPr/>
                        <wps:spPr bwMode="auto">
                          <a:xfrm>
                            <a:off x="1462895" y="1758465"/>
                            <a:ext cx="159525" cy="0"/>
                          </a:xfrm>
                          <a:prstGeom prst="line">
                            <a:avLst/>
                          </a:prstGeom>
                          <a:noFill/>
                          <a:ln w="9525">
                            <a:solidFill>
                              <a:srgbClr val="000000"/>
                            </a:solidFill>
                            <a:round/>
                            <a:headEnd/>
                            <a:tailEnd/>
                          </a:ln>
                        </wps:spPr>
                        <wps:bodyPr/>
                      </wps:wsp>
                      <wps:wsp>
                        <wps:cNvPr id="49" name="Прямоугольник 49"/>
                        <wps:cNvSpPr>
                          <a:spLocks noChangeArrowheads="1"/>
                        </wps:cNvSpPr>
                        <wps:spPr bwMode="auto">
                          <a:xfrm>
                            <a:off x="1622574" y="1550827"/>
                            <a:ext cx="1034218" cy="414045"/>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sz w:val="16"/>
                                  <w:szCs w:val="16"/>
                                </w:rPr>
                              </w:pPr>
                              <w:r>
                                <w:rPr>
                                  <w:rFonts w:ascii="Times New Roman" w:hAnsi="Times New Roman"/>
                                  <w:sz w:val="16"/>
                                  <w:szCs w:val="16"/>
                                </w:rPr>
                                <w:t xml:space="preserve">Пол </w:t>
                              </w:r>
                            </w:p>
                          </w:txbxContent>
                        </wps:txbx>
                        <wps:bodyPr rot="0" vert="horz" wrap="square" lIns="82671" tIns="41333" rIns="82671" bIns="41333" anchor="t" anchorCtr="0" upright="1">
                          <a:noAutofit/>
                        </wps:bodyPr>
                      </wps:wsp>
                      <wps:wsp>
                        <wps:cNvPr id="50" name="Прямая соединительная линия 50"/>
                        <wps:cNvCnPr/>
                        <wps:spPr bwMode="auto">
                          <a:xfrm>
                            <a:off x="1462895" y="2378011"/>
                            <a:ext cx="159525" cy="744"/>
                          </a:xfrm>
                          <a:prstGeom prst="line">
                            <a:avLst/>
                          </a:prstGeom>
                          <a:noFill/>
                          <a:ln w="9525">
                            <a:solidFill>
                              <a:srgbClr val="000000"/>
                            </a:solidFill>
                            <a:round/>
                            <a:headEnd/>
                            <a:tailEnd/>
                          </a:ln>
                        </wps:spPr>
                        <wps:bodyPr/>
                      </wps:wsp>
                      <wps:wsp>
                        <wps:cNvPr id="51" name="Прямоугольник 51"/>
                        <wps:cNvSpPr>
                          <a:spLocks noChangeArrowheads="1"/>
                        </wps:cNvSpPr>
                        <wps:spPr bwMode="auto">
                          <a:xfrm>
                            <a:off x="1622573" y="2171158"/>
                            <a:ext cx="1034950" cy="414787"/>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sz w:val="16"/>
                                  <w:szCs w:val="16"/>
                                </w:rPr>
                              </w:pPr>
                              <w:r>
                                <w:rPr>
                                  <w:rFonts w:ascii="Times New Roman" w:hAnsi="Times New Roman"/>
                                  <w:sz w:val="16"/>
                                  <w:szCs w:val="16"/>
                                </w:rPr>
                                <w:t>Уровень дохода</w:t>
                              </w:r>
                            </w:p>
                          </w:txbxContent>
                        </wps:txbx>
                        <wps:bodyPr rot="0" vert="horz" wrap="square" lIns="82671" tIns="41333" rIns="82671" bIns="41333" anchor="t" anchorCtr="0" upright="1">
                          <a:noAutofit/>
                        </wps:bodyPr>
                      </wps:wsp>
                      <wps:wsp>
                        <wps:cNvPr id="52" name="Прямая соединительная линия 52"/>
                        <wps:cNvCnPr/>
                        <wps:spPr bwMode="auto">
                          <a:xfrm>
                            <a:off x="1462895" y="2895159"/>
                            <a:ext cx="159525" cy="0"/>
                          </a:xfrm>
                          <a:prstGeom prst="line">
                            <a:avLst/>
                          </a:prstGeom>
                          <a:noFill/>
                          <a:ln w="9525">
                            <a:solidFill>
                              <a:srgbClr val="000000"/>
                            </a:solidFill>
                            <a:round/>
                            <a:headEnd/>
                            <a:tailEnd/>
                          </a:ln>
                        </wps:spPr>
                        <wps:bodyPr/>
                      </wps:wsp>
                      <wps:wsp>
                        <wps:cNvPr id="53" name="Прямоугольник 53"/>
                        <wps:cNvSpPr>
                          <a:spLocks noChangeArrowheads="1"/>
                        </wps:cNvSpPr>
                        <wps:spPr bwMode="auto">
                          <a:xfrm>
                            <a:off x="1622574" y="2792233"/>
                            <a:ext cx="1034218" cy="310167"/>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sz w:val="16"/>
                                  <w:szCs w:val="16"/>
                                </w:rPr>
                              </w:pPr>
                              <w:r>
                                <w:rPr>
                                  <w:rFonts w:ascii="Times New Roman" w:hAnsi="Times New Roman"/>
                                  <w:sz w:val="16"/>
                                  <w:szCs w:val="16"/>
                                </w:rPr>
                                <w:t>Состав семьи</w:t>
                              </w:r>
                            </w:p>
                          </w:txbxContent>
                        </wps:txbx>
                        <wps:bodyPr rot="0" vert="horz" wrap="square" lIns="82671" tIns="41333" rIns="82671" bIns="41333" anchor="t" anchorCtr="0" upright="1">
                          <a:noAutofit/>
                        </wps:bodyPr>
                      </wps:wsp>
                      <wps:wsp>
                        <wps:cNvPr id="54" name="Прямая соединительная линия 54"/>
                        <wps:cNvCnPr/>
                        <wps:spPr bwMode="auto">
                          <a:xfrm>
                            <a:off x="2864074" y="1137519"/>
                            <a:ext cx="205817" cy="744"/>
                          </a:xfrm>
                          <a:prstGeom prst="line">
                            <a:avLst/>
                          </a:prstGeom>
                          <a:noFill/>
                          <a:ln w="9525">
                            <a:solidFill>
                              <a:srgbClr val="000000"/>
                            </a:solidFill>
                            <a:round/>
                            <a:headEnd/>
                            <a:tailEnd/>
                          </a:ln>
                        </wps:spPr>
                        <wps:bodyPr/>
                      </wps:wsp>
                      <wps:wsp>
                        <wps:cNvPr id="55" name="Прямоугольник 55"/>
                        <wps:cNvSpPr>
                          <a:spLocks noChangeArrowheads="1"/>
                        </wps:cNvSpPr>
                        <wps:spPr bwMode="auto">
                          <a:xfrm>
                            <a:off x="3070620" y="930496"/>
                            <a:ext cx="930938" cy="414045"/>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sz w:val="16"/>
                                  <w:szCs w:val="16"/>
                                </w:rPr>
                              </w:pPr>
                              <w:r>
                                <w:rPr>
                                  <w:rFonts w:ascii="Times New Roman" w:hAnsi="Times New Roman"/>
                                  <w:sz w:val="16"/>
                                  <w:szCs w:val="16"/>
                                </w:rPr>
                                <w:t>Мотивация покупки</w:t>
                              </w:r>
                            </w:p>
                          </w:txbxContent>
                        </wps:txbx>
                        <wps:bodyPr rot="0" vert="horz" wrap="square" lIns="82671" tIns="41333" rIns="82671" bIns="41333" anchor="t" anchorCtr="0" upright="1">
                          <a:noAutofit/>
                        </wps:bodyPr>
                      </wps:wsp>
                      <wps:wsp>
                        <wps:cNvPr id="56" name="Прямая соединительная линия 56"/>
                        <wps:cNvCnPr/>
                        <wps:spPr bwMode="auto">
                          <a:xfrm>
                            <a:off x="2864074" y="1757846"/>
                            <a:ext cx="205083" cy="744"/>
                          </a:xfrm>
                          <a:prstGeom prst="line">
                            <a:avLst/>
                          </a:prstGeom>
                          <a:noFill/>
                          <a:ln w="9525">
                            <a:solidFill>
                              <a:srgbClr val="000000"/>
                            </a:solidFill>
                            <a:round/>
                            <a:headEnd/>
                            <a:tailEnd/>
                          </a:ln>
                        </wps:spPr>
                        <wps:bodyPr/>
                      </wps:wsp>
                      <wps:wsp>
                        <wps:cNvPr id="57" name="Прямоугольник 57"/>
                        <wps:cNvSpPr>
                          <a:spLocks noChangeArrowheads="1"/>
                        </wps:cNvSpPr>
                        <wps:spPr bwMode="auto">
                          <a:xfrm>
                            <a:off x="3070620" y="1550827"/>
                            <a:ext cx="930938" cy="414045"/>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sz w:val="16"/>
                                  <w:szCs w:val="16"/>
                                </w:rPr>
                              </w:pPr>
                              <w:r>
                                <w:rPr>
                                  <w:rFonts w:ascii="Times New Roman" w:hAnsi="Times New Roman"/>
                                  <w:sz w:val="16"/>
                                  <w:szCs w:val="16"/>
                                </w:rPr>
                                <w:t>Поиск выгоды</w:t>
                              </w:r>
                            </w:p>
                          </w:txbxContent>
                        </wps:txbx>
                        <wps:bodyPr rot="0" vert="horz" wrap="square" lIns="82671" tIns="41333" rIns="82671" bIns="41333" anchor="t" anchorCtr="0" upright="1">
                          <a:noAutofit/>
                        </wps:bodyPr>
                      </wps:wsp>
                      <wps:wsp>
                        <wps:cNvPr id="58" name="Прямая соединительная линия 58"/>
                        <wps:cNvCnPr/>
                        <wps:spPr bwMode="auto">
                          <a:xfrm>
                            <a:off x="2864074" y="2275039"/>
                            <a:ext cx="206550" cy="0"/>
                          </a:xfrm>
                          <a:prstGeom prst="line">
                            <a:avLst/>
                          </a:prstGeom>
                          <a:noFill/>
                          <a:ln w="9525">
                            <a:solidFill>
                              <a:srgbClr val="000000"/>
                            </a:solidFill>
                            <a:round/>
                            <a:headEnd/>
                            <a:tailEnd/>
                          </a:ln>
                        </wps:spPr>
                        <wps:bodyPr/>
                      </wps:wsp>
                      <wps:wsp>
                        <wps:cNvPr id="59" name="Прямоугольник 59"/>
                        <wps:cNvSpPr>
                          <a:spLocks noChangeArrowheads="1"/>
                        </wps:cNvSpPr>
                        <wps:spPr bwMode="auto">
                          <a:xfrm>
                            <a:off x="3070620" y="2068016"/>
                            <a:ext cx="930938" cy="414045"/>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sz w:val="16"/>
                                  <w:szCs w:val="16"/>
                                </w:rPr>
                              </w:pPr>
                              <w:r>
                                <w:rPr>
                                  <w:rFonts w:ascii="Times New Roman" w:hAnsi="Times New Roman"/>
                                  <w:sz w:val="16"/>
                                  <w:szCs w:val="16"/>
                                </w:rPr>
                                <w:t>Отношение к товару</w:t>
                              </w:r>
                            </w:p>
                          </w:txbxContent>
                        </wps:txbx>
                        <wps:bodyPr rot="0" vert="horz" wrap="square" lIns="82671" tIns="41333" rIns="82671" bIns="41333" anchor="t" anchorCtr="0" upright="1">
                          <a:noAutofit/>
                        </wps:bodyPr>
                      </wps:wsp>
                      <wps:wsp>
                        <wps:cNvPr id="60" name="Прямая соединительная линия 60"/>
                        <wps:cNvCnPr/>
                        <wps:spPr bwMode="auto">
                          <a:xfrm>
                            <a:off x="2864074" y="2792224"/>
                            <a:ext cx="205817" cy="744"/>
                          </a:xfrm>
                          <a:prstGeom prst="line">
                            <a:avLst/>
                          </a:prstGeom>
                          <a:noFill/>
                          <a:ln w="9525">
                            <a:solidFill>
                              <a:srgbClr val="000000"/>
                            </a:solidFill>
                            <a:round/>
                            <a:headEnd/>
                            <a:tailEnd/>
                          </a:ln>
                        </wps:spPr>
                        <wps:bodyPr/>
                      </wps:wsp>
                      <wps:wsp>
                        <wps:cNvPr id="61" name="Прямоугольник 61"/>
                        <wps:cNvSpPr>
                          <a:spLocks noChangeArrowheads="1"/>
                        </wps:cNvSpPr>
                        <wps:spPr bwMode="auto">
                          <a:xfrm>
                            <a:off x="3070620" y="2585198"/>
                            <a:ext cx="930938" cy="413308"/>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sz w:val="16"/>
                                  <w:szCs w:val="16"/>
                                </w:rPr>
                              </w:pPr>
                              <w:r>
                                <w:rPr>
                                  <w:rFonts w:ascii="Times New Roman" w:hAnsi="Times New Roman"/>
                                  <w:sz w:val="16"/>
                                  <w:szCs w:val="16"/>
                                </w:rPr>
                                <w:t>Поиск выгоды</w:t>
                              </w:r>
                            </w:p>
                          </w:txbxContent>
                        </wps:txbx>
                        <wps:bodyPr rot="0" vert="horz" wrap="square" lIns="82671" tIns="41333" rIns="82671" bIns="41333" anchor="t" anchorCtr="0" upright="1">
                          <a:noAutofit/>
                        </wps:bodyPr>
                      </wps:wsp>
                      <wps:wsp>
                        <wps:cNvPr id="62" name="Прямая соединительная линия 62"/>
                        <wps:cNvCnPr/>
                        <wps:spPr bwMode="auto">
                          <a:xfrm>
                            <a:off x="2864069" y="3205532"/>
                            <a:ext cx="0" cy="0"/>
                          </a:xfrm>
                          <a:prstGeom prst="line">
                            <a:avLst/>
                          </a:prstGeom>
                          <a:noFill/>
                          <a:ln w="9525">
                            <a:solidFill>
                              <a:srgbClr val="000000"/>
                            </a:solidFill>
                            <a:round/>
                            <a:headEnd/>
                            <a:tailEnd/>
                          </a:ln>
                        </wps:spPr>
                        <wps:bodyPr/>
                      </wps:wsp>
                      <wps:wsp>
                        <wps:cNvPr id="63" name="Прямая соединительная линия 63"/>
                        <wps:cNvCnPr/>
                        <wps:spPr bwMode="auto">
                          <a:xfrm>
                            <a:off x="2864069" y="3205532"/>
                            <a:ext cx="0" cy="0"/>
                          </a:xfrm>
                          <a:prstGeom prst="line">
                            <a:avLst/>
                          </a:prstGeom>
                          <a:noFill/>
                          <a:ln w="9525">
                            <a:solidFill>
                              <a:srgbClr val="000000"/>
                            </a:solidFill>
                            <a:round/>
                            <a:headEnd/>
                            <a:tailEnd/>
                          </a:ln>
                        </wps:spPr>
                        <wps:bodyPr/>
                      </wps:wsp>
                      <wps:wsp>
                        <wps:cNvPr id="64" name="Прямая соединительная линия 64"/>
                        <wps:cNvCnPr/>
                        <wps:spPr bwMode="auto">
                          <a:xfrm>
                            <a:off x="4101176" y="1035858"/>
                            <a:ext cx="206550" cy="0"/>
                          </a:xfrm>
                          <a:prstGeom prst="line">
                            <a:avLst/>
                          </a:prstGeom>
                          <a:noFill/>
                          <a:ln w="9525">
                            <a:solidFill>
                              <a:srgbClr val="000000"/>
                            </a:solidFill>
                            <a:round/>
                            <a:headEnd/>
                            <a:tailEnd/>
                          </a:ln>
                        </wps:spPr>
                        <wps:bodyPr/>
                      </wps:wsp>
                      <wps:wsp>
                        <wps:cNvPr id="65" name="Прямоугольник 65"/>
                        <wps:cNvSpPr>
                          <a:spLocks noChangeArrowheads="1"/>
                        </wps:cNvSpPr>
                        <wps:spPr bwMode="auto">
                          <a:xfrm>
                            <a:off x="4311387" y="930497"/>
                            <a:ext cx="1034218" cy="310167"/>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sz w:val="16"/>
                                  <w:szCs w:val="16"/>
                                </w:rPr>
                              </w:pPr>
                              <w:r>
                                <w:rPr>
                                  <w:rFonts w:ascii="Times New Roman" w:hAnsi="Times New Roman"/>
                                  <w:sz w:val="16"/>
                                  <w:szCs w:val="16"/>
                                </w:rPr>
                                <w:t>Образ жизни</w:t>
                              </w:r>
                            </w:p>
                          </w:txbxContent>
                        </wps:txbx>
                        <wps:bodyPr rot="0" vert="horz" wrap="square" lIns="82671" tIns="41333" rIns="82671" bIns="41333" anchor="t" anchorCtr="0" upright="1">
                          <a:noAutofit/>
                        </wps:bodyPr>
                      </wps:wsp>
                      <wps:wsp>
                        <wps:cNvPr id="66" name="Прямая соединительная линия 66"/>
                        <wps:cNvCnPr/>
                        <wps:spPr bwMode="auto">
                          <a:xfrm>
                            <a:off x="4104837" y="1654705"/>
                            <a:ext cx="206550" cy="0"/>
                          </a:xfrm>
                          <a:prstGeom prst="line">
                            <a:avLst/>
                          </a:prstGeom>
                          <a:noFill/>
                          <a:ln w="9525">
                            <a:solidFill>
                              <a:srgbClr val="000000"/>
                            </a:solidFill>
                            <a:round/>
                            <a:headEnd/>
                            <a:tailEnd/>
                          </a:ln>
                        </wps:spPr>
                        <wps:bodyPr/>
                      </wps:wsp>
                      <wps:wsp>
                        <wps:cNvPr id="67" name="Прямоугольник 67"/>
                        <wps:cNvSpPr>
                          <a:spLocks noChangeArrowheads="1"/>
                        </wps:cNvSpPr>
                        <wps:spPr bwMode="auto">
                          <a:xfrm>
                            <a:off x="4311387" y="1447687"/>
                            <a:ext cx="1034218" cy="310167"/>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sz w:val="16"/>
                                  <w:szCs w:val="16"/>
                                </w:rPr>
                              </w:pPr>
                              <w:r>
                                <w:rPr>
                                  <w:rFonts w:ascii="Times New Roman" w:hAnsi="Times New Roman"/>
                                  <w:sz w:val="16"/>
                                  <w:szCs w:val="16"/>
                                </w:rPr>
                                <w:t>Тип личности</w:t>
                              </w:r>
                            </w:p>
                          </w:txbxContent>
                        </wps:txbx>
                        <wps:bodyPr rot="0" vert="horz" wrap="square" lIns="82671" tIns="41333" rIns="82671" bIns="41333" anchor="t" anchorCtr="0" upright="1">
                          <a:noAutofit/>
                        </wps:bodyPr>
                      </wps:wsp>
                      <wps:wsp>
                        <wps:cNvPr id="68" name="Прямая соединительная линия 68"/>
                        <wps:cNvCnPr/>
                        <wps:spPr bwMode="auto">
                          <a:xfrm>
                            <a:off x="4104837" y="2171154"/>
                            <a:ext cx="206550" cy="0"/>
                          </a:xfrm>
                          <a:prstGeom prst="line">
                            <a:avLst/>
                          </a:prstGeom>
                          <a:noFill/>
                          <a:ln w="9525">
                            <a:solidFill>
                              <a:srgbClr val="000000"/>
                            </a:solidFill>
                            <a:round/>
                            <a:headEnd/>
                            <a:tailEnd/>
                          </a:ln>
                        </wps:spPr>
                        <wps:bodyPr/>
                      </wps:wsp>
                      <wps:wsp>
                        <wps:cNvPr id="69" name="Прямоугольник 69"/>
                        <wps:cNvSpPr>
                          <a:spLocks noChangeArrowheads="1"/>
                        </wps:cNvSpPr>
                        <wps:spPr bwMode="auto">
                          <a:xfrm>
                            <a:off x="4311387" y="1964875"/>
                            <a:ext cx="1034218" cy="414045"/>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sz w:val="16"/>
                                  <w:szCs w:val="16"/>
                                </w:rPr>
                              </w:pPr>
                              <w:r>
                                <w:rPr>
                                  <w:rFonts w:ascii="Times New Roman" w:hAnsi="Times New Roman"/>
                                  <w:sz w:val="16"/>
                                  <w:szCs w:val="16"/>
                                </w:rPr>
                                <w:t>Социальный уровень</w:t>
                              </w:r>
                            </w:p>
                          </w:txbxContent>
                        </wps:txbx>
                        <wps:bodyPr rot="0" vert="horz" wrap="square" lIns="82671" tIns="41333" rIns="82671" bIns="41333" anchor="t" anchorCtr="0" upright="1">
                          <a:noAutofit/>
                        </wps:bodyPr>
                      </wps:wsp>
                      <wps:wsp>
                        <wps:cNvPr id="70" name="Прямоугольник 70"/>
                        <wps:cNvSpPr>
                          <a:spLocks noChangeArrowheads="1"/>
                        </wps:cNvSpPr>
                        <wps:spPr bwMode="auto">
                          <a:xfrm>
                            <a:off x="71986" y="222428"/>
                            <a:ext cx="1240768" cy="310167"/>
                          </a:xfrm>
                          <a:prstGeom prst="rect">
                            <a:avLst/>
                          </a:prstGeom>
                          <a:solidFill>
                            <a:srgbClr val="FFFFFF"/>
                          </a:solidFill>
                          <a:ln w="9525">
                            <a:solidFill>
                              <a:srgbClr val="000000"/>
                            </a:solidFill>
                            <a:miter lim="800000"/>
                            <a:headEnd/>
                            <a:tailEnd/>
                          </a:ln>
                        </wps:spPr>
                        <wps:txbx>
                          <w:txbxContent>
                            <w:p w:rsidR="00306ED2" w:rsidRDefault="00306ED2">
                              <w:pPr>
                                <w:jc w:val="center"/>
                                <w:rPr>
                                  <w:rFonts w:ascii="Times New Roman" w:hAnsi="Times New Roman"/>
                                  <w:sz w:val="16"/>
                                  <w:szCs w:val="16"/>
                                </w:rPr>
                              </w:pPr>
                              <w:r>
                                <w:rPr>
                                  <w:rFonts w:ascii="Times New Roman" w:hAnsi="Times New Roman"/>
                                  <w:sz w:val="16"/>
                                  <w:szCs w:val="16"/>
                                </w:rPr>
                                <w:t>Географический</w:t>
                              </w:r>
                            </w:p>
                          </w:txbxContent>
                        </wps:txbx>
                        <wps:bodyPr rot="0" vert="horz" wrap="square" lIns="82671" tIns="41333" rIns="82671" bIns="41333" anchor="t" anchorCtr="0" upright="1">
                          <a:noAutofit/>
                        </wps:bodyPr>
                      </wps:wsp>
                      <wps:wsp>
                        <wps:cNvPr id="71" name="Прямая соединительная линия 71"/>
                        <wps:cNvCnPr/>
                        <wps:spPr bwMode="auto">
                          <a:xfrm>
                            <a:off x="71986" y="532595"/>
                            <a:ext cx="0" cy="231728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2" name="Прямая соединительная линия 72"/>
                        <wps:cNvCnPr/>
                        <wps:spPr bwMode="auto">
                          <a:xfrm flipH="1">
                            <a:off x="71986" y="1138263"/>
                            <a:ext cx="2065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3" name="Прямая соединительная линия 73"/>
                        <wps:cNvCnPr/>
                        <wps:spPr bwMode="auto">
                          <a:xfrm flipH="1" flipV="1">
                            <a:off x="71986" y="1714500"/>
                            <a:ext cx="206550" cy="31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4" name="Прямая соединительная линия 74"/>
                        <wps:cNvCnPr/>
                        <wps:spPr bwMode="auto">
                          <a:xfrm flipH="1">
                            <a:off x="71986" y="2231628"/>
                            <a:ext cx="206550" cy="1032"/>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5" name="Прямая соединительная линия 75"/>
                        <wps:cNvCnPr/>
                        <wps:spPr bwMode="auto">
                          <a:xfrm flipH="1">
                            <a:off x="71986" y="2848644"/>
                            <a:ext cx="206550" cy="123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inline>
            </w:drawing>
          </mc:Choice>
          <mc:Fallback>
            <w:pict>
              <v:group id="Полотно 118" o:spid="_x0000_s1027" style="width:429pt;height:255pt;mso-position-horizontal-relative:char;mso-position-vertical-relative:line" coordsize="54482,32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">
                <v:line id="Прямая соединительная линия 21" o:spid="_x0000_s1028" style="position:absolute;visibility:visible;mso-wrap-style:square" from="4168,2" to="5034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FkrsYAAADbAAAADwAAAGRycy9kb3ducmV2LnhtbESPT2vCQBTE7wW/w/IKvdWNFoKkriKV&#10;gvZQ6h+ox2f2mUSzb8PuNonf3i0IHoeZ+Q0znfemFi05X1lWMBomIIhzqysuFOx3n68TED4ga6wt&#10;k4IreZjPBk9TzLTteEPtNhQiQthnqKAMocmk9HlJBv3QNsTRO1lnMETpCqkddhFuajlOklQarDgu&#10;lNjQR0n5ZftnFHy//aTtYv216n/X6TFfbo6Hc+eUennuF+8gAvXhEb63V1rBeAT/X+IPkL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BZK7GAAAA2wAAAA8AAAAAAAAA&#10;AAAAAAAAoQIAAGRycy9kb3ducmV2LnhtbFBLBQYAAAAABAAEAPkAAACUAwAAAAA=&#10;"/>
                <v:line id="Прямая соединительная линия 32" o:spid="_x0000_s1029" style="position:absolute;visibility:visible;mso-wrap-style:square" from="4031,15" to="4031,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sBMUAAADbAAAADwAAAGRycy9kb3ducmV2LnhtbESPQWvCQBSE70L/w/IK3nSjQiipq4gi&#10;aA9FbaE9PrOvSdrs27C7JvHfu0LB4zAz3zDzZW9q0ZLzlWUFk3ECgji3uuJCwefHdvQCwgdkjbVl&#10;UnAlD8vF02COmbYdH6k9hUJECPsMFZQhNJmUPi/JoB/bhjh6P9YZDFG6QmqHXYSbWk6TJJUGK44L&#10;JTa0Lin/O12MgvfZIW1X+7dd/7VPz/nmeP7+7ZxSw+d+9QoiUB8e4f/2TiuYTeH+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psBMUAAADbAAAADwAAAAAAAAAA&#10;AAAAAAChAgAAZHJzL2Rvd25yZXYueG1sUEsFBgAAAAAEAAQA+QAAAJMDAAAAAA==&#10;"/>
                <v:line id="Прямая соединительная линия 33" o:spid="_x0000_s1030" style="position:absolute;visibility:visible;mso-wrap-style:square" from="50403,2" to="50403,20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bJn8UAAADbAAAADwAAAGRycy9kb3ducmV2LnhtbESPQWvCQBSE7wX/w/IK3uqmDQRJXUWU&#10;gvZQ1Bba4zP7mqRm34bdNYn/3hWEHoeZ+YaZLQbTiI6cry0reJ4kIIgLq2suFXx9vj1NQfiArLGx&#10;TAou5GExHz3MMNe25z11h1CKCGGfo4IqhDaX0hcVGfQT2xJH79c6gyFKV0rtsI9w08iXJMmkwZrj&#10;QoUtrSoqToezUfCR7rJuuX3fDN/b7Fis98efv94pNX4clq8gAg3hP3xvb7SCNIX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EbJn8UAAADbAAAADwAAAAAAAAAA&#10;AAAAAAChAgAAZHJzL2Rvd25yZXYueG1sUEsFBgAAAAAEAAQA+QAAAJMDAAAAAA==&#10;"/>
                <v:rect id="Прямоугольник 34" o:spid="_x0000_s1031" style="position:absolute;left:41007;top:2077;width:12408;height:39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vRzMQA&#10;AADbAAAADwAAAGRycy9kb3ducmV2LnhtbESPQWvCQBSE74X+h+UVvOmmVaxGVymiEIsXrRdvj+wz&#10;Cc2+jdnVrP/eLQg9DjPzDTNfBlOLG7WusqzgfZCAIM6trrhQcPzZ9CcgnEfWWFsmBXdysFy8vswx&#10;1bbjPd0OvhARwi5FBaX3TSqly0sy6Aa2IY7e2bYGfZRtIXWLXYSbWn4kyVgarDgulNjQqqT893A1&#10;Cnzo6PI5dedtNv7ehLBbn7JpolTvLXzNQHgK/j/8bGdawXAEf1/iD5C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mr0czEAAAA2wAAAA8AAAAAAAAAAAAAAAAAmAIAAGRycy9k&#10;b3ducmV2LnhtbFBLBQYAAAAABAAEAPUAAACJAwAAAAA=&#10;">
                  <v:textbox inset="2.29642mm,1.1481mm,2.29642mm,1.1481mm">
                    <w:txbxContent>
                      <w:p w:rsidR="00306ED2" w:rsidRDefault="00306ED2">
                        <w:pPr>
                          <w:jc w:val="center"/>
                          <w:rPr>
                            <w:rFonts w:ascii="Times New Roman" w:hAnsi="Times New Roman"/>
                            <w:sz w:val="16"/>
                            <w:szCs w:val="16"/>
                          </w:rPr>
                        </w:pPr>
                        <w:r>
                          <w:rPr>
                            <w:rFonts w:ascii="Times New Roman" w:hAnsi="Times New Roman"/>
                            <w:sz w:val="16"/>
                            <w:szCs w:val="16"/>
                          </w:rPr>
                          <w:t>Психографический</w:t>
                        </w:r>
                      </w:p>
                    </w:txbxContent>
                  </v:textbox>
                </v:rect>
                <v:line id="Прямая соединительная линия 35" o:spid="_x0000_s1032" style="position:absolute;visibility:visible;mso-wrap-style:square" from="19712,15" to="19712,20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P0cMYAAADbAAAADwAAAGRycy9kb3ducmV2LnhtbESPT2vCQBTE74LfYXlCb7qx0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Dj9HDGAAAA2wAAAA8AAAAAAAAA&#10;AAAAAAAAoQIAAGRycy9kb3ducmV2LnhtbFBLBQYAAAAABAAEAPkAAACUAwAAAAA=&#10;"/>
                <v:line id="Прямая соединительная линия 36" o:spid="_x0000_s1033" style="position:absolute;visibility:visible;mso-wrap-style:square" from="35877,14" to="35884,20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FqB8UAAADbAAAADwAAAGRycy9kb3ducmV2LnhtbESPQWvCQBSE74L/YXlCb7qxQijRVUQp&#10;aA+lWkGPz+wziWbfht1tkv77bqHQ4zAz3zCLVW9q0ZLzlWUF00kCgji3uuJCwenzdfwCwgdkjbVl&#10;UvBNHlbL4WCBmbYdH6g9hkJECPsMFZQhNJmUPi/JoJ/Yhjh6N+sMhihdIbXDLsJNLZ+TJJUGK44L&#10;JTa0KSl/HL+Mgvf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DFqB8UAAADbAAAADwAAAAAAAAAA&#10;AAAAAAChAgAAZHJzL2Rvd25yZXYueG1sUEsFBgAAAAAEAAQA+QAAAJMDAAAAAA==&#10;"/>
                <v:rect id="Прямоугольник 37" o:spid="_x0000_s1034" style="position:absolute;left:14630;top:2077;width:12954;height:3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Pu8QA&#10;AADbAAAADwAAAGRycy9kb3ducmV2LnhtbESPT2vCQBTE74V+h+UVeqsbLWiNWaVIhVR6afTi7ZF9&#10;+YPZt2l2a7bf3hWEHoeZ+Q2TbYLpxIUG11pWMJ0kIIhLq1uuFRwPu5c3EM4ja+wsk4I/crBZPz5k&#10;mGo78jddCl+LCGGXooLG+z6V0pUNGXQT2xNHr7KDQR/lUEs94BjhppOzJJlLgy3HhQZ72jZUnotf&#10;o8CHkX4WS1d95vP9LoSvj1O+TJR6fgrvKxCegv8P39u5VvC6gNuX+APk+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l5T7vEAAAA2wAAAA8AAAAAAAAAAAAAAAAAmAIAAGRycy9k&#10;b3ducmV2LnhtbFBLBQYAAAAABAAEAPUAAACJAwAAAAA=&#10;">
                  <v:textbox inset="2.29642mm,1.1481mm,2.29642mm,1.1481mm">
                    <w:txbxContent>
                      <w:p w:rsidR="00306ED2" w:rsidRDefault="00306ED2">
                        <w:pPr>
                          <w:jc w:val="center"/>
                          <w:rPr>
                            <w:rFonts w:ascii="Times New Roman" w:hAnsi="Times New Roman"/>
                            <w:sz w:val="16"/>
                            <w:szCs w:val="16"/>
                          </w:rPr>
                        </w:pPr>
                        <w:r>
                          <w:rPr>
                            <w:rFonts w:ascii="Times New Roman" w:hAnsi="Times New Roman"/>
                            <w:sz w:val="16"/>
                            <w:szCs w:val="16"/>
                          </w:rPr>
                          <w:t>Демографический</w:t>
                        </w:r>
                      </w:p>
                    </w:txbxContent>
                  </v:textbox>
                </v:rect>
                <v:rect id="Прямоугольник 38" o:spid="_x0000_s1035" style="position:absolute;left:28648;top:2077;width:11374;height:3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bbycAA&#10;AADbAAAADwAAAGRycy9kb3ducmV2LnhtbERPTYvCMBC9L/gfwgh7W1Nd0LUaRUShK15WvXgbmrEt&#10;NpPaRJv99+YgeHy87/kymFo8qHWVZQXDQQKCOLe64kLB6bj9+gHhPLLG2jIp+CcHy0XvY46pth3/&#10;0ePgCxFD2KWooPS+SaV0eUkG3cA2xJG72Nagj7AtpG6xi+GmlqMkGUuDFceGEhtal5RfD3ejwIeO&#10;bpOpu/xm4902hP3mnE0TpT77YTUD4Sn4t/jlzrSC7zg2fok/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ObbycAAAADbAAAADwAAAAAAAAAAAAAAAACYAgAAZHJzL2Rvd25y&#10;ZXYueG1sUEsFBgAAAAAEAAQA9QAAAIUDAAAAAA==&#10;">
                  <v:textbox inset="2.29642mm,1.1481mm,2.29642mm,1.1481mm">
                    <w:txbxContent>
                      <w:p w:rsidR="00306ED2" w:rsidRDefault="00306ED2">
                        <w:pPr>
                          <w:jc w:val="center"/>
                          <w:rPr>
                            <w:rFonts w:ascii="Times New Roman" w:hAnsi="Times New Roman"/>
                            <w:sz w:val="16"/>
                            <w:szCs w:val="16"/>
                          </w:rPr>
                        </w:pPr>
                        <w:r>
                          <w:rPr>
                            <w:rFonts w:ascii="Times New Roman" w:hAnsi="Times New Roman"/>
                            <w:sz w:val="16"/>
                            <w:szCs w:val="16"/>
                          </w:rPr>
                          <w:t>Поведенческий</w:t>
                        </w:r>
                      </w:p>
                    </w:txbxContent>
                  </v:textbox>
                </v:rect>
                <v:line id="Прямая соединительная линия 39" o:spid="_x0000_s1036" style="position:absolute;visibility:visible;mso-wrap-style:square" from="14627,5178" to="14628,289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7+dcYAAADbAAAADwAAAGRycy9kb3ducmV2LnhtbESPT2vCQBTE74LfYXlCb7qxQqipq4il&#10;oD2U+gfa4zP7mkSzb8PuNkm/fbcgeBxm5jfMYtWbWrTkfGVZwXSSgCDOra64UHA6vo6fQPiArLG2&#10;TAp+ycNqORwsMNO24z21h1CICGGfoYIyhCaT0uclGfQT2xBH79s6gyFKV0jtsItwU8vHJEmlwYrj&#10;QokNbUrKr4cfo+B99pG2693btv/cpef8ZX/+unROqYdRv34GEagP9/CtvdUKZn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Gu/nXGAAAA2wAAAA8AAAAAAAAA&#10;AAAAAAAAoQIAAGRycy9kb3ducmV2LnhtbFBLBQYAAAAABAAEAPkAAACUAwAAAAA=&#10;"/>
                <v:line id="Прямая соединительная линия 40" o:spid="_x0000_s1037" style="position:absolute;visibility:visible;mso-wrap-style:square" from="28684,5015" to="28691,279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IklcIAAADbAAAADwAAAGRycy9kb3ducmV2LnhtbERPz2vCMBS+D/wfwhN2m6nbKKMaRZSB&#10;ehB1g3l8Nm9tZ/NSkth2/705CB4/vt/TeW9q0ZLzlWUF41ECgji3uuJCwffX58sHCB+QNdaWScE/&#10;eZjPBk9TzLTt+EDtMRQihrDPUEEZQpNJ6fOSDPqRbYgj92udwRChK6R22MVwU8vXJEmlwYpjQ4kN&#10;LUvKL8erUbB726ftYrNd9z+b9JyvDufTX+eUeh72iwmIQH14iO/utVbwHtfH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JIklcIAAADbAAAADwAAAAAAAAAAAAAA&#10;AAChAgAAZHJzL2Rvd25yZXYueG1sUEsFBgAAAAAEAAQA+QAAAJADAAAAAA==&#10;"/>
                <v:line id="Прямая соединительная линия 41" o:spid="_x0000_s1038" style="position:absolute;visibility:visible;mso-wrap-style:square" from="41059,6019" to="41066,21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6BDsYAAADbAAAADwAAAGRycy9kb3ducmV2LnhtbESPQWvCQBSE7wX/w/IKvdWNtgRJXUVa&#10;BPUgagvt8Zl9TVKzb8PumqT/3hUEj8PMfMNM572pRUvOV5YVjIYJCOLc6ooLBV+fy+cJCB+QNdaW&#10;ScE/eZjPBg9TzLTteE/tIRQiQthnqKAMocmk9HlJBv3QNsTR+7XOYIjSFVI77CLc1HKcJKk0WHFc&#10;KLGh95Ly0+FsFGxfdmm7WG9W/fc6PeYf++PPX+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fegQ7GAAAA2wAAAA8AAAAAAAAA&#10;AAAAAAAAoQIAAGRycy9kb3ducmV2LnhtbFBLBQYAAAAABAAEAPkAAACUAwAAAAA=&#10;"/>
                <v:rect id="Прямоугольник 42" o:spid="_x0000_s1039" style="position:absolute;left:2785;top:9304;width:10342;height:45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ifXsQA&#10;AADbAAAADwAAAGRycy9kb3ducmV2LnhtbESPT2vCQBTE70K/w/IK3uqmUqzGrFJEIS1eTHvx9si+&#10;/KHZt2l2a9Zv3y0IHoeZ+Q2TbYPpxIUG11pW8DxLQBCXVrdcK/j6PDwtQTiPrLGzTAqu5GC7eZhk&#10;mGo78okuha9FhLBLUUHjfZ9K6cqGDLqZ7YmjV9nBoI9yqKUecIxw08l5kiykwZbjQoM97Roqv4tf&#10;o8CHkX5eV656zxcfhxCO+3O+SpSaPoa3NQhPwd/Dt3auFbzM4f9L/AF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In17EAAAA2wAAAA8AAAAAAAAAAAAAAAAAmAIAAGRycy9k&#10;b3ducmV2LnhtbFBLBQYAAAAABAAEAPUAAACJAwAAAAA=&#10;">
                  <v:textbox inset="2.29642mm,1.1481mm,2.29642mm,1.1481mm">
                    <w:txbxContent>
                      <w:p w:rsidR="00306ED2" w:rsidRDefault="00306ED2">
                        <w:pPr>
                          <w:rPr>
                            <w:rFonts w:ascii="Times New Roman" w:hAnsi="Times New Roman"/>
                            <w:sz w:val="16"/>
                            <w:szCs w:val="16"/>
                          </w:rPr>
                        </w:pPr>
                        <w:r>
                          <w:rPr>
                            <w:rFonts w:ascii="Times New Roman" w:hAnsi="Times New Roman"/>
                            <w:sz w:val="16"/>
                            <w:szCs w:val="16"/>
                          </w:rPr>
                          <w:t>Расположение региона</w:t>
                        </w:r>
                      </w:p>
                    </w:txbxContent>
                  </v:textbox>
                </v:rect>
                <v:rect id="Прямоугольник 43" o:spid="_x0000_s1040" style="position:absolute;left:2785;top:15077;width:10342;height:41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kQ6xcQA&#10;AADbAAAADwAAAGRycy9kb3ducmV2LnhtbESPQWvCQBSE74X+h+UVvOmmVaxGVymiEIsXrRdvj+wz&#10;Cc2+jdnVrP/eLQg9DjPzDTNfBlOLG7WusqzgfZCAIM6trrhQcPzZ9CcgnEfWWFsmBXdysFy8vswx&#10;1bbjPd0OvhARwi5FBaX3TSqly0sy6Aa2IY7e2bYGfZRtIXWLXYSbWn4kyVgarDgulNjQqqT893A1&#10;Cnzo6PI5dedtNv7ehLBbn7JpolTvLXzNQHgK/j/8bGdawWgIf1/iD5C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5EOsXEAAAA2wAAAA8AAAAAAAAAAAAAAAAAmAIAAGRycy9k&#10;b3ducmV2LnhtbFBLBQYAAAAABAAEAPUAAACJAwAAAAA=&#10;">
                  <v:textbox inset="2.29642mm,1.1481mm,2.29642mm,1.1481mm">
                    <w:txbxContent>
                      <w:p w:rsidR="00306ED2" w:rsidRDefault="00306ED2">
                        <w:pPr>
                          <w:rPr>
                            <w:rFonts w:ascii="Times New Roman" w:hAnsi="Times New Roman"/>
                            <w:sz w:val="16"/>
                            <w:szCs w:val="16"/>
                          </w:rPr>
                        </w:pPr>
                        <w:r>
                          <w:rPr>
                            <w:rFonts w:ascii="Times New Roman" w:hAnsi="Times New Roman"/>
                            <w:sz w:val="16"/>
                            <w:szCs w:val="16"/>
                          </w:rPr>
                          <w:t>Численность населения</w:t>
                        </w:r>
                      </w:p>
                    </w:txbxContent>
                  </v:textbox>
                </v:rect>
                <v:rect id="Прямоугольник 44" o:spid="_x0000_s1041" style="position:absolute;left:2785;top:20249;width:10342;height:41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2iscQA&#10;AADbAAAADwAAAGRycy9kb3ducmV2LnhtbESPT2vCQBTE7wW/w/IEb3XTIlZjVpGikJZeTHvx9si+&#10;/KHZtzG7mvXbdwuFHoeZ+Q2T7YLpxI0G11pW8DRPQBCXVrdcK/j6PD6uQDiPrLGzTAru5GC3nTxk&#10;mGo78oluha9FhLBLUUHjfZ9K6cqGDLq57YmjV9nBoI9yqKUecIxw08nnJFlKgy3HhQZ7em2o/C6u&#10;RoEPI11e1q56y5fvxxA+Dud8nSg1m4b9BoSn4P/Df+1cK1gs4PdL/AF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torHEAAAA2wAAAA8AAAAAAAAAAAAAAAAAmAIAAGRycy9k&#10;b3ducmV2LnhtbFBLBQYAAAAABAAEAPUAAACJAwAAAAA=&#10;">
                  <v:textbox inset="2.29642mm,1.1481mm,2.29642mm,1.1481mm">
                    <w:txbxContent>
                      <w:p w:rsidR="00306ED2" w:rsidRDefault="00306ED2">
                        <w:pPr>
                          <w:rPr>
                            <w:rFonts w:ascii="Times New Roman" w:hAnsi="Times New Roman"/>
                            <w:sz w:val="16"/>
                            <w:szCs w:val="16"/>
                          </w:rPr>
                        </w:pPr>
                        <w:r>
                          <w:rPr>
                            <w:rFonts w:ascii="Times New Roman" w:hAnsi="Times New Roman"/>
                            <w:sz w:val="16"/>
                            <w:szCs w:val="16"/>
                          </w:rPr>
                          <w:t>Плотность населения</w:t>
                        </w:r>
                      </w:p>
                    </w:txbxContent>
                  </v:textbox>
                </v:rect>
                <v:rect id="Прямоугольник 45" o:spid="_x0000_s1042" style="position:absolute;left:2785;top:26416;width:10342;height:4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EHKsQA&#10;AADbAAAADwAAAGRycy9kb3ducmV2LnhtbESPQWvCQBSE74X+h+UVvOmmRa1GVymiEIsXrRdvj+wz&#10;Cc2+jdnVrP/eLQg9DjPzDTNfBlOLG7WusqzgfZCAIM6trrhQcPzZ9CcgnEfWWFsmBXdysFy8vswx&#10;1bbjPd0OvhARwi5FBaX3TSqly0sy6Aa2IY7e2bYGfZRtIXWLXYSbWn4kyVgarDgulNjQqqT893A1&#10;Cnzo6PI5dedtNv7ehLBbn7JpolTvLXzNQHgK/j/8bGdawXAEf1/iD5C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7hByrEAAAA2wAAAA8AAAAAAAAAAAAAAAAAmAIAAGRycy9k&#10;b3ducmV2LnhtbFBLBQYAAAAABAAEAPUAAACJAwAAAAA=&#10;">
                  <v:textbox inset="2.29642mm,1.1481mm,2.29642mm,1.1481mm">
                    <w:txbxContent>
                      <w:p w:rsidR="00306ED2" w:rsidRDefault="00306ED2">
                        <w:pPr>
                          <w:rPr>
                            <w:rFonts w:ascii="Times New Roman" w:hAnsi="Times New Roman"/>
                            <w:sz w:val="16"/>
                            <w:szCs w:val="16"/>
                          </w:rPr>
                        </w:pPr>
                        <w:r>
                          <w:rPr>
                            <w:rFonts w:ascii="Times New Roman" w:hAnsi="Times New Roman"/>
                            <w:sz w:val="16"/>
                            <w:szCs w:val="16"/>
                          </w:rPr>
                          <w:t>Структура региона</w:t>
                        </w:r>
                      </w:p>
                    </w:txbxContent>
                  </v:textbox>
                </v:rect>
                <v:line id="Прямая соединительная линия 46" o:spid="_x0000_s1043" style="position:absolute;visibility:visible;mso-wrap-style:square" from="14628,11374" to="16224,11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cZesYAAADbAAAADwAAAGRycy9kb3ducmV2LnhtbESPT2vCQBTE74V+h+UJvdWNbQkSXUVa&#10;CupB6h/Q4zP7TGKzb8PumqTfvisUehxm5jfMdN6bWrTkfGVZwWiYgCDOra64UHDYfz6PQfiArLG2&#10;TAp+yMN89vgwxUzbjrfU7kIhIoR9hgrKEJpMSp+XZNAPbUMcvYt1BkOUrpDaYRfhppYvSZJKgxXH&#10;hRIbei8p/97djILN61faLlbrZX9cpef8Y3s+XTun1NOgX0xABOrDf/ivvdQK3lK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g3GXrGAAAA2wAAAA8AAAAAAAAA&#10;AAAAAAAAoQIAAGRycy9kb3ducmV2LnhtbFBLBQYAAAAABAAEAPkAAACUAwAAAAA=&#10;"/>
                <v:rect id="Прямоугольник 47" o:spid="_x0000_s1044" style="position:absolute;left:16225;top:9304;width:10357;height:41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88xsQA&#10;AADbAAAADwAAAGRycy9kb3ducmV2LnhtbESPT2vCQBTE74V+h+UVeqsbpWiNWaVIhVR6afTi7ZF9&#10;+YPZt2l2a7bf3hWEHoeZ+Q2TbYLpxIUG11pWMJ0kIIhLq1uuFRwPu5c3EM4ja+wsk4I/crBZPz5k&#10;mGo78jddCl+LCGGXooLG+z6V0pUNGXQT2xNHr7KDQR/lUEs94BjhppOzJJlLgy3HhQZ72jZUnotf&#10;o8CHkX4WS1d95vP9LoSvj1O+TJR6fgrvKxCegv8P39u5VvC6gNuX+APk+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PMbEAAAA2wAAAA8AAAAAAAAAAAAAAAAAmAIAAGRycy9k&#10;b3ducmV2LnhtbFBLBQYAAAAABAAEAPUAAACJAwAAAAA=&#10;">
                  <v:textbox inset="2.29642mm,1.1481mm,2.29642mm,1.1481mm">
                    <w:txbxContent>
                      <w:p w:rsidR="00306ED2" w:rsidRDefault="00306ED2">
                        <w:pPr>
                          <w:rPr>
                            <w:rFonts w:ascii="Times New Roman" w:hAnsi="Times New Roman"/>
                            <w:sz w:val="16"/>
                            <w:szCs w:val="16"/>
                          </w:rPr>
                        </w:pPr>
                        <w:r>
                          <w:rPr>
                            <w:rFonts w:ascii="Times New Roman" w:hAnsi="Times New Roman"/>
                            <w:sz w:val="16"/>
                            <w:szCs w:val="16"/>
                          </w:rPr>
                          <w:t xml:space="preserve">Возраст </w:t>
                        </w:r>
                      </w:p>
                    </w:txbxContent>
                  </v:textbox>
                </v:rect>
                <v:line id="Прямая соединительная линия 48" o:spid="_x0000_s1045" style="position:absolute;visibility:visible;mso-wrap-style:square" from="14628,17584" to="16224,175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Qok8IAAADbAAAADwAAAGRycy9kb3ducmV2LnhtbERPz2vCMBS+D/wfwhN2m6nbKK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uQok8IAAADbAAAADwAAAAAAAAAAAAAA&#10;AAChAgAAZHJzL2Rvd25yZXYueG1sUEsFBgAAAAAEAAQA+QAAAJADAAAAAA==&#10;"/>
                <v:rect id="Прямоугольник 49" o:spid="_x0000_s1046" style="position:absolute;left:16225;top:15508;width:10342;height:4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wNL8QA&#10;AADbAAAADwAAAGRycy9kb3ducmV2LnhtbESPT2vCQBTE7wW/w/KE3upGEWvSrCJFIZZe1F56e2Rf&#10;/tDs2zS7mu23dwuFHoeZ+Q2Tb4PpxI0G11pWMJ8lIIhLq1uuFXxcDk9rEM4ja+wsk4IfcrDdTB5y&#10;zLQd+US3s69FhLDLUEHjfZ9J6cqGDLqZ7YmjV9nBoI9yqKUecIxw08lFkqykwZbjQoM9vTZUfp2v&#10;RoEPI30/p646Fqu3Qwjv+88iTZR6nIbdCwhPwf+H/9qFVrBM4fdL/AFyc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DS/EAAAA2wAAAA8AAAAAAAAAAAAAAAAAmAIAAGRycy9k&#10;b3ducmV2LnhtbFBLBQYAAAAABAAEAPUAAACJAwAAAAA=&#10;">
                  <v:textbox inset="2.29642mm,1.1481mm,2.29642mm,1.1481mm">
                    <w:txbxContent>
                      <w:p w:rsidR="00306ED2" w:rsidRDefault="00306ED2">
                        <w:pPr>
                          <w:rPr>
                            <w:rFonts w:ascii="Times New Roman" w:hAnsi="Times New Roman"/>
                            <w:sz w:val="16"/>
                            <w:szCs w:val="16"/>
                          </w:rPr>
                        </w:pPr>
                        <w:r>
                          <w:rPr>
                            <w:rFonts w:ascii="Times New Roman" w:hAnsi="Times New Roman"/>
                            <w:sz w:val="16"/>
                            <w:szCs w:val="16"/>
                          </w:rPr>
                          <w:t xml:space="preserve">Пол </w:t>
                        </w:r>
                      </w:p>
                    </w:txbxContent>
                  </v:textbox>
                </v:rect>
                <v:line id="Прямая соединительная линия 50" o:spid="_x0000_s1047" style="position:absolute;visibility:visible;mso-wrap-style:square" from="14628,23780" to="16224,237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uySMIAAADbAAAADwAAAGRycy9kb3ducmV2LnhtbERPz2vCMBS+D/wfwhN2m6kbK6MaRZSB&#10;ehB1g3l8Nm9tZ/NSkth2/705CB4/vt/TeW9q0ZLzlWUF41ECgji3uuJCwffX58sHCB+QNdaWScE/&#10;eZjPBk9TzLTt+EDtMRQihrDPUEEZQpNJ6fOSDPqRbYgj92udwRChK6R22MVwU8vXJEmlwYpjQ4kN&#10;LUvKL8erUbB726ftYrNd9z+b9JyvDufTX+eUeh72iwmIQH14iO/utVbwHtfH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UuySMIAAADbAAAADwAAAAAAAAAAAAAA&#10;AAChAgAAZHJzL2Rvd25yZXYueG1sUEsFBgAAAAAEAAQA+QAAAJADAAAAAA==&#10;"/>
                <v:rect id="Прямоугольник 51" o:spid="_x0000_s1048" style="position:absolute;left:16225;top:21711;width:10350;height:41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OX9MQA&#10;AADbAAAADwAAAGRycy9kb3ducmV2LnhtbESPT2vCQBTE70K/w/IK3nRjof6JrlKkQipeTHvx9sg+&#10;k9Ds25jdmvXbdwXB4zAzv2FWm2AacaXO1ZYVTMYJCOLC6ppLBT/fu9EchPPIGhvLpOBGDjbrl8EK&#10;U217PtI196WIEHYpKqi8b1MpXVGRQTe2LXH0zrYz6KPsSqk77CPcNPItSabSYM1xocKWthUVv/mf&#10;UeBDT5fZwp2/sul+F8Lh85QtEqWGr+FjCcJT8M/wo51pBe8TuH+JP0C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Dl/TEAAAA2wAAAA8AAAAAAAAAAAAAAAAAmAIAAGRycy9k&#10;b3ducmV2LnhtbFBLBQYAAAAABAAEAPUAAACJAwAAAAA=&#10;">
                  <v:textbox inset="2.29642mm,1.1481mm,2.29642mm,1.1481mm">
                    <w:txbxContent>
                      <w:p w:rsidR="00306ED2" w:rsidRDefault="00306ED2">
                        <w:pPr>
                          <w:rPr>
                            <w:rFonts w:ascii="Times New Roman" w:hAnsi="Times New Roman"/>
                            <w:sz w:val="16"/>
                            <w:szCs w:val="16"/>
                          </w:rPr>
                        </w:pPr>
                        <w:r>
                          <w:rPr>
                            <w:rFonts w:ascii="Times New Roman" w:hAnsi="Times New Roman"/>
                            <w:sz w:val="16"/>
                            <w:szCs w:val="16"/>
                          </w:rPr>
                          <w:t>Уровень дохода</w:t>
                        </w:r>
                      </w:p>
                    </w:txbxContent>
                  </v:textbox>
                </v:rect>
                <v:line id="Прямая соединительная линия 52" o:spid="_x0000_s1049" style="position:absolute;visibility:visible;mso-wrap-style:square" from="14628,28951" to="16224,289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WJpMYAAADbAAAADwAAAGRycy9kb3ducmV2LnhtbESPQWvCQBSE7wX/w/IEb3VTp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LViaTGAAAA2wAAAA8AAAAAAAAA&#10;AAAAAAAAoQIAAGRycy9kb3ducmV2LnhtbFBLBQYAAAAABAAEAPkAAACUAwAAAAA=&#10;"/>
                <v:rect id="Прямоугольник 53" o:spid="_x0000_s1050" style="position:absolute;left:16225;top:27922;width:10342;height:3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2sGMQA&#10;AADbAAAADwAAAGRycy9kb3ducmV2LnhtbESPQWvCQBSE74X+h+UVvOmmFa1GVymiEIsXrRdvj+wz&#10;Cc2+jdnVrP/eLQg9DjPzDTNfBlOLG7WusqzgfZCAIM6trrhQcPzZ9CcgnEfWWFsmBXdysFy8vswx&#10;1bbjPd0OvhARwi5FBaX3TSqly0sy6Aa2IY7e2bYGfZRtIXWLXYSbWn4kyVgarDgulNjQqqT893A1&#10;Cnzo6PI5dedtNv7ehLBbn7JpolTvLXzNQHgK/j/8bGdawWgIf1/iD5C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drBjEAAAA2wAAAA8AAAAAAAAAAAAAAAAAmAIAAGRycy9k&#10;b3ducmV2LnhtbFBLBQYAAAAABAAEAPUAAACJAwAAAAA=&#10;">
                  <v:textbox inset="2.29642mm,1.1481mm,2.29642mm,1.1481mm">
                    <w:txbxContent>
                      <w:p w:rsidR="00306ED2" w:rsidRDefault="00306ED2">
                        <w:pPr>
                          <w:rPr>
                            <w:rFonts w:ascii="Times New Roman" w:hAnsi="Times New Roman"/>
                            <w:sz w:val="16"/>
                            <w:szCs w:val="16"/>
                          </w:rPr>
                        </w:pPr>
                        <w:r>
                          <w:rPr>
                            <w:rFonts w:ascii="Times New Roman" w:hAnsi="Times New Roman"/>
                            <w:sz w:val="16"/>
                            <w:szCs w:val="16"/>
                          </w:rPr>
                          <w:t>Состав семьи</w:t>
                        </w:r>
                      </w:p>
                    </w:txbxContent>
                  </v:textbox>
                </v:rect>
                <v:line id="Прямая соединительная линия 54" o:spid="_x0000_s1051" style="position:absolute;visibility:visible;mso-wrap-style:square" from="28640,11375" to="30698,11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C0S8YAAADbAAAADwAAAGRycy9kb3ducmV2LnhtbESPQWvCQBSE74L/YXlCb7ppq6GkriIt&#10;Be1B1Bba4zP7mkSzb8PumqT/3hUKPQ4z8w0zX/amFi05X1lWcD9JQBDnVldcKPj8eBs/gfABWWNt&#10;mRT8koflYjiYY6Ztx3tqD6EQEcI+QwVlCE0mpc9LMugntiGO3o91BkOUrpDaYRfhppYPSZJKgxXH&#10;hRIbeikpPx8uRsH2cZe2q837uv/apMf8dX/8PnVOqbtRv3oGEagP/+G/9lormE3h9iX+ALm4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JwtEvGAAAA2wAAAA8AAAAAAAAA&#10;AAAAAAAAoQIAAGRycy9kb3ducmV2LnhtbFBLBQYAAAAABAAEAPkAAACUAwAAAAA=&#10;"/>
                <v:rect id="Прямоугольник 55" o:spid="_x0000_s1052" style="position:absolute;left:30706;top:9304;width:9309;height:41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iR98QA&#10;AADbAAAADwAAAGRycy9kb3ducmV2LnhtbESPT2vCQBTE7wW/w/IEb3XTglZjVpGikJZeTHvx9si+&#10;/KHZtzG7mvXbdwuFHoeZ+Q2T7YLpxI0G11pW8DRPQBCXVrdcK/j6PD6uQDiPrLGzTAru5GC3nTxk&#10;mGo78oluha9FhLBLUUHjfZ9K6cqGDLq57YmjV9nBoI9yqKUecIxw08nnJFlKgy3HhQZ7em2o/C6u&#10;RoEPI11e1q56y5fvxxA+Dud8nSg1m4b9BoSn4P/Df+1cK1gs4PdL/AF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4kffEAAAA2wAAAA8AAAAAAAAAAAAAAAAAmAIAAGRycy9k&#10;b3ducmV2LnhtbFBLBQYAAAAABAAEAPUAAACJAwAAAAA=&#10;">
                  <v:textbox inset="2.29642mm,1.1481mm,2.29642mm,1.1481mm">
                    <w:txbxContent>
                      <w:p w:rsidR="00306ED2" w:rsidRDefault="00306ED2">
                        <w:pPr>
                          <w:rPr>
                            <w:rFonts w:ascii="Times New Roman" w:hAnsi="Times New Roman"/>
                            <w:sz w:val="16"/>
                            <w:szCs w:val="16"/>
                          </w:rPr>
                        </w:pPr>
                        <w:r>
                          <w:rPr>
                            <w:rFonts w:ascii="Times New Roman" w:hAnsi="Times New Roman"/>
                            <w:sz w:val="16"/>
                            <w:szCs w:val="16"/>
                          </w:rPr>
                          <w:t>Мотивация покупки</w:t>
                        </w:r>
                      </w:p>
                    </w:txbxContent>
                  </v:textbox>
                </v:rect>
                <v:line id="Прямая соединительная линия 56" o:spid="_x0000_s1053" style="position:absolute;visibility:visible;mso-wrap-style:square" from="28640,17578" to="30691,17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6Pp8YAAADbAAAADwAAAGRycy9kb3ducmV2LnhtbESPT2vCQBTE74V+h+UJvdWNLQ0SXUVa&#10;CupB6h/Q4zP7TGKzb8PumqTfvisUehxm5jfMdN6bWrTkfGVZwWiYgCDOra64UHDYfz6PQfiArLG2&#10;TAp+yMN89vgwxUzbjrfU7kIhIoR9hgrKEJpMSp+XZNAPbUMcvYt1BkOUrpDaYRfhppYvSZJKgxXH&#10;hRIbei8p/97djILN61faLlbrZX9cpef8Y3s+XTun1NOgX0xABOrDf/ivvdQK3lK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3uj6fGAAAA2wAAAA8AAAAAAAAA&#10;AAAAAAAAoQIAAGRycy9kb3ducmV2LnhtbFBLBQYAAAAABAAEAPkAAACUAwAAAAA=&#10;"/>
                <v:rect id="Прямоугольник 57" o:spid="_x0000_s1054" style="position:absolute;left:30706;top:15508;width:9309;height:4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aqG8QA&#10;AADbAAAADwAAAGRycy9kb3ducmV2LnhtbESPT2vCQBTE74V+h+UVeqsbhWqNWaVIhVR6afTi7ZF9&#10;+YPZt2l2a7bf3hWEHoeZ+Q2TbYLpxIUG11pWMJ0kIIhLq1uuFRwPu5c3EM4ja+wsk4I/crBZPz5k&#10;mGo78jddCl+LCGGXooLG+z6V0pUNGXQT2xNHr7KDQR/lUEs94BjhppOzJJlLgy3HhQZ72jZUnotf&#10;o8CHkX4WS1d95vP9LoSvj1O+TJR6fgrvKxCegv8P39u5VvC6gNuX+APk+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SmqhvEAAAA2wAAAA8AAAAAAAAAAAAAAAAAmAIAAGRycy9k&#10;b3ducmV2LnhtbFBLBQYAAAAABAAEAPUAAACJAwAAAAA=&#10;">
                  <v:textbox inset="2.29642mm,1.1481mm,2.29642mm,1.1481mm">
                    <w:txbxContent>
                      <w:p w:rsidR="00306ED2" w:rsidRDefault="00306ED2">
                        <w:pPr>
                          <w:rPr>
                            <w:rFonts w:ascii="Times New Roman" w:hAnsi="Times New Roman"/>
                            <w:sz w:val="16"/>
                            <w:szCs w:val="16"/>
                          </w:rPr>
                        </w:pPr>
                        <w:r>
                          <w:rPr>
                            <w:rFonts w:ascii="Times New Roman" w:hAnsi="Times New Roman"/>
                            <w:sz w:val="16"/>
                            <w:szCs w:val="16"/>
                          </w:rPr>
                          <w:t>Поиск выгоды</w:t>
                        </w:r>
                      </w:p>
                    </w:txbxContent>
                  </v:textbox>
                </v:rect>
                <v:line id="Прямая соединительная линия 58" o:spid="_x0000_s1055" style="position:absolute;visibility:visible;mso-wrap-style:square" from="28640,22750" to="30706,227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z2+TsIAAADbAAAADwAAAGRycy9kb3ducmV2LnhtbERPz2vCMBS+D/wfwhN2m6kbK6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z2+TsIAAADbAAAADwAAAAAAAAAAAAAA&#10;AAChAgAAZHJzL2Rvd25yZXYueG1sUEsFBgAAAAAEAAQA+QAAAJADAAAAAA==&#10;"/>
                <v:rect id="Прямоугольник 59" o:spid="_x0000_s1056" style="position:absolute;left:30706;top:20680;width:9309;height:4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Wb8sQA&#10;AADbAAAADwAAAGRycy9kb3ducmV2LnhtbESPT2vCQBTE7wW/w/KE3upGQWvSrCJFIZZe1F56e2Rf&#10;/tDs2zS7mu23dwuFHoeZ+Q2Tb4PpxI0G11pWMJ8lIIhLq1uuFXxcDk9rEM4ja+wsk4IfcrDdTB5y&#10;zLQd+US3s69FhLDLUEHjfZ9J6cqGDLqZ7YmjV9nBoI9yqKUecIxw08lFkqykwZbjQoM9vTZUfp2v&#10;RoEPI30/p646Fqu3Qwjv+88iTZR6nIbdCwhPwf+H/9qFVrBM4fdL/AFyc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p1m/LEAAAA2wAAAA8AAAAAAAAAAAAAAAAAmAIAAGRycy9k&#10;b3ducmV2LnhtbFBLBQYAAAAABAAEAPUAAACJAwAAAAA=&#10;">
                  <v:textbox inset="2.29642mm,1.1481mm,2.29642mm,1.1481mm">
                    <w:txbxContent>
                      <w:p w:rsidR="00306ED2" w:rsidRDefault="00306ED2">
                        <w:pPr>
                          <w:rPr>
                            <w:rFonts w:ascii="Times New Roman" w:hAnsi="Times New Roman"/>
                            <w:sz w:val="16"/>
                            <w:szCs w:val="16"/>
                          </w:rPr>
                        </w:pPr>
                        <w:r>
                          <w:rPr>
                            <w:rFonts w:ascii="Times New Roman" w:hAnsi="Times New Roman"/>
                            <w:sz w:val="16"/>
                            <w:szCs w:val="16"/>
                          </w:rPr>
                          <w:t>Отношение к товару</w:t>
                        </w:r>
                      </w:p>
                    </w:txbxContent>
                  </v:textbox>
                </v:rect>
                <v:line id="Прямая соединительная линия 60" o:spid="_x0000_s1057" style="position:absolute;visibility:visible;mso-wrap-style:square" from="28640,27922" to="30698,279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yd49cMAAADbAAAADwAAAGRycy9kb3ducmV2LnhtbERPz2vCMBS+D/Y/hDfwNtMpFOmMpWwI&#10;6kGmDrbjs3lruzUvJYlt/e+Xg+Dx4/u9zEfTip6cbywreJkmIIhLqxuuFHye1s8LED4ga2wtk4Ir&#10;echXjw9LzLQd+ED9MVQihrDPUEEdQpdJ6cuaDPqp7Ygj92OdwRChq6R2OMRw08pZkqTSYMOxocaO&#10;3moq/44Xo2A//0j7YrvbjF/b9Fy+H87fv4NTavI0Fq8gAo3hLr65N1pBGtfHL/EH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MnePXDAAAA2wAAAA8AAAAAAAAAAAAA&#10;AAAAoQIAAGRycy9kb3ducmV2LnhtbFBLBQYAAAAABAAEAPkAAACRAwAAAAA=&#10;"/>
                <v:rect id="Прямоугольник 61" o:spid="_x0000_s1058" style="position:absolute;left:30706;top:25851;width:9309;height:41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9dScMA&#10;AADbAAAADwAAAGRycy9kb3ducmV2LnhtbESPQWvCQBSE74L/YXkFb7rRQ1pTVymiEEsvjV68PbLP&#10;JDT7NmZXs/57t1DocZiZb5jVJphW3Kl3jWUF81kCgri0uuFKwem4n76BcB5ZY2uZFDzIwWY9Hq0w&#10;03bgb7oXvhIRwi5DBbX3XSalK2sy6Ga2I47exfYGfZR9JXWPQ4SbVi6SJJUGG44LNXa0ran8KW5G&#10;gQ8DXV+X7nLI0899CF+7c75MlJq8hI93EJ6C/w//tXOtIJ3D75f4A+T6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m9dScMAAADbAAAADwAAAAAAAAAAAAAAAACYAgAAZHJzL2Rv&#10;d25yZXYueG1sUEsFBgAAAAAEAAQA9QAAAIgDAAAAAA==&#10;">
                  <v:textbox inset="2.29642mm,1.1481mm,2.29642mm,1.1481mm">
                    <w:txbxContent>
                      <w:p w:rsidR="00306ED2" w:rsidRDefault="00306ED2">
                        <w:pPr>
                          <w:rPr>
                            <w:rFonts w:ascii="Times New Roman" w:hAnsi="Times New Roman"/>
                            <w:sz w:val="16"/>
                            <w:szCs w:val="16"/>
                          </w:rPr>
                        </w:pPr>
                        <w:r>
                          <w:rPr>
                            <w:rFonts w:ascii="Times New Roman" w:hAnsi="Times New Roman"/>
                            <w:sz w:val="16"/>
                            <w:szCs w:val="16"/>
                          </w:rPr>
                          <w:t>Поиск выгоды</w:t>
                        </w:r>
                      </w:p>
                    </w:txbxContent>
                  </v:textbox>
                </v:rect>
                <v:line id="Прямая соединительная линия 62" o:spid="_x0000_s1059" style="position:absolute;visibility:visible;mso-wrap-style:square" from="28640,32055" to="28640,32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lDGcUAAADbAAAADwAAAGRycy9kb3ducmV2LnhtbESPQWvCQBSE74L/YXlCb7rRQijRVUQp&#10;aA+lWkGPz+wziWbfht1tkv77bqHQ4zAz3zCLVW9q0ZLzlWUF00kCgji3uuJCwenzdfwCwgdkjbVl&#10;UvBNHlbL4WCBmbYdH6g9hkJECPsMFZQhNJmUPi/JoJ/Yhjh6N+sMhihdIbXDLsJNLWdJkkqDFceF&#10;EhvalJQ/jl9GwfvzR9qu92+7/rxPr/n2cL3cO6fU06hfz0EE6sN/+K+90wrSG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LlDGcUAAADbAAAADwAAAAAAAAAA&#10;AAAAAAChAgAAZHJzL2Rvd25yZXYueG1sUEsFBgAAAAAEAAQA+QAAAJMDAAAAAA==&#10;"/>
                <v:line id="Прямая соединительная линия 63" o:spid="_x0000_s1060" style="position:absolute;visibility:visible;mso-wrap-style:square" from="28640,32055" to="28640,32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mgsUAAADbAAAADwAAAGRycy9kb3ducmV2LnhtbESPQWvCQBSE74L/YXlCb7qxQijRVUQp&#10;aA+lWkGPz+wziWbfht1tkv77bqHQ4zAz3zCLVW9q0ZLzlWUF00kCgji3uuJCwenzdfwCwgdkjbVl&#10;UvBNHlbL4WCBmbYdH6g9hkJECPsMFZQhNJmUPi/JoJ/Yhjh6N+sMhihdIbXDLsJNLZ+TJJUGK44L&#10;JTa0KSl/HL+MgvfZR9qu92+7/rxPr/n2cL3cO6fU06hfz0EE6sN/+K+90wrSG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XmgsUAAADbAAAADwAAAAAAAAAA&#10;AAAAAAChAgAAZHJzL2Rvd25yZXYueG1sUEsFBgAAAAAEAAQA+QAAAJMDAAAAAA==&#10;"/>
                <v:line id="Прямая соединительная линия 64" o:spid="_x0000_s1061" style="position:absolute;visibility:visible;mso-wrap-style:square" from="41011,10358" to="43077,103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x+9sYAAADbAAAADwAAAGRycy9kb3ducmV2LnhtbESPT2vCQBTE74V+h+UJvdWNbQkSXUVa&#10;CupB6h/Q4zP7TGKzb8PumqTfvisUehxm5jfMdN6bWrTkfGVZwWiYgCDOra64UHDYfz6PQfiArLG2&#10;TAp+yMN89vgwxUzbjrfU7kIhIoR9hgrKEJpMSp+XZNAPbUMcvYt1BkOUrpDaYRfhppYvSZJKgxXH&#10;hRIbei8p/97djILN61faLlbrZX9cpef8Y3s+XTun1NOgX0xABOrDf/ivvdQK0je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wcfvbGAAAA2wAAAA8AAAAAAAAA&#10;AAAAAAAAoQIAAGRycy9kb3ducmV2LnhtbFBLBQYAAAAABAAEAPkAAACUAwAAAAA=&#10;"/>
                <v:rect id="Прямоугольник 65" o:spid="_x0000_s1062" style="position:absolute;left:43113;top:9304;width:10343;height:3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RbSsQA&#10;AADbAAAADwAAAGRycy9kb3ducmV2LnhtbESPzWrDMBCE74W8g9hAb42cQtzEsRxCacAtveTnktti&#10;bWwTa+VaSqy+fVUo9DjMzDdMvgmmE3caXGtZwXyWgCCurG65VnA67p6WIJxH1thZJgXf5GBTTB5y&#10;zLQdeU/3g69FhLDLUEHjfZ9J6aqGDLqZ7Ymjd7GDQR/lUEs94BjhppPPSZJKgy3HhQZ7em2ouh5u&#10;RoEPI329rNzlvUw/diF8vp3LVaLU4zRs1yA8Bf8f/muXWkG6gN8v8QfI4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UW0rEAAAA2wAAAA8AAAAAAAAAAAAAAAAAmAIAAGRycy9k&#10;b3ducmV2LnhtbFBLBQYAAAAABAAEAPUAAACJAwAAAAA=&#10;">
                  <v:textbox inset="2.29642mm,1.1481mm,2.29642mm,1.1481mm">
                    <w:txbxContent>
                      <w:p w:rsidR="00306ED2" w:rsidRDefault="00306ED2">
                        <w:pPr>
                          <w:rPr>
                            <w:rFonts w:ascii="Times New Roman" w:hAnsi="Times New Roman"/>
                            <w:sz w:val="16"/>
                            <w:szCs w:val="16"/>
                          </w:rPr>
                        </w:pPr>
                        <w:r>
                          <w:rPr>
                            <w:rFonts w:ascii="Times New Roman" w:hAnsi="Times New Roman"/>
                            <w:sz w:val="16"/>
                            <w:szCs w:val="16"/>
                          </w:rPr>
                          <w:t>Образ жизни</w:t>
                        </w:r>
                      </w:p>
                    </w:txbxContent>
                  </v:textbox>
                </v:rect>
                <v:line id="Прямая соединительная линия 66" o:spid="_x0000_s1063" style="position:absolute;visibility:visible;mso-wrap-style:square" from="41048,16547" to="43113,165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JFGsUAAADbAAAADwAAAGRycy9kb3ducmV2LnhtbESPQWsCMRSE7wX/Q3hCbzXbFkJZjSIV&#10;QXso1Rb0+Nw8d1c3L0uS7m7/fVMoeBxm5htmthhsIzryoXas4XGSgSAunKm51PD1uX54AREissHG&#10;MWn4oQCL+ehuhrlxPe+o28dSJAiHHDVUMba5lKGoyGKYuJY4eWfnLcYkfSmNxz7BbSOfskxJizWn&#10;hQpbeq2ouO6/rYb35w/VLbdvm+GwVaditTsdL73X+n48LKcgIg3xFv5vb4wGpeDvS/oBc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4JFGsUAAADbAAAADwAAAAAAAAAA&#10;AAAAAAChAgAAZHJzL2Rvd25yZXYueG1sUEsFBgAAAAAEAAQA+QAAAJMDAAAAAA==&#10;"/>
                <v:rect id="Прямоугольник 67" o:spid="_x0000_s1064" style="position:absolute;left:43113;top:14476;width:10343;height:3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pgpsMA&#10;AADbAAAADwAAAGRycy9kb3ducmV2LnhtbESPQWvCQBSE70L/w/IKvelGD7FGV5GiEIuXxl56e2Sf&#10;STD7Ns1uzfrvu4LgcZiZb5jVJphWXKl3jWUF00kCgri0uuFKwfdpP34H4TyyxtYyKbiRg836ZbTC&#10;TNuBv+ha+EpECLsMFdTed5mUrqzJoJvYjjh6Z9sb9FH2ldQ9DhFuWjlLklQabDgu1NjRR03lpfgz&#10;CnwY6He+cOdDnn7uQzjufvJFotTba9guQXgK/hl+tHOtIJ3D/Uv8AXL9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spgpsMAAADbAAAADwAAAAAAAAAAAAAAAACYAgAAZHJzL2Rv&#10;d25yZXYueG1sUEsFBgAAAAAEAAQA9QAAAIgDAAAAAA==&#10;">
                  <v:textbox inset="2.29642mm,1.1481mm,2.29642mm,1.1481mm">
                    <w:txbxContent>
                      <w:p w:rsidR="00306ED2" w:rsidRDefault="00306ED2">
                        <w:pPr>
                          <w:rPr>
                            <w:rFonts w:ascii="Times New Roman" w:hAnsi="Times New Roman"/>
                            <w:sz w:val="16"/>
                            <w:szCs w:val="16"/>
                          </w:rPr>
                        </w:pPr>
                        <w:r>
                          <w:rPr>
                            <w:rFonts w:ascii="Times New Roman" w:hAnsi="Times New Roman"/>
                            <w:sz w:val="16"/>
                            <w:szCs w:val="16"/>
                          </w:rPr>
                          <w:t>Тип личности</w:t>
                        </w:r>
                      </w:p>
                    </w:txbxContent>
                  </v:textbox>
                </v:rect>
                <v:line id="Прямая соединительная линия 68" o:spid="_x0000_s1065" style="position:absolute;visibility:visible;mso-wrap-style:square" from="41048,21711" to="43113,217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F088MAAADbAAAADwAAAGRycy9kb3ducmV2LnhtbERPz2vCMBS+D/Y/hDfwNtMpFOmMpWwI&#10;6kGmDrbjs3lruzUvJYlt/e+Xg+Dx4/u9zEfTip6cbywreJkmIIhLqxuuFHye1s8LED4ga2wtk4Ir&#10;echXjw9LzLQd+ED9MVQihrDPUEEdQpdJ6cuaDPqp7Ygj92OdwRChq6R2OMRw08pZkqTSYMOxocaO&#10;3moq/44Xo2A//0j7YrvbjF/b9Fy+H87fv4NTavI0Fq8gAo3hLr65N1pBGsfGL/EH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1RdPPDAAAA2wAAAA8AAAAAAAAAAAAA&#10;AAAAoQIAAGRycy9kb3ducmV2LnhtbFBLBQYAAAAABAAEAPkAAACRAwAAAAA=&#10;"/>
                <v:rect id="Прямоугольник 69" o:spid="_x0000_s1066" style="position:absolute;left:43113;top:19648;width:10343;height:41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lRT8MA&#10;AADbAAAADwAAAGRycy9kb3ducmV2LnhtbESPQWvCQBSE74X+h+UVequb9hCb6CpSFFLxUvXi7ZF9&#10;JsHs25jdmvXfu4LgcZiZb5jpPJhWXKh3jWUFn6MEBHFpdcOVgv1u9fENwnlkja1lUnAlB/PZ68sU&#10;c20H/qPL1lciQtjlqKD2vsuldGVNBt3IdsTRO9reoI+yr6TucYhw08qvJEmlwYbjQo0d/dRUnrb/&#10;RoEPA53HmTv+Ful6FcJmeSiyRKn3t7CYgPAU/DP8aBdaQZrB/Uv8AXJ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BlRT8MAAADbAAAADwAAAAAAAAAAAAAAAACYAgAAZHJzL2Rv&#10;d25yZXYueG1sUEsFBgAAAAAEAAQA9QAAAIgDAAAAAA==&#10;">
                  <v:textbox inset="2.29642mm,1.1481mm,2.29642mm,1.1481mm">
                    <w:txbxContent>
                      <w:p w:rsidR="00306ED2" w:rsidRDefault="00306ED2">
                        <w:pPr>
                          <w:rPr>
                            <w:rFonts w:ascii="Times New Roman" w:hAnsi="Times New Roman"/>
                            <w:sz w:val="16"/>
                            <w:szCs w:val="16"/>
                          </w:rPr>
                        </w:pPr>
                        <w:r>
                          <w:rPr>
                            <w:rFonts w:ascii="Times New Roman" w:hAnsi="Times New Roman"/>
                            <w:sz w:val="16"/>
                            <w:szCs w:val="16"/>
                          </w:rPr>
                          <w:t>Социальный уровень</w:t>
                        </w:r>
                      </w:p>
                    </w:txbxContent>
                  </v:textbox>
                </v:rect>
                <v:rect id="Прямоугольник 70" o:spid="_x0000_s1067" style="position:absolute;left:719;top:2224;width:12408;height:31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puD8AA&#10;AADbAAAADwAAAGRycy9kb3ducmV2LnhtbERPu27CMBTdkfgH6yKxgQMDjxSDKgRSQCykXbpdxZck&#10;anwdYkPcv68HJMaj897sgmnEkzpXW1YwmyYgiAuray4VfH8dJysQziNrbCyTgj9ysNsOBxtMte35&#10;Ss/clyKGsEtRQeV9m0rpiooMuqltiSN3s51BH2FXSt1hH8NNI+dJspAGa44NFba0r6j4zR9GgQ89&#10;3Zdrdztli/MxhMvhJ1snSo1H4fMDhKfg3+KXO9MKlnF9/BJ/gN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PpuD8AAAADbAAAADwAAAAAAAAAAAAAAAACYAgAAZHJzL2Rvd25y&#10;ZXYueG1sUEsFBgAAAAAEAAQA9QAAAIUDAAAAAA==&#10;">
                  <v:textbox inset="2.29642mm,1.1481mm,2.29642mm,1.1481mm">
                    <w:txbxContent>
                      <w:p w:rsidR="00306ED2" w:rsidRDefault="00306ED2">
                        <w:pPr>
                          <w:jc w:val="center"/>
                          <w:rPr>
                            <w:rFonts w:ascii="Times New Roman" w:hAnsi="Times New Roman"/>
                            <w:sz w:val="16"/>
                            <w:szCs w:val="16"/>
                          </w:rPr>
                        </w:pPr>
                        <w:r>
                          <w:rPr>
                            <w:rFonts w:ascii="Times New Roman" w:hAnsi="Times New Roman"/>
                            <w:sz w:val="16"/>
                            <w:szCs w:val="16"/>
                          </w:rPr>
                          <w:t>Географический</w:t>
                        </w:r>
                      </w:p>
                    </w:txbxContent>
                  </v:textbox>
                </v:rect>
                <v:line id="Прямая соединительная линия 71" o:spid="_x0000_s1068" style="position:absolute;visibility:visible;mso-wrap-style:square" from="719,5325" to="719,284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jFA8UAAADbAAAADwAAAGRycy9kb3ducmV2LnhtbESPzWrDMBCE74G8g9hCb4nsQGPjRgkm&#10;EGibU/NDr4u1td1aKyOpjtunjwqBHIeZ+YZZbUbTiYGcby0rSOcJCOLK6pZrBafjbpaD8AFZY2eZ&#10;FPySh816Ollhoe2F32k4hFpECPsCFTQh9IWUvmrIoJ/bnjh6n9YZDFG6WmqHlwg3nVwkyVIabDku&#10;NNjTtqHq+/BjFOTV25crs/I1fTr32d+w2C93H5lSjw9j+Qwi0Bju4Vv7RSvIUvj/En+AX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NjFA8UAAADbAAAADwAAAAAAAAAA&#10;AAAAAAChAgAAZHJzL2Rvd25yZXYueG1sUEsFBgAAAAAEAAQA+QAAAJMDAAAAAA==&#10;" strokecolor="black [3213]"/>
                <v:line id="Прямая соединительная линия 72" o:spid="_x0000_s1069" style="position:absolute;flip:x;visibility:visible;mso-wrap-style:square" from="719,11382" to="2785,11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315hcQAAADbAAAADwAAAGRycy9kb3ducmV2LnhtbESP3WoCMRSE7wt9h3AK3mm2YrVdjaKC&#10;IL0Rfx7gsDlulm5O1iTquk/fFIReDjPzDTNbtLYWN/KhcqzgfZCBIC6crrhUcDpu+p8gQkTWWDsm&#10;BQ8KsJi/vsww1+7Oe7odYikShEOOCkyMTS5lKAxZDAPXECfv7LzFmKQvpfZ4T3Bby2GWjaXFitOC&#10;wYbWhoqfw9UqqLt46r5Wa9Nll9FD73Zj5z++leq9tcspiEht/A8/21utYDKEvy/pB8j5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fXmFxAAAANsAAAAPAAAAAAAAAAAA&#10;AAAAAKECAABkcnMvZG93bnJldi54bWxQSwUGAAAAAAQABAD5AAAAkgMAAAAA&#10;" strokecolor="black [3213]"/>
                <v:line id="Прямая соединительная линия 73" o:spid="_x0000_s1070" style="position:absolute;flip:x y;visibility:visible;mso-wrap-style:square" from="719,17145" to="2785,17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fLJwsQAAADbAAAADwAAAGRycy9kb3ducmV2LnhtbESP3WrCQBSE7wXfYTlC73TTFq2mboIV&#10;FKFFqD/3h+xpkpo9G7Kr2b59tyD0cpiZb5hlHkwjbtS52rKCx0kCgriwuuZSwem4Gc9BOI+ssbFM&#10;Cn7IQZ4NB0tMte35k24HX4oIYZeigsr7NpXSFRUZdBPbEkfvy3YGfZRdKXWHfYSbRj4lyUwarDku&#10;VNjSuqLicrgaBbv3sJjzev/9gefeNvvpW6K3QamHUVi9gvAU/H/43t5pBS/P8Pcl/gCZ/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8snCxAAAANsAAAAPAAAAAAAAAAAA&#10;AAAAAKECAABkcnMvZG93bnJldi54bWxQSwUGAAAAAAQABAD5AAAAkgMAAAAA&#10;" strokecolor="black [3213]"/>
                <v:line id="Прямая соединительная линия 74" o:spid="_x0000_s1071" style="position:absolute;flip:x;visibility:visible;mso-wrap-style:square" from="719,22316" to="2785,22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9hEasMAAADbAAAADwAAAGRycy9kb3ducmV2LnhtbESP0WoCMRRE3wv9h3ALvmlWsVZXo1Sh&#10;UHwRrR9w2Vw3i5ubbRJ13a9vBKGPw8ycYRar1tbiSj5UjhUMBxkI4sLpiksFx5+v/hREiMgaa8ek&#10;4E4BVsvXlwXm2t14T9dDLEWCcMhRgYmxyaUMhSGLYeAa4uSdnLcYk/Sl1B5vCW5rOcqyibRYcVow&#10;2NDGUHE+XKyCuovHbrbemC77Hd/1bjdx/n2rVO+t/ZyDiNTG//Cz/a0VfIzh8SX9ALn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YRGrDAAAA2wAAAA8AAAAAAAAAAAAA&#10;AAAAoQIAAGRycy9kb3ducmV2LnhtbFBLBQYAAAAABAAEAPkAAACRAwAAAAA=&#10;" strokecolor="black [3213]"/>
                <v:line id="Прямая соединительная линия 75" o:spid="_x0000_s1072" style="position:absolute;flip:x;visibility:visible;mso-wrap-style:square" from="719,28486" to="2785,284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Th8cMAAADbAAAADwAAAGRycy9kb3ducmV2LnhtbESP0WoCMRRE3wv9h3ALvmnWolZXo7SC&#10;UHwRrR9w2Vw3i5ubbRJ13a9vBKGPw8ycYRar1tbiSj5UjhUMBxkI4sLpiksFx59NfwoiRGSNtWNS&#10;cKcAq+XrywJz7W68p+shliJBOOSowMTY5FKGwpDFMHANcfJOzluMSfpSao+3BLe1fM+yibRYcVow&#10;2NDaUHE+XKyCuovHbva1Nl32O7rr3W7i/HirVO+t/ZyDiNTG//Cz/a0VfIzh8SX9ALn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CU4fHDAAAA2wAAAA8AAAAAAAAAAAAA&#10;AAAAoQIAAGRycy9kb3ducmV2LnhtbFBLBQYAAAAABAAEAPkAAACRAwAAAAA=&#10;" strokecolor="black [3213]"/>
                <w10:anchorlock/>
              </v:group>
            </w:pict>
          </mc:Fallback>
        </mc:AlternateContent>
      </w:r>
    </w:p>
    <w:p w:rsidR="00517711" w:rsidRDefault="00F815BE">
      <w:pPr>
        <w:spacing w:after="0" w:line="240" w:lineRule="auto"/>
        <w:ind w:firstLine="397"/>
        <w:jc w:val="center"/>
        <w:rPr>
          <w:rFonts w:ascii="Times New Roman" w:hAnsi="Times New Roman" w:cs="Times New Roman"/>
          <w:sz w:val="20"/>
          <w:szCs w:val="20"/>
          <w:lang w:eastAsia="ru-RU"/>
        </w:rPr>
      </w:pPr>
      <w:r>
        <w:rPr>
          <w:rFonts w:ascii="Times New Roman" w:hAnsi="Times New Roman" w:cs="Times New Roman"/>
          <w:sz w:val="20"/>
          <w:szCs w:val="20"/>
          <w:lang w:eastAsia="ru-RU"/>
        </w:rPr>
        <w:t>Рис. 1. Признаки сегментирования потребительских рынков</w:t>
      </w:r>
    </w:p>
    <w:p w:rsidR="00517711" w:rsidRDefault="00F815BE">
      <w:pPr>
        <w:pStyle w:val="af6"/>
        <w:spacing w:before="0" w:beforeAutospacing="0" w:after="0" w:afterAutospacing="0"/>
        <w:contextualSpacing/>
        <w:rPr>
          <w:sz w:val="20"/>
        </w:rPr>
      </w:pPr>
      <w:r>
        <w:t xml:space="preserve">                    </w:t>
      </w:r>
    </w:p>
    <w:p w:rsidR="00517711" w:rsidRDefault="00F815BE">
      <w:pPr>
        <w:pStyle w:val="af6"/>
        <w:spacing w:before="0" w:beforeAutospacing="0" w:after="0" w:afterAutospacing="0"/>
        <w:contextualSpacing/>
        <w:rPr>
          <w:sz w:val="20"/>
        </w:rPr>
      </w:pPr>
      <w:r>
        <w:rPr>
          <w:sz w:val="20"/>
        </w:rPr>
        <w:t xml:space="preserve"> Источник: Составлено автором по [1, 2]</w:t>
      </w:r>
    </w:p>
    <w:p w:rsidR="00517711" w:rsidRDefault="00517711">
      <w:pPr>
        <w:shd w:val="clear" w:color="auto" w:fill="FFFFFF"/>
        <w:spacing w:after="0" w:line="240" w:lineRule="auto"/>
        <w:ind w:firstLine="709"/>
        <w:contextualSpacing/>
        <w:jc w:val="both"/>
        <w:rPr>
          <w:rFonts w:ascii="Times New Roman" w:hAnsi="Times New Roman"/>
          <w:sz w:val="20"/>
          <w:szCs w:val="24"/>
        </w:rPr>
      </w:pPr>
    </w:p>
    <w:p w:rsidR="00517711" w:rsidRDefault="00F815BE">
      <w:pPr>
        <w:shd w:val="clear" w:color="auto" w:fill="FFFFFF"/>
        <w:spacing w:after="0" w:line="240" w:lineRule="auto"/>
        <w:ind w:firstLine="709"/>
        <w:contextualSpacing/>
        <w:jc w:val="both"/>
        <w:rPr>
          <w:rFonts w:ascii="Times New Roman" w:hAnsi="Times New Roman"/>
          <w:sz w:val="20"/>
          <w:szCs w:val="24"/>
        </w:rPr>
      </w:pPr>
      <w:r>
        <w:rPr>
          <w:rFonts w:ascii="Times New Roman" w:hAnsi="Times New Roman"/>
          <w:sz w:val="20"/>
          <w:szCs w:val="24"/>
        </w:rPr>
        <w:t xml:space="preserve">Не обязательно сегментировать рынок по всем возможным показателям, главное – получить качественную информацию по наиболее характерным из них. Часто достаточно 2-х–3-х показателей, чтобы иметь представление о рынке, особенно на начальных стадиях сегментирования [3, с. 197]. Технология проведения сегментирования требует следующей последовательности процедур: </w:t>
      </w:r>
    </w:p>
    <w:p w:rsidR="00517711" w:rsidRDefault="00F815BE">
      <w:pPr>
        <w:shd w:val="clear" w:color="auto" w:fill="FFFFFF"/>
        <w:spacing w:after="0" w:line="240" w:lineRule="auto"/>
        <w:ind w:firstLine="709"/>
        <w:contextualSpacing/>
        <w:jc w:val="both"/>
        <w:rPr>
          <w:rFonts w:ascii="Times New Roman" w:hAnsi="Times New Roman"/>
          <w:sz w:val="20"/>
          <w:szCs w:val="24"/>
        </w:rPr>
      </w:pPr>
      <w:r>
        <w:rPr>
          <w:rFonts w:ascii="Times New Roman" w:hAnsi="Times New Roman"/>
          <w:sz w:val="20"/>
          <w:szCs w:val="24"/>
        </w:rPr>
        <w:t>– формулировка потребностей потребителей, на удовлетворение которых может быть направлена деятельность предприятия;</w:t>
      </w:r>
    </w:p>
    <w:p w:rsidR="00517711" w:rsidRDefault="00F815BE">
      <w:pPr>
        <w:shd w:val="clear" w:color="auto" w:fill="FFFFFF"/>
        <w:spacing w:after="0" w:line="240" w:lineRule="auto"/>
        <w:ind w:firstLine="709"/>
        <w:contextualSpacing/>
        <w:jc w:val="both"/>
        <w:rPr>
          <w:rFonts w:ascii="Times New Roman" w:hAnsi="Times New Roman"/>
          <w:sz w:val="20"/>
          <w:szCs w:val="24"/>
        </w:rPr>
      </w:pPr>
      <w:r>
        <w:rPr>
          <w:rFonts w:ascii="Times New Roman" w:hAnsi="Times New Roman"/>
          <w:sz w:val="20"/>
          <w:szCs w:val="24"/>
        </w:rPr>
        <w:t>– выявление и формализация особенностей потребителей, проявляющихся в специфическом спросе или поведении;</w:t>
      </w:r>
    </w:p>
    <w:p w:rsidR="00517711" w:rsidRDefault="00F815BE">
      <w:pPr>
        <w:shd w:val="clear" w:color="auto" w:fill="FFFFFF"/>
        <w:spacing w:after="0" w:line="240" w:lineRule="auto"/>
        <w:ind w:firstLine="709"/>
        <w:contextualSpacing/>
        <w:jc w:val="both"/>
        <w:rPr>
          <w:rFonts w:ascii="Times New Roman" w:hAnsi="Times New Roman"/>
          <w:sz w:val="20"/>
          <w:szCs w:val="24"/>
        </w:rPr>
      </w:pPr>
      <w:r>
        <w:rPr>
          <w:rFonts w:ascii="Times New Roman" w:hAnsi="Times New Roman"/>
          <w:sz w:val="20"/>
          <w:szCs w:val="24"/>
        </w:rPr>
        <w:t>– выбор метода сегментирования: метод последовательных группировок или методов многомерной классификации;</w:t>
      </w:r>
    </w:p>
    <w:p w:rsidR="00517711" w:rsidRDefault="00F815BE">
      <w:pPr>
        <w:shd w:val="clear" w:color="auto" w:fill="FFFFFF"/>
        <w:spacing w:after="0" w:line="240" w:lineRule="auto"/>
        <w:ind w:firstLine="709"/>
        <w:contextualSpacing/>
        <w:jc w:val="both"/>
        <w:rPr>
          <w:rFonts w:ascii="Times New Roman" w:hAnsi="Times New Roman"/>
          <w:sz w:val="20"/>
          <w:szCs w:val="24"/>
        </w:rPr>
      </w:pPr>
      <w:r>
        <w:rPr>
          <w:rFonts w:ascii="Times New Roman" w:hAnsi="Times New Roman"/>
          <w:sz w:val="20"/>
          <w:szCs w:val="24"/>
        </w:rPr>
        <w:t>– деление потребителей на сегменты;</w:t>
      </w:r>
    </w:p>
    <w:p w:rsidR="00517711" w:rsidRDefault="00F815BE">
      <w:pPr>
        <w:shd w:val="clear" w:color="auto" w:fill="FFFFFF"/>
        <w:spacing w:after="0" w:line="240" w:lineRule="auto"/>
        <w:ind w:firstLine="709"/>
        <w:contextualSpacing/>
        <w:jc w:val="both"/>
        <w:rPr>
          <w:rFonts w:ascii="Times New Roman" w:hAnsi="Times New Roman"/>
          <w:sz w:val="20"/>
          <w:szCs w:val="24"/>
        </w:rPr>
      </w:pPr>
      <w:r>
        <w:rPr>
          <w:rFonts w:ascii="Times New Roman" w:hAnsi="Times New Roman"/>
          <w:sz w:val="20"/>
          <w:szCs w:val="24"/>
        </w:rPr>
        <w:t>– составление профиля сегмента – совокупность специфических параметров продукта, которые привлекательны для данного сегмента, стимулов маркетинга, на которые реагирует потребитель;</w:t>
      </w:r>
    </w:p>
    <w:p w:rsidR="00517711" w:rsidRDefault="00F815BE">
      <w:pPr>
        <w:shd w:val="clear" w:color="auto" w:fill="FFFFFF"/>
        <w:spacing w:after="0" w:line="240" w:lineRule="auto"/>
        <w:ind w:firstLine="709"/>
        <w:contextualSpacing/>
        <w:jc w:val="both"/>
        <w:rPr>
          <w:rFonts w:ascii="Times New Roman" w:hAnsi="Times New Roman"/>
          <w:sz w:val="20"/>
          <w:szCs w:val="24"/>
        </w:rPr>
      </w:pPr>
      <w:r>
        <w:rPr>
          <w:rFonts w:ascii="Times New Roman" w:hAnsi="Times New Roman"/>
          <w:sz w:val="20"/>
          <w:szCs w:val="24"/>
        </w:rPr>
        <w:t>– оценка привлекательности сегмента.</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Таким образом, вывод таков, что основным решением при сегментировании является выбор критериев – показателей способа выделения сегмента на рынке.</w:t>
      </w:r>
    </w:p>
    <w:p w:rsidR="00517711" w:rsidRDefault="00F815BE">
      <w:pPr>
        <w:tabs>
          <w:tab w:val="left" w:pos="0"/>
        </w:tabs>
        <w:spacing w:after="0" w:line="240" w:lineRule="auto"/>
        <w:ind w:firstLine="709"/>
        <w:jc w:val="both"/>
        <w:rPr>
          <w:rFonts w:ascii="Times New Roman" w:hAnsi="Times New Roman"/>
          <w:sz w:val="20"/>
          <w:szCs w:val="24"/>
        </w:rPr>
      </w:pPr>
      <w:r>
        <w:rPr>
          <w:rFonts w:ascii="Times New Roman" w:hAnsi="Times New Roman"/>
          <w:sz w:val="20"/>
          <w:szCs w:val="24"/>
        </w:rPr>
        <w:t xml:space="preserve"> Выделим следующие критерии, влияющие на поведение потребителей услуг общественного питания </w:t>
      </w:r>
      <w:r>
        <w:rPr>
          <w:rFonts w:ascii="Symbol" w:eastAsia="Symbol" w:hAnsi="Symbol" w:cs="Symbol"/>
          <w:sz w:val="20"/>
          <w:szCs w:val="24"/>
        </w:rPr>
        <w:t></w:t>
      </w:r>
      <w:r>
        <w:rPr>
          <w:rFonts w:ascii="Times New Roman" w:hAnsi="Times New Roman"/>
          <w:sz w:val="20"/>
          <w:szCs w:val="24"/>
        </w:rPr>
        <w:t>4, с. 205</w:t>
      </w:r>
      <w:r>
        <w:rPr>
          <w:rFonts w:ascii="Symbol" w:eastAsia="Symbol" w:hAnsi="Symbol" w:cs="Symbol"/>
          <w:sz w:val="20"/>
          <w:szCs w:val="24"/>
        </w:rPr>
        <w:t></w:t>
      </w:r>
      <w:r>
        <w:rPr>
          <w:rFonts w:ascii="Times New Roman" w:hAnsi="Times New Roman"/>
          <w:sz w:val="20"/>
          <w:szCs w:val="24"/>
        </w:rPr>
        <w:t>:</w:t>
      </w:r>
    </w:p>
    <w:p w:rsidR="00517711" w:rsidRDefault="00F815BE">
      <w:pPr>
        <w:tabs>
          <w:tab w:val="left" w:pos="993"/>
        </w:tabs>
        <w:spacing w:after="0" w:line="240" w:lineRule="auto"/>
        <w:ind w:left="709"/>
        <w:jc w:val="both"/>
        <w:rPr>
          <w:rFonts w:ascii="Times New Roman" w:hAnsi="Times New Roman"/>
          <w:sz w:val="20"/>
          <w:szCs w:val="24"/>
        </w:rPr>
      </w:pPr>
      <w:r>
        <w:rPr>
          <w:rFonts w:ascii="Times New Roman" w:hAnsi="Times New Roman"/>
          <w:sz w:val="20"/>
          <w:szCs w:val="24"/>
        </w:rPr>
        <w:t>– демографические переменные потребителя;</w:t>
      </w:r>
    </w:p>
    <w:p w:rsidR="00517711" w:rsidRDefault="00F815BE">
      <w:pPr>
        <w:tabs>
          <w:tab w:val="left" w:pos="993"/>
        </w:tabs>
        <w:spacing w:after="0" w:line="240" w:lineRule="auto"/>
        <w:ind w:left="709"/>
        <w:jc w:val="both"/>
        <w:rPr>
          <w:rFonts w:ascii="Times New Roman" w:hAnsi="Times New Roman"/>
          <w:sz w:val="20"/>
          <w:szCs w:val="24"/>
        </w:rPr>
      </w:pPr>
      <w:r>
        <w:rPr>
          <w:rFonts w:ascii="Times New Roman" w:hAnsi="Times New Roman"/>
          <w:sz w:val="20"/>
          <w:szCs w:val="24"/>
        </w:rPr>
        <w:t>– финансовое положение потребителя;</w:t>
      </w:r>
    </w:p>
    <w:p w:rsidR="00517711" w:rsidRDefault="00F815BE">
      <w:pPr>
        <w:tabs>
          <w:tab w:val="left" w:pos="993"/>
        </w:tabs>
        <w:spacing w:after="0" w:line="240" w:lineRule="auto"/>
        <w:ind w:left="709"/>
        <w:jc w:val="both"/>
        <w:rPr>
          <w:rFonts w:ascii="Times New Roman" w:hAnsi="Times New Roman"/>
          <w:sz w:val="20"/>
          <w:szCs w:val="24"/>
        </w:rPr>
      </w:pPr>
      <w:r>
        <w:rPr>
          <w:rFonts w:ascii="Times New Roman" w:hAnsi="Times New Roman"/>
          <w:sz w:val="20"/>
          <w:szCs w:val="24"/>
        </w:rPr>
        <w:t>– способы получения и восприятия информации.</w:t>
      </w:r>
    </w:p>
    <w:p w:rsidR="00517711" w:rsidRDefault="00F815BE">
      <w:pPr>
        <w:tabs>
          <w:tab w:val="left" w:pos="993"/>
        </w:tabs>
        <w:spacing w:after="0" w:line="240" w:lineRule="auto"/>
        <w:ind w:firstLine="709"/>
        <w:jc w:val="both"/>
        <w:rPr>
          <w:rFonts w:ascii="Times New Roman" w:hAnsi="Times New Roman"/>
          <w:sz w:val="20"/>
          <w:szCs w:val="24"/>
        </w:rPr>
      </w:pPr>
      <w:r>
        <w:rPr>
          <w:rFonts w:ascii="Times New Roman" w:hAnsi="Times New Roman"/>
          <w:sz w:val="20"/>
          <w:szCs w:val="24"/>
        </w:rPr>
        <w:t>Дадим краткую характеристику предприятиям общественного питания в г. Владивосток. Сеть предприятий общественного питания г. Владивостока представлена в основном ресторанами, кафе, барами и закусочными (рисунок 3).</w:t>
      </w:r>
    </w:p>
    <w:p w:rsidR="00517711" w:rsidRDefault="00F815BE">
      <w:pPr>
        <w:tabs>
          <w:tab w:val="left" w:pos="993"/>
        </w:tabs>
        <w:spacing w:after="0" w:line="240" w:lineRule="auto"/>
        <w:ind w:firstLine="709"/>
        <w:jc w:val="center"/>
        <w:rPr>
          <w:rFonts w:ascii="Times New Roman" w:hAnsi="Times New Roman"/>
          <w:sz w:val="24"/>
          <w:szCs w:val="24"/>
        </w:rPr>
      </w:pPr>
      <w:r>
        <w:rPr>
          <w:rFonts w:ascii="Times New Roman" w:hAnsi="Times New Roman"/>
          <w:noProof/>
          <w:sz w:val="24"/>
          <w:szCs w:val="24"/>
          <w:lang w:eastAsia="ru-RU"/>
        </w:rPr>
        <w:lastRenderedPageBreak/>
        <w:drawing>
          <wp:inline distT="0" distB="0" distL="0" distR="0">
            <wp:extent cx="4214493" cy="2011680"/>
            <wp:effectExtent l="0" t="0" r="0" b="0"/>
            <wp:docPr id="32"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47"/>
                    <pic:cNvPicPr>
                      <a:picLocks noChangeAspect="1"/>
                    </pic:cNvPicPr>
                  </pic:nvPicPr>
                  <pic:blipFill>
                    <a:blip r:embed="rId61"/>
                    <a:stretch/>
                  </pic:blipFill>
                  <pic:spPr bwMode="auto">
                    <a:xfrm>
                      <a:off x="0" y="0"/>
                      <a:ext cx="4214495" cy="2011680"/>
                    </a:xfrm>
                    <a:prstGeom prst="rect">
                      <a:avLst/>
                    </a:prstGeom>
                    <a:noFill/>
                    <a:ln>
                      <a:noFill/>
                    </a:ln>
                  </pic:spPr>
                </pic:pic>
              </a:graphicData>
            </a:graphic>
          </wp:inline>
        </w:drawing>
      </w:r>
    </w:p>
    <w:p w:rsidR="00517711" w:rsidRDefault="00F815BE">
      <w:pPr>
        <w:tabs>
          <w:tab w:val="left" w:pos="993"/>
        </w:tabs>
        <w:spacing w:after="0" w:line="240" w:lineRule="auto"/>
        <w:ind w:firstLine="709"/>
        <w:jc w:val="center"/>
        <w:rPr>
          <w:rFonts w:ascii="Times New Roman" w:hAnsi="Times New Roman"/>
          <w:sz w:val="20"/>
          <w:szCs w:val="24"/>
        </w:rPr>
      </w:pPr>
      <w:r>
        <w:rPr>
          <w:rFonts w:ascii="Times New Roman" w:hAnsi="Times New Roman"/>
          <w:sz w:val="20"/>
          <w:szCs w:val="24"/>
        </w:rPr>
        <w:t>Рис. 3 Структура сети предприятий общественного питания</w:t>
      </w:r>
    </w:p>
    <w:p w:rsidR="00517711" w:rsidRDefault="00F815BE">
      <w:pPr>
        <w:tabs>
          <w:tab w:val="left" w:pos="993"/>
        </w:tabs>
        <w:spacing w:after="0" w:line="240" w:lineRule="auto"/>
        <w:ind w:firstLine="709"/>
        <w:jc w:val="center"/>
        <w:rPr>
          <w:rFonts w:ascii="Times New Roman" w:hAnsi="Times New Roman"/>
          <w:sz w:val="20"/>
          <w:szCs w:val="24"/>
        </w:rPr>
      </w:pPr>
      <w:r>
        <w:rPr>
          <w:rFonts w:ascii="Times New Roman" w:hAnsi="Times New Roman"/>
          <w:sz w:val="20"/>
          <w:szCs w:val="24"/>
        </w:rPr>
        <w:t>в г. Владивостоке, 2017 г.</w:t>
      </w:r>
    </w:p>
    <w:p w:rsidR="00517711" w:rsidRDefault="00517711">
      <w:pPr>
        <w:tabs>
          <w:tab w:val="left" w:pos="993"/>
        </w:tabs>
        <w:spacing w:after="0" w:line="240" w:lineRule="auto"/>
        <w:ind w:firstLine="709"/>
        <w:jc w:val="both"/>
        <w:rPr>
          <w:rFonts w:ascii="Times New Roman" w:hAnsi="Times New Roman"/>
          <w:sz w:val="20"/>
          <w:szCs w:val="24"/>
        </w:rPr>
      </w:pPr>
    </w:p>
    <w:p w:rsidR="00517711" w:rsidRDefault="00F815BE">
      <w:pPr>
        <w:tabs>
          <w:tab w:val="left" w:pos="993"/>
        </w:tabs>
        <w:spacing w:after="0" w:line="240" w:lineRule="auto"/>
        <w:ind w:firstLine="709"/>
        <w:jc w:val="both"/>
        <w:rPr>
          <w:rFonts w:ascii="Times New Roman" w:hAnsi="Times New Roman"/>
          <w:sz w:val="20"/>
          <w:szCs w:val="24"/>
        </w:rPr>
      </w:pPr>
      <w:r>
        <w:rPr>
          <w:rFonts w:ascii="Times New Roman" w:hAnsi="Times New Roman"/>
          <w:sz w:val="20"/>
          <w:szCs w:val="24"/>
        </w:rPr>
        <w:t>Источник: Составлено автором по [8]</w:t>
      </w:r>
    </w:p>
    <w:p w:rsidR="00517711" w:rsidRDefault="00517711">
      <w:pPr>
        <w:tabs>
          <w:tab w:val="left" w:pos="993"/>
        </w:tabs>
        <w:spacing w:after="0" w:line="240" w:lineRule="auto"/>
        <w:ind w:firstLine="709"/>
        <w:jc w:val="both"/>
        <w:rPr>
          <w:rFonts w:ascii="Times New Roman" w:hAnsi="Times New Roman"/>
          <w:sz w:val="20"/>
          <w:szCs w:val="24"/>
        </w:rPr>
      </w:pPr>
    </w:p>
    <w:p w:rsidR="00517711" w:rsidRDefault="00F815BE">
      <w:pPr>
        <w:tabs>
          <w:tab w:val="left" w:pos="993"/>
        </w:tabs>
        <w:spacing w:after="0" w:line="240" w:lineRule="auto"/>
        <w:ind w:firstLine="709"/>
        <w:jc w:val="both"/>
        <w:rPr>
          <w:rFonts w:ascii="Times New Roman" w:hAnsi="Times New Roman"/>
          <w:sz w:val="20"/>
          <w:szCs w:val="24"/>
        </w:rPr>
      </w:pPr>
      <w:r>
        <w:rPr>
          <w:rFonts w:ascii="Times New Roman" w:hAnsi="Times New Roman"/>
          <w:sz w:val="20"/>
          <w:szCs w:val="24"/>
        </w:rPr>
        <w:t xml:space="preserve">В период с 2012-2016 годы наблюдался рост числа предприятий общественного питания на 6% (рисунок 4). </w:t>
      </w:r>
    </w:p>
    <w:p w:rsidR="00517711" w:rsidRDefault="00F815BE">
      <w:pPr>
        <w:spacing w:after="0" w:line="240" w:lineRule="auto"/>
        <w:jc w:val="both"/>
        <w:rPr>
          <w:rFonts w:ascii="Times New Roman" w:hAnsi="Times New Roman"/>
          <w:sz w:val="24"/>
          <w:szCs w:val="24"/>
        </w:rPr>
      </w:pPr>
      <w:r>
        <w:rPr>
          <w:noProof/>
          <w:lang w:eastAsia="ru-RU"/>
        </w:rPr>
        <w:drawing>
          <wp:inline distT="0" distB="0" distL="0" distR="0">
            <wp:extent cx="6154418" cy="1487169"/>
            <wp:effectExtent l="0" t="0" r="0" b="0"/>
            <wp:docPr id="33" name="Диаграмма 6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rsidR="00517711" w:rsidRDefault="00F815BE">
      <w:pPr>
        <w:spacing w:after="120" w:line="240" w:lineRule="auto"/>
        <w:jc w:val="center"/>
        <w:rPr>
          <w:rFonts w:ascii="Times New Roman" w:hAnsi="Times New Roman"/>
          <w:sz w:val="20"/>
          <w:szCs w:val="24"/>
        </w:rPr>
      </w:pPr>
      <w:r>
        <w:rPr>
          <w:rFonts w:ascii="Times New Roman" w:hAnsi="Times New Roman"/>
          <w:sz w:val="20"/>
          <w:szCs w:val="24"/>
        </w:rPr>
        <w:t>Рис. 4. Динамика роста количества предприятий питания г. Владивосток, шт.</w:t>
      </w:r>
    </w:p>
    <w:p w:rsidR="00517711" w:rsidRDefault="00517711">
      <w:pPr>
        <w:spacing w:after="0" w:line="240" w:lineRule="auto"/>
        <w:jc w:val="center"/>
        <w:rPr>
          <w:rFonts w:ascii="Times New Roman" w:hAnsi="Times New Roman"/>
          <w:sz w:val="20"/>
          <w:szCs w:val="24"/>
        </w:rPr>
      </w:pPr>
    </w:p>
    <w:p w:rsidR="00517711" w:rsidRDefault="00F815BE">
      <w:pPr>
        <w:pStyle w:val="af4"/>
        <w:spacing w:after="120" w:line="240" w:lineRule="auto"/>
        <w:ind w:left="0" w:firstLine="709"/>
        <w:rPr>
          <w:rFonts w:ascii="Times New Roman" w:hAnsi="Times New Roman"/>
          <w:sz w:val="20"/>
          <w:szCs w:val="24"/>
        </w:rPr>
      </w:pPr>
      <w:r>
        <w:rPr>
          <w:rFonts w:ascii="Times New Roman" w:hAnsi="Times New Roman"/>
          <w:sz w:val="20"/>
          <w:szCs w:val="24"/>
        </w:rPr>
        <w:t>Источник: Составлено автором по [6, 7, 8]</w:t>
      </w:r>
    </w:p>
    <w:p w:rsidR="00517711" w:rsidRDefault="00517711">
      <w:pPr>
        <w:pStyle w:val="af4"/>
        <w:spacing w:after="120" w:line="240" w:lineRule="auto"/>
        <w:ind w:left="0" w:firstLine="709"/>
        <w:rPr>
          <w:rFonts w:ascii="Times New Roman" w:hAnsi="Times New Roman"/>
          <w:sz w:val="20"/>
          <w:szCs w:val="24"/>
        </w:rPr>
      </w:pPr>
    </w:p>
    <w:p w:rsidR="00517711" w:rsidRDefault="00F815BE">
      <w:pPr>
        <w:pStyle w:val="af4"/>
        <w:spacing w:after="0" w:line="240" w:lineRule="auto"/>
        <w:ind w:left="0" w:firstLine="709"/>
        <w:jc w:val="both"/>
        <w:rPr>
          <w:rFonts w:ascii="Times New Roman" w:hAnsi="Times New Roman"/>
          <w:sz w:val="20"/>
          <w:szCs w:val="24"/>
        </w:rPr>
      </w:pPr>
      <w:r>
        <w:rPr>
          <w:rFonts w:ascii="Times New Roman" w:hAnsi="Times New Roman"/>
          <w:sz w:val="20"/>
          <w:szCs w:val="24"/>
        </w:rPr>
        <w:t xml:space="preserve">Как видно из рисунка 4 прирост числа мест в предприятиях питания за период 2006-2016 гг. составил 92,7 %. Доля ресторанов в составе сети предприятий общественного питания составила 12%, а по числу мест – всего 22,2% [5]. </w:t>
      </w:r>
    </w:p>
    <w:p w:rsidR="00517711" w:rsidRDefault="00F815BE">
      <w:pPr>
        <w:pStyle w:val="af4"/>
        <w:spacing w:after="0" w:line="240" w:lineRule="auto"/>
        <w:ind w:left="0" w:firstLine="709"/>
        <w:jc w:val="both"/>
        <w:rPr>
          <w:rFonts w:ascii="Times New Roman" w:hAnsi="Times New Roman"/>
          <w:sz w:val="20"/>
          <w:szCs w:val="24"/>
        </w:rPr>
      </w:pPr>
      <w:r>
        <w:rPr>
          <w:rFonts w:ascii="Times New Roman" w:hAnsi="Times New Roman"/>
          <w:sz w:val="20"/>
          <w:szCs w:val="24"/>
        </w:rPr>
        <w:t xml:space="preserve">Количество посадочных мест в городе Владивостоке на 683 предприятия общественного питания рассчитано на 42000, что в 1,3 раза превышает потребительский норматив, который составляет 52 посадочных места на 1000 жителей (показатель количества мест в открытой сети в предприятиях общественного питания для городов с численностью населения от 500000 до 1000000 человек) [6]. </w:t>
      </w:r>
    </w:p>
    <w:p w:rsidR="00517711" w:rsidRDefault="00F815BE">
      <w:pPr>
        <w:pStyle w:val="af4"/>
        <w:spacing w:after="0" w:line="240" w:lineRule="auto"/>
        <w:ind w:left="0" w:firstLine="709"/>
        <w:jc w:val="both"/>
        <w:rPr>
          <w:rFonts w:ascii="Times New Roman" w:hAnsi="Times New Roman"/>
          <w:sz w:val="20"/>
          <w:szCs w:val="24"/>
        </w:rPr>
      </w:pPr>
      <w:r>
        <w:rPr>
          <w:rFonts w:ascii="Times New Roman" w:hAnsi="Times New Roman"/>
          <w:sz w:val="20"/>
          <w:szCs w:val="24"/>
        </w:rPr>
        <w:t xml:space="preserve">Большая часть ресторанов – 52% размещено в центральной части города, примерно одинаковое количество расположено в районах площади Окатовая и Диомид по 2%; в районе Второй Речки находится 16% всех ресторанов и кафе; 6% расположено в районе Эгершельда; 9% заведений находится в районе бухты Тихой; на Первой Речке – 6%; в Пригороде расположено 2% от всего числа ресторанов и кафе; на п-ве Чуркин – 5% ресторанов и кафе. </w:t>
      </w:r>
    </w:p>
    <w:p w:rsidR="00517711" w:rsidRDefault="00F815BE">
      <w:pPr>
        <w:pStyle w:val="af4"/>
        <w:spacing w:after="0" w:line="240" w:lineRule="auto"/>
        <w:ind w:left="0" w:firstLine="709"/>
        <w:jc w:val="both"/>
        <w:rPr>
          <w:rFonts w:ascii="Times New Roman" w:hAnsi="Times New Roman"/>
          <w:sz w:val="20"/>
          <w:szCs w:val="24"/>
        </w:rPr>
      </w:pPr>
      <w:r>
        <w:rPr>
          <w:rFonts w:ascii="Times New Roman" w:hAnsi="Times New Roman"/>
          <w:sz w:val="20"/>
          <w:szCs w:val="24"/>
        </w:rPr>
        <w:t>Результаты комбинированной сегментации рынка ресторанов и кафе г. Владивосток представлены в таблице 1.</w:t>
      </w:r>
    </w:p>
    <w:p w:rsidR="00517711" w:rsidRDefault="00F815BE">
      <w:pPr>
        <w:pStyle w:val="aff0"/>
      </w:pPr>
      <w:r>
        <w:t xml:space="preserve">Таблица 1 </w:t>
      </w:r>
    </w:p>
    <w:p w:rsidR="00517711" w:rsidRDefault="00F815BE">
      <w:pPr>
        <w:pStyle w:val="afa"/>
        <w:keepNext/>
        <w:widowControl/>
        <w:spacing w:before="120" w:after="120"/>
        <w:jc w:val="center"/>
        <w:outlineLvl w:val="0"/>
        <w:rPr>
          <w:b/>
          <w:sz w:val="20"/>
          <w:szCs w:val="20"/>
        </w:rPr>
      </w:pPr>
      <w:r>
        <w:rPr>
          <w:b/>
          <w:sz w:val="20"/>
          <w:szCs w:val="20"/>
        </w:rPr>
        <w:t>Сегментация ресторанов и кафе г. Владивостока</w:t>
      </w:r>
    </w:p>
    <w:tbl>
      <w:tblPr>
        <w:tblW w:w="5000" w:type="pct"/>
        <w:tblCellMar>
          <w:top w:w="55" w:type="dxa"/>
          <w:left w:w="55" w:type="dxa"/>
          <w:bottom w:w="55" w:type="dxa"/>
          <w:right w:w="55" w:type="dxa"/>
        </w:tblCellMar>
        <w:tblLook w:val="0000" w:firstRow="0" w:lastRow="0" w:firstColumn="0" w:lastColumn="0" w:noHBand="0" w:noVBand="0"/>
      </w:tblPr>
      <w:tblGrid>
        <w:gridCol w:w="1054"/>
        <w:gridCol w:w="814"/>
        <w:gridCol w:w="1153"/>
        <w:gridCol w:w="1437"/>
        <w:gridCol w:w="1080"/>
        <w:gridCol w:w="996"/>
        <w:gridCol w:w="1393"/>
        <w:gridCol w:w="697"/>
        <w:gridCol w:w="1124"/>
      </w:tblGrid>
      <w:tr w:rsidR="00517711">
        <w:trPr>
          <w:trHeight w:val="635"/>
        </w:trPr>
        <w:tc>
          <w:tcPr>
            <w:tcW w:w="535" w:type="pct"/>
            <w:tcBorders>
              <w:top w:val="single" w:sz="2" w:space="0" w:color="000000"/>
              <w:left w:val="single" w:sz="2" w:space="0" w:color="000000"/>
              <w:bottom w:val="single" w:sz="2" w:space="0" w:color="000000"/>
              <w:right w:val="none" w:sz="4" w:space="0" w:color="000000"/>
            </w:tcBorders>
            <w:vAlign w:val="center"/>
          </w:tcPr>
          <w:p w:rsidR="00517711" w:rsidRDefault="00F815BE">
            <w:pPr>
              <w:pStyle w:val="13"/>
            </w:pPr>
            <w:r>
              <w:t>Название ресторана (кафе)</w:t>
            </w:r>
          </w:p>
        </w:tc>
        <w:tc>
          <w:tcPr>
            <w:tcW w:w="463" w:type="pct"/>
            <w:tcBorders>
              <w:top w:val="single" w:sz="2" w:space="0" w:color="000000"/>
              <w:left w:val="single" w:sz="2" w:space="0" w:color="000000"/>
              <w:bottom w:val="single" w:sz="2" w:space="0" w:color="000000"/>
              <w:right w:val="none" w:sz="4" w:space="0" w:color="000000"/>
            </w:tcBorders>
            <w:vAlign w:val="center"/>
          </w:tcPr>
          <w:p w:rsidR="00517711" w:rsidRDefault="00F815BE">
            <w:pPr>
              <w:pStyle w:val="13"/>
            </w:pPr>
            <w:r>
              <w:t>Средний чек (без спирт-ного), руб/чел</w:t>
            </w:r>
          </w:p>
        </w:tc>
        <w:tc>
          <w:tcPr>
            <w:tcW w:w="462" w:type="pct"/>
            <w:tcBorders>
              <w:top w:val="single" w:sz="2" w:space="0" w:color="000000"/>
              <w:left w:val="single" w:sz="2" w:space="0" w:color="000000"/>
              <w:bottom w:val="single" w:sz="2" w:space="0" w:color="000000"/>
              <w:right w:val="single" w:sz="2" w:space="0" w:color="000000"/>
            </w:tcBorders>
            <w:vAlign w:val="center"/>
          </w:tcPr>
          <w:p w:rsidR="00517711" w:rsidRDefault="00F815BE">
            <w:pPr>
              <w:pStyle w:val="13"/>
            </w:pPr>
            <w:r>
              <w:t>Тип кухни</w:t>
            </w:r>
          </w:p>
        </w:tc>
        <w:tc>
          <w:tcPr>
            <w:tcW w:w="708" w:type="pct"/>
            <w:tcBorders>
              <w:top w:val="single" w:sz="2" w:space="0" w:color="000000"/>
              <w:left w:val="single" w:sz="2" w:space="0" w:color="000000"/>
              <w:bottom w:val="single" w:sz="2" w:space="0" w:color="000000"/>
              <w:right w:val="single" w:sz="2" w:space="0" w:color="000000"/>
            </w:tcBorders>
            <w:vAlign w:val="center"/>
          </w:tcPr>
          <w:p w:rsidR="00517711" w:rsidRDefault="00F815BE">
            <w:pPr>
              <w:pStyle w:val="13"/>
            </w:pPr>
            <w:r>
              <w:t>Вместительность ресторана</w:t>
            </w:r>
          </w:p>
        </w:tc>
        <w:tc>
          <w:tcPr>
            <w:tcW w:w="599" w:type="pct"/>
            <w:tcBorders>
              <w:top w:val="single" w:sz="2" w:space="0" w:color="000000"/>
              <w:left w:val="single" w:sz="2" w:space="0" w:color="000000"/>
              <w:bottom w:val="single" w:sz="2" w:space="0" w:color="000000"/>
              <w:right w:val="none" w:sz="4" w:space="0" w:color="000000"/>
            </w:tcBorders>
            <w:vAlign w:val="center"/>
          </w:tcPr>
          <w:p w:rsidR="00517711" w:rsidRDefault="00F815BE">
            <w:pPr>
              <w:pStyle w:val="13"/>
            </w:pPr>
            <w:r>
              <w:t>Аренда зала</w:t>
            </w:r>
          </w:p>
        </w:tc>
        <w:tc>
          <w:tcPr>
            <w:tcW w:w="535" w:type="pct"/>
            <w:tcBorders>
              <w:top w:val="single" w:sz="2" w:space="0" w:color="000000"/>
              <w:left w:val="single" w:sz="2" w:space="0" w:color="000000"/>
              <w:bottom w:val="single" w:sz="2" w:space="0" w:color="000000"/>
              <w:right w:val="single" w:sz="2" w:space="0" w:color="000000"/>
            </w:tcBorders>
            <w:vAlign w:val="center"/>
          </w:tcPr>
          <w:p w:rsidR="00517711" w:rsidRDefault="00F815BE">
            <w:pPr>
              <w:pStyle w:val="13"/>
            </w:pPr>
            <w:r>
              <w:t>Наличие парковки</w:t>
            </w:r>
          </w:p>
        </w:tc>
        <w:tc>
          <w:tcPr>
            <w:tcW w:w="753" w:type="pct"/>
            <w:tcBorders>
              <w:top w:val="single" w:sz="2" w:space="0" w:color="000000"/>
              <w:left w:val="single" w:sz="2" w:space="0" w:color="000000"/>
              <w:bottom w:val="single" w:sz="2" w:space="0" w:color="000000"/>
              <w:right w:val="single" w:sz="2" w:space="0" w:color="000000"/>
            </w:tcBorders>
            <w:vAlign w:val="center"/>
          </w:tcPr>
          <w:p w:rsidR="00517711" w:rsidRDefault="00F815BE">
            <w:pPr>
              <w:pStyle w:val="13"/>
            </w:pPr>
            <w:r>
              <w:t>Культурная программа</w:t>
            </w:r>
          </w:p>
        </w:tc>
        <w:tc>
          <w:tcPr>
            <w:tcW w:w="390" w:type="pct"/>
            <w:tcBorders>
              <w:top w:val="single" w:sz="2" w:space="0" w:color="000000"/>
              <w:left w:val="single" w:sz="2" w:space="0" w:color="000000"/>
              <w:bottom w:val="single" w:sz="2" w:space="0" w:color="000000"/>
              <w:right w:val="single" w:sz="2" w:space="0" w:color="000000"/>
            </w:tcBorders>
            <w:vAlign w:val="center"/>
          </w:tcPr>
          <w:p w:rsidR="00517711" w:rsidRDefault="00F815BE">
            <w:pPr>
              <w:pStyle w:val="13"/>
            </w:pPr>
            <w:r>
              <w:t>Бизнес-ланч</w:t>
            </w:r>
          </w:p>
        </w:tc>
        <w:tc>
          <w:tcPr>
            <w:tcW w:w="555" w:type="pct"/>
            <w:tcBorders>
              <w:top w:val="single" w:sz="2" w:space="0" w:color="000000"/>
              <w:left w:val="single" w:sz="2" w:space="0" w:color="000000"/>
              <w:bottom w:val="single" w:sz="2" w:space="0" w:color="000000"/>
              <w:right w:val="single" w:sz="2" w:space="0" w:color="000000"/>
            </w:tcBorders>
            <w:vAlign w:val="center"/>
          </w:tcPr>
          <w:p w:rsidR="00517711" w:rsidRDefault="00F815BE">
            <w:pPr>
              <w:pStyle w:val="13"/>
            </w:pPr>
            <w:r>
              <w:t>Вместимость vip зоны, чел.</w:t>
            </w:r>
          </w:p>
        </w:tc>
      </w:tr>
      <w:tr w:rsidR="00517711">
        <w:trPr>
          <w:trHeight w:val="332"/>
        </w:trPr>
        <w:tc>
          <w:tcPr>
            <w:tcW w:w="535" w:type="pct"/>
            <w:tcBorders>
              <w:top w:val="single" w:sz="4" w:space="0" w:color="auto"/>
              <w:left w:val="single" w:sz="2" w:space="0" w:color="000000"/>
              <w:bottom w:val="single" w:sz="2" w:space="0" w:color="000000"/>
              <w:right w:val="none" w:sz="4" w:space="0" w:color="000000"/>
            </w:tcBorders>
            <w:vAlign w:val="center"/>
          </w:tcPr>
          <w:p w:rsidR="00517711" w:rsidRDefault="00F815BE">
            <w:pPr>
              <w:pStyle w:val="aff1"/>
            </w:pPr>
            <w:r>
              <w:t>«San Remo»</w:t>
            </w:r>
          </w:p>
          <w:p w:rsidR="00517711" w:rsidRDefault="00517711">
            <w:pPr>
              <w:pStyle w:val="aff1"/>
            </w:pPr>
          </w:p>
        </w:tc>
        <w:tc>
          <w:tcPr>
            <w:tcW w:w="463" w:type="pct"/>
            <w:tcBorders>
              <w:top w:val="single" w:sz="4" w:space="0" w:color="auto"/>
              <w:left w:val="single" w:sz="2" w:space="0" w:color="000000"/>
              <w:bottom w:val="single" w:sz="2" w:space="0" w:color="000000"/>
              <w:right w:val="none" w:sz="4"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1500-2500</w:t>
            </w:r>
          </w:p>
        </w:tc>
        <w:tc>
          <w:tcPr>
            <w:tcW w:w="462" w:type="pct"/>
            <w:tcBorders>
              <w:top w:val="single" w:sz="4" w:space="0" w:color="auto"/>
              <w:left w:val="single" w:sz="2" w:space="0" w:color="000000"/>
              <w:bottom w:val="single" w:sz="2" w:space="0" w:color="000000"/>
              <w:right w:val="single" w:sz="2" w:space="0" w:color="000000"/>
            </w:tcBorders>
            <w:vAlign w:val="center"/>
          </w:tcPr>
          <w:p w:rsidR="00517711" w:rsidRDefault="00F815BE">
            <w:pPr>
              <w:pStyle w:val="aff1"/>
            </w:pPr>
            <w:r>
              <w:t>Европейская, японская</w:t>
            </w:r>
          </w:p>
        </w:tc>
        <w:tc>
          <w:tcPr>
            <w:tcW w:w="708" w:type="pct"/>
            <w:tcBorders>
              <w:top w:val="single" w:sz="4" w:space="0" w:color="auto"/>
              <w:left w:val="single" w:sz="2" w:space="0" w:color="000000"/>
              <w:bottom w:val="single" w:sz="2" w:space="0" w:color="000000"/>
              <w:right w:val="single" w:sz="2"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300</w:t>
            </w:r>
          </w:p>
        </w:tc>
        <w:tc>
          <w:tcPr>
            <w:tcW w:w="599" w:type="pct"/>
            <w:tcBorders>
              <w:top w:val="single" w:sz="4" w:space="0" w:color="auto"/>
              <w:left w:val="single" w:sz="2" w:space="0" w:color="000000"/>
              <w:bottom w:val="single" w:sz="2" w:space="0" w:color="000000"/>
              <w:right w:val="none" w:sz="4" w:space="0" w:color="000000"/>
            </w:tcBorders>
            <w:vAlign w:val="center"/>
          </w:tcPr>
          <w:p w:rsidR="00517711" w:rsidRDefault="00517711">
            <w:pPr>
              <w:spacing w:after="0" w:line="240" w:lineRule="auto"/>
              <w:contextualSpacing/>
              <w:jc w:val="center"/>
              <w:rPr>
                <w:rFonts w:ascii="Times New Roman" w:hAnsi="Times New Roman"/>
                <w:sz w:val="18"/>
                <w:szCs w:val="16"/>
                <w:lang w:eastAsia="ar-SA"/>
              </w:rPr>
            </w:pPr>
          </w:p>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w:t>
            </w:r>
          </w:p>
        </w:tc>
        <w:tc>
          <w:tcPr>
            <w:tcW w:w="535" w:type="pct"/>
            <w:tcBorders>
              <w:top w:val="single" w:sz="4" w:space="0" w:color="auto"/>
              <w:left w:val="single" w:sz="2" w:space="0" w:color="000000"/>
              <w:bottom w:val="single" w:sz="2" w:space="0" w:color="000000"/>
              <w:right w:val="single" w:sz="2" w:space="0" w:color="000000"/>
            </w:tcBorders>
            <w:vAlign w:val="center"/>
          </w:tcPr>
          <w:p w:rsidR="00517711" w:rsidRDefault="00F815BE">
            <w:pPr>
              <w:pStyle w:val="aff1"/>
            </w:pPr>
            <w:r>
              <w:t>охраняемая</w:t>
            </w:r>
          </w:p>
        </w:tc>
        <w:tc>
          <w:tcPr>
            <w:tcW w:w="753" w:type="pct"/>
            <w:tcBorders>
              <w:top w:val="single" w:sz="4" w:space="0" w:color="auto"/>
              <w:left w:val="single" w:sz="2" w:space="0" w:color="000000"/>
              <w:bottom w:val="single" w:sz="2" w:space="0" w:color="000000"/>
              <w:right w:val="single" w:sz="2" w:space="0" w:color="000000"/>
            </w:tcBorders>
            <w:vAlign w:val="center"/>
          </w:tcPr>
          <w:p w:rsidR="00517711" w:rsidRDefault="00F815BE">
            <w:pPr>
              <w:pStyle w:val="aff1"/>
            </w:pPr>
            <w:r>
              <w:t xml:space="preserve">Оплата работы DJ входит в </w:t>
            </w:r>
            <w:r>
              <w:lastRenderedPageBreak/>
              <w:t>стоимость.</w:t>
            </w:r>
          </w:p>
        </w:tc>
        <w:tc>
          <w:tcPr>
            <w:tcW w:w="390" w:type="pct"/>
            <w:tcBorders>
              <w:top w:val="none" w:sz="4" w:space="0" w:color="000000"/>
              <w:left w:val="single" w:sz="2" w:space="0" w:color="000000"/>
              <w:bottom w:val="single" w:sz="2" w:space="0" w:color="000000"/>
              <w:right w:val="single" w:sz="2"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lastRenderedPageBreak/>
              <w:t>Нет</w:t>
            </w:r>
          </w:p>
        </w:tc>
        <w:tc>
          <w:tcPr>
            <w:tcW w:w="555" w:type="pct"/>
            <w:tcBorders>
              <w:top w:val="none" w:sz="4" w:space="0" w:color="000000"/>
              <w:left w:val="single" w:sz="2" w:space="0" w:color="000000"/>
              <w:bottom w:val="single" w:sz="4" w:space="0" w:color="auto"/>
              <w:right w:val="single" w:sz="2"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7-15</w:t>
            </w:r>
          </w:p>
        </w:tc>
      </w:tr>
      <w:tr w:rsidR="00517711">
        <w:trPr>
          <w:trHeight w:val="454"/>
        </w:trPr>
        <w:tc>
          <w:tcPr>
            <w:tcW w:w="535" w:type="pct"/>
            <w:tcBorders>
              <w:top w:val="single" w:sz="4" w:space="0" w:color="auto"/>
              <w:left w:val="single" w:sz="2" w:space="0" w:color="000000"/>
              <w:bottom w:val="single" w:sz="4" w:space="0" w:color="auto"/>
              <w:right w:val="none" w:sz="4" w:space="0" w:color="000000"/>
            </w:tcBorders>
            <w:vAlign w:val="center"/>
          </w:tcPr>
          <w:p w:rsidR="00517711" w:rsidRDefault="00F815BE">
            <w:pPr>
              <w:pStyle w:val="aff1"/>
            </w:pPr>
            <w:r>
              <w:t>«Рестоград»</w:t>
            </w:r>
          </w:p>
        </w:tc>
        <w:tc>
          <w:tcPr>
            <w:tcW w:w="463" w:type="pct"/>
            <w:tcBorders>
              <w:top w:val="single" w:sz="4" w:space="0" w:color="auto"/>
              <w:left w:val="single" w:sz="2" w:space="0" w:color="000000"/>
              <w:bottom w:val="single" w:sz="4" w:space="0" w:color="auto"/>
              <w:right w:val="none" w:sz="4"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1000-1500</w:t>
            </w:r>
          </w:p>
        </w:tc>
        <w:tc>
          <w:tcPr>
            <w:tcW w:w="462" w:type="pct"/>
            <w:tcBorders>
              <w:top w:val="single" w:sz="4" w:space="0" w:color="auto"/>
              <w:left w:val="single" w:sz="2" w:space="0" w:color="000000"/>
              <w:bottom w:val="single" w:sz="4" w:space="0" w:color="auto"/>
              <w:right w:val="single" w:sz="2" w:space="0" w:color="000000"/>
            </w:tcBorders>
            <w:vAlign w:val="center"/>
          </w:tcPr>
          <w:p w:rsidR="00517711" w:rsidRDefault="00F815BE">
            <w:pPr>
              <w:pStyle w:val="aff1"/>
            </w:pPr>
            <w:r>
              <w:t>Европейска, русская</w:t>
            </w:r>
          </w:p>
        </w:tc>
        <w:tc>
          <w:tcPr>
            <w:tcW w:w="708" w:type="pct"/>
            <w:tcBorders>
              <w:top w:val="single" w:sz="4" w:space="0" w:color="auto"/>
              <w:left w:val="single" w:sz="2" w:space="0" w:color="000000"/>
              <w:bottom w:val="single" w:sz="4" w:space="0" w:color="auto"/>
              <w:right w:val="single" w:sz="2"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200</w:t>
            </w:r>
          </w:p>
        </w:tc>
        <w:tc>
          <w:tcPr>
            <w:tcW w:w="599" w:type="pct"/>
            <w:tcBorders>
              <w:top w:val="single" w:sz="4" w:space="0" w:color="auto"/>
              <w:left w:val="single" w:sz="2" w:space="0" w:color="000000"/>
              <w:bottom w:val="single" w:sz="4" w:space="0" w:color="auto"/>
              <w:right w:val="none" w:sz="4"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10 000 руб./вечер</w:t>
            </w:r>
          </w:p>
        </w:tc>
        <w:tc>
          <w:tcPr>
            <w:tcW w:w="535" w:type="pct"/>
            <w:tcBorders>
              <w:top w:val="single" w:sz="4" w:space="0" w:color="auto"/>
              <w:left w:val="single" w:sz="2" w:space="0" w:color="000000"/>
              <w:bottom w:val="single" w:sz="4" w:space="0" w:color="auto"/>
              <w:right w:val="single" w:sz="2" w:space="0" w:color="000000"/>
            </w:tcBorders>
            <w:vAlign w:val="center"/>
          </w:tcPr>
          <w:p w:rsidR="00517711" w:rsidRDefault="00F815BE">
            <w:pPr>
              <w:pStyle w:val="aff1"/>
            </w:pPr>
            <w:r>
              <w:t>охраняемая</w:t>
            </w:r>
          </w:p>
        </w:tc>
        <w:tc>
          <w:tcPr>
            <w:tcW w:w="753" w:type="pct"/>
            <w:tcBorders>
              <w:top w:val="single" w:sz="4" w:space="0" w:color="auto"/>
              <w:left w:val="single" w:sz="2" w:space="0" w:color="000000"/>
              <w:bottom w:val="single" w:sz="4" w:space="0" w:color="auto"/>
              <w:right w:val="single" w:sz="4" w:space="0" w:color="auto"/>
            </w:tcBorders>
            <w:vAlign w:val="center"/>
          </w:tcPr>
          <w:p w:rsidR="00517711" w:rsidRDefault="00F815BE">
            <w:pPr>
              <w:pStyle w:val="aff1"/>
            </w:pPr>
            <w:r>
              <w:t>Доп. услуги: оформление банкета живыми цветами</w:t>
            </w:r>
          </w:p>
        </w:tc>
        <w:tc>
          <w:tcPr>
            <w:tcW w:w="390" w:type="pct"/>
            <w:tcBorders>
              <w:top w:val="single" w:sz="4" w:space="0" w:color="auto"/>
              <w:left w:val="single" w:sz="4" w:space="0" w:color="auto"/>
              <w:bottom w:val="single" w:sz="4" w:space="0" w:color="auto"/>
              <w:right w:val="single" w:sz="2"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Да</w:t>
            </w:r>
          </w:p>
        </w:tc>
        <w:tc>
          <w:tcPr>
            <w:tcW w:w="555" w:type="pct"/>
            <w:tcBorders>
              <w:top w:val="single" w:sz="4" w:space="0" w:color="auto"/>
              <w:left w:val="single" w:sz="2" w:space="0" w:color="000000"/>
              <w:bottom w:val="single" w:sz="4" w:space="0" w:color="auto"/>
              <w:right w:val="single" w:sz="2"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w:t>
            </w:r>
          </w:p>
        </w:tc>
      </w:tr>
      <w:tr w:rsidR="00517711">
        <w:trPr>
          <w:trHeight w:val="454"/>
        </w:trPr>
        <w:tc>
          <w:tcPr>
            <w:tcW w:w="535" w:type="pct"/>
            <w:tcBorders>
              <w:top w:val="none" w:sz="4" w:space="0" w:color="000000"/>
              <w:left w:val="single" w:sz="2" w:space="0" w:color="000000"/>
              <w:bottom w:val="single" w:sz="4" w:space="0" w:color="auto"/>
              <w:right w:val="none" w:sz="4" w:space="0" w:color="000000"/>
            </w:tcBorders>
            <w:vAlign w:val="center"/>
          </w:tcPr>
          <w:p w:rsidR="00517711" w:rsidRDefault="00F815BE">
            <w:pPr>
              <w:pStyle w:val="aff1"/>
            </w:pPr>
            <w:r>
              <w:t>«Токио»</w:t>
            </w:r>
          </w:p>
        </w:tc>
        <w:tc>
          <w:tcPr>
            <w:tcW w:w="463" w:type="pct"/>
            <w:tcBorders>
              <w:top w:val="none" w:sz="4" w:space="0" w:color="000000"/>
              <w:left w:val="single" w:sz="2" w:space="0" w:color="000000"/>
              <w:bottom w:val="single" w:sz="4" w:space="0" w:color="auto"/>
              <w:right w:val="none" w:sz="4"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800</w:t>
            </w:r>
          </w:p>
        </w:tc>
        <w:tc>
          <w:tcPr>
            <w:tcW w:w="462" w:type="pct"/>
            <w:tcBorders>
              <w:top w:val="none" w:sz="4" w:space="0" w:color="000000"/>
              <w:left w:val="single" w:sz="2" w:space="0" w:color="000000"/>
              <w:bottom w:val="single" w:sz="4" w:space="0" w:color="auto"/>
              <w:right w:val="single" w:sz="2" w:space="0" w:color="000000"/>
            </w:tcBorders>
            <w:vAlign w:val="center"/>
          </w:tcPr>
          <w:p w:rsidR="00517711" w:rsidRDefault="00F815BE">
            <w:pPr>
              <w:pStyle w:val="aff1"/>
            </w:pPr>
            <w:r>
              <w:t>Японская, Паназиатская</w:t>
            </w:r>
          </w:p>
        </w:tc>
        <w:tc>
          <w:tcPr>
            <w:tcW w:w="708" w:type="pct"/>
            <w:tcBorders>
              <w:top w:val="none" w:sz="4" w:space="0" w:color="000000"/>
              <w:left w:val="single" w:sz="2" w:space="0" w:color="000000"/>
              <w:bottom w:val="single" w:sz="4" w:space="0" w:color="auto"/>
              <w:right w:val="single" w:sz="2"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50</w:t>
            </w:r>
          </w:p>
        </w:tc>
        <w:tc>
          <w:tcPr>
            <w:tcW w:w="599" w:type="pct"/>
            <w:tcBorders>
              <w:top w:val="none" w:sz="4" w:space="0" w:color="000000"/>
              <w:left w:val="single" w:sz="2" w:space="0" w:color="000000"/>
              <w:bottom w:val="single" w:sz="4" w:space="0" w:color="auto"/>
              <w:right w:val="none" w:sz="4"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w:t>
            </w:r>
          </w:p>
        </w:tc>
        <w:tc>
          <w:tcPr>
            <w:tcW w:w="535" w:type="pct"/>
            <w:tcBorders>
              <w:top w:val="none" w:sz="4" w:space="0" w:color="000000"/>
              <w:left w:val="single" w:sz="2" w:space="0" w:color="000000"/>
              <w:bottom w:val="single" w:sz="4" w:space="0" w:color="auto"/>
              <w:right w:val="single" w:sz="2" w:space="0" w:color="000000"/>
            </w:tcBorders>
            <w:vAlign w:val="center"/>
          </w:tcPr>
          <w:p w:rsidR="00517711" w:rsidRDefault="00F815BE">
            <w:pPr>
              <w:pStyle w:val="aff1"/>
            </w:pPr>
            <w:r>
              <w:t>не охраняемая</w:t>
            </w:r>
          </w:p>
        </w:tc>
        <w:tc>
          <w:tcPr>
            <w:tcW w:w="753" w:type="pct"/>
            <w:tcBorders>
              <w:top w:val="none" w:sz="4" w:space="0" w:color="000000"/>
              <w:left w:val="single" w:sz="2" w:space="0" w:color="000000"/>
              <w:bottom w:val="single" w:sz="4" w:space="0" w:color="auto"/>
              <w:right w:val="single" w:sz="4" w:space="0" w:color="auto"/>
            </w:tcBorders>
            <w:vAlign w:val="center"/>
          </w:tcPr>
          <w:p w:rsidR="00517711" w:rsidRDefault="000D1C8F">
            <w:pPr>
              <w:pStyle w:val="aff1"/>
            </w:pPr>
            <w:hyperlink r:id="rId63" w:history="1">
              <w:r w:rsidR="00F815BE">
                <w:t>Выездное обслуживание, кейтеринг</w:t>
              </w:r>
            </w:hyperlink>
          </w:p>
          <w:p w:rsidR="00517711" w:rsidRDefault="00F815BE">
            <w:pPr>
              <w:pStyle w:val="aff1"/>
            </w:pPr>
            <w:r>
              <w:t>Детская комната</w:t>
            </w:r>
          </w:p>
        </w:tc>
        <w:tc>
          <w:tcPr>
            <w:tcW w:w="390" w:type="pct"/>
            <w:tcBorders>
              <w:top w:val="none" w:sz="4" w:space="0" w:color="000000"/>
              <w:left w:val="single" w:sz="4" w:space="0" w:color="auto"/>
              <w:bottom w:val="single" w:sz="4" w:space="0" w:color="auto"/>
              <w:right w:val="single" w:sz="2"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Да</w:t>
            </w:r>
          </w:p>
        </w:tc>
        <w:tc>
          <w:tcPr>
            <w:tcW w:w="555" w:type="pct"/>
            <w:tcBorders>
              <w:top w:val="single" w:sz="4" w:space="0" w:color="auto"/>
              <w:left w:val="single" w:sz="2" w:space="0" w:color="000000"/>
              <w:bottom w:val="single" w:sz="4" w:space="0" w:color="auto"/>
              <w:right w:val="single" w:sz="2"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10</w:t>
            </w:r>
          </w:p>
        </w:tc>
      </w:tr>
      <w:tr w:rsidR="00517711">
        <w:trPr>
          <w:trHeight w:val="576"/>
        </w:trPr>
        <w:tc>
          <w:tcPr>
            <w:tcW w:w="535" w:type="pct"/>
            <w:tcBorders>
              <w:top w:val="none" w:sz="4" w:space="0" w:color="000000"/>
              <w:left w:val="single" w:sz="2" w:space="0" w:color="000000"/>
              <w:bottom w:val="single" w:sz="2" w:space="0" w:color="000000"/>
              <w:right w:val="none" w:sz="4" w:space="0" w:color="000000"/>
            </w:tcBorders>
            <w:vAlign w:val="center"/>
          </w:tcPr>
          <w:p w:rsidR="00517711" w:rsidRDefault="00F815BE">
            <w:pPr>
              <w:pStyle w:val="aff1"/>
            </w:pPr>
            <w:r>
              <w:t>«Порто Франко»</w:t>
            </w:r>
          </w:p>
          <w:p w:rsidR="00517711" w:rsidRDefault="00517711">
            <w:pPr>
              <w:pStyle w:val="aff1"/>
            </w:pPr>
          </w:p>
          <w:p w:rsidR="00517711" w:rsidRDefault="00517711">
            <w:pPr>
              <w:pStyle w:val="aff1"/>
            </w:pPr>
          </w:p>
        </w:tc>
        <w:tc>
          <w:tcPr>
            <w:tcW w:w="463" w:type="pct"/>
            <w:tcBorders>
              <w:top w:val="none" w:sz="4" w:space="0" w:color="000000"/>
              <w:left w:val="single" w:sz="2" w:space="0" w:color="000000"/>
              <w:bottom w:val="single" w:sz="2" w:space="0" w:color="000000"/>
              <w:right w:val="none" w:sz="4"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1000-1500</w:t>
            </w:r>
          </w:p>
        </w:tc>
        <w:tc>
          <w:tcPr>
            <w:tcW w:w="462" w:type="pct"/>
            <w:tcBorders>
              <w:top w:val="none" w:sz="4" w:space="0" w:color="000000"/>
              <w:left w:val="single" w:sz="2" w:space="0" w:color="000000"/>
              <w:bottom w:val="single" w:sz="2" w:space="0" w:color="000000"/>
              <w:right w:val="single" w:sz="2" w:space="0" w:color="000000"/>
            </w:tcBorders>
            <w:vAlign w:val="center"/>
          </w:tcPr>
          <w:p w:rsidR="00517711" w:rsidRDefault="00F815BE">
            <w:pPr>
              <w:pStyle w:val="aff1"/>
            </w:pPr>
            <w:r>
              <w:t>Европейская, русская</w:t>
            </w:r>
          </w:p>
        </w:tc>
        <w:tc>
          <w:tcPr>
            <w:tcW w:w="708" w:type="pct"/>
            <w:tcBorders>
              <w:top w:val="none" w:sz="4" w:space="0" w:color="000000"/>
              <w:left w:val="single" w:sz="2" w:space="0" w:color="000000"/>
              <w:bottom w:val="single" w:sz="2" w:space="0" w:color="000000"/>
              <w:right w:val="single" w:sz="2"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40</w:t>
            </w:r>
          </w:p>
        </w:tc>
        <w:tc>
          <w:tcPr>
            <w:tcW w:w="599" w:type="pct"/>
            <w:tcBorders>
              <w:top w:val="none" w:sz="4" w:space="0" w:color="000000"/>
              <w:left w:val="single" w:sz="2" w:space="0" w:color="000000"/>
              <w:bottom w:val="single" w:sz="2" w:space="0" w:color="000000"/>
              <w:right w:val="none" w:sz="4"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w:t>
            </w:r>
          </w:p>
        </w:tc>
        <w:tc>
          <w:tcPr>
            <w:tcW w:w="535" w:type="pct"/>
            <w:tcBorders>
              <w:top w:val="none" w:sz="4" w:space="0" w:color="000000"/>
              <w:left w:val="single" w:sz="2" w:space="0" w:color="000000"/>
              <w:bottom w:val="single" w:sz="2" w:space="0" w:color="000000"/>
              <w:right w:val="single" w:sz="2" w:space="0" w:color="000000"/>
            </w:tcBorders>
            <w:vAlign w:val="center"/>
          </w:tcPr>
          <w:p w:rsidR="00517711" w:rsidRDefault="00F815BE">
            <w:pPr>
              <w:pStyle w:val="aff1"/>
            </w:pPr>
            <w:r>
              <w:t>не охраняемая</w:t>
            </w:r>
          </w:p>
        </w:tc>
        <w:tc>
          <w:tcPr>
            <w:tcW w:w="753" w:type="pct"/>
            <w:tcBorders>
              <w:top w:val="none" w:sz="4" w:space="0" w:color="000000"/>
              <w:left w:val="single" w:sz="2" w:space="0" w:color="000000"/>
              <w:bottom w:val="single" w:sz="2" w:space="0" w:color="000000"/>
              <w:right w:val="single" w:sz="2" w:space="0" w:color="000000"/>
            </w:tcBorders>
            <w:vAlign w:val="center"/>
          </w:tcPr>
          <w:p w:rsidR="00517711" w:rsidRDefault="00F815BE">
            <w:pPr>
              <w:pStyle w:val="aff1"/>
            </w:pPr>
            <w:r>
              <w:t>Наличие звукового и музыкального оборудования, живая музыка.</w:t>
            </w:r>
          </w:p>
        </w:tc>
        <w:tc>
          <w:tcPr>
            <w:tcW w:w="390" w:type="pct"/>
            <w:tcBorders>
              <w:top w:val="none" w:sz="4" w:space="0" w:color="000000"/>
              <w:left w:val="single" w:sz="2" w:space="0" w:color="000000"/>
              <w:bottom w:val="single" w:sz="2" w:space="0" w:color="000000"/>
              <w:right w:val="single" w:sz="2"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Да</w:t>
            </w:r>
          </w:p>
        </w:tc>
        <w:tc>
          <w:tcPr>
            <w:tcW w:w="555" w:type="pct"/>
            <w:tcBorders>
              <w:top w:val="none" w:sz="4" w:space="0" w:color="000000"/>
              <w:left w:val="single" w:sz="2" w:space="0" w:color="000000"/>
              <w:bottom w:val="single" w:sz="2" w:space="0" w:color="000000"/>
              <w:right w:val="single" w:sz="2"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10</w:t>
            </w:r>
          </w:p>
        </w:tc>
      </w:tr>
      <w:tr w:rsidR="00517711">
        <w:trPr>
          <w:trHeight w:val="454"/>
        </w:trPr>
        <w:tc>
          <w:tcPr>
            <w:tcW w:w="535" w:type="pct"/>
            <w:tcBorders>
              <w:top w:val="none" w:sz="4" w:space="0" w:color="000000"/>
              <w:left w:val="single" w:sz="2" w:space="0" w:color="000000"/>
              <w:bottom w:val="single" w:sz="2" w:space="0" w:color="000000"/>
              <w:right w:val="none" w:sz="4" w:space="0" w:color="000000"/>
            </w:tcBorders>
            <w:vAlign w:val="center"/>
          </w:tcPr>
          <w:p w:rsidR="00517711" w:rsidRDefault="00F815BE">
            <w:pPr>
              <w:pStyle w:val="aff1"/>
            </w:pPr>
            <w:r>
              <w:t>«Семь Футов»</w:t>
            </w:r>
          </w:p>
          <w:p w:rsidR="00517711" w:rsidRDefault="00517711">
            <w:pPr>
              <w:pStyle w:val="aff1"/>
            </w:pPr>
          </w:p>
        </w:tc>
        <w:tc>
          <w:tcPr>
            <w:tcW w:w="463" w:type="pct"/>
            <w:tcBorders>
              <w:top w:val="none" w:sz="4" w:space="0" w:color="000000"/>
              <w:left w:val="single" w:sz="2" w:space="0" w:color="000000"/>
              <w:bottom w:val="single" w:sz="2" w:space="0" w:color="000000"/>
              <w:right w:val="none" w:sz="4"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2000-2500</w:t>
            </w:r>
          </w:p>
        </w:tc>
        <w:tc>
          <w:tcPr>
            <w:tcW w:w="462" w:type="pct"/>
            <w:tcBorders>
              <w:top w:val="none" w:sz="4" w:space="0" w:color="000000"/>
              <w:left w:val="single" w:sz="2" w:space="0" w:color="000000"/>
              <w:bottom w:val="single" w:sz="2" w:space="0" w:color="000000"/>
              <w:right w:val="single" w:sz="2" w:space="0" w:color="000000"/>
            </w:tcBorders>
            <w:vAlign w:val="center"/>
          </w:tcPr>
          <w:p w:rsidR="00517711" w:rsidRDefault="00F815BE">
            <w:pPr>
              <w:pStyle w:val="aff1"/>
            </w:pPr>
            <w:r>
              <w:t>Европейская</w:t>
            </w:r>
          </w:p>
        </w:tc>
        <w:tc>
          <w:tcPr>
            <w:tcW w:w="708" w:type="pct"/>
            <w:tcBorders>
              <w:top w:val="none" w:sz="4" w:space="0" w:color="000000"/>
              <w:left w:val="single" w:sz="2" w:space="0" w:color="000000"/>
              <w:bottom w:val="single" w:sz="2" w:space="0" w:color="000000"/>
              <w:right w:val="single" w:sz="2"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100</w:t>
            </w:r>
          </w:p>
        </w:tc>
        <w:tc>
          <w:tcPr>
            <w:tcW w:w="599" w:type="pct"/>
            <w:tcBorders>
              <w:top w:val="none" w:sz="4" w:space="0" w:color="000000"/>
              <w:left w:val="single" w:sz="2" w:space="0" w:color="000000"/>
              <w:bottom w:val="single" w:sz="2" w:space="0" w:color="000000"/>
              <w:right w:val="none" w:sz="4"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w:t>
            </w:r>
          </w:p>
        </w:tc>
        <w:tc>
          <w:tcPr>
            <w:tcW w:w="535" w:type="pct"/>
            <w:tcBorders>
              <w:top w:val="none" w:sz="4" w:space="0" w:color="000000"/>
              <w:left w:val="single" w:sz="2" w:space="0" w:color="000000"/>
              <w:bottom w:val="single" w:sz="2" w:space="0" w:color="000000"/>
              <w:right w:val="single" w:sz="2" w:space="0" w:color="000000"/>
            </w:tcBorders>
            <w:vAlign w:val="center"/>
          </w:tcPr>
          <w:p w:rsidR="00517711" w:rsidRDefault="00F815BE">
            <w:pPr>
              <w:pStyle w:val="aff1"/>
            </w:pPr>
            <w:r>
              <w:t>не охраняемая</w:t>
            </w:r>
          </w:p>
        </w:tc>
        <w:tc>
          <w:tcPr>
            <w:tcW w:w="753" w:type="pct"/>
            <w:tcBorders>
              <w:top w:val="none" w:sz="4" w:space="0" w:color="000000"/>
              <w:left w:val="single" w:sz="2" w:space="0" w:color="000000"/>
              <w:bottom w:val="single" w:sz="2" w:space="0" w:color="000000"/>
              <w:right w:val="single" w:sz="2" w:space="0" w:color="000000"/>
            </w:tcBorders>
            <w:vAlign w:val="center"/>
          </w:tcPr>
          <w:p w:rsidR="00517711" w:rsidRDefault="00F815BE">
            <w:pPr>
              <w:pStyle w:val="aff1"/>
            </w:pPr>
            <w:r>
              <w:t>Наличие звукового и музыкального оборудования.</w:t>
            </w:r>
          </w:p>
        </w:tc>
        <w:tc>
          <w:tcPr>
            <w:tcW w:w="390" w:type="pct"/>
            <w:tcBorders>
              <w:top w:val="none" w:sz="4" w:space="0" w:color="000000"/>
              <w:left w:val="single" w:sz="2" w:space="0" w:color="000000"/>
              <w:bottom w:val="single" w:sz="2" w:space="0" w:color="000000"/>
              <w:right w:val="single" w:sz="2"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Да</w:t>
            </w:r>
          </w:p>
        </w:tc>
        <w:tc>
          <w:tcPr>
            <w:tcW w:w="555" w:type="pct"/>
            <w:tcBorders>
              <w:top w:val="none" w:sz="4" w:space="0" w:color="000000"/>
              <w:left w:val="single" w:sz="2" w:space="0" w:color="000000"/>
              <w:bottom w:val="single" w:sz="2" w:space="0" w:color="000000"/>
              <w:right w:val="single" w:sz="2"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6</w:t>
            </w:r>
          </w:p>
        </w:tc>
      </w:tr>
    </w:tbl>
    <w:p w:rsidR="00517711" w:rsidRDefault="00517711">
      <w:pPr>
        <w:spacing w:after="0" w:line="240" w:lineRule="auto"/>
        <w:contextualSpacing/>
        <w:jc w:val="both"/>
        <w:rPr>
          <w:rFonts w:ascii="Times New Roman" w:hAnsi="Times New Roman"/>
          <w:sz w:val="20"/>
          <w:szCs w:val="24"/>
        </w:rPr>
      </w:pPr>
    </w:p>
    <w:p w:rsidR="00517711" w:rsidRDefault="00F815BE">
      <w:pPr>
        <w:spacing w:after="0" w:line="240" w:lineRule="auto"/>
        <w:ind w:firstLine="567"/>
        <w:contextualSpacing/>
        <w:jc w:val="both"/>
        <w:rPr>
          <w:rFonts w:ascii="Times New Roman" w:hAnsi="Times New Roman"/>
          <w:sz w:val="20"/>
          <w:szCs w:val="24"/>
        </w:rPr>
      </w:pPr>
      <w:r>
        <w:rPr>
          <w:rFonts w:ascii="Times New Roman" w:hAnsi="Times New Roman"/>
          <w:sz w:val="20"/>
          <w:szCs w:val="24"/>
        </w:rPr>
        <w:t xml:space="preserve">В тройку самых дорогих ресторанов города входят: ресторан «Рестоград», ресторан «San Remo», ресторан «Семь Футов». Рестораны, предлагающие японскую или паназиатскую кухню – это «Токио», «San Remo». Наиболее низких чек у ресторана «Токио». </w:t>
      </w:r>
    </w:p>
    <w:p w:rsidR="00517711" w:rsidRDefault="00F815BE">
      <w:pPr>
        <w:spacing w:after="0" w:line="240" w:lineRule="auto"/>
        <w:ind w:firstLine="709"/>
        <w:contextualSpacing/>
        <w:jc w:val="both"/>
        <w:rPr>
          <w:rFonts w:ascii="Times New Roman" w:hAnsi="Times New Roman"/>
          <w:sz w:val="20"/>
          <w:szCs w:val="24"/>
        </w:rPr>
      </w:pPr>
      <w:r>
        <w:rPr>
          <w:rFonts w:ascii="Times New Roman" w:hAnsi="Times New Roman"/>
          <w:sz w:val="20"/>
          <w:szCs w:val="24"/>
        </w:rPr>
        <w:t>Таким образом, анализ показателей развития предприятия общественного питания г. Владивостока позволяет сделать вывод о том, что все больше людей предпочитает питаться вне дома. Используя результаты проведенной сегментации рынка, любое предприятие общественного питания может выделить своих основных конкурентов и определить, по каким критериям оно может их превзойти, опираясь на свои реальные возможности и ресурсы.</w:t>
      </w:r>
    </w:p>
    <w:p w:rsidR="00517711" w:rsidRDefault="00F815BE">
      <w:pPr>
        <w:spacing w:after="0" w:line="240" w:lineRule="auto"/>
        <w:ind w:firstLine="709"/>
        <w:contextualSpacing/>
        <w:jc w:val="both"/>
        <w:rPr>
          <w:rFonts w:ascii="Times New Roman" w:hAnsi="Times New Roman"/>
          <w:sz w:val="20"/>
          <w:szCs w:val="24"/>
        </w:rPr>
      </w:pPr>
      <w:r>
        <w:rPr>
          <w:rFonts w:ascii="Times New Roman" w:hAnsi="Times New Roman"/>
          <w:sz w:val="20"/>
          <w:szCs w:val="24"/>
        </w:rPr>
        <w:t>Объектом для проведения сегментации потребителей был выбран ресторан «Токио».</w:t>
      </w:r>
    </w:p>
    <w:p w:rsidR="00517711" w:rsidRDefault="00F815BE">
      <w:pPr>
        <w:spacing w:after="0" w:line="240" w:lineRule="auto"/>
        <w:ind w:firstLine="709"/>
        <w:contextualSpacing/>
        <w:jc w:val="both"/>
        <w:rPr>
          <w:rFonts w:ascii="Times New Roman" w:hAnsi="Times New Roman"/>
          <w:sz w:val="20"/>
          <w:szCs w:val="24"/>
        </w:rPr>
      </w:pPr>
      <w:r>
        <w:rPr>
          <w:rFonts w:ascii="Times New Roman" w:hAnsi="Times New Roman"/>
          <w:sz w:val="20"/>
          <w:szCs w:val="24"/>
        </w:rPr>
        <w:t>Ресторан «</w:t>
      </w:r>
      <w:r>
        <w:rPr>
          <w:rFonts w:ascii="Times New Roman" w:hAnsi="Times New Roman"/>
          <w:sz w:val="20"/>
          <w:szCs w:val="24"/>
          <w:lang w:val="en-US"/>
        </w:rPr>
        <w:t>Tokyo</w:t>
      </w:r>
      <w:r>
        <w:rPr>
          <w:rFonts w:ascii="Times New Roman" w:hAnsi="Times New Roman"/>
          <w:sz w:val="20"/>
          <w:szCs w:val="24"/>
        </w:rPr>
        <w:t>» позиционирует себя на ресторанном рынке Приморского края как предприятие сегмента «</w:t>
      </w:r>
      <w:r>
        <w:rPr>
          <w:rFonts w:ascii="Times New Roman" w:hAnsi="Times New Roman"/>
          <w:sz w:val="20"/>
          <w:szCs w:val="24"/>
          <w:lang w:val="en-US"/>
        </w:rPr>
        <w:t>casual</w:t>
      </w:r>
      <w:r>
        <w:rPr>
          <w:rFonts w:ascii="Times New Roman" w:hAnsi="Times New Roman"/>
          <w:sz w:val="20"/>
          <w:szCs w:val="24"/>
        </w:rPr>
        <w:t xml:space="preserve"> </w:t>
      </w:r>
      <w:r>
        <w:rPr>
          <w:rFonts w:ascii="Times New Roman" w:hAnsi="Times New Roman"/>
          <w:sz w:val="20"/>
          <w:szCs w:val="24"/>
          <w:lang w:val="en-US"/>
        </w:rPr>
        <w:t>dining</w:t>
      </w:r>
      <w:r>
        <w:rPr>
          <w:rFonts w:ascii="Times New Roman" w:hAnsi="Times New Roman"/>
          <w:sz w:val="20"/>
          <w:szCs w:val="24"/>
        </w:rPr>
        <w:t>» (демократичный ресторан), предоставляющее как основные, так и дополнительные услуги соответствующего качества» [7].</w:t>
      </w:r>
    </w:p>
    <w:p w:rsidR="00517711" w:rsidRDefault="00F815BE">
      <w:pPr>
        <w:pStyle w:val="af4"/>
        <w:spacing w:after="0" w:line="240" w:lineRule="auto"/>
        <w:ind w:left="0" w:firstLine="709"/>
        <w:jc w:val="both"/>
        <w:rPr>
          <w:rFonts w:ascii="Times New Roman" w:hAnsi="Times New Roman"/>
          <w:color w:val="FF0000"/>
          <w:sz w:val="20"/>
          <w:szCs w:val="24"/>
        </w:rPr>
      </w:pPr>
      <w:bookmarkStart w:id="4" w:name="_Toc344276179"/>
      <w:r>
        <w:rPr>
          <w:rFonts w:ascii="Times New Roman" w:hAnsi="Times New Roman"/>
          <w:sz w:val="20"/>
          <w:szCs w:val="24"/>
        </w:rPr>
        <w:t>Определим примерный портрет потребителей ресторана «</w:t>
      </w:r>
      <w:r>
        <w:rPr>
          <w:rFonts w:ascii="Times New Roman" w:hAnsi="Times New Roman"/>
          <w:sz w:val="20"/>
          <w:szCs w:val="24"/>
          <w:lang w:val="en-US"/>
        </w:rPr>
        <w:t>Tokyo</w:t>
      </w:r>
      <w:r>
        <w:rPr>
          <w:rFonts w:ascii="Times New Roman" w:hAnsi="Times New Roman"/>
          <w:sz w:val="20"/>
          <w:szCs w:val="24"/>
        </w:rPr>
        <w:t xml:space="preserve">» </w:t>
      </w:r>
      <w:bookmarkEnd w:id="4"/>
      <w:r>
        <w:rPr>
          <w:rFonts w:ascii="Times New Roman" w:hAnsi="Times New Roman"/>
          <w:sz w:val="20"/>
          <w:szCs w:val="24"/>
        </w:rPr>
        <w:t>на основании анкетирования гостей.</w:t>
      </w:r>
    </w:p>
    <w:p w:rsidR="00517711" w:rsidRDefault="00F815BE">
      <w:pPr>
        <w:pStyle w:val="af4"/>
        <w:spacing w:after="0" w:line="240" w:lineRule="auto"/>
        <w:ind w:left="0" w:firstLine="709"/>
        <w:jc w:val="both"/>
        <w:rPr>
          <w:rFonts w:ascii="Times New Roman" w:hAnsi="Times New Roman"/>
          <w:sz w:val="20"/>
          <w:szCs w:val="24"/>
          <w:shd w:val="clear" w:color="auto" w:fill="FFFFFF"/>
        </w:rPr>
      </w:pPr>
      <w:bookmarkStart w:id="5" w:name="_Toc344276182"/>
      <w:r>
        <w:rPr>
          <w:rFonts w:ascii="Times New Roman" w:hAnsi="Times New Roman"/>
          <w:sz w:val="20"/>
          <w:szCs w:val="24"/>
          <w:shd w:val="clear" w:color="auto" w:fill="FFFFFF"/>
        </w:rPr>
        <w:t>Среди потребителей услуг ресторана люди разных возрастов (таблица 2)</w:t>
      </w:r>
      <w:bookmarkEnd w:id="5"/>
      <w:r>
        <w:rPr>
          <w:rFonts w:ascii="Times New Roman" w:hAnsi="Times New Roman"/>
          <w:sz w:val="20"/>
          <w:szCs w:val="24"/>
          <w:shd w:val="clear" w:color="auto" w:fill="FFFFFF"/>
        </w:rPr>
        <w:t>.</w:t>
      </w:r>
    </w:p>
    <w:p w:rsidR="00517711" w:rsidRDefault="00F815BE">
      <w:pPr>
        <w:pStyle w:val="aff0"/>
      </w:pPr>
      <w:r>
        <w:t xml:space="preserve">Таблица 2 </w:t>
      </w:r>
    </w:p>
    <w:p w:rsidR="00517711" w:rsidRDefault="00F815BE">
      <w:pPr>
        <w:pStyle w:val="afa"/>
        <w:keepNext/>
        <w:widowControl/>
        <w:spacing w:before="120" w:after="120"/>
        <w:jc w:val="center"/>
        <w:outlineLvl w:val="0"/>
        <w:rPr>
          <w:b/>
          <w:sz w:val="20"/>
          <w:szCs w:val="20"/>
        </w:rPr>
      </w:pPr>
      <w:r>
        <w:rPr>
          <w:b/>
          <w:sz w:val="20"/>
          <w:szCs w:val="20"/>
        </w:rPr>
        <w:t xml:space="preserve">Возраст гостей ресторана «Tokyo» </w:t>
      </w:r>
    </w:p>
    <w:tbl>
      <w:tblPr>
        <w:tblStyle w:val="af1"/>
        <w:tblW w:w="4891" w:type="pct"/>
        <w:tblInd w:w="108" w:type="dxa"/>
        <w:tblLook w:val="04A0" w:firstRow="1" w:lastRow="0" w:firstColumn="1" w:lastColumn="0" w:noHBand="0" w:noVBand="1"/>
      </w:tblPr>
      <w:tblGrid>
        <w:gridCol w:w="4677"/>
        <w:gridCol w:w="4962"/>
      </w:tblGrid>
      <w:tr w:rsidR="00517711">
        <w:trPr>
          <w:trHeight w:val="273"/>
        </w:trPr>
        <w:tc>
          <w:tcPr>
            <w:tcW w:w="2426" w:type="pct"/>
            <w:vAlign w:val="center"/>
          </w:tcPr>
          <w:p w:rsidR="00517711" w:rsidRDefault="00F815BE">
            <w:pPr>
              <w:pStyle w:val="13"/>
            </w:pPr>
            <w:r>
              <w:rPr>
                <w:b/>
                <w:bCs/>
              </w:rPr>
              <w:t>Возраст</w:t>
            </w:r>
          </w:p>
        </w:tc>
        <w:tc>
          <w:tcPr>
            <w:tcW w:w="2574" w:type="pct"/>
            <w:vAlign w:val="center"/>
          </w:tcPr>
          <w:p w:rsidR="00517711" w:rsidRDefault="00F815BE">
            <w:pPr>
              <w:pStyle w:val="13"/>
            </w:pPr>
            <w:r>
              <w:rPr>
                <w:b/>
                <w:bCs/>
              </w:rPr>
              <w:t>% ответивших</w:t>
            </w:r>
          </w:p>
        </w:tc>
      </w:tr>
      <w:tr w:rsidR="00517711">
        <w:trPr>
          <w:trHeight w:val="136"/>
        </w:trPr>
        <w:tc>
          <w:tcPr>
            <w:tcW w:w="2426"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14-24 лет</w:t>
            </w:r>
          </w:p>
        </w:tc>
        <w:tc>
          <w:tcPr>
            <w:tcW w:w="2574"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24,72</w:t>
            </w:r>
          </w:p>
        </w:tc>
      </w:tr>
      <w:tr w:rsidR="00517711">
        <w:trPr>
          <w:trHeight w:val="70"/>
        </w:trPr>
        <w:tc>
          <w:tcPr>
            <w:tcW w:w="2426"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35-44 года</w:t>
            </w:r>
          </w:p>
        </w:tc>
        <w:tc>
          <w:tcPr>
            <w:tcW w:w="2574"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23,60</w:t>
            </w:r>
          </w:p>
        </w:tc>
      </w:tr>
      <w:tr w:rsidR="00517711">
        <w:trPr>
          <w:trHeight w:val="86"/>
        </w:trPr>
        <w:tc>
          <w:tcPr>
            <w:tcW w:w="2426"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45-54 года</w:t>
            </w:r>
          </w:p>
        </w:tc>
        <w:tc>
          <w:tcPr>
            <w:tcW w:w="2574"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14,61</w:t>
            </w:r>
          </w:p>
        </w:tc>
      </w:tr>
      <w:tr w:rsidR="00517711">
        <w:trPr>
          <w:trHeight w:val="70"/>
        </w:trPr>
        <w:tc>
          <w:tcPr>
            <w:tcW w:w="2426"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55-64 года</w:t>
            </w:r>
          </w:p>
        </w:tc>
        <w:tc>
          <w:tcPr>
            <w:tcW w:w="2574"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8,99</w:t>
            </w:r>
          </w:p>
        </w:tc>
      </w:tr>
      <w:tr w:rsidR="00517711">
        <w:trPr>
          <w:trHeight w:val="70"/>
        </w:trPr>
        <w:tc>
          <w:tcPr>
            <w:tcW w:w="2426"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Старше 65 лет</w:t>
            </w:r>
          </w:p>
        </w:tc>
        <w:tc>
          <w:tcPr>
            <w:tcW w:w="2574"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7,87</w:t>
            </w:r>
          </w:p>
        </w:tc>
      </w:tr>
      <w:tr w:rsidR="00517711">
        <w:trPr>
          <w:trHeight w:val="70"/>
        </w:trPr>
        <w:tc>
          <w:tcPr>
            <w:tcW w:w="2426" w:type="pct"/>
            <w:vAlign w:val="center"/>
          </w:tcPr>
          <w:p w:rsidR="00517711" w:rsidRDefault="00F815BE">
            <w:pPr>
              <w:pStyle w:val="af4"/>
              <w:ind w:left="0"/>
              <w:jc w:val="center"/>
              <w:rPr>
                <w:rFonts w:ascii="Times New Roman" w:hAnsi="Times New Roman"/>
                <w:b/>
                <w:sz w:val="18"/>
                <w:szCs w:val="24"/>
              </w:rPr>
            </w:pPr>
            <w:r>
              <w:rPr>
                <w:rFonts w:ascii="Times New Roman" w:hAnsi="Times New Roman"/>
                <w:b/>
                <w:sz w:val="18"/>
                <w:szCs w:val="24"/>
              </w:rPr>
              <w:t>Итого:</w:t>
            </w:r>
          </w:p>
        </w:tc>
        <w:tc>
          <w:tcPr>
            <w:tcW w:w="2574"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100,00</w:t>
            </w:r>
          </w:p>
        </w:tc>
      </w:tr>
    </w:tbl>
    <w:p w:rsidR="00517711" w:rsidRDefault="00517711">
      <w:pPr>
        <w:pStyle w:val="af4"/>
        <w:spacing w:after="0" w:line="240" w:lineRule="auto"/>
        <w:ind w:left="0" w:firstLine="709"/>
        <w:jc w:val="both"/>
        <w:rPr>
          <w:rFonts w:ascii="Times New Roman" w:hAnsi="Times New Roman"/>
          <w:sz w:val="20"/>
          <w:szCs w:val="24"/>
          <w:shd w:val="clear" w:color="auto" w:fill="FFFFFF"/>
        </w:rPr>
      </w:pPr>
      <w:bookmarkStart w:id="6" w:name="_Toc344276183"/>
    </w:p>
    <w:p w:rsidR="00517711" w:rsidRDefault="00F815BE">
      <w:pPr>
        <w:pStyle w:val="af4"/>
        <w:spacing w:after="0" w:line="240" w:lineRule="auto"/>
        <w:ind w:left="0" w:firstLine="709"/>
        <w:jc w:val="both"/>
        <w:rPr>
          <w:rFonts w:ascii="Times New Roman" w:hAnsi="Times New Roman"/>
          <w:sz w:val="20"/>
          <w:szCs w:val="24"/>
          <w:shd w:val="clear" w:color="auto" w:fill="FFFFFF"/>
        </w:rPr>
      </w:pPr>
      <w:r>
        <w:rPr>
          <w:rFonts w:ascii="Times New Roman" w:hAnsi="Times New Roman"/>
          <w:sz w:val="20"/>
          <w:szCs w:val="24"/>
          <w:shd w:val="clear" w:color="auto" w:fill="FFFFFF"/>
        </w:rPr>
        <w:t>Из таблицы 2 видно, что основная возрастная группа потребителей ресторана – от 14 до 24 лет. Также частными гостями предприятия являются мужчины и женщины в возрасте от 35 до 44 лет.</w:t>
      </w:r>
    </w:p>
    <w:p w:rsidR="00517711" w:rsidRDefault="00F815BE">
      <w:pPr>
        <w:pStyle w:val="af4"/>
        <w:spacing w:after="0" w:line="240" w:lineRule="auto"/>
        <w:ind w:left="0" w:firstLine="709"/>
        <w:jc w:val="both"/>
        <w:rPr>
          <w:rFonts w:ascii="Times New Roman" w:hAnsi="Times New Roman"/>
          <w:sz w:val="20"/>
          <w:szCs w:val="24"/>
          <w:shd w:val="clear" w:color="auto" w:fill="FFFFFF"/>
        </w:rPr>
      </w:pPr>
      <w:r>
        <w:rPr>
          <w:rFonts w:ascii="Times New Roman" w:hAnsi="Times New Roman"/>
          <w:sz w:val="20"/>
          <w:szCs w:val="24"/>
          <w:shd w:val="clear" w:color="auto" w:fill="FFFFFF"/>
        </w:rPr>
        <w:t>Потребители услуг ресторана имеют следующее образование</w:t>
      </w:r>
      <w:bookmarkEnd w:id="6"/>
      <w:r>
        <w:rPr>
          <w:rFonts w:ascii="Times New Roman" w:hAnsi="Times New Roman"/>
          <w:sz w:val="20"/>
          <w:szCs w:val="24"/>
          <w:shd w:val="clear" w:color="auto" w:fill="FFFFFF"/>
        </w:rPr>
        <w:t xml:space="preserve"> (таблица 3):</w:t>
      </w:r>
    </w:p>
    <w:p w:rsidR="00517711" w:rsidRDefault="00F815BE">
      <w:pPr>
        <w:pStyle w:val="aff0"/>
      </w:pPr>
      <w:r>
        <w:t xml:space="preserve">Таблица 3 </w:t>
      </w:r>
    </w:p>
    <w:p w:rsidR="00517711" w:rsidRDefault="00F815BE">
      <w:pPr>
        <w:pStyle w:val="afa"/>
        <w:keepNext/>
        <w:widowControl/>
        <w:spacing w:before="120" w:after="120"/>
        <w:jc w:val="center"/>
        <w:outlineLvl w:val="0"/>
        <w:rPr>
          <w:b/>
          <w:sz w:val="20"/>
          <w:szCs w:val="20"/>
        </w:rPr>
      </w:pPr>
      <w:r>
        <w:rPr>
          <w:b/>
          <w:sz w:val="20"/>
          <w:szCs w:val="20"/>
        </w:rPr>
        <w:t xml:space="preserve">Образование потребителей услуг ресторана </w:t>
      </w:r>
    </w:p>
    <w:tbl>
      <w:tblPr>
        <w:tblStyle w:val="af1"/>
        <w:tblW w:w="5000" w:type="pct"/>
        <w:tblLook w:val="04A0" w:firstRow="1" w:lastRow="0" w:firstColumn="1" w:lastColumn="0" w:noHBand="0" w:noVBand="1"/>
      </w:tblPr>
      <w:tblGrid>
        <w:gridCol w:w="5378"/>
        <w:gridCol w:w="4476"/>
      </w:tblGrid>
      <w:tr w:rsidR="00517711">
        <w:trPr>
          <w:trHeight w:val="264"/>
        </w:trPr>
        <w:tc>
          <w:tcPr>
            <w:tcW w:w="2729" w:type="pct"/>
            <w:vAlign w:val="center"/>
          </w:tcPr>
          <w:p w:rsidR="00517711" w:rsidRDefault="00F815BE">
            <w:pPr>
              <w:pStyle w:val="af4"/>
              <w:ind w:left="0"/>
              <w:jc w:val="center"/>
              <w:rPr>
                <w:rFonts w:ascii="Times New Roman" w:hAnsi="Times New Roman"/>
                <w:sz w:val="18"/>
                <w:szCs w:val="24"/>
              </w:rPr>
            </w:pPr>
            <w:r>
              <w:rPr>
                <w:rStyle w:val="affe"/>
                <w:rFonts w:ascii="Times New Roman" w:hAnsi="Times New Roman"/>
                <w:sz w:val="18"/>
                <w:szCs w:val="24"/>
              </w:rPr>
              <w:t>Образование</w:t>
            </w:r>
          </w:p>
        </w:tc>
        <w:tc>
          <w:tcPr>
            <w:tcW w:w="2271" w:type="pct"/>
            <w:vAlign w:val="center"/>
          </w:tcPr>
          <w:p w:rsidR="00517711" w:rsidRDefault="00F815BE">
            <w:pPr>
              <w:pStyle w:val="af4"/>
              <w:ind w:left="0"/>
              <w:jc w:val="center"/>
              <w:rPr>
                <w:rFonts w:ascii="Times New Roman" w:hAnsi="Times New Roman"/>
                <w:sz w:val="18"/>
                <w:szCs w:val="24"/>
              </w:rPr>
            </w:pPr>
            <w:r>
              <w:rPr>
                <w:rStyle w:val="affe"/>
                <w:rFonts w:ascii="Times New Roman" w:hAnsi="Times New Roman"/>
                <w:sz w:val="18"/>
                <w:szCs w:val="24"/>
              </w:rPr>
              <w:t>% ответивших</w:t>
            </w:r>
          </w:p>
        </w:tc>
      </w:tr>
      <w:tr w:rsidR="00517711">
        <w:trPr>
          <w:trHeight w:val="70"/>
        </w:trPr>
        <w:tc>
          <w:tcPr>
            <w:tcW w:w="2729"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неполное среднее/среднее/среднее специальное</w:t>
            </w:r>
          </w:p>
        </w:tc>
        <w:tc>
          <w:tcPr>
            <w:tcW w:w="2271"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79,78</w:t>
            </w:r>
          </w:p>
        </w:tc>
      </w:tr>
      <w:tr w:rsidR="00517711">
        <w:trPr>
          <w:trHeight w:val="70"/>
        </w:trPr>
        <w:tc>
          <w:tcPr>
            <w:tcW w:w="2729"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незаконченное высшее</w:t>
            </w:r>
          </w:p>
        </w:tc>
        <w:tc>
          <w:tcPr>
            <w:tcW w:w="2271"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5,62</w:t>
            </w:r>
          </w:p>
        </w:tc>
      </w:tr>
      <w:tr w:rsidR="00517711">
        <w:trPr>
          <w:trHeight w:val="70"/>
        </w:trPr>
        <w:tc>
          <w:tcPr>
            <w:tcW w:w="2729"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высшее</w:t>
            </w:r>
          </w:p>
        </w:tc>
        <w:tc>
          <w:tcPr>
            <w:tcW w:w="2271"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14,61</w:t>
            </w:r>
          </w:p>
        </w:tc>
      </w:tr>
      <w:tr w:rsidR="00517711">
        <w:trPr>
          <w:trHeight w:val="70"/>
        </w:trPr>
        <w:tc>
          <w:tcPr>
            <w:tcW w:w="2729" w:type="pct"/>
            <w:vAlign w:val="center"/>
          </w:tcPr>
          <w:p w:rsidR="00517711" w:rsidRDefault="00F815BE">
            <w:pPr>
              <w:pStyle w:val="af4"/>
              <w:ind w:left="0"/>
              <w:rPr>
                <w:rFonts w:ascii="Times New Roman" w:hAnsi="Times New Roman"/>
                <w:sz w:val="18"/>
                <w:szCs w:val="24"/>
              </w:rPr>
            </w:pPr>
            <w:r>
              <w:rPr>
                <w:rStyle w:val="affe"/>
                <w:rFonts w:ascii="Times New Roman" w:hAnsi="Times New Roman"/>
                <w:sz w:val="18"/>
                <w:szCs w:val="24"/>
              </w:rPr>
              <w:t>Итого:</w:t>
            </w:r>
          </w:p>
        </w:tc>
        <w:tc>
          <w:tcPr>
            <w:tcW w:w="2271"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100,00</w:t>
            </w:r>
          </w:p>
        </w:tc>
      </w:tr>
    </w:tbl>
    <w:p w:rsidR="00517711" w:rsidRDefault="00517711">
      <w:pPr>
        <w:pStyle w:val="af4"/>
        <w:spacing w:after="0" w:line="240" w:lineRule="auto"/>
        <w:ind w:left="0" w:firstLine="709"/>
        <w:jc w:val="both"/>
        <w:rPr>
          <w:rFonts w:ascii="Times New Roman" w:hAnsi="Times New Roman"/>
          <w:sz w:val="20"/>
          <w:szCs w:val="24"/>
          <w:shd w:val="clear" w:color="auto" w:fill="FFFFFF"/>
        </w:rPr>
      </w:pPr>
      <w:bookmarkStart w:id="7" w:name="_Toc344276184"/>
    </w:p>
    <w:p w:rsidR="00517711" w:rsidRDefault="00F815BE">
      <w:pPr>
        <w:pStyle w:val="af4"/>
        <w:spacing w:after="0" w:line="240" w:lineRule="auto"/>
        <w:ind w:left="0" w:firstLine="709"/>
        <w:jc w:val="both"/>
        <w:rPr>
          <w:rFonts w:ascii="Times New Roman" w:hAnsi="Times New Roman"/>
          <w:sz w:val="20"/>
          <w:szCs w:val="24"/>
          <w:shd w:val="clear" w:color="auto" w:fill="FFFFFF"/>
        </w:rPr>
      </w:pPr>
      <w:r>
        <w:rPr>
          <w:rFonts w:ascii="Times New Roman" w:hAnsi="Times New Roman"/>
          <w:sz w:val="20"/>
          <w:szCs w:val="24"/>
          <w:shd w:val="clear" w:color="auto" w:fill="FFFFFF"/>
        </w:rPr>
        <w:lastRenderedPageBreak/>
        <w:t>По данным таблицы 3 можно сделать вывод о том, что преобладающая часть потребителей ресторана «</w:t>
      </w:r>
      <w:r>
        <w:rPr>
          <w:rFonts w:ascii="Times New Roman" w:hAnsi="Times New Roman"/>
          <w:sz w:val="20"/>
          <w:szCs w:val="24"/>
          <w:shd w:val="clear" w:color="auto" w:fill="FFFFFF"/>
          <w:lang w:val="en-US"/>
        </w:rPr>
        <w:t>Tokyo</w:t>
      </w:r>
      <w:r>
        <w:rPr>
          <w:rFonts w:ascii="Times New Roman" w:hAnsi="Times New Roman"/>
          <w:sz w:val="20"/>
          <w:szCs w:val="24"/>
          <w:shd w:val="clear" w:color="auto" w:fill="FFFFFF"/>
        </w:rPr>
        <w:t>» имеют неполное среднее, среднее или среднее специальное образование.</w:t>
      </w:r>
    </w:p>
    <w:p w:rsidR="00517711" w:rsidRDefault="00F815BE">
      <w:pPr>
        <w:pStyle w:val="af4"/>
        <w:spacing w:after="0" w:line="240" w:lineRule="auto"/>
        <w:ind w:left="0" w:firstLine="709"/>
        <w:jc w:val="both"/>
        <w:rPr>
          <w:rFonts w:ascii="Times New Roman" w:hAnsi="Times New Roman"/>
          <w:sz w:val="20"/>
          <w:szCs w:val="24"/>
          <w:shd w:val="clear" w:color="auto" w:fill="FFFFFF"/>
        </w:rPr>
      </w:pPr>
      <w:r>
        <w:rPr>
          <w:rFonts w:ascii="Times New Roman" w:hAnsi="Times New Roman"/>
          <w:sz w:val="20"/>
          <w:szCs w:val="24"/>
          <w:shd w:val="clear" w:color="auto" w:fill="FFFFFF"/>
        </w:rPr>
        <w:t>По семейному положению гости ресторана распределены следующим образом (таблица 4):</w:t>
      </w:r>
      <w:bookmarkEnd w:id="7"/>
    </w:p>
    <w:p w:rsidR="00517711" w:rsidRDefault="00F815BE">
      <w:pPr>
        <w:pStyle w:val="aff0"/>
      </w:pPr>
      <w:r>
        <w:t xml:space="preserve">Таблица 4 </w:t>
      </w:r>
    </w:p>
    <w:p w:rsidR="00517711" w:rsidRDefault="00F815BE">
      <w:pPr>
        <w:pStyle w:val="afa"/>
        <w:keepNext/>
        <w:widowControl/>
        <w:spacing w:before="120" w:after="120"/>
        <w:jc w:val="center"/>
        <w:outlineLvl w:val="0"/>
        <w:rPr>
          <w:b/>
          <w:sz w:val="20"/>
          <w:szCs w:val="20"/>
        </w:rPr>
      </w:pPr>
      <w:r>
        <w:rPr>
          <w:b/>
          <w:sz w:val="20"/>
          <w:szCs w:val="20"/>
        </w:rPr>
        <w:t xml:space="preserve">Семейное положение гостей ресторана </w:t>
      </w:r>
    </w:p>
    <w:tbl>
      <w:tblPr>
        <w:tblStyle w:val="af1"/>
        <w:tblW w:w="5000" w:type="pct"/>
        <w:tblLook w:val="04A0" w:firstRow="1" w:lastRow="0" w:firstColumn="1" w:lastColumn="0" w:noHBand="0" w:noVBand="1"/>
      </w:tblPr>
      <w:tblGrid>
        <w:gridCol w:w="5609"/>
        <w:gridCol w:w="4245"/>
      </w:tblGrid>
      <w:tr w:rsidR="00517711">
        <w:trPr>
          <w:trHeight w:val="70"/>
        </w:trPr>
        <w:tc>
          <w:tcPr>
            <w:tcW w:w="2846" w:type="pct"/>
            <w:vAlign w:val="center"/>
          </w:tcPr>
          <w:p w:rsidR="00517711" w:rsidRDefault="00F815BE">
            <w:pPr>
              <w:pStyle w:val="af4"/>
              <w:ind w:left="0"/>
              <w:jc w:val="center"/>
              <w:rPr>
                <w:rFonts w:ascii="Times New Roman" w:hAnsi="Times New Roman"/>
                <w:sz w:val="18"/>
                <w:szCs w:val="24"/>
              </w:rPr>
            </w:pPr>
            <w:r>
              <w:rPr>
                <w:rStyle w:val="affe"/>
                <w:rFonts w:ascii="Times New Roman" w:hAnsi="Times New Roman"/>
                <w:sz w:val="18"/>
                <w:szCs w:val="24"/>
              </w:rPr>
              <w:t>Семейное положение</w:t>
            </w:r>
          </w:p>
        </w:tc>
        <w:tc>
          <w:tcPr>
            <w:tcW w:w="2154" w:type="pct"/>
            <w:vAlign w:val="center"/>
          </w:tcPr>
          <w:p w:rsidR="00517711" w:rsidRDefault="00F815BE">
            <w:pPr>
              <w:pStyle w:val="af4"/>
              <w:ind w:left="0"/>
              <w:jc w:val="center"/>
              <w:rPr>
                <w:rFonts w:ascii="Times New Roman" w:hAnsi="Times New Roman"/>
                <w:sz w:val="18"/>
                <w:szCs w:val="24"/>
              </w:rPr>
            </w:pPr>
            <w:r>
              <w:rPr>
                <w:rStyle w:val="affe"/>
                <w:rFonts w:ascii="Times New Roman" w:hAnsi="Times New Roman"/>
                <w:sz w:val="18"/>
                <w:szCs w:val="24"/>
              </w:rPr>
              <w:t>% ответивших</w:t>
            </w:r>
          </w:p>
        </w:tc>
      </w:tr>
      <w:tr w:rsidR="00517711">
        <w:trPr>
          <w:trHeight w:val="280"/>
        </w:trPr>
        <w:tc>
          <w:tcPr>
            <w:tcW w:w="2846"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замужем/женат/живем вместе</w:t>
            </w:r>
          </w:p>
        </w:tc>
        <w:tc>
          <w:tcPr>
            <w:tcW w:w="2154"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53,93</w:t>
            </w:r>
          </w:p>
        </w:tc>
      </w:tr>
      <w:tr w:rsidR="00517711">
        <w:trPr>
          <w:trHeight w:val="70"/>
        </w:trPr>
        <w:tc>
          <w:tcPr>
            <w:tcW w:w="2846"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не замужем/неженат</w:t>
            </w:r>
          </w:p>
        </w:tc>
        <w:tc>
          <w:tcPr>
            <w:tcW w:w="2154"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32,58</w:t>
            </w:r>
          </w:p>
        </w:tc>
      </w:tr>
      <w:tr w:rsidR="00517711">
        <w:trPr>
          <w:trHeight w:val="70"/>
        </w:trPr>
        <w:tc>
          <w:tcPr>
            <w:tcW w:w="2846"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живем отдельно/разведены/вдовец(а)</w:t>
            </w:r>
          </w:p>
        </w:tc>
        <w:tc>
          <w:tcPr>
            <w:tcW w:w="2154"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13,48</w:t>
            </w:r>
          </w:p>
        </w:tc>
      </w:tr>
      <w:tr w:rsidR="00517711">
        <w:trPr>
          <w:trHeight w:val="70"/>
        </w:trPr>
        <w:tc>
          <w:tcPr>
            <w:tcW w:w="2846" w:type="pct"/>
            <w:vAlign w:val="center"/>
          </w:tcPr>
          <w:p w:rsidR="00517711" w:rsidRDefault="00F815BE">
            <w:pPr>
              <w:pStyle w:val="af4"/>
              <w:ind w:left="0"/>
              <w:rPr>
                <w:rFonts w:ascii="Times New Roman" w:hAnsi="Times New Roman"/>
                <w:sz w:val="18"/>
                <w:szCs w:val="24"/>
              </w:rPr>
            </w:pPr>
            <w:r>
              <w:rPr>
                <w:rStyle w:val="affe"/>
                <w:rFonts w:ascii="Times New Roman" w:hAnsi="Times New Roman"/>
                <w:sz w:val="18"/>
                <w:szCs w:val="24"/>
              </w:rPr>
              <w:t>Итого:</w:t>
            </w:r>
          </w:p>
        </w:tc>
        <w:tc>
          <w:tcPr>
            <w:tcW w:w="2154"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100,00</w:t>
            </w:r>
          </w:p>
        </w:tc>
      </w:tr>
    </w:tbl>
    <w:p w:rsidR="00517711" w:rsidRDefault="00517711">
      <w:pPr>
        <w:pStyle w:val="af4"/>
        <w:spacing w:after="0" w:line="240" w:lineRule="auto"/>
        <w:ind w:left="0" w:firstLine="709"/>
        <w:jc w:val="both"/>
        <w:rPr>
          <w:rFonts w:ascii="Times New Roman" w:hAnsi="Times New Roman"/>
          <w:sz w:val="20"/>
          <w:szCs w:val="24"/>
          <w:shd w:val="clear" w:color="auto" w:fill="FFFFFF"/>
        </w:rPr>
      </w:pPr>
      <w:bookmarkStart w:id="8" w:name="_Toc344276185"/>
    </w:p>
    <w:p w:rsidR="00517711" w:rsidRDefault="00F815BE">
      <w:pPr>
        <w:pStyle w:val="af4"/>
        <w:spacing w:after="0" w:line="240" w:lineRule="auto"/>
        <w:ind w:left="0" w:firstLine="709"/>
        <w:jc w:val="both"/>
        <w:rPr>
          <w:rFonts w:ascii="Times New Roman" w:hAnsi="Times New Roman"/>
          <w:sz w:val="20"/>
          <w:szCs w:val="24"/>
          <w:shd w:val="clear" w:color="auto" w:fill="FFFFFF"/>
        </w:rPr>
      </w:pPr>
      <w:r>
        <w:rPr>
          <w:rFonts w:ascii="Times New Roman" w:hAnsi="Times New Roman"/>
          <w:sz w:val="20"/>
          <w:szCs w:val="24"/>
          <w:shd w:val="clear" w:color="auto" w:fill="FFFFFF"/>
        </w:rPr>
        <w:t>Из таблицы следует, что основная часть потребителей ресторана «</w:t>
      </w:r>
      <w:r>
        <w:rPr>
          <w:rFonts w:ascii="Times New Roman" w:hAnsi="Times New Roman"/>
          <w:sz w:val="20"/>
          <w:szCs w:val="24"/>
          <w:shd w:val="clear" w:color="auto" w:fill="FFFFFF"/>
          <w:lang w:val="en-US"/>
        </w:rPr>
        <w:t>Tokyo</w:t>
      </w:r>
      <w:r>
        <w:rPr>
          <w:rFonts w:ascii="Times New Roman" w:hAnsi="Times New Roman"/>
          <w:sz w:val="20"/>
          <w:szCs w:val="24"/>
          <w:shd w:val="clear" w:color="auto" w:fill="FFFFFF"/>
        </w:rPr>
        <w:t>» – замужем, женаты или живут вместе.</w:t>
      </w:r>
    </w:p>
    <w:p w:rsidR="00517711" w:rsidRDefault="00F815BE">
      <w:pPr>
        <w:pStyle w:val="af4"/>
        <w:spacing w:after="0" w:line="240" w:lineRule="auto"/>
        <w:ind w:left="0" w:firstLine="709"/>
        <w:jc w:val="both"/>
        <w:rPr>
          <w:rFonts w:ascii="Times New Roman" w:hAnsi="Times New Roman"/>
          <w:sz w:val="20"/>
          <w:szCs w:val="24"/>
          <w:shd w:val="clear" w:color="auto" w:fill="FFFFFF"/>
        </w:rPr>
      </w:pPr>
      <w:r>
        <w:rPr>
          <w:rFonts w:ascii="Times New Roman" w:hAnsi="Times New Roman"/>
          <w:sz w:val="20"/>
          <w:szCs w:val="24"/>
          <w:shd w:val="clear" w:color="auto" w:fill="FFFFFF"/>
        </w:rPr>
        <w:t>Социальный статус потребителей услуг общественного питания представлен в таблице 5.</w:t>
      </w:r>
    </w:p>
    <w:p w:rsidR="00517711" w:rsidRDefault="00F815BE">
      <w:pPr>
        <w:pStyle w:val="aff0"/>
      </w:pPr>
      <w:r>
        <w:t xml:space="preserve">Таблица 5 </w:t>
      </w:r>
    </w:p>
    <w:p w:rsidR="00517711" w:rsidRDefault="00F815BE">
      <w:pPr>
        <w:pStyle w:val="afa"/>
        <w:keepNext/>
        <w:widowControl/>
        <w:spacing w:before="120" w:after="120"/>
        <w:jc w:val="center"/>
        <w:outlineLvl w:val="0"/>
        <w:rPr>
          <w:b/>
          <w:sz w:val="20"/>
          <w:szCs w:val="20"/>
        </w:rPr>
      </w:pPr>
      <w:r>
        <w:rPr>
          <w:b/>
          <w:sz w:val="20"/>
          <w:szCs w:val="20"/>
        </w:rPr>
        <w:t>Социальный статус потребителей услуг общественного питания</w:t>
      </w:r>
    </w:p>
    <w:tbl>
      <w:tblPr>
        <w:tblStyle w:val="af1"/>
        <w:tblW w:w="5000" w:type="pct"/>
        <w:tblLook w:val="04A0" w:firstRow="1" w:lastRow="0" w:firstColumn="1" w:lastColumn="0" w:noHBand="0" w:noVBand="1"/>
      </w:tblPr>
      <w:tblGrid>
        <w:gridCol w:w="7310"/>
        <w:gridCol w:w="2544"/>
      </w:tblGrid>
      <w:tr w:rsidR="00517711">
        <w:trPr>
          <w:trHeight w:val="70"/>
        </w:trPr>
        <w:tc>
          <w:tcPr>
            <w:tcW w:w="3709" w:type="pct"/>
            <w:vAlign w:val="center"/>
          </w:tcPr>
          <w:p w:rsidR="00517711" w:rsidRDefault="00F815BE">
            <w:pPr>
              <w:pStyle w:val="af4"/>
              <w:ind w:left="0"/>
              <w:jc w:val="center"/>
              <w:rPr>
                <w:rFonts w:ascii="Times New Roman" w:hAnsi="Times New Roman"/>
                <w:sz w:val="18"/>
                <w:szCs w:val="24"/>
              </w:rPr>
            </w:pPr>
            <w:r>
              <w:rPr>
                <w:rStyle w:val="affe"/>
                <w:rFonts w:ascii="Times New Roman" w:hAnsi="Times New Roman"/>
                <w:sz w:val="18"/>
                <w:szCs w:val="24"/>
              </w:rPr>
              <w:t>Профессиональный статус</w:t>
            </w:r>
          </w:p>
        </w:tc>
        <w:tc>
          <w:tcPr>
            <w:tcW w:w="1291" w:type="pct"/>
            <w:vAlign w:val="center"/>
          </w:tcPr>
          <w:p w:rsidR="00517711" w:rsidRDefault="00F815BE">
            <w:pPr>
              <w:pStyle w:val="af4"/>
              <w:ind w:left="0"/>
              <w:jc w:val="center"/>
              <w:rPr>
                <w:rFonts w:ascii="Times New Roman" w:hAnsi="Times New Roman"/>
                <w:sz w:val="18"/>
                <w:szCs w:val="24"/>
              </w:rPr>
            </w:pPr>
            <w:r>
              <w:rPr>
                <w:rStyle w:val="affe"/>
                <w:rFonts w:ascii="Times New Roman" w:hAnsi="Times New Roman"/>
                <w:sz w:val="18"/>
                <w:szCs w:val="24"/>
              </w:rPr>
              <w:t>% ответивших</w:t>
            </w:r>
          </w:p>
        </w:tc>
      </w:tr>
      <w:tr w:rsidR="00517711">
        <w:trPr>
          <w:trHeight w:val="70"/>
        </w:trPr>
        <w:tc>
          <w:tcPr>
            <w:tcW w:w="3709"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руководитель, директор (со) владелец (организации)</w:t>
            </w:r>
          </w:p>
        </w:tc>
        <w:tc>
          <w:tcPr>
            <w:tcW w:w="1291"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1,12</w:t>
            </w:r>
          </w:p>
        </w:tc>
      </w:tr>
      <w:tr w:rsidR="00517711">
        <w:trPr>
          <w:trHeight w:val="70"/>
        </w:trPr>
        <w:tc>
          <w:tcPr>
            <w:tcW w:w="3709"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зам. руководителя / старший менеджер</w:t>
            </w:r>
          </w:p>
        </w:tc>
        <w:tc>
          <w:tcPr>
            <w:tcW w:w="1291"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0,00</w:t>
            </w:r>
          </w:p>
        </w:tc>
      </w:tr>
      <w:tr w:rsidR="00517711">
        <w:trPr>
          <w:trHeight w:val="70"/>
        </w:trPr>
        <w:tc>
          <w:tcPr>
            <w:tcW w:w="3709"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специалист с высшим образованием</w:t>
            </w:r>
          </w:p>
        </w:tc>
        <w:tc>
          <w:tcPr>
            <w:tcW w:w="1291"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8,99</w:t>
            </w:r>
          </w:p>
        </w:tc>
      </w:tr>
      <w:tr w:rsidR="00517711">
        <w:trPr>
          <w:trHeight w:val="70"/>
        </w:trPr>
        <w:tc>
          <w:tcPr>
            <w:tcW w:w="3709"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служащий без высшего образования</w:t>
            </w:r>
          </w:p>
        </w:tc>
        <w:tc>
          <w:tcPr>
            <w:tcW w:w="1291" w:type="pct"/>
            <w:vAlign w:val="center"/>
          </w:tcPr>
          <w:p w:rsidR="00517711" w:rsidRDefault="00F815BE">
            <w:pPr>
              <w:pStyle w:val="af4"/>
              <w:ind w:left="0"/>
              <w:jc w:val="center"/>
              <w:rPr>
                <w:rFonts w:ascii="Times New Roman" w:hAnsi="Times New Roman"/>
                <w:sz w:val="18"/>
                <w:szCs w:val="24"/>
              </w:rPr>
            </w:pPr>
            <w:r>
              <w:rPr>
                <w:rStyle w:val="affe"/>
                <w:rFonts w:ascii="Times New Roman" w:hAnsi="Times New Roman"/>
                <w:b w:val="0"/>
                <w:sz w:val="18"/>
                <w:szCs w:val="24"/>
              </w:rPr>
              <w:t>19,10</w:t>
            </w:r>
          </w:p>
        </w:tc>
      </w:tr>
      <w:tr w:rsidR="00517711">
        <w:trPr>
          <w:trHeight w:val="70"/>
        </w:trPr>
        <w:tc>
          <w:tcPr>
            <w:tcW w:w="3709"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творческая профессия</w:t>
            </w:r>
          </w:p>
        </w:tc>
        <w:tc>
          <w:tcPr>
            <w:tcW w:w="1291"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0,00</w:t>
            </w:r>
          </w:p>
        </w:tc>
      </w:tr>
      <w:tr w:rsidR="00517711">
        <w:trPr>
          <w:trHeight w:val="70"/>
        </w:trPr>
        <w:tc>
          <w:tcPr>
            <w:tcW w:w="3709"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рабочий</w:t>
            </w:r>
          </w:p>
        </w:tc>
        <w:tc>
          <w:tcPr>
            <w:tcW w:w="1291" w:type="pct"/>
            <w:vAlign w:val="center"/>
          </w:tcPr>
          <w:p w:rsidR="00517711" w:rsidRDefault="00F815BE">
            <w:pPr>
              <w:pStyle w:val="af4"/>
              <w:ind w:left="0"/>
              <w:jc w:val="center"/>
              <w:rPr>
                <w:rFonts w:ascii="Times New Roman" w:hAnsi="Times New Roman"/>
                <w:sz w:val="18"/>
                <w:szCs w:val="24"/>
              </w:rPr>
            </w:pPr>
            <w:r>
              <w:rPr>
                <w:rStyle w:val="affe"/>
                <w:rFonts w:ascii="Times New Roman" w:hAnsi="Times New Roman"/>
                <w:b w:val="0"/>
                <w:sz w:val="18"/>
                <w:szCs w:val="24"/>
              </w:rPr>
              <w:t>26,97</w:t>
            </w:r>
          </w:p>
        </w:tc>
      </w:tr>
      <w:tr w:rsidR="00517711">
        <w:trPr>
          <w:trHeight w:val="70"/>
        </w:trPr>
        <w:tc>
          <w:tcPr>
            <w:tcW w:w="3709"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малый бизнес, частная практика</w:t>
            </w:r>
          </w:p>
        </w:tc>
        <w:tc>
          <w:tcPr>
            <w:tcW w:w="1291"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3,37</w:t>
            </w:r>
          </w:p>
        </w:tc>
      </w:tr>
      <w:tr w:rsidR="00517711">
        <w:trPr>
          <w:trHeight w:val="70"/>
        </w:trPr>
        <w:tc>
          <w:tcPr>
            <w:tcW w:w="3709"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военнослужащий</w:t>
            </w:r>
          </w:p>
        </w:tc>
        <w:tc>
          <w:tcPr>
            <w:tcW w:w="1291"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2,25</w:t>
            </w:r>
          </w:p>
        </w:tc>
      </w:tr>
      <w:tr w:rsidR="00517711">
        <w:trPr>
          <w:trHeight w:val="70"/>
        </w:trPr>
        <w:tc>
          <w:tcPr>
            <w:tcW w:w="3709"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учащийся, студент</w:t>
            </w:r>
          </w:p>
        </w:tc>
        <w:tc>
          <w:tcPr>
            <w:tcW w:w="1291" w:type="pct"/>
            <w:vAlign w:val="center"/>
          </w:tcPr>
          <w:p w:rsidR="00517711" w:rsidRDefault="00F815BE">
            <w:pPr>
              <w:pStyle w:val="af4"/>
              <w:ind w:left="0"/>
              <w:jc w:val="center"/>
              <w:rPr>
                <w:rFonts w:ascii="Times New Roman" w:hAnsi="Times New Roman"/>
                <w:sz w:val="18"/>
                <w:szCs w:val="24"/>
              </w:rPr>
            </w:pPr>
            <w:r>
              <w:rPr>
                <w:rStyle w:val="affe"/>
                <w:rFonts w:ascii="Times New Roman" w:hAnsi="Times New Roman"/>
                <w:b w:val="0"/>
                <w:sz w:val="18"/>
                <w:szCs w:val="24"/>
              </w:rPr>
              <w:t>17,98</w:t>
            </w:r>
          </w:p>
        </w:tc>
      </w:tr>
      <w:tr w:rsidR="00517711">
        <w:trPr>
          <w:trHeight w:val="70"/>
        </w:trPr>
        <w:tc>
          <w:tcPr>
            <w:tcW w:w="3709"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пенсионер</w:t>
            </w:r>
          </w:p>
        </w:tc>
        <w:tc>
          <w:tcPr>
            <w:tcW w:w="1291"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11,24</w:t>
            </w:r>
          </w:p>
        </w:tc>
      </w:tr>
      <w:tr w:rsidR="00517711">
        <w:trPr>
          <w:trHeight w:val="70"/>
        </w:trPr>
        <w:tc>
          <w:tcPr>
            <w:tcW w:w="3709"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временно не работаю (ищу работу)</w:t>
            </w:r>
          </w:p>
        </w:tc>
        <w:tc>
          <w:tcPr>
            <w:tcW w:w="1291"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4,49</w:t>
            </w:r>
          </w:p>
        </w:tc>
      </w:tr>
      <w:tr w:rsidR="00517711">
        <w:trPr>
          <w:trHeight w:val="70"/>
        </w:trPr>
        <w:tc>
          <w:tcPr>
            <w:tcW w:w="3709"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не работаю (не ищу работу), домохозяйка</w:t>
            </w:r>
          </w:p>
        </w:tc>
        <w:tc>
          <w:tcPr>
            <w:tcW w:w="1291"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4,49</w:t>
            </w:r>
          </w:p>
        </w:tc>
      </w:tr>
      <w:tr w:rsidR="00517711">
        <w:trPr>
          <w:trHeight w:val="70"/>
        </w:trPr>
        <w:tc>
          <w:tcPr>
            <w:tcW w:w="3709" w:type="pct"/>
            <w:vAlign w:val="center"/>
          </w:tcPr>
          <w:p w:rsidR="00517711" w:rsidRDefault="00F815BE">
            <w:pPr>
              <w:pStyle w:val="af4"/>
              <w:ind w:left="0"/>
              <w:rPr>
                <w:rFonts w:ascii="Times New Roman" w:hAnsi="Times New Roman"/>
                <w:sz w:val="18"/>
                <w:szCs w:val="24"/>
              </w:rPr>
            </w:pPr>
            <w:r>
              <w:rPr>
                <w:rStyle w:val="affe"/>
                <w:rFonts w:ascii="Times New Roman" w:hAnsi="Times New Roman"/>
                <w:sz w:val="18"/>
                <w:szCs w:val="24"/>
              </w:rPr>
              <w:t>Итого:</w:t>
            </w:r>
          </w:p>
        </w:tc>
        <w:tc>
          <w:tcPr>
            <w:tcW w:w="1291"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100,00</w:t>
            </w:r>
          </w:p>
        </w:tc>
      </w:tr>
    </w:tbl>
    <w:p w:rsidR="00517711" w:rsidRDefault="00517711">
      <w:pPr>
        <w:pStyle w:val="af4"/>
        <w:spacing w:after="0" w:line="240" w:lineRule="auto"/>
        <w:ind w:left="0" w:firstLine="709"/>
        <w:jc w:val="both"/>
        <w:rPr>
          <w:rFonts w:ascii="Times New Roman" w:hAnsi="Times New Roman"/>
          <w:sz w:val="20"/>
          <w:szCs w:val="24"/>
        </w:rPr>
      </w:pPr>
      <w:bookmarkStart w:id="9" w:name="_Toc344276187"/>
      <w:bookmarkEnd w:id="8"/>
    </w:p>
    <w:p w:rsidR="00517711" w:rsidRDefault="00F815BE">
      <w:pPr>
        <w:pStyle w:val="af4"/>
        <w:spacing w:after="0" w:line="240" w:lineRule="auto"/>
        <w:ind w:left="0" w:firstLine="709"/>
        <w:jc w:val="both"/>
        <w:rPr>
          <w:rFonts w:ascii="Times New Roman" w:hAnsi="Times New Roman"/>
          <w:sz w:val="20"/>
          <w:szCs w:val="24"/>
        </w:rPr>
      </w:pPr>
      <w:r>
        <w:rPr>
          <w:rFonts w:ascii="Times New Roman" w:hAnsi="Times New Roman"/>
          <w:sz w:val="20"/>
          <w:szCs w:val="24"/>
        </w:rPr>
        <w:t>По представленным данным из таблицы 5 можно выделить три основные социальные группы гостей. Самая многочисленная из них – рабочие, на втором месте – служащие без высшего образования, а на третьем – учащиеся и студенты.</w:t>
      </w:r>
    </w:p>
    <w:p w:rsidR="00517711" w:rsidRDefault="00F815BE">
      <w:pPr>
        <w:pStyle w:val="af4"/>
        <w:spacing w:after="0" w:line="240" w:lineRule="auto"/>
        <w:ind w:left="0" w:firstLine="709"/>
        <w:jc w:val="both"/>
        <w:rPr>
          <w:rFonts w:ascii="Times New Roman" w:hAnsi="Times New Roman"/>
          <w:sz w:val="20"/>
          <w:szCs w:val="24"/>
          <w:shd w:val="clear" w:color="auto" w:fill="FFFFFF"/>
        </w:rPr>
      </w:pPr>
      <w:r>
        <w:rPr>
          <w:rFonts w:ascii="Times New Roman" w:hAnsi="Times New Roman"/>
          <w:sz w:val="20"/>
          <w:szCs w:val="24"/>
        </w:rPr>
        <w:t>Социальное положение (к какой из социальных групп они себя относят</w:t>
      </w:r>
      <w:r>
        <w:rPr>
          <w:rFonts w:ascii="Times New Roman" w:hAnsi="Times New Roman"/>
          <w:sz w:val="20"/>
          <w:szCs w:val="24"/>
          <w:shd w:val="clear" w:color="auto" w:fill="FFFFFF"/>
        </w:rPr>
        <w:t>):</w:t>
      </w:r>
      <w:bookmarkEnd w:id="9"/>
    </w:p>
    <w:p w:rsidR="00517711" w:rsidRDefault="00F815BE">
      <w:pPr>
        <w:pStyle w:val="aff0"/>
      </w:pPr>
      <w:r>
        <w:t xml:space="preserve">Таблица 6 </w:t>
      </w:r>
    </w:p>
    <w:p w:rsidR="00517711" w:rsidRDefault="00F815BE">
      <w:pPr>
        <w:pStyle w:val="afa"/>
        <w:keepNext/>
        <w:widowControl/>
        <w:spacing w:before="120" w:after="120"/>
        <w:jc w:val="center"/>
        <w:outlineLvl w:val="0"/>
        <w:rPr>
          <w:b/>
          <w:sz w:val="20"/>
          <w:szCs w:val="20"/>
        </w:rPr>
      </w:pPr>
      <w:r>
        <w:rPr>
          <w:b/>
          <w:sz w:val="20"/>
          <w:szCs w:val="20"/>
        </w:rPr>
        <w:t>Социальная группа потребителей услуг общественного питания</w:t>
      </w:r>
    </w:p>
    <w:tbl>
      <w:tblPr>
        <w:tblStyle w:val="af1"/>
        <w:tblW w:w="5000" w:type="pct"/>
        <w:tblLook w:val="04A0" w:firstRow="1" w:lastRow="0" w:firstColumn="1" w:lastColumn="0" w:noHBand="0" w:noVBand="1"/>
      </w:tblPr>
      <w:tblGrid>
        <w:gridCol w:w="7306"/>
        <w:gridCol w:w="2548"/>
      </w:tblGrid>
      <w:tr w:rsidR="00517711">
        <w:trPr>
          <w:trHeight w:val="70"/>
        </w:trPr>
        <w:tc>
          <w:tcPr>
            <w:tcW w:w="3707" w:type="pct"/>
            <w:vAlign w:val="center"/>
          </w:tcPr>
          <w:p w:rsidR="00517711" w:rsidRDefault="00F815BE">
            <w:pPr>
              <w:pStyle w:val="af4"/>
              <w:ind w:left="0"/>
              <w:jc w:val="center"/>
              <w:rPr>
                <w:rFonts w:ascii="Times New Roman" w:hAnsi="Times New Roman"/>
                <w:sz w:val="18"/>
                <w:szCs w:val="24"/>
              </w:rPr>
            </w:pPr>
            <w:r>
              <w:rPr>
                <w:rStyle w:val="affe"/>
                <w:rFonts w:ascii="Times New Roman" w:hAnsi="Times New Roman"/>
                <w:sz w:val="18"/>
                <w:szCs w:val="24"/>
              </w:rPr>
              <w:t>Характеристика социальной группы</w:t>
            </w:r>
          </w:p>
        </w:tc>
        <w:tc>
          <w:tcPr>
            <w:tcW w:w="1293" w:type="pct"/>
            <w:vAlign w:val="center"/>
          </w:tcPr>
          <w:p w:rsidR="00517711" w:rsidRDefault="00F815BE">
            <w:pPr>
              <w:pStyle w:val="af4"/>
              <w:ind w:left="0"/>
              <w:jc w:val="center"/>
              <w:rPr>
                <w:rFonts w:ascii="Times New Roman" w:hAnsi="Times New Roman"/>
                <w:sz w:val="18"/>
                <w:szCs w:val="24"/>
              </w:rPr>
            </w:pPr>
            <w:r>
              <w:rPr>
                <w:rStyle w:val="affe"/>
                <w:rFonts w:ascii="Times New Roman" w:hAnsi="Times New Roman"/>
                <w:sz w:val="18"/>
                <w:szCs w:val="24"/>
              </w:rPr>
              <w:t>% ответивших</w:t>
            </w:r>
          </w:p>
        </w:tc>
      </w:tr>
      <w:tr w:rsidR="00517711">
        <w:trPr>
          <w:trHeight w:val="70"/>
        </w:trPr>
        <w:tc>
          <w:tcPr>
            <w:tcW w:w="3707"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на питание денег хватает, но покупка одежды - проблема</w:t>
            </w:r>
          </w:p>
        </w:tc>
        <w:tc>
          <w:tcPr>
            <w:tcW w:w="1293" w:type="pct"/>
            <w:vAlign w:val="center"/>
          </w:tcPr>
          <w:p w:rsidR="00517711" w:rsidRDefault="00F815BE">
            <w:pPr>
              <w:pStyle w:val="af4"/>
              <w:ind w:left="0"/>
              <w:jc w:val="center"/>
              <w:rPr>
                <w:rFonts w:ascii="Times New Roman" w:hAnsi="Times New Roman"/>
                <w:b/>
                <w:sz w:val="18"/>
                <w:szCs w:val="24"/>
              </w:rPr>
            </w:pPr>
            <w:r>
              <w:rPr>
                <w:rStyle w:val="affe"/>
                <w:rFonts w:ascii="Times New Roman" w:hAnsi="Times New Roman"/>
                <w:b w:val="0"/>
                <w:sz w:val="18"/>
                <w:szCs w:val="24"/>
              </w:rPr>
              <w:t>24,72</w:t>
            </w:r>
          </w:p>
        </w:tc>
      </w:tr>
      <w:tr w:rsidR="00517711">
        <w:trPr>
          <w:trHeight w:val="70"/>
        </w:trPr>
        <w:tc>
          <w:tcPr>
            <w:tcW w:w="3707"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денег хватает на одежду, но не на крупную бытовую технику</w:t>
            </w:r>
          </w:p>
        </w:tc>
        <w:tc>
          <w:tcPr>
            <w:tcW w:w="1293" w:type="pct"/>
            <w:vAlign w:val="center"/>
          </w:tcPr>
          <w:p w:rsidR="00517711" w:rsidRDefault="00F815BE">
            <w:pPr>
              <w:pStyle w:val="af4"/>
              <w:ind w:left="0"/>
              <w:jc w:val="center"/>
              <w:rPr>
                <w:rFonts w:ascii="Times New Roman" w:hAnsi="Times New Roman"/>
                <w:b/>
                <w:sz w:val="18"/>
                <w:szCs w:val="24"/>
              </w:rPr>
            </w:pPr>
            <w:r>
              <w:rPr>
                <w:rStyle w:val="affe"/>
                <w:rFonts w:ascii="Times New Roman" w:hAnsi="Times New Roman"/>
                <w:b w:val="0"/>
                <w:sz w:val="18"/>
                <w:szCs w:val="24"/>
              </w:rPr>
              <w:t>38,20</w:t>
            </w:r>
          </w:p>
        </w:tc>
      </w:tr>
      <w:tr w:rsidR="00517711">
        <w:trPr>
          <w:trHeight w:val="70"/>
        </w:trPr>
        <w:tc>
          <w:tcPr>
            <w:tcW w:w="3707"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денег хватает на бытовую технику, но купить машину не можем</w:t>
            </w:r>
          </w:p>
        </w:tc>
        <w:tc>
          <w:tcPr>
            <w:tcW w:w="1293"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25,62</w:t>
            </w:r>
          </w:p>
        </w:tc>
      </w:tr>
      <w:tr w:rsidR="00517711">
        <w:trPr>
          <w:trHeight w:val="220"/>
        </w:trPr>
        <w:tc>
          <w:tcPr>
            <w:tcW w:w="3707"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материальных затруднений не испытываем</w:t>
            </w:r>
          </w:p>
        </w:tc>
        <w:tc>
          <w:tcPr>
            <w:tcW w:w="1293"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11,46</w:t>
            </w:r>
          </w:p>
        </w:tc>
      </w:tr>
      <w:tr w:rsidR="00517711">
        <w:trPr>
          <w:trHeight w:val="454"/>
        </w:trPr>
        <w:tc>
          <w:tcPr>
            <w:tcW w:w="3707" w:type="pct"/>
            <w:vAlign w:val="center"/>
          </w:tcPr>
          <w:p w:rsidR="00517711" w:rsidRDefault="00F815BE">
            <w:pPr>
              <w:pStyle w:val="af4"/>
              <w:ind w:left="0"/>
              <w:rPr>
                <w:rFonts w:ascii="Times New Roman" w:hAnsi="Times New Roman"/>
                <w:sz w:val="18"/>
                <w:szCs w:val="24"/>
              </w:rPr>
            </w:pPr>
            <w:r>
              <w:rPr>
                <w:rStyle w:val="affe"/>
                <w:rFonts w:ascii="Times New Roman" w:hAnsi="Times New Roman"/>
                <w:sz w:val="18"/>
                <w:szCs w:val="24"/>
              </w:rPr>
              <w:t>Итого:</w:t>
            </w:r>
          </w:p>
        </w:tc>
        <w:tc>
          <w:tcPr>
            <w:tcW w:w="1293"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100,00</w:t>
            </w:r>
          </w:p>
        </w:tc>
      </w:tr>
    </w:tbl>
    <w:p w:rsidR="00517711" w:rsidRDefault="00517711">
      <w:pPr>
        <w:pStyle w:val="af4"/>
        <w:spacing w:after="0" w:line="240" w:lineRule="auto"/>
        <w:ind w:left="0" w:firstLine="709"/>
        <w:jc w:val="both"/>
        <w:rPr>
          <w:rFonts w:ascii="Times New Roman" w:hAnsi="Times New Roman"/>
          <w:sz w:val="20"/>
          <w:szCs w:val="24"/>
        </w:rPr>
      </w:pPr>
      <w:bookmarkStart w:id="10" w:name="p2"/>
      <w:bookmarkStart w:id="11" w:name="p3"/>
      <w:bookmarkStart w:id="12" w:name="p4"/>
      <w:bookmarkStart w:id="13" w:name="_Toc344276188"/>
      <w:bookmarkEnd w:id="10"/>
      <w:bookmarkEnd w:id="11"/>
      <w:bookmarkEnd w:id="12"/>
    </w:p>
    <w:p w:rsidR="00517711" w:rsidRDefault="00F815BE">
      <w:pPr>
        <w:pStyle w:val="af4"/>
        <w:spacing w:after="0" w:line="240" w:lineRule="auto"/>
        <w:ind w:left="0" w:firstLine="709"/>
        <w:jc w:val="both"/>
        <w:rPr>
          <w:rFonts w:ascii="Times New Roman" w:hAnsi="Times New Roman"/>
          <w:sz w:val="20"/>
          <w:szCs w:val="24"/>
        </w:rPr>
      </w:pPr>
      <w:r>
        <w:rPr>
          <w:rFonts w:ascii="Times New Roman" w:hAnsi="Times New Roman"/>
          <w:sz w:val="20"/>
          <w:szCs w:val="24"/>
        </w:rPr>
        <w:t>Социальный портрет потребителей ресторана</w:t>
      </w:r>
      <w:bookmarkEnd w:id="13"/>
      <w:r>
        <w:rPr>
          <w:rFonts w:ascii="Times New Roman" w:hAnsi="Times New Roman"/>
          <w:sz w:val="20"/>
          <w:szCs w:val="24"/>
        </w:rPr>
        <w:t xml:space="preserve"> следующий</w:t>
      </w:r>
      <w:bookmarkStart w:id="14" w:name="_Toc344276190"/>
      <w:r>
        <w:rPr>
          <w:rFonts w:ascii="Times New Roman" w:hAnsi="Times New Roman"/>
          <w:sz w:val="20"/>
          <w:szCs w:val="24"/>
        </w:rPr>
        <w:t>: молодые люди в возрасте до 35 лет, большая часть посетителей не состоят в браке. По занятости это, в основном, служащие без высшего образования, рабочие, учащиеся.</w:t>
      </w:r>
      <w:bookmarkEnd w:id="14"/>
      <w:r>
        <w:rPr>
          <w:rFonts w:ascii="Times New Roman" w:hAnsi="Times New Roman"/>
          <w:sz w:val="20"/>
          <w:szCs w:val="24"/>
        </w:rPr>
        <w:t xml:space="preserve"> </w:t>
      </w:r>
    </w:p>
    <w:p w:rsidR="00517711" w:rsidRDefault="00F815BE">
      <w:pPr>
        <w:pStyle w:val="af4"/>
        <w:spacing w:after="0" w:line="240" w:lineRule="auto"/>
        <w:ind w:left="0" w:firstLine="709"/>
        <w:jc w:val="both"/>
        <w:rPr>
          <w:rFonts w:ascii="Times New Roman" w:hAnsi="Times New Roman"/>
          <w:sz w:val="20"/>
          <w:szCs w:val="24"/>
        </w:rPr>
      </w:pPr>
      <w:r>
        <w:rPr>
          <w:rFonts w:ascii="Times New Roman" w:hAnsi="Times New Roman"/>
          <w:sz w:val="20"/>
          <w:szCs w:val="24"/>
        </w:rPr>
        <w:t>Таким образом, мы видим, что преимущественным сегментом гостей ресторана «</w:t>
      </w:r>
      <w:r>
        <w:rPr>
          <w:rFonts w:ascii="Times New Roman" w:hAnsi="Times New Roman"/>
          <w:sz w:val="20"/>
          <w:szCs w:val="24"/>
          <w:lang w:val="en-US"/>
        </w:rPr>
        <w:t>Tokyo</w:t>
      </w:r>
      <w:r>
        <w:rPr>
          <w:rFonts w:ascii="Times New Roman" w:hAnsi="Times New Roman"/>
          <w:sz w:val="20"/>
          <w:szCs w:val="24"/>
        </w:rPr>
        <w:t xml:space="preserve">» являются женщины (60%) и мужчины (40%), в возрасте от 16 до 44 лет, проживающие в г. Владивосток, имеющие неполное среднее/среднее/среднее специальное образование, замужем или женаты, по профессии служащие, рабочие, учащиеся или студенты. Этому сегменту потребителей важна относительно недорогая ценовая политика заведения, его удобное месторасположение (центр) и наличие детской комнаты. </w:t>
      </w:r>
    </w:p>
    <w:p w:rsidR="00517711" w:rsidRDefault="00F815BE">
      <w:pPr>
        <w:pStyle w:val="af4"/>
        <w:spacing w:after="0" w:line="240" w:lineRule="auto"/>
        <w:ind w:left="0" w:firstLine="709"/>
        <w:jc w:val="both"/>
        <w:rPr>
          <w:rFonts w:ascii="Times New Roman" w:hAnsi="Times New Roman"/>
          <w:sz w:val="20"/>
          <w:szCs w:val="24"/>
        </w:rPr>
      </w:pPr>
      <w:r>
        <w:rPr>
          <w:rFonts w:ascii="Times New Roman" w:hAnsi="Times New Roman"/>
          <w:sz w:val="20"/>
          <w:szCs w:val="24"/>
        </w:rPr>
        <w:t xml:space="preserve">Второй по значимости сегмент – женщины (60%) и мужчины (40%), в возрасте от 45 до 60 лет, имеющие среднее специальное образование/высшее, замужем или женаты/разведены, имеющие 1-2 ребёнка, по профессии бизнесмен/специалист с высшим образованием. Эти гости отдают предпочтение высокому сервису, спокойной атмосфере и положительному имиджу ресторана. </w:t>
      </w:r>
    </w:p>
    <w:p w:rsidR="00517711" w:rsidRDefault="00F815BE">
      <w:pPr>
        <w:pStyle w:val="af4"/>
        <w:spacing w:after="0" w:line="240" w:lineRule="auto"/>
        <w:ind w:left="0" w:firstLine="709"/>
        <w:jc w:val="both"/>
        <w:rPr>
          <w:rFonts w:ascii="Times New Roman" w:hAnsi="Times New Roman"/>
          <w:sz w:val="20"/>
          <w:szCs w:val="24"/>
        </w:rPr>
      </w:pPr>
      <w:r>
        <w:rPr>
          <w:rFonts w:ascii="Times New Roman" w:hAnsi="Times New Roman"/>
          <w:sz w:val="20"/>
          <w:szCs w:val="24"/>
        </w:rPr>
        <w:lastRenderedPageBreak/>
        <w:t>Таким образом, ресторан «Токио», на основании результатов проведенной сегментации потребителей, может использовать полученные нами данные в своей деятельности с целью повышения лояльности своих постоянных клиентов, эффективности функционирования, маркетинговой политики и т. д.</w:t>
      </w:r>
    </w:p>
    <w:p w:rsidR="00517711" w:rsidRDefault="00517711">
      <w:pPr>
        <w:spacing w:after="0" w:line="240" w:lineRule="auto"/>
        <w:ind w:firstLine="709"/>
        <w:contextualSpacing/>
        <w:jc w:val="center"/>
        <w:rPr>
          <w:rFonts w:ascii="Times New Roman" w:hAnsi="Times New Roman"/>
          <w:sz w:val="20"/>
          <w:szCs w:val="24"/>
        </w:rPr>
      </w:pPr>
    </w:p>
    <w:p w:rsidR="00517711" w:rsidRDefault="00F815BE">
      <w:pPr>
        <w:spacing w:after="0" w:line="240" w:lineRule="auto"/>
        <w:ind w:firstLine="709"/>
        <w:contextualSpacing/>
        <w:jc w:val="both"/>
        <w:rPr>
          <w:rFonts w:ascii="Times New Roman" w:hAnsi="Times New Roman"/>
          <w:b/>
          <w:sz w:val="24"/>
          <w:szCs w:val="24"/>
        </w:rPr>
      </w:pPr>
      <w:r>
        <w:rPr>
          <w:noProof/>
          <w:lang w:eastAsia="ru-RU"/>
        </w:rPr>
        <mc:AlternateContent>
          <mc:Choice Requires="wps">
            <w:drawing>
              <wp:anchor distT="0" distB="0" distL="114300" distR="114300" simplePos="0" relativeHeight="251720704" behindDoc="0" locked="0" layoutInCell="1" allowOverlap="1">
                <wp:simplePos x="0" y="0"/>
                <wp:positionH relativeFrom="column">
                  <wp:posOffset>483868</wp:posOffset>
                </wp:positionH>
                <wp:positionV relativeFrom="paragraph">
                  <wp:posOffset>57150</wp:posOffset>
                </wp:positionV>
                <wp:extent cx="2240280" cy="7618"/>
                <wp:effectExtent l="0" t="0" r="26668" b="30478"/>
                <wp:wrapNone/>
                <wp:docPr id="34" name="Прямая соединительная линия 77"/>
                <wp:cNvGraphicFramePr/>
                <a:graphic xmlns:a="http://schemas.openxmlformats.org/drawingml/2006/main">
                  <a:graphicData uri="http://schemas.microsoft.com/office/word/2010/wordprocessingShape">
                    <wps:wsp>
                      <wps:cNvCnPr/>
                      <wps:spPr bwMode="auto">
                        <a:xfrm flipV="1">
                          <a:off x="0" y="0"/>
                          <a:ext cx="224028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5985681" id="Прямая соединительная линия 77" o:spid="_x0000_s1026" style="position:absolute;flip: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1pt,4.5pt" to="214.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" strokecolor="black [3040]"/>
            </w:pict>
          </mc:Fallback>
        </mc:AlternateContent>
      </w:r>
    </w:p>
    <w:p w:rsidR="00517711" w:rsidRDefault="00F815BE">
      <w:pPr>
        <w:numPr>
          <w:ilvl w:val="0"/>
          <w:numId w:val="65"/>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Юшкова А.И. Особенности позиционирования предприятия общественного питания на современном рынке // Российское предпринимательство. − 2011. − № 9. – Вып. 2 (192). – С. 123-127.</w:t>
      </w:r>
    </w:p>
    <w:p w:rsidR="00517711" w:rsidRDefault="00F815BE">
      <w:pPr>
        <w:numPr>
          <w:ilvl w:val="0"/>
          <w:numId w:val="65"/>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Костина Г.Д. Поведение потребителей на рынке товаров и услуг: учебное пособие для студентов вузов / Г.Д. Костина, Н.К. Моисеева. – 2-е изд., стер. – М.: Омега-Л, 2012. – 175 с.</w:t>
      </w:r>
    </w:p>
    <w:p w:rsidR="00517711" w:rsidRDefault="00F815BE">
      <w:pPr>
        <w:numPr>
          <w:ilvl w:val="0"/>
          <w:numId w:val="65"/>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Романов А.А. Маркетинг: учеб. пособие для студентов вузов / А.А. Романов, В.П. Басенко, Б.М. Жуков. – М.: Дашков и К*, 2013. – 440 с.</w:t>
      </w:r>
    </w:p>
    <w:p w:rsidR="00517711" w:rsidRDefault="00F815BE">
      <w:pPr>
        <w:numPr>
          <w:ilvl w:val="0"/>
          <w:numId w:val="65"/>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Багиев Г.Л. Основы современного маркетинга: учеб.-нагляд. пособие / Г.Л. Багиев, И.А. Аренков. – СПб.: СПбУЭФ, 2015. – 116 с.</w:t>
      </w:r>
    </w:p>
    <w:p w:rsidR="00517711" w:rsidRDefault="00F815BE">
      <w:pPr>
        <w:numPr>
          <w:ilvl w:val="0"/>
          <w:numId w:val="65"/>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Тубол Т.П. Анализ дислокации сети предприятий общественного питания по городу Владивостоку [Электронный ресурс] / Т.П. Тубол, Т.П. Ковтун // Известия дальневосточного федерального университета. Экономика и управление: науч. электрон. журнал – 2015 – №4. – Режим доступа: https://jem.dvfu.ru.</w:t>
      </w:r>
    </w:p>
    <w:p w:rsidR="00517711" w:rsidRDefault="00F815BE">
      <w:pPr>
        <w:numPr>
          <w:ilvl w:val="0"/>
          <w:numId w:val="65"/>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Николаевская Ю.В. Состояние инфраструктуры туризма в Приморском крае [Электронный ресурс] / Ю.В. Николаевская // Известия дальневосточного федерального университета. Экономика и управление: науч. электрон. журнал – 2016 – №2. – Режим доступа: https://jem.dvfu.ru</w:t>
      </w:r>
    </w:p>
    <w:p w:rsidR="00517711" w:rsidRDefault="00F815BE">
      <w:pPr>
        <w:numPr>
          <w:ilvl w:val="0"/>
          <w:numId w:val="65"/>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О ситуации на потребительском рынке услуг в Приморском крае в 2016 году. 2017: аналитическая записка / отв. за вып. Л.Н. Кривобород. – Владивосток: Приморскстат, 2017. – 35 с. </w:t>
      </w:r>
    </w:p>
    <w:p w:rsidR="00517711" w:rsidRDefault="00F815BE">
      <w:pPr>
        <w:numPr>
          <w:ilvl w:val="0"/>
          <w:numId w:val="65"/>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Пак В.Г. Элементы внешней среды предприятий общественного питания [Элек-тронный ресурс] / В.Г. Пак // Известия Дальневосточного федерального университета. Эко-номика и управление: науч. электрон. журнал – 2015 – №4. – Режим доступа: https://jem.dvfu.ru.</w:t>
      </w:r>
    </w:p>
    <w:p w:rsidR="00517711" w:rsidRDefault="00517711">
      <w:pPr>
        <w:spacing w:after="0" w:line="240" w:lineRule="auto"/>
        <w:jc w:val="center"/>
        <w:rPr>
          <w:rFonts w:ascii="Times New Roman" w:eastAsia="Calibri" w:hAnsi="Times New Roman"/>
          <w:b/>
          <w:color w:val="000000"/>
          <w:sz w:val="24"/>
          <w:szCs w:val="24"/>
          <w:lang w:eastAsia="ko-KR"/>
        </w:rPr>
      </w:pPr>
    </w:p>
    <w:p w:rsidR="00517711" w:rsidRDefault="00F815BE">
      <w:pPr>
        <w:spacing w:after="0" w:line="240" w:lineRule="auto"/>
        <w:jc w:val="both"/>
        <w:rPr>
          <w:rFonts w:ascii="Times New Roman" w:eastAsia="Calibri" w:hAnsi="Times New Roman"/>
          <w:b/>
          <w:color w:val="000000"/>
          <w:sz w:val="20"/>
          <w:szCs w:val="24"/>
          <w:lang w:eastAsia="ko-KR"/>
        </w:rPr>
      </w:pPr>
      <w:r>
        <w:rPr>
          <w:rFonts w:ascii="Times New Roman" w:eastAsia="Calibri" w:hAnsi="Times New Roman"/>
          <w:b/>
          <w:color w:val="000000" w:themeColor="text1"/>
          <w:sz w:val="20"/>
          <w:szCs w:val="24"/>
          <w:lang w:eastAsia="ko-KR"/>
        </w:rPr>
        <w:t>Рубрика: Качество услуг и технологий в индустрии гостеприимства</w:t>
      </w:r>
    </w:p>
    <w:p w:rsidR="00517711" w:rsidRDefault="00517711">
      <w:pPr>
        <w:spacing w:after="0" w:line="240" w:lineRule="auto"/>
        <w:jc w:val="both"/>
        <w:rPr>
          <w:rFonts w:ascii="Times New Roman" w:eastAsia="Calibri" w:hAnsi="Times New Roman"/>
          <w:b/>
          <w:color w:val="000000"/>
          <w:sz w:val="20"/>
          <w:szCs w:val="24"/>
          <w:lang w:eastAsia="ko-KR"/>
        </w:rPr>
      </w:pPr>
    </w:p>
    <w:p w:rsidR="00517711" w:rsidRDefault="00F815BE">
      <w:pPr>
        <w:spacing w:after="0" w:line="240" w:lineRule="auto"/>
        <w:jc w:val="both"/>
        <w:rPr>
          <w:rFonts w:ascii="Times New Roman" w:eastAsia="Calibri" w:hAnsi="Times New Roman"/>
          <w:color w:val="000000"/>
          <w:sz w:val="20"/>
          <w:szCs w:val="24"/>
          <w:lang w:eastAsia="ko-KR"/>
        </w:rPr>
      </w:pPr>
      <w:r>
        <w:rPr>
          <w:rFonts w:ascii="Times New Roman" w:eastAsia="Calibri" w:hAnsi="Times New Roman"/>
          <w:color w:val="000000" w:themeColor="text1"/>
          <w:sz w:val="20"/>
          <w:szCs w:val="24"/>
          <w:lang w:eastAsia="ko-KR"/>
        </w:rPr>
        <w:t>УДК 379.822</w:t>
      </w:r>
    </w:p>
    <w:p w:rsidR="00517711" w:rsidRDefault="00517711">
      <w:pPr>
        <w:spacing w:line="240" w:lineRule="auto"/>
        <w:rPr>
          <w:b/>
          <w:color w:val="000000"/>
          <w:sz w:val="24"/>
          <w:szCs w:val="24"/>
          <w:lang w:eastAsia="ko-KR"/>
        </w:rPr>
      </w:pPr>
    </w:p>
    <w:p w:rsidR="00517711" w:rsidRDefault="00F815BE">
      <w:pPr>
        <w:spacing w:after="0" w:line="240" w:lineRule="auto"/>
        <w:jc w:val="center"/>
        <w:rPr>
          <w:rFonts w:ascii="Book Antiqua" w:eastAsia="Calibri" w:hAnsi="Book Antiqua"/>
          <w:b/>
          <w:color w:val="000000"/>
          <w:sz w:val="26"/>
          <w:szCs w:val="26"/>
        </w:rPr>
      </w:pPr>
      <w:r>
        <w:rPr>
          <w:rFonts w:ascii="Book Antiqua" w:eastAsia="Calibri" w:hAnsi="Book Antiqua"/>
          <w:b/>
          <w:color w:val="000000" w:themeColor="text1"/>
          <w:sz w:val="26"/>
          <w:szCs w:val="26"/>
        </w:rPr>
        <w:t>ОРГАНИЗАЦИЯ КУЛЬТУРНО-ПОЗНАВАТЕЛЬНЫХ ПРОГРАММ НА ПРЕДПРИЯТИЯХ ГОСТИНИЧНОГО СЕРВИСА ПРИМОРСКОГО КРАЯ</w:t>
      </w:r>
    </w:p>
    <w:p w:rsidR="00517711" w:rsidRDefault="00517711">
      <w:pPr>
        <w:spacing w:line="240" w:lineRule="auto"/>
        <w:jc w:val="center"/>
        <w:rPr>
          <w:b/>
          <w:color w:val="000000"/>
          <w:sz w:val="24"/>
          <w:szCs w:val="24"/>
        </w:rPr>
      </w:pPr>
    </w:p>
    <w:p w:rsidR="00517711" w:rsidRDefault="00F815BE">
      <w:pPr>
        <w:spacing w:after="0" w:line="240" w:lineRule="auto"/>
        <w:jc w:val="center"/>
        <w:rPr>
          <w:rFonts w:ascii="Arial" w:eastAsia="Calibri" w:hAnsi="Arial" w:cs="Arial"/>
          <w:b/>
          <w:color w:val="000000"/>
          <w:sz w:val="24"/>
          <w:szCs w:val="24"/>
        </w:rPr>
      </w:pPr>
      <w:r>
        <w:rPr>
          <w:rFonts w:ascii="Arial" w:eastAsia="Calibri" w:hAnsi="Arial" w:cs="Arial"/>
          <w:b/>
          <w:color w:val="000000" w:themeColor="text1"/>
          <w:sz w:val="24"/>
          <w:szCs w:val="24"/>
        </w:rPr>
        <w:t>Политько Елизавета Владимировна,</w:t>
      </w:r>
    </w:p>
    <w:p w:rsidR="00517711" w:rsidRDefault="00F815BE">
      <w:pPr>
        <w:spacing w:after="0" w:line="240" w:lineRule="auto"/>
        <w:jc w:val="center"/>
        <w:rPr>
          <w:rFonts w:ascii="Arial" w:eastAsia="Calibri" w:hAnsi="Arial" w:cs="Arial"/>
          <w:color w:val="000000"/>
          <w:sz w:val="24"/>
          <w:szCs w:val="24"/>
        </w:rPr>
      </w:pPr>
      <w:r>
        <w:rPr>
          <w:rFonts w:ascii="Arial" w:eastAsia="Calibri" w:hAnsi="Arial" w:cs="Arial"/>
          <w:color w:val="000000" w:themeColor="text1"/>
          <w:sz w:val="24"/>
          <w:szCs w:val="24"/>
        </w:rPr>
        <w:t>бакалавр</w:t>
      </w:r>
    </w:p>
    <w:p w:rsidR="00517711" w:rsidRDefault="00517711">
      <w:pPr>
        <w:spacing w:after="0" w:line="240" w:lineRule="auto"/>
        <w:jc w:val="center"/>
        <w:rPr>
          <w:rFonts w:ascii="Times New Roman" w:eastAsia="Calibri" w:hAnsi="Times New Roman"/>
          <w:i/>
          <w:color w:val="000000"/>
          <w:sz w:val="24"/>
          <w:szCs w:val="24"/>
        </w:rPr>
      </w:pPr>
    </w:p>
    <w:p w:rsidR="00517711" w:rsidRDefault="00F815BE">
      <w:pPr>
        <w:spacing w:after="0" w:line="240" w:lineRule="auto"/>
        <w:jc w:val="center"/>
        <w:rPr>
          <w:rFonts w:ascii="Times New Roman" w:eastAsia="Calibri" w:hAnsi="Times New Roman"/>
          <w:i/>
          <w:color w:val="000000"/>
          <w:szCs w:val="24"/>
        </w:rPr>
      </w:pPr>
      <w:r>
        <w:rPr>
          <w:rFonts w:ascii="Times New Roman" w:eastAsia="Calibri" w:hAnsi="Times New Roman"/>
          <w:i/>
          <w:color w:val="000000" w:themeColor="text1"/>
          <w:szCs w:val="24"/>
        </w:rPr>
        <w:t>Владивостокский государственный университет экономики и сервиса</w:t>
      </w:r>
    </w:p>
    <w:p w:rsidR="00517711" w:rsidRDefault="00F815BE">
      <w:pPr>
        <w:spacing w:after="0" w:line="240" w:lineRule="auto"/>
        <w:jc w:val="center"/>
        <w:rPr>
          <w:rFonts w:ascii="Times New Roman" w:eastAsia="Calibri" w:hAnsi="Times New Roman"/>
          <w:i/>
          <w:color w:val="000000"/>
          <w:szCs w:val="24"/>
        </w:rPr>
      </w:pPr>
      <w:r>
        <w:rPr>
          <w:rFonts w:ascii="Times New Roman" w:eastAsia="Calibri" w:hAnsi="Times New Roman"/>
          <w:i/>
          <w:color w:val="000000" w:themeColor="text1"/>
          <w:szCs w:val="24"/>
        </w:rPr>
        <w:t>Россия. Владивосток</w:t>
      </w:r>
    </w:p>
    <w:p w:rsidR="00517711" w:rsidRDefault="00517711">
      <w:pPr>
        <w:spacing w:after="0" w:line="240" w:lineRule="auto"/>
        <w:jc w:val="center"/>
        <w:rPr>
          <w:rFonts w:ascii="Times New Roman" w:eastAsia="Calibri" w:hAnsi="Times New Roman"/>
          <w:color w:val="000000"/>
          <w:sz w:val="24"/>
          <w:szCs w:val="24"/>
          <w:lang w:eastAsia="ko-KR"/>
        </w:rPr>
      </w:pPr>
    </w:p>
    <w:p w:rsidR="00517711" w:rsidRPr="00BD6187" w:rsidRDefault="00F815BE">
      <w:pPr>
        <w:spacing w:after="0" w:line="240" w:lineRule="auto"/>
        <w:jc w:val="center"/>
        <w:rPr>
          <w:rFonts w:ascii="Times New Roman" w:eastAsia="Calibri" w:hAnsi="Times New Roman"/>
          <w:color w:val="000000"/>
          <w:sz w:val="20"/>
          <w:szCs w:val="24"/>
          <w:lang w:eastAsia="ko-KR"/>
        </w:rPr>
      </w:pPr>
      <w:r>
        <w:rPr>
          <w:rFonts w:ascii="Times New Roman" w:eastAsia="Calibri" w:hAnsi="Times New Roman"/>
          <w:color w:val="000000" w:themeColor="text1"/>
          <w:sz w:val="20"/>
          <w:szCs w:val="24"/>
          <w:lang w:val="en-US" w:eastAsia="ko-KR"/>
        </w:rPr>
        <w:t>E</w:t>
      </w:r>
      <w:r w:rsidRPr="00BD6187">
        <w:rPr>
          <w:rFonts w:ascii="Times New Roman" w:eastAsia="Calibri" w:hAnsi="Times New Roman"/>
          <w:color w:val="000000" w:themeColor="text1"/>
          <w:sz w:val="20"/>
          <w:szCs w:val="24"/>
          <w:lang w:eastAsia="ko-KR"/>
        </w:rPr>
        <w:t>-</w:t>
      </w:r>
      <w:r>
        <w:rPr>
          <w:rFonts w:ascii="Times New Roman" w:eastAsia="Calibri" w:hAnsi="Times New Roman"/>
          <w:color w:val="000000" w:themeColor="text1"/>
          <w:sz w:val="20"/>
          <w:szCs w:val="24"/>
          <w:lang w:val="en-US" w:eastAsia="ko-KR"/>
        </w:rPr>
        <w:t>mail</w:t>
      </w:r>
      <w:r w:rsidRPr="00BD6187">
        <w:rPr>
          <w:rFonts w:ascii="Times New Roman" w:eastAsia="Calibri" w:hAnsi="Times New Roman"/>
          <w:color w:val="000000" w:themeColor="text1"/>
          <w:sz w:val="20"/>
          <w:szCs w:val="24"/>
          <w:lang w:eastAsia="ko-KR"/>
        </w:rPr>
        <w:t xml:space="preserve">: </w:t>
      </w:r>
      <w:r>
        <w:rPr>
          <w:rFonts w:ascii="Times New Roman" w:eastAsia="Calibri" w:hAnsi="Times New Roman"/>
          <w:color w:val="000000" w:themeColor="text1"/>
          <w:sz w:val="20"/>
          <w:szCs w:val="24"/>
          <w:lang w:val="en-US" w:eastAsia="ko-KR"/>
        </w:rPr>
        <w:t>Elizaveta</w:t>
      </w:r>
      <w:r w:rsidRPr="00BD6187">
        <w:rPr>
          <w:rFonts w:ascii="Times New Roman" w:eastAsia="Calibri" w:hAnsi="Times New Roman"/>
          <w:color w:val="000000" w:themeColor="text1"/>
          <w:sz w:val="20"/>
          <w:szCs w:val="24"/>
          <w:lang w:eastAsia="ko-KR"/>
        </w:rPr>
        <w:t>.</w:t>
      </w:r>
      <w:r>
        <w:rPr>
          <w:rFonts w:ascii="Times New Roman" w:eastAsia="Calibri" w:hAnsi="Times New Roman"/>
          <w:color w:val="000000" w:themeColor="text1"/>
          <w:sz w:val="20"/>
          <w:szCs w:val="24"/>
          <w:lang w:val="en-US" w:eastAsia="ko-KR"/>
        </w:rPr>
        <w:t>Politko</w:t>
      </w:r>
      <w:r w:rsidRPr="00BD6187">
        <w:rPr>
          <w:rFonts w:ascii="Times New Roman" w:eastAsia="Calibri" w:hAnsi="Times New Roman"/>
          <w:color w:val="000000" w:themeColor="text1"/>
          <w:sz w:val="20"/>
          <w:szCs w:val="24"/>
          <w:lang w:eastAsia="ko-KR"/>
        </w:rPr>
        <w:t>@</w:t>
      </w:r>
      <w:r>
        <w:rPr>
          <w:rFonts w:ascii="Times New Roman" w:eastAsia="Calibri" w:hAnsi="Times New Roman"/>
          <w:color w:val="000000" w:themeColor="text1"/>
          <w:sz w:val="20"/>
          <w:szCs w:val="24"/>
          <w:lang w:val="en-US" w:eastAsia="ko-KR"/>
        </w:rPr>
        <w:t>vvsu</w:t>
      </w:r>
      <w:r w:rsidRPr="00BD6187">
        <w:rPr>
          <w:rFonts w:ascii="Times New Roman" w:eastAsia="Calibri" w:hAnsi="Times New Roman"/>
          <w:color w:val="000000" w:themeColor="text1"/>
          <w:sz w:val="20"/>
          <w:szCs w:val="24"/>
          <w:lang w:eastAsia="ko-KR"/>
        </w:rPr>
        <w:t>.</w:t>
      </w:r>
      <w:r>
        <w:rPr>
          <w:rFonts w:ascii="Times New Roman" w:eastAsia="Calibri" w:hAnsi="Times New Roman"/>
          <w:color w:val="000000" w:themeColor="text1"/>
          <w:sz w:val="20"/>
          <w:szCs w:val="24"/>
          <w:lang w:val="en-US" w:eastAsia="ko-KR"/>
        </w:rPr>
        <w:t>ru</w:t>
      </w:r>
      <w:r w:rsidRPr="00BD6187">
        <w:rPr>
          <w:rFonts w:ascii="Times New Roman" w:eastAsia="Calibri" w:hAnsi="Times New Roman"/>
          <w:color w:val="000000" w:themeColor="text1"/>
          <w:sz w:val="20"/>
          <w:szCs w:val="24"/>
          <w:lang w:eastAsia="ko-KR"/>
        </w:rPr>
        <w:t xml:space="preserve"> ; </w:t>
      </w:r>
      <w:r>
        <w:rPr>
          <w:rFonts w:ascii="Times New Roman" w:eastAsia="Calibri" w:hAnsi="Times New Roman"/>
          <w:color w:val="000000" w:themeColor="text1"/>
          <w:sz w:val="20"/>
          <w:szCs w:val="24"/>
          <w:lang w:eastAsia="ko-KR"/>
        </w:rPr>
        <w:t>тел</w:t>
      </w:r>
      <w:r w:rsidRPr="00BD6187">
        <w:rPr>
          <w:rFonts w:ascii="Times New Roman" w:eastAsia="Calibri" w:hAnsi="Times New Roman"/>
          <w:color w:val="000000" w:themeColor="text1"/>
          <w:sz w:val="20"/>
          <w:szCs w:val="24"/>
          <w:lang w:eastAsia="ko-KR"/>
        </w:rPr>
        <w:t>.: +79149668829</w:t>
      </w:r>
    </w:p>
    <w:p w:rsidR="00517711" w:rsidRDefault="00F815BE">
      <w:pPr>
        <w:spacing w:after="0" w:line="240" w:lineRule="auto"/>
        <w:jc w:val="center"/>
        <w:rPr>
          <w:rFonts w:ascii="Times New Roman" w:eastAsia="Calibri" w:hAnsi="Times New Roman"/>
          <w:color w:val="000000"/>
          <w:sz w:val="20"/>
          <w:szCs w:val="24"/>
          <w:lang w:eastAsia="ko-KR"/>
        </w:rPr>
      </w:pPr>
      <w:r>
        <w:rPr>
          <w:rFonts w:ascii="Times New Roman" w:eastAsia="Calibri" w:hAnsi="Times New Roman"/>
          <w:color w:val="000000" w:themeColor="text1"/>
          <w:sz w:val="20"/>
          <w:szCs w:val="24"/>
          <w:lang w:eastAsia="ko-KR"/>
        </w:rPr>
        <w:t>ул. Гоголя, 41, г. Владивосток, Приморский край, Россия, 690014</w:t>
      </w:r>
    </w:p>
    <w:p w:rsidR="00517711" w:rsidRDefault="00517711">
      <w:pPr>
        <w:spacing w:after="0" w:line="240" w:lineRule="auto"/>
        <w:jc w:val="center"/>
        <w:rPr>
          <w:rFonts w:ascii="Times New Roman" w:eastAsia="Calibri" w:hAnsi="Times New Roman"/>
          <w:color w:val="000000"/>
          <w:sz w:val="24"/>
          <w:szCs w:val="24"/>
          <w:lang w:eastAsia="ko-KR"/>
        </w:rPr>
      </w:pPr>
    </w:p>
    <w:p w:rsidR="00517711" w:rsidRDefault="00517711">
      <w:pPr>
        <w:spacing w:after="0" w:line="240" w:lineRule="auto"/>
        <w:jc w:val="center"/>
        <w:rPr>
          <w:rFonts w:ascii="Times New Roman" w:eastAsia="Calibri" w:hAnsi="Times New Roman"/>
          <w:color w:val="000000"/>
          <w:sz w:val="24"/>
          <w:szCs w:val="24"/>
          <w:lang w:eastAsia="ko-KR"/>
        </w:rPr>
      </w:pPr>
    </w:p>
    <w:p w:rsidR="00517711" w:rsidRDefault="00F815BE">
      <w:pPr>
        <w:spacing w:after="0" w:line="240" w:lineRule="auto"/>
        <w:ind w:firstLine="709"/>
        <w:jc w:val="both"/>
        <w:rPr>
          <w:rFonts w:ascii="Times New Roman" w:eastAsia="Calibri" w:hAnsi="Times New Roman"/>
          <w:i/>
          <w:color w:val="000000"/>
          <w:szCs w:val="24"/>
        </w:rPr>
      </w:pPr>
      <w:r>
        <w:rPr>
          <w:rFonts w:ascii="Times New Roman" w:eastAsia="Calibri" w:hAnsi="Times New Roman"/>
          <w:i/>
          <w:color w:val="000000" w:themeColor="text1"/>
          <w:szCs w:val="24"/>
        </w:rPr>
        <w:t xml:space="preserve">Экскурсионно-познавательный туризм относится к самым востребованным направлениям туристской деятельности. Профессиональное экскурсионное дело включает в себя не только знакомство с достоянием истории и культуры, но и развлечения, гостиничный и ресторанный сервис. </w:t>
      </w:r>
    </w:p>
    <w:p w:rsidR="00517711" w:rsidRDefault="00F815BE">
      <w:pPr>
        <w:spacing w:after="0" w:line="240" w:lineRule="auto"/>
        <w:ind w:firstLine="709"/>
        <w:jc w:val="both"/>
        <w:rPr>
          <w:rFonts w:ascii="Times New Roman" w:eastAsia="Calibri" w:hAnsi="Times New Roman"/>
          <w:i/>
          <w:color w:val="000000"/>
          <w:szCs w:val="24"/>
        </w:rPr>
      </w:pPr>
      <w:r>
        <w:rPr>
          <w:rFonts w:ascii="Times New Roman" w:eastAsia="Calibri" w:hAnsi="Times New Roman"/>
          <w:b/>
          <w:i/>
          <w:color w:val="000000" w:themeColor="text1"/>
          <w:szCs w:val="24"/>
        </w:rPr>
        <w:t>Ключевые слова и словосочетания:</w:t>
      </w:r>
      <w:r>
        <w:rPr>
          <w:i/>
          <w:color w:val="000000" w:themeColor="text1"/>
          <w:szCs w:val="24"/>
        </w:rPr>
        <w:t xml:space="preserve"> </w:t>
      </w:r>
      <w:r>
        <w:rPr>
          <w:rFonts w:ascii="Times New Roman" w:eastAsia="Calibri" w:hAnsi="Times New Roman"/>
          <w:i/>
          <w:color w:val="000000" w:themeColor="text1"/>
          <w:szCs w:val="24"/>
        </w:rPr>
        <w:t>культурно-познавательный туризм, анимация, анимационные программы, предприятия гостиничного сервиса, туризм.</w:t>
      </w:r>
    </w:p>
    <w:p w:rsidR="00517711" w:rsidRDefault="00517711">
      <w:pPr>
        <w:spacing w:after="0" w:line="240" w:lineRule="auto"/>
        <w:ind w:firstLine="709"/>
        <w:jc w:val="both"/>
        <w:rPr>
          <w:rFonts w:ascii="Times New Roman" w:eastAsia="Calibri" w:hAnsi="Times New Roman"/>
          <w:i/>
          <w:color w:val="000000"/>
          <w:sz w:val="24"/>
          <w:szCs w:val="24"/>
        </w:rPr>
      </w:pPr>
    </w:p>
    <w:p w:rsidR="00517711" w:rsidRDefault="00F815BE">
      <w:pPr>
        <w:spacing w:after="0" w:line="240" w:lineRule="auto"/>
        <w:ind w:firstLine="709"/>
        <w:jc w:val="center"/>
        <w:rPr>
          <w:rFonts w:ascii="Book Antiqua" w:eastAsia="Calibri" w:hAnsi="Book Antiqua"/>
          <w:b/>
          <w:color w:val="000000"/>
          <w:sz w:val="26"/>
          <w:szCs w:val="26"/>
          <w:lang w:val="en-US"/>
        </w:rPr>
      </w:pPr>
      <w:r>
        <w:rPr>
          <w:rFonts w:ascii="Book Antiqua" w:eastAsia="Calibri" w:hAnsi="Book Antiqua"/>
          <w:b/>
          <w:color w:val="000000" w:themeColor="text1"/>
          <w:sz w:val="26"/>
          <w:szCs w:val="26"/>
          <w:lang w:val="en-US"/>
        </w:rPr>
        <w:t>THE ORGANIZATION OF CULTURAL AND EDUCATIONAL PROGRAMS IN THE HOTEL SERVICES PRIMORYE TERRITORY</w:t>
      </w:r>
    </w:p>
    <w:p w:rsidR="00517711" w:rsidRDefault="00517711">
      <w:pPr>
        <w:spacing w:after="0" w:line="240" w:lineRule="auto"/>
        <w:ind w:firstLine="709"/>
        <w:jc w:val="both"/>
        <w:rPr>
          <w:b/>
          <w:i/>
          <w:color w:val="000000"/>
          <w:sz w:val="24"/>
          <w:szCs w:val="24"/>
          <w:lang w:val="en-US"/>
        </w:rPr>
      </w:pPr>
    </w:p>
    <w:p w:rsidR="00517711" w:rsidRDefault="00F815BE">
      <w:pPr>
        <w:spacing w:after="0" w:line="240" w:lineRule="auto"/>
        <w:ind w:firstLine="709"/>
        <w:jc w:val="both"/>
        <w:rPr>
          <w:rFonts w:ascii="Times New Roman" w:eastAsia="Calibri" w:hAnsi="Times New Roman"/>
          <w:i/>
          <w:color w:val="000000"/>
          <w:szCs w:val="24"/>
          <w:lang w:val="en-US"/>
        </w:rPr>
      </w:pPr>
      <w:r>
        <w:rPr>
          <w:rFonts w:ascii="Times New Roman" w:eastAsia="Calibri" w:hAnsi="Times New Roman"/>
          <w:i/>
          <w:color w:val="000000" w:themeColor="text1"/>
          <w:szCs w:val="24"/>
          <w:lang w:val="en-US"/>
        </w:rPr>
        <w:t>Excursion-cognitive tourism refers to the most sought after areas of tourism activities. A professional excursion includes not only getting acquainted with the history and culture, but also entertainment, hotel and restaurant services.</w:t>
      </w:r>
    </w:p>
    <w:p w:rsidR="00517711" w:rsidRDefault="00F815BE">
      <w:pPr>
        <w:spacing w:after="0" w:line="240" w:lineRule="auto"/>
        <w:ind w:firstLine="709"/>
        <w:jc w:val="both"/>
        <w:rPr>
          <w:rFonts w:ascii="Times New Roman" w:eastAsia="Calibri" w:hAnsi="Times New Roman"/>
          <w:i/>
          <w:color w:val="000000"/>
          <w:szCs w:val="24"/>
          <w:lang w:val="en-US"/>
        </w:rPr>
      </w:pPr>
      <w:r>
        <w:rPr>
          <w:rFonts w:ascii="Times New Roman" w:eastAsia="Calibri" w:hAnsi="Times New Roman"/>
          <w:b/>
          <w:i/>
          <w:color w:val="000000" w:themeColor="text1"/>
          <w:szCs w:val="24"/>
          <w:lang w:val="en-US"/>
        </w:rPr>
        <w:lastRenderedPageBreak/>
        <w:t>Keywords and phrases:</w:t>
      </w:r>
      <w:r>
        <w:rPr>
          <w:i/>
          <w:color w:val="000000" w:themeColor="text1"/>
          <w:szCs w:val="24"/>
          <w:lang w:val="en-US"/>
        </w:rPr>
        <w:t xml:space="preserve"> </w:t>
      </w:r>
      <w:r>
        <w:rPr>
          <w:rFonts w:ascii="Times New Roman" w:eastAsia="Calibri" w:hAnsi="Times New Roman"/>
          <w:i/>
          <w:color w:val="000000" w:themeColor="text1"/>
          <w:szCs w:val="24"/>
          <w:lang w:val="en-US"/>
        </w:rPr>
        <w:t>cultural and educational tourism, animation, animation programs, hotel service companies, tourism.</w:t>
      </w:r>
      <w:r>
        <w:rPr>
          <w:i/>
          <w:color w:val="000000" w:themeColor="text1"/>
          <w:szCs w:val="24"/>
          <w:lang w:val="en-US"/>
        </w:rPr>
        <w:t xml:space="preserve"> </w:t>
      </w:r>
    </w:p>
    <w:p w:rsidR="00517711" w:rsidRDefault="00517711">
      <w:pPr>
        <w:spacing w:after="0" w:line="240" w:lineRule="auto"/>
        <w:ind w:firstLine="709"/>
        <w:jc w:val="both"/>
        <w:rPr>
          <w:rFonts w:ascii="Times New Roman" w:eastAsia="Calibri" w:hAnsi="Times New Roman"/>
          <w:i/>
          <w:color w:val="000000"/>
          <w:sz w:val="24"/>
          <w:szCs w:val="24"/>
          <w:lang w:val="en-US"/>
        </w:rPr>
      </w:pP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Профессиональное экскурсионное дело включает в себя не только знакомство с достоянием истории и культуры, но и развлечения, гостиничный и ресторанный сервис. Научная новизна работы заключается в обобщенном анализе основных проблем гостиничной сферы в разработке культурно-познавательных программ.</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Цель работы заключается в анализе основных проблем организации культурно-познавательных программ на предприятиях гостиничного сервиса Приморского края.</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В ходе работы были выделены следующие задачи:</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проанализировать туристическую привлекательность Приморского края;</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выявить культурно-познавательный продукт предприятий гостиничного сервиса;</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разработать предложения по совершенствованию культурно-познавательных программ.</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xml:space="preserve">С каждым годом мы наблюдается рост внутреннего туризма. Отдыхом на Дальнем Востоке интересуется все больше жителей западной части России. Туристы из стран АТР являются основным контингентом. Следует заметить, что основной поток туристов привлекает город Владивосток. Именно поэтому летом инфраструктура сталкивается с колоссальными нагрузками – туристический бизнес с трудом закрывает потребность в гостиницах, автобусах, гидах. Во многих населенных пунктах недостаточно развита инфраструктура. </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xml:space="preserve">Большой спрос в летнее время способствует стремительному росту цен. Но из-за короткого срока высокого сезона предприниматели не считают рентабельным строительство новых гостиниц и приобретение дополнительных транспортных средств. В период спада туристического потока их содержание достаточно убыточно для предприятий. Таким образом, инфраструктура в Приморье не готова к максимальному потоку туристов, и быстро перестроиться бизнесу пока не удается. </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Основной туристический поток обеспечивают иностранные туристы, в нем превалируют граждане КНР. Природа Приморья при той подаче, которая существует сегодня, им не интересна: они ожидают увидеть экологические туры в том же виде, как и в Китае. В странах КНР есть отлаженная инфраструктура для больших турпотоков: в национальный парк люди приезжают в 40-местных автобусах с кондиционерами, на территории парка есть парковочные места с возможностью стоянки как минимум 10 автобусов, видовые оборудованные площадки, по которым турист может ходить в любой обуви и одежде, не боясь клещей. Поэтому, несмотря на то, что жителям Китая интересны экологические природные объекты Приморского края, они не станут путешествовать, пока дороги не заасфальтируют, а сами объекты показа не обзаведутся качественной инфраструктурой.</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xml:space="preserve">Туристы из Кореи и Японии готовы посещать экскурсионные объекты Дальнего Востока, они активно интересуются экологическими достопримечательностями и заповедниками. Однако, из-за различия менталитета иностранные туристы не готовы к продолжительным поездкам. </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Туристы из России много путешествуют по Приморскому краю: их не пугает ни качество нашего сервиса, ни состояние дорог, ни продолжительность путешествия. Для жителей Центральной России Дальний Восток – это привлекательная экзотика. По сравнению с другими городами Дальнего Востока Владивосток выступает более современным и комфортным городом, от которого у туристов остаются яркие впечатления. Для российских туристов существует другая проблема – это высокая стоимость перелетов и отелей. Приморье стало бы принимать намного больше российских туристов, если бы данный вопрос был решен. Вследствие чего, это обеспечило бы даже отдаленные территории стабильным туристическим потоком.</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xml:space="preserve">Приморский пляжный сезон непродолжительный, а море не самое теплое, поэтому иностранцы приезжают с экскурсионной целью, а не за пляжно-рекреационным отдыхом. К тому же Россия не позиционируется на мировых туристических рынках как пляжная страна, не делает таких акцентов и Приморский край. В случае с внутренним туризмом статистику этого направления увеличивают жители Хабаровского края и Сахалинской области, которые приезжают в июле и августе. В другое время года россияне также отдают предпочтение экскурсионным продуктам. </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Одна из проблем – туристические парковки. Во многих развитых городах популярные места показа оборудуют специальными парковками, откуда люди по пешеходным дорожкам могут перейти на видовую площадку. На территории Приморского края такая возможность отсутствует. Владивосток зажат рельефом и во многих местах показа бывает невозможно организовать парковку, но при этом вопрос безопасности туристов остается открытым. Если решить данную проблему, то туристы будут продолжать приезжать в наш город. При гостиницах очень сложно организовать экскурсионно-познавательную программу, так как парковки не в состоянии принять большое количество экскурсионных автобусов</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Необходимо отметить, не менее важную проблему о принадлежности многих объектов показа: у каждого востребованного места должен быть владелец, который будет поддерживать его состояние. Если же объект остается без контроля, он постепенно «погибает». Так, например, произошло с видовой площадкой «Орлиное гнездо», за которой раньше следили владельцы сувенирного магазина. Теперь, когда он закрылся, территория лишена регулярных уборок от мусора.  Об этом популярном месте должна позаботиться Администрация города обязать какого-то предпринимателя в обмен на преференции следить за объектом показа.</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lastRenderedPageBreak/>
        <w:t xml:space="preserve"> Нелегальные гиды – одна из самых серьезных проблем гостиничного турбизнеса. В настоящее время видно много туристов из Китая, которые путешествуют по Владивостоку. Можно подумать, что, если есть туристы, значит, растет поток налогов, а власти города получают больше финансов, которые можно вложить в инфраструктуру. Но это не так. Китайских туристов зачастую принимают сами китайцы – они открыли свои подпольные гостиницы, рестораны, – и весь финансовый поток в большей степени возвращается обратно в КНР. Приморский же регион не получает ничего, и дополнительный налоговый поток, который дал бы городу развитие, проходит мимо.</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Во многих развитых туристических дестинациях работает специальная туристическая полиция (например, в Таиланде). Ее сотрудники следят, чтобы экскурсионную деятельность осуществляли только законные турфирмы, а экскурсоводы были со всеми официальными документами [1, с.6]. В Приморье, к сожалению, такого нет и в ближайшее время не будет: к процессу необходимо подключать силовые структуры, где и без этой дополнительной деятельности остро не хватает людей.</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Рейтинг самых популярных экскурсионных продуктов среди клиентов Приморских отелей выглядит следующим образом: на первом месте – обзорная экскурсия по Владивостоку продолжительностью 3 и 4 часа, на втором – экскурсия на остров Русский (4 часа), третье место занимает пешеходная экскурсия по Миллионке, а на четвертом месте – экскурсия на форт №7 Владивостокской крепости [2].</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Разработка познавательных программ – особый вид деятельности отельного бизнеса, поэтому подготовка высококвалифицированных специалистов-аниматоров является социально-значимой задачей. Аниматор занимается разработкой индивидуальных и коллективных программ проведения досуга, ориентирует туристов в многообразии его видов, организует им полноценный отдых, который является не только средством избавления от усталости, но и средством нейтрализации негативных сторон повседневной жизни. Профессионал аниматор должен выработать в себе такие важные качества, как компетентность, коммуникабельность, организаторские способности, умение работать с людьми, высокая культура общения, нестандартность мышления, деловая смекалка, лидерство, фантазия.</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Процесс восприятия предложенных анимационных программ зависит от многих факторов:</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xml:space="preserve"> - возраста участников или зрителей;</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xml:space="preserve"> - уровня образованности;</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xml:space="preserve"> - пола;</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xml:space="preserve"> - этнической принадлежности;</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xml:space="preserve"> - настроения на момент реализации данной программы и т.д.</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xml:space="preserve"> Именно поэтому важно дифференцировать потребителей данных услуг заранее, иметь в запасе несколько различных программ или мероприятий, чтобы удовлетворить разные вкусы.</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Культурно-досуговые мероприятия. Основами культурно-досуговой анимации туристского обслуживания в отелях является: комплексный подход к организации мероприятий, свобода выбора этих мероприятий, театрализация: использование разнообразных приемов (образность, символичность, метафоричность, стилизация) и всех видов искусства (живопись, музыка, литература), при этом ход события определяется сценарием, персонификация.</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Программу, разработанную гостиницей, можно рассмотреть на примере отеля «Союз»</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Каждый гость при заселении получает специальную листовку-приглашение со следующим текстом:</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xml:space="preserve">«Гостиничный комплекс «Союз» приглашает гостей и жителей Приморского края и предлагает Вам провести незабываемые выходные с нашим пакетом выходного дня «Открой Владивосток»! </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xml:space="preserve">Специально для Вас разработан экскурсионный тур по городу Владивосток, включающий в себя посещение исторических памятников, достопримечательностей, а также живописных мест города! </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Возможны составления индивидуальных туров по Вашим пожеланиям, рассмотрим все доступные варианты!» [3]</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Отели также должны предлагать новые формы культурно-познавательных программ.</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xml:space="preserve">Туристы любят сказки, мифы и легенды. Все это становится хорошей рекламой турпродукта. Люди уже слышали что-то об истории этого места через легенду и хотят узнать больше. Здесь появляется пространство для новых форматов. Например, в программе ряда отелей (особенно, ориентированных на молодежный контингент) появился квест-тур по Миллионке, где через игру туристы знакомятся с историей уникального квартала Владивостока. </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xml:space="preserve">Важным аспектом в развитии культурно-познавательном туризме стал запуск малой авиации по Приморскому краю, благодаря этому Приморский край стал доступнее. Время пути вместо 14 часов до Тернея сократилось до 1,5 часа, а до Преображения - всего за час [2]. </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xml:space="preserve">Туризм – наилучший способ знакомства с другой культурой.  Приморье –  один из перспективных   регионов   для   развития   как   внутреннего, так   и   внешнего   туризма.   Владивосток   призван   представлять   российскую   культуру   для   туристов, прибывающих   из   стран   АТР   и   близлежащих   сран.  Поэтому   большинство   культурно-  познавательных   программ   сосредоточено   на   городе. Основные направления, которые непосредственным образом влияют на развитие сферы туризма: первое – это содействие в развитии туристкой инфраструктуры Приморского края, Новые направления в культурно-познавательных программах обеспечивают привлечение туристов; второе – повышение качества оказываемых услуг и продвижение туристских ресурсов региона на международных профильных рынках. </w:t>
      </w:r>
    </w:p>
    <w:p w:rsidR="00517711" w:rsidRDefault="00517711">
      <w:pPr>
        <w:spacing w:line="240" w:lineRule="auto"/>
        <w:rPr>
          <w:rFonts w:ascii="Times New Roman" w:hAnsi="Times New Roman" w:cs="Times New Roman"/>
          <w:color w:val="000000"/>
          <w:sz w:val="20"/>
          <w:szCs w:val="20"/>
        </w:rPr>
      </w:pPr>
    </w:p>
    <w:p w:rsidR="00517711" w:rsidRDefault="00F815BE">
      <w:pPr>
        <w:spacing w:line="240" w:lineRule="auto"/>
        <w:rPr>
          <w:rFonts w:ascii="Times New Roman" w:hAnsi="Times New Roman" w:cs="Times New Roman"/>
          <w:b/>
          <w:i/>
          <w:color w:val="000000"/>
          <w:sz w:val="20"/>
          <w:szCs w:val="20"/>
        </w:rPr>
      </w:pPr>
      <w:r>
        <w:rPr>
          <w:rFonts w:ascii="Times New Roman" w:hAnsi="Times New Roman" w:cs="Times New Roman"/>
          <w:noProof/>
          <w:sz w:val="20"/>
          <w:szCs w:val="20"/>
          <w:lang w:eastAsia="ru-RU"/>
        </w:rPr>
        <w:lastRenderedPageBreak/>
        <mc:AlternateContent>
          <mc:Choice Requires="wps">
            <w:drawing>
              <wp:anchor distT="0" distB="773094111" distL="114300" distR="114300" simplePos="0" relativeHeight="251691008" behindDoc="0" locked="0" layoutInCell="1" allowOverlap="1">
                <wp:simplePos x="0" y="0"/>
                <wp:positionH relativeFrom="column">
                  <wp:posOffset>22860</wp:posOffset>
                </wp:positionH>
                <wp:positionV relativeFrom="paragraph">
                  <wp:posOffset>52067</wp:posOffset>
                </wp:positionV>
                <wp:extent cx="4572000" cy="0"/>
                <wp:effectExtent l="0" t="0" r="19048" b="19048"/>
                <wp:wrapNone/>
                <wp:docPr id="35" name="Прямая соединительная линия 7"/>
                <wp:cNvGraphicFramePr/>
                <a:graphic xmlns:a="http://schemas.openxmlformats.org/drawingml/2006/main">
                  <a:graphicData uri="http://schemas.microsoft.com/office/word/2010/wordprocessingShape">
                    <wps:wsp>
                      <wps:cNvCnPr/>
                      <wps:spPr bwMode="auto">
                        <a:xfrm flipV="1">
                          <a:off x="0" y="0"/>
                          <a:ext cx="45720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D9D93E" id="Прямая соединительная линия 7" o:spid="_x0000_s1026" style="position:absolute;flip:y;z-index:251691008;visibility:visible;mso-wrap-style:square;mso-width-percent:0;mso-height-percent:0;mso-wrap-distance-left:9pt;mso-wrap-distance-top:0;mso-wrap-distance-right:9pt;mso-wrap-distance-bottom:21474.83642mm;mso-position-horizontal:absolute;mso-position-horizontal-relative:text;mso-position-vertical:absolute;mso-position-vertical-relative:text;mso-width-percent:0;mso-height-percent:0;mso-width-relative:margin;mso-height-relative:margin" from="1.8pt,4.1pt" to="361.8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" strokecolor="black [3040]" strokeweight="1pt"/>
            </w:pict>
          </mc:Fallback>
        </mc:AlternateContent>
      </w:r>
    </w:p>
    <w:p w:rsidR="00517711" w:rsidRDefault="00F815BE">
      <w:pPr>
        <w:spacing w:after="0" w:line="240" w:lineRule="auto"/>
        <w:ind w:firstLine="709"/>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xml:space="preserve">1 С.А. Демина Культурный туризм как одно из направлений региональной культурной политики и его роль в развитии общества/ Демина С.А. // Политика, государство и право. 2017. № 4 </w:t>
      </w:r>
    </w:p>
    <w:p w:rsidR="00517711" w:rsidRDefault="00F815BE">
      <w:pPr>
        <w:spacing w:after="0" w:line="240" w:lineRule="auto"/>
        <w:ind w:firstLine="709"/>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xml:space="preserve">2 Приток туристов в Приморье растет благодаря уникальным туристским кластерам.- [Электронный ресурс].- Режим доступа: </w:t>
      </w:r>
      <w:hyperlink r:id="rId64" w:history="1">
        <w:r>
          <w:rPr>
            <w:rFonts w:ascii="Times New Roman" w:eastAsia="Calibri" w:hAnsi="Times New Roman" w:cs="Times New Roman"/>
            <w:color w:val="000000" w:themeColor="text1"/>
            <w:sz w:val="20"/>
            <w:szCs w:val="20"/>
          </w:rPr>
          <w:t>https://primamedia.ru/news/600412/</w:t>
        </w:r>
      </w:hyperlink>
    </w:p>
    <w:p w:rsidR="00517711" w:rsidRDefault="00F815BE">
      <w:pPr>
        <w:spacing w:after="0" w:line="240" w:lineRule="auto"/>
        <w:ind w:firstLine="709"/>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xml:space="preserve">3 Сайт гостиничного комплекса «Союз».- [Электронный ресурс].- Режим доступа: </w:t>
      </w:r>
      <w:hyperlink r:id="rId65" w:history="1">
        <w:r>
          <w:rPr>
            <w:rFonts w:ascii="Times New Roman" w:eastAsia="Calibri" w:hAnsi="Times New Roman" w:cs="Times New Roman"/>
            <w:color w:val="000000" w:themeColor="text1"/>
            <w:sz w:val="20"/>
            <w:szCs w:val="20"/>
          </w:rPr>
          <w:t>http://www.souz-hotel.com/tur-vihodnogo-dbya/</w:t>
        </w:r>
      </w:hyperlink>
    </w:p>
    <w:p w:rsidR="00517711" w:rsidRDefault="00517711">
      <w:pPr>
        <w:spacing w:line="240" w:lineRule="auto"/>
        <w:rPr>
          <w:rFonts w:ascii="Times New Roman" w:hAnsi="Times New Roman"/>
          <w:sz w:val="24"/>
          <w:szCs w:val="24"/>
        </w:rPr>
      </w:pPr>
    </w:p>
    <w:p w:rsidR="00517711" w:rsidRDefault="00F815BE">
      <w:pPr>
        <w:spacing w:line="240" w:lineRule="auto"/>
        <w:rPr>
          <w:rFonts w:ascii="Times New Roman" w:hAnsi="Times New Roman"/>
          <w:b/>
          <w:sz w:val="20"/>
          <w:szCs w:val="24"/>
        </w:rPr>
      </w:pPr>
      <w:r>
        <w:rPr>
          <w:rFonts w:ascii="Times New Roman" w:hAnsi="Times New Roman"/>
          <w:b/>
          <w:sz w:val="20"/>
          <w:szCs w:val="24"/>
        </w:rPr>
        <w:t xml:space="preserve">Рубрика: Туризм (по отраслям)  </w:t>
      </w:r>
    </w:p>
    <w:p w:rsidR="00517711" w:rsidRDefault="00F815BE">
      <w:pPr>
        <w:spacing w:after="0" w:line="240" w:lineRule="auto"/>
        <w:rPr>
          <w:rFonts w:ascii="Times New Roman" w:hAnsi="Times New Roman"/>
          <w:sz w:val="20"/>
          <w:szCs w:val="24"/>
        </w:rPr>
      </w:pPr>
      <w:r>
        <w:rPr>
          <w:rFonts w:ascii="Times New Roman" w:hAnsi="Times New Roman"/>
          <w:sz w:val="20"/>
          <w:szCs w:val="24"/>
        </w:rPr>
        <w:t>УДК: 640.41 (47+57)</w:t>
      </w:r>
    </w:p>
    <w:p w:rsidR="00517711" w:rsidRDefault="00517711">
      <w:pPr>
        <w:spacing w:after="0" w:line="240" w:lineRule="auto"/>
        <w:rPr>
          <w:rFonts w:ascii="Times New Roman" w:hAnsi="Times New Roman"/>
          <w:sz w:val="24"/>
          <w:szCs w:val="24"/>
        </w:rPr>
      </w:pPr>
    </w:p>
    <w:p w:rsidR="00517711" w:rsidRDefault="00F815BE">
      <w:pPr>
        <w:spacing w:after="0" w:line="240" w:lineRule="auto"/>
        <w:ind w:firstLine="709"/>
        <w:jc w:val="center"/>
        <w:rPr>
          <w:rFonts w:ascii="Book Antiqua" w:hAnsi="Book Antiqua"/>
          <w:b/>
          <w:sz w:val="26"/>
          <w:szCs w:val="26"/>
        </w:rPr>
      </w:pPr>
      <w:r>
        <w:rPr>
          <w:rFonts w:ascii="Book Antiqua" w:hAnsi="Book Antiqua"/>
          <w:b/>
          <w:sz w:val="26"/>
          <w:szCs w:val="26"/>
        </w:rPr>
        <w:t>РЕНОВАЦИИ КАК СПОСОБ ОБНОВЛЕНИЯ ГОСТИНИЧНОГО РЫНКА ВЛАДИВОСТОКА</w:t>
      </w:r>
    </w:p>
    <w:p w:rsidR="00517711" w:rsidRDefault="00F815BE">
      <w:pPr>
        <w:tabs>
          <w:tab w:val="left" w:pos="5715"/>
        </w:tabs>
        <w:spacing w:after="0" w:line="240" w:lineRule="auto"/>
        <w:ind w:firstLine="709"/>
        <w:rPr>
          <w:rFonts w:ascii="Times New Roman" w:hAnsi="Times New Roman"/>
          <w:b/>
          <w:sz w:val="24"/>
          <w:szCs w:val="24"/>
        </w:rPr>
      </w:pPr>
      <w:r>
        <w:rPr>
          <w:rFonts w:ascii="Times New Roman" w:hAnsi="Times New Roman"/>
          <w:b/>
          <w:sz w:val="24"/>
          <w:szCs w:val="24"/>
        </w:rPr>
        <w:tab/>
      </w:r>
    </w:p>
    <w:p w:rsidR="00517711" w:rsidRDefault="00F815BE">
      <w:pPr>
        <w:spacing w:after="0" w:line="240" w:lineRule="auto"/>
        <w:jc w:val="center"/>
        <w:rPr>
          <w:rFonts w:ascii="Arial" w:hAnsi="Arial" w:cs="Arial"/>
          <w:b/>
          <w:sz w:val="24"/>
          <w:szCs w:val="24"/>
        </w:rPr>
      </w:pPr>
      <w:r>
        <w:rPr>
          <w:rFonts w:ascii="Arial" w:hAnsi="Arial" w:cs="Arial"/>
          <w:b/>
          <w:sz w:val="24"/>
          <w:szCs w:val="24"/>
        </w:rPr>
        <w:t>Степанова Екатерина Александровна</w:t>
      </w:r>
    </w:p>
    <w:p w:rsidR="00517711" w:rsidRDefault="00F815BE">
      <w:pPr>
        <w:spacing w:after="0" w:line="240" w:lineRule="auto"/>
        <w:ind w:firstLine="709"/>
        <w:contextualSpacing/>
        <w:jc w:val="center"/>
        <w:rPr>
          <w:rFonts w:ascii="Arial" w:hAnsi="Arial" w:cs="Arial"/>
          <w:sz w:val="24"/>
          <w:szCs w:val="24"/>
        </w:rPr>
      </w:pPr>
      <w:r>
        <w:rPr>
          <w:rFonts w:ascii="Arial" w:hAnsi="Arial" w:cs="Arial"/>
          <w:sz w:val="24"/>
          <w:szCs w:val="24"/>
        </w:rPr>
        <w:t>бакалавр</w:t>
      </w:r>
    </w:p>
    <w:p w:rsidR="00517711" w:rsidRDefault="00517711">
      <w:pPr>
        <w:spacing w:after="0" w:line="240" w:lineRule="auto"/>
        <w:ind w:firstLine="709"/>
        <w:contextualSpacing/>
        <w:jc w:val="center"/>
        <w:rPr>
          <w:rFonts w:ascii="Times New Roman" w:hAnsi="Times New Roman"/>
          <w:i/>
          <w:sz w:val="24"/>
          <w:szCs w:val="24"/>
        </w:rPr>
      </w:pPr>
    </w:p>
    <w:p w:rsidR="00517711" w:rsidRDefault="00F815BE">
      <w:pPr>
        <w:spacing w:after="0" w:line="240" w:lineRule="auto"/>
        <w:ind w:firstLine="709"/>
        <w:contextualSpacing/>
        <w:jc w:val="center"/>
        <w:rPr>
          <w:rFonts w:ascii="Times New Roman" w:hAnsi="Times New Roman"/>
          <w:i/>
          <w:szCs w:val="24"/>
        </w:rPr>
      </w:pPr>
      <w:r>
        <w:rPr>
          <w:rFonts w:ascii="Times New Roman" w:hAnsi="Times New Roman"/>
          <w:i/>
          <w:szCs w:val="24"/>
        </w:rPr>
        <w:t>Владивостокский государственный университет экономики и сервиса</w:t>
      </w:r>
    </w:p>
    <w:p w:rsidR="00517711" w:rsidRDefault="00F815BE">
      <w:pPr>
        <w:spacing w:after="0" w:line="240" w:lineRule="auto"/>
        <w:ind w:firstLine="709"/>
        <w:contextualSpacing/>
        <w:jc w:val="center"/>
        <w:rPr>
          <w:rFonts w:ascii="Times New Roman" w:hAnsi="Times New Roman"/>
          <w:i/>
          <w:szCs w:val="24"/>
        </w:rPr>
      </w:pPr>
      <w:r>
        <w:rPr>
          <w:rFonts w:ascii="Times New Roman" w:hAnsi="Times New Roman"/>
          <w:i/>
          <w:szCs w:val="24"/>
        </w:rPr>
        <w:t>Россия. Владивосток</w:t>
      </w:r>
    </w:p>
    <w:p w:rsidR="00517711" w:rsidRDefault="00517711">
      <w:pPr>
        <w:spacing w:after="0" w:line="240" w:lineRule="auto"/>
        <w:ind w:firstLine="709"/>
        <w:contextualSpacing/>
        <w:jc w:val="center"/>
        <w:rPr>
          <w:rFonts w:ascii="Times New Roman" w:hAnsi="Times New Roman"/>
          <w:sz w:val="24"/>
          <w:szCs w:val="24"/>
        </w:rPr>
      </w:pPr>
    </w:p>
    <w:p w:rsidR="00517711" w:rsidRPr="00BD6187" w:rsidRDefault="00F815BE">
      <w:pPr>
        <w:spacing w:after="0" w:line="240" w:lineRule="auto"/>
        <w:ind w:firstLine="709"/>
        <w:contextualSpacing/>
        <w:jc w:val="center"/>
        <w:rPr>
          <w:rFonts w:ascii="Times New Roman" w:hAnsi="Times New Roman"/>
          <w:color w:val="FF0000"/>
          <w:sz w:val="20"/>
          <w:szCs w:val="24"/>
        </w:rPr>
      </w:pPr>
      <w:r>
        <w:rPr>
          <w:rFonts w:ascii="Times New Roman" w:hAnsi="Times New Roman"/>
          <w:sz w:val="20"/>
          <w:szCs w:val="24"/>
          <w:lang w:val="en-US"/>
        </w:rPr>
        <w:t>E</w:t>
      </w:r>
      <w:r w:rsidRPr="00BD6187">
        <w:rPr>
          <w:rFonts w:ascii="Times New Roman" w:hAnsi="Times New Roman"/>
          <w:sz w:val="20"/>
          <w:szCs w:val="24"/>
        </w:rPr>
        <w:t>-</w:t>
      </w:r>
      <w:r>
        <w:rPr>
          <w:rFonts w:ascii="Times New Roman" w:hAnsi="Times New Roman"/>
          <w:sz w:val="20"/>
          <w:szCs w:val="24"/>
          <w:lang w:val="en-US"/>
        </w:rPr>
        <w:t>mail</w:t>
      </w:r>
      <w:r w:rsidRPr="00BD6187">
        <w:rPr>
          <w:rFonts w:ascii="Times New Roman" w:hAnsi="Times New Roman"/>
          <w:sz w:val="20"/>
          <w:szCs w:val="24"/>
        </w:rPr>
        <w:t xml:space="preserve">: </w:t>
      </w:r>
      <w:r>
        <w:rPr>
          <w:rFonts w:ascii="Times New Roman" w:hAnsi="Times New Roman"/>
          <w:sz w:val="20"/>
          <w:szCs w:val="24"/>
          <w:lang w:val="en-US"/>
        </w:rPr>
        <w:t>k</w:t>
      </w:r>
      <w:r w:rsidRPr="00BD6187">
        <w:rPr>
          <w:rFonts w:ascii="Times New Roman" w:hAnsi="Times New Roman"/>
          <w:sz w:val="20"/>
          <w:szCs w:val="24"/>
        </w:rPr>
        <w:t>.</w:t>
      </w:r>
      <w:r>
        <w:rPr>
          <w:rFonts w:ascii="Times New Roman" w:hAnsi="Times New Roman"/>
          <w:sz w:val="20"/>
          <w:szCs w:val="24"/>
          <w:lang w:val="en-US"/>
        </w:rPr>
        <w:t>stepanova</w:t>
      </w:r>
      <w:r w:rsidRPr="00BD6187">
        <w:rPr>
          <w:rFonts w:ascii="Times New Roman" w:hAnsi="Times New Roman"/>
          <w:sz w:val="20"/>
          <w:szCs w:val="24"/>
        </w:rPr>
        <w:t>96@</w:t>
      </w:r>
      <w:r>
        <w:rPr>
          <w:rFonts w:ascii="Times New Roman" w:hAnsi="Times New Roman"/>
          <w:sz w:val="20"/>
          <w:szCs w:val="24"/>
          <w:lang w:val="en-US"/>
        </w:rPr>
        <w:t>mail</w:t>
      </w:r>
      <w:r w:rsidRPr="00BD6187">
        <w:rPr>
          <w:rFonts w:ascii="Times New Roman" w:hAnsi="Times New Roman"/>
          <w:sz w:val="20"/>
          <w:szCs w:val="24"/>
        </w:rPr>
        <w:t>.</w:t>
      </w:r>
      <w:r>
        <w:rPr>
          <w:rFonts w:ascii="Times New Roman" w:hAnsi="Times New Roman"/>
          <w:sz w:val="20"/>
          <w:szCs w:val="24"/>
          <w:lang w:val="en-US"/>
        </w:rPr>
        <w:t>ru</w:t>
      </w:r>
      <w:r w:rsidRPr="00BD6187">
        <w:rPr>
          <w:rFonts w:ascii="Times New Roman" w:hAnsi="Times New Roman"/>
          <w:sz w:val="20"/>
          <w:szCs w:val="24"/>
        </w:rPr>
        <w:t xml:space="preserve">; </w:t>
      </w:r>
      <w:r>
        <w:rPr>
          <w:rFonts w:ascii="Times New Roman" w:hAnsi="Times New Roman"/>
          <w:sz w:val="20"/>
          <w:szCs w:val="24"/>
        </w:rPr>
        <w:t>тел</w:t>
      </w:r>
      <w:r w:rsidRPr="00BD6187">
        <w:rPr>
          <w:rFonts w:ascii="Times New Roman" w:hAnsi="Times New Roman"/>
          <w:sz w:val="20"/>
          <w:szCs w:val="24"/>
        </w:rPr>
        <w:t>.: +79084570735</w:t>
      </w:r>
    </w:p>
    <w:p w:rsidR="00517711" w:rsidRDefault="00F815BE">
      <w:pPr>
        <w:spacing w:after="0" w:line="240" w:lineRule="auto"/>
        <w:ind w:firstLine="709"/>
        <w:contextualSpacing/>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517711">
      <w:pPr>
        <w:spacing w:after="0" w:line="240" w:lineRule="auto"/>
        <w:jc w:val="center"/>
        <w:rPr>
          <w:rFonts w:ascii="Times New Roman" w:hAnsi="Times New Roman"/>
          <w:sz w:val="24"/>
          <w:szCs w:val="24"/>
        </w:rPr>
      </w:pPr>
    </w:p>
    <w:p w:rsidR="00517711" w:rsidRDefault="00F815BE">
      <w:pPr>
        <w:spacing w:after="0" w:line="240" w:lineRule="auto"/>
        <w:ind w:firstLine="709"/>
        <w:jc w:val="both"/>
        <w:rPr>
          <w:rFonts w:ascii="Times New Roman" w:hAnsi="Times New Roman"/>
          <w:i/>
          <w:szCs w:val="24"/>
        </w:rPr>
      </w:pPr>
      <w:r>
        <w:rPr>
          <w:rFonts w:ascii="Times New Roman" w:hAnsi="Times New Roman"/>
          <w:i/>
          <w:szCs w:val="24"/>
        </w:rPr>
        <w:t>В рамках данной работы были поставлены цели, задачи проекта, было  проведено исследование теоретических аспектов реновации гостиниц. В начале исследования определено понятие реновации и этап ее реализации. Исследовано современное состояние гостиничного фонда на российском рынке. В работе рассмотрена проблема улучшения гостиниц. Автор приходит к заключению о важности применения таких методов, как реновация и реконструкция зданий, имеющих весомые преимущества перед строительством новых сооружений.</w:t>
      </w:r>
    </w:p>
    <w:p w:rsidR="00517711" w:rsidRDefault="00F815BE">
      <w:pPr>
        <w:spacing w:after="0" w:line="240" w:lineRule="auto"/>
        <w:ind w:firstLine="709"/>
        <w:rPr>
          <w:rFonts w:ascii="Times New Roman" w:hAnsi="Times New Roman"/>
          <w:i/>
          <w:szCs w:val="24"/>
        </w:rPr>
      </w:pPr>
      <w:r>
        <w:rPr>
          <w:rFonts w:ascii="Times New Roman" w:hAnsi="Times New Roman"/>
          <w:b/>
          <w:i/>
          <w:szCs w:val="24"/>
        </w:rPr>
        <w:t xml:space="preserve">Ключевые слова и словосочетания: </w:t>
      </w:r>
      <w:r>
        <w:rPr>
          <w:rFonts w:ascii="Times New Roman" w:hAnsi="Times New Roman"/>
          <w:i/>
          <w:szCs w:val="24"/>
        </w:rPr>
        <w:t>реновация, гостиничный бизнес, туристическая отрасль, реновация отеля, отельеры, этапы реновации гостиниц</w:t>
      </w:r>
    </w:p>
    <w:p w:rsidR="00517711" w:rsidRDefault="00F815BE">
      <w:pPr>
        <w:spacing w:after="0" w:line="240" w:lineRule="auto"/>
        <w:ind w:firstLine="709"/>
        <w:jc w:val="center"/>
        <w:rPr>
          <w:rFonts w:ascii="Times New Roman" w:hAnsi="Times New Roman"/>
          <w:b/>
          <w:sz w:val="24"/>
          <w:szCs w:val="24"/>
        </w:rPr>
      </w:pPr>
      <w:r>
        <w:rPr>
          <w:rFonts w:ascii="Times New Roman" w:hAnsi="Times New Roman"/>
          <w:b/>
          <w:sz w:val="24"/>
          <w:szCs w:val="24"/>
        </w:rPr>
        <w:t xml:space="preserve"> </w:t>
      </w:r>
    </w:p>
    <w:p w:rsidR="00517711" w:rsidRDefault="00F815BE">
      <w:pPr>
        <w:spacing w:after="0" w:line="240" w:lineRule="auto"/>
        <w:ind w:firstLine="709"/>
        <w:jc w:val="center"/>
        <w:rPr>
          <w:rFonts w:ascii="Book Antiqua" w:hAnsi="Book Antiqua"/>
          <w:b/>
          <w:sz w:val="26"/>
          <w:szCs w:val="26"/>
          <w:lang w:val="en-US"/>
        </w:rPr>
      </w:pPr>
      <w:r>
        <w:rPr>
          <w:rFonts w:ascii="Book Antiqua" w:hAnsi="Book Antiqua"/>
          <w:b/>
          <w:sz w:val="26"/>
          <w:szCs w:val="26"/>
          <w:lang w:val="en-US"/>
        </w:rPr>
        <w:t>RENOVATION AS A WAY OF IMPROVING THE HOTEL MARKET IN RUSSIA</w:t>
      </w:r>
    </w:p>
    <w:p w:rsidR="00517711" w:rsidRDefault="00517711">
      <w:pPr>
        <w:spacing w:line="240" w:lineRule="auto"/>
        <w:ind w:firstLine="709"/>
        <w:jc w:val="both"/>
        <w:rPr>
          <w:rFonts w:ascii="Times New Roman" w:hAnsi="Times New Roman"/>
          <w:i/>
          <w:sz w:val="24"/>
          <w:szCs w:val="24"/>
          <w:lang w:val="en-US"/>
        </w:rPr>
      </w:pP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i/>
          <w:szCs w:val="24"/>
          <w:lang w:val="en-US"/>
        </w:rPr>
        <w:t>Within the framework of this work, a study of the theoretical aspects of the renovation of hotels. At the beginning of the study, the concept of renovation and the stage of its implementation. The current state of the hotel Fund in the Russian market is investigated. The paper deals with the problem of improving hotels. The author comes to the conclusion about the importance-news of the application of methods such as renovation and reconstruction of buildings with significant advantages over the construction of new facilities.</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b/>
          <w:i/>
          <w:szCs w:val="24"/>
          <w:lang w:val="en-US"/>
        </w:rPr>
        <w:t xml:space="preserve">Keywords: </w:t>
      </w:r>
      <w:r>
        <w:rPr>
          <w:rFonts w:ascii="Times New Roman" w:hAnsi="Times New Roman"/>
          <w:i/>
          <w:szCs w:val="24"/>
          <w:lang w:val="en-US"/>
        </w:rPr>
        <w:t>renovation, hotel business, renovation of housing, tourism, hotel renovation, hoteliers, stages of renovation of hotels</w:t>
      </w:r>
    </w:p>
    <w:p w:rsidR="00517711" w:rsidRDefault="00517711">
      <w:pPr>
        <w:spacing w:after="0" w:line="240" w:lineRule="auto"/>
        <w:ind w:firstLine="709"/>
        <w:jc w:val="both"/>
        <w:rPr>
          <w:rFonts w:ascii="Times New Roman" w:hAnsi="Times New Roman"/>
          <w:sz w:val="24"/>
          <w:szCs w:val="24"/>
          <w:lang w:val="en-US"/>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Актуальность темы такова, что гостиничный бизнес — активно развивающаяся отрасль. За последние годы мы наблюдаем за выходом на рынок новых гостиничных брендов, новых концепций, новых технологичных форматов отдыха и развлечения гостей. Это означает, что конкуренция растет из года в год и требует от отельеров не только постоянно совершенствовать уровень сервиса и набор предоставляемых услуг, но и время от времени прибегать к реновации гостиницы.</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Реновации – это одно из конкурентных преимуществ гостиницы, развития технологий, обновления собственного номерного фонда, замена всех коммуникаций, изменение планировки и еще множество архитектурных, дизайнерских и прочих совершенствований, которые при прочих равных условиях нравятся требовательному гостю.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В последние годы движущей силой развития гостиничного сектора России является внутренний туризм. Росту его объемов способствовали ослабление рубля, а также введение ограничений на выезд в </w:t>
      </w:r>
      <w:r>
        <w:rPr>
          <w:rFonts w:ascii="Times New Roman" w:hAnsi="Times New Roman" w:cs="Times New Roman"/>
          <w:sz w:val="20"/>
          <w:szCs w:val="20"/>
        </w:rPr>
        <w:lastRenderedPageBreak/>
        <w:t>популярные среди российских туристов Египет и Турцию. Это позитивно сказалось на ряде российских направлений, включая Москву, Санкт-Петербург и Сочи.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На сегодняшний день в отечественной туристической отрасли наблюдается ситуация повышения конкуренции. Увеличивающиеся число мини-отелей, гостевых домиков и част-ных апартаментов перетягивает на себя большую часть гостей, ранее предпочитающих оста-навливаться в крупных отелях и гостиницах. Это происходит из-за практически одинакового уровня сервиса и условий проживания в различных категориях средств размещения. Так, бюджетные мини-отели предлагают клиентам новый номерной фонд и высокий класс обслуживания. В сложившихся условиях для многих гостиниц проведение реновации становится одним из методов поддержания конкурентоспособности и увеличения притока гостей. Однако для достижения поставленных целей процедура должна проводиться по установленному регламенту с соблюдением основных принципов и последовательности действий [1, </w:t>
      </w:r>
      <w:r>
        <w:rPr>
          <w:rFonts w:ascii="Times New Roman" w:hAnsi="Times New Roman" w:cs="Times New Roman"/>
          <w:sz w:val="20"/>
          <w:szCs w:val="20"/>
          <w:lang w:val="en-US"/>
        </w:rPr>
        <w:t>c</w:t>
      </w:r>
      <w:r>
        <w:rPr>
          <w:rFonts w:ascii="Times New Roman" w:hAnsi="Times New Roman" w:cs="Times New Roman"/>
          <w:sz w:val="20"/>
          <w:szCs w:val="20"/>
        </w:rPr>
        <w:t>.85].</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Большая часть российских гостиниц представлена постройками советской эпохи. Практически все из них устарели с точки зрения своих конструктивных характеристик, отличаются маленькой площадью номеров и неэффективной организацией помещений. Они нуждаются в определенной реновации, чтобы отвечать потребностям гостей и конкурировать с современными отелями.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Если в регионах реконструкция отелей достаточно редкое явление, то в Москве такие проекты сменяют один другой с середины 80-х. В первую очередь, изменения коснулись знаковых столичных гостиниц. В 1985 году началась десятилетняя реконструкция гостиницы «Националь» (1903 г.). В 1986 году начались комплексные работы по реставрации и переоборудованию одной из старейших московских гостиниц – «Метрополь» (1905 г.). Обновленный «Метрополь», открывшийся в 1991 году, первым в России получил статус «пять звезд».</w:t>
      </w:r>
    </w:p>
    <w:p w:rsidR="00517711" w:rsidRDefault="00F815BE">
      <w:pPr>
        <w:spacing w:after="120" w:line="240" w:lineRule="auto"/>
        <w:ind w:firstLine="709"/>
        <w:jc w:val="both"/>
        <w:rPr>
          <w:rFonts w:ascii="Times New Roman" w:hAnsi="Times New Roman" w:cs="Times New Roman"/>
          <w:sz w:val="20"/>
          <w:szCs w:val="20"/>
        </w:rPr>
      </w:pPr>
      <w:r>
        <w:rPr>
          <w:rFonts w:ascii="Times New Roman" w:hAnsi="Times New Roman" w:cs="Times New Roman"/>
          <w:sz w:val="20"/>
          <w:szCs w:val="20"/>
        </w:rPr>
        <w:t>Многие отели столицы в результате ребрендинга (обновления и реконструкции), вошли в сети самых популярных отелей мира и представлены в таблице 1.</w:t>
      </w:r>
    </w:p>
    <w:p w:rsidR="00517711" w:rsidRDefault="00F815BE">
      <w:pPr>
        <w:spacing w:after="120" w:line="240" w:lineRule="auto"/>
        <w:ind w:firstLine="709"/>
        <w:jc w:val="right"/>
        <w:rPr>
          <w:rFonts w:ascii="Times New Roman" w:hAnsi="Times New Roman" w:cs="Times New Roman"/>
          <w:i/>
          <w:sz w:val="20"/>
          <w:szCs w:val="20"/>
        </w:rPr>
      </w:pPr>
      <w:r>
        <w:rPr>
          <w:rFonts w:ascii="Times New Roman" w:hAnsi="Times New Roman" w:cs="Times New Roman"/>
          <w:i/>
          <w:sz w:val="20"/>
          <w:szCs w:val="20"/>
        </w:rPr>
        <w:t>Таблица 1</w:t>
      </w:r>
    </w:p>
    <w:p w:rsidR="00517711" w:rsidRDefault="00F815BE">
      <w:pPr>
        <w:spacing w:after="0" w:line="240" w:lineRule="auto"/>
        <w:ind w:firstLine="709"/>
        <w:jc w:val="center"/>
        <w:rPr>
          <w:rFonts w:ascii="Times New Roman" w:hAnsi="Times New Roman" w:cs="Times New Roman"/>
          <w:b/>
          <w:sz w:val="20"/>
          <w:szCs w:val="20"/>
        </w:rPr>
      </w:pPr>
      <w:r>
        <w:rPr>
          <w:rFonts w:ascii="Times New Roman" w:hAnsi="Times New Roman" w:cs="Times New Roman"/>
          <w:b/>
          <w:sz w:val="20"/>
          <w:szCs w:val="20"/>
        </w:rPr>
        <w:t>Реновации гостиниц Москвы</w:t>
      </w:r>
    </w:p>
    <w:p w:rsidR="00517711" w:rsidRDefault="00517711">
      <w:pPr>
        <w:spacing w:after="0" w:line="240" w:lineRule="auto"/>
        <w:ind w:firstLine="709"/>
        <w:jc w:val="center"/>
        <w:rPr>
          <w:rFonts w:ascii="Times New Roman" w:hAnsi="Times New Roman" w:cs="Times New Roman"/>
          <w:b/>
          <w:sz w:val="20"/>
          <w:szCs w:val="20"/>
        </w:rPr>
      </w:pPr>
    </w:p>
    <w:tbl>
      <w:tblPr>
        <w:tblStyle w:val="af1"/>
        <w:tblW w:w="0" w:type="auto"/>
        <w:tblInd w:w="108" w:type="dxa"/>
        <w:tblLook w:val="04A0" w:firstRow="1" w:lastRow="0" w:firstColumn="1" w:lastColumn="0" w:noHBand="0" w:noVBand="1"/>
      </w:tblPr>
      <w:tblGrid>
        <w:gridCol w:w="2759"/>
        <w:gridCol w:w="1919"/>
        <w:gridCol w:w="3260"/>
        <w:gridCol w:w="1808"/>
      </w:tblGrid>
      <w:tr w:rsidR="00517711">
        <w:trPr>
          <w:trHeight w:val="454"/>
        </w:trPr>
        <w:tc>
          <w:tcPr>
            <w:tcW w:w="2759"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Название гостиницы</w:t>
            </w:r>
          </w:p>
        </w:tc>
        <w:tc>
          <w:tcPr>
            <w:tcW w:w="1919"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Год открытия</w:t>
            </w:r>
          </w:p>
        </w:tc>
        <w:tc>
          <w:tcPr>
            <w:tcW w:w="3260"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 xml:space="preserve">Реновации </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(реконструкция/ребрендинг)</w:t>
            </w:r>
          </w:p>
        </w:tc>
        <w:tc>
          <w:tcPr>
            <w:tcW w:w="1808" w:type="dxa"/>
            <w:tcBorders>
              <w:top w:val="single" w:sz="4" w:space="0" w:color="auto"/>
              <w:left w:val="single" w:sz="4" w:space="0" w:color="auto"/>
              <w:bottom w:val="single" w:sz="4" w:space="0" w:color="auto"/>
              <w:right w:val="single" w:sz="4" w:space="0" w:color="auto"/>
            </w:tcBorders>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Год реновации</w:t>
            </w:r>
          </w:p>
        </w:tc>
      </w:tr>
      <w:tr w:rsidR="00517711">
        <w:trPr>
          <w:trHeight w:val="454"/>
        </w:trPr>
        <w:tc>
          <w:tcPr>
            <w:tcW w:w="2759"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«Националь»</w:t>
            </w:r>
          </w:p>
        </w:tc>
        <w:tc>
          <w:tcPr>
            <w:tcW w:w="1919"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 xml:space="preserve">1903 </w:t>
            </w:r>
          </w:p>
        </w:tc>
        <w:tc>
          <w:tcPr>
            <w:tcW w:w="3260"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lang w:val="en-US"/>
              </w:rPr>
            </w:pPr>
            <w:r>
              <w:rPr>
                <w:rFonts w:ascii="Times New Roman" w:hAnsi="Times New Roman" w:cs="Times New Roman"/>
                <w:sz w:val="20"/>
                <w:szCs w:val="20"/>
                <w:lang w:val="en-US"/>
              </w:rPr>
              <w:t xml:space="preserve">Le Royal Meridien </w:t>
            </w:r>
            <w:r>
              <w:rPr>
                <w:rFonts w:ascii="Times New Roman" w:hAnsi="Times New Roman" w:cs="Times New Roman"/>
                <w:sz w:val="20"/>
                <w:szCs w:val="20"/>
              </w:rPr>
              <w:t>компании</w:t>
            </w:r>
            <w:r>
              <w:rPr>
                <w:rFonts w:ascii="Times New Roman" w:hAnsi="Times New Roman" w:cs="Times New Roman"/>
                <w:sz w:val="20"/>
                <w:szCs w:val="20"/>
                <w:lang w:val="en-US"/>
              </w:rPr>
              <w:t xml:space="preserve"> Starwood Hotels &amp; Resorts Worldwide </w:t>
            </w:r>
          </w:p>
          <w:p w:rsidR="00517711" w:rsidRDefault="00F815BE">
            <w:pPr>
              <w:jc w:val="center"/>
              <w:rPr>
                <w:rFonts w:ascii="Times New Roman" w:hAnsi="Times New Roman" w:cs="Times New Roman"/>
                <w:sz w:val="20"/>
                <w:szCs w:val="20"/>
                <w:lang w:val="en-US"/>
              </w:rPr>
            </w:pPr>
            <w:r>
              <w:rPr>
                <w:rFonts w:ascii="Times New Roman" w:hAnsi="Times New Roman" w:cs="Times New Roman"/>
                <w:sz w:val="20"/>
                <w:szCs w:val="20"/>
                <w:lang w:val="en-US"/>
              </w:rPr>
              <w:t>The Luxury Collection</w:t>
            </w:r>
          </w:p>
        </w:tc>
        <w:tc>
          <w:tcPr>
            <w:tcW w:w="1808" w:type="dxa"/>
            <w:tcBorders>
              <w:top w:val="single" w:sz="4" w:space="0" w:color="auto"/>
              <w:left w:val="single" w:sz="4" w:space="0" w:color="auto"/>
              <w:bottom w:val="single" w:sz="4" w:space="0" w:color="auto"/>
              <w:right w:val="single" w:sz="4" w:space="0" w:color="auto"/>
            </w:tcBorders>
          </w:tcPr>
          <w:p w:rsidR="00517711" w:rsidRDefault="00517711">
            <w:pPr>
              <w:jc w:val="center"/>
              <w:rPr>
                <w:rFonts w:ascii="Times New Roman" w:hAnsi="Times New Roman" w:cs="Times New Roman"/>
                <w:sz w:val="20"/>
                <w:szCs w:val="20"/>
              </w:rPr>
            </w:pPr>
          </w:p>
          <w:p w:rsidR="00517711" w:rsidRDefault="00517711">
            <w:pPr>
              <w:jc w:val="center"/>
              <w:rPr>
                <w:rFonts w:ascii="Times New Roman" w:hAnsi="Times New Roman" w:cs="Times New Roman"/>
                <w:sz w:val="20"/>
                <w:szCs w:val="20"/>
              </w:rPr>
            </w:pPr>
          </w:p>
          <w:p w:rsidR="00517711" w:rsidRDefault="00517711">
            <w:pPr>
              <w:jc w:val="center"/>
              <w:rPr>
                <w:rFonts w:ascii="Times New Roman" w:hAnsi="Times New Roman" w:cs="Times New Roman"/>
                <w:sz w:val="20"/>
                <w:szCs w:val="20"/>
              </w:rPr>
            </w:pP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2009</w:t>
            </w:r>
          </w:p>
        </w:tc>
      </w:tr>
      <w:tr w:rsidR="00517711">
        <w:trPr>
          <w:trHeight w:val="454"/>
        </w:trPr>
        <w:tc>
          <w:tcPr>
            <w:tcW w:w="2759"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«Украина»</w:t>
            </w:r>
          </w:p>
        </w:tc>
        <w:tc>
          <w:tcPr>
            <w:tcW w:w="1919"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 xml:space="preserve">1950 </w:t>
            </w:r>
          </w:p>
        </w:tc>
        <w:tc>
          <w:tcPr>
            <w:tcW w:w="3260"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lang w:val="en-US"/>
              </w:rPr>
              <w:t>Radisson Royal Hotel,</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lang w:val="en-US"/>
              </w:rPr>
              <w:t xml:space="preserve"> Moscow </w:t>
            </w:r>
          </w:p>
        </w:tc>
        <w:tc>
          <w:tcPr>
            <w:tcW w:w="1808" w:type="dxa"/>
            <w:tcBorders>
              <w:top w:val="single" w:sz="4" w:space="0" w:color="auto"/>
              <w:left w:val="single" w:sz="4" w:space="0" w:color="auto"/>
              <w:bottom w:val="single" w:sz="4" w:space="0" w:color="auto"/>
              <w:right w:val="single" w:sz="4" w:space="0" w:color="auto"/>
            </w:tcBorders>
          </w:tcPr>
          <w:p w:rsidR="00517711" w:rsidRDefault="00517711">
            <w:pPr>
              <w:jc w:val="center"/>
              <w:rPr>
                <w:rFonts w:ascii="Times New Roman" w:hAnsi="Times New Roman" w:cs="Times New Roman"/>
                <w:sz w:val="20"/>
                <w:szCs w:val="20"/>
              </w:rPr>
            </w:pPr>
          </w:p>
          <w:p w:rsidR="00517711" w:rsidRDefault="00F815BE">
            <w:pPr>
              <w:jc w:val="center"/>
              <w:rPr>
                <w:rFonts w:ascii="Times New Roman" w:hAnsi="Times New Roman" w:cs="Times New Roman"/>
                <w:sz w:val="20"/>
                <w:szCs w:val="20"/>
              </w:rPr>
            </w:pPr>
            <w:r>
              <w:rPr>
                <w:rFonts w:ascii="Times New Roman" w:hAnsi="Times New Roman" w:cs="Times New Roman"/>
                <w:sz w:val="20"/>
                <w:szCs w:val="20"/>
                <w:lang w:val="en-US"/>
              </w:rPr>
              <w:t>2016</w:t>
            </w:r>
          </w:p>
        </w:tc>
      </w:tr>
      <w:tr w:rsidR="00517711">
        <w:trPr>
          <w:trHeight w:val="454"/>
        </w:trPr>
        <w:tc>
          <w:tcPr>
            <w:tcW w:w="2759"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«Советская»</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«Арбат»</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«Космос»</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«Орленок»</w:t>
            </w:r>
          </w:p>
        </w:tc>
        <w:tc>
          <w:tcPr>
            <w:tcW w:w="1919"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 xml:space="preserve">1952 </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 xml:space="preserve">1960 </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1979 год</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1976 год</w:t>
            </w:r>
          </w:p>
        </w:tc>
        <w:tc>
          <w:tcPr>
            <w:tcW w:w="3260"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Korston Hotel Moscow</w:t>
            </w:r>
          </w:p>
          <w:p w:rsidR="00517711" w:rsidRDefault="00517711">
            <w:pPr>
              <w:jc w:val="center"/>
              <w:rPr>
                <w:rFonts w:ascii="Times New Roman" w:hAnsi="Times New Roman" w:cs="Times New Roman"/>
                <w:sz w:val="20"/>
                <w:szCs w:val="20"/>
              </w:rPr>
            </w:pPr>
          </w:p>
        </w:tc>
        <w:tc>
          <w:tcPr>
            <w:tcW w:w="1808" w:type="dxa"/>
            <w:tcBorders>
              <w:top w:val="single" w:sz="4" w:space="0" w:color="auto"/>
              <w:left w:val="single" w:sz="4" w:space="0" w:color="auto"/>
              <w:bottom w:val="single" w:sz="4" w:space="0" w:color="auto"/>
              <w:right w:val="single" w:sz="4" w:space="0" w:color="auto"/>
            </w:tcBorders>
          </w:tcPr>
          <w:p w:rsidR="00517711" w:rsidRDefault="00517711">
            <w:pPr>
              <w:jc w:val="center"/>
              <w:rPr>
                <w:rFonts w:ascii="Times New Roman" w:hAnsi="Times New Roman" w:cs="Times New Roman"/>
                <w:sz w:val="20"/>
                <w:szCs w:val="20"/>
              </w:rPr>
            </w:pPr>
          </w:p>
        </w:tc>
      </w:tr>
      <w:tr w:rsidR="00517711" w:rsidRPr="00161824">
        <w:trPr>
          <w:trHeight w:val="454"/>
        </w:trPr>
        <w:tc>
          <w:tcPr>
            <w:tcW w:w="2759"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lang w:val="en-US"/>
              </w:rPr>
            </w:pPr>
            <w:r>
              <w:rPr>
                <w:rFonts w:ascii="Times New Roman" w:hAnsi="Times New Roman" w:cs="Times New Roman"/>
                <w:sz w:val="20"/>
                <w:szCs w:val="20"/>
                <w:lang w:val="en-US"/>
              </w:rPr>
              <w:t>«</w:t>
            </w:r>
            <w:r>
              <w:rPr>
                <w:rFonts w:ascii="Times New Roman" w:hAnsi="Times New Roman" w:cs="Times New Roman"/>
                <w:sz w:val="20"/>
                <w:szCs w:val="20"/>
              </w:rPr>
              <w:t>Международная</w:t>
            </w:r>
            <w:r>
              <w:rPr>
                <w:rFonts w:ascii="Times New Roman" w:hAnsi="Times New Roman" w:cs="Times New Roman"/>
                <w:sz w:val="20"/>
                <w:szCs w:val="20"/>
                <w:lang w:val="en-US"/>
              </w:rPr>
              <w:t>»</w:t>
            </w:r>
          </w:p>
        </w:tc>
        <w:tc>
          <w:tcPr>
            <w:tcW w:w="1919"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lang w:val="en-US"/>
              </w:rPr>
              <w:t>1980 г</w:t>
            </w:r>
            <w:r>
              <w:rPr>
                <w:rFonts w:ascii="Times New Roman" w:hAnsi="Times New Roman" w:cs="Times New Roman"/>
                <w:sz w:val="20"/>
                <w:szCs w:val="20"/>
              </w:rPr>
              <w:t>од</w:t>
            </w:r>
          </w:p>
        </w:tc>
        <w:tc>
          <w:tcPr>
            <w:tcW w:w="3260"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lang w:val="en-US"/>
              </w:rPr>
            </w:pPr>
            <w:r>
              <w:rPr>
                <w:rFonts w:ascii="Times New Roman" w:hAnsi="Times New Roman" w:cs="Times New Roman"/>
                <w:sz w:val="20"/>
                <w:szCs w:val="20"/>
                <w:lang w:val="en-US"/>
              </w:rPr>
              <w:t>Crowne Plaza Moscow World Trade Centre</w:t>
            </w:r>
          </w:p>
        </w:tc>
        <w:tc>
          <w:tcPr>
            <w:tcW w:w="1808" w:type="dxa"/>
            <w:tcBorders>
              <w:top w:val="single" w:sz="4" w:space="0" w:color="auto"/>
              <w:left w:val="single" w:sz="4" w:space="0" w:color="auto"/>
              <w:bottom w:val="single" w:sz="4" w:space="0" w:color="auto"/>
              <w:right w:val="single" w:sz="4" w:space="0" w:color="auto"/>
            </w:tcBorders>
          </w:tcPr>
          <w:p w:rsidR="00517711" w:rsidRDefault="00517711">
            <w:pPr>
              <w:jc w:val="center"/>
              <w:rPr>
                <w:rFonts w:ascii="Times New Roman" w:hAnsi="Times New Roman" w:cs="Times New Roman"/>
                <w:sz w:val="20"/>
                <w:szCs w:val="20"/>
                <w:lang w:val="en-US"/>
              </w:rPr>
            </w:pPr>
          </w:p>
        </w:tc>
      </w:tr>
      <w:tr w:rsidR="00517711">
        <w:trPr>
          <w:trHeight w:val="454"/>
        </w:trPr>
        <w:tc>
          <w:tcPr>
            <w:tcW w:w="2759"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«Заря»</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«Академическая»</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«Аэрополис»</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«Варшава»</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«Белград»</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«Байкал»</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lastRenderedPageBreak/>
              <w:t>«Охотник</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«Ленинградская»</w:t>
            </w:r>
          </w:p>
        </w:tc>
        <w:tc>
          <w:tcPr>
            <w:tcW w:w="1919"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lastRenderedPageBreak/>
              <w:t>1956 год</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1976 год</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1980 год</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1960 год</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1973 год</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1976 год</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lastRenderedPageBreak/>
              <w:t>1980 год</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1950 год</w:t>
            </w:r>
          </w:p>
        </w:tc>
        <w:tc>
          <w:tcPr>
            <w:tcW w:w="3260"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lastRenderedPageBreak/>
              <w:t>Hilton Moscow</w:t>
            </w:r>
          </w:p>
        </w:tc>
        <w:tc>
          <w:tcPr>
            <w:tcW w:w="1808" w:type="dxa"/>
            <w:tcBorders>
              <w:top w:val="single" w:sz="4" w:space="0" w:color="auto"/>
              <w:left w:val="single" w:sz="4" w:space="0" w:color="auto"/>
              <w:bottom w:val="single" w:sz="4" w:space="0" w:color="auto"/>
              <w:right w:val="single" w:sz="4" w:space="0" w:color="auto"/>
            </w:tcBorders>
          </w:tcPr>
          <w:p w:rsidR="00517711" w:rsidRDefault="00517711">
            <w:pPr>
              <w:jc w:val="center"/>
              <w:rPr>
                <w:rFonts w:ascii="Times New Roman" w:hAnsi="Times New Roman" w:cs="Times New Roman"/>
                <w:sz w:val="20"/>
                <w:szCs w:val="20"/>
              </w:rPr>
            </w:pPr>
          </w:p>
        </w:tc>
      </w:tr>
      <w:tr w:rsidR="00517711">
        <w:trPr>
          <w:trHeight w:val="454"/>
        </w:trPr>
        <w:tc>
          <w:tcPr>
            <w:tcW w:w="2759"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«Евролюкс»</w:t>
            </w:r>
          </w:p>
        </w:tc>
        <w:tc>
          <w:tcPr>
            <w:tcW w:w="1919"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1967 год</w:t>
            </w:r>
          </w:p>
        </w:tc>
        <w:tc>
          <w:tcPr>
            <w:tcW w:w="3260"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«Катерина Парк»</w:t>
            </w:r>
          </w:p>
        </w:tc>
        <w:tc>
          <w:tcPr>
            <w:tcW w:w="1808" w:type="dxa"/>
            <w:tcBorders>
              <w:top w:val="single" w:sz="4" w:space="0" w:color="auto"/>
              <w:left w:val="single" w:sz="4" w:space="0" w:color="auto"/>
              <w:bottom w:val="single" w:sz="4" w:space="0" w:color="auto"/>
              <w:right w:val="single" w:sz="4" w:space="0" w:color="auto"/>
            </w:tcBorders>
          </w:tcPr>
          <w:p w:rsidR="00517711" w:rsidRDefault="00517711">
            <w:pPr>
              <w:jc w:val="center"/>
              <w:rPr>
                <w:rFonts w:ascii="Times New Roman" w:hAnsi="Times New Roman" w:cs="Times New Roman"/>
                <w:sz w:val="20"/>
                <w:szCs w:val="20"/>
              </w:rPr>
            </w:pPr>
          </w:p>
        </w:tc>
      </w:tr>
      <w:tr w:rsidR="00517711">
        <w:trPr>
          <w:trHeight w:val="454"/>
        </w:trPr>
        <w:tc>
          <w:tcPr>
            <w:tcW w:w="2759"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«Бухарест»</w:t>
            </w:r>
          </w:p>
        </w:tc>
        <w:tc>
          <w:tcPr>
            <w:tcW w:w="1919"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19</w:t>
            </w:r>
            <w:r>
              <w:rPr>
                <w:rFonts w:ascii="Times New Roman" w:hAnsi="Times New Roman" w:cs="Times New Roman"/>
                <w:sz w:val="20"/>
                <w:szCs w:val="20"/>
                <w:lang w:val="en-US"/>
              </w:rPr>
              <w:t xml:space="preserve">70 </w:t>
            </w:r>
            <w:r>
              <w:rPr>
                <w:rFonts w:ascii="Times New Roman" w:hAnsi="Times New Roman" w:cs="Times New Roman"/>
                <w:sz w:val="20"/>
                <w:szCs w:val="20"/>
              </w:rPr>
              <w:t>год</w:t>
            </w:r>
          </w:p>
        </w:tc>
        <w:tc>
          <w:tcPr>
            <w:tcW w:w="3260"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«Балчуг Кемпински»</w:t>
            </w:r>
          </w:p>
        </w:tc>
        <w:tc>
          <w:tcPr>
            <w:tcW w:w="1808" w:type="dxa"/>
            <w:tcBorders>
              <w:top w:val="single" w:sz="4" w:space="0" w:color="auto"/>
              <w:left w:val="single" w:sz="4" w:space="0" w:color="auto"/>
              <w:bottom w:val="single" w:sz="4" w:space="0" w:color="auto"/>
              <w:right w:val="single" w:sz="4" w:space="0" w:color="auto"/>
            </w:tcBorders>
          </w:tcPr>
          <w:p w:rsidR="00517711" w:rsidRDefault="00517711">
            <w:pPr>
              <w:jc w:val="center"/>
              <w:rPr>
                <w:rFonts w:ascii="Times New Roman" w:hAnsi="Times New Roman" w:cs="Times New Roman"/>
                <w:sz w:val="20"/>
                <w:szCs w:val="20"/>
              </w:rPr>
            </w:pP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1992</w:t>
            </w:r>
          </w:p>
        </w:tc>
      </w:tr>
    </w:tbl>
    <w:p w:rsidR="00517711" w:rsidRDefault="00F815BE">
      <w:pPr>
        <w:spacing w:before="120"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Как показывает практика, чаще всего реконструкция и ребрендинг отеля связаны со сменой управляющей компании. Конечно, не все столичные гостиницы были сохранены – некоторые оказалось целесообразнее снести. Так, вместо «Интуриста» был построен пре-стижный The Ritz-Carlton, а на месте легендарной гостиницы «Москва» в 2003 году началось строительство отеля оператора Four Seasons – открытие состоялось в конце 2014 года. [2, c.195].</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Гостиницы Владивостока то же последовательно меняют свой облик, технологии, которые делают их более современными и привлекательными для гостей. Система реноваций пришла в отельный бизнес не сразу и постепенно охватывает все больше и больше гостиниц советских времен. Во Владивостоке популярен въездной туризм, особенно среди иностранцев Восточно-Азиатских стран, поэтому обновление бренда коснулось нескольких гостиниц, в частности появился российско-международный бренд «Азимут» и корейский – «LOTTE», представленные в таблице 2. </w:t>
      </w:r>
    </w:p>
    <w:p w:rsidR="00517711" w:rsidRDefault="00F815BE">
      <w:pPr>
        <w:tabs>
          <w:tab w:val="left" w:pos="2145"/>
        </w:tabs>
        <w:spacing w:before="120" w:after="0" w:line="240" w:lineRule="auto"/>
        <w:ind w:firstLine="709"/>
        <w:jc w:val="right"/>
        <w:rPr>
          <w:rFonts w:ascii="Times New Roman" w:hAnsi="Times New Roman" w:cs="Times New Roman"/>
          <w:i/>
          <w:sz w:val="20"/>
          <w:szCs w:val="20"/>
        </w:rPr>
      </w:pPr>
      <w:r>
        <w:rPr>
          <w:rFonts w:ascii="Times New Roman" w:hAnsi="Times New Roman" w:cs="Times New Roman"/>
          <w:i/>
          <w:sz w:val="20"/>
          <w:szCs w:val="20"/>
        </w:rPr>
        <w:t xml:space="preserve">                 Таблица 2</w:t>
      </w:r>
      <w:r>
        <w:rPr>
          <w:rFonts w:ascii="Times New Roman" w:hAnsi="Times New Roman" w:cs="Times New Roman"/>
          <w:i/>
          <w:sz w:val="20"/>
          <w:szCs w:val="20"/>
        </w:rPr>
        <w:tab/>
      </w:r>
    </w:p>
    <w:p w:rsidR="00517711" w:rsidRDefault="00F815BE">
      <w:pPr>
        <w:spacing w:before="120" w:after="0" w:line="240" w:lineRule="auto"/>
        <w:ind w:firstLine="709"/>
        <w:jc w:val="center"/>
        <w:rPr>
          <w:rFonts w:ascii="Times New Roman" w:hAnsi="Times New Roman" w:cs="Times New Roman"/>
          <w:b/>
          <w:sz w:val="20"/>
          <w:szCs w:val="20"/>
        </w:rPr>
      </w:pPr>
      <w:r>
        <w:rPr>
          <w:rFonts w:ascii="Times New Roman" w:hAnsi="Times New Roman" w:cs="Times New Roman"/>
          <w:b/>
          <w:sz w:val="20"/>
          <w:szCs w:val="20"/>
        </w:rPr>
        <w:t>Реиовации  отелей Владивостока</w:t>
      </w:r>
    </w:p>
    <w:p w:rsidR="00517711" w:rsidRDefault="00517711">
      <w:pPr>
        <w:spacing w:before="120" w:after="0" w:line="240" w:lineRule="auto"/>
        <w:ind w:firstLine="709"/>
        <w:jc w:val="center"/>
        <w:rPr>
          <w:rFonts w:ascii="Times New Roman" w:hAnsi="Times New Roman" w:cs="Times New Roman"/>
          <w:b/>
          <w:sz w:val="20"/>
          <w:szCs w:val="20"/>
        </w:rPr>
      </w:pPr>
    </w:p>
    <w:tbl>
      <w:tblPr>
        <w:tblStyle w:val="af1"/>
        <w:tblW w:w="0" w:type="auto"/>
        <w:tblInd w:w="108" w:type="dxa"/>
        <w:tblLook w:val="04A0" w:firstRow="1" w:lastRow="0" w:firstColumn="1" w:lastColumn="0" w:noHBand="0" w:noVBand="1"/>
      </w:tblPr>
      <w:tblGrid>
        <w:gridCol w:w="3180"/>
        <w:gridCol w:w="3285"/>
        <w:gridCol w:w="3178"/>
      </w:tblGrid>
      <w:tr w:rsidR="00517711">
        <w:trPr>
          <w:trHeight w:val="454"/>
        </w:trPr>
        <w:tc>
          <w:tcPr>
            <w:tcW w:w="3180" w:type="dxa"/>
            <w:tcBorders>
              <w:top w:val="single" w:sz="4" w:space="0" w:color="auto"/>
              <w:left w:val="single" w:sz="4" w:space="0" w:color="auto"/>
              <w:bottom w:val="single" w:sz="4" w:space="0" w:color="auto"/>
              <w:right w:val="single" w:sz="4" w:space="0" w:color="auto"/>
            </w:tcBorders>
            <w:vAlign w:val="center"/>
          </w:tcPr>
          <w:p w:rsidR="00517711" w:rsidRDefault="00F815BE">
            <w:pPr>
              <w:spacing w:before="120"/>
              <w:jc w:val="center"/>
              <w:rPr>
                <w:rFonts w:ascii="Times New Roman" w:hAnsi="Times New Roman" w:cs="Times New Roman"/>
                <w:sz w:val="20"/>
                <w:szCs w:val="20"/>
              </w:rPr>
            </w:pPr>
            <w:r>
              <w:rPr>
                <w:rFonts w:ascii="Times New Roman" w:hAnsi="Times New Roman" w:cs="Times New Roman"/>
                <w:sz w:val="20"/>
                <w:szCs w:val="20"/>
              </w:rPr>
              <w:t>Отели</w:t>
            </w:r>
          </w:p>
        </w:tc>
        <w:tc>
          <w:tcPr>
            <w:tcW w:w="3285" w:type="dxa"/>
            <w:tcBorders>
              <w:top w:val="single" w:sz="4" w:space="0" w:color="auto"/>
              <w:left w:val="single" w:sz="4" w:space="0" w:color="auto"/>
              <w:bottom w:val="single" w:sz="4" w:space="0" w:color="auto"/>
              <w:right w:val="single" w:sz="4" w:space="0" w:color="auto"/>
            </w:tcBorders>
            <w:vAlign w:val="center"/>
          </w:tcPr>
          <w:p w:rsidR="00517711" w:rsidRDefault="00F815BE">
            <w:pPr>
              <w:spacing w:before="120"/>
              <w:jc w:val="center"/>
              <w:rPr>
                <w:rFonts w:ascii="Times New Roman" w:hAnsi="Times New Roman" w:cs="Times New Roman"/>
                <w:sz w:val="20"/>
                <w:szCs w:val="20"/>
              </w:rPr>
            </w:pPr>
            <w:r>
              <w:rPr>
                <w:rFonts w:ascii="Times New Roman" w:hAnsi="Times New Roman" w:cs="Times New Roman"/>
                <w:sz w:val="20"/>
                <w:szCs w:val="20"/>
              </w:rPr>
              <w:t>Год открытия</w:t>
            </w:r>
          </w:p>
        </w:tc>
        <w:tc>
          <w:tcPr>
            <w:tcW w:w="3178" w:type="dxa"/>
            <w:tcBorders>
              <w:top w:val="single" w:sz="4" w:space="0" w:color="auto"/>
              <w:left w:val="single" w:sz="4" w:space="0" w:color="auto"/>
              <w:bottom w:val="single" w:sz="4" w:space="0" w:color="auto"/>
              <w:right w:val="single" w:sz="4" w:space="0" w:color="auto"/>
            </w:tcBorders>
            <w:vAlign w:val="center"/>
          </w:tcPr>
          <w:p w:rsidR="00517711" w:rsidRDefault="00F815BE">
            <w:pPr>
              <w:spacing w:before="120"/>
              <w:jc w:val="center"/>
              <w:rPr>
                <w:rFonts w:ascii="Times New Roman" w:hAnsi="Times New Roman" w:cs="Times New Roman"/>
                <w:sz w:val="20"/>
                <w:szCs w:val="20"/>
              </w:rPr>
            </w:pPr>
            <w:r>
              <w:rPr>
                <w:rFonts w:ascii="Times New Roman" w:hAnsi="Times New Roman" w:cs="Times New Roman"/>
                <w:sz w:val="20"/>
                <w:szCs w:val="20"/>
              </w:rPr>
              <w:t>Реновация (новый бренд), год</w:t>
            </w:r>
          </w:p>
        </w:tc>
      </w:tr>
      <w:tr w:rsidR="00517711">
        <w:trPr>
          <w:trHeight w:val="454"/>
        </w:trPr>
        <w:tc>
          <w:tcPr>
            <w:tcW w:w="3180" w:type="dxa"/>
            <w:tcBorders>
              <w:top w:val="single" w:sz="4" w:space="0" w:color="auto"/>
              <w:left w:val="single" w:sz="4" w:space="0" w:color="auto"/>
              <w:bottom w:val="single" w:sz="4" w:space="0" w:color="auto"/>
              <w:right w:val="single" w:sz="4" w:space="0" w:color="auto"/>
            </w:tcBorders>
            <w:vAlign w:val="center"/>
          </w:tcPr>
          <w:p w:rsidR="00517711" w:rsidRDefault="00F815BE">
            <w:pPr>
              <w:spacing w:before="120"/>
              <w:rPr>
                <w:rFonts w:ascii="Times New Roman" w:hAnsi="Times New Roman" w:cs="Times New Roman"/>
                <w:sz w:val="20"/>
                <w:szCs w:val="20"/>
              </w:rPr>
            </w:pPr>
            <w:r>
              <w:rPr>
                <w:rFonts w:ascii="Times New Roman" w:hAnsi="Times New Roman" w:cs="Times New Roman"/>
                <w:sz w:val="20"/>
                <w:szCs w:val="20"/>
              </w:rPr>
              <w:t>«Владивосток»</w:t>
            </w:r>
          </w:p>
        </w:tc>
        <w:tc>
          <w:tcPr>
            <w:tcW w:w="3285" w:type="dxa"/>
            <w:tcBorders>
              <w:top w:val="single" w:sz="4" w:space="0" w:color="auto"/>
              <w:left w:val="single" w:sz="4" w:space="0" w:color="auto"/>
              <w:bottom w:val="single" w:sz="4" w:space="0" w:color="auto"/>
              <w:right w:val="single" w:sz="4" w:space="0" w:color="auto"/>
            </w:tcBorders>
            <w:vAlign w:val="center"/>
          </w:tcPr>
          <w:p w:rsidR="00517711" w:rsidRDefault="00F815BE">
            <w:pPr>
              <w:spacing w:before="120"/>
              <w:jc w:val="center"/>
              <w:rPr>
                <w:rFonts w:ascii="Times New Roman" w:hAnsi="Times New Roman" w:cs="Times New Roman"/>
                <w:sz w:val="20"/>
                <w:szCs w:val="20"/>
              </w:rPr>
            </w:pPr>
            <w:r>
              <w:rPr>
                <w:rFonts w:ascii="Times New Roman" w:hAnsi="Times New Roman" w:cs="Times New Roman"/>
                <w:sz w:val="20"/>
                <w:szCs w:val="20"/>
              </w:rPr>
              <w:t>1975</w:t>
            </w:r>
          </w:p>
        </w:tc>
        <w:tc>
          <w:tcPr>
            <w:tcW w:w="3178" w:type="dxa"/>
            <w:tcBorders>
              <w:top w:val="single" w:sz="4" w:space="0" w:color="auto"/>
              <w:left w:val="single" w:sz="4" w:space="0" w:color="auto"/>
              <w:bottom w:val="single" w:sz="4" w:space="0" w:color="auto"/>
              <w:right w:val="single" w:sz="4" w:space="0" w:color="auto"/>
            </w:tcBorders>
            <w:vAlign w:val="center"/>
          </w:tcPr>
          <w:p w:rsidR="00517711" w:rsidRDefault="00F815BE">
            <w:pPr>
              <w:spacing w:before="120"/>
              <w:rPr>
                <w:rFonts w:ascii="Times New Roman" w:hAnsi="Times New Roman" w:cs="Times New Roman"/>
                <w:sz w:val="20"/>
                <w:szCs w:val="20"/>
              </w:rPr>
            </w:pPr>
            <w:r>
              <w:rPr>
                <w:rFonts w:ascii="Times New Roman" w:hAnsi="Times New Roman" w:cs="Times New Roman"/>
                <w:sz w:val="20"/>
                <w:szCs w:val="20"/>
              </w:rPr>
              <w:t>«Азимут Владивосток «</w:t>
            </w:r>
          </w:p>
          <w:p w:rsidR="00517711" w:rsidRDefault="00F815BE">
            <w:pPr>
              <w:spacing w:before="120"/>
              <w:rPr>
                <w:rFonts w:ascii="Times New Roman" w:hAnsi="Times New Roman" w:cs="Times New Roman"/>
                <w:sz w:val="20"/>
                <w:szCs w:val="20"/>
              </w:rPr>
            </w:pPr>
            <w:r>
              <w:rPr>
                <w:rFonts w:ascii="Times New Roman" w:hAnsi="Times New Roman" w:cs="Times New Roman"/>
                <w:sz w:val="20"/>
                <w:szCs w:val="20"/>
              </w:rPr>
              <w:t>2015 г.</w:t>
            </w:r>
          </w:p>
        </w:tc>
      </w:tr>
      <w:tr w:rsidR="00517711">
        <w:trPr>
          <w:trHeight w:val="454"/>
        </w:trPr>
        <w:tc>
          <w:tcPr>
            <w:tcW w:w="3180" w:type="dxa"/>
            <w:tcBorders>
              <w:top w:val="single" w:sz="4" w:space="0" w:color="auto"/>
              <w:left w:val="single" w:sz="4" w:space="0" w:color="auto"/>
              <w:bottom w:val="single" w:sz="4" w:space="0" w:color="auto"/>
              <w:right w:val="single" w:sz="4" w:space="0" w:color="auto"/>
            </w:tcBorders>
            <w:vAlign w:val="center"/>
          </w:tcPr>
          <w:p w:rsidR="00517711" w:rsidRDefault="00F815BE">
            <w:pPr>
              <w:spacing w:before="120"/>
              <w:rPr>
                <w:rFonts w:ascii="Times New Roman" w:hAnsi="Times New Roman" w:cs="Times New Roman"/>
                <w:sz w:val="20"/>
                <w:szCs w:val="20"/>
              </w:rPr>
            </w:pPr>
            <w:r>
              <w:rPr>
                <w:rFonts w:ascii="Times New Roman" w:hAnsi="Times New Roman" w:cs="Times New Roman"/>
                <w:sz w:val="20"/>
                <w:szCs w:val="20"/>
              </w:rPr>
              <w:t>«Экватор»</w:t>
            </w:r>
          </w:p>
        </w:tc>
        <w:tc>
          <w:tcPr>
            <w:tcW w:w="3285" w:type="dxa"/>
            <w:tcBorders>
              <w:top w:val="single" w:sz="4" w:space="0" w:color="auto"/>
              <w:left w:val="single" w:sz="4" w:space="0" w:color="auto"/>
              <w:bottom w:val="single" w:sz="4" w:space="0" w:color="auto"/>
              <w:right w:val="single" w:sz="4" w:space="0" w:color="auto"/>
            </w:tcBorders>
            <w:vAlign w:val="center"/>
          </w:tcPr>
          <w:p w:rsidR="00517711" w:rsidRDefault="00F815BE">
            <w:pPr>
              <w:spacing w:before="120"/>
              <w:jc w:val="center"/>
              <w:rPr>
                <w:rFonts w:ascii="Times New Roman" w:hAnsi="Times New Roman" w:cs="Times New Roman"/>
                <w:sz w:val="20"/>
                <w:szCs w:val="20"/>
              </w:rPr>
            </w:pPr>
            <w:r>
              <w:rPr>
                <w:rFonts w:ascii="Times New Roman" w:hAnsi="Times New Roman" w:cs="Times New Roman"/>
                <w:sz w:val="20"/>
                <w:szCs w:val="20"/>
              </w:rPr>
              <w:t>1988 год</w:t>
            </w:r>
          </w:p>
        </w:tc>
        <w:tc>
          <w:tcPr>
            <w:tcW w:w="3178" w:type="dxa"/>
            <w:tcBorders>
              <w:top w:val="single" w:sz="4" w:space="0" w:color="auto"/>
              <w:left w:val="single" w:sz="4" w:space="0" w:color="auto"/>
              <w:bottom w:val="single" w:sz="4" w:space="0" w:color="auto"/>
              <w:right w:val="single" w:sz="4" w:space="0" w:color="auto"/>
            </w:tcBorders>
            <w:vAlign w:val="center"/>
          </w:tcPr>
          <w:p w:rsidR="00517711" w:rsidRDefault="00F815BE">
            <w:pPr>
              <w:spacing w:before="120"/>
              <w:rPr>
                <w:rFonts w:ascii="Times New Roman" w:hAnsi="Times New Roman" w:cs="Times New Roman"/>
                <w:sz w:val="20"/>
                <w:szCs w:val="20"/>
              </w:rPr>
            </w:pPr>
            <w:r>
              <w:rPr>
                <w:rFonts w:ascii="Times New Roman" w:hAnsi="Times New Roman" w:cs="Times New Roman"/>
                <w:sz w:val="20"/>
                <w:szCs w:val="20"/>
              </w:rPr>
              <w:t>«Экватор» 2015-2018 гг.</w:t>
            </w:r>
          </w:p>
        </w:tc>
      </w:tr>
      <w:tr w:rsidR="00517711">
        <w:trPr>
          <w:trHeight w:val="454"/>
        </w:trPr>
        <w:tc>
          <w:tcPr>
            <w:tcW w:w="3180" w:type="dxa"/>
            <w:tcBorders>
              <w:top w:val="single" w:sz="4" w:space="0" w:color="auto"/>
              <w:left w:val="single" w:sz="4" w:space="0" w:color="auto"/>
              <w:bottom w:val="single" w:sz="4" w:space="0" w:color="auto"/>
              <w:right w:val="single" w:sz="4" w:space="0" w:color="auto"/>
            </w:tcBorders>
            <w:vAlign w:val="center"/>
          </w:tcPr>
          <w:p w:rsidR="00517711" w:rsidRDefault="00F815BE">
            <w:pPr>
              <w:spacing w:before="120"/>
              <w:rPr>
                <w:rFonts w:ascii="Times New Roman" w:hAnsi="Times New Roman" w:cs="Times New Roman"/>
                <w:sz w:val="20"/>
                <w:szCs w:val="20"/>
              </w:rPr>
            </w:pPr>
            <w:r>
              <w:rPr>
                <w:rFonts w:ascii="Times New Roman" w:hAnsi="Times New Roman" w:cs="Times New Roman"/>
                <w:sz w:val="20"/>
                <w:szCs w:val="20"/>
              </w:rPr>
              <w:t>«Амурский залив»</w:t>
            </w:r>
          </w:p>
        </w:tc>
        <w:tc>
          <w:tcPr>
            <w:tcW w:w="3285" w:type="dxa"/>
            <w:tcBorders>
              <w:top w:val="single" w:sz="4" w:space="0" w:color="auto"/>
              <w:left w:val="single" w:sz="4" w:space="0" w:color="auto"/>
              <w:bottom w:val="single" w:sz="4" w:space="0" w:color="auto"/>
              <w:right w:val="single" w:sz="4" w:space="0" w:color="auto"/>
            </w:tcBorders>
            <w:vAlign w:val="center"/>
          </w:tcPr>
          <w:p w:rsidR="00517711" w:rsidRDefault="00F815BE">
            <w:pPr>
              <w:spacing w:before="120"/>
              <w:jc w:val="center"/>
              <w:rPr>
                <w:rFonts w:ascii="Times New Roman" w:hAnsi="Times New Roman" w:cs="Times New Roman"/>
                <w:sz w:val="20"/>
                <w:szCs w:val="20"/>
              </w:rPr>
            </w:pPr>
            <w:r>
              <w:rPr>
                <w:rFonts w:ascii="Times New Roman" w:hAnsi="Times New Roman" w:cs="Times New Roman"/>
                <w:sz w:val="20"/>
                <w:szCs w:val="20"/>
              </w:rPr>
              <w:t>1998 год</w:t>
            </w:r>
          </w:p>
        </w:tc>
        <w:tc>
          <w:tcPr>
            <w:tcW w:w="3178" w:type="dxa"/>
            <w:tcBorders>
              <w:top w:val="single" w:sz="4" w:space="0" w:color="auto"/>
              <w:left w:val="single" w:sz="4" w:space="0" w:color="auto"/>
              <w:bottom w:val="single" w:sz="4" w:space="0" w:color="auto"/>
              <w:right w:val="single" w:sz="4" w:space="0" w:color="auto"/>
            </w:tcBorders>
            <w:vAlign w:val="center"/>
          </w:tcPr>
          <w:p w:rsidR="00517711" w:rsidRDefault="00F815BE">
            <w:pPr>
              <w:spacing w:before="120"/>
              <w:rPr>
                <w:rFonts w:ascii="Times New Roman" w:hAnsi="Times New Roman" w:cs="Times New Roman"/>
                <w:sz w:val="20"/>
                <w:szCs w:val="20"/>
              </w:rPr>
            </w:pPr>
            <w:r>
              <w:rPr>
                <w:rFonts w:ascii="Times New Roman" w:hAnsi="Times New Roman" w:cs="Times New Roman"/>
                <w:sz w:val="20"/>
                <w:szCs w:val="20"/>
              </w:rPr>
              <w:t>«Азимут Амурский залив» 2004 г.</w:t>
            </w:r>
          </w:p>
        </w:tc>
      </w:tr>
      <w:tr w:rsidR="00517711">
        <w:trPr>
          <w:trHeight w:val="454"/>
        </w:trPr>
        <w:tc>
          <w:tcPr>
            <w:tcW w:w="3180" w:type="dxa"/>
            <w:tcBorders>
              <w:top w:val="single" w:sz="4" w:space="0" w:color="auto"/>
              <w:left w:val="single" w:sz="4" w:space="0" w:color="auto"/>
              <w:bottom w:val="single" w:sz="4" w:space="0" w:color="auto"/>
              <w:right w:val="single" w:sz="4" w:space="0" w:color="auto"/>
            </w:tcBorders>
            <w:vAlign w:val="center"/>
          </w:tcPr>
          <w:p w:rsidR="00517711" w:rsidRDefault="00F815BE">
            <w:pPr>
              <w:spacing w:before="120"/>
              <w:rPr>
                <w:rFonts w:ascii="Times New Roman" w:hAnsi="Times New Roman" w:cs="Times New Roman"/>
                <w:sz w:val="20"/>
                <w:szCs w:val="20"/>
              </w:rPr>
            </w:pPr>
            <w:r>
              <w:rPr>
                <w:rFonts w:ascii="Times New Roman" w:hAnsi="Times New Roman" w:cs="Times New Roman"/>
                <w:sz w:val="20"/>
                <w:szCs w:val="20"/>
              </w:rPr>
              <w:t>«Версаль»</w:t>
            </w:r>
          </w:p>
        </w:tc>
        <w:tc>
          <w:tcPr>
            <w:tcW w:w="3285" w:type="dxa"/>
            <w:tcBorders>
              <w:top w:val="single" w:sz="4" w:space="0" w:color="auto"/>
              <w:left w:val="single" w:sz="4" w:space="0" w:color="auto"/>
              <w:bottom w:val="single" w:sz="4" w:space="0" w:color="auto"/>
              <w:right w:val="single" w:sz="4" w:space="0" w:color="auto"/>
            </w:tcBorders>
            <w:vAlign w:val="center"/>
          </w:tcPr>
          <w:p w:rsidR="00517711" w:rsidRDefault="00F815BE">
            <w:pPr>
              <w:spacing w:before="120"/>
              <w:jc w:val="center"/>
              <w:rPr>
                <w:rFonts w:ascii="Times New Roman" w:hAnsi="Times New Roman" w:cs="Times New Roman"/>
                <w:sz w:val="20"/>
                <w:szCs w:val="20"/>
              </w:rPr>
            </w:pPr>
            <w:r>
              <w:rPr>
                <w:rFonts w:ascii="Times New Roman" w:hAnsi="Times New Roman" w:cs="Times New Roman"/>
                <w:sz w:val="20"/>
                <w:szCs w:val="20"/>
              </w:rPr>
              <w:t>1909 год</w:t>
            </w:r>
          </w:p>
        </w:tc>
        <w:tc>
          <w:tcPr>
            <w:tcW w:w="3178" w:type="dxa"/>
            <w:tcBorders>
              <w:top w:val="single" w:sz="4" w:space="0" w:color="auto"/>
              <w:left w:val="single" w:sz="4" w:space="0" w:color="auto"/>
              <w:bottom w:val="single" w:sz="4" w:space="0" w:color="auto"/>
              <w:right w:val="single" w:sz="4" w:space="0" w:color="auto"/>
            </w:tcBorders>
            <w:vAlign w:val="center"/>
          </w:tcPr>
          <w:p w:rsidR="00517711" w:rsidRDefault="00F815BE">
            <w:pPr>
              <w:spacing w:before="120"/>
              <w:rPr>
                <w:rFonts w:ascii="Times New Roman" w:hAnsi="Times New Roman" w:cs="Times New Roman"/>
                <w:sz w:val="20"/>
                <w:szCs w:val="20"/>
              </w:rPr>
            </w:pPr>
            <w:r>
              <w:rPr>
                <w:rFonts w:ascii="Times New Roman" w:hAnsi="Times New Roman" w:cs="Times New Roman"/>
                <w:sz w:val="20"/>
                <w:szCs w:val="20"/>
              </w:rPr>
              <w:t>«Версаль» 2007 г.</w:t>
            </w:r>
          </w:p>
        </w:tc>
      </w:tr>
      <w:tr w:rsidR="00517711">
        <w:trPr>
          <w:trHeight w:val="454"/>
        </w:trPr>
        <w:tc>
          <w:tcPr>
            <w:tcW w:w="3180" w:type="dxa"/>
            <w:tcBorders>
              <w:top w:val="single" w:sz="4" w:space="0" w:color="auto"/>
              <w:left w:val="single" w:sz="4" w:space="0" w:color="auto"/>
              <w:bottom w:val="single" w:sz="4" w:space="0" w:color="auto"/>
              <w:right w:val="single" w:sz="4" w:space="0" w:color="auto"/>
            </w:tcBorders>
            <w:vAlign w:val="center"/>
          </w:tcPr>
          <w:p w:rsidR="00517711" w:rsidRDefault="00F815BE">
            <w:pPr>
              <w:spacing w:before="120"/>
              <w:rPr>
                <w:rFonts w:ascii="Times New Roman" w:hAnsi="Times New Roman" w:cs="Times New Roman"/>
                <w:sz w:val="20"/>
                <w:szCs w:val="20"/>
              </w:rPr>
            </w:pPr>
            <w:r>
              <w:rPr>
                <w:rFonts w:ascii="Times New Roman" w:hAnsi="Times New Roman" w:cs="Times New Roman"/>
                <w:sz w:val="20"/>
                <w:szCs w:val="20"/>
              </w:rPr>
              <w:t>«Хенде»</w:t>
            </w:r>
          </w:p>
        </w:tc>
        <w:tc>
          <w:tcPr>
            <w:tcW w:w="3285" w:type="dxa"/>
            <w:tcBorders>
              <w:top w:val="single" w:sz="4" w:space="0" w:color="auto"/>
              <w:left w:val="single" w:sz="4" w:space="0" w:color="auto"/>
              <w:bottom w:val="single" w:sz="4" w:space="0" w:color="auto"/>
              <w:right w:val="single" w:sz="4" w:space="0" w:color="auto"/>
            </w:tcBorders>
            <w:vAlign w:val="center"/>
          </w:tcPr>
          <w:p w:rsidR="00517711" w:rsidRDefault="00F815BE">
            <w:pPr>
              <w:spacing w:before="120"/>
              <w:jc w:val="center"/>
              <w:rPr>
                <w:rFonts w:ascii="Times New Roman" w:hAnsi="Times New Roman" w:cs="Times New Roman"/>
                <w:sz w:val="20"/>
                <w:szCs w:val="20"/>
              </w:rPr>
            </w:pPr>
            <w:r>
              <w:rPr>
                <w:rFonts w:ascii="Times New Roman" w:hAnsi="Times New Roman" w:cs="Times New Roman"/>
                <w:sz w:val="20"/>
                <w:szCs w:val="20"/>
              </w:rPr>
              <w:t>1997 год</w:t>
            </w:r>
          </w:p>
        </w:tc>
        <w:tc>
          <w:tcPr>
            <w:tcW w:w="3178" w:type="dxa"/>
            <w:tcBorders>
              <w:top w:val="single" w:sz="4" w:space="0" w:color="auto"/>
              <w:left w:val="single" w:sz="4" w:space="0" w:color="auto"/>
              <w:bottom w:val="single" w:sz="4" w:space="0" w:color="auto"/>
              <w:right w:val="single" w:sz="4" w:space="0" w:color="auto"/>
            </w:tcBorders>
            <w:vAlign w:val="center"/>
          </w:tcPr>
          <w:p w:rsidR="00517711" w:rsidRDefault="00F815BE">
            <w:pPr>
              <w:spacing w:before="120"/>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sz w:val="20"/>
                <w:szCs w:val="20"/>
                <w:lang w:val="en-US"/>
              </w:rPr>
              <w:t>LOTTE</w:t>
            </w:r>
            <w:r>
              <w:rPr>
                <w:rFonts w:ascii="Times New Roman" w:hAnsi="Times New Roman" w:cs="Times New Roman"/>
                <w:sz w:val="20"/>
                <w:szCs w:val="20"/>
              </w:rPr>
              <w:t>»</w:t>
            </w:r>
            <w:r>
              <w:rPr>
                <w:rFonts w:ascii="Times New Roman" w:hAnsi="Times New Roman" w:cs="Times New Roman"/>
                <w:sz w:val="20"/>
                <w:szCs w:val="20"/>
                <w:lang w:val="en-US"/>
              </w:rPr>
              <w:t xml:space="preserve"> 2018</w:t>
            </w:r>
            <w:r>
              <w:rPr>
                <w:rFonts w:ascii="Times New Roman" w:hAnsi="Times New Roman" w:cs="Times New Roman"/>
                <w:sz w:val="20"/>
                <w:szCs w:val="20"/>
              </w:rPr>
              <w:t xml:space="preserve"> г.</w:t>
            </w:r>
          </w:p>
        </w:tc>
      </w:tr>
    </w:tbl>
    <w:p w:rsidR="00517711" w:rsidRDefault="00517711">
      <w:pPr>
        <w:spacing w:after="0" w:line="240" w:lineRule="auto"/>
        <w:ind w:firstLine="709"/>
        <w:rPr>
          <w:rFonts w:ascii="Times New Roman" w:hAnsi="Times New Roman" w:cs="Times New Roman"/>
          <w:sz w:val="20"/>
          <w:szCs w:val="20"/>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Реновация отеля «Хенде» один из последних новых проектов обновления, который реализуется весной 2018 года. На данный момент, отель выкуплен мировой корейской компанией сетевых отелей «</w:t>
      </w:r>
      <w:r>
        <w:rPr>
          <w:rFonts w:ascii="Times New Roman" w:hAnsi="Times New Roman" w:cs="Times New Roman"/>
          <w:sz w:val="20"/>
          <w:szCs w:val="20"/>
          <w:lang w:val="en-US"/>
        </w:rPr>
        <w:t>LOTTE</w:t>
      </w:r>
      <w:r>
        <w:rPr>
          <w:rFonts w:ascii="Times New Roman" w:hAnsi="Times New Roman" w:cs="Times New Roman"/>
          <w:sz w:val="20"/>
          <w:szCs w:val="20"/>
        </w:rPr>
        <w:t>». Цель ребрендинга – продвижение мировой сети в России, дать «новое дыхание» бизнес центру, который был открыт в 1997 г. и  привлечь больший поток туристов из ближайших стран Азии.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У каждого объекта свой «срок жизни» – период, на протяжении которого его эксплуатация может быть максимально эффективной и доходной. У торговых центров этот срок составляет примерно семь лет, чуть больше у офисов и гостиниц – около 10 лет. По истечении этого срока необходима модернизация дизайна, реконструкция и реинжиниринг. Но есть и другая причина – ошибки на стадии проектирования гостиницы. Российский рынок еще очень молод, и многие проекты, созданные на стадии его формирования, реализовывались неопытными специалистами, нередко с неверно разработанной концепцией или вообще без нее. Такие объекты, безусловно, нуждаются в реновации, но иногда для них достаточно привлечь грамотного гостиничного оператора, чтобы скорректировать зонирование или изменить бренд.  Рассмотрим, что предполагает подготовка к реновации отеля.</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Первым делом потребуется провести технический аудит средства размещения, который подразумевает привлечение специалистов для независимой оценки текущего технического состояния гостиницы. В ходе аудита анализируется документация по строительству либо реконструкции объекта, дается экспертное заключение о проекте гостиницы, выявляются конкретные проблемные места, которым стоит уделить особое внимание в ходе реновации. По итогам проверки составляется график-план с указанием работ и сроков их проведения.</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Задачи технического аудита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оптимизация предстоящих затрат;</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lastRenderedPageBreak/>
        <w:t>– снижение расходов на текущий ремонт;</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выявление проблемных участков объекта для экономии затрат при покупке оборудования и материалов;</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формирование общего бюджета и лимита расходов на реновацию;</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контроль за соблюдением всех действующих строительных норм и требований.</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Правильно подготовиться к процедуре реновации помогают следующие семь главных шагов перед началом масштабного ремонта: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разработка четкого проекта проведения реконструкции на основе выводов технической оценки объекта;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оценка утвержденного проекта реновации с точки зрения соответствия действующим требованиям СниП и СанПиН;</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согласование необходимого объема закупки материалов и оборудования, поиск надежных поставщиков и заключение с ними договоров поставки;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проверка материалов на соответствие надлежащему качеству, получение от поставщика всех необходимых документов и спецификаций;</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выявление основных «проблемных» участков объекта для правильного зонирования строительных работ;</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составление точных списков и перечней необходимых для приобретения расходных материалов (посуды, постельного белья, полотенец и т. д.);</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сравнение проекта реновации гостиницы с реальными нуждами и ожиданиями постояльцев.</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Эксперты призывают отельеров не экономить на правильной подготовке к процессу реконструкции гостиницы: экономия вначале, может привести к незапланированным затратам в конце ремонта. Проведение процедуры технического аудита обойдется владельцам объекта в 1,5% от планируемой суммы всей реконструкции. Разработка нового дизайн-проекта стоит в пределах 4-6%. Однако, стоит помнить, что затраты понесенные на процедуру реновации способны в дальнейшем увеличить прибыльность гостиницы и привлечь новых клиентов. [3, c.205].</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Таким образом, можно сделать вывод, что в условиях жесткой конкуренции на рынке вопрос с определением правильной концептуальной схемы предприятия, качества реконструкции становится определяющим. Решение этих задач должно проводиться с наилучшей эффективностью и строится по законам экономики, с учетом соотношения суммы инвестиций с экономической результативностью. Грамотное планирование реновации в итоге приведет к увеличению прибыли и обеспечению постоянных гостей.</w:t>
      </w:r>
    </w:p>
    <w:p w:rsidR="00517711" w:rsidRDefault="00F815BE">
      <w:p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______________________________________</w:t>
      </w:r>
    </w:p>
    <w:p w:rsidR="00517711" w:rsidRDefault="00F815BE">
      <w:pPr>
        <w:pStyle w:val="af4"/>
        <w:numPr>
          <w:ilvl w:val="0"/>
          <w:numId w:val="11"/>
        </w:numPr>
        <w:tabs>
          <w:tab w:val="left" w:pos="993"/>
        </w:tabs>
        <w:spacing w:after="0" w:line="240" w:lineRule="auto"/>
        <w:ind w:left="0" w:firstLine="709"/>
        <w:jc w:val="both"/>
        <w:rPr>
          <w:rFonts w:ascii="Times New Roman" w:hAnsi="Times New Roman"/>
          <w:sz w:val="20"/>
          <w:szCs w:val="20"/>
        </w:rPr>
      </w:pPr>
      <w:r>
        <w:rPr>
          <w:rFonts w:ascii="Times New Roman" w:hAnsi="Times New Roman"/>
          <w:sz w:val="20"/>
          <w:szCs w:val="20"/>
        </w:rPr>
        <w:t>Лесник А. Л. Гостиничный маркетинг: теория и практика максимизации продаж: Учеб.пособие. – М.: Кнорус, 2016. – 232 с.</w:t>
      </w:r>
    </w:p>
    <w:p w:rsidR="00517711" w:rsidRDefault="00F815BE">
      <w:pPr>
        <w:pStyle w:val="af4"/>
        <w:numPr>
          <w:ilvl w:val="0"/>
          <w:numId w:val="11"/>
        </w:numPr>
        <w:tabs>
          <w:tab w:val="left" w:pos="993"/>
        </w:tabs>
        <w:spacing w:after="0" w:line="240" w:lineRule="auto"/>
        <w:ind w:left="0" w:firstLine="709"/>
        <w:jc w:val="both"/>
        <w:rPr>
          <w:rFonts w:ascii="Times New Roman" w:hAnsi="Times New Roman"/>
          <w:sz w:val="20"/>
          <w:szCs w:val="20"/>
        </w:rPr>
      </w:pPr>
      <w:r>
        <w:rPr>
          <w:rFonts w:ascii="Times New Roman" w:hAnsi="Times New Roman"/>
          <w:sz w:val="20"/>
          <w:szCs w:val="20"/>
        </w:rPr>
        <w:t>Аньшин В.М. Исследование методологии и факторов ценностно ориентированного управления проектами в российских компаниях. Часть 2 / В.М. Аньшин // Управление проектами и программами. – 2014. – №3. – 186–201 с.</w:t>
      </w:r>
    </w:p>
    <w:p w:rsidR="00517711" w:rsidRDefault="00F815BE">
      <w:pPr>
        <w:pStyle w:val="af4"/>
        <w:numPr>
          <w:ilvl w:val="0"/>
          <w:numId w:val="11"/>
        </w:numPr>
        <w:tabs>
          <w:tab w:val="left" w:pos="993"/>
        </w:tabs>
        <w:spacing w:after="0" w:line="240" w:lineRule="auto"/>
        <w:ind w:left="0" w:firstLine="709"/>
        <w:jc w:val="both"/>
        <w:rPr>
          <w:rFonts w:ascii="Times New Roman" w:hAnsi="Times New Roman"/>
          <w:sz w:val="20"/>
          <w:szCs w:val="20"/>
        </w:rPr>
      </w:pPr>
      <w:r>
        <w:rPr>
          <w:rFonts w:ascii="Times New Roman" w:hAnsi="Times New Roman"/>
          <w:sz w:val="20"/>
          <w:szCs w:val="20"/>
        </w:rPr>
        <w:t>Медлик С. Гостиничный бизнес: учебник для студентов вузов, обучающихся по специальностям сервиса (230000) / С. Медлик, Х. Инграм. – М.: ЮНИТИ-ДАНА, 2017. – 240 c.</w:t>
      </w:r>
    </w:p>
    <w:p w:rsidR="00517711" w:rsidRDefault="00517711">
      <w:pPr>
        <w:tabs>
          <w:tab w:val="left" w:pos="993"/>
        </w:tabs>
        <w:spacing w:after="0" w:line="240" w:lineRule="auto"/>
        <w:jc w:val="both"/>
        <w:rPr>
          <w:rFonts w:ascii="Times New Roman" w:hAnsi="Times New Roman"/>
          <w:sz w:val="20"/>
          <w:szCs w:val="20"/>
        </w:rPr>
      </w:pPr>
    </w:p>
    <w:p w:rsidR="00517711" w:rsidRDefault="00F815BE">
      <w:pPr>
        <w:keepNext/>
        <w:spacing w:before="120" w:after="120" w:line="240" w:lineRule="auto"/>
        <w:outlineLvl w:val="3"/>
        <w:rPr>
          <w:rFonts w:ascii="Times New Roman" w:eastAsia="Calibri" w:hAnsi="Times New Roman" w:cs="Times New Roman"/>
          <w:b/>
          <w:bCs/>
          <w:sz w:val="20"/>
          <w:szCs w:val="28"/>
        </w:rPr>
      </w:pPr>
      <w:r>
        <w:rPr>
          <w:rFonts w:ascii="Times New Roman" w:eastAsia="Calibri" w:hAnsi="Times New Roman" w:cs="Times New Roman"/>
          <w:b/>
          <w:bCs/>
          <w:sz w:val="20"/>
          <w:szCs w:val="28"/>
        </w:rPr>
        <w:t>Рубрика: Качество услуг и технологий в индустрии гостеприимства</w:t>
      </w:r>
    </w:p>
    <w:p w:rsidR="00517711" w:rsidRDefault="00F815BE">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УДК 379.832</w:t>
      </w:r>
    </w:p>
    <w:p w:rsidR="00517711" w:rsidRDefault="00F815BE">
      <w:pPr>
        <w:keepNext/>
        <w:spacing w:before="240" w:after="240" w:line="240" w:lineRule="auto"/>
        <w:jc w:val="center"/>
        <w:outlineLvl w:val="0"/>
        <w:rPr>
          <w:rFonts w:ascii="Book Antiqua" w:hAnsi="Book Antiqua" w:cs="Times New Roman"/>
          <w:b/>
          <w:bCs/>
          <w:caps/>
          <w:sz w:val="26"/>
          <w:szCs w:val="26"/>
        </w:rPr>
      </w:pPr>
      <w:r>
        <w:rPr>
          <w:rFonts w:ascii="Book Antiqua" w:hAnsi="Book Antiqua" w:cs="Times New Roman"/>
          <w:b/>
          <w:bCs/>
          <w:caps/>
          <w:sz w:val="26"/>
          <w:szCs w:val="26"/>
        </w:rPr>
        <w:t>Анализ подходов к разработке гостиничных стандартов и процедур</w:t>
      </w:r>
    </w:p>
    <w:p w:rsidR="00517711" w:rsidRDefault="00F815BE">
      <w:pPr>
        <w:spacing w:after="0"/>
        <w:jc w:val="center"/>
        <w:rPr>
          <w:rFonts w:ascii="Arial" w:eastAsia="Calibri" w:hAnsi="Arial" w:cs="Times New Roman"/>
          <w:b/>
          <w:bCs/>
          <w:sz w:val="24"/>
          <w:szCs w:val="20"/>
          <w:lang w:eastAsia="ru-RU"/>
        </w:rPr>
      </w:pPr>
      <w:r>
        <w:rPr>
          <w:rFonts w:ascii="Arial" w:eastAsia="Calibri" w:hAnsi="Arial" w:cs="Times New Roman"/>
          <w:b/>
          <w:bCs/>
          <w:sz w:val="24"/>
          <w:szCs w:val="20"/>
          <w:lang w:eastAsia="ru-RU"/>
        </w:rPr>
        <w:t>Шарощенко Елена Анатольевна</w:t>
      </w:r>
    </w:p>
    <w:p w:rsidR="00517711" w:rsidRDefault="00F815BE">
      <w:pPr>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Магистрант</w:t>
      </w:r>
    </w:p>
    <w:p w:rsidR="00517711" w:rsidRDefault="00F815BE">
      <w:pPr>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Научный руководитель Гомилевская Г. А, доцент, канд. экон. наук</w:t>
      </w: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Россия. Владивосток</w:t>
      </w:r>
    </w:p>
    <w:p w:rsidR="00517711" w:rsidRDefault="00F815BE">
      <w:pPr>
        <w:spacing w:after="0"/>
        <w:jc w:val="center"/>
        <w:rPr>
          <w:rFonts w:ascii="Times New Roman" w:hAnsi="Times New Roman" w:cs="Times New Roman"/>
          <w:sz w:val="20"/>
        </w:rPr>
      </w:pPr>
      <w:r>
        <w:rPr>
          <w:rFonts w:ascii="Times New Roman" w:hAnsi="Times New Roman" w:cs="Times New Roman"/>
          <w:sz w:val="20"/>
          <w:lang w:val="en-US"/>
        </w:rPr>
        <w:t>E</w:t>
      </w:r>
      <w:r>
        <w:rPr>
          <w:rFonts w:ascii="Times New Roman" w:hAnsi="Times New Roman" w:cs="Times New Roman"/>
          <w:sz w:val="20"/>
        </w:rPr>
        <w:t>-</w:t>
      </w:r>
      <w:r>
        <w:rPr>
          <w:rFonts w:ascii="Times New Roman" w:hAnsi="Times New Roman" w:cs="Times New Roman"/>
          <w:sz w:val="20"/>
          <w:lang w:val="en-US"/>
        </w:rPr>
        <w:t>mail</w:t>
      </w:r>
      <w:r>
        <w:rPr>
          <w:rFonts w:ascii="Times New Roman" w:hAnsi="Times New Roman" w:cs="Times New Roman"/>
          <w:sz w:val="20"/>
        </w:rPr>
        <w:t xml:space="preserve">: </w:t>
      </w:r>
      <w:r>
        <w:rPr>
          <w:rFonts w:ascii="Times New Roman" w:hAnsi="Times New Roman" w:cs="Times New Roman"/>
          <w:sz w:val="20"/>
          <w:lang w:val="en-US"/>
        </w:rPr>
        <w:t>gag</w:t>
      </w:r>
      <w:r>
        <w:rPr>
          <w:rFonts w:ascii="Times New Roman" w:hAnsi="Times New Roman" w:cs="Times New Roman"/>
          <w:sz w:val="20"/>
        </w:rPr>
        <w:t>17@</w:t>
      </w:r>
      <w:r>
        <w:rPr>
          <w:rFonts w:ascii="Times New Roman" w:hAnsi="Times New Roman" w:cs="Times New Roman"/>
          <w:sz w:val="20"/>
          <w:lang w:val="en-US"/>
        </w:rPr>
        <w:t>yandex</w:t>
      </w:r>
      <w:r>
        <w:rPr>
          <w:rFonts w:ascii="Times New Roman" w:hAnsi="Times New Roman" w:cs="Times New Roman"/>
          <w:sz w:val="20"/>
        </w:rPr>
        <w:t>.</w:t>
      </w:r>
      <w:r>
        <w:rPr>
          <w:rFonts w:ascii="Times New Roman" w:hAnsi="Times New Roman" w:cs="Times New Roman"/>
          <w:sz w:val="20"/>
          <w:lang w:val="en-US"/>
        </w:rPr>
        <w:t>ru</w:t>
      </w:r>
    </w:p>
    <w:p w:rsidR="00517711" w:rsidRDefault="00F815BE">
      <w:pPr>
        <w:spacing w:after="0"/>
        <w:jc w:val="center"/>
        <w:rPr>
          <w:rFonts w:ascii="Times New Roman" w:hAnsi="Times New Roman" w:cs="Times New Roman"/>
          <w:sz w:val="20"/>
        </w:rPr>
      </w:pPr>
      <w:r>
        <w:rPr>
          <w:rFonts w:ascii="Times New Roman" w:hAnsi="Times New Roman" w:cs="Times New Roman"/>
          <w:sz w:val="20"/>
        </w:rPr>
        <w:t xml:space="preserve"> тел.: +89147070888</w:t>
      </w:r>
    </w:p>
    <w:p w:rsidR="00517711" w:rsidRDefault="00F815BE">
      <w:pPr>
        <w:spacing w:after="0"/>
        <w:jc w:val="center"/>
        <w:rPr>
          <w:rFonts w:ascii="Times New Roman" w:hAnsi="Times New Roman" w:cs="Times New Roman"/>
          <w:sz w:val="20"/>
        </w:rPr>
      </w:pPr>
      <w:r>
        <w:rPr>
          <w:rFonts w:ascii="Times New Roman" w:hAnsi="Times New Roman" w:cs="Times New Roman"/>
          <w:sz w:val="20"/>
        </w:rPr>
        <w:t xml:space="preserve">ул. Гоголя, 41, г. Владивосток, Приморский край, Россия, 690014 </w:t>
      </w:r>
    </w:p>
    <w:p w:rsidR="00517711" w:rsidRDefault="00F815BE">
      <w:pPr>
        <w:spacing w:after="0" w:line="240" w:lineRule="auto"/>
        <w:ind w:firstLine="709"/>
        <w:jc w:val="both"/>
        <w:rPr>
          <w:rFonts w:ascii="Times New Roman" w:hAnsi="Times New Roman"/>
          <w:i/>
          <w:szCs w:val="24"/>
        </w:rPr>
      </w:pPr>
      <w:r>
        <w:rPr>
          <w:rFonts w:ascii="Times New Roman" w:hAnsi="Times New Roman"/>
          <w:i/>
          <w:szCs w:val="24"/>
        </w:rPr>
        <w:t xml:space="preserve">Современное развитие гостиничной индустрии требует выработки системных мер организации управления, признанным методом которого является стандартизация гостиничных процессов и процедур. В теории и практике управления гостиничным предприятием используются </w:t>
      </w:r>
      <w:r>
        <w:rPr>
          <w:rFonts w:ascii="Times New Roman" w:hAnsi="Times New Roman"/>
          <w:i/>
          <w:szCs w:val="24"/>
        </w:rPr>
        <w:lastRenderedPageBreak/>
        <w:t xml:space="preserve">несколько подходов, направленных на упорядочение процессов оказания гостиничных услуг для максимизации прибыли. Системный подход охватывает все аспекты деятельности предприятия и является наиболее оптимальным. </w:t>
      </w:r>
    </w:p>
    <w:p w:rsidR="00517711" w:rsidRDefault="00F815BE">
      <w:pPr>
        <w:spacing w:after="0" w:line="240" w:lineRule="auto"/>
        <w:ind w:firstLine="709"/>
        <w:jc w:val="both"/>
        <w:rPr>
          <w:rFonts w:ascii="Times New Roman" w:hAnsi="Times New Roman"/>
          <w:i/>
          <w:szCs w:val="24"/>
        </w:rPr>
      </w:pPr>
      <w:r>
        <w:rPr>
          <w:rFonts w:ascii="Times New Roman" w:hAnsi="Times New Roman"/>
          <w:b/>
          <w:i/>
          <w:szCs w:val="24"/>
        </w:rPr>
        <w:t>Ключевые слова и словосочетания:</w:t>
      </w:r>
      <w:r>
        <w:rPr>
          <w:rFonts w:ascii="Times New Roman" w:hAnsi="Times New Roman"/>
          <w:i/>
          <w:szCs w:val="24"/>
        </w:rPr>
        <w:t xml:space="preserve"> гостиничные стандарты и процедуры, бизнес-процесс, профессиональный стандарт, технологический процесс, классификация гостиниц.</w:t>
      </w:r>
    </w:p>
    <w:p w:rsidR="00517711" w:rsidRDefault="00F815BE">
      <w:pPr>
        <w:keepNext/>
        <w:spacing w:before="240" w:after="240" w:line="240" w:lineRule="auto"/>
        <w:jc w:val="center"/>
        <w:outlineLvl w:val="0"/>
        <w:rPr>
          <w:rFonts w:ascii="Book Antiqua" w:hAnsi="Book Antiqua" w:cs="Times New Roman"/>
          <w:b/>
          <w:bCs/>
          <w:caps/>
          <w:sz w:val="26"/>
          <w:szCs w:val="26"/>
          <w:lang w:val="en-US"/>
        </w:rPr>
      </w:pPr>
      <w:r>
        <w:rPr>
          <w:rFonts w:ascii="Book Antiqua" w:hAnsi="Book Antiqua" w:cs="Times New Roman"/>
          <w:b/>
          <w:bCs/>
          <w:caps/>
          <w:sz w:val="26"/>
          <w:szCs w:val="26"/>
          <w:lang w:val="en-US"/>
        </w:rPr>
        <w:t>Analysis of approaches to development of hotel standards and procedures</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i/>
          <w:szCs w:val="24"/>
          <w:lang w:val="en-US"/>
        </w:rPr>
        <w:t>Hotel standards and procedures are a relevant method of management of the hotel enterprise. There are several approaches of development of hotel standards and procedures in the theory and practice of hotel management. The system method includes all aspects of activity of hotel and is the most effective.</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b/>
          <w:i/>
          <w:szCs w:val="24"/>
          <w:lang w:val="en-US"/>
        </w:rPr>
        <w:t>Keywords:</w:t>
      </w:r>
      <w:r>
        <w:rPr>
          <w:rFonts w:ascii="Times New Roman" w:hAnsi="Times New Roman"/>
          <w:i/>
          <w:szCs w:val="24"/>
          <w:lang w:val="en-US"/>
        </w:rPr>
        <w:t xml:space="preserve"> hotel standards and procedures, business process, professional standard, technological process, classification of hotels.</w:t>
      </w:r>
    </w:p>
    <w:p w:rsidR="00517711" w:rsidRDefault="00517711">
      <w:pPr>
        <w:spacing w:after="0" w:line="240" w:lineRule="auto"/>
        <w:ind w:firstLine="709"/>
        <w:jc w:val="both"/>
        <w:rPr>
          <w:rFonts w:ascii="Times New Roman" w:hAnsi="Times New Roman"/>
          <w:i/>
          <w:sz w:val="20"/>
          <w:szCs w:val="24"/>
          <w:lang w:val="en-US"/>
        </w:rPr>
      </w:pP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Одной из задач управления гостиничным предприятием является достижение постоянства качества гостиничной услуги при оптимизации использования всех видов ресурсов. Выполнение данной задачи осуществляется с помощью стандартизации действий и процедур, выполняемых персоналом. Как не существует идентичных систем управления гостиничными предприятиями, так и не существует идентичных гостиничных стандартов, процессов и процедур. Управляющие каждого предприятия должны разрабатывать стандарты для своего предприятия с учетом всех аспектов деятельности предприятия.</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Гостиничные стандарты и процедуры представляют собой комплекс взаимоувязанных письменных инструкций, которые содержать порядок действий, выполняемых сотрудниками в текущей деятельности или часто повторяющиеся. Стандарты способствуют поддержанию качества и последовательности обслуживания [6]. Стандарты качества обслуживания — это критерии, необходимые для обеспечения результативности системы менеджмента качества. Под стандартами обслуживания подразумевается совокупность процедур и каждодневных операций, выполняемых персоналом и способствующих максимальному удовлетворению посетителей.</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Введение письменных стандартов в гостиничном предприятии позволяет детально рассмотреть все действия сотрудников, определить их обязанности и ответственность, а также определить требования к персоналу. </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При разработке гостиничных стандартов и процедур необходимо руководствоваться принципами, приведенными в таблице, которые определяют нормы поведения между руководителями и подчиненными, между сотрудниками и гостями.</w:t>
      </w:r>
    </w:p>
    <w:p w:rsidR="00517711" w:rsidRDefault="00517711">
      <w:pPr>
        <w:spacing w:after="0" w:line="240" w:lineRule="auto"/>
        <w:ind w:firstLine="397"/>
        <w:jc w:val="both"/>
        <w:rPr>
          <w:rFonts w:ascii="Times New Roman" w:hAnsi="Times New Roman" w:cs="Times New Roman"/>
          <w:sz w:val="20"/>
          <w:szCs w:val="20"/>
          <w:lang w:eastAsia="ru-RU"/>
        </w:rPr>
      </w:pPr>
    </w:p>
    <w:p w:rsidR="00517711" w:rsidRDefault="00F815BE">
      <w:pPr>
        <w:pStyle w:val="aff0"/>
      </w:pPr>
      <w:r>
        <w:t xml:space="preserve">Таблица 1 </w:t>
      </w:r>
    </w:p>
    <w:p w:rsidR="00517711" w:rsidRDefault="00F815BE">
      <w:pPr>
        <w:pStyle w:val="afa"/>
        <w:keepNext/>
        <w:widowControl/>
        <w:spacing w:before="120" w:after="120"/>
        <w:jc w:val="center"/>
        <w:outlineLvl w:val="0"/>
        <w:rPr>
          <w:b/>
          <w:sz w:val="20"/>
          <w:szCs w:val="20"/>
        </w:rPr>
      </w:pPr>
      <w:r>
        <w:rPr>
          <w:b/>
          <w:sz w:val="20"/>
          <w:szCs w:val="20"/>
        </w:rPr>
        <w:t>Принципы разработки стандартов гостиничных процессов и процедур [4, с. 32-33]</w:t>
      </w:r>
    </w:p>
    <w:tbl>
      <w:tblPr>
        <w:tblW w:w="0" w:type="auto"/>
        <w:tblLayout w:type="fixed"/>
        <w:tblCellMar>
          <w:left w:w="0" w:type="dxa"/>
          <w:right w:w="0" w:type="dxa"/>
        </w:tblCellMar>
        <w:tblLook w:val="0000" w:firstRow="0" w:lastRow="0" w:firstColumn="0" w:lastColumn="0" w:noHBand="0" w:noVBand="0"/>
      </w:tblPr>
      <w:tblGrid>
        <w:gridCol w:w="2909"/>
        <w:gridCol w:w="6729"/>
      </w:tblGrid>
      <w:tr w:rsidR="00517711">
        <w:tc>
          <w:tcPr>
            <w:tcW w:w="2909" w:type="dxa"/>
            <w:tcBorders>
              <w:top w:val="single" w:sz="4" w:space="0" w:color="00000A"/>
              <w:left w:val="single" w:sz="4" w:space="0" w:color="00000A"/>
              <w:bottom w:val="single" w:sz="4" w:space="0" w:color="00000A"/>
              <w:right w:val="single" w:sz="4" w:space="0" w:color="00000A"/>
            </w:tcBorders>
            <w:tcMar>
              <w:top w:w="0" w:type="auto"/>
              <w:left w:w="113" w:type="dxa"/>
              <w:bottom w:w="0" w:type="auto"/>
              <w:right w:w="108" w:type="dxa"/>
            </w:tcMar>
          </w:tcPr>
          <w:p w:rsidR="00517711" w:rsidRDefault="00F815BE">
            <w:pPr>
              <w:pStyle w:val="13"/>
            </w:pPr>
            <w:r>
              <w:t>Принцип</w:t>
            </w:r>
          </w:p>
        </w:tc>
        <w:tc>
          <w:tcPr>
            <w:tcW w:w="6729" w:type="dxa"/>
            <w:tcBorders>
              <w:top w:val="single" w:sz="4" w:space="0" w:color="00000A"/>
              <w:left w:val="single" w:sz="4" w:space="0" w:color="00000A"/>
              <w:bottom w:val="single" w:sz="4" w:space="0" w:color="00000A"/>
              <w:right w:val="single" w:sz="4" w:space="0" w:color="00000A"/>
            </w:tcBorders>
            <w:tcMar>
              <w:top w:w="0" w:type="auto"/>
              <w:left w:w="113" w:type="dxa"/>
              <w:bottom w:w="0" w:type="auto"/>
              <w:right w:w="108" w:type="dxa"/>
            </w:tcMar>
          </w:tcPr>
          <w:p w:rsidR="00517711" w:rsidRDefault="00F815BE">
            <w:pPr>
              <w:pStyle w:val="13"/>
            </w:pPr>
            <w:r>
              <w:t>Характеристика</w:t>
            </w:r>
          </w:p>
        </w:tc>
      </w:tr>
      <w:tr w:rsidR="00517711">
        <w:tc>
          <w:tcPr>
            <w:tcW w:w="2909" w:type="dxa"/>
            <w:tcBorders>
              <w:top w:val="single" w:sz="4" w:space="0" w:color="00000A"/>
              <w:left w:val="single" w:sz="4" w:space="0" w:color="00000A"/>
              <w:bottom w:val="single" w:sz="4" w:space="0" w:color="00000A"/>
              <w:right w:val="single" w:sz="4" w:space="0" w:color="00000A"/>
            </w:tcBorders>
            <w:tcMar>
              <w:top w:w="0" w:type="auto"/>
              <w:left w:w="113" w:type="dxa"/>
              <w:bottom w:w="0" w:type="auto"/>
              <w:right w:w="108" w:type="dxa"/>
            </w:tcMar>
          </w:tcPr>
          <w:p w:rsidR="00517711" w:rsidRDefault="00F815BE">
            <w:pPr>
              <w:pStyle w:val="aff1"/>
            </w:pPr>
            <w:r>
              <w:t>Соучастие</w:t>
            </w:r>
          </w:p>
        </w:tc>
        <w:tc>
          <w:tcPr>
            <w:tcW w:w="6729" w:type="dxa"/>
            <w:tcBorders>
              <w:top w:val="single" w:sz="4" w:space="0" w:color="00000A"/>
              <w:left w:val="single" w:sz="4" w:space="0" w:color="00000A"/>
              <w:bottom w:val="single" w:sz="4" w:space="0" w:color="00000A"/>
              <w:right w:val="single" w:sz="4" w:space="0" w:color="00000A"/>
            </w:tcBorders>
            <w:tcMar>
              <w:top w:w="0" w:type="auto"/>
              <w:left w:w="113" w:type="dxa"/>
              <w:bottom w:w="0" w:type="auto"/>
              <w:right w:w="108" w:type="dxa"/>
            </w:tcMar>
          </w:tcPr>
          <w:p w:rsidR="00517711" w:rsidRDefault="00F815BE">
            <w:pPr>
              <w:pStyle w:val="aff1"/>
            </w:pPr>
            <w:r>
              <w:t>Полученная сотрудником просьба гостя должна быть удовлетворена усилиями сотрудников, а не усилиями гостя</w:t>
            </w:r>
          </w:p>
        </w:tc>
      </w:tr>
      <w:tr w:rsidR="00517711">
        <w:tc>
          <w:tcPr>
            <w:tcW w:w="2909" w:type="dxa"/>
            <w:tcBorders>
              <w:top w:val="single" w:sz="4" w:space="0" w:color="00000A"/>
              <w:left w:val="single" w:sz="4" w:space="0" w:color="00000A"/>
              <w:bottom w:val="single" w:sz="4" w:space="0" w:color="00000A"/>
              <w:right w:val="single" w:sz="4" w:space="0" w:color="00000A"/>
            </w:tcBorders>
            <w:tcMar>
              <w:top w:w="0" w:type="auto"/>
              <w:left w:w="113" w:type="dxa"/>
              <w:bottom w:w="0" w:type="auto"/>
              <w:right w:w="108" w:type="dxa"/>
            </w:tcMar>
          </w:tcPr>
          <w:p w:rsidR="00517711" w:rsidRDefault="00F815BE">
            <w:pPr>
              <w:pStyle w:val="aff1"/>
            </w:pPr>
            <w:r>
              <w:t>Взаимозаменяемость</w:t>
            </w:r>
          </w:p>
        </w:tc>
        <w:tc>
          <w:tcPr>
            <w:tcW w:w="6729" w:type="dxa"/>
            <w:tcBorders>
              <w:top w:val="single" w:sz="4" w:space="0" w:color="00000A"/>
              <w:left w:val="single" w:sz="4" w:space="0" w:color="00000A"/>
              <w:bottom w:val="single" w:sz="4" w:space="0" w:color="00000A"/>
              <w:right w:val="single" w:sz="4" w:space="0" w:color="00000A"/>
            </w:tcBorders>
            <w:tcMar>
              <w:top w:w="0" w:type="auto"/>
              <w:left w:w="113" w:type="dxa"/>
              <w:bottom w:w="0" w:type="auto"/>
              <w:right w:w="108" w:type="dxa"/>
            </w:tcMar>
          </w:tcPr>
          <w:p w:rsidR="00517711" w:rsidRDefault="00F815BE">
            <w:pPr>
              <w:pStyle w:val="aff1"/>
            </w:pPr>
            <w:r>
              <w:t>Обращение любым сотрудником отеля к гостю, если есть признаки, что гость нуждается в помощи</w:t>
            </w:r>
          </w:p>
        </w:tc>
      </w:tr>
      <w:tr w:rsidR="00517711">
        <w:tc>
          <w:tcPr>
            <w:tcW w:w="2909" w:type="dxa"/>
            <w:tcBorders>
              <w:top w:val="single" w:sz="4" w:space="0" w:color="00000A"/>
              <w:left w:val="single" w:sz="4" w:space="0" w:color="00000A"/>
              <w:bottom w:val="single" w:sz="4" w:space="0" w:color="00000A"/>
              <w:right w:val="single" w:sz="4" w:space="0" w:color="00000A"/>
            </w:tcBorders>
            <w:tcMar>
              <w:top w:w="0" w:type="auto"/>
              <w:left w:w="113" w:type="dxa"/>
              <w:bottom w:w="0" w:type="auto"/>
              <w:right w:w="108" w:type="dxa"/>
            </w:tcMar>
          </w:tcPr>
          <w:p w:rsidR="00517711" w:rsidRDefault="00F815BE">
            <w:pPr>
              <w:pStyle w:val="aff1"/>
            </w:pPr>
            <w:r>
              <w:t>Доверительные отношения между руководителем и подчиненными</w:t>
            </w:r>
          </w:p>
        </w:tc>
        <w:tc>
          <w:tcPr>
            <w:tcW w:w="6729" w:type="dxa"/>
            <w:tcBorders>
              <w:top w:val="single" w:sz="4" w:space="0" w:color="00000A"/>
              <w:left w:val="single" w:sz="4" w:space="0" w:color="00000A"/>
              <w:bottom w:val="single" w:sz="4" w:space="0" w:color="00000A"/>
              <w:right w:val="single" w:sz="4" w:space="0" w:color="00000A"/>
            </w:tcBorders>
            <w:tcMar>
              <w:top w:w="0" w:type="auto"/>
              <w:left w:w="113" w:type="dxa"/>
              <w:bottom w:w="0" w:type="auto"/>
              <w:right w:w="108" w:type="dxa"/>
            </w:tcMar>
          </w:tcPr>
          <w:p w:rsidR="00517711" w:rsidRDefault="00F815BE">
            <w:pPr>
              <w:pStyle w:val="aff1"/>
            </w:pPr>
            <w:r>
              <w:t>Стремление исправить ошибки в работе, вместо того, чтобы скрыть их от страха быть наказанным</w:t>
            </w:r>
          </w:p>
        </w:tc>
      </w:tr>
      <w:tr w:rsidR="00517711">
        <w:tc>
          <w:tcPr>
            <w:tcW w:w="2909" w:type="dxa"/>
            <w:tcBorders>
              <w:top w:val="single" w:sz="4" w:space="0" w:color="00000A"/>
              <w:left w:val="single" w:sz="4" w:space="0" w:color="00000A"/>
              <w:bottom w:val="single" w:sz="4" w:space="0" w:color="00000A"/>
              <w:right w:val="single" w:sz="4" w:space="0" w:color="00000A"/>
            </w:tcBorders>
            <w:tcMar>
              <w:top w:w="0" w:type="auto"/>
              <w:left w:w="113" w:type="dxa"/>
              <w:bottom w:w="0" w:type="auto"/>
              <w:right w:w="108" w:type="dxa"/>
            </w:tcMar>
          </w:tcPr>
          <w:p w:rsidR="00517711" w:rsidRDefault="00F815BE">
            <w:pPr>
              <w:pStyle w:val="aff1"/>
            </w:pPr>
            <w:r>
              <w:t>Благодарность гостю за то, что он воспользовался услугой</w:t>
            </w:r>
          </w:p>
        </w:tc>
        <w:tc>
          <w:tcPr>
            <w:tcW w:w="6729" w:type="dxa"/>
            <w:tcBorders>
              <w:top w:val="single" w:sz="4" w:space="0" w:color="00000A"/>
              <w:left w:val="single" w:sz="4" w:space="0" w:color="00000A"/>
              <w:bottom w:val="single" w:sz="4" w:space="0" w:color="00000A"/>
              <w:right w:val="single" w:sz="4" w:space="0" w:color="00000A"/>
            </w:tcBorders>
            <w:tcMar>
              <w:top w:w="0" w:type="auto"/>
              <w:left w:w="113" w:type="dxa"/>
              <w:bottom w:w="0" w:type="auto"/>
              <w:right w:w="108" w:type="dxa"/>
            </w:tcMar>
          </w:tcPr>
          <w:p w:rsidR="00517711" w:rsidRDefault="00F815BE">
            <w:pPr>
              <w:pStyle w:val="aff1"/>
            </w:pPr>
            <w:r>
              <w:t>Уважительное отношение в любых ситуациях</w:t>
            </w:r>
          </w:p>
        </w:tc>
      </w:tr>
      <w:tr w:rsidR="00517711">
        <w:tc>
          <w:tcPr>
            <w:tcW w:w="2909" w:type="dxa"/>
            <w:tcBorders>
              <w:top w:val="single" w:sz="4" w:space="0" w:color="00000A"/>
              <w:left w:val="single" w:sz="4" w:space="0" w:color="00000A"/>
              <w:bottom w:val="single" w:sz="4" w:space="0" w:color="00000A"/>
              <w:right w:val="single" w:sz="4" w:space="0" w:color="00000A"/>
            </w:tcBorders>
            <w:tcMar>
              <w:top w:w="0" w:type="auto"/>
              <w:left w:w="113" w:type="dxa"/>
              <w:bottom w:w="0" w:type="auto"/>
              <w:right w:w="108" w:type="dxa"/>
            </w:tcMar>
          </w:tcPr>
          <w:p w:rsidR="00517711" w:rsidRDefault="00F815BE">
            <w:pPr>
              <w:pStyle w:val="aff1"/>
            </w:pPr>
            <w:r>
              <w:t>Забота о сотрудниках предприятия</w:t>
            </w:r>
          </w:p>
        </w:tc>
        <w:tc>
          <w:tcPr>
            <w:tcW w:w="6729" w:type="dxa"/>
            <w:tcBorders>
              <w:top w:val="single" w:sz="4" w:space="0" w:color="00000A"/>
              <w:left w:val="single" w:sz="4" w:space="0" w:color="00000A"/>
              <w:bottom w:val="single" w:sz="4" w:space="0" w:color="00000A"/>
              <w:right w:val="single" w:sz="4" w:space="0" w:color="00000A"/>
            </w:tcBorders>
            <w:tcMar>
              <w:top w:w="0" w:type="auto"/>
              <w:left w:w="113" w:type="dxa"/>
              <w:bottom w:w="0" w:type="auto"/>
              <w:right w:w="108" w:type="dxa"/>
            </w:tcMar>
          </w:tcPr>
          <w:p w:rsidR="00517711" w:rsidRDefault="00F815BE">
            <w:pPr>
              <w:pStyle w:val="aff1"/>
            </w:pPr>
            <w:r>
              <w:t>Создание достойных условий труда для выполнения установленных обязанностей, своевременное информирование об изменениях, обучение, создание традиций на предприятии</w:t>
            </w:r>
          </w:p>
        </w:tc>
      </w:tr>
      <w:tr w:rsidR="00517711">
        <w:tc>
          <w:tcPr>
            <w:tcW w:w="2909" w:type="dxa"/>
            <w:tcBorders>
              <w:top w:val="single" w:sz="4" w:space="0" w:color="00000A"/>
              <w:left w:val="single" w:sz="4" w:space="0" w:color="00000A"/>
              <w:bottom w:val="single" w:sz="4" w:space="0" w:color="00000A"/>
              <w:right w:val="single" w:sz="4" w:space="0" w:color="00000A"/>
            </w:tcBorders>
            <w:tcMar>
              <w:top w:w="0" w:type="auto"/>
              <w:left w:w="113" w:type="dxa"/>
              <w:bottom w:w="0" w:type="auto"/>
              <w:right w:w="108" w:type="dxa"/>
            </w:tcMar>
          </w:tcPr>
          <w:p w:rsidR="00517711" w:rsidRDefault="00F815BE">
            <w:pPr>
              <w:pStyle w:val="aff1"/>
            </w:pPr>
            <w:r>
              <w:t>Экономия времени гостей</w:t>
            </w:r>
          </w:p>
        </w:tc>
        <w:tc>
          <w:tcPr>
            <w:tcW w:w="6729" w:type="dxa"/>
            <w:tcBorders>
              <w:top w:val="single" w:sz="4" w:space="0" w:color="00000A"/>
              <w:left w:val="single" w:sz="4" w:space="0" w:color="00000A"/>
              <w:bottom w:val="single" w:sz="4" w:space="0" w:color="00000A"/>
              <w:right w:val="single" w:sz="4" w:space="0" w:color="00000A"/>
            </w:tcBorders>
            <w:tcMar>
              <w:top w:w="0" w:type="auto"/>
              <w:left w:w="113" w:type="dxa"/>
              <w:bottom w:w="0" w:type="auto"/>
              <w:right w:w="108" w:type="dxa"/>
            </w:tcMar>
          </w:tcPr>
          <w:p w:rsidR="00517711" w:rsidRDefault="00F815BE">
            <w:pPr>
              <w:pStyle w:val="aff1"/>
            </w:pPr>
            <w:r>
              <w:t>Формирование вежливости и компетентности у сотрудников предприятия</w:t>
            </w:r>
          </w:p>
        </w:tc>
      </w:tr>
      <w:tr w:rsidR="00517711">
        <w:tc>
          <w:tcPr>
            <w:tcW w:w="2909" w:type="dxa"/>
            <w:tcBorders>
              <w:top w:val="single" w:sz="4" w:space="0" w:color="00000A"/>
              <w:left w:val="single" w:sz="4" w:space="0" w:color="00000A"/>
              <w:bottom w:val="single" w:sz="4" w:space="0" w:color="00000A"/>
              <w:right w:val="single" w:sz="4" w:space="0" w:color="00000A"/>
            </w:tcBorders>
            <w:tcMar>
              <w:top w:w="0" w:type="auto"/>
              <w:left w:w="113" w:type="dxa"/>
              <w:bottom w:w="0" w:type="auto"/>
              <w:right w:w="108" w:type="dxa"/>
            </w:tcMar>
          </w:tcPr>
          <w:p w:rsidR="00517711" w:rsidRDefault="00F815BE">
            <w:pPr>
              <w:pStyle w:val="aff1"/>
            </w:pPr>
            <w:r>
              <w:t>Четкость выполнения установленных правил и процедур</w:t>
            </w:r>
          </w:p>
        </w:tc>
        <w:tc>
          <w:tcPr>
            <w:tcW w:w="6729" w:type="dxa"/>
            <w:tcBorders>
              <w:top w:val="single" w:sz="4" w:space="0" w:color="00000A"/>
              <w:left w:val="single" w:sz="4" w:space="0" w:color="00000A"/>
              <w:bottom w:val="single" w:sz="4" w:space="0" w:color="00000A"/>
              <w:right w:val="single" w:sz="4" w:space="0" w:color="00000A"/>
            </w:tcBorders>
            <w:tcMar>
              <w:top w:w="0" w:type="auto"/>
              <w:left w:w="113" w:type="dxa"/>
              <w:bottom w:w="0" w:type="auto"/>
              <w:right w:w="108" w:type="dxa"/>
            </w:tcMar>
          </w:tcPr>
          <w:p w:rsidR="00517711" w:rsidRDefault="00F815BE">
            <w:pPr>
              <w:pStyle w:val="aff1"/>
            </w:pPr>
            <w:r>
              <w:t>Знание содержания и строгое руководство в своей деятельности</w:t>
            </w:r>
          </w:p>
        </w:tc>
      </w:tr>
    </w:tbl>
    <w:p w:rsidR="00517711" w:rsidRDefault="00517711">
      <w:pPr>
        <w:spacing w:after="0"/>
        <w:jc w:val="both"/>
        <w:rPr>
          <w:rFonts w:ascii="Times New Roman" w:hAnsi="Times New Roman" w:cs="Times New Roman"/>
          <w:sz w:val="20"/>
          <w:szCs w:val="20"/>
          <w:lang w:eastAsia="ru-RU"/>
        </w:rPr>
      </w:pP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Существует несколько подходов к разработке гостиничных стандартов и процедур:</w:t>
      </w:r>
    </w:p>
    <w:p w:rsidR="00517711" w:rsidRDefault="00F815BE">
      <w:pPr>
        <w:numPr>
          <w:ilvl w:val="0"/>
          <w:numId w:val="69"/>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функциональный подход;</w:t>
      </w:r>
    </w:p>
    <w:p w:rsidR="00517711" w:rsidRDefault="00F815BE">
      <w:pPr>
        <w:numPr>
          <w:ilvl w:val="0"/>
          <w:numId w:val="69"/>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технологический подход;</w:t>
      </w:r>
    </w:p>
    <w:p w:rsidR="00517711" w:rsidRDefault="00F815BE">
      <w:pPr>
        <w:numPr>
          <w:ilvl w:val="0"/>
          <w:numId w:val="69"/>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lastRenderedPageBreak/>
        <w:t>исходя из требований к квалификации и профессиональным навыкам;</w:t>
      </w:r>
    </w:p>
    <w:p w:rsidR="00517711" w:rsidRDefault="00F815BE">
      <w:pPr>
        <w:numPr>
          <w:ilvl w:val="0"/>
          <w:numId w:val="69"/>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системный подход.</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Функциональный подход основан на свойстве линейно-функциональной организационной структуры, которая распределяет работников на подразделения в соответствии с выполняемой функцией и соответствием сотрудников требованиям к образованию и квалификации. Данный подход формирует две группы стандартов: устанавливающие взаимоотношения с гостем и между сотрудниками и технические требования к помещениям и оборудованию гостиничного предприятия. При этом стандарты, устанавливающие взаимоотношения преимущественно регламентируют деятельность сотрудников контактных служб, а технические требования сочетают технические требования к зданиям и сооружениям, предназначенных для предоставления гостиничных услуг. </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Ярким примером применения функционального подхода является пакет стандартов HELIOPARK Group, включающий следующие: стандарты финансового менеджмента, стандарты комплексного фирменного стиля, единые требования документооборота, стандарты управления персоналом, IT-стандарты [1].  </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Необходимо отметить, что данный подход соответствует действующей нормативно-правовой базе, которая содержит критерии к строительству, инженерно-техническому оснащению. Несмотря на то, что ряд документов содержит определенные требования, которые могут быть использованы для разработки стандартов, их содержание не может стать исчерпывающим и требует доработки для каждого предприятия. Дополнительным стимулом для разработки стандартов обслуживания является необходимость прохождения процедуры классификации на присвоение категории, т.к. наличие письменных стандартов для персонала, фиксирующие функциональные обязанности и установленные правила работы и их соблюдение сотрудниками всех служб [2] являются обязательным условием.</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Процедура классификации средств размещения в России требует от персонала знание и соблюдение Стандартов предприятия и технологий обслуживания в части: внешнего вида сотрудников, поведения сотрудников, техники безопасности, технологии обслуживания в различных службах средства размещения [2].</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В настоящий момент на государственном уровне поставлен вопрос об актуализации требований к навыкам, образованию и подготовке персонала гостиничных предприятий. До введения в практику профессиональных стандартов на территории России использовался единый тарифно-квалификационный справочник рабочих и единая номенклатура должностных служащих. Профессиональный стандарт включает больший спектр требований к сотруднику, претендующего на определенную должность в гостиничном предприятии. Профессиональный стандарт – характеристика квалификации, необходимой работнику для осуществления определенного вида профессиональной деятельности, в том числе выполнения определенной трудовой функции. Термин «трудовая функция» означает обязательное условие трудового договора [5]. Содержание профессионального стандарта может быть использовано для регулирования трудовых отношений (позиции включаются в должностную инструкцию). Важную роль профессиональный стандарт играет в формировании гостиничных стандартов и процедур как пакета документов, содержащих все процессы и процедуры, которые выполняются на гостиничном предприятии.</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Технологический подход основывается на том, что существует необходимость прописать последовательность действий при выполнении отдельных процедур (постановка на миграционный учет иностранного гражданина или лица без гражданства, выполнение ночного аудита и закрытия смены, бронирования для отдельных сегментов гостей и др.). Результатом являются: схемы и алгоритмы последовательного выполнения действий сотрудником, текстовое структурированное описание последовательного выполнения действий, смешанные варианты. Прописанный порядок выполнения действий включает методы работы, используемое программного обеспечение и инструкции к аппаратам и оборудованию, если таковое задействовано в работе. Отличительной особенностью технологической карты (инструкции для выполнения действий, процедуры) является более широкий охват используемой информации и сочетание функций, нежели это подразумевает профессиональный стандарт.</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В современных условиях развития гостиничного бизнеса, когда изменчивость внешней среды требует оперативного реагирования для сохранения устойчивых позиций на конкурентном рынке, наиболее актуальным является системный подход. Понятие «система» предполагает, что все входящие в нее подсистемы тесно между собой взаимоувязаны и имеют многообразные связи с внешней средой. Гостиничное предприятие рассматривается как открытая система, которая постоянно взаимодействует с внешней средой, и прежде всего, агентами и гостями.</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При использовании такого подхода учитываются следующие факторы:</w:t>
      </w:r>
    </w:p>
    <w:p w:rsidR="00517711" w:rsidRDefault="00F815BE">
      <w:pPr>
        <w:numPr>
          <w:ilvl w:val="0"/>
          <w:numId w:val="67"/>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изменяющиеся потребности гостей;</w:t>
      </w:r>
    </w:p>
    <w:p w:rsidR="00517711" w:rsidRDefault="00F815BE">
      <w:pPr>
        <w:numPr>
          <w:ilvl w:val="0"/>
          <w:numId w:val="67"/>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изменения внешней среды;</w:t>
      </w:r>
    </w:p>
    <w:p w:rsidR="00517711" w:rsidRDefault="00F815BE">
      <w:pPr>
        <w:numPr>
          <w:ilvl w:val="0"/>
          <w:numId w:val="67"/>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применяемые процессы;</w:t>
      </w:r>
    </w:p>
    <w:p w:rsidR="00517711" w:rsidRDefault="00F815BE">
      <w:pPr>
        <w:numPr>
          <w:ilvl w:val="0"/>
          <w:numId w:val="67"/>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цели организации;</w:t>
      </w:r>
    </w:p>
    <w:p w:rsidR="00517711" w:rsidRDefault="00F815BE">
      <w:pPr>
        <w:numPr>
          <w:ilvl w:val="0"/>
          <w:numId w:val="67"/>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перечень оказываемых услуг;</w:t>
      </w:r>
    </w:p>
    <w:p w:rsidR="00517711" w:rsidRDefault="00F815BE">
      <w:pPr>
        <w:numPr>
          <w:ilvl w:val="0"/>
          <w:numId w:val="67"/>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размер и структура организации [3].</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Системный подход предусматривает разработку следующих документов:</w:t>
      </w:r>
    </w:p>
    <w:p w:rsidR="00517711" w:rsidRDefault="00F815BE">
      <w:pPr>
        <w:pStyle w:val="af4"/>
        <w:widowControl w:val="0"/>
        <w:numPr>
          <w:ilvl w:val="0"/>
          <w:numId w:val="68"/>
        </w:numPr>
        <w:tabs>
          <w:tab w:val="left" w:pos="993"/>
        </w:tabs>
        <w:spacing w:after="0" w:line="240" w:lineRule="auto"/>
        <w:ind w:left="0" w:firstLine="709"/>
        <w:jc w:val="both"/>
        <w:rPr>
          <w:rFonts w:ascii="Times New Roman" w:hAnsi="Times New Roman"/>
          <w:sz w:val="20"/>
        </w:rPr>
      </w:pPr>
      <w:r>
        <w:rPr>
          <w:rFonts w:ascii="Times New Roman" w:hAnsi="Times New Roman"/>
          <w:sz w:val="20"/>
        </w:rPr>
        <w:t>положение о гостиничном предприятии;</w:t>
      </w:r>
    </w:p>
    <w:p w:rsidR="00517711" w:rsidRDefault="00F815BE">
      <w:pPr>
        <w:pStyle w:val="af4"/>
        <w:widowControl w:val="0"/>
        <w:numPr>
          <w:ilvl w:val="0"/>
          <w:numId w:val="68"/>
        </w:numPr>
        <w:tabs>
          <w:tab w:val="left" w:pos="993"/>
        </w:tabs>
        <w:spacing w:after="0" w:line="240" w:lineRule="auto"/>
        <w:ind w:left="0" w:firstLine="709"/>
        <w:jc w:val="both"/>
        <w:rPr>
          <w:rFonts w:ascii="Times New Roman" w:hAnsi="Times New Roman"/>
          <w:sz w:val="20"/>
        </w:rPr>
      </w:pPr>
      <w:r>
        <w:rPr>
          <w:rFonts w:ascii="Times New Roman" w:hAnsi="Times New Roman"/>
          <w:sz w:val="20"/>
        </w:rPr>
        <w:t>руководство по качеству;</w:t>
      </w:r>
    </w:p>
    <w:p w:rsidR="00517711" w:rsidRDefault="00F815BE">
      <w:pPr>
        <w:pStyle w:val="af4"/>
        <w:widowControl w:val="0"/>
        <w:numPr>
          <w:ilvl w:val="0"/>
          <w:numId w:val="68"/>
        </w:numPr>
        <w:tabs>
          <w:tab w:val="left" w:pos="993"/>
        </w:tabs>
        <w:spacing w:after="0" w:line="240" w:lineRule="auto"/>
        <w:ind w:left="0" w:firstLine="709"/>
        <w:jc w:val="both"/>
        <w:rPr>
          <w:rFonts w:ascii="Times New Roman" w:hAnsi="Times New Roman"/>
          <w:sz w:val="20"/>
        </w:rPr>
      </w:pPr>
      <w:r>
        <w:rPr>
          <w:rFonts w:ascii="Times New Roman" w:hAnsi="Times New Roman"/>
          <w:sz w:val="20"/>
        </w:rPr>
        <w:t>документированные процедуры;</w:t>
      </w:r>
    </w:p>
    <w:p w:rsidR="00517711" w:rsidRDefault="00F815BE">
      <w:pPr>
        <w:pStyle w:val="af4"/>
        <w:widowControl w:val="0"/>
        <w:numPr>
          <w:ilvl w:val="0"/>
          <w:numId w:val="68"/>
        </w:numPr>
        <w:tabs>
          <w:tab w:val="left" w:pos="993"/>
        </w:tabs>
        <w:spacing w:after="0" w:line="240" w:lineRule="auto"/>
        <w:ind w:left="0" w:firstLine="709"/>
        <w:jc w:val="both"/>
        <w:rPr>
          <w:rFonts w:ascii="Times New Roman" w:hAnsi="Times New Roman"/>
          <w:sz w:val="20"/>
        </w:rPr>
      </w:pPr>
      <w:r>
        <w:rPr>
          <w:rFonts w:ascii="Times New Roman" w:hAnsi="Times New Roman"/>
          <w:sz w:val="20"/>
        </w:rPr>
        <w:lastRenderedPageBreak/>
        <w:t>порядок документооборота;</w:t>
      </w:r>
    </w:p>
    <w:p w:rsidR="00517711" w:rsidRDefault="00F815BE">
      <w:pPr>
        <w:pStyle w:val="af4"/>
        <w:widowControl w:val="0"/>
        <w:numPr>
          <w:ilvl w:val="0"/>
          <w:numId w:val="68"/>
        </w:numPr>
        <w:tabs>
          <w:tab w:val="left" w:pos="993"/>
        </w:tabs>
        <w:spacing w:after="0" w:line="240" w:lineRule="auto"/>
        <w:ind w:left="0" w:firstLine="709"/>
        <w:jc w:val="both"/>
        <w:rPr>
          <w:rFonts w:ascii="Times New Roman" w:hAnsi="Times New Roman"/>
          <w:sz w:val="20"/>
        </w:rPr>
      </w:pPr>
      <w:r>
        <w:rPr>
          <w:rFonts w:ascii="Times New Roman" w:hAnsi="Times New Roman"/>
          <w:sz w:val="20"/>
        </w:rPr>
        <w:t>корректирующие и предупреждающие действия;</w:t>
      </w:r>
    </w:p>
    <w:p w:rsidR="00517711" w:rsidRDefault="00F815BE">
      <w:pPr>
        <w:pStyle w:val="af4"/>
        <w:widowControl w:val="0"/>
        <w:numPr>
          <w:ilvl w:val="0"/>
          <w:numId w:val="68"/>
        </w:numPr>
        <w:tabs>
          <w:tab w:val="left" w:pos="993"/>
        </w:tabs>
        <w:spacing w:after="0" w:line="240" w:lineRule="auto"/>
        <w:ind w:left="0" w:firstLine="709"/>
        <w:jc w:val="both"/>
        <w:rPr>
          <w:rFonts w:ascii="Times New Roman" w:hAnsi="Times New Roman"/>
          <w:sz w:val="20"/>
        </w:rPr>
      </w:pPr>
      <w:r>
        <w:rPr>
          <w:rFonts w:ascii="Times New Roman" w:hAnsi="Times New Roman"/>
          <w:sz w:val="20"/>
        </w:rPr>
        <w:t>порядок проведения анализа со стороны руководителей;</w:t>
      </w:r>
    </w:p>
    <w:p w:rsidR="00517711" w:rsidRDefault="00F815BE">
      <w:pPr>
        <w:pStyle w:val="af4"/>
        <w:widowControl w:val="0"/>
        <w:numPr>
          <w:ilvl w:val="0"/>
          <w:numId w:val="68"/>
        </w:numPr>
        <w:tabs>
          <w:tab w:val="left" w:pos="993"/>
        </w:tabs>
        <w:spacing w:after="0" w:line="240" w:lineRule="auto"/>
        <w:ind w:left="0" w:firstLine="709"/>
        <w:jc w:val="both"/>
        <w:rPr>
          <w:rFonts w:ascii="Times New Roman" w:hAnsi="Times New Roman"/>
          <w:sz w:val="20"/>
        </w:rPr>
      </w:pPr>
      <w:r>
        <w:rPr>
          <w:rFonts w:ascii="Times New Roman" w:hAnsi="Times New Roman"/>
          <w:sz w:val="20"/>
        </w:rPr>
        <w:t>должностные инструкции и профессиональные стандарты;</w:t>
      </w:r>
    </w:p>
    <w:p w:rsidR="00517711" w:rsidRDefault="00F815BE">
      <w:pPr>
        <w:pStyle w:val="af4"/>
        <w:widowControl w:val="0"/>
        <w:numPr>
          <w:ilvl w:val="0"/>
          <w:numId w:val="68"/>
        </w:numPr>
        <w:tabs>
          <w:tab w:val="left" w:pos="993"/>
        </w:tabs>
        <w:spacing w:after="0" w:line="240" w:lineRule="auto"/>
        <w:ind w:left="0" w:firstLine="709"/>
        <w:jc w:val="both"/>
        <w:rPr>
          <w:rFonts w:ascii="Times New Roman" w:hAnsi="Times New Roman"/>
          <w:sz w:val="20"/>
        </w:rPr>
      </w:pPr>
      <w:r>
        <w:rPr>
          <w:rFonts w:ascii="Times New Roman" w:hAnsi="Times New Roman"/>
          <w:sz w:val="20"/>
        </w:rPr>
        <w:t>документированные операционные процедуры [3].</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Такой подход предполагает в качестве первоочередного действия проведение комплексного обследования предприятия, результатом которого станут организационная структура, основные, дополнительные и сопутствующие процессы, пакет инструкций по работе с используемым оборудованием и аппаратами, составление необходимых справочников, предварительная система измерения и контроля выполнения стандартов.</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Как правило, системный подход подразумевает всеохватывающую стандартизацию, разработку обоснованной системы стимулирования и мотивации персонала. Результатом комплексной деятельности должен стать измеримый результат – повышение загрузки гостиничного предприятия, повышение прибыли, увеличение количества постоянных гостей и рекомендаций и др.</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Следует отметить, что системный подход – длительный и трудоемкий процесс, в который задействован весь персонал предприятия. Решение о выборе методов обслуживания и утверждения определенных стандартов осуществляет руководитель предприятия, который также задействован в разработку документов. Осуществление контроля за выполнением работ по разработке стандартов возлагаются на руководителя предприятия, после апробации разработанных стандартов, при необходимости внесения изменений, руководитель назначает ответственного за осуществление контроля.</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На современном российском рынке гостиничных услуг существуют противоречивые тенденции в отношении реализации проектов по стандартизации гостиничных процессов и процедур: с одной стороны, большинство участников рынка понимают их необходимость, с другой стороны, уже на этапе их разработки приходит осознание построения системы, в которое индивидуалистический подход к управлению невозможен. Кроме того, система предполагает постоянное осуществление контроля, измерения результатов, анализа результатов, что требует усилий и дополнительного времени. </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Таким образом, каждый из рассмотренных подходов к разработке гостиничных стандартов и процедур предполагает комплексный подход к исследованию работы предприятия, оценке ситуации и принятия управленческого решения по стандартизации отдельных процедур и процессов или работы предприятия в целом. Наиболее эффективным может стать системный подход, который охватывает все аспекты деятельности гостиничного предприятия, дает возможность полного контроля и достижения прогнозируемого результата, повышения устойчивости деятельности предприятия к изменениям внешней среды.</w:t>
      </w:r>
    </w:p>
    <w:p w:rsidR="00517711" w:rsidRDefault="00F815BE">
      <w:r>
        <w:rPr>
          <w:noProof/>
          <w:lang w:eastAsia="ru-RU"/>
        </w:rPr>
        <mc:AlternateContent>
          <mc:Choice Requires="wps">
            <w:drawing>
              <wp:anchor distT="0" distB="0" distL="114300" distR="114300" simplePos="0" relativeHeight="251722752" behindDoc="0" locked="0" layoutInCell="0" allowOverlap="1">
                <wp:simplePos x="0" y="0"/>
                <wp:positionH relativeFrom="character">
                  <wp:posOffset>438148</wp:posOffset>
                </wp:positionH>
                <wp:positionV relativeFrom="paragraph">
                  <wp:posOffset>65403</wp:posOffset>
                </wp:positionV>
                <wp:extent cx="2567303" cy="0"/>
                <wp:effectExtent l="8253" t="13333" r="5715" b="5715"/>
                <wp:wrapNone/>
                <wp:docPr id="36" name="Прямая соединительная линия 121"/>
                <wp:cNvGraphicFramePr/>
                <a:graphic xmlns:a="http://schemas.openxmlformats.org/drawingml/2006/main">
                  <a:graphicData uri="http://schemas.microsoft.com/office/word/2010/wordprocessingShape">
                    <wps:wsp>
                      <wps:cNvCnPr/>
                      <wps:spPr bwMode="auto">
                        <a:xfrm>
                          <a:off x="0" y="0"/>
                          <a:ext cx="2567305"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6CF87869" id="Прямая соединительная линия 121" o:spid="_x0000_s1026" style="position:absolute;z-index:251722752;visibility:visible;mso-wrap-style:square;mso-width-percent:0;mso-height-percent:0;mso-wrap-distance-left:9pt;mso-wrap-distance-top:0;mso-wrap-distance-right:9pt;mso-wrap-distance-bottom:0;mso-position-horizontal:absolute;mso-position-horizontal-relative:char;mso-position-vertical:absolute;mso-position-vertical-relative:text;mso-width-percent:0;mso-height-percent:0;mso-width-relative:page;mso-height-relative:page" from="34.5pt,5.15pt" to="236.65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" o:allowincell="f"/>
            </w:pict>
          </mc:Fallback>
        </mc:AlternateContent>
      </w:r>
    </w:p>
    <w:p w:rsidR="00517711" w:rsidRDefault="00F815BE">
      <w:pPr>
        <w:numPr>
          <w:ilvl w:val="0"/>
          <w:numId w:val="66"/>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Гостиничный бизнес: стандарт - границы жесткости [Электронный ресурс]. – Режим доступа: http://prohotel.ru/news-6969/0/</w:t>
      </w:r>
    </w:p>
    <w:p w:rsidR="00517711" w:rsidRDefault="00F815BE">
      <w:pPr>
        <w:numPr>
          <w:ilvl w:val="0"/>
          <w:numId w:val="66"/>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Об утверждении порядка классификации объектов туристской индустрии, включающих гостиницы и иные средства размещения, горнолыжные трассы и пляжи, осуществляемой аккредитованными организациями. Приказ Министерства культуры РФ от 11.07.2014 г. № 1215 [Электронный ресурс]. – Режим доступа: http://ivo.garant.ru/#/document/70843354/paragraph/916:1</w:t>
      </w:r>
    </w:p>
    <w:p w:rsidR="00517711" w:rsidRDefault="00F815BE">
      <w:pPr>
        <w:numPr>
          <w:ilvl w:val="0"/>
          <w:numId w:val="66"/>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Система гостиничных стандартов [Электронный ресурс]. – Режим доступа: http://premier-deal.ru/system.html</w:t>
      </w:r>
    </w:p>
    <w:p w:rsidR="00517711" w:rsidRDefault="00F815BE">
      <w:pPr>
        <w:numPr>
          <w:ilvl w:val="0"/>
          <w:numId w:val="66"/>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Тимохина Т.Л. Организация гостиничного дела : учебник для прикладного бакалавриата/ Т. Л. Тимохина. — М. : Издательство Юрайт, 2017. — 331 с.</w:t>
      </w:r>
    </w:p>
    <w:p w:rsidR="00517711" w:rsidRDefault="00F815BE">
      <w:pPr>
        <w:numPr>
          <w:ilvl w:val="0"/>
          <w:numId w:val="66"/>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Трудовой кодекс Российской Федерации от 30 декабря 2001 г. № 197-ФЗ (ред. 05.02.2018 г.) [Электронный ресурс]. – Режим доступа: http://ivo.garant.ru/#/document/12125268/paragraph/6963504:1</w:t>
      </w:r>
    </w:p>
    <w:p w:rsidR="00517711" w:rsidRDefault="00F815BE">
      <w:pPr>
        <w:numPr>
          <w:ilvl w:val="0"/>
          <w:numId w:val="66"/>
        </w:numPr>
        <w:spacing w:after="0" w:line="240" w:lineRule="auto"/>
        <w:ind w:left="0" w:firstLine="397"/>
        <w:jc w:val="both"/>
        <w:rPr>
          <w:rFonts w:ascii="Times New Roman" w:hAnsi="Times New Roman" w:cs="Times New Roman"/>
          <w:sz w:val="20"/>
          <w:szCs w:val="20"/>
          <w:lang w:val="en-US" w:eastAsia="ru-RU"/>
        </w:rPr>
      </w:pPr>
      <w:r>
        <w:rPr>
          <w:rFonts w:ascii="Times New Roman" w:hAnsi="Times New Roman" w:cs="Times New Roman"/>
          <w:sz w:val="20"/>
          <w:szCs w:val="20"/>
          <w:lang w:val="en-US" w:eastAsia="ru-RU"/>
        </w:rPr>
        <w:t>How to define Standard operating procedures for Hotels [</w:t>
      </w:r>
      <w:r>
        <w:rPr>
          <w:rFonts w:ascii="Times New Roman" w:hAnsi="Times New Roman" w:cs="Times New Roman"/>
          <w:sz w:val="20"/>
          <w:szCs w:val="20"/>
          <w:lang w:eastAsia="ru-RU"/>
        </w:rPr>
        <w:t>Электронный</w:t>
      </w:r>
      <w:r>
        <w:rPr>
          <w:rFonts w:ascii="Times New Roman" w:hAnsi="Times New Roman" w:cs="Times New Roman"/>
          <w:sz w:val="20"/>
          <w:szCs w:val="20"/>
          <w:lang w:val="en-US" w:eastAsia="ru-RU"/>
        </w:rPr>
        <w:t xml:space="preserve"> </w:t>
      </w:r>
      <w:r>
        <w:rPr>
          <w:rFonts w:ascii="Times New Roman" w:hAnsi="Times New Roman" w:cs="Times New Roman"/>
          <w:sz w:val="20"/>
          <w:szCs w:val="20"/>
          <w:lang w:eastAsia="ru-RU"/>
        </w:rPr>
        <w:t>ресурс</w:t>
      </w:r>
      <w:r>
        <w:rPr>
          <w:rFonts w:ascii="Times New Roman" w:hAnsi="Times New Roman" w:cs="Times New Roman"/>
          <w:sz w:val="20"/>
          <w:szCs w:val="20"/>
          <w:lang w:val="en-US" w:eastAsia="ru-RU"/>
        </w:rPr>
        <w:t xml:space="preserve">]. – </w:t>
      </w:r>
      <w:r>
        <w:rPr>
          <w:rFonts w:ascii="Times New Roman" w:hAnsi="Times New Roman" w:cs="Times New Roman"/>
          <w:sz w:val="20"/>
          <w:szCs w:val="20"/>
          <w:lang w:eastAsia="ru-RU"/>
        </w:rPr>
        <w:t>Режим</w:t>
      </w:r>
      <w:r>
        <w:rPr>
          <w:rFonts w:ascii="Times New Roman" w:hAnsi="Times New Roman" w:cs="Times New Roman"/>
          <w:sz w:val="20"/>
          <w:szCs w:val="20"/>
          <w:lang w:val="en-US" w:eastAsia="ru-RU"/>
        </w:rPr>
        <w:t xml:space="preserve"> </w:t>
      </w:r>
      <w:r>
        <w:rPr>
          <w:rFonts w:ascii="Times New Roman" w:hAnsi="Times New Roman" w:cs="Times New Roman"/>
          <w:sz w:val="20"/>
          <w:szCs w:val="20"/>
          <w:lang w:eastAsia="ru-RU"/>
        </w:rPr>
        <w:t>доступа</w:t>
      </w:r>
      <w:r>
        <w:rPr>
          <w:rFonts w:ascii="Times New Roman" w:hAnsi="Times New Roman" w:cs="Times New Roman"/>
          <w:sz w:val="20"/>
          <w:szCs w:val="20"/>
          <w:lang w:val="en-US" w:eastAsia="ru-RU"/>
        </w:rPr>
        <w:t>: https://setupmyhotel.com/train-my-hotel-staff/how-to-define-sop-in-hotels.html</w:t>
      </w:r>
    </w:p>
    <w:p w:rsidR="00517711" w:rsidRDefault="00517711">
      <w:pPr>
        <w:tabs>
          <w:tab w:val="left" w:pos="993"/>
        </w:tabs>
        <w:spacing w:after="0" w:line="240" w:lineRule="auto"/>
        <w:jc w:val="both"/>
        <w:rPr>
          <w:rFonts w:ascii="Times New Roman" w:hAnsi="Times New Roman"/>
          <w:sz w:val="20"/>
          <w:szCs w:val="20"/>
          <w:lang w:val="en-US"/>
        </w:rPr>
      </w:pPr>
    </w:p>
    <w:p w:rsidR="00517711" w:rsidRDefault="00F815BE">
      <w:pPr>
        <w:keepNext/>
        <w:spacing w:before="120" w:after="120" w:line="240" w:lineRule="auto"/>
        <w:outlineLvl w:val="3"/>
        <w:rPr>
          <w:rFonts w:ascii="Times New Roman" w:eastAsia="Calibri" w:hAnsi="Times New Roman" w:cs="Times New Roman"/>
          <w:b/>
          <w:bCs/>
          <w:sz w:val="20"/>
          <w:szCs w:val="28"/>
        </w:rPr>
      </w:pPr>
      <w:r>
        <w:rPr>
          <w:rFonts w:ascii="Times New Roman" w:eastAsia="Calibri" w:hAnsi="Times New Roman" w:cs="Times New Roman"/>
          <w:b/>
          <w:bCs/>
          <w:sz w:val="20"/>
          <w:szCs w:val="28"/>
        </w:rPr>
        <w:t xml:space="preserve">Рубрика: Общественное питание </w:t>
      </w:r>
    </w:p>
    <w:p w:rsidR="00517711" w:rsidRDefault="00F815BE">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УДК 642.58</w:t>
      </w:r>
    </w:p>
    <w:p w:rsidR="00517711" w:rsidRDefault="00F815BE">
      <w:pPr>
        <w:keepNext/>
        <w:spacing w:before="240" w:after="240" w:line="240" w:lineRule="auto"/>
        <w:jc w:val="center"/>
        <w:outlineLvl w:val="0"/>
        <w:rPr>
          <w:rFonts w:ascii="Book Antiqua" w:eastAsia="Calibri" w:hAnsi="Book Antiqua" w:cs="Times New Roman"/>
          <w:b/>
          <w:bCs/>
          <w:caps/>
          <w:sz w:val="26"/>
          <w:szCs w:val="20"/>
        </w:rPr>
      </w:pPr>
      <w:r>
        <w:rPr>
          <w:rFonts w:ascii="Book Antiqua" w:eastAsia="Calibri" w:hAnsi="Book Antiqua" w:cs="Times New Roman"/>
          <w:b/>
          <w:bCs/>
          <w:caps/>
          <w:sz w:val="26"/>
          <w:szCs w:val="20"/>
        </w:rPr>
        <w:t>Анализ организации и структуры питания студентов ВГУЭС</w:t>
      </w:r>
    </w:p>
    <w:p w:rsidR="00517711" w:rsidRDefault="00F815BE">
      <w:pPr>
        <w:spacing w:after="0"/>
        <w:ind w:firstLine="680"/>
        <w:jc w:val="center"/>
        <w:rPr>
          <w:rFonts w:ascii="Arial" w:eastAsia="Calibri" w:hAnsi="Arial" w:cs="Times New Roman"/>
          <w:b/>
          <w:bCs/>
          <w:sz w:val="24"/>
          <w:szCs w:val="20"/>
          <w:lang w:eastAsia="ru-RU"/>
        </w:rPr>
      </w:pPr>
      <w:r>
        <w:rPr>
          <w:rFonts w:ascii="Arial" w:eastAsia="Calibri" w:hAnsi="Arial" w:cs="Times New Roman"/>
          <w:b/>
          <w:bCs/>
          <w:sz w:val="24"/>
          <w:szCs w:val="20"/>
          <w:lang w:eastAsia="ru-RU"/>
        </w:rPr>
        <w:t>Шокота Екатерина Михайловна,</w:t>
      </w:r>
    </w:p>
    <w:p w:rsidR="00517711" w:rsidRDefault="00F815BE">
      <w:pPr>
        <w:ind w:firstLine="680"/>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бакалавр</w:t>
      </w: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Россия. Владивосток</w:t>
      </w:r>
    </w:p>
    <w:p w:rsidR="00517711" w:rsidRDefault="00F815BE">
      <w:pPr>
        <w:spacing w:after="0"/>
        <w:ind w:firstLine="680"/>
        <w:jc w:val="center"/>
        <w:rPr>
          <w:rFonts w:ascii="Times New Roman" w:hAnsi="Times New Roman" w:cs="Times New Roman"/>
          <w:sz w:val="20"/>
        </w:rPr>
      </w:pPr>
      <w:r>
        <w:rPr>
          <w:rFonts w:ascii="Times New Roman" w:hAnsi="Times New Roman" w:cs="Times New Roman"/>
          <w:sz w:val="20"/>
          <w:lang w:val="en-US"/>
        </w:rPr>
        <w:lastRenderedPageBreak/>
        <w:t>E</w:t>
      </w:r>
      <w:r>
        <w:rPr>
          <w:rFonts w:ascii="Times New Roman" w:hAnsi="Times New Roman" w:cs="Times New Roman"/>
          <w:sz w:val="20"/>
        </w:rPr>
        <w:t>-</w:t>
      </w:r>
      <w:r>
        <w:rPr>
          <w:rFonts w:ascii="Times New Roman" w:hAnsi="Times New Roman" w:cs="Times New Roman"/>
          <w:sz w:val="20"/>
          <w:lang w:val="en-US"/>
        </w:rPr>
        <w:t>mail</w:t>
      </w:r>
      <w:r>
        <w:rPr>
          <w:rFonts w:ascii="Times New Roman" w:hAnsi="Times New Roman" w:cs="Times New Roman"/>
          <w:sz w:val="20"/>
        </w:rPr>
        <w:t xml:space="preserve">: </w:t>
      </w:r>
      <w:r>
        <w:rPr>
          <w:rFonts w:ascii="Times New Roman" w:hAnsi="Times New Roman" w:cs="Times New Roman"/>
          <w:sz w:val="20"/>
          <w:lang w:val="en-US"/>
        </w:rPr>
        <w:t>katerina</w:t>
      </w:r>
      <w:r>
        <w:rPr>
          <w:rFonts w:ascii="Times New Roman" w:hAnsi="Times New Roman" w:cs="Times New Roman"/>
          <w:sz w:val="20"/>
        </w:rPr>
        <w:t>_</w:t>
      </w:r>
      <w:r>
        <w:rPr>
          <w:rFonts w:ascii="Times New Roman" w:hAnsi="Times New Roman" w:cs="Times New Roman"/>
          <w:sz w:val="20"/>
          <w:lang w:val="en-US"/>
        </w:rPr>
        <w:t>m</w:t>
      </w:r>
      <w:r>
        <w:rPr>
          <w:rFonts w:ascii="Times New Roman" w:hAnsi="Times New Roman" w:cs="Times New Roman"/>
          <w:sz w:val="20"/>
        </w:rPr>
        <w:t>_1105@</w:t>
      </w:r>
      <w:r>
        <w:rPr>
          <w:rFonts w:ascii="Times New Roman" w:hAnsi="Times New Roman" w:cs="Times New Roman"/>
          <w:sz w:val="20"/>
          <w:lang w:val="en-US"/>
        </w:rPr>
        <w:t>mail</w:t>
      </w:r>
      <w:r>
        <w:rPr>
          <w:rFonts w:ascii="Times New Roman" w:hAnsi="Times New Roman" w:cs="Times New Roman"/>
          <w:sz w:val="20"/>
        </w:rPr>
        <w:t>.</w:t>
      </w:r>
      <w:r>
        <w:rPr>
          <w:rFonts w:ascii="Times New Roman" w:hAnsi="Times New Roman" w:cs="Times New Roman"/>
          <w:sz w:val="20"/>
          <w:lang w:val="en-US"/>
        </w:rPr>
        <w:t>ru</w:t>
      </w:r>
      <w:r>
        <w:rPr>
          <w:rFonts w:ascii="Times New Roman" w:hAnsi="Times New Roman" w:cs="Times New Roman"/>
          <w:sz w:val="20"/>
        </w:rPr>
        <w:t>, тел. +79249439797</w:t>
      </w:r>
    </w:p>
    <w:p w:rsidR="00517711" w:rsidRDefault="00F815BE">
      <w:pPr>
        <w:ind w:firstLine="680"/>
        <w:jc w:val="center"/>
        <w:rPr>
          <w:rFonts w:ascii="Times New Roman" w:hAnsi="Times New Roman" w:cs="Times New Roman"/>
          <w:sz w:val="20"/>
        </w:rPr>
      </w:pPr>
      <w:r>
        <w:rPr>
          <w:rFonts w:ascii="Times New Roman" w:hAnsi="Times New Roman" w:cs="Times New Roman"/>
          <w:sz w:val="20"/>
        </w:rPr>
        <w:t>ул. Гоголя, 41, г. Владивосток, Приморский край, Россия, 690014</w:t>
      </w:r>
    </w:p>
    <w:p w:rsidR="00517711" w:rsidRDefault="00F815BE">
      <w:pPr>
        <w:spacing w:after="0"/>
        <w:ind w:firstLine="680"/>
        <w:jc w:val="center"/>
        <w:rPr>
          <w:rFonts w:ascii="Arial" w:eastAsia="Calibri" w:hAnsi="Arial" w:cs="Times New Roman"/>
          <w:b/>
          <w:bCs/>
          <w:sz w:val="24"/>
          <w:szCs w:val="20"/>
          <w:lang w:eastAsia="ru-RU"/>
        </w:rPr>
      </w:pPr>
      <w:r>
        <w:rPr>
          <w:rFonts w:ascii="Arial" w:eastAsia="Calibri" w:hAnsi="Arial" w:cs="Times New Roman"/>
          <w:b/>
          <w:bCs/>
          <w:sz w:val="24"/>
          <w:szCs w:val="20"/>
          <w:lang w:eastAsia="ru-RU"/>
        </w:rPr>
        <w:t>Шеметова Елена Васильевна,</w:t>
      </w:r>
    </w:p>
    <w:p w:rsidR="00517711" w:rsidRDefault="00F815BE">
      <w:pPr>
        <w:ind w:firstLine="680"/>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старший преподаватель, кафедра туризма и экологии</w:t>
      </w:r>
    </w:p>
    <w:p w:rsidR="00517711" w:rsidRDefault="00F815BE">
      <w:pPr>
        <w:ind w:firstLine="680"/>
        <w:jc w:val="center"/>
        <w:rPr>
          <w:rFonts w:ascii="Times New Roman" w:hAnsi="Times New Roman"/>
          <w:sz w:val="20"/>
          <w:lang w:val="en-US"/>
        </w:rPr>
      </w:pPr>
      <w:r>
        <w:rPr>
          <w:rFonts w:ascii="Times New Roman" w:hAnsi="Times New Roman"/>
          <w:sz w:val="20"/>
          <w:lang w:val="en-US"/>
        </w:rPr>
        <w:t>E-mail: elena.shemetova@vvsu.ru</w:t>
      </w:r>
    </w:p>
    <w:p w:rsidR="00517711" w:rsidRDefault="00F815BE">
      <w:pPr>
        <w:spacing w:after="0"/>
        <w:ind w:firstLine="709"/>
        <w:jc w:val="both"/>
        <w:rPr>
          <w:rFonts w:ascii="Times New Roman" w:hAnsi="Times New Roman" w:cs="Times New Roman"/>
          <w:i/>
          <w:iCs/>
        </w:rPr>
      </w:pPr>
      <w:r>
        <w:rPr>
          <w:rFonts w:ascii="Times New Roman" w:hAnsi="Times New Roman" w:cs="Times New Roman"/>
          <w:i/>
          <w:iCs/>
        </w:rPr>
        <w:t xml:space="preserve">Статья посвящена актуальным проблемам питания студентов, влиянию неправильного питания на здоровье молодых людей. Приводится анализ и результаты анкетного опроса студентов Владивостокского Государственного Университета Экономики и Сервиса. </w:t>
      </w:r>
    </w:p>
    <w:p w:rsidR="00517711" w:rsidRDefault="00F815BE">
      <w:pPr>
        <w:spacing w:after="0"/>
        <w:ind w:firstLine="709"/>
        <w:jc w:val="both"/>
        <w:rPr>
          <w:rFonts w:ascii="Times New Roman" w:hAnsi="Times New Roman" w:cs="Times New Roman"/>
        </w:rPr>
      </w:pPr>
      <w:r>
        <w:rPr>
          <w:rFonts w:ascii="Times New Roman" w:hAnsi="Times New Roman" w:cs="Times New Roman"/>
          <w:b/>
          <w:bCs/>
          <w:i/>
          <w:iCs/>
        </w:rPr>
        <w:t>Ключевые слова</w:t>
      </w:r>
      <w:r>
        <w:rPr>
          <w:rFonts w:ascii="Times New Roman" w:hAnsi="Times New Roman" w:cs="Times New Roman"/>
          <w:i/>
          <w:iCs/>
        </w:rPr>
        <w:t>:</w:t>
      </w:r>
      <w:r>
        <w:rPr>
          <w:rFonts w:ascii="Times New Roman" w:hAnsi="Times New Roman" w:cs="Times New Roman"/>
        </w:rPr>
        <w:t xml:space="preserve"> питание студентов, режим питания, рацион питания, продукты питания. </w:t>
      </w:r>
    </w:p>
    <w:p w:rsidR="00517711" w:rsidRDefault="00F815BE">
      <w:pPr>
        <w:keepNext/>
        <w:spacing w:before="240" w:after="240" w:line="240" w:lineRule="auto"/>
        <w:jc w:val="center"/>
        <w:outlineLvl w:val="0"/>
        <w:rPr>
          <w:rFonts w:ascii="Book Antiqua" w:eastAsia="Calibri" w:hAnsi="Book Antiqua" w:cs="Times New Roman"/>
          <w:b/>
          <w:bCs/>
          <w:caps/>
          <w:sz w:val="26"/>
          <w:szCs w:val="20"/>
          <w:lang w:val="en-US"/>
        </w:rPr>
      </w:pPr>
      <w:r>
        <w:rPr>
          <w:rFonts w:ascii="Book Antiqua" w:eastAsia="Calibri" w:hAnsi="Book Antiqua" w:cs="Times New Roman"/>
          <w:b/>
          <w:bCs/>
          <w:caps/>
          <w:sz w:val="26"/>
          <w:szCs w:val="20"/>
          <w:lang w:val="en-US"/>
        </w:rPr>
        <w:t>Analysis of organization and structure of nutrition of VSUES students</w:t>
      </w:r>
    </w:p>
    <w:p w:rsidR="00517711" w:rsidRDefault="00F815BE">
      <w:pPr>
        <w:spacing w:after="0"/>
        <w:ind w:firstLine="709"/>
        <w:jc w:val="both"/>
        <w:rPr>
          <w:rFonts w:ascii="Times New Roman" w:hAnsi="Times New Roman"/>
          <w:i/>
          <w:iCs/>
          <w:lang w:val="en-US"/>
        </w:rPr>
      </w:pPr>
      <w:r>
        <w:rPr>
          <w:rFonts w:ascii="Times New Roman" w:hAnsi="Times New Roman"/>
          <w:i/>
          <w:iCs/>
          <w:lang w:val="en-US"/>
        </w:rPr>
        <w:t xml:space="preserve">The article is devoted to the actual problems of student’s nutrition and influence of incorrect nutrition on the health of young people. The analysis and result of the questionnaire asking of the students the student of Vladivostok state University of Economics and service are included. </w:t>
      </w:r>
    </w:p>
    <w:p w:rsidR="00517711" w:rsidRDefault="00F815BE">
      <w:pPr>
        <w:spacing w:after="0"/>
        <w:ind w:firstLine="709"/>
        <w:jc w:val="both"/>
        <w:rPr>
          <w:rFonts w:ascii="Times New Roman" w:hAnsi="Times New Roman"/>
          <w:i/>
          <w:iCs/>
          <w:lang w:val="en-US"/>
        </w:rPr>
      </w:pPr>
      <w:r>
        <w:rPr>
          <w:rFonts w:ascii="Times New Roman" w:hAnsi="Times New Roman"/>
          <w:b/>
          <w:bCs/>
          <w:i/>
          <w:iCs/>
          <w:lang w:val="en-US"/>
        </w:rPr>
        <w:t>Keywords:</w:t>
      </w:r>
      <w:r>
        <w:rPr>
          <w:rFonts w:ascii="Times New Roman" w:hAnsi="Times New Roman"/>
          <w:i/>
          <w:iCs/>
          <w:lang w:val="en-US"/>
        </w:rPr>
        <w:t xml:space="preserve">  student nutrition, regime of nutrition, food ration, food.</w:t>
      </w:r>
    </w:p>
    <w:p w:rsidR="00517711" w:rsidRDefault="00517711">
      <w:pPr>
        <w:spacing w:after="0"/>
        <w:ind w:firstLine="709"/>
        <w:jc w:val="both"/>
        <w:rPr>
          <w:rFonts w:ascii="Times New Roman" w:hAnsi="Times New Roman" w:cs="Times New Roman"/>
          <w:sz w:val="20"/>
          <w:lang w:val="en-US"/>
        </w:rPr>
      </w:pP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Питание является одним из</w:t>
      </w:r>
      <w:r>
        <w:rPr>
          <w:rFonts w:ascii="Times New Roman" w:hAnsi="Times New Roman" w:cs="Times New Roman"/>
          <w:b/>
          <w:bCs/>
          <w:sz w:val="20"/>
        </w:rPr>
        <w:t xml:space="preserve"> </w:t>
      </w:r>
      <w:r>
        <w:rPr>
          <w:rFonts w:ascii="Times New Roman" w:hAnsi="Times New Roman" w:cs="Times New Roman"/>
          <w:sz w:val="20"/>
        </w:rPr>
        <w:t xml:space="preserve">важнейших индикаторов здоровья человека, а в итоге и качества жизни. Структура, характер и качество питания, знание и соблюдение правил рационального питания оказывают большое влияние на уровень заболеваемости и смертности населения [1, с. 112]. </w:t>
      </w:r>
    </w:p>
    <w:p w:rsidR="00517711" w:rsidRDefault="00F815BE">
      <w:pPr>
        <w:spacing w:after="0"/>
        <w:ind w:firstLine="708"/>
        <w:jc w:val="both"/>
        <w:rPr>
          <w:rFonts w:ascii="Times New Roman" w:hAnsi="Times New Roman" w:cs="Times New Roman"/>
          <w:sz w:val="20"/>
        </w:rPr>
      </w:pPr>
      <w:r>
        <w:rPr>
          <w:rFonts w:ascii="Times New Roman" w:hAnsi="Times New Roman" w:cs="Times New Roman"/>
          <w:sz w:val="20"/>
        </w:rPr>
        <w:t>При анализе практических рекомендаций Министерства здравоохранения РФ и Института питания РАМН, видно, что потребление  наиболее  важных пищевых  продуктов  в  нашем  государстве  не соответствует по большинству показателей рациональным нормам. В  то же самое время наблюдается  избыточное потребление продуктов с высоким содержанием моно- и дисахаров (кондитерские изделия). Для российского населения это оборачивается наличием избыточной массы тела, которую, по данным некоторых источников, в отдельных регионах имеют до 30% мужчин, 50% женщин и свыше 10% детей и подростков. Кроме того, нерегулярное и нерациональное в целом питание, когда полезность продуктов приносится в жертву калорийности, имеет следствием тенденцию к увеличению количества лиц, страдающих заболеваниями желудочно-кишечного тракта (гастродуоденит, гастрит, язва желудка и двенадцатиперстной  кишки) и эндокринной системы, включая инсулин-зависимый сахарный диабет, встречающийся в настоящее время даже среди детей дошкольного возраста [2, с. 73].</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 xml:space="preserve">Здоровье молодых людей во время обучения в вузе постоянно подвергается негативному влиянию чрезмерных нагрузок стрессов, недосыпанию. В подобных условиях студенты часто не успевают или просто не находят времени на нормальный прием пищи. Проблема неправильного питания студентов остается актуальной в наши дни. Отсутствие режима питания, его нерациональность ведут к формированию алиментарных заболеваний и проявлению их в будущем [3]. </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Цель работы: исследование организации и структуры питания студентов ВГУЭС</w:t>
      </w:r>
    </w:p>
    <w:p w:rsidR="00517711" w:rsidRDefault="00F815BE">
      <w:pPr>
        <w:spacing w:after="0"/>
        <w:ind w:firstLine="709"/>
        <w:jc w:val="both"/>
        <w:rPr>
          <w:rFonts w:ascii="Times New Roman" w:hAnsi="Times New Roman" w:cs="Times New Roman"/>
          <w:b/>
          <w:bCs/>
          <w:sz w:val="20"/>
        </w:rPr>
      </w:pPr>
      <w:r>
        <w:rPr>
          <w:rFonts w:ascii="Times New Roman" w:hAnsi="Times New Roman" w:cs="Times New Roman"/>
          <w:sz w:val="20"/>
        </w:rPr>
        <w:t>При написании использовались следующие научные методы исследования: анализ, сравнение, анкетирование.</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Исследование было проведено в марте 2018 года среди студентов ВГУЭС с помощью метода анкетирования. Репрезентативная группа сформирована методом случайной выборки. Объектом наблюдения явился 101 студент. Из них 78 девушек и 23 парня. Возраст респондентов оставил от 17 до 25 лет.</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 xml:space="preserve">При изучении режима питания студентов, выяснилось, что 4% респондентов принимают пищу 1 раз в день, 21 % респондентов - 2 раза в день, 37% - 3 раза в день, 29% - больше 3 раз в день. При этом всегда соблюдают режим питания (т.е. ежедневное 3-х разовое потребление пищи в одно и то же время) только 3 % опрошенных, 43% - соблюдают режим питания по мере возможности, 45% - не имеют возможности соблюдать режим питания, 10% опрошенных студентов не соблюдают режим питания, т.к. не считают это важным. </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Анализ еженедельного потребления продуктов, позволил выяснить, какие продукты наиболее часто присутствуют в рационе студентов: наиболее часто употребляют овощи, фрукты, крупы и бобовые, мясо. Реже всего в ежедневном питании студентов встречается рыба, газированные напитки, чипсы и сухарики (рисунок 1).</w:t>
      </w:r>
    </w:p>
    <w:p w:rsidR="00517711" w:rsidRDefault="00517711">
      <w:pPr>
        <w:jc w:val="both"/>
        <w:rPr>
          <w:rFonts w:ascii="Times New Roman" w:hAnsi="Times New Roman"/>
        </w:rPr>
      </w:pPr>
    </w:p>
    <w:p w:rsidR="00517711" w:rsidRDefault="00F815BE">
      <w:pPr>
        <w:ind w:firstLine="709"/>
        <w:jc w:val="center"/>
        <w:rPr>
          <w:rFonts w:ascii="Times New Roman" w:hAnsi="Times New Roman"/>
          <w:lang w:val="en-US"/>
        </w:rPr>
      </w:pPr>
      <w:r>
        <w:rPr>
          <w:rFonts w:ascii="Arial CYR" w:hAnsi="Arial CYR" w:cs="Arial CYR"/>
          <w:noProof/>
          <w:sz w:val="20"/>
          <w:szCs w:val="20"/>
          <w:lang w:eastAsia="ru-RU"/>
        </w:rPr>
        <w:lastRenderedPageBreak/>
        <w:drawing>
          <wp:inline distT="0" distB="0" distL="0" distR="0">
            <wp:extent cx="5351143" cy="2639693"/>
            <wp:effectExtent l="0" t="0" r="1903" b="8253"/>
            <wp:docPr id="37" name="Рисунок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9"/>
                    <pic:cNvPicPr>
                      <a:picLocks noChangeAspect="1"/>
                    </pic:cNvPicPr>
                  </pic:nvPicPr>
                  <pic:blipFill>
                    <a:blip r:embed="rId66"/>
                    <a:stretch/>
                  </pic:blipFill>
                  <pic:spPr bwMode="auto">
                    <a:xfrm>
                      <a:off x="0" y="0"/>
                      <a:ext cx="5351145" cy="2639694"/>
                    </a:xfrm>
                    <a:prstGeom prst="rect">
                      <a:avLst/>
                    </a:prstGeom>
                    <a:noFill/>
                    <a:ln>
                      <a:noFill/>
                    </a:ln>
                  </pic:spPr>
                </pic:pic>
              </a:graphicData>
            </a:graphic>
          </wp:inline>
        </w:drawing>
      </w:r>
    </w:p>
    <w:p w:rsidR="00517711" w:rsidRDefault="00F815BE">
      <w:pPr>
        <w:spacing w:after="0"/>
        <w:ind w:firstLine="709"/>
        <w:jc w:val="center"/>
        <w:rPr>
          <w:rFonts w:ascii="Times New Roman" w:hAnsi="Times New Roman" w:cs="Times New Roman"/>
          <w:sz w:val="20"/>
        </w:rPr>
      </w:pPr>
      <w:r>
        <w:rPr>
          <w:rFonts w:ascii="Times New Roman" w:hAnsi="Times New Roman" w:cs="Times New Roman"/>
          <w:sz w:val="20"/>
        </w:rPr>
        <w:t>Рис. 1. Еженедельное потребление продуктов студентами</w:t>
      </w:r>
    </w:p>
    <w:p w:rsidR="00517711" w:rsidRDefault="00517711">
      <w:pPr>
        <w:spacing w:after="0"/>
        <w:ind w:firstLine="709"/>
        <w:jc w:val="both"/>
        <w:rPr>
          <w:rFonts w:ascii="Times New Roman" w:hAnsi="Times New Roman" w:cs="Times New Roman"/>
          <w:sz w:val="20"/>
        </w:rPr>
      </w:pP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Ежедневно в рационе студентов чаще всего присутствуют такие продукты как овощи, фрукты, хлеб, крупы и бобовые. Отсутствуют чипсы и рыба.</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Картофель, овощи, кондитерские изделия потребляют, как правило, 3-4 раза в неделю. А крупы и бобовые, яйца, рыбу, соки и мясо потребляют в основном 1-2 раза в неделю.</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Большинство студентов вообще не употребляют газированные напитки, чипсы и сухарики.</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Завтракают опрошенные чаще всего дома, их процент составил 58%, остальные студенты завтракают в общежитии(27%)  и (20%) на учебе. Самой популярной едой на завтрак являются бутерброд и каша. У 7 % респондентов завтрак отсутствует вообще.</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 xml:space="preserve">Большинство респондентов (64%) обедают на учебе либо на работе, 29% обедают дома, остальные обедают в общежитии, 13% респондентов обедают очень редко. Чаще всего обед студентов составляет второе горячее блюдо.  </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 xml:space="preserve">Ужинают большинство респондентов дома (64%), остальные студенты - в общежитии (27%), на учебе либо на работе (14%). Ужин больше половины опрошенных – 63% составляет салат и второе горячее блюдо, 20 % предпочитают ужинать, 16% на ужин едят фрукты, 12%  - кисломолочные продукты, 2% - кашу. </w:t>
      </w:r>
    </w:p>
    <w:p w:rsidR="00517711" w:rsidRDefault="00F815BE">
      <w:pPr>
        <w:spacing w:after="0"/>
        <w:ind w:firstLine="709"/>
        <w:jc w:val="both"/>
        <w:rPr>
          <w:rFonts w:ascii="Times New Roman" w:hAnsi="Times New Roman" w:cs="Times New Roman"/>
          <w:bCs/>
          <w:sz w:val="20"/>
        </w:rPr>
      </w:pPr>
      <w:r>
        <w:rPr>
          <w:rFonts w:ascii="Times New Roman" w:hAnsi="Times New Roman" w:cs="Times New Roman"/>
          <w:sz w:val="20"/>
        </w:rPr>
        <w:t>В ходе исследования было установлено, что время, затраченное на прием пищи у больше половины опрошенных, а именно 53%, составляет в среднем 10-20 минут, 37% респондентов принимают пищу в течение 20-30 минут, 9% делают это за 30-40 минут.</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 xml:space="preserve">Проведенный опрос показал, что только 33% опрошенных питаются дома регулярно, 59% делают это по мере возможности, 6% питаются дома редко. </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 xml:space="preserve">Так же было выявлено, что если студенты питаются вне дома, то чаще всего это происходит в столовой по месту учебы – 62% кафе или ресторане – 43%, предприятия быстрого питания посещают только 24%, 9% вне дома питаются в общежитии. </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 xml:space="preserve">Самая главная причина (59%), которая мешает студентам питаться правильно и разнообразно - отсутствие времени, 30% видят причину в ограниченных материальных возможностях, 14% не имеют желания соблюдать правильное питание, 8% указали, что им не хватает информации по этому вопросу. </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Что касается разнообразия рациона, здесь довольно большой процент участников исследования (59%) считает, что по мере возможности питается разнообразно, 19% сочли свой рацион однообразным, 16% не задумывались над этим вопросом, и только 7% опрошенных строго следят за разнообразностью своего рациона.</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 xml:space="preserve">У значительной части опрошенных студентов, а это 74%, рацион питания имеет смешанный характер, то есть в нем одинаково присутствует как углеводы, так и белки. 15% отметили, что в их рационе больше преобладают продукты животного происхождения, то есть рацион белковый, а рацион 11% преимущественно углеводный – преобладание мучных, кондитерских изделий, овощей и круп. </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Так же в ходе исследования студентам предлагалось ответить на вопрос, придерживаются ли они какой-либо диеты, и с чем это связано. Как выяснилось, значительная часть студентов иногда (31%) или постоянно (28%) придерживается диеты, что у большинства из этого числа связано с личными убеждениями, такими как поддержание определенной массы тела, формирование спортивной фигуры, забота о собственном здоровье, соблюдение поста; 7% отметило, что вынуждено придерживаться определенной диеты по состоянию здоровья.</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По результатам проведенного анализа можно сделать следующие выводы:</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lastRenderedPageBreak/>
        <w:t>- большинство студентов соблюдают режим питания, то есть 3-4 разовое питание, которое состоит из завтрака, обеда и ужина. При этом около половины из них стараются соблюдать режим питания, у другой половины режим питания отсутствует;</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 многие опрошенные студенты питаются дома не регулярно, часто приемы пищи, особенно обед, происходят в столовых университета или по месту работы;</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 xml:space="preserve">- в большинстве случаев рацион студентов разнообразен, в нем присутствуют как белковые продукты, так и углеводные; </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 нехватка времени и ограниченные материальные возможности – главные причины того, что студенты не питаются правильно и разнообразно в полной мере;</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 половина опрошенных студентов придерживаются особенного питания или диеты, в котором присутствуют полезные продукты и практически полностью исключены вредные;</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 такие продукты как хлеб, крупы, картофель, яйца и мясо присутствуют в рационе большинства студентов и их потребление в целом соответствует рекомендуемым нормам.</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 xml:space="preserve">Что касается плохих моментов, в структуре питания студентов наблюдается недостаток потребления рыбы (больше половины студентов не употребляют либо употребляют очень редко), а это очень плохо, поскольку рыба – один из главных элементов здорового питания. Помимо высокого содержания белка, который хорошо и практически полностью усваивается организмом, в рыбе содержатся йод, омега-3 жирные кислоты, витамины и вещества, которые отсутствуют в мясе (фосфор, таурин). </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Также наблюдается частое употребление кондитерских и мучных изделий, эти продукты присутствуют в рационе подавляющего большинства респондентов. Как известно, кондитерские изделия содержат большое количество быстрых углеводов, поэтому их потребление нужно ограничивать или вообще лучше заменить на мед, фрукты и горький шоколад.</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 xml:space="preserve">Отмечено, что доля тех студентов, которые употребляю колбасные и копченые изделия, значительно больше тех, кто не употребляет эти продукты. Конечно, мясо очень ценно для питания человека, но в виде сосисок, колбас и копченого мяса несет в себе намного больше вреда, чем пользы. В подобных продуктах сдержится много жира, вредных химических добавок и красителей, и их частое потребление во много раз повышает риск возникновения сердечно-сосудистых заболеваний, ожирения, болезней ЖКТ, артериальной гипертензии. </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 xml:space="preserve">Из положительных моментов можно отметить, что в рационе большинства опрошенных присутствуют овощи и фрукты, причем частота потребления этих продуктов находится на достаточно высоких показателях, что является хорошим результатом, поскольку, с точки зрения правильного питания овощи и фрукты должны присутствовать в рационе каждый день. </w:t>
      </w:r>
    </w:p>
    <w:p w:rsidR="00517711" w:rsidRDefault="00F815BE">
      <w:pPr>
        <w:pBdr>
          <w:bottom w:val="single" w:sz="6" w:space="1" w:color="auto"/>
        </w:pBdr>
        <w:spacing w:after="0"/>
        <w:ind w:firstLine="709"/>
        <w:jc w:val="both"/>
        <w:rPr>
          <w:rFonts w:ascii="Times New Roman" w:hAnsi="Times New Roman" w:cs="Times New Roman"/>
          <w:sz w:val="20"/>
        </w:rPr>
      </w:pPr>
      <w:r>
        <w:rPr>
          <w:rFonts w:ascii="Times New Roman" w:hAnsi="Times New Roman" w:cs="Times New Roman"/>
          <w:sz w:val="20"/>
        </w:rPr>
        <w:t xml:space="preserve">Так же важно отметить, что многие студенты не употребляют чипсы и газированные напитки, что является несомненным плюсом, поскольку данные продукты очень вредны для желудка и для всего организма в целом. Конечно, есть и те студенты, в чьем рационе присутствуют эти продукты, однако их доля все-таки меньше. </w:t>
      </w:r>
    </w:p>
    <w:p w:rsidR="00517711" w:rsidRDefault="00517711">
      <w:pPr>
        <w:pBdr>
          <w:bottom w:val="single" w:sz="6" w:space="1" w:color="auto"/>
        </w:pBdr>
        <w:spacing w:after="0"/>
        <w:ind w:firstLine="709"/>
        <w:jc w:val="both"/>
        <w:rPr>
          <w:rFonts w:ascii="Times New Roman" w:hAnsi="Times New Roman" w:cs="Times New Roman"/>
          <w:sz w:val="20"/>
        </w:rPr>
      </w:pPr>
    </w:p>
    <w:p w:rsidR="00517711" w:rsidRDefault="00F815BE">
      <w:pPr>
        <w:pStyle w:val="3"/>
        <w:ind w:firstLine="709"/>
        <w:jc w:val="both"/>
        <w:rPr>
          <w:rFonts w:ascii="Times New Roman" w:hAnsi="Times New Roman" w:cs="Times New Roman"/>
          <w:b w:val="0"/>
          <w:color w:val="000000"/>
          <w:sz w:val="20"/>
        </w:rPr>
      </w:pPr>
      <w:r>
        <w:rPr>
          <w:rFonts w:ascii="Times New Roman" w:hAnsi="Times New Roman" w:cs="Times New Roman"/>
          <w:b w:val="0"/>
          <w:color w:val="000000"/>
          <w:sz w:val="20"/>
        </w:rPr>
        <w:t>1. Шеметова Е.В. Питание школьников Приморского края: современное состояние, качество и мониторинг / Е.В. Шеметова, Т.М. Бойцова // Техника и технология пищевых производств. – 2017. – №2. – С. 112-118.</w:t>
      </w:r>
    </w:p>
    <w:p w:rsidR="00517711" w:rsidRDefault="00F815BE">
      <w:pPr>
        <w:spacing w:after="0"/>
        <w:jc w:val="both"/>
        <w:rPr>
          <w:rFonts w:ascii="Times New Roman" w:hAnsi="Times New Roman" w:cs="Times New Roman"/>
          <w:sz w:val="20"/>
        </w:rPr>
      </w:pPr>
      <w:r>
        <w:rPr>
          <w:rFonts w:ascii="Times New Roman" w:hAnsi="Times New Roman" w:cs="Times New Roman"/>
          <w:color w:val="000000"/>
          <w:sz w:val="20"/>
        </w:rPr>
        <w:tab/>
        <w:t>2. Гордеева И.В. Рациональное питание и современные российские студенты: проблемы и поиск решения / И.В. Гордеева // Сборник научных трудов IX Всероссийской научно-практической конференции</w:t>
      </w:r>
      <w:r>
        <w:rPr>
          <w:rFonts w:ascii="Times New Roman" w:hAnsi="Times New Roman" w:cs="Times New Roman"/>
          <w:color w:val="000000"/>
          <w:sz w:val="20"/>
          <w:lang w:val="en-US"/>
        </w:rPr>
        <w:t> </w:t>
      </w:r>
      <w:r>
        <w:rPr>
          <w:rFonts w:ascii="Times New Roman" w:hAnsi="Times New Roman" w:cs="Times New Roman"/>
          <w:color w:val="000000"/>
          <w:sz w:val="20"/>
        </w:rPr>
        <w:t>«</w:t>
      </w:r>
      <w:hyperlink r:id="rId67" w:history="1">
        <w:r>
          <w:rPr>
            <w:rFonts w:ascii="Times New Roman" w:hAnsi="Times New Roman" w:cs="Times New Roman"/>
            <w:color w:val="000000"/>
            <w:sz w:val="20"/>
          </w:rPr>
          <w:t>Физиологические, педагогические и экологические проблемы здоровья и здорового образа жизни</w:t>
        </w:r>
      </w:hyperlink>
      <w:r>
        <w:rPr>
          <w:rFonts w:ascii="Times New Roman" w:hAnsi="Times New Roman" w:cs="Times New Roman"/>
          <w:sz w:val="20"/>
        </w:rPr>
        <w:t>». Министерство образования и науки Российской Федерации; ФГАОУ ВО «Российский государственный профессионально-педагогический университет». - 2016. - С. 73-78.</w:t>
      </w:r>
    </w:p>
    <w:p w:rsidR="00517711" w:rsidRDefault="00F815BE">
      <w:pPr>
        <w:spacing w:after="0"/>
        <w:jc w:val="both"/>
        <w:rPr>
          <w:rFonts w:ascii="Times New Roman" w:hAnsi="Times New Roman" w:cs="Times New Roman"/>
          <w:sz w:val="20"/>
        </w:rPr>
      </w:pPr>
      <w:r>
        <w:rPr>
          <w:rFonts w:ascii="Times New Roman" w:hAnsi="Times New Roman" w:cs="Times New Roman"/>
          <w:sz w:val="20"/>
        </w:rPr>
        <w:tab/>
        <w:t>3. Иванов Д.М. Проблема неправильного питания современного студента / Д.М. Иванов, В.С. Тарасова // Сборник материалов международной научно-практической конференции. - 2017. - 212с.</w:t>
      </w:r>
    </w:p>
    <w:p w:rsidR="00517711" w:rsidRDefault="00F815BE">
      <w:pPr>
        <w:rPr>
          <w:rFonts w:ascii="Times New Roman" w:hAnsi="Times New Roman"/>
          <w:sz w:val="20"/>
          <w:szCs w:val="20"/>
        </w:rPr>
      </w:pPr>
      <w:r>
        <w:rPr>
          <w:rFonts w:ascii="Times New Roman" w:hAnsi="Times New Roman"/>
          <w:sz w:val="20"/>
          <w:szCs w:val="20"/>
        </w:rPr>
        <w:br w:type="page"/>
      </w:r>
    </w:p>
    <w:p w:rsidR="00517711" w:rsidRDefault="00F815BE">
      <w:pPr>
        <w:tabs>
          <w:tab w:val="left" w:pos="993"/>
        </w:tabs>
        <w:spacing w:after="0" w:line="240" w:lineRule="auto"/>
        <w:jc w:val="center"/>
        <w:rPr>
          <w:rFonts w:ascii="Book Antiqua" w:hAnsi="Book Antiqua"/>
          <w:b/>
          <w:sz w:val="24"/>
          <w:szCs w:val="24"/>
        </w:rPr>
      </w:pPr>
      <w:r>
        <w:rPr>
          <w:rFonts w:ascii="Book Antiqua" w:hAnsi="Book Antiqua"/>
          <w:b/>
          <w:sz w:val="24"/>
          <w:szCs w:val="24"/>
        </w:rPr>
        <w:lastRenderedPageBreak/>
        <w:t>Секция. СОВРЕМЕННЫЕ ТРЕНДЫ РАЗВИТИЯ ТУРИСТСКИХ ДЕСТИНАЦИЙ</w:t>
      </w:r>
    </w:p>
    <w:p w:rsidR="00517711" w:rsidRDefault="00517711">
      <w:pPr>
        <w:tabs>
          <w:tab w:val="left" w:pos="993"/>
        </w:tabs>
        <w:spacing w:after="0" w:line="240" w:lineRule="auto"/>
        <w:jc w:val="both"/>
        <w:rPr>
          <w:rFonts w:ascii="Book Antiqua" w:hAnsi="Book Antiqua"/>
          <w:b/>
          <w:sz w:val="24"/>
          <w:szCs w:val="24"/>
        </w:rPr>
      </w:pPr>
    </w:p>
    <w:p w:rsidR="00517711" w:rsidRDefault="00F815BE">
      <w:pPr>
        <w:tabs>
          <w:tab w:val="left" w:pos="993"/>
        </w:tabs>
        <w:spacing w:after="0" w:line="360" w:lineRule="auto"/>
        <w:jc w:val="both"/>
        <w:rPr>
          <w:rFonts w:ascii="Times New Roman" w:hAnsi="Times New Roman" w:cs="Times New Roman"/>
          <w:b/>
          <w:sz w:val="20"/>
          <w:szCs w:val="28"/>
        </w:rPr>
      </w:pPr>
      <w:r>
        <w:rPr>
          <w:rFonts w:ascii="Times New Roman" w:hAnsi="Times New Roman" w:cs="Times New Roman"/>
          <w:b/>
          <w:sz w:val="20"/>
          <w:szCs w:val="28"/>
        </w:rPr>
        <w:t xml:space="preserve">Рубрика: Туризм </w:t>
      </w:r>
    </w:p>
    <w:p w:rsidR="00517711" w:rsidRDefault="00F815BE">
      <w:pPr>
        <w:tabs>
          <w:tab w:val="left" w:pos="993"/>
        </w:tabs>
        <w:spacing w:after="0" w:line="360" w:lineRule="auto"/>
        <w:jc w:val="both"/>
        <w:rPr>
          <w:rFonts w:ascii="Times New Roman" w:hAnsi="Times New Roman" w:cs="Times New Roman"/>
          <w:sz w:val="20"/>
          <w:szCs w:val="28"/>
        </w:rPr>
      </w:pPr>
      <w:r>
        <w:rPr>
          <w:rFonts w:ascii="Times New Roman" w:hAnsi="Times New Roman" w:cs="Times New Roman"/>
          <w:sz w:val="20"/>
          <w:szCs w:val="28"/>
        </w:rPr>
        <w:t>УДК</w:t>
      </w:r>
      <w:r>
        <w:rPr>
          <w:sz w:val="16"/>
        </w:rPr>
        <w:t xml:space="preserve"> </w:t>
      </w:r>
      <w:r>
        <w:rPr>
          <w:rFonts w:ascii="Times New Roman" w:hAnsi="Times New Roman" w:cs="Times New Roman"/>
          <w:sz w:val="20"/>
          <w:szCs w:val="28"/>
        </w:rPr>
        <w:t>338.48</w:t>
      </w:r>
    </w:p>
    <w:p w:rsidR="00517711" w:rsidRDefault="00F815BE">
      <w:pPr>
        <w:tabs>
          <w:tab w:val="left" w:pos="993"/>
        </w:tabs>
        <w:spacing w:after="0" w:line="360" w:lineRule="auto"/>
        <w:ind w:firstLine="709"/>
        <w:jc w:val="center"/>
        <w:rPr>
          <w:rFonts w:ascii="Book Antiqua" w:hAnsi="Book Antiqua" w:cs="Times New Roman"/>
          <w:b/>
          <w:sz w:val="28"/>
          <w:szCs w:val="24"/>
        </w:rPr>
      </w:pPr>
      <w:r>
        <w:rPr>
          <w:rFonts w:ascii="Book Antiqua" w:hAnsi="Book Antiqua" w:cs="Times New Roman"/>
          <w:b/>
          <w:sz w:val="28"/>
          <w:szCs w:val="24"/>
        </w:rPr>
        <w:t>ТЕНДЕНЦИИ РАЗВИТИЯ ГАСТРОНОМИЧЕСКОГО ТУРИЗМА В РОССИИ</w:t>
      </w:r>
    </w:p>
    <w:p w:rsidR="00517711" w:rsidRDefault="00F815BE">
      <w:pPr>
        <w:tabs>
          <w:tab w:val="left" w:pos="993"/>
        </w:tabs>
        <w:spacing w:after="0" w:line="240" w:lineRule="auto"/>
        <w:ind w:firstLine="709"/>
        <w:jc w:val="center"/>
        <w:rPr>
          <w:rFonts w:ascii="Arial" w:hAnsi="Arial" w:cs="Arial"/>
          <w:b/>
          <w:sz w:val="24"/>
          <w:szCs w:val="24"/>
        </w:rPr>
      </w:pPr>
      <w:r>
        <w:rPr>
          <w:rFonts w:ascii="Arial" w:hAnsi="Arial" w:cs="Arial"/>
          <w:b/>
          <w:sz w:val="24"/>
          <w:szCs w:val="24"/>
        </w:rPr>
        <w:t>Гордеева Дарья Сергеевна</w:t>
      </w:r>
    </w:p>
    <w:p w:rsidR="00517711" w:rsidRDefault="00F815BE">
      <w:pPr>
        <w:tabs>
          <w:tab w:val="left" w:pos="993"/>
        </w:tabs>
        <w:spacing w:after="0" w:line="240" w:lineRule="auto"/>
        <w:ind w:firstLine="709"/>
        <w:jc w:val="center"/>
        <w:rPr>
          <w:rFonts w:ascii="Arial" w:hAnsi="Arial" w:cs="Arial"/>
          <w:sz w:val="24"/>
          <w:szCs w:val="24"/>
        </w:rPr>
      </w:pPr>
      <w:r>
        <w:rPr>
          <w:rFonts w:ascii="Arial" w:hAnsi="Arial" w:cs="Arial"/>
          <w:sz w:val="24"/>
          <w:szCs w:val="24"/>
        </w:rPr>
        <w:t>БТУ-14-01</w:t>
      </w:r>
    </w:p>
    <w:p w:rsidR="00517711" w:rsidRDefault="00517711">
      <w:pPr>
        <w:tabs>
          <w:tab w:val="left" w:pos="993"/>
        </w:tabs>
        <w:spacing w:after="0" w:line="360" w:lineRule="auto"/>
        <w:ind w:firstLine="709"/>
        <w:jc w:val="center"/>
        <w:rPr>
          <w:rFonts w:ascii="Times New Roman" w:hAnsi="Times New Roman" w:cs="Times New Roman"/>
          <w:i/>
          <w:sz w:val="24"/>
          <w:szCs w:val="24"/>
        </w:rPr>
      </w:pPr>
    </w:p>
    <w:p w:rsidR="00517711" w:rsidRDefault="00F815BE">
      <w:pPr>
        <w:tabs>
          <w:tab w:val="left" w:pos="993"/>
        </w:tabs>
        <w:spacing w:after="0" w:line="240" w:lineRule="auto"/>
        <w:ind w:firstLine="709"/>
        <w:jc w:val="center"/>
        <w:rPr>
          <w:rFonts w:ascii="Times New Roman" w:hAnsi="Times New Roman" w:cs="Times New Roman"/>
          <w:i/>
          <w:sz w:val="21"/>
          <w:szCs w:val="21"/>
        </w:rPr>
      </w:pPr>
      <w:r>
        <w:rPr>
          <w:rFonts w:ascii="Times New Roman" w:hAnsi="Times New Roman" w:cs="Times New Roman"/>
          <w:i/>
          <w:sz w:val="21"/>
          <w:szCs w:val="21"/>
        </w:rPr>
        <w:t>Владивостокский государственный университет экономики и сервиса</w:t>
      </w:r>
    </w:p>
    <w:p w:rsidR="00517711" w:rsidRDefault="00F815BE">
      <w:pPr>
        <w:tabs>
          <w:tab w:val="left" w:pos="993"/>
        </w:tabs>
        <w:spacing w:after="0" w:line="240" w:lineRule="auto"/>
        <w:ind w:firstLine="709"/>
        <w:jc w:val="center"/>
        <w:rPr>
          <w:rFonts w:ascii="Times New Roman" w:hAnsi="Times New Roman" w:cs="Times New Roman"/>
          <w:i/>
          <w:sz w:val="21"/>
          <w:szCs w:val="21"/>
        </w:rPr>
      </w:pPr>
      <w:r>
        <w:rPr>
          <w:rFonts w:ascii="Times New Roman" w:hAnsi="Times New Roman" w:cs="Times New Roman"/>
          <w:i/>
          <w:sz w:val="21"/>
          <w:szCs w:val="21"/>
        </w:rPr>
        <w:t>Россия, Владивосток</w:t>
      </w:r>
    </w:p>
    <w:p w:rsidR="00517711" w:rsidRDefault="00517711">
      <w:pPr>
        <w:tabs>
          <w:tab w:val="left" w:pos="993"/>
        </w:tabs>
        <w:spacing w:after="0" w:line="360" w:lineRule="auto"/>
        <w:ind w:firstLine="709"/>
        <w:jc w:val="center"/>
        <w:rPr>
          <w:rFonts w:ascii="Times New Roman" w:hAnsi="Times New Roman" w:cs="Times New Roman"/>
          <w:sz w:val="24"/>
          <w:szCs w:val="24"/>
        </w:rPr>
      </w:pPr>
    </w:p>
    <w:p w:rsidR="00517711" w:rsidRPr="00BD6187" w:rsidRDefault="00F815BE">
      <w:pPr>
        <w:tabs>
          <w:tab w:val="left" w:pos="993"/>
        </w:tabs>
        <w:spacing w:after="0" w:line="240" w:lineRule="auto"/>
        <w:ind w:firstLine="709"/>
        <w:jc w:val="center"/>
        <w:rPr>
          <w:rFonts w:ascii="Times New Roman" w:hAnsi="Times New Roman" w:cs="Times New Roman"/>
          <w:sz w:val="20"/>
          <w:szCs w:val="24"/>
        </w:rPr>
      </w:pPr>
      <w:r>
        <w:rPr>
          <w:rFonts w:ascii="Times New Roman" w:hAnsi="Times New Roman" w:cs="Times New Roman"/>
          <w:sz w:val="20"/>
          <w:szCs w:val="24"/>
          <w:lang w:val="en-US"/>
        </w:rPr>
        <w:t>E</w:t>
      </w:r>
      <w:r w:rsidRPr="00BD6187">
        <w:rPr>
          <w:rFonts w:ascii="Times New Roman" w:hAnsi="Times New Roman" w:cs="Times New Roman"/>
          <w:sz w:val="20"/>
          <w:szCs w:val="24"/>
        </w:rPr>
        <w:t>-</w:t>
      </w:r>
      <w:r>
        <w:rPr>
          <w:rFonts w:ascii="Times New Roman" w:hAnsi="Times New Roman" w:cs="Times New Roman"/>
          <w:sz w:val="20"/>
          <w:szCs w:val="24"/>
          <w:lang w:val="en-US"/>
        </w:rPr>
        <w:t>mail</w:t>
      </w:r>
      <w:r w:rsidRPr="00BD6187">
        <w:rPr>
          <w:rFonts w:ascii="Times New Roman" w:hAnsi="Times New Roman" w:cs="Times New Roman"/>
          <w:sz w:val="20"/>
          <w:szCs w:val="24"/>
        </w:rPr>
        <w:t xml:space="preserve">: </w:t>
      </w:r>
      <w:r>
        <w:rPr>
          <w:rFonts w:ascii="Times New Roman" w:hAnsi="Times New Roman" w:cs="Times New Roman"/>
          <w:sz w:val="20"/>
          <w:szCs w:val="24"/>
          <w:lang w:val="en-US"/>
        </w:rPr>
        <w:t>das</w:t>
      </w:r>
      <w:r w:rsidRPr="00BD6187">
        <w:rPr>
          <w:rFonts w:ascii="Times New Roman" w:hAnsi="Times New Roman" w:cs="Times New Roman"/>
          <w:sz w:val="20"/>
          <w:szCs w:val="24"/>
        </w:rPr>
        <w:t>-</w:t>
      </w:r>
      <w:r>
        <w:rPr>
          <w:rFonts w:ascii="Times New Roman" w:hAnsi="Times New Roman" w:cs="Times New Roman"/>
          <w:sz w:val="20"/>
          <w:szCs w:val="24"/>
          <w:lang w:val="en-US"/>
        </w:rPr>
        <w:t>ha</w:t>
      </w:r>
      <w:r w:rsidRPr="00BD6187">
        <w:rPr>
          <w:rFonts w:ascii="Times New Roman" w:hAnsi="Times New Roman" w:cs="Times New Roman"/>
          <w:sz w:val="20"/>
          <w:szCs w:val="24"/>
        </w:rPr>
        <w:t xml:space="preserve">4@ </w:t>
      </w:r>
      <w:r>
        <w:rPr>
          <w:rFonts w:ascii="Times New Roman" w:hAnsi="Times New Roman" w:cs="Times New Roman"/>
          <w:sz w:val="20"/>
          <w:szCs w:val="24"/>
          <w:lang w:val="en-US"/>
        </w:rPr>
        <w:t>mail</w:t>
      </w:r>
      <w:r w:rsidRPr="00BD6187">
        <w:rPr>
          <w:rFonts w:ascii="Times New Roman" w:hAnsi="Times New Roman" w:cs="Times New Roman"/>
          <w:sz w:val="20"/>
          <w:szCs w:val="24"/>
        </w:rPr>
        <w:t>.</w:t>
      </w:r>
      <w:r>
        <w:rPr>
          <w:rFonts w:ascii="Times New Roman" w:hAnsi="Times New Roman" w:cs="Times New Roman"/>
          <w:sz w:val="20"/>
          <w:szCs w:val="24"/>
          <w:lang w:val="en-US"/>
        </w:rPr>
        <w:t>ru</w:t>
      </w:r>
      <w:r w:rsidRPr="00BD6187">
        <w:rPr>
          <w:rFonts w:ascii="Times New Roman" w:hAnsi="Times New Roman" w:cs="Times New Roman"/>
          <w:sz w:val="20"/>
          <w:szCs w:val="24"/>
        </w:rPr>
        <w:t xml:space="preserve">; </w:t>
      </w:r>
      <w:r>
        <w:rPr>
          <w:rFonts w:ascii="Times New Roman" w:hAnsi="Times New Roman" w:cs="Times New Roman"/>
          <w:sz w:val="20"/>
          <w:szCs w:val="24"/>
        </w:rPr>
        <w:t>тел</w:t>
      </w:r>
      <w:r w:rsidRPr="00BD6187">
        <w:rPr>
          <w:rFonts w:ascii="Times New Roman" w:hAnsi="Times New Roman" w:cs="Times New Roman"/>
          <w:sz w:val="20"/>
          <w:szCs w:val="24"/>
        </w:rPr>
        <w:t>.: +79990596013</w:t>
      </w:r>
    </w:p>
    <w:p w:rsidR="00517711" w:rsidRDefault="00F815BE">
      <w:pPr>
        <w:tabs>
          <w:tab w:val="left" w:pos="993"/>
        </w:tabs>
        <w:spacing w:after="0" w:line="240" w:lineRule="auto"/>
        <w:ind w:firstLine="709"/>
        <w:jc w:val="center"/>
        <w:rPr>
          <w:rFonts w:ascii="Times New Roman" w:hAnsi="Times New Roman" w:cs="Times New Roman"/>
          <w:sz w:val="20"/>
          <w:szCs w:val="24"/>
        </w:rPr>
      </w:pPr>
      <w:r>
        <w:rPr>
          <w:rFonts w:ascii="Times New Roman" w:hAnsi="Times New Roman" w:cs="Times New Roman"/>
          <w:sz w:val="20"/>
          <w:szCs w:val="24"/>
        </w:rPr>
        <w:t>ул. Гоголя, 41, г. Владивосток, Приморский край, Россия, 690014</w:t>
      </w:r>
    </w:p>
    <w:p w:rsidR="00517711" w:rsidRDefault="00F815BE">
      <w:pPr>
        <w:tabs>
          <w:tab w:val="left" w:pos="993"/>
          <w:tab w:val="left" w:pos="4590"/>
        </w:tabs>
        <w:spacing w:after="0" w:line="360" w:lineRule="auto"/>
        <w:ind w:firstLine="709"/>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p>
    <w:p w:rsidR="00517711" w:rsidRDefault="00F815BE">
      <w:pPr>
        <w:tabs>
          <w:tab w:val="left" w:pos="993"/>
        </w:tabs>
        <w:spacing w:after="0" w:line="240" w:lineRule="auto"/>
        <w:ind w:firstLine="709"/>
        <w:jc w:val="center"/>
        <w:rPr>
          <w:rFonts w:ascii="Arial" w:hAnsi="Arial" w:cs="Arial"/>
          <w:b/>
          <w:sz w:val="24"/>
          <w:szCs w:val="24"/>
        </w:rPr>
      </w:pPr>
      <w:r>
        <w:rPr>
          <w:rFonts w:ascii="Arial" w:hAnsi="Arial" w:cs="Arial"/>
          <w:b/>
          <w:sz w:val="24"/>
          <w:szCs w:val="24"/>
        </w:rPr>
        <w:t>Толстых И.Н.</w:t>
      </w:r>
    </w:p>
    <w:p w:rsidR="00517711" w:rsidRDefault="00F815BE">
      <w:pPr>
        <w:tabs>
          <w:tab w:val="left" w:pos="993"/>
        </w:tabs>
        <w:spacing w:after="0" w:line="240" w:lineRule="auto"/>
        <w:ind w:firstLine="709"/>
        <w:jc w:val="center"/>
        <w:rPr>
          <w:rFonts w:ascii="Arial" w:hAnsi="Arial" w:cs="Arial"/>
          <w:sz w:val="24"/>
          <w:szCs w:val="24"/>
        </w:rPr>
      </w:pPr>
      <w:r>
        <w:rPr>
          <w:rFonts w:ascii="Arial" w:hAnsi="Arial" w:cs="Arial"/>
          <w:sz w:val="24"/>
          <w:szCs w:val="24"/>
        </w:rPr>
        <w:t>научный руководитель, канд. ист. наук, доцент кафедра туризма и</w:t>
      </w:r>
    </w:p>
    <w:p w:rsidR="00517711" w:rsidRDefault="00F815BE">
      <w:pPr>
        <w:tabs>
          <w:tab w:val="left" w:pos="993"/>
        </w:tabs>
        <w:spacing w:after="0" w:line="240" w:lineRule="auto"/>
        <w:ind w:firstLine="709"/>
        <w:jc w:val="center"/>
        <w:rPr>
          <w:rFonts w:ascii="Arial" w:hAnsi="Arial" w:cs="Arial"/>
          <w:sz w:val="24"/>
          <w:szCs w:val="24"/>
        </w:rPr>
      </w:pPr>
      <w:r>
        <w:rPr>
          <w:rFonts w:ascii="Arial" w:hAnsi="Arial" w:cs="Arial"/>
          <w:sz w:val="24"/>
          <w:szCs w:val="24"/>
        </w:rPr>
        <w:t>Экологии</w:t>
      </w:r>
    </w:p>
    <w:p w:rsidR="00517711" w:rsidRDefault="00517711">
      <w:pPr>
        <w:tabs>
          <w:tab w:val="left" w:pos="993"/>
        </w:tabs>
        <w:spacing w:after="0" w:line="240" w:lineRule="auto"/>
        <w:ind w:firstLine="709"/>
        <w:jc w:val="both"/>
        <w:rPr>
          <w:rFonts w:ascii="Times New Roman" w:hAnsi="Times New Roman" w:cs="Times New Roman"/>
          <w:i/>
          <w:sz w:val="24"/>
          <w:szCs w:val="24"/>
        </w:rPr>
      </w:pPr>
    </w:p>
    <w:p w:rsidR="00517711" w:rsidRDefault="00F815BE">
      <w:pPr>
        <w:tabs>
          <w:tab w:val="left" w:pos="993"/>
        </w:tabs>
        <w:spacing w:after="0" w:line="240" w:lineRule="auto"/>
        <w:ind w:firstLine="709"/>
        <w:jc w:val="both"/>
        <w:rPr>
          <w:rFonts w:ascii="Times New Roman" w:hAnsi="Times New Roman" w:cs="Times New Roman"/>
          <w:i/>
          <w:szCs w:val="24"/>
        </w:rPr>
      </w:pPr>
      <w:r>
        <w:rPr>
          <w:rFonts w:ascii="Times New Roman" w:hAnsi="Times New Roman" w:cs="Times New Roman"/>
          <w:i/>
          <w:szCs w:val="24"/>
        </w:rPr>
        <w:t>Актуальность данной проблемы обосновывается тем, что гастрономический туризм набирает всё большую популярность среди туристов в разных странах. Основной интерес представляют национальные и религиозные традиции питания.  В статье анализируется развитие тенденций гастрономического туризма и акцентируется внимание на особенности традиций и культуры питания разных  народов</w:t>
      </w:r>
    </w:p>
    <w:p w:rsidR="00517711" w:rsidRDefault="00F815BE">
      <w:pPr>
        <w:tabs>
          <w:tab w:val="left" w:pos="993"/>
        </w:tabs>
        <w:spacing w:after="0" w:line="240" w:lineRule="auto"/>
        <w:ind w:firstLine="709"/>
        <w:jc w:val="both"/>
        <w:rPr>
          <w:rFonts w:ascii="Times New Roman" w:hAnsi="Times New Roman" w:cs="Times New Roman"/>
          <w:i/>
          <w:szCs w:val="24"/>
        </w:rPr>
      </w:pPr>
      <w:r>
        <w:rPr>
          <w:rFonts w:ascii="Times New Roman" w:hAnsi="Times New Roman" w:cs="Times New Roman"/>
          <w:b/>
          <w:i/>
          <w:szCs w:val="24"/>
        </w:rPr>
        <w:t>Ключевые слова и словосочетания:</w:t>
      </w:r>
      <w:r>
        <w:rPr>
          <w:rFonts w:ascii="Times New Roman" w:hAnsi="Times New Roman" w:cs="Times New Roman"/>
          <w:i/>
          <w:szCs w:val="24"/>
        </w:rPr>
        <w:t xml:space="preserve"> туризм, гастрономический туризм, фестиваль, культура, традиция,  дальневосточная кухня.</w:t>
      </w:r>
    </w:p>
    <w:p w:rsidR="00517711" w:rsidRDefault="00517711">
      <w:pPr>
        <w:tabs>
          <w:tab w:val="left" w:pos="993"/>
        </w:tabs>
        <w:spacing w:after="0" w:line="240" w:lineRule="auto"/>
        <w:ind w:firstLine="709"/>
        <w:jc w:val="both"/>
        <w:rPr>
          <w:rFonts w:ascii="Times New Roman" w:hAnsi="Times New Roman" w:cs="Times New Roman"/>
          <w:i/>
          <w:sz w:val="24"/>
          <w:szCs w:val="24"/>
        </w:rPr>
      </w:pPr>
    </w:p>
    <w:p w:rsidR="00517711" w:rsidRDefault="00F815BE">
      <w:pPr>
        <w:jc w:val="center"/>
        <w:rPr>
          <w:rFonts w:ascii="Book Antiqua" w:hAnsi="Book Antiqua" w:cs="Times New Roman"/>
          <w:b/>
          <w:sz w:val="26"/>
          <w:szCs w:val="26"/>
          <w:lang w:val="en-US"/>
        </w:rPr>
      </w:pPr>
      <w:r>
        <w:rPr>
          <w:rFonts w:ascii="Book Antiqua" w:hAnsi="Book Antiqua" w:cs="Times New Roman"/>
          <w:b/>
          <w:sz w:val="26"/>
          <w:szCs w:val="26"/>
          <w:lang w:val="en-US"/>
        </w:rPr>
        <w:t>TRENDS IN THE DEVELOPMENT OF GASTRONOMIC TOURISM IN RUSSIA</w:t>
      </w:r>
    </w:p>
    <w:p w:rsidR="00517711" w:rsidRDefault="00F815BE">
      <w:pPr>
        <w:tabs>
          <w:tab w:val="left" w:pos="993"/>
        </w:tabs>
        <w:spacing w:after="0" w:line="240" w:lineRule="auto"/>
        <w:ind w:firstLine="709"/>
        <w:jc w:val="both"/>
        <w:rPr>
          <w:rFonts w:ascii="Times New Roman" w:hAnsi="Times New Roman" w:cs="Times New Roman"/>
          <w:i/>
          <w:szCs w:val="24"/>
          <w:lang w:val="en-US"/>
        </w:rPr>
      </w:pPr>
      <w:r>
        <w:rPr>
          <w:rFonts w:ascii="Times New Roman" w:hAnsi="Times New Roman" w:cs="Times New Roman"/>
          <w:i/>
          <w:color w:val="000000"/>
          <w:szCs w:val="24"/>
          <w:shd w:val="clear" w:color="auto" w:fill="FFFFFF"/>
          <w:lang w:val="en-US"/>
        </w:rPr>
        <w:t>The actuality of this article lies in the growing popularity of gastronomical tourism in Russia. The most interesting part of it is the national traditions of nutrition.</w:t>
      </w:r>
      <w:r>
        <w:rPr>
          <w:rFonts w:ascii="Times New Roman" w:hAnsi="Times New Roman" w:cs="Times New Roman"/>
          <w:i/>
          <w:szCs w:val="24"/>
          <w:lang w:val="en-US"/>
        </w:rPr>
        <w:t xml:space="preserve"> </w:t>
      </w:r>
      <w:r>
        <w:rPr>
          <w:rFonts w:ascii="Times New Roman" w:hAnsi="Times New Roman" w:cs="Times New Roman"/>
          <w:i/>
          <w:color w:val="000000"/>
          <w:szCs w:val="24"/>
          <w:shd w:val="clear" w:color="auto" w:fill="FFFFFF"/>
          <w:lang w:val="en-US"/>
        </w:rPr>
        <w:t>The article analyzes the development of trends in gastronomic tourism and focuses on the features of the traditions and culture of nutrition of different peoples</w:t>
      </w:r>
      <w:r>
        <w:rPr>
          <w:rFonts w:ascii="Times New Roman" w:hAnsi="Times New Roman" w:cs="Times New Roman"/>
          <w:color w:val="000000"/>
          <w:szCs w:val="24"/>
          <w:shd w:val="clear" w:color="auto" w:fill="FFFFFF"/>
          <w:lang w:val="en-US"/>
        </w:rPr>
        <w:t>.</w:t>
      </w:r>
    </w:p>
    <w:p w:rsidR="00517711" w:rsidRDefault="00F815BE">
      <w:pPr>
        <w:tabs>
          <w:tab w:val="left" w:pos="993"/>
        </w:tabs>
        <w:spacing w:after="0" w:line="240" w:lineRule="auto"/>
        <w:ind w:firstLine="709"/>
        <w:jc w:val="both"/>
        <w:rPr>
          <w:rFonts w:ascii="Times New Roman" w:hAnsi="Times New Roman" w:cs="Times New Roman"/>
          <w:i/>
          <w:szCs w:val="24"/>
          <w:lang w:val="en-US"/>
        </w:rPr>
      </w:pPr>
      <w:r>
        <w:rPr>
          <w:rFonts w:ascii="Times New Roman" w:hAnsi="Times New Roman" w:cs="Times New Roman"/>
          <w:b/>
          <w:i/>
          <w:szCs w:val="24"/>
          <w:lang w:val="en-US"/>
        </w:rPr>
        <w:t xml:space="preserve">Keywords: </w:t>
      </w:r>
      <w:r>
        <w:rPr>
          <w:rFonts w:ascii="Times New Roman" w:hAnsi="Times New Roman" w:cs="Times New Roman"/>
          <w:i/>
          <w:szCs w:val="24"/>
          <w:lang w:val="en-US"/>
        </w:rPr>
        <w:t>tourism, gastronomic tourism, festival, culture, tradition, fair, far eastern kitchen.</w:t>
      </w:r>
    </w:p>
    <w:p w:rsidR="00517711" w:rsidRDefault="00517711">
      <w:pPr>
        <w:spacing w:after="0" w:line="240" w:lineRule="auto"/>
        <w:ind w:firstLine="709"/>
        <w:rPr>
          <w:rFonts w:ascii="Times New Roman" w:hAnsi="Times New Roman" w:cs="Times New Roman"/>
          <w:sz w:val="24"/>
          <w:szCs w:val="24"/>
          <w:lang w:val="en-US"/>
        </w:rPr>
      </w:pPr>
    </w:p>
    <w:p w:rsidR="00517711" w:rsidRDefault="00F815BE">
      <w:pPr>
        <w:spacing w:after="0" w:line="240" w:lineRule="auto"/>
        <w:ind w:firstLine="709"/>
        <w:rPr>
          <w:rFonts w:ascii="Times New Roman" w:hAnsi="Times New Roman" w:cs="Times New Roman"/>
          <w:sz w:val="20"/>
          <w:szCs w:val="20"/>
        </w:rPr>
      </w:pPr>
      <w:r>
        <w:rPr>
          <w:rFonts w:ascii="Times New Roman" w:hAnsi="Times New Roman" w:cs="Times New Roman"/>
          <w:sz w:val="20"/>
          <w:szCs w:val="20"/>
        </w:rPr>
        <w:t xml:space="preserve">Актуальность данной работы связанна с тем, что популярность гастрономического туризма растет очень стремительно, так как возникает интерес к развивающему виду туризма, проводится разработка кулинарных  направлений и подборка туров. Данный вид туризма имеет большие перспективы в разработке гастрономических маршрутов, что способствует возрождению кулинарных традиций. </w:t>
      </w:r>
    </w:p>
    <w:p w:rsidR="00517711" w:rsidRDefault="00F815BE">
      <w:pPr>
        <w:tabs>
          <w:tab w:val="left" w:pos="993"/>
        </w:tabs>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Туризм – сложный социально-культурный и экономический феномен современности, различные аспекты которого находятся в поле зрения представителей ряда наук. «Своими» вопросы теории и практики туризма считают экономисты, социологи, педагоги, психологи, историки, культурологи, юристы, искусствоведы. Это порождает множественность его определений и проявлений в окружающей действительности.</w:t>
      </w:r>
    </w:p>
    <w:p w:rsidR="00517711" w:rsidRDefault="00F815BE">
      <w:pPr>
        <w:tabs>
          <w:tab w:val="left" w:pos="993"/>
        </w:tabs>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В 2007 г. в Российской Федерации был принят Федеральный закон РФ «О внесении изменений в Федеральный закон «Об основах туристской деятельности в Российской Федерации», где был уточнен термин «туризм», который теперь трактуется как «временные выезды (путешествия) граждан Российской Федерации, иностранных граждан и лиц без гражданства (далее — лица) с постоянного места жительства в лечебно-оздоровительных, рекреационных, познавательных, физкультурно-спортивных, профессионально-деловых, религиозных и иных целях без занятия деятельностью, связанной с получением дохода от источников в стране (месте) временного пребывания» [5].</w:t>
      </w:r>
    </w:p>
    <w:p w:rsidR="00517711" w:rsidRDefault="00F815BE">
      <w:pPr>
        <w:spacing w:after="0" w:line="240" w:lineRule="auto"/>
        <w:ind w:firstLine="709"/>
        <w:jc w:val="both"/>
        <w:rPr>
          <w:rFonts w:ascii="Times New Roman" w:hAnsi="Times New Roman" w:cs="Times New Roman"/>
          <w:sz w:val="20"/>
          <w:szCs w:val="20"/>
        </w:rPr>
      </w:pPr>
      <w:r>
        <w:rPr>
          <w:rFonts w:ascii="Times New Roman" w:eastAsia="TimesNewRomanPSMT" w:hAnsi="Times New Roman" w:cs="Times New Roman"/>
          <w:sz w:val="20"/>
          <w:szCs w:val="20"/>
        </w:rPr>
        <w:lastRenderedPageBreak/>
        <w:t xml:space="preserve">В научной литературе гастрономия долгое время рассматривалась как вспомогательный элемент в туризме. Внимание исследователей туризма уделялось в основном таким аспектам  культуры дестинаций, как искусство и религия. Связь гастрономии и туризма начала изучаться сравнительно недавно и отразилась преимущественно в работах зарубежных авторов. </w:t>
      </w:r>
    </w:p>
    <w:p w:rsidR="00517711" w:rsidRDefault="00F815BE">
      <w:pPr>
        <w:tabs>
          <w:tab w:val="left" w:pos="993"/>
        </w:tabs>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Гастрономический туризм - туризм, когда туристы и посетители, которые планируют частично или полностью попробовать кухню определенной местности или осуществить мероприятия, связанные с гастрономией, посещают определенные дестинации. Другими словами, гастрономический туризм - поездка с целью ознакомления с национальной кухней страны, особенностями производства и приготовления продуктов и блюд, а также обучение и повышение уровня профессиональных знаний [3].</w:t>
      </w:r>
    </w:p>
    <w:p w:rsidR="00517711" w:rsidRDefault="00F815BE">
      <w:pPr>
        <w:tabs>
          <w:tab w:val="left" w:pos="993"/>
        </w:tabs>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К данной теме обращались немногие авторы, так как гастрономический туризм новое для России направление в области туризма и малоизученное. Особый для нас интерес представляет работа Нехаевой Н. Е., Тереховой Ю. С. «Гастрономический туризм как перспективное направление развития регионов России». Также к проблеме развития гастрономического туризма  обращались к работам Буценко Е. Д. «Гастрономический туризм как популярное направление в туризме», Драчевой, Е. Л., Христова, Т. Т. «Гастрономический туризм: современные тенденции и перспективы».</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Россия – это многонациональная страна, в которой уживаются разные культуры и религии. На данный момент в ней проживают более 190 народов и у каждого народа есть национальные кулинарные традиции, которые повлияли на развитие гастрономической культуры в целом. Во всех регионах страны можно увидеть в ресторанах или в кафе не только русскую кухню, но и татарскую, армянскую, кавказскую, грузинскую, узбекскую, украинскую, еврейскую и.т.д. Сейчас, мы можем наблюдать, что русское население все больше готовит блюда не только исконно - русские, но и других народностей. Сейчас наблюдается интерес к русской традиционной кухни, а также особый интерес к кухням народов мира.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Для привлечения турпотоков гастрономический туризм начинает развиваться стремительно, поэтому в России проводятся разные форумы и фестивали, где обсуждается перспективность развития гастрономического туризма.</w:t>
      </w:r>
    </w:p>
    <w:p w:rsidR="00517711" w:rsidRDefault="00F815BE">
      <w:pPr>
        <w:spacing w:after="0" w:line="240" w:lineRule="auto"/>
        <w:ind w:firstLine="709"/>
        <w:jc w:val="both"/>
        <w:rPr>
          <w:rFonts w:ascii="Times New Roman" w:eastAsia="TimesNewRomanPSMT" w:hAnsi="Times New Roman" w:cs="Times New Roman"/>
          <w:sz w:val="20"/>
          <w:szCs w:val="20"/>
        </w:rPr>
      </w:pPr>
      <w:r>
        <w:rPr>
          <w:rFonts w:ascii="Times New Roman" w:eastAsia="TimesNewRomanPSMT" w:hAnsi="Times New Roman" w:cs="Times New Roman"/>
          <w:sz w:val="20"/>
          <w:szCs w:val="20"/>
        </w:rPr>
        <w:t>В мире сегодня проходят сотни гастрономических фестивалей, посвященных различным продуктам, еде и напиткам. Еда и гастрономия могут сами по себе считаться креативными индустриями, которые стимулируют инновации, вовлекая потребителя в совместное творчество, укрепляя связь между глобальными и локальными культурами и создавая легенды о еде. Сегодня многие инновационные процессы, происходящие вокруг еды, гастрономии, ресторанного бизнеса и туризма, связаны с креативным туристическим опытом, гастрономическими мероприятиями, гастрономическими маршрутами и знакомством с новыми кухнями.</w:t>
      </w:r>
    </w:p>
    <w:p w:rsidR="00517711" w:rsidRDefault="00F815BE">
      <w:pPr>
        <w:spacing w:after="0" w:line="240" w:lineRule="auto"/>
        <w:ind w:firstLine="709"/>
        <w:jc w:val="both"/>
        <w:rPr>
          <w:rFonts w:ascii="Times New Roman" w:eastAsia="TimesNewRomanPSMT" w:hAnsi="Times New Roman" w:cs="Times New Roman"/>
          <w:sz w:val="20"/>
          <w:szCs w:val="20"/>
        </w:rPr>
      </w:pPr>
      <w:r>
        <w:rPr>
          <w:rFonts w:ascii="Times New Roman" w:eastAsia="TimesNewRomanPSMT" w:hAnsi="Times New Roman" w:cs="Times New Roman"/>
          <w:sz w:val="20"/>
          <w:szCs w:val="20"/>
        </w:rPr>
        <w:t>Много фестивалей сегодня посвящается рыбе. Самым известным является Праздник корюшки в Санкт- Петербурге на берегу Финского залива. Каждый год это мероприятие посещают более 80 тыс. жителей, а главное - гости города. Под Томском в течение трех дней проводится гастрономический фестиваль «Царская уха», организованный ОГАУК «Томский областной краеведческий музей им. М.Б.Шатилова» при поддержке Министерства культуры РФ.</w:t>
      </w:r>
    </w:p>
    <w:p w:rsidR="00517711" w:rsidRDefault="00F815BE">
      <w:pPr>
        <w:spacing w:after="0" w:line="240" w:lineRule="auto"/>
        <w:ind w:firstLine="709"/>
        <w:jc w:val="both"/>
        <w:rPr>
          <w:rFonts w:ascii="Times New Roman" w:eastAsia="TimesNewRomanPSMT" w:hAnsi="Times New Roman" w:cs="Times New Roman"/>
          <w:sz w:val="20"/>
          <w:szCs w:val="20"/>
        </w:rPr>
      </w:pPr>
      <w:r>
        <w:rPr>
          <w:rFonts w:ascii="Times New Roman" w:eastAsia="TimesNewRomanPSMT" w:hAnsi="Times New Roman" w:cs="Times New Roman"/>
          <w:sz w:val="20"/>
          <w:szCs w:val="20"/>
        </w:rPr>
        <w:t>Гастрономические фестивали широкого профиля постоянно проходят в разных регионах нашей страны. К ним, например, можно отнести гастрономический фестиваль «Алтайская трапеза», который прошел в апреле 2014 г. в селе Новотырышкино Смоленского района в рамках Международного туристского форума VISIT ALTAI. В Пятигорске в парке Кирова впервые прошел гастрономический фестиваль «GoodFood», который планируется сделать ежегодным. В 2014 г. в Подмосковье состоялся гастрономический фестиваль «Русский вкус», который объединил кухни прошлого, настоящего и будущего и продемонстрировал результаты смелых экспериментов, национальной кухни, продуктового модерна и съестной классики.</w:t>
      </w:r>
    </w:p>
    <w:p w:rsidR="00517711" w:rsidRDefault="00F815BE">
      <w:pPr>
        <w:spacing w:after="0" w:line="240" w:lineRule="auto"/>
        <w:ind w:firstLine="709"/>
        <w:jc w:val="both"/>
        <w:rPr>
          <w:rFonts w:ascii="Times New Roman" w:eastAsia="TimesNewRomanPSMT" w:hAnsi="Times New Roman" w:cs="Times New Roman"/>
          <w:sz w:val="20"/>
          <w:szCs w:val="20"/>
        </w:rPr>
      </w:pPr>
      <w:r>
        <w:rPr>
          <w:rFonts w:ascii="Times New Roman" w:eastAsia="TimesNewRomanPSMT" w:hAnsi="Times New Roman" w:cs="Times New Roman"/>
          <w:sz w:val="20"/>
          <w:szCs w:val="20"/>
        </w:rPr>
        <w:t>В 2</w:t>
      </w:r>
      <w:r>
        <w:rPr>
          <w:rFonts w:ascii="Times New Roman" w:hAnsi="Times New Roman" w:cs="Times New Roman"/>
          <w:sz w:val="20"/>
          <w:szCs w:val="20"/>
        </w:rPr>
        <w:t xml:space="preserve">017 году </w:t>
      </w:r>
      <w:r>
        <w:rPr>
          <w:rFonts w:ascii="Times New Roman" w:hAnsi="Times New Roman" w:cs="Times New Roman"/>
          <w:iCs/>
          <w:sz w:val="20"/>
          <w:szCs w:val="20"/>
          <w:shd w:val="clear" w:color="auto" w:fill="FFFFFF"/>
        </w:rPr>
        <w:t xml:space="preserve">Федеральным агентством по туризму в сотрудничестве с Министерством сельского хозяйства РФ, Министерством иностранных дел РФ, Федерацией рестораторов и отельеров и Российским экспортным центром был запущен федеральный проект «Гастрономическая карта России». Цель данного проекта –развитие эногастраномического и агротуризма в России, продвижение национальных блюд, а также популяризация региональных продуктов. Проект стартовал в августе 2017 в семи регионах Владимирской области, Республике Татарстан, Удмуртской республике, Самарской области, Тульской области, Ростовской области и Краснодарском крае, а осенью побывал в Республике Мордовия, Костромской и Ульяновской областях [1]. </w:t>
      </w:r>
    </w:p>
    <w:p w:rsidR="00517711" w:rsidRDefault="00F815BE">
      <w:pPr>
        <w:spacing w:after="0" w:line="240" w:lineRule="auto"/>
        <w:ind w:firstLine="709"/>
        <w:jc w:val="both"/>
        <w:rPr>
          <w:rFonts w:ascii="Times New Roman" w:hAnsi="Times New Roman" w:cs="Times New Roman"/>
          <w:sz w:val="20"/>
          <w:szCs w:val="20"/>
          <w:shd w:val="clear" w:color="auto" w:fill="FFFFFF"/>
        </w:rPr>
      </w:pPr>
      <w:r>
        <w:rPr>
          <w:rFonts w:ascii="Times New Roman" w:hAnsi="Times New Roman" w:cs="Times New Roman"/>
          <w:sz w:val="20"/>
          <w:szCs w:val="20"/>
        </w:rPr>
        <w:t xml:space="preserve">Первый из форумов, о котором хочется рассказать - это первый международный форум-фестиваль </w:t>
      </w:r>
      <w:r>
        <w:rPr>
          <w:rFonts w:ascii="Times New Roman" w:hAnsi="Times New Roman" w:cs="Times New Roman"/>
          <w:sz w:val="20"/>
          <w:szCs w:val="20"/>
          <w:shd w:val="clear" w:color="auto" w:fill="FFFFFF"/>
        </w:rPr>
        <w:t xml:space="preserve">«Гастрономические дороги Великого Шелкового пути. Путешествие за вкусом, Астрахань 2017», который прошел в Астраханской области летом 2017 года при поддержке ЮНВТО. В 1994 года Всемирная туристская организация начинает развивать   туризм на маршруте Великого Шелкового пути, который соединял Восточную Азию со Средиземноморьем. Страны-участницы программы «Шелковый путь» -Азербайджан, Армения, Греция, Иран, Испания, Казахстан, Китай, Узбекистан и Россия, а также рестораторы, отельеры, шеф-повара, производители продуктов питания и напитков, деятели науки и культуры, специалисты в области маркетинга и рекламы, журналисты российских и иностранных СМИ. Суть данного форума - это установления связей между всеми участниками, заинтересованными в развитии Программы ЮНВТО «Шелковый путь» и ее эногастрономической составляющей, а также привлечения интереса более широкой аудитории к традициям стран, а также увеличение туристского потока [2].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shd w:val="clear" w:color="auto" w:fill="FFFFFF"/>
        </w:rPr>
        <w:lastRenderedPageBreak/>
        <w:t xml:space="preserve">На Дальнем Востоке </w:t>
      </w:r>
      <w:r>
        <w:rPr>
          <w:rFonts w:ascii="Times New Roman" w:hAnsi="Times New Roman" w:cs="Times New Roman"/>
          <w:sz w:val="20"/>
          <w:szCs w:val="20"/>
        </w:rPr>
        <w:t xml:space="preserve">было принято решение создать бренд для дальневосточной кухни. Заниматься развитием бренда будет Тихоокеанский туристический союз – инициатор и оператор программы </w:t>
      </w:r>
      <w:r>
        <w:rPr>
          <w:rFonts w:ascii="Times New Roman" w:hAnsi="Times New Roman" w:cs="Times New Roman"/>
          <w:sz w:val="20"/>
          <w:szCs w:val="20"/>
          <w:lang w:val="en-US"/>
        </w:rPr>
        <w:t>Pacific</w:t>
      </w:r>
      <w:r>
        <w:rPr>
          <w:rFonts w:ascii="Times New Roman" w:hAnsi="Times New Roman" w:cs="Times New Roman"/>
          <w:sz w:val="20"/>
          <w:szCs w:val="20"/>
        </w:rPr>
        <w:t xml:space="preserve"> </w:t>
      </w:r>
      <w:r>
        <w:rPr>
          <w:rFonts w:ascii="Times New Roman" w:hAnsi="Times New Roman" w:cs="Times New Roman"/>
          <w:sz w:val="20"/>
          <w:szCs w:val="20"/>
          <w:lang w:val="en-US"/>
        </w:rPr>
        <w:t>Russia</w:t>
      </w:r>
      <w:r>
        <w:rPr>
          <w:rFonts w:ascii="Times New Roman" w:hAnsi="Times New Roman" w:cs="Times New Roman"/>
          <w:sz w:val="20"/>
          <w:szCs w:val="20"/>
        </w:rPr>
        <w:t xml:space="preserve"> </w:t>
      </w:r>
      <w:r>
        <w:rPr>
          <w:rFonts w:ascii="Times New Roman" w:hAnsi="Times New Roman" w:cs="Times New Roman"/>
          <w:sz w:val="20"/>
          <w:szCs w:val="20"/>
          <w:lang w:val="en-US"/>
        </w:rPr>
        <w:t>Food</w:t>
      </w:r>
      <w:r>
        <w:rPr>
          <w:rFonts w:ascii="Times New Roman" w:hAnsi="Times New Roman" w:cs="Times New Roman"/>
          <w:sz w:val="20"/>
          <w:szCs w:val="20"/>
        </w:rPr>
        <w:t xml:space="preserve">. Продвигать бренд дальневосточной кухни планируется через аккаунты в социальных сетях проекта «Открой Владивосток» и его официальный сайт </w:t>
      </w:r>
      <w:r>
        <w:rPr>
          <w:rFonts w:ascii="Times New Roman" w:hAnsi="Times New Roman" w:cs="Times New Roman"/>
          <w:sz w:val="20"/>
          <w:szCs w:val="20"/>
          <w:lang w:val="en-US"/>
        </w:rPr>
        <w:t>www</w:t>
      </w:r>
      <w:r>
        <w:rPr>
          <w:rFonts w:ascii="Times New Roman" w:hAnsi="Times New Roman" w:cs="Times New Roman"/>
          <w:sz w:val="20"/>
          <w:szCs w:val="20"/>
        </w:rPr>
        <w:t xml:space="preserve">. </w:t>
      </w:r>
      <w:r>
        <w:rPr>
          <w:rFonts w:ascii="Times New Roman" w:hAnsi="Times New Roman" w:cs="Times New Roman"/>
          <w:sz w:val="20"/>
          <w:szCs w:val="20"/>
          <w:lang w:val="en-US"/>
        </w:rPr>
        <w:t>vladivostok</w:t>
      </w:r>
      <w:r>
        <w:rPr>
          <w:rFonts w:ascii="Times New Roman" w:hAnsi="Times New Roman" w:cs="Times New Roman"/>
          <w:sz w:val="20"/>
          <w:szCs w:val="20"/>
        </w:rPr>
        <w:t xml:space="preserve">. </w:t>
      </w:r>
      <w:r>
        <w:rPr>
          <w:rFonts w:ascii="Times New Roman" w:hAnsi="Times New Roman" w:cs="Times New Roman"/>
          <w:sz w:val="20"/>
          <w:szCs w:val="20"/>
          <w:lang w:val="en-US"/>
        </w:rPr>
        <w:t>travel</w:t>
      </w:r>
      <w:r>
        <w:rPr>
          <w:rFonts w:ascii="Times New Roman" w:hAnsi="Times New Roman" w:cs="Times New Roman"/>
          <w:sz w:val="20"/>
          <w:szCs w:val="20"/>
        </w:rPr>
        <w:t xml:space="preserve">, а также информационные каналы ресторанов, которые уже стали участниками программы. Фестиваль «Держи краба!», инициированный рестораном </w:t>
      </w:r>
      <w:r>
        <w:rPr>
          <w:rFonts w:ascii="Times New Roman" w:hAnsi="Times New Roman" w:cs="Times New Roman"/>
          <w:sz w:val="20"/>
          <w:szCs w:val="20"/>
          <w:lang w:val="en-US"/>
        </w:rPr>
        <w:t>ZUMA</w:t>
      </w:r>
      <w:r>
        <w:rPr>
          <w:rFonts w:ascii="Times New Roman" w:hAnsi="Times New Roman" w:cs="Times New Roman"/>
          <w:sz w:val="20"/>
          <w:szCs w:val="20"/>
        </w:rPr>
        <w:t xml:space="preserve"> в прошлом году и поддержанный несколькими другими заведениями города, пройдет уже во второй раз. В этом году фестиваль выйдет за рамки Владивостока - к нему присоединятся рестораны Хабаровска и Южно-Сахалинска. Расширится и формат мероприятия: помимо дегустации морского деликатеса планируется устроить ряд тематических встреч для профессионалов и любителей дальневосточной кухни с выступлениями на гастрономические темы, дискуссиями и обменами мнений [4]. Ежегодно на разных площадках города Владивостока проводятся  различные гастрономические ярмарки, такие как «Дары Беларуси», различные фермерские ярмарки, которые способствуют развитию не только гастрономического туризма, но и агротуризма. </w:t>
      </w:r>
    </w:p>
    <w:p w:rsidR="00517711" w:rsidRDefault="00F815BE">
      <w:pPr>
        <w:pStyle w:val="af6"/>
        <w:shd w:val="clear" w:color="auto" w:fill="FFFFFF"/>
        <w:spacing w:before="0" w:beforeAutospacing="0" w:after="0" w:afterAutospacing="0"/>
        <w:ind w:firstLine="709"/>
        <w:jc w:val="both"/>
        <w:rPr>
          <w:color w:val="232323"/>
          <w:sz w:val="20"/>
          <w:szCs w:val="20"/>
        </w:rPr>
      </w:pPr>
      <w:r>
        <w:rPr>
          <w:sz w:val="20"/>
          <w:szCs w:val="20"/>
        </w:rPr>
        <w:t>В Краснодарском крае тое проходят значимые события в области гастрономического туризма, так, например летний фестиваль</w:t>
      </w:r>
      <w:r>
        <w:rPr>
          <w:color w:val="232323"/>
          <w:sz w:val="20"/>
          <w:szCs w:val="20"/>
        </w:rPr>
        <w:t xml:space="preserve"> в Абрау- Дюрсо</w:t>
      </w:r>
      <w:r>
        <w:rPr>
          <w:sz w:val="20"/>
          <w:szCs w:val="20"/>
        </w:rPr>
        <w:t xml:space="preserve"> </w:t>
      </w:r>
      <w:r>
        <w:rPr>
          <w:color w:val="232323"/>
          <w:sz w:val="20"/>
          <w:szCs w:val="20"/>
        </w:rPr>
        <w:t xml:space="preserve">«О, Да! Еда» в 2016 и 2017 посетили около 30 000 человек Тема фестиваля в Абрау- Дюрсо – это черномоская кухня, которая сочетает в себе </w:t>
      </w:r>
      <w:r>
        <w:rPr>
          <w:color w:val="282828"/>
          <w:sz w:val="20"/>
          <w:szCs w:val="20"/>
        </w:rPr>
        <w:t xml:space="preserve">болгарскую, греческую, грузинскую, армянскую, итальянскую, русскую и татарскую кулинарии. Ведущие шеф-повара Краснодарского края, а также столичных ресторанов выступят на сцене Гастрономического театра с мастер-классами. Также на фестивале прошла выставка-дегустация российских вин от ведущих производителей, кулинарные соревнования команд-любителей, ярмарка локальных продуктов и музыкальные концерты на арт-площади на берегу горного озера. </w:t>
      </w:r>
      <w:r>
        <w:rPr>
          <w:color w:val="282828"/>
          <w:sz w:val="20"/>
          <w:szCs w:val="20"/>
          <w:shd w:val="clear" w:color="auto" w:fill="FFFFFF"/>
        </w:rPr>
        <w:t xml:space="preserve">Фестиваль </w:t>
      </w:r>
      <w:r>
        <w:rPr>
          <w:color w:val="232323"/>
          <w:sz w:val="20"/>
          <w:szCs w:val="20"/>
        </w:rPr>
        <w:t xml:space="preserve">«О, Да! Еда» проходили не только в Абрау- Дюрсо, но и в Москве, Санкт- Петербурге, Есентуки, Красноярске и Екатеринбурге [6]. </w:t>
      </w:r>
    </w:p>
    <w:p w:rsidR="00517711" w:rsidRDefault="00F815BE">
      <w:pPr>
        <w:pStyle w:val="af6"/>
        <w:shd w:val="clear" w:color="auto" w:fill="FFFFFF"/>
        <w:spacing w:before="0" w:beforeAutospacing="0" w:after="0" w:afterAutospacing="0"/>
        <w:ind w:firstLine="709"/>
        <w:jc w:val="both"/>
        <w:rPr>
          <w:color w:val="232323"/>
          <w:sz w:val="20"/>
          <w:szCs w:val="20"/>
        </w:rPr>
      </w:pPr>
      <w:r>
        <w:rPr>
          <w:color w:val="232323"/>
          <w:sz w:val="20"/>
          <w:szCs w:val="20"/>
        </w:rPr>
        <w:t>Если посмотреть на календарь гастрономических фестивалей, то их будет огромное множество. Так как Россия это многонациональная и мультикультурная страна и на ее территории представлена большое разнообразие кухонь от разных народностей, которые живут на территории Российской Федерации. Фестиваль, который организует субъект РФ, не только популяризирует местную кухню, но и рекламирует регион, как туристскую дестинацию, что дает увеличение прироста турпотока.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Также в России в Южных регионах, где прорастает виноград, очень популярен энотуризм или винный туризм. Этот туризм связан с посещение виноделен и виноградников с целью дегустации и приобретение вина. </w:t>
      </w:r>
      <w:r>
        <w:rPr>
          <w:rFonts w:ascii="Times New Roman" w:hAnsi="Times New Roman" w:cs="Times New Roman"/>
          <w:color w:val="232323"/>
          <w:sz w:val="20"/>
          <w:szCs w:val="20"/>
        </w:rPr>
        <w:t xml:space="preserve"> Центр винного туризма, по праву можно считать Краснодарский край, где сосредоточено 60% всех виноградников. Самый известный завод про производству шампанского и игристого вина «Абрау - Дюрсо»,</w:t>
      </w:r>
      <w:r>
        <w:rPr>
          <w:rFonts w:ascii="Times New Roman" w:hAnsi="Times New Roman" w:cs="Times New Roman"/>
          <w:color w:val="222222"/>
          <w:sz w:val="20"/>
          <w:szCs w:val="20"/>
          <w:shd w:val="clear" w:color="auto" w:fill="FFFFFF"/>
        </w:rPr>
        <w:t xml:space="preserve"> «Запорожский», «Кавказ», «Кубань-вино», «</w:t>
      </w:r>
      <w:r>
        <w:rPr>
          <w:rFonts w:ascii="Times New Roman" w:hAnsi="Times New Roman" w:cs="Times New Roman"/>
          <w:sz w:val="20"/>
          <w:szCs w:val="20"/>
        </w:rPr>
        <w:t>Лефкадия</w:t>
      </w:r>
      <w:r>
        <w:rPr>
          <w:rFonts w:ascii="Times New Roman" w:hAnsi="Times New Roman" w:cs="Times New Roman"/>
          <w:color w:val="222222"/>
          <w:sz w:val="20"/>
          <w:szCs w:val="20"/>
          <w:shd w:val="clear" w:color="auto" w:fill="FFFFFF"/>
        </w:rPr>
        <w:t xml:space="preserve">», «Мысхако», «Русская лоза», «Фанагория». </w:t>
      </w:r>
    </w:p>
    <w:p w:rsidR="00517711" w:rsidRDefault="00F815BE">
      <w:pPr>
        <w:spacing w:after="0" w:line="240" w:lineRule="auto"/>
        <w:ind w:firstLine="709"/>
        <w:jc w:val="both"/>
        <w:rPr>
          <w:rFonts w:ascii="Times New Roman" w:hAnsi="Times New Roman" w:cs="Times New Roman"/>
          <w:color w:val="222222"/>
          <w:sz w:val="20"/>
          <w:szCs w:val="20"/>
          <w:shd w:val="clear" w:color="auto" w:fill="FFFFFF"/>
        </w:rPr>
      </w:pPr>
      <w:r>
        <w:rPr>
          <w:rFonts w:ascii="Times New Roman" w:hAnsi="Times New Roman" w:cs="Times New Roman"/>
          <w:color w:val="232323"/>
          <w:sz w:val="20"/>
          <w:szCs w:val="20"/>
        </w:rPr>
        <w:t xml:space="preserve">В Ставропольском крае сосредоточены 13% </w:t>
      </w:r>
      <w:r>
        <w:rPr>
          <w:rFonts w:ascii="Times New Roman" w:hAnsi="Times New Roman" w:cs="Times New Roman"/>
          <w:color w:val="222222"/>
          <w:sz w:val="20"/>
          <w:szCs w:val="20"/>
          <w:shd w:val="clear" w:color="auto" w:fill="FFFFFF"/>
        </w:rPr>
        <w:t xml:space="preserve">площадей виноградников, дающих около 15 % валового сбора винограда России. Крупнейшие производители: «Левокумское», «Машук», «Прасковейское», «Ставропольский». </w:t>
      </w:r>
    </w:p>
    <w:p w:rsidR="00517711" w:rsidRDefault="00F815BE">
      <w:pPr>
        <w:spacing w:after="0" w:line="240" w:lineRule="auto"/>
        <w:ind w:firstLine="709"/>
        <w:jc w:val="both"/>
        <w:rPr>
          <w:rFonts w:ascii="Times New Roman" w:hAnsi="Times New Roman" w:cs="Times New Roman"/>
          <w:sz w:val="20"/>
          <w:szCs w:val="20"/>
          <w:shd w:val="clear" w:color="auto" w:fill="FFFFFF"/>
        </w:rPr>
      </w:pPr>
      <w:r>
        <w:rPr>
          <w:rFonts w:ascii="Times New Roman" w:hAnsi="Times New Roman" w:cs="Times New Roman"/>
          <w:color w:val="222222"/>
          <w:sz w:val="20"/>
          <w:szCs w:val="20"/>
          <w:shd w:val="clear" w:color="auto" w:fill="FFFFFF"/>
        </w:rPr>
        <w:t>В советские времена Дагестан являлся одним из крупнейших регионов производства винограда и вин.  В настоящее время площади </w:t>
      </w:r>
      <w:r>
        <w:rPr>
          <w:rFonts w:ascii="Times New Roman" w:hAnsi="Times New Roman" w:cs="Times New Roman"/>
          <w:sz w:val="20"/>
          <w:szCs w:val="20"/>
        </w:rPr>
        <w:t xml:space="preserve">виноградников </w:t>
      </w:r>
      <w:r>
        <w:rPr>
          <w:rFonts w:ascii="Times New Roman" w:hAnsi="Times New Roman" w:cs="Times New Roman"/>
          <w:color w:val="222222"/>
          <w:sz w:val="20"/>
          <w:szCs w:val="20"/>
          <w:shd w:val="clear" w:color="auto" w:fill="FFFFFF"/>
        </w:rPr>
        <w:t>сильно сократились, объемы сбора ягоды не превышают 100 тыс. тонн</w:t>
      </w:r>
      <w:r>
        <w:rPr>
          <w:rFonts w:ascii="Times New Roman" w:hAnsi="Times New Roman" w:cs="Times New Roman"/>
          <w:color w:val="000000" w:themeColor="text1"/>
          <w:sz w:val="20"/>
          <w:szCs w:val="20"/>
          <w:shd w:val="clear" w:color="auto" w:fill="FFFFFF"/>
        </w:rPr>
        <w:t>. Крупнейшие производители: «</w:t>
      </w:r>
      <w:hyperlink r:id="rId68" w:tooltip="Дербентский завод игристых вин (страница отсутствует)" w:history="1">
        <w:r>
          <w:rPr>
            <w:rStyle w:val="aa"/>
            <w:rFonts w:ascii="Times New Roman" w:hAnsi="Times New Roman" w:cs="Times New Roman"/>
            <w:color w:val="000000" w:themeColor="text1"/>
            <w:sz w:val="20"/>
            <w:szCs w:val="20"/>
            <w:shd w:val="clear" w:color="auto" w:fill="FFFFFF"/>
          </w:rPr>
          <w:t>Дербентский завод игристых вин</w:t>
        </w:r>
      </w:hyperlink>
      <w:r>
        <w:rPr>
          <w:rFonts w:ascii="Times New Roman" w:hAnsi="Times New Roman" w:cs="Times New Roman"/>
          <w:color w:val="000000" w:themeColor="text1"/>
          <w:sz w:val="20"/>
          <w:szCs w:val="20"/>
          <w:shd w:val="clear" w:color="auto" w:fill="FFFFFF"/>
        </w:rPr>
        <w:t>», «</w:t>
      </w:r>
      <w:hyperlink r:id="rId69" w:tooltip="Кизлярский коньячный завод (страница отсутствует)" w:history="1">
        <w:r>
          <w:rPr>
            <w:rStyle w:val="aa"/>
            <w:rFonts w:ascii="Times New Roman" w:hAnsi="Times New Roman" w:cs="Times New Roman"/>
            <w:color w:val="000000" w:themeColor="text1"/>
            <w:sz w:val="20"/>
            <w:szCs w:val="20"/>
            <w:shd w:val="clear" w:color="auto" w:fill="FFFFFF"/>
          </w:rPr>
          <w:t>Кизлярский коньячный завод</w:t>
        </w:r>
      </w:hyperlink>
      <w:r>
        <w:rPr>
          <w:rFonts w:ascii="Times New Roman" w:hAnsi="Times New Roman" w:cs="Times New Roman"/>
          <w:color w:val="000000" w:themeColor="text1"/>
          <w:sz w:val="20"/>
          <w:szCs w:val="20"/>
          <w:shd w:val="clear" w:color="auto" w:fill="FFFFFF"/>
        </w:rPr>
        <w:t xml:space="preserve">». </w:t>
      </w:r>
      <w:r>
        <w:rPr>
          <w:rFonts w:ascii="Times New Roman" w:hAnsi="Times New Roman" w:cs="Times New Roman"/>
          <w:sz w:val="20"/>
          <w:szCs w:val="20"/>
          <w:shd w:val="clear" w:color="auto" w:fill="FFFFFF"/>
        </w:rPr>
        <w:t>Крым специализируется на крепленых и десертных винах. Крупнейшие производители</w:t>
      </w:r>
      <w:r>
        <w:rPr>
          <w:rFonts w:ascii="Times New Roman" w:hAnsi="Times New Roman" w:cs="Times New Roman"/>
          <w:color w:val="222222"/>
          <w:sz w:val="20"/>
          <w:szCs w:val="20"/>
          <w:shd w:val="clear" w:color="auto" w:fill="FFFFFF"/>
        </w:rPr>
        <w:t>: Винодельческий комбинат «Массандра» и завод марочных вин и коньяков «Коктебель».</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222222"/>
          <w:sz w:val="20"/>
          <w:szCs w:val="20"/>
          <w:shd w:val="clear" w:color="auto" w:fill="FFFFFF"/>
        </w:rPr>
        <w:t xml:space="preserve">Все большую популярность у туристов набирают экскурсии на промышленные объекты, в данном случае – это предприятия, которые изготавливают разнообразные продукты питания. На таких экскурсиях экскурсантам покажут все этапы создания продукции, расскажут историю завода или фабрики, а также предложат продигустировать продукты. Например, во Владивостоке завод «Coca Cola» предлагает школьникам и всем желающим посетить подобную экскурсию, где можно ознакомиться с историей и производством напитков данного бренда. В Москве также можно посетить кондитерскую фабрику «Рот Фронт», а в Санкт-Петербурге </w:t>
      </w:r>
      <w:r>
        <w:rPr>
          <w:rFonts w:ascii="Times New Roman" w:hAnsi="Times New Roman" w:cs="Times New Roman"/>
          <w:color w:val="000000"/>
          <w:sz w:val="20"/>
          <w:szCs w:val="20"/>
          <w:shd w:val="clear" w:color="auto" w:fill="FFFFFF"/>
        </w:rPr>
        <w:t>пивоваренный завод «Балтика».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Таким образом, гастрономический туризм в России находится на стадии формирования. Тем не менее, следует сказать, что уже на данный момент существует небольшой опыт в организации гастрономических туров на российском рынке. В России с каждым годом растет количество компаний, которые занимаются «вкусными путешествиями» на профессиональной основе и проводят для приезжающих иностранцев мероприятия по знакомству с русской кухней. Однако предложений по организации гастрономических туров, как для иностранных туристов, так и для жителей нашей страны, определенно, недостаточно.</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_________________________</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1. Гастрономическая карта Росии [Электронный ресурс]. – Режим доступа: https://www.russiatourism.ru/news/13876/</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2. Гастрономические дороги Великого Шелкового пути. Путешествие за вкусом, Астрахань 2017 [Электронный ресурс]. </w:t>
      </w:r>
      <w:r>
        <w:rPr>
          <w:rFonts w:ascii="Symbol" w:eastAsia="Symbol" w:hAnsi="Symbol" w:cs="Symbol"/>
          <w:sz w:val="20"/>
          <w:szCs w:val="20"/>
        </w:rPr>
        <w:t></w:t>
      </w:r>
      <w:r>
        <w:rPr>
          <w:rFonts w:ascii="Times New Roman" w:hAnsi="Times New Roman" w:cs="Times New Roman"/>
          <w:sz w:val="20"/>
          <w:szCs w:val="20"/>
        </w:rPr>
        <w:t xml:space="preserve"> Режим доступа: https://www.russiatourism.ru/news/13361/</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3. Драчева Е.Л. Гастрономический туризм: современные тенденции и перспективы [Электронный  ресурс] / Е.Л. Драчева, Т.Т. Христов // Интернет - журнал «Российские регионы: взгляд в будущее». – 2015. </w:t>
      </w:r>
      <w:r>
        <w:rPr>
          <w:rFonts w:ascii="Symbol" w:eastAsia="Symbol" w:hAnsi="Symbol" w:cs="Symbol"/>
          <w:sz w:val="20"/>
          <w:szCs w:val="20"/>
        </w:rPr>
        <w:t></w:t>
      </w:r>
      <w:r>
        <w:rPr>
          <w:rFonts w:ascii="Times New Roman" w:hAnsi="Times New Roman" w:cs="Times New Roman"/>
          <w:sz w:val="20"/>
          <w:szCs w:val="20"/>
        </w:rPr>
        <w:t xml:space="preserve"> № 3 </w:t>
      </w:r>
      <w:r>
        <w:rPr>
          <w:rFonts w:ascii="Symbol" w:eastAsia="Symbol" w:hAnsi="Symbol" w:cs="Symbol"/>
          <w:sz w:val="20"/>
          <w:szCs w:val="20"/>
        </w:rPr>
        <w:t></w:t>
      </w:r>
      <w:r>
        <w:rPr>
          <w:rFonts w:ascii="Times New Roman" w:hAnsi="Times New Roman" w:cs="Times New Roman"/>
          <w:sz w:val="20"/>
          <w:szCs w:val="20"/>
        </w:rPr>
        <w:t xml:space="preserve"> Режим доступа: http://www. http://futureruss.ru/journal-archive/nomer-32015.html.</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4. Менихарт О.С. У дальневосточной кухни появится собственный бренд / О.С. Менихарт // Приморская газета. – № 55. –  С.13.</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lastRenderedPageBreak/>
        <w:t xml:space="preserve">5. Федеральный закон «Об основах туристской деятельности в Российской Федерации» от 24.11.1996 N 132-ФЗ [Электронный ресурс] // СПС «КонсультантПлюс». </w:t>
      </w:r>
      <w:r>
        <w:rPr>
          <w:rFonts w:ascii="Symbol" w:eastAsia="Symbol" w:hAnsi="Symbol" w:cs="Symbol"/>
          <w:sz w:val="20"/>
          <w:szCs w:val="20"/>
        </w:rPr>
        <w:t></w:t>
      </w:r>
      <w:r>
        <w:rPr>
          <w:rFonts w:ascii="Times New Roman" w:hAnsi="Times New Roman" w:cs="Times New Roman"/>
          <w:sz w:val="20"/>
          <w:szCs w:val="20"/>
        </w:rPr>
        <w:t xml:space="preserve"> Режим доступа: http://www.consultant.ru/document/cons_doc_LAW_12462/</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6. Фестиваль «О, Да! Еда» [Электронный ресурс]. </w:t>
      </w:r>
      <w:r>
        <w:rPr>
          <w:rFonts w:ascii="Symbol" w:eastAsia="Symbol" w:hAnsi="Symbol" w:cs="Symbol"/>
          <w:sz w:val="20"/>
          <w:szCs w:val="20"/>
        </w:rPr>
        <w:t></w:t>
      </w:r>
      <w:r>
        <w:rPr>
          <w:rFonts w:ascii="Times New Roman" w:hAnsi="Times New Roman" w:cs="Times New Roman"/>
          <w:sz w:val="20"/>
          <w:szCs w:val="20"/>
        </w:rPr>
        <w:t xml:space="preserve"> Режим доступа: http://eventsinrussia.com/event/17981</w:t>
      </w:r>
    </w:p>
    <w:p w:rsidR="00517711" w:rsidRDefault="00517711">
      <w:pPr>
        <w:spacing w:after="0" w:line="240" w:lineRule="auto"/>
        <w:jc w:val="both"/>
        <w:rPr>
          <w:rFonts w:ascii="Times New Roman" w:hAnsi="Times New Roman"/>
          <w:b/>
          <w:sz w:val="20"/>
        </w:rPr>
      </w:pPr>
    </w:p>
    <w:p w:rsidR="00517711" w:rsidRDefault="00517711">
      <w:pPr>
        <w:spacing w:after="0" w:line="240" w:lineRule="auto"/>
        <w:jc w:val="both"/>
        <w:rPr>
          <w:rFonts w:ascii="Times New Roman" w:hAnsi="Times New Roman"/>
          <w:b/>
          <w:sz w:val="20"/>
        </w:rPr>
      </w:pPr>
    </w:p>
    <w:p w:rsidR="00517711" w:rsidRDefault="00F815BE">
      <w:pPr>
        <w:spacing w:after="0" w:line="240" w:lineRule="auto"/>
        <w:jc w:val="both"/>
        <w:rPr>
          <w:rFonts w:ascii="Times New Roman" w:hAnsi="Times New Roman"/>
          <w:b/>
          <w:sz w:val="20"/>
        </w:rPr>
      </w:pPr>
      <w:r>
        <w:rPr>
          <w:rFonts w:ascii="Times New Roman" w:hAnsi="Times New Roman"/>
          <w:b/>
          <w:sz w:val="20"/>
        </w:rPr>
        <w:t>Рубрика: Современные тренды развития туристских дестинаций</w:t>
      </w:r>
    </w:p>
    <w:p w:rsidR="00517711" w:rsidRDefault="00517711">
      <w:pPr>
        <w:spacing w:after="0" w:line="240" w:lineRule="auto"/>
        <w:jc w:val="both"/>
        <w:rPr>
          <w:rFonts w:ascii="Times New Roman" w:hAnsi="Times New Roman"/>
          <w:sz w:val="20"/>
        </w:rPr>
      </w:pPr>
    </w:p>
    <w:p w:rsidR="00517711" w:rsidRDefault="00F815BE">
      <w:pPr>
        <w:spacing w:after="0" w:line="240" w:lineRule="auto"/>
        <w:jc w:val="both"/>
        <w:rPr>
          <w:rFonts w:ascii="Times New Roman" w:hAnsi="Times New Roman"/>
          <w:sz w:val="20"/>
        </w:rPr>
      </w:pPr>
      <w:r>
        <w:rPr>
          <w:rFonts w:ascii="Times New Roman" w:hAnsi="Times New Roman"/>
          <w:sz w:val="20"/>
        </w:rPr>
        <w:t>УДК 338.48</w:t>
      </w:r>
    </w:p>
    <w:p w:rsidR="00517711" w:rsidRDefault="00517711">
      <w:pPr>
        <w:spacing w:after="0" w:line="240" w:lineRule="auto"/>
        <w:ind w:firstLine="284"/>
        <w:jc w:val="center"/>
        <w:rPr>
          <w:rFonts w:ascii="Times New Roman" w:hAnsi="Times New Roman"/>
          <w:b/>
          <w:color w:val="000000"/>
          <w:sz w:val="24"/>
          <w:shd w:val="clear" w:color="auto" w:fill="FFFFFF"/>
        </w:rPr>
      </w:pPr>
    </w:p>
    <w:p w:rsidR="00517711" w:rsidRDefault="00F815BE">
      <w:pPr>
        <w:spacing w:after="0" w:line="240" w:lineRule="auto"/>
        <w:ind w:firstLine="284"/>
        <w:jc w:val="center"/>
        <w:rPr>
          <w:rFonts w:ascii="Book Antiqua" w:hAnsi="Book Antiqua"/>
          <w:b/>
          <w:color w:val="000000"/>
          <w:sz w:val="26"/>
          <w:szCs w:val="26"/>
          <w:shd w:val="clear" w:color="auto" w:fill="FFFFFF"/>
        </w:rPr>
      </w:pPr>
      <w:r>
        <w:rPr>
          <w:rFonts w:ascii="Book Antiqua" w:hAnsi="Book Antiqua"/>
          <w:b/>
          <w:color w:val="000000"/>
          <w:sz w:val="26"/>
          <w:szCs w:val="26"/>
          <w:shd w:val="clear" w:color="auto" w:fill="FFFFFF"/>
        </w:rPr>
        <w:t>ТЕНДЕНЦИИ РАЗВИТИЯ РЫНКА ЭКСКУРСИОННЫХ УСЛУГ ГОРОДА ВЛАДИВОСТОКА</w:t>
      </w:r>
    </w:p>
    <w:p w:rsidR="00517711" w:rsidRDefault="00517711">
      <w:pPr>
        <w:spacing w:after="0" w:line="240" w:lineRule="auto"/>
        <w:ind w:firstLine="284"/>
        <w:jc w:val="center"/>
        <w:rPr>
          <w:rFonts w:ascii="Times New Roman" w:hAnsi="Times New Roman"/>
          <w:b/>
          <w:color w:val="000000"/>
          <w:sz w:val="24"/>
          <w:shd w:val="clear" w:color="auto" w:fill="FFFFFF"/>
        </w:rPr>
      </w:pPr>
    </w:p>
    <w:p w:rsidR="00517711" w:rsidRDefault="00F815BE">
      <w:pPr>
        <w:spacing w:after="0" w:line="240" w:lineRule="auto"/>
        <w:ind w:firstLine="284"/>
        <w:jc w:val="center"/>
        <w:rPr>
          <w:rFonts w:ascii="Arial" w:hAnsi="Arial" w:cs="Arial"/>
          <w:b/>
          <w:color w:val="000000"/>
          <w:sz w:val="24"/>
          <w:shd w:val="clear" w:color="auto" w:fill="FFFFFF"/>
        </w:rPr>
      </w:pPr>
      <w:r>
        <w:rPr>
          <w:rFonts w:ascii="Arial" w:hAnsi="Arial" w:cs="Arial"/>
          <w:b/>
          <w:color w:val="000000"/>
          <w:sz w:val="24"/>
          <w:shd w:val="clear" w:color="auto" w:fill="FFFFFF"/>
        </w:rPr>
        <w:t xml:space="preserve">Гринько Олеся Андреевна, </w:t>
      </w:r>
    </w:p>
    <w:p w:rsidR="00517711" w:rsidRDefault="00F815BE">
      <w:pPr>
        <w:spacing w:after="0" w:line="240" w:lineRule="auto"/>
        <w:ind w:firstLine="284"/>
        <w:jc w:val="center"/>
        <w:rPr>
          <w:rFonts w:ascii="Arial" w:hAnsi="Arial" w:cs="Arial"/>
          <w:color w:val="000000"/>
          <w:sz w:val="24"/>
          <w:shd w:val="clear" w:color="auto" w:fill="FFFFFF"/>
        </w:rPr>
      </w:pPr>
      <w:r>
        <w:rPr>
          <w:rFonts w:ascii="Arial" w:hAnsi="Arial" w:cs="Arial"/>
          <w:color w:val="000000"/>
          <w:sz w:val="24"/>
          <w:shd w:val="clear" w:color="auto" w:fill="FFFFFF"/>
        </w:rPr>
        <w:t>бакалавр</w:t>
      </w:r>
    </w:p>
    <w:p w:rsidR="00517711" w:rsidRDefault="00517711">
      <w:pPr>
        <w:spacing w:after="0" w:line="240" w:lineRule="auto"/>
        <w:ind w:firstLine="284"/>
        <w:jc w:val="center"/>
        <w:rPr>
          <w:rFonts w:ascii="Times New Roman" w:hAnsi="Times New Roman"/>
          <w:i/>
          <w:color w:val="000000"/>
          <w:sz w:val="24"/>
          <w:shd w:val="clear" w:color="auto" w:fill="FFFFFF"/>
        </w:rPr>
      </w:pPr>
    </w:p>
    <w:p w:rsidR="00517711" w:rsidRDefault="00F815BE">
      <w:pPr>
        <w:spacing w:after="0" w:line="240" w:lineRule="auto"/>
        <w:ind w:firstLine="284"/>
        <w:jc w:val="center"/>
        <w:rPr>
          <w:rFonts w:ascii="Times New Roman" w:hAnsi="Times New Roman"/>
          <w:i/>
          <w:color w:val="000000"/>
          <w:shd w:val="clear" w:color="auto" w:fill="FFFFFF"/>
        </w:rPr>
      </w:pPr>
      <w:r>
        <w:rPr>
          <w:rFonts w:ascii="Times New Roman" w:hAnsi="Times New Roman"/>
          <w:i/>
          <w:color w:val="000000"/>
          <w:shd w:val="clear" w:color="auto" w:fill="FFFFFF"/>
        </w:rPr>
        <w:t>Владивостокский государственный университет экономики и сервиса</w:t>
      </w:r>
    </w:p>
    <w:p w:rsidR="00517711" w:rsidRDefault="00F815BE">
      <w:pPr>
        <w:spacing w:after="0" w:line="240" w:lineRule="auto"/>
        <w:ind w:firstLine="284"/>
        <w:jc w:val="center"/>
        <w:rPr>
          <w:rFonts w:ascii="Times New Roman" w:hAnsi="Times New Roman"/>
          <w:i/>
          <w:color w:val="000000"/>
          <w:sz w:val="24"/>
          <w:shd w:val="clear" w:color="auto" w:fill="FFFFFF"/>
        </w:rPr>
      </w:pPr>
      <w:r>
        <w:rPr>
          <w:rFonts w:ascii="Times New Roman" w:hAnsi="Times New Roman"/>
          <w:i/>
          <w:color w:val="000000"/>
          <w:shd w:val="clear" w:color="auto" w:fill="FFFFFF"/>
        </w:rPr>
        <w:t>Россия, Владивосток</w:t>
      </w:r>
    </w:p>
    <w:p w:rsidR="00517711" w:rsidRDefault="00517711">
      <w:pPr>
        <w:spacing w:after="0" w:line="240" w:lineRule="auto"/>
        <w:ind w:firstLine="284"/>
        <w:jc w:val="center"/>
        <w:rPr>
          <w:rFonts w:ascii="Times New Roman" w:hAnsi="Times New Roman"/>
          <w:color w:val="000000"/>
          <w:sz w:val="24"/>
          <w:shd w:val="clear" w:color="auto" w:fill="FFFFFF"/>
        </w:rPr>
      </w:pPr>
    </w:p>
    <w:p w:rsidR="00517711" w:rsidRPr="00BD6187" w:rsidRDefault="00F815BE">
      <w:pPr>
        <w:spacing w:after="0" w:line="240" w:lineRule="auto"/>
        <w:ind w:firstLine="284"/>
        <w:jc w:val="center"/>
        <w:rPr>
          <w:rFonts w:ascii="Times New Roman" w:hAnsi="Times New Roman"/>
          <w:color w:val="000000"/>
          <w:sz w:val="20"/>
          <w:shd w:val="clear" w:color="auto" w:fill="FFFFFF"/>
        </w:rPr>
      </w:pPr>
      <w:r>
        <w:rPr>
          <w:rFonts w:ascii="Times New Roman" w:hAnsi="Times New Roman"/>
          <w:color w:val="000000" w:themeColor="text1"/>
          <w:sz w:val="20"/>
          <w:shd w:val="clear" w:color="auto" w:fill="FFFFFF"/>
          <w:lang w:val="en-US"/>
        </w:rPr>
        <w:t>E</w:t>
      </w:r>
      <w:r w:rsidRPr="00BD6187">
        <w:rPr>
          <w:rFonts w:ascii="Times New Roman" w:hAnsi="Times New Roman"/>
          <w:color w:val="000000" w:themeColor="text1"/>
          <w:sz w:val="20"/>
          <w:shd w:val="clear" w:color="auto" w:fill="FFFFFF"/>
        </w:rPr>
        <w:t>-</w:t>
      </w:r>
      <w:r>
        <w:rPr>
          <w:rFonts w:ascii="Times New Roman" w:hAnsi="Times New Roman"/>
          <w:color w:val="000000" w:themeColor="text1"/>
          <w:sz w:val="20"/>
          <w:shd w:val="clear" w:color="auto" w:fill="FFFFFF"/>
          <w:lang w:val="en-US"/>
        </w:rPr>
        <w:t>mail</w:t>
      </w:r>
      <w:r w:rsidRPr="00BD6187">
        <w:rPr>
          <w:rFonts w:ascii="Times New Roman" w:hAnsi="Times New Roman"/>
          <w:color w:val="000000" w:themeColor="text1"/>
          <w:sz w:val="20"/>
          <w:shd w:val="clear" w:color="auto" w:fill="FFFFFF"/>
        </w:rPr>
        <w:t xml:space="preserve">: </w:t>
      </w:r>
      <w:r>
        <w:rPr>
          <w:rFonts w:ascii="Times New Roman" w:hAnsi="Times New Roman"/>
          <w:color w:val="000000" w:themeColor="text1"/>
          <w:sz w:val="20"/>
          <w:u w:val="single"/>
          <w:shd w:val="clear" w:color="auto" w:fill="FFFFFF"/>
          <w:lang w:val="en-US"/>
        </w:rPr>
        <w:t>Grinko</w:t>
      </w:r>
      <w:r w:rsidRPr="00BD6187">
        <w:rPr>
          <w:rFonts w:ascii="Times New Roman" w:hAnsi="Times New Roman"/>
          <w:color w:val="000000" w:themeColor="text1"/>
          <w:sz w:val="20"/>
          <w:u w:val="single"/>
          <w:shd w:val="clear" w:color="auto" w:fill="FFFFFF"/>
        </w:rPr>
        <w:t>_96@</w:t>
      </w:r>
      <w:r>
        <w:rPr>
          <w:rFonts w:ascii="Times New Roman" w:hAnsi="Times New Roman"/>
          <w:color w:val="000000" w:themeColor="text1"/>
          <w:sz w:val="20"/>
          <w:u w:val="single"/>
          <w:shd w:val="clear" w:color="auto" w:fill="FFFFFF"/>
          <w:lang w:val="en-US"/>
        </w:rPr>
        <w:t>mail</w:t>
      </w:r>
      <w:r w:rsidRPr="00BD6187">
        <w:rPr>
          <w:rFonts w:ascii="Times New Roman" w:hAnsi="Times New Roman"/>
          <w:color w:val="000000" w:themeColor="text1"/>
          <w:sz w:val="20"/>
          <w:u w:val="single"/>
          <w:shd w:val="clear" w:color="auto" w:fill="FFFFFF"/>
        </w:rPr>
        <w:t>.</w:t>
      </w:r>
      <w:r>
        <w:rPr>
          <w:rFonts w:ascii="Times New Roman" w:hAnsi="Times New Roman"/>
          <w:color w:val="000000" w:themeColor="text1"/>
          <w:sz w:val="20"/>
          <w:u w:val="single"/>
          <w:shd w:val="clear" w:color="auto" w:fill="FFFFFF"/>
          <w:lang w:val="en-US"/>
        </w:rPr>
        <w:t>ru</w:t>
      </w:r>
      <w:r w:rsidRPr="00BD6187">
        <w:rPr>
          <w:rFonts w:ascii="Times New Roman" w:hAnsi="Times New Roman"/>
          <w:color w:val="000000" w:themeColor="text1"/>
          <w:sz w:val="20"/>
          <w:u w:val="single"/>
          <w:shd w:val="clear" w:color="auto" w:fill="FFFFFF"/>
        </w:rPr>
        <w:t>;</w:t>
      </w:r>
      <w:r>
        <w:rPr>
          <w:rFonts w:ascii="Times New Roman" w:hAnsi="Times New Roman"/>
          <w:color w:val="000000" w:themeColor="text1"/>
          <w:sz w:val="20"/>
          <w:shd w:val="clear" w:color="auto" w:fill="FFFFFF"/>
        </w:rPr>
        <w:t>тел</w:t>
      </w:r>
      <w:r w:rsidRPr="00BD6187">
        <w:rPr>
          <w:rFonts w:ascii="Times New Roman" w:hAnsi="Times New Roman"/>
          <w:color w:val="000000" w:themeColor="text1"/>
          <w:sz w:val="20"/>
          <w:shd w:val="clear" w:color="auto" w:fill="FFFFFF"/>
        </w:rPr>
        <w:t>: 89996159783</w:t>
      </w:r>
    </w:p>
    <w:p w:rsidR="00517711" w:rsidRDefault="00F815BE">
      <w:pPr>
        <w:spacing w:after="0" w:line="240" w:lineRule="auto"/>
        <w:ind w:firstLine="284"/>
        <w:jc w:val="center"/>
        <w:rPr>
          <w:rFonts w:ascii="Times New Roman" w:hAnsi="Times New Roman"/>
          <w:color w:val="000000"/>
          <w:sz w:val="20"/>
          <w:shd w:val="clear" w:color="auto" w:fill="FFFFFF"/>
        </w:rPr>
      </w:pPr>
      <w:r>
        <w:rPr>
          <w:rFonts w:ascii="Times New Roman" w:hAnsi="Times New Roman"/>
          <w:color w:val="000000" w:themeColor="text1"/>
          <w:sz w:val="20"/>
          <w:shd w:val="clear" w:color="auto" w:fill="FFFFFF"/>
        </w:rPr>
        <w:t>ул. Гоголя, 41, г. Владивосток, Приморский край, Россия, 690014</w:t>
      </w:r>
    </w:p>
    <w:p w:rsidR="00517711" w:rsidRDefault="00F815BE">
      <w:pPr>
        <w:tabs>
          <w:tab w:val="left" w:pos="4485"/>
        </w:tabs>
        <w:spacing w:after="0" w:line="240" w:lineRule="auto"/>
        <w:ind w:firstLine="284"/>
        <w:rPr>
          <w:rFonts w:ascii="Times New Roman" w:hAnsi="Times New Roman"/>
          <w:b/>
          <w:color w:val="000000"/>
          <w:sz w:val="24"/>
          <w:shd w:val="clear" w:color="auto" w:fill="FFFFFF"/>
        </w:rPr>
      </w:pPr>
      <w:r>
        <w:rPr>
          <w:rFonts w:ascii="Times New Roman" w:hAnsi="Times New Roman"/>
          <w:b/>
          <w:color w:val="000000"/>
          <w:sz w:val="24"/>
          <w:shd w:val="clear" w:color="auto" w:fill="FFFFFF"/>
        </w:rPr>
        <w:tab/>
      </w:r>
    </w:p>
    <w:p w:rsidR="00517711" w:rsidRDefault="00F815BE">
      <w:pPr>
        <w:spacing w:after="0" w:line="240" w:lineRule="auto"/>
        <w:ind w:firstLine="284"/>
        <w:jc w:val="center"/>
        <w:rPr>
          <w:rFonts w:ascii="Arial" w:hAnsi="Arial" w:cs="Arial"/>
          <w:b/>
          <w:color w:val="000000"/>
          <w:sz w:val="24"/>
          <w:shd w:val="clear" w:color="auto" w:fill="FFFFFF"/>
        </w:rPr>
      </w:pPr>
      <w:r>
        <w:rPr>
          <w:rFonts w:ascii="Arial" w:hAnsi="Arial" w:cs="Arial"/>
          <w:b/>
          <w:color w:val="000000"/>
          <w:sz w:val="24"/>
          <w:shd w:val="clear" w:color="auto" w:fill="FFFFFF"/>
        </w:rPr>
        <w:t>Михина Илона Сергеевна,</w:t>
      </w:r>
    </w:p>
    <w:p w:rsidR="00517711" w:rsidRDefault="00F815BE">
      <w:pPr>
        <w:spacing w:after="0" w:line="240" w:lineRule="auto"/>
        <w:ind w:firstLine="284"/>
        <w:jc w:val="center"/>
        <w:rPr>
          <w:rFonts w:ascii="Arial" w:hAnsi="Arial" w:cs="Arial"/>
          <w:color w:val="000000"/>
          <w:sz w:val="24"/>
          <w:shd w:val="clear" w:color="auto" w:fill="FFFFFF"/>
        </w:rPr>
      </w:pPr>
      <w:r>
        <w:rPr>
          <w:rFonts w:ascii="Arial" w:hAnsi="Arial" w:cs="Arial"/>
          <w:color w:val="000000"/>
          <w:sz w:val="24"/>
          <w:shd w:val="clear" w:color="auto" w:fill="FFFFFF"/>
        </w:rPr>
        <w:t>кандидат экономических наук, доцент</w:t>
      </w:r>
    </w:p>
    <w:p w:rsidR="00517711" w:rsidRDefault="00517711">
      <w:pPr>
        <w:spacing w:after="0" w:line="240" w:lineRule="auto"/>
        <w:ind w:firstLine="284"/>
        <w:jc w:val="center"/>
        <w:rPr>
          <w:rFonts w:ascii="Times New Roman" w:hAnsi="Times New Roman"/>
          <w:i/>
          <w:color w:val="000000"/>
          <w:sz w:val="24"/>
          <w:shd w:val="clear" w:color="auto" w:fill="FFFFFF"/>
        </w:rPr>
      </w:pPr>
    </w:p>
    <w:p w:rsidR="00517711" w:rsidRDefault="00F815BE">
      <w:pPr>
        <w:spacing w:after="0" w:line="240" w:lineRule="auto"/>
        <w:ind w:firstLine="284"/>
        <w:jc w:val="center"/>
        <w:rPr>
          <w:rFonts w:ascii="Times New Roman" w:hAnsi="Times New Roman"/>
          <w:i/>
          <w:color w:val="000000"/>
          <w:shd w:val="clear" w:color="auto" w:fill="FFFFFF"/>
        </w:rPr>
      </w:pPr>
      <w:r>
        <w:rPr>
          <w:rFonts w:ascii="Times New Roman" w:hAnsi="Times New Roman"/>
          <w:i/>
          <w:color w:val="000000"/>
          <w:shd w:val="clear" w:color="auto" w:fill="FFFFFF"/>
        </w:rPr>
        <w:t>Владивостокский государственный университет экономики и сервиса</w:t>
      </w:r>
    </w:p>
    <w:p w:rsidR="00517711" w:rsidRDefault="00F815BE">
      <w:pPr>
        <w:spacing w:after="0" w:line="240" w:lineRule="auto"/>
        <w:ind w:firstLine="284"/>
        <w:jc w:val="center"/>
        <w:rPr>
          <w:rFonts w:ascii="Times New Roman" w:hAnsi="Times New Roman"/>
          <w:i/>
          <w:color w:val="000000"/>
          <w:sz w:val="24"/>
          <w:shd w:val="clear" w:color="auto" w:fill="FFFFFF"/>
        </w:rPr>
      </w:pPr>
      <w:r>
        <w:rPr>
          <w:rFonts w:ascii="Times New Roman" w:hAnsi="Times New Roman"/>
          <w:i/>
          <w:color w:val="000000"/>
          <w:shd w:val="clear" w:color="auto" w:fill="FFFFFF"/>
        </w:rPr>
        <w:t>Россия, Владивосток</w:t>
      </w:r>
    </w:p>
    <w:p w:rsidR="00517711" w:rsidRDefault="00517711">
      <w:pPr>
        <w:spacing w:after="0" w:line="240" w:lineRule="auto"/>
        <w:ind w:firstLine="284"/>
        <w:jc w:val="center"/>
        <w:rPr>
          <w:rFonts w:ascii="Times New Roman" w:hAnsi="Times New Roman"/>
          <w:color w:val="000000"/>
          <w:sz w:val="24"/>
          <w:shd w:val="clear" w:color="auto" w:fill="FFFFFF"/>
        </w:rPr>
      </w:pPr>
    </w:p>
    <w:p w:rsidR="00517711" w:rsidRPr="00BD6187" w:rsidRDefault="00F815BE">
      <w:pPr>
        <w:spacing w:after="0" w:line="240" w:lineRule="auto"/>
        <w:ind w:firstLine="284"/>
        <w:jc w:val="center"/>
        <w:rPr>
          <w:rFonts w:ascii="Times New Roman" w:hAnsi="Times New Roman"/>
          <w:color w:val="000000"/>
          <w:sz w:val="20"/>
          <w:shd w:val="clear" w:color="auto" w:fill="FFFFFF"/>
        </w:rPr>
      </w:pPr>
      <w:r>
        <w:rPr>
          <w:rFonts w:ascii="Times New Roman" w:hAnsi="Times New Roman"/>
          <w:color w:val="000000"/>
          <w:sz w:val="20"/>
          <w:shd w:val="clear" w:color="auto" w:fill="FFFFFF"/>
          <w:lang w:val="en-US"/>
        </w:rPr>
        <w:t>E</w:t>
      </w:r>
      <w:r w:rsidRPr="00BD6187">
        <w:rPr>
          <w:rFonts w:ascii="Times New Roman" w:hAnsi="Times New Roman"/>
          <w:color w:val="000000"/>
          <w:sz w:val="20"/>
          <w:shd w:val="clear" w:color="auto" w:fill="FFFFFF"/>
        </w:rPr>
        <w:t>-</w:t>
      </w:r>
      <w:r>
        <w:rPr>
          <w:rFonts w:ascii="Times New Roman" w:hAnsi="Times New Roman"/>
          <w:color w:val="000000"/>
          <w:sz w:val="20"/>
          <w:shd w:val="clear" w:color="auto" w:fill="FFFFFF"/>
          <w:lang w:val="en-US"/>
        </w:rPr>
        <w:t>mail</w:t>
      </w:r>
      <w:r w:rsidRPr="00BD6187">
        <w:rPr>
          <w:rFonts w:ascii="Times New Roman" w:hAnsi="Times New Roman"/>
          <w:color w:val="000000" w:themeColor="text1"/>
          <w:sz w:val="20"/>
          <w:shd w:val="clear" w:color="auto" w:fill="FFFFFF"/>
        </w:rPr>
        <w:t xml:space="preserve">: </w:t>
      </w:r>
      <w:r>
        <w:rPr>
          <w:rFonts w:ascii="Times New Roman" w:hAnsi="Times New Roman"/>
          <w:color w:val="000000" w:themeColor="text1"/>
          <w:sz w:val="20"/>
          <w:u w:val="single"/>
          <w:shd w:val="clear" w:color="auto" w:fill="FFFFFF"/>
          <w:lang w:val="en-US"/>
        </w:rPr>
        <w:t>Vgues</w:t>
      </w:r>
      <w:r w:rsidRPr="00BD6187">
        <w:rPr>
          <w:rFonts w:ascii="Times New Roman" w:hAnsi="Times New Roman"/>
          <w:color w:val="000000" w:themeColor="text1"/>
          <w:sz w:val="20"/>
          <w:u w:val="single"/>
          <w:shd w:val="clear" w:color="auto" w:fill="FFFFFF"/>
        </w:rPr>
        <w:t>.</w:t>
      </w:r>
      <w:r>
        <w:rPr>
          <w:rFonts w:ascii="Times New Roman" w:hAnsi="Times New Roman"/>
          <w:color w:val="000000" w:themeColor="text1"/>
          <w:sz w:val="20"/>
          <w:u w:val="single"/>
          <w:shd w:val="clear" w:color="auto" w:fill="FFFFFF"/>
          <w:lang w:val="en-US"/>
        </w:rPr>
        <w:t>travel</w:t>
      </w:r>
      <w:r w:rsidRPr="00BD6187">
        <w:rPr>
          <w:rFonts w:ascii="Times New Roman" w:hAnsi="Times New Roman"/>
          <w:color w:val="000000" w:themeColor="text1"/>
          <w:sz w:val="20"/>
          <w:u w:val="single"/>
          <w:shd w:val="clear" w:color="auto" w:fill="FFFFFF"/>
        </w:rPr>
        <w:t>@</w:t>
      </w:r>
      <w:r>
        <w:rPr>
          <w:rFonts w:ascii="Times New Roman" w:hAnsi="Times New Roman"/>
          <w:color w:val="000000" w:themeColor="text1"/>
          <w:sz w:val="20"/>
          <w:u w:val="single"/>
          <w:shd w:val="clear" w:color="auto" w:fill="FFFFFF"/>
          <w:lang w:val="en-US"/>
        </w:rPr>
        <w:t>mail</w:t>
      </w:r>
      <w:r w:rsidRPr="00BD6187">
        <w:rPr>
          <w:rFonts w:ascii="Times New Roman" w:hAnsi="Times New Roman"/>
          <w:color w:val="000000" w:themeColor="text1"/>
          <w:sz w:val="20"/>
          <w:u w:val="single"/>
          <w:shd w:val="clear" w:color="auto" w:fill="FFFFFF"/>
        </w:rPr>
        <w:t>.</w:t>
      </w:r>
      <w:r>
        <w:rPr>
          <w:rFonts w:ascii="Times New Roman" w:hAnsi="Times New Roman"/>
          <w:color w:val="000000" w:themeColor="text1"/>
          <w:sz w:val="20"/>
          <w:u w:val="single"/>
          <w:shd w:val="clear" w:color="auto" w:fill="FFFFFF"/>
          <w:lang w:val="en-US"/>
        </w:rPr>
        <w:t>ru</w:t>
      </w:r>
      <w:r w:rsidRPr="00BD6187">
        <w:rPr>
          <w:rFonts w:ascii="Times New Roman" w:hAnsi="Times New Roman"/>
          <w:color w:val="000000" w:themeColor="text1"/>
          <w:sz w:val="20"/>
          <w:u w:val="single"/>
          <w:shd w:val="clear" w:color="auto" w:fill="FFFFFF"/>
        </w:rPr>
        <w:t>;</w:t>
      </w:r>
      <w:r>
        <w:rPr>
          <w:rFonts w:ascii="Times New Roman" w:hAnsi="Times New Roman"/>
          <w:color w:val="000000" w:themeColor="text1"/>
          <w:sz w:val="20"/>
          <w:shd w:val="clear" w:color="auto" w:fill="FFFFFF"/>
        </w:rPr>
        <w:t>тел</w:t>
      </w:r>
      <w:r w:rsidRPr="00BD6187">
        <w:rPr>
          <w:rFonts w:ascii="Times New Roman" w:hAnsi="Times New Roman"/>
          <w:color w:val="000000" w:themeColor="text1"/>
          <w:sz w:val="20"/>
          <w:shd w:val="clear" w:color="auto" w:fill="FFFFFF"/>
        </w:rPr>
        <w:t xml:space="preserve">: </w:t>
      </w:r>
      <w:r w:rsidRPr="00BD6187">
        <w:rPr>
          <w:rFonts w:ascii="Times New Roman" w:hAnsi="Times New Roman"/>
          <w:color w:val="000000"/>
          <w:sz w:val="20"/>
          <w:shd w:val="clear" w:color="auto" w:fill="FFFFFF"/>
        </w:rPr>
        <w:t>89046277725</w:t>
      </w:r>
    </w:p>
    <w:p w:rsidR="00517711" w:rsidRDefault="00F815BE">
      <w:pPr>
        <w:spacing w:after="0" w:line="240" w:lineRule="auto"/>
        <w:ind w:firstLine="284"/>
        <w:jc w:val="center"/>
        <w:rPr>
          <w:rFonts w:ascii="Times New Roman" w:hAnsi="Times New Roman"/>
          <w:color w:val="000000"/>
          <w:sz w:val="20"/>
          <w:shd w:val="clear" w:color="auto" w:fill="FFFFFF"/>
        </w:rPr>
      </w:pPr>
      <w:r>
        <w:rPr>
          <w:rFonts w:ascii="Times New Roman" w:hAnsi="Times New Roman"/>
          <w:color w:val="000000"/>
          <w:sz w:val="20"/>
          <w:shd w:val="clear" w:color="auto" w:fill="FFFFFF"/>
        </w:rPr>
        <w:t>ул. Гоголя, 41, г. Владивосток, Приморский край, Россия, 690014</w:t>
      </w:r>
    </w:p>
    <w:p w:rsidR="00517711" w:rsidRDefault="00517711">
      <w:pPr>
        <w:spacing w:after="0" w:line="240" w:lineRule="auto"/>
        <w:ind w:firstLine="284"/>
        <w:jc w:val="center"/>
        <w:rPr>
          <w:rFonts w:ascii="Times New Roman" w:hAnsi="Times New Roman"/>
          <w:color w:val="000000"/>
          <w:sz w:val="24"/>
          <w:shd w:val="clear" w:color="auto" w:fill="FFFFFF"/>
        </w:rPr>
      </w:pPr>
    </w:p>
    <w:p w:rsidR="00517711" w:rsidRDefault="00F815BE">
      <w:pPr>
        <w:spacing w:after="0" w:line="240" w:lineRule="auto"/>
        <w:ind w:firstLine="709"/>
        <w:jc w:val="both"/>
        <w:rPr>
          <w:rFonts w:ascii="Times New Roman" w:hAnsi="Times New Roman"/>
          <w:i/>
          <w:color w:val="000000"/>
          <w:shd w:val="clear" w:color="auto" w:fill="FFFFFF"/>
        </w:rPr>
      </w:pPr>
      <w:r>
        <w:rPr>
          <w:rFonts w:ascii="Times New Roman" w:hAnsi="Times New Roman"/>
          <w:i/>
          <w:color w:val="000000"/>
          <w:shd w:val="clear" w:color="auto" w:fill="FFFFFF"/>
        </w:rPr>
        <w:t xml:space="preserve">Рассмотрены тенденции развития рынка экскурсионных услуг города Владивостока и выявлены основные факторы препятствующие развитию. Определены основные туристические компании, активно комплектующие и реализующие экскурсионные программы, обозначены наиболее востребованные маршруты. Предложено введение инноваций в экскурсионную деятельность для расширения поля деятельности экскурсионной фирмы и повышения её конкурентоспособности. </w:t>
      </w:r>
    </w:p>
    <w:p w:rsidR="00517711" w:rsidRDefault="00F815BE">
      <w:pPr>
        <w:spacing w:after="0" w:line="240" w:lineRule="auto"/>
        <w:ind w:firstLine="709"/>
        <w:jc w:val="both"/>
        <w:rPr>
          <w:rFonts w:ascii="Times New Roman" w:hAnsi="Times New Roman"/>
          <w:i/>
        </w:rPr>
      </w:pPr>
      <w:r>
        <w:rPr>
          <w:rFonts w:ascii="Times New Roman" w:hAnsi="Times New Roman"/>
          <w:b/>
          <w:i/>
        </w:rPr>
        <w:t xml:space="preserve">Ключевые слова и словосочетания: </w:t>
      </w:r>
      <w:r>
        <w:rPr>
          <w:rFonts w:ascii="Times New Roman" w:hAnsi="Times New Roman"/>
          <w:i/>
        </w:rPr>
        <w:t>Экскурсионные услуги, Приморский край, исследования, туристическая компания, инновации.</w:t>
      </w:r>
    </w:p>
    <w:p w:rsidR="00517711" w:rsidRDefault="00517711">
      <w:pPr>
        <w:spacing w:after="0" w:line="240" w:lineRule="auto"/>
        <w:ind w:firstLine="284"/>
        <w:jc w:val="both"/>
        <w:rPr>
          <w:rFonts w:ascii="Times New Roman" w:hAnsi="Times New Roman"/>
          <w:i/>
          <w:sz w:val="24"/>
        </w:rPr>
      </w:pPr>
    </w:p>
    <w:p w:rsidR="00517711" w:rsidRDefault="00F815BE">
      <w:pPr>
        <w:spacing w:after="0" w:line="240" w:lineRule="auto"/>
        <w:ind w:firstLine="284"/>
        <w:jc w:val="center"/>
        <w:rPr>
          <w:rFonts w:ascii="Book Antiqua" w:hAnsi="Book Antiqua"/>
          <w:b/>
          <w:color w:val="000000"/>
          <w:sz w:val="26"/>
          <w:szCs w:val="26"/>
          <w:shd w:val="clear" w:color="auto" w:fill="FFFFFF"/>
          <w:lang w:val="en-US"/>
        </w:rPr>
      </w:pPr>
      <w:r>
        <w:rPr>
          <w:rFonts w:ascii="Book Antiqua" w:hAnsi="Book Antiqua"/>
          <w:b/>
          <w:color w:val="000000"/>
          <w:sz w:val="26"/>
          <w:szCs w:val="26"/>
          <w:shd w:val="clear" w:color="auto" w:fill="FFFFFF"/>
          <w:lang w:val="en-US"/>
        </w:rPr>
        <w:t>RESEARCH OF THE MARKET OF EXCURSION SERVICES IN PRIMORSKY REGION</w:t>
      </w:r>
    </w:p>
    <w:p w:rsidR="00517711" w:rsidRDefault="00517711">
      <w:pPr>
        <w:spacing w:after="0" w:line="240" w:lineRule="auto"/>
        <w:ind w:firstLine="284"/>
        <w:jc w:val="center"/>
        <w:rPr>
          <w:rFonts w:ascii="Times New Roman" w:hAnsi="Times New Roman"/>
          <w:b/>
          <w:color w:val="000000"/>
          <w:sz w:val="24"/>
          <w:shd w:val="clear" w:color="auto" w:fill="FFFFFF"/>
          <w:lang w:val="en-US"/>
        </w:rPr>
      </w:pPr>
    </w:p>
    <w:p w:rsidR="00517711" w:rsidRDefault="00F815BE">
      <w:pPr>
        <w:spacing w:after="0" w:line="240" w:lineRule="auto"/>
        <w:ind w:firstLine="284"/>
        <w:jc w:val="center"/>
        <w:rPr>
          <w:rFonts w:ascii="Arial" w:hAnsi="Arial" w:cs="Arial"/>
          <w:b/>
          <w:color w:val="000000"/>
          <w:sz w:val="24"/>
          <w:shd w:val="clear" w:color="auto" w:fill="FFFFFF"/>
          <w:lang w:val="en-US"/>
        </w:rPr>
      </w:pPr>
      <w:r>
        <w:rPr>
          <w:rFonts w:ascii="Arial" w:hAnsi="Arial" w:cs="Arial"/>
          <w:b/>
          <w:color w:val="000000"/>
          <w:sz w:val="24"/>
          <w:shd w:val="clear" w:color="auto" w:fill="FFFFFF"/>
          <w:lang w:val="en-US"/>
        </w:rPr>
        <w:t>Grinko Olesya Andreevna,</w:t>
      </w:r>
    </w:p>
    <w:p w:rsidR="00517711" w:rsidRDefault="00F815BE">
      <w:pPr>
        <w:spacing w:after="0" w:line="240" w:lineRule="auto"/>
        <w:ind w:firstLine="284"/>
        <w:jc w:val="center"/>
        <w:rPr>
          <w:rFonts w:ascii="Arial" w:hAnsi="Arial" w:cs="Arial"/>
          <w:color w:val="000000"/>
          <w:sz w:val="24"/>
          <w:shd w:val="clear" w:color="auto" w:fill="FFFFFF"/>
          <w:lang w:val="en-US"/>
        </w:rPr>
      </w:pPr>
      <w:r>
        <w:rPr>
          <w:rFonts w:ascii="Arial" w:hAnsi="Arial" w:cs="Arial"/>
          <w:color w:val="000000"/>
          <w:sz w:val="24"/>
          <w:shd w:val="clear" w:color="auto" w:fill="FFFFFF"/>
          <w:lang w:val="en-US"/>
        </w:rPr>
        <w:t xml:space="preserve">bachelor </w:t>
      </w:r>
    </w:p>
    <w:p w:rsidR="00517711" w:rsidRDefault="00517711">
      <w:pPr>
        <w:spacing w:after="0" w:line="240" w:lineRule="auto"/>
        <w:ind w:firstLine="284"/>
        <w:jc w:val="center"/>
        <w:rPr>
          <w:rFonts w:ascii="Times New Roman" w:hAnsi="Times New Roman"/>
          <w:i/>
          <w:color w:val="000000"/>
          <w:sz w:val="24"/>
          <w:shd w:val="clear" w:color="auto" w:fill="FFFFFF"/>
          <w:lang w:val="en-US"/>
        </w:rPr>
      </w:pPr>
    </w:p>
    <w:p w:rsidR="00517711" w:rsidRDefault="00F815BE">
      <w:pPr>
        <w:spacing w:after="0" w:line="240" w:lineRule="auto"/>
        <w:ind w:firstLine="284"/>
        <w:jc w:val="center"/>
        <w:rPr>
          <w:rFonts w:ascii="Times New Roman" w:hAnsi="Times New Roman"/>
          <w:i/>
          <w:color w:val="000000"/>
          <w:shd w:val="clear" w:color="auto" w:fill="FFFFFF"/>
          <w:lang w:val="en-US"/>
        </w:rPr>
      </w:pPr>
      <w:r>
        <w:rPr>
          <w:rFonts w:ascii="Times New Roman" w:hAnsi="Times New Roman"/>
          <w:i/>
          <w:color w:val="000000"/>
          <w:shd w:val="clear" w:color="auto" w:fill="FFFFFF"/>
          <w:lang w:val="en-US"/>
        </w:rPr>
        <w:t>Vladivostok state university of economy and service</w:t>
      </w:r>
    </w:p>
    <w:p w:rsidR="00517711" w:rsidRDefault="00F815BE">
      <w:pPr>
        <w:spacing w:after="0" w:line="240" w:lineRule="auto"/>
        <w:ind w:firstLine="284"/>
        <w:jc w:val="center"/>
        <w:rPr>
          <w:rFonts w:ascii="Times New Roman" w:hAnsi="Times New Roman"/>
          <w:i/>
          <w:color w:val="000000"/>
          <w:shd w:val="clear" w:color="auto" w:fill="FFFFFF"/>
          <w:lang w:val="en-US"/>
        </w:rPr>
      </w:pPr>
      <w:r>
        <w:rPr>
          <w:rFonts w:ascii="Times New Roman" w:hAnsi="Times New Roman"/>
          <w:i/>
          <w:color w:val="000000"/>
          <w:shd w:val="clear" w:color="auto" w:fill="FFFFFF"/>
          <w:lang w:val="en-US"/>
        </w:rPr>
        <w:t>Russia. Vladivostok</w:t>
      </w:r>
    </w:p>
    <w:p w:rsidR="00517711" w:rsidRDefault="00517711">
      <w:pPr>
        <w:spacing w:after="0" w:line="240" w:lineRule="auto"/>
        <w:ind w:firstLine="284"/>
        <w:jc w:val="center"/>
        <w:rPr>
          <w:rFonts w:ascii="Times New Roman" w:hAnsi="Times New Roman"/>
          <w:i/>
          <w:color w:val="000000"/>
          <w:sz w:val="24"/>
          <w:shd w:val="clear" w:color="auto" w:fill="FFFFFF"/>
          <w:lang w:val="en-US"/>
        </w:rPr>
      </w:pPr>
    </w:p>
    <w:p w:rsidR="00517711" w:rsidRDefault="00F815BE">
      <w:pPr>
        <w:spacing w:after="0" w:line="240" w:lineRule="auto"/>
        <w:ind w:firstLine="284"/>
        <w:jc w:val="center"/>
        <w:rPr>
          <w:rFonts w:ascii="Arial" w:hAnsi="Arial" w:cs="Arial"/>
          <w:b/>
          <w:color w:val="000000"/>
          <w:sz w:val="24"/>
          <w:shd w:val="clear" w:color="auto" w:fill="FFFFFF"/>
          <w:lang w:val="en-US"/>
        </w:rPr>
      </w:pPr>
      <w:r>
        <w:rPr>
          <w:rFonts w:ascii="Arial" w:hAnsi="Arial" w:cs="Arial"/>
          <w:b/>
          <w:color w:val="000000"/>
          <w:sz w:val="24"/>
          <w:shd w:val="clear" w:color="auto" w:fill="FFFFFF"/>
          <w:lang w:val="en-US"/>
        </w:rPr>
        <w:t>Mihina Ilona Sergeevna,</w:t>
      </w:r>
    </w:p>
    <w:p w:rsidR="00517711" w:rsidRDefault="00F815BE">
      <w:pPr>
        <w:spacing w:after="0" w:line="240" w:lineRule="auto"/>
        <w:ind w:firstLine="284"/>
        <w:jc w:val="center"/>
        <w:rPr>
          <w:rFonts w:ascii="Arial" w:hAnsi="Arial" w:cs="Arial"/>
          <w:color w:val="000000"/>
          <w:sz w:val="24"/>
          <w:shd w:val="clear" w:color="auto" w:fill="FFFFFF"/>
          <w:lang w:val="en-US"/>
        </w:rPr>
      </w:pPr>
      <w:r>
        <w:rPr>
          <w:rFonts w:ascii="Arial" w:hAnsi="Arial" w:cs="Arial"/>
          <w:color w:val="000000"/>
          <w:sz w:val="24"/>
          <w:shd w:val="clear" w:color="auto" w:fill="FFFFFF"/>
          <w:lang w:val="en-US"/>
        </w:rPr>
        <w:t>candidate of economic sciences, associate professor</w:t>
      </w:r>
    </w:p>
    <w:p w:rsidR="00517711" w:rsidRDefault="00517711">
      <w:pPr>
        <w:spacing w:after="0" w:line="240" w:lineRule="auto"/>
        <w:ind w:firstLine="284"/>
        <w:jc w:val="center"/>
        <w:rPr>
          <w:rFonts w:ascii="Times New Roman" w:hAnsi="Times New Roman"/>
          <w:i/>
          <w:color w:val="000000"/>
          <w:sz w:val="24"/>
          <w:shd w:val="clear" w:color="auto" w:fill="FFFFFF"/>
          <w:lang w:val="en-US"/>
        </w:rPr>
      </w:pPr>
    </w:p>
    <w:p w:rsidR="00517711" w:rsidRDefault="00F815BE">
      <w:pPr>
        <w:spacing w:after="0" w:line="240" w:lineRule="auto"/>
        <w:ind w:firstLine="284"/>
        <w:jc w:val="center"/>
        <w:rPr>
          <w:rFonts w:ascii="Times New Roman" w:hAnsi="Times New Roman"/>
          <w:i/>
          <w:color w:val="000000"/>
          <w:shd w:val="clear" w:color="auto" w:fill="FFFFFF"/>
          <w:lang w:val="en-US"/>
        </w:rPr>
      </w:pPr>
      <w:r>
        <w:rPr>
          <w:rFonts w:ascii="Times New Roman" w:hAnsi="Times New Roman"/>
          <w:i/>
          <w:color w:val="000000"/>
          <w:shd w:val="clear" w:color="auto" w:fill="FFFFFF"/>
          <w:lang w:val="en-US"/>
        </w:rPr>
        <w:t>Vladivostok state university of economy and service</w:t>
      </w:r>
    </w:p>
    <w:p w:rsidR="00517711" w:rsidRDefault="00F815BE">
      <w:pPr>
        <w:spacing w:after="0" w:line="240" w:lineRule="auto"/>
        <w:ind w:firstLine="284"/>
        <w:jc w:val="center"/>
        <w:rPr>
          <w:rFonts w:ascii="Times New Roman" w:hAnsi="Times New Roman"/>
          <w:i/>
          <w:color w:val="000000"/>
          <w:shd w:val="clear" w:color="auto" w:fill="FFFFFF"/>
          <w:lang w:val="en-US"/>
        </w:rPr>
      </w:pPr>
      <w:r>
        <w:rPr>
          <w:rFonts w:ascii="Times New Roman" w:hAnsi="Times New Roman"/>
          <w:i/>
          <w:color w:val="000000"/>
          <w:shd w:val="clear" w:color="auto" w:fill="FFFFFF"/>
          <w:lang w:val="en-US"/>
        </w:rPr>
        <w:t>Russia. Vladivostok</w:t>
      </w:r>
    </w:p>
    <w:p w:rsidR="00517711" w:rsidRDefault="00517711">
      <w:pPr>
        <w:spacing w:after="0" w:line="240" w:lineRule="auto"/>
        <w:ind w:firstLine="284"/>
        <w:jc w:val="center"/>
        <w:rPr>
          <w:rFonts w:ascii="Times New Roman" w:hAnsi="Times New Roman"/>
          <w:i/>
          <w:color w:val="000000"/>
          <w:sz w:val="24"/>
          <w:shd w:val="clear" w:color="auto" w:fill="FFFFFF"/>
          <w:lang w:val="en-US"/>
        </w:rPr>
      </w:pPr>
    </w:p>
    <w:p w:rsidR="00517711" w:rsidRDefault="00F815BE">
      <w:pPr>
        <w:spacing w:after="0" w:line="240" w:lineRule="auto"/>
        <w:ind w:firstLine="709"/>
        <w:jc w:val="both"/>
        <w:rPr>
          <w:rFonts w:ascii="Times New Roman" w:hAnsi="Times New Roman"/>
          <w:i/>
          <w:lang w:val="en-US"/>
        </w:rPr>
      </w:pPr>
      <w:r>
        <w:rPr>
          <w:rFonts w:ascii="Times New Roman" w:hAnsi="Times New Roman"/>
          <w:i/>
          <w:lang w:val="en-US"/>
        </w:rPr>
        <w:lastRenderedPageBreak/>
        <w:t>Tendencies of development of the market of excursion services of the city of Vladivostok are considered and the main factors interfering with development are revealed. Defined the main travel companies, are actively completing and implementing the tour program indicated most popular destinations. Introduction of innovations in excursion activity for expansion of a field of activity of excursion firm and increase of its competitiveness is offered.</w:t>
      </w:r>
    </w:p>
    <w:p w:rsidR="00517711" w:rsidRDefault="00F815BE">
      <w:pPr>
        <w:spacing w:after="0" w:line="240" w:lineRule="auto"/>
        <w:ind w:firstLine="709"/>
        <w:jc w:val="both"/>
        <w:rPr>
          <w:rFonts w:ascii="Times New Roman" w:hAnsi="Times New Roman"/>
          <w:b/>
          <w:i/>
          <w:lang w:val="en-US"/>
        </w:rPr>
      </w:pPr>
      <w:r>
        <w:rPr>
          <w:rFonts w:ascii="Times New Roman" w:hAnsi="Times New Roman"/>
          <w:b/>
          <w:i/>
          <w:lang w:val="en-US"/>
        </w:rPr>
        <w:t xml:space="preserve">Keywords: </w:t>
      </w:r>
      <w:r>
        <w:rPr>
          <w:rFonts w:ascii="Times New Roman" w:hAnsi="Times New Roman"/>
          <w:i/>
          <w:lang w:val="en-US"/>
        </w:rPr>
        <w:t>Excursion services, Primorsky region, research, travel company, innovation.</w:t>
      </w:r>
    </w:p>
    <w:p w:rsidR="00517711" w:rsidRDefault="00517711">
      <w:pPr>
        <w:spacing w:after="0" w:line="240" w:lineRule="auto"/>
        <w:jc w:val="both"/>
        <w:rPr>
          <w:rFonts w:ascii="Times New Roman" w:hAnsi="Times New Roman" w:cs="Times New Roman"/>
          <w:b/>
          <w:sz w:val="20"/>
          <w:szCs w:val="20"/>
          <w:lang w:val="en-US"/>
        </w:rPr>
      </w:pP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Актуальность</w:t>
      </w:r>
    </w:p>
    <w:p w:rsidR="00517711" w:rsidRDefault="00517711">
      <w:pPr>
        <w:spacing w:after="0" w:line="240" w:lineRule="auto"/>
        <w:ind w:firstLine="710"/>
        <w:jc w:val="both"/>
        <w:rPr>
          <w:rFonts w:ascii="Times New Roman" w:hAnsi="Times New Roman" w:cs="Times New Roman"/>
          <w:sz w:val="20"/>
          <w:szCs w:val="20"/>
        </w:rPr>
      </w:pPr>
    </w:p>
    <w:p w:rsidR="00517711" w:rsidRDefault="00F815BE">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В настоящее время актуальность экскурсионного туризма как сферы услуг не вызывает сомнения и играет важную роль в рыночной экономике. Эффективное развитие внутреннего туризма позволяет значительно увеличить поток иностранных туристов в страну, обеспечить рост валютных и налоговых поступлений в бюджет, развитие смежных сервисных отраслей экономики и повышение занятости населения.</w:t>
      </w:r>
    </w:p>
    <w:p w:rsidR="00517711" w:rsidRDefault="00517711">
      <w:pPr>
        <w:spacing w:after="0" w:line="240" w:lineRule="auto"/>
        <w:ind w:firstLine="710"/>
        <w:jc w:val="both"/>
        <w:rPr>
          <w:rFonts w:ascii="Times New Roman" w:hAnsi="Times New Roman" w:cs="Times New Roman"/>
          <w:b/>
          <w:sz w:val="20"/>
          <w:szCs w:val="20"/>
        </w:rPr>
      </w:pP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Цели и задачи</w:t>
      </w:r>
    </w:p>
    <w:p w:rsidR="00517711" w:rsidRDefault="00517711">
      <w:pPr>
        <w:spacing w:after="0" w:line="240" w:lineRule="auto"/>
        <w:ind w:firstLine="710"/>
        <w:jc w:val="both"/>
        <w:rPr>
          <w:rFonts w:ascii="Times New Roman" w:hAnsi="Times New Roman" w:cs="Times New Roman"/>
          <w:sz w:val="20"/>
          <w:szCs w:val="20"/>
        </w:rPr>
      </w:pPr>
    </w:p>
    <w:p w:rsidR="00517711" w:rsidRDefault="00F815BE">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Целью работы является исследования рынка экскурсионных услуг города Владивостока.</w:t>
      </w:r>
    </w:p>
    <w:p w:rsidR="00517711" w:rsidRDefault="00F815BE">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 xml:space="preserve">В результате возможно решение следующих задач: </w:t>
      </w:r>
    </w:p>
    <w:p w:rsidR="00517711" w:rsidRDefault="00F815BE">
      <w:pPr>
        <w:pStyle w:val="af4"/>
        <w:numPr>
          <w:ilvl w:val="0"/>
          <w:numId w:val="13"/>
        </w:numPr>
        <w:spacing w:after="0" w:line="240" w:lineRule="auto"/>
        <w:ind w:left="0" w:firstLine="709"/>
        <w:jc w:val="both"/>
        <w:rPr>
          <w:rFonts w:ascii="Times New Roman" w:hAnsi="Times New Roman"/>
          <w:sz w:val="20"/>
          <w:szCs w:val="20"/>
        </w:rPr>
      </w:pPr>
      <w:r>
        <w:rPr>
          <w:rFonts w:ascii="Times New Roman" w:hAnsi="Times New Roman"/>
          <w:sz w:val="20"/>
          <w:szCs w:val="20"/>
        </w:rPr>
        <w:t>Провести анализ туристических компаний, активно реализующих экскурсионные услуги;</w:t>
      </w:r>
    </w:p>
    <w:p w:rsidR="00517711" w:rsidRDefault="00F815BE">
      <w:pPr>
        <w:pStyle w:val="af4"/>
        <w:numPr>
          <w:ilvl w:val="0"/>
          <w:numId w:val="13"/>
        </w:numPr>
        <w:spacing w:after="0" w:line="240" w:lineRule="auto"/>
        <w:ind w:left="0" w:firstLine="709"/>
        <w:jc w:val="both"/>
        <w:rPr>
          <w:rFonts w:ascii="Times New Roman" w:hAnsi="Times New Roman"/>
          <w:sz w:val="20"/>
          <w:szCs w:val="20"/>
        </w:rPr>
      </w:pPr>
      <w:r>
        <w:rPr>
          <w:rFonts w:ascii="Times New Roman" w:hAnsi="Times New Roman"/>
          <w:sz w:val="20"/>
          <w:szCs w:val="20"/>
        </w:rPr>
        <w:t>Определить наиболее востребованные экскурсии по трем направлениям в Приморском крае;</w:t>
      </w:r>
    </w:p>
    <w:p w:rsidR="00517711" w:rsidRDefault="00F815BE">
      <w:pPr>
        <w:pStyle w:val="af4"/>
        <w:numPr>
          <w:ilvl w:val="0"/>
          <w:numId w:val="13"/>
        </w:numPr>
        <w:spacing w:after="0" w:line="240" w:lineRule="auto"/>
        <w:ind w:left="0" w:firstLine="709"/>
        <w:jc w:val="both"/>
        <w:rPr>
          <w:rFonts w:ascii="Times New Roman" w:hAnsi="Times New Roman"/>
          <w:sz w:val="20"/>
          <w:szCs w:val="20"/>
        </w:rPr>
      </w:pPr>
      <w:r>
        <w:rPr>
          <w:rFonts w:ascii="Times New Roman" w:hAnsi="Times New Roman"/>
          <w:color w:val="000000"/>
          <w:sz w:val="20"/>
          <w:szCs w:val="20"/>
          <w:shd w:val="clear" w:color="auto" w:fill="FFFFFF"/>
        </w:rPr>
        <w:t>Выявить количество иностранных граждан, посетивших Приморский край за последние несколько лет;</w:t>
      </w:r>
    </w:p>
    <w:p w:rsidR="00517711" w:rsidRDefault="00F815BE">
      <w:pPr>
        <w:pStyle w:val="af4"/>
        <w:numPr>
          <w:ilvl w:val="0"/>
          <w:numId w:val="13"/>
        </w:numPr>
        <w:spacing w:after="0" w:line="240" w:lineRule="auto"/>
        <w:ind w:left="0" w:firstLine="709"/>
        <w:jc w:val="both"/>
        <w:rPr>
          <w:rFonts w:ascii="Times New Roman" w:hAnsi="Times New Roman"/>
          <w:sz w:val="20"/>
          <w:szCs w:val="20"/>
        </w:rPr>
      </w:pPr>
      <w:r>
        <w:rPr>
          <w:rFonts w:ascii="Times New Roman" w:hAnsi="Times New Roman"/>
          <w:sz w:val="20"/>
          <w:szCs w:val="20"/>
        </w:rPr>
        <w:t>Предложить внедрение инновационных экскурсий.</w:t>
      </w:r>
    </w:p>
    <w:p w:rsidR="00517711" w:rsidRDefault="00517711">
      <w:pPr>
        <w:spacing w:after="0" w:line="240" w:lineRule="auto"/>
        <w:ind w:firstLine="710"/>
        <w:rPr>
          <w:rFonts w:ascii="Times New Roman" w:hAnsi="Times New Roman" w:cs="Times New Roman"/>
          <w:b/>
          <w:sz w:val="20"/>
          <w:szCs w:val="20"/>
        </w:rPr>
      </w:pPr>
    </w:p>
    <w:p w:rsidR="00517711" w:rsidRDefault="00F815BE">
      <w:pPr>
        <w:spacing w:after="0" w:line="240" w:lineRule="auto"/>
        <w:rPr>
          <w:rFonts w:ascii="Times New Roman" w:hAnsi="Times New Roman" w:cs="Times New Roman"/>
          <w:sz w:val="20"/>
          <w:szCs w:val="20"/>
        </w:rPr>
      </w:pPr>
      <w:r>
        <w:rPr>
          <w:rFonts w:ascii="Times New Roman" w:hAnsi="Times New Roman" w:cs="Times New Roman"/>
          <w:b/>
          <w:sz w:val="20"/>
          <w:szCs w:val="20"/>
        </w:rPr>
        <w:t xml:space="preserve">Научная новизна </w:t>
      </w:r>
    </w:p>
    <w:p w:rsidR="00517711" w:rsidRDefault="00517711">
      <w:pPr>
        <w:spacing w:after="0" w:line="240" w:lineRule="auto"/>
        <w:ind w:firstLine="710"/>
        <w:jc w:val="both"/>
        <w:rPr>
          <w:rFonts w:ascii="Times New Roman" w:hAnsi="Times New Roman" w:cs="Times New Roman"/>
          <w:sz w:val="20"/>
          <w:szCs w:val="20"/>
        </w:rPr>
      </w:pPr>
    </w:p>
    <w:p w:rsidR="00517711" w:rsidRDefault="00F815BE">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Предложено внедрение инновационных экскурсий для совершенствования развития внутреннего туризма в городе Владивостоке.</w:t>
      </w:r>
    </w:p>
    <w:p w:rsidR="00517711" w:rsidRDefault="00517711">
      <w:pPr>
        <w:spacing w:after="0" w:line="240" w:lineRule="auto"/>
        <w:ind w:firstLine="710"/>
        <w:rPr>
          <w:rFonts w:ascii="Times New Roman" w:hAnsi="Times New Roman" w:cs="Times New Roman"/>
          <w:b/>
          <w:sz w:val="20"/>
          <w:szCs w:val="20"/>
        </w:rPr>
      </w:pPr>
    </w:p>
    <w:p w:rsidR="00517711" w:rsidRDefault="00F815BE">
      <w:pPr>
        <w:spacing w:after="0" w:line="240" w:lineRule="auto"/>
        <w:rPr>
          <w:rFonts w:ascii="Times New Roman" w:hAnsi="Times New Roman" w:cs="Times New Roman"/>
          <w:b/>
          <w:sz w:val="20"/>
          <w:szCs w:val="20"/>
        </w:rPr>
      </w:pPr>
      <w:r>
        <w:rPr>
          <w:rFonts w:ascii="Times New Roman" w:hAnsi="Times New Roman" w:cs="Times New Roman"/>
          <w:b/>
          <w:sz w:val="20"/>
          <w:szCs w:val="20"/>
        </w:rPr>
        <w:t>Методы исследования</w:t>
      </w:r>
    </w:p>
    <w:p w:rsidR="00517711" w:rsidRDefault="00517711">
      <w:pPr>
        <w:spacing w:after="0" w:line="240" w:lineRule="auto"/>
        <w:ind w:firstLine="710"/>
        <w:jc w:val="both"/>
        <w:rPr>
          <w:rFonts w:ascii="Times New Roman" w:hAnsi="Times New Roman" w:cs="Times New Roman"/>
          <w:sz w:val="20"/>
          <w:szCs w:val="20"/>
        </w:rPr>
      </w:pPr>
    </w:p>
    <w:p w:rsidR="00517711" w:rsidRDefault="00F815BE">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В процессе работы использовались общенаучные методы исследования: анализ, синтез, сравнение, экономико-статистические методы, что позволило обеспечить достоверность результатов исследования и обоснованность выводов.</w:t>
      </w:r>
    </w:p>
    <w:p w:rsidR="00517711" w:rsidRDefault="00F815BE">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 xml:space="preserve">Благодаря природным, культурным возможностям в Приморском крае активно развивается рынок экскурсионных услуг. Так, </w:t>
      </w:r>
      <w:r>
        <w:rPr>
          <w:rFonts w:ascii="Times New Roman" w:hAnsi="Times New Roman" w:cs="Times New Roman"/>
          <w:color w:val="000000"/>
          <w:sz w:val="20"/>
          <w:szCs w:val="20"/>
          <w:shd w:val="clear" w:color="auto" w:fill="FFFFFF"/>
        </w:rPr>
        <w:t xml:space="preserve">в 2017 г. в Приморском крае был зарегистрирован 101 туроператор по внутреннему и въездному туризму.  </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Важно отметить, что из всех туроператоров по внутреннему и въездному туризму только 25-30% фирм реализуют экскурсионные программы по Приморскому краю.  </w:t>
      </w:r>
    </w:p>
    <w:p w:rsidR="00517711" w:rsidRDefault="00F815BE">
      <w:pPr>
        <w:spacing w:before="120" w:after="120" w:line="240" w:lineRule="auto"/>
        <w:ind w:firstLine="709"/>
        <w:contextualSpacing/>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Среди этих туристических фирм были выявлены компании, которые в большей степени делают акцент на экскурсионные услуги (рис.1).</w:t>
      </w:r>
    </w:p>
    <w:p w:rsidR="00517711" w:rsidRDefault="00517711">
      <w:pPr>
        <w:spacing w:before="120" w:after="120" w:line="240" w:lineRule="auto"/>
        <w:ind w:firstLine="709"/>
        <w:contextualSpacing/>
        <w:jc w:val="both"/>
        <w:rPr>
          <w:rFonts w:ascii="Times New Roman" w:hAnsi="Times New Roman" w:cs="Times New Roman"/>
          <w:sz w:val="20"/>
          <w:szCs w:val="20"/>
        </w:rPr>
      </w:pPr>
    </w:p>
    <w:p w:rsidR="00517711" w:rsidRDefault="00F815BE">
      <w:pPr>
        <w:spacing w:before="120" w:after="120" w:line="240" w:lineRule="auto"/>
        <w:contextualSpacing/>
        <w:jc w:val="center"/>
        <w:rPr>
          <w:rFonts w:ascii="Times New Roman" w:hAnsi="Times New Roman" w:cs="Times New Roman"/>
          <w:sz w:val="20"/>
          <w:szCs w:val="20"/>
        </w:rPr>
      </w:pPr>
      <w:r>
        <w:rPr>
          <w:rFonts w:ascii="Times New Roman" w:hAnsi="Times New Roman" w:cs="Times New Roman"/>
          <w:noProof/>
          <w:sz w:val="20"/>
          <w:szCs w:val="20"/>
          <w:lang w:eastAsia="ru-RU"/>
        </w:rPr>
        <w:drawing>
          <wp:inline distT="0" distB="0" distL="0" distR="0">
            <wp:extent cx="3705223" cy="1990723"/>
            <wp:effectExtent l="0" t="0" r="0" b="0"/>
            <wp:docPr id="3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2"/>
                    <pic:cNvPicPr>
                      <a:picLocks noChangeAspect="1"/>
                    </pic:cNvPicPr>
                  </pic:nvPicPr>
                  <pic:blipFill>
                    <a:blip r:embed="rId70"/>
                    <a:stretch/>
                  </pic:blipFill>
                  <pic:spPr bwMode="auto">
                    <a:xfrm>
                      <a:off x="0" y="0"/>
                      <a:ext cx="3705225" cy="1990725"/>
                    </a:xfrm>
                    <a:prstGeom prst="rect">
                      <a:avLst/>
                    </a:prstGeom>
                    <a:noFill/>
                    <a:ln>
                      <a:noFill/>
                    </a:ln>
                  </pic:spPr>
                </pic:pic>
              </a:graphicData>
            </a:graphic>
          </wp:inline>
        </w:drawing>
      </w:r>
    </w:p>
    <w:p w:rsidR="00517711" w:rsidRDefault="00F815BE">
      <w:pPr>
        <w:spacing w:after="0" w:line="240" w:lineRule="auto"/>
        <w:jc w:val="center"/>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Рис.1. Количество экскурсионных программ у туристических компаний</w:t>
      </w:r>
    </w:p>
    <w:p w:rsidR="00517711" w:rsidRDefault="00F815BE">
      <w:pPr>
        <w:spacing w:after="0" w:line="240" w:lineRule="auto"/>
        <w:jc w:val="center"/>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г. Владивостока, в 2017 г., ед.</w:t>
      </w:r>
    </w:p>
    <w:p w:rsidR="00517711" w:rsidRDefault="00517711">
      <w:pPr>
        <w:spacing w:after="0" w:line="240" w:lineRule="auto"/>
        <w:ind w:firstLine="709"/>
        <w:jc w:val="both"/>
        <w:rPr>
          <w:rFonts w:ascii="Times New Roman" w:hAnsi="Times New Roman" w:cs="Times New Roman"/>
          <w:color w:val="000000"/>
          <w:sz w:val="20"/>
          <w:szCs w:val="20"/>
          <w:shd w:val="clear" w:color="auto" w:fill="FFFFFF"/>
        </w:rPr>
      </w:pP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Согласно рис. 1. можно сделать вывод, что большее число экскурсий реализуют турфирмы «Восток Интур», «Пять звезд», «Приморавтотранс». Компании располагают собственным транспортом, активно </w:t>
      </w:r>
      <w:r>
        <w:rPr>
          <w:rFonts w:ascii="Times New Roman" w:hAnsi="Times New Roman" w:cs="Times New Roman"/>
          <w:color w:val="000000"/>
          <w:sz w:val="20"/>
          <w:szCs w:val="20"/>
          <w:shd w:val="clear" w:color="auto" w:fill="FFFFFF"/>
        </w:rPr>
        <w:lastRenderedPageBreak/>
        <w:t xml:space="preserve">сотрудничают с образовательными учреждениями города и неоднократно становились лидерами туриндустрии края. </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Экскурсионное обслуживание на рынке города Владивостока представлено по трем направлениям: Экскурсии по городу, Маршруты выходного дня, Туры по Приморскому краю [1, с. 70].</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В результате анализа было рассмотрено около 25 экскурсий по городу Владивостоку и выявлено 7 популярных экскурсий, предложенных туристическими компаниями в 2017 г. (рис.2).</w:t>
      </w:r>
    </w:p>
    <w:p w:rsidR="00517711" w:rsidRDefault="00F815BE">
      <w:pPr>
        <w:spacing w:after="0" w:line="240" w:lineRule="auto"/>
        <w:jc w:val="center"/>
        <w:rPr>
          <w:rFonts w:ascii="Times New Roman" w:hAnsi="Times New Roman" w:cs="Times New Roman"/>
          <w:color w:val="000000"/>
          <w:sz w:val="20"/>
          <w:szCs w:val="20"/>
          <w:shd w:val="clear" w:color="auto" w:fill="FFFFFF"/>
        </w:rPr>
      </w:pPr>
      <w:r>
        <w:rPr>
          <w:rFonts w:ascii="Times New Roman" w:hAnsi="Times New Roman" w:cs="Times New Roman"/>
          <w:sz w:val="20"/>
          <w:szCs w:val="20"/>
        </w:rPr>
        <w:object w:dxaOrig="23205" w:dyaOrig="13050">
          <v:rect id="_x0000_i1026" style="width:275.25pt;height:163.5pt;mso-wrap-distance-left:0;mso-wrap-distance-top:0;mso-wrap-distance-right:0;mso-wrap-distance-bottom:0" o:ole="" filled="f" stroked="f">
            <v:imagedata r:id="rId71" o:title=""/>
          </v:rect>
          <o:OLEObject Type="Embed" ProgID="StaticMetafile" ShapeID="_x0000_i1026" DrawAspect="Content" ObjectID="_1603718603" r:id="rId72"/>
        </w:object>
      </w:r>
    </w:p>
    <w:p w:rsidR="00517711" w:rsidRDefault="00F815BE">
      <w:pPr>
        <w:spacing w:after="0" w:line="240" w:lineRule="auto"/>
        <w:jc w:val="center"/>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Рис.2. Популярные экскурсии по городу Владивостоку</w:t>
      </w:r>
    </w:p>
    <w:p w:rsidR="00517711" w:rsidRDefault="00517711">
      <w:pPr>
        <w:spacing w:after="0" w:line="240" w:lineRule="auto"/>
        <w:ind w:firstLine="709"/>
        <w:jc w:val="both"/>
        <w:rPr>
          <w:rFonts w:ascii="Times New Roman" w:hAnsi="Times New Roman" w:cs="Times New Roman"/>
          <w:color w:val="000000"/>
          <w:sz w:val="20"/>
          <w:szCs w:val="20"/>
          <w:shd w:val="clear" w:color="auto" w:fill="FFFFFF"/>
        </w:rPr>
      </w:pP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Обзорная экскурсия по городу Владивостоку представляет наибольший интерес для жителей и гостей города, она позволяет за короткий срок познакомиться с основными страницами истории краевого центра, своеобразием его современного облика. </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Следующий вид экскурсионного обслуживания на рынке Владивостока представлен маршрутами выходного дня (рис.3)</w:t>
      </w:r>
    </w:p>
    <w:p w:rsidR="00517711" w:rsidRDefault="00F815BE">
      <w:pPr>
        <w:spacing w:after="0" w:line="240" w:lineRule="auto"/>
        <w:jc w:val="center"/>
        <w:rPr>
          <w:rFonts w:ascii="Times New Roman" w:hAnsi="Times New Roman" w:cs="Times New Roman"/>
          <w:color w:val="000000"/>
          <w:sz w:val="20"/>
          <w:szCs w:val="20"/>
          <w:shd w:val="clear" w:color="auto" w:fill="FFFFFF"/>
        </w:rPr>
      </w:pPr>
      <w:r>
        <w:rPr>
          <w:rFonts w:ascii="Times New Roman" w:hAnsi="Times New Roman" w:cs="Times New Roman"/>
          <w:sz w:val="20"/>
          <w:szCs w:val="20"/>
        </w:rPr>
        <w:object w:dxaOrig="7875" w:dyaOrig="4650">
          <v:rect id="_x0000_i1027" style="width:258.75pt;height:156pt;mso-wrap-distance-left:0;mso-wrap-distance-top:0;mso-wrap-distance-right:0;mso-wrap-distance-bottom:0" o:ole="" filled="f" stroked="f">
            <v:imagedata r:id="rId73" o:title=""/>
          </v:rect>
          <o:OLEObject Type="Embed" ProgID="StaticMetafile" ShapeID="_x0000_i1027" DrawAspect="Content" ObjectID="_1603718604" r:id="rId74"/>
        </w:object>
      </w:r>
    </w:p>
    <w:p w:rsidR="00517711" w:rsidRDefault="00F815BE">
      <w:pPr>
        <w:spacing w:after="0" w:line="240" w:lineRule="auto"/>
        <w:jc w:val="center"/>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Рис.3. Распространенные экскурсионные маршруты выходного дня</w:t>
      </w:r>
    </w:p>
    <w:p w:rsidR="00517711" w:rsidRDefault="00517711">
      <w:pPr>
        <w:spacing w:after="0" w:line="240" w:lineRule="auto"/>
        <w:ind w:firstLine="709"/>
        <w:jc w:val="both"/>
        <w:rPr>
          <w:rFonts w:ascii="Times New Roman" w:hAnsi="Times New Roman" w:cs="Times New Roman"/>
          <w:color w:val="000000"/>
          <w:sz w:val="20"/>
          <w:szCs w:val="20"/>
          <w:shd w:val="clear" w:color="auto" w:fill="FFFFFF"/>
        </w:rPr>
      </w:pP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Национальный парк «Земля Леопарда» является одним из распространенных экскурсионных маршрутов края. По своему виду это уникальное место в Приморском крае, так как именно здесь обитает одна из редких крупных кошек в мире – Дальневосточный леопард. Приморский сафари-парк входит в десятку лучших тематических парков России. Кравцовские водопады являются памятником природы и охраняются законом [2, с 27]. </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И третье направление - это туры по Приморскому краю. Обычно это объединение нескольких маршрутов выходного дня, с включением проживания и возможно питания. Туристические фирмы в данном направление работают по запросу.  </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В 2017 г. на рынке экскурсионных услуг Приморского края, по данным туристско-информационного центра, предлагалось более 150 маршрутов по Приморскому краю (рис.4).</w:t>
      </w:r>
    </w:p>
    <w:p w:rsidR="00517711" w:rsidRDefault="00517711">
      <w:pPr>
        <w:spacing w:after="0" w:line="240" w:lineRule="auto"/>
        <w:ind w:firstLine="709"/>
        <w:jc w:val="both"/>
        <w:rPr>
          <w:rFonts w:ascii="Times New Roman" w:hAnsi="Times New Roman" w:cs="Times New Roman"/>
          <w:color w:val="000000"/>
          <w:sz w:val="20"/>
          <w:szCs w:val="20"/>
          <w:shd w:val="clear" w:color="auto" w:fill="FFFFFF"/>
        </w:rPr>
      </w:pPr>
    </w:p>
    <w:p w:rsidR="00517711" w:rsidRDefault="00F815BE">
      <w:pPr>
        <w:spacing w:after="0" w:line="240" w:lineRule="auto"/>
        <w:jc w:val="center"/>
        <w:rPr>
          <w:rFonts w:ascii="Times New Roman" w:hAnsi="Times New Roman" w:cs="Times New Roman"/>
          <w:color w:val="000000"/>
          <w:sz w:val="20"/>
          <w:szCs w:val="20"/>
          <w:shd w:val="clear" w:color="auto" w:fill="FFFFFF"/>
        </w:rPr>
      </w:pPr>
      <w:r>
        <w:rPr>
          <w:rFonts w:ascii="Times New Roman" w:hAnsi="Times New Roman" w:cs="Times New Roman"/>
          <w:sz w:val="20"/>
          <w:szCs w:val="20"/>
        </w:rPr>
        <w:object w:dxaOrig="22080" w:dyaOrig="12420">
          <v:rect id="_x0000_i1028" style="width:239.25pt;height:164.25pt;mso-wrap-distance-left:0;mso-wrap-distance-top:0;mso-wrap-distance-right:0;mso-wrap-distance-bottom:0" o:ole="" filled="f" stroked="f">
            <v:imagedata r:id="rId75" o:title=""/>
          </v:rect>
          <o:OLEObject Type="Embed" ProgID="StaticMetafile" ShapeID="_x0000_i1028" DrawAspect="Content" ObjectID="_1603718605" r:id="rId76"/>
        </w:object>
      </w:r>
    </w:p>
    <w:p w:rsidR="00517711" w:rsidRDefault="00F815BE">
      <w:pPr>
        <w:spacing w:after="0" w:line="240" w:lineRule="auto"/>
        <w:ind w:firstLine="709"/>
        <w:jc w:val="center"/>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Рис.4. Тематика Экскурсионных программ представленных, на рынке </w:t>
      </w:r>
    </w:p>
    <w:p w:rsidR="00517711" w:rsidRDefault="00F815BE">
      <w:pPr>
        <w:spacing w:after="0" w:line="240" w:lineRule="auto"/>
        <w:ind w:firstLine="709"/>
        <w:jc w:val="center"/>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г. Владивостока</w:t>
      </w:r>
    </w:p>
    <w:p w:rsidR="00517711" w:rsidRDefault="00517711">
      <w:pPr>
        <w:spacing w:after="0" w:line="240" w:lineRule="auto"/>
        <w:ind w:firstLine="709"/>
        <w:jc w:val="both"/>
        <w:rPr>
          <w:rFonts w:ascii="Times New Roman" w:hAnsi="Times New Roman" w:cs="Times New Roman"/>
          <w:color w:val="000000"/>
          <w:sz w:val="20"/>
          <w:szCs w:val="20"/>
          <w:shd w:val="clear" w:color="auto" w:fill="FFFFFF"/>
        </w:rPr>
      </w:pP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Особый вклад в экономическое развитие туристической индустрии Приморского края вносит возрастающее с каждым годом количество иностранных туристов (рис. 5).</w:t>
      </w:r>
    </w:p>
    <w:p w:rsidR="00517711" w:rsidRDefault="00517711">
      <w:pPr>
        <w:spacing w:after="0" w:line="240" w:lineRule="auto"/>
        <w:ind w:firstLine="709"/>
        <w:jc w:val="both"/>
        <w:rPr>
          <w:rFonts w:ascii="Times New Roman" w:hAnsi="Times New Roman" w:cs="Times New Roman"/>
          <w:color w:val="000000"/>
          <w:sz w:val="20"/>
          <w:szCs w:val="20"/>
          <w:shd w:val="clear" w:color="auto" w:fill="FFFFFF"/>
        </w:rPr>
      </w:pPr>
    </w:p>
    <w:p w:rsidR="00517711" w:rsidRDefault="00F815BE">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rPr>
        <w:object w:dxaOrig="28800" w:dyaOrig="16200">
          <v:rect id="_x0000_i1029" style="width:242.25pt;height:171pt;mso-wrap-distance-left:0;mso-wrap-distance-top:0;mso-wrap-distance-right:0;mso-wrap-distance-bottom:0" o:ole="" filled="f" stroked="f">
            <v:imagedata r:id="rId77" o:title=""/>
          </v:rect>
          <o:OLEObject Type="Embed" ProgID="StaticMetafile" ShapeID="_x0000_i1029" DrawAspect="Content" ObjectID="_1603718606" r:id="rId78"/>
        </w:object>
      </w:r>
    </w:p>
    <w:p w:rsidR="00517711" w:rsidRDefault="00F815BE">
      <w:pPr>
        <w:spacing w:after="0" w:line="240" w:lineRule="auto"/>
        <w:jc w:val="center"/>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Рис. 5. Сведения о количестве иностранных граждан, посетивших Приморский край</w:t>
      </w:r>
    </w:p>
    <w:p w:rsidR="00517711" w:rsidRDefault="00F815BE">
      <w:pPr>
        <w:spacing w:after="0" w:line="240" w:lineRule="auto"/>
        <w:jc w:val="center"/>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[Данные департамента туризма по Приморскому краю за 2016-2017гг.]</w:t>
      </w:r>
    </w:p>
    <w:p w:rsidR="00517711" w:rsidRDefault="00517711">
      <w:pPr>
        <w:spacing w:after="0" w:line="240" w:lineRule="auto"/>
        <w:ind w:firstLine="709"/>
        <w:jc w:val="both"/>
        <w:rPr>
          <w:rFonts w:ascii="Times New Roman" w:hAnsi="Times New Roman" w:cs="Times New Roman"/>
          <w:color w:val="000000"/>
          <w:sz w:val="20"/>
          <w:szCs w:val="20"/>
          <w:shd w:val="clear" w:color="auto" w:fill="FFFFFF"/>
        </w:rPr>
      </w:pP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Количество иностранных граждан посещающих Приморский край с каждым годом увеличивается и растет спрос на экскурсионные программы. В основном это туристы из КНР, их более 70 тыс., на втором месте - Республика Корея, на третьем - Япония. Иностранным туристам предлагается посещение исторических и обзорных экскурсий по городу. Благодаря увеличению количества иностранных туристов повышается уровень рыночной экономики и развиваются смежные отрасли экономики, что способствует развитию внутреннего туризма.</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Несмотря на увеличивающийся с каждым годом поток иностранных туристов в Приморский край, ограниченное количество туристических фирм реализуют экскурсионные программы. Сдерживающими факторами являются: трудоемкость разработки и внедрения программы, низкая прибыль от продаж, наличие самостоятельных экскурсантов, однообразие экскурсий, высокие транспортные расходы и др.</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Безусловно, главное, чем турфирма может привлечь клиента – это профессионализм и приемлемая ценовая политика. Но в условиях высокой конкуренции этого становится мало. Поэтому необходимо внедрение инноваций в экскурсионную деятельность. Разработка новых экскурсионных маршрутов расширит поле деятельности экскурсионной фирмы и повысит её конкурентоспособность. </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Популярность во всем мире набирают квест-экскурсии. Экскурсант проходит по заранее проложенному маршруту и в процессе увлекательной игры знакомится с достопримечательностями города. Кроме того, он не пассивный слушатель, как на обычной экскурсии, ему нужно самому найти ответ на тот или иной вопрос. А туристическая компания в свою очередь снабжает его всеми историческими фактами. </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В настоящее время в России наблюдается устойчивая тенденция к увеличению количества компаний, проводящих квест-экскурсии. Например, в городе Москва компания «Street Adventure» (которая имеет более 30 видов квест-экскурсий:в музеях, парках, в метро, также для любителей велосипедов и автомобилей), компания Grand-Piter (проводит квест-экскурсии по историческим местам Петербурга).</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В Приморском крае представляется целесообразным внедрение квест-экскурсий в предложения туристических компаний, например, провести обзорную экскурсию с элементами квеста, для чего следует продумать увлекательный игровой алгоритм. Для этого игроки должны выполнить задание и дать ответ. Если </w:t>
      </w:r>
      <w:r>
        <w:rPr>
          <w:rFonts w:ascii="Times New Roman" w:hAnsi="Times New Roman" w:cs="Times New Roman"/>
          <w:color w:val="000000"/>
          <w:sz w:val="20"/>
          <w:szCs w:val="20"/>
          <w:shd w:val="clear" w:color="auto" w:fill="FFFFFF"/>
        </w:rPr>
        <w:lastRenderedPageBreak/>
        <w:t>ответ верный, они получают новое задание. Разрабатывая подобные экскурсии, организаторы используют задачи различной сложности. Зашифровывают названия улиц, садов, музеев и иных объектов в разнообразные аббревиатуры. Проводят конкурсы на выносливость в экстремальных условиях. Для детей в программы экскурсий включают театрализованные представления, музыкальное сопровождение. Гиды-аниматоры, пользуясь костюмами, перевоплощаются в сказочных, мультипликационных героев.</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Квест-экскурсии могут быть интересны как для местных жителей, так и для гостей города, которые хотят узнать его в игровой форме. Квесты могут служить для улучшения командного духа в организации, а также для знакомства между собой прежде незнакомых людей. </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Квест-экскурсии как новое перспективное направление в туристической индустрии является необходимым условием повышения качества предоставляемых экскурсионных услуг [3, с. 36].</w:t>
      </w:r>
    </w:p>
    <w:p w:rsidR="00517711" w:rsidRDefault="00517711">
      <w:pPr>
        <w:spacing w:after="0" w:line="240" w:lineRule="auto"/>
        <w:ind w:firstLine="710"/>
        <w:jc w:val="both"/>
        <w:rPr>
          <w:rFonts w:ascii="Times New Roman" w:hAnsi="Times New Roman" w:cs="Times New Roman"/>
          <w:b/>
          <w:color w:val="000000"/>
          <w:sz w:val="20"/>
          <w:szCs w:val="20"/>
          <w:shd w:val="clear" w:color="auto" w:fill="FFFFFF"/>
        </w:rPr>
      </w:pPr>
    </w:p>
    <w:p w:rsidR="00517711" w:rsidRDefault="00F815BE">
      <w:pPr>
        <w:spacing w:after="0" w:line="240" w:lineRule="auto"/>
        <w:jc w:val="both"/>
        <w:rPr>
          <w:rFonts w:ascii="Times New Roman" w:hAnsi="Times New Roman" w:cs="Times New Roman"/>
          <w:b/>
          <w:color w:val="000000"/>
          <w:sz w:val="20"/>
          <w:szCs w:val="20"/>
          <w:shd w:val="clear" w:color="auto" w:fill="FFFFFF"/>
        </w:rPr>
      </w:pPr>
      <w:r>
        <w:rPr>
          <w:rFonts w:ascii="Times New Roman" w:hAnsi="Times New Roman" w:cs="Times New Roman"/>
          <w:b/>
          <w:color w:val="000000"/>
          <w:sz w:val="20"/>
          <w:szCs w:val="20"/>
          <w:shd w:val="clear" w:color="auto" w:fill="FFFFFF"/>
        </w:rPr>
        <w:t>Выводы</w:t>
      </w:r>
    </w:p>
    <w:p w:rsidR="00517711" w:rsidRDefault="00517711">
      <w:pPr>
        <w:spacing w:after="0" w:line="240" w:lineRule="auto"/>
        <w:ind w:firstLine="710"/>
        <w:jc w:val="both"/>
        <w:rPr>
          <w:rFonts w:ascii="Times New Roman" w:hAnsi="Times New Roman" w:cs="Times New Roman"/>
          <w:color w:val="000000"/>
          <w:sz w:val="20"/>
          <w:szCs w:val="20"/>
          <w:shd w:val="clear" w:color="auto" w:fill="FFFFFF"/>
        </w:rPr>
      </w:pPr>
    </w:p>
    <w:p w:rsidR="00517711" w:rsidRDefault="00F815BE">
      <w:pPr>
        <w:spacing w:after="0" w:line="240" w:lineRule="auto"/>
        <w:ind w:firstLine="710"/>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В результате проведенных исследований были выявлены основные туроператоры, реализующие экскурсионные программы и выделены наиболее популярные маршруты.</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Определено, что количество иностранных граждан способствует развитию рынка экскурсионных услуг в городе Владивостоке.</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Предложено внедрение инноваций, а именно квест-экскурсий в экскурсионную деятельность туристических компаний.</w:t>
      </w:r>
    </w:p>
    <w:p w:rsidR="00517711" w:rsidRDefault="00F815BE">
      <w:pPr>
        <w:spacing w:line="240" w:lineRule="auto"/>
        <w:ind w:firstLine="284"/>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 ________________________________</w:t>
      </w:r>
    </w:p>
    <w:p w:rsidR="00517711" w:rsidRDefault="00F815BE">
      <w:pPr>
        <w:numPr>
          <w:ilvl w:val="0"/>
          <w:numId w:val="12"/>
        </w:numPr>
        <w:spacing w:before="120" w:after="120" w:line="240" w:lineRule="auto"/>
        <w:ind w:firstLine="709"/>
        <w:contextualSpacing/>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Матюхина Ю.А. Экскурсионная деятельность / Ю.А. Матюхина, Е.Ю. Мигунова. – Москва: Альфа-М, 2011. – 224с.</w:t>
      </w:r>
    </w:p>
    <w:p w:rsidR="00517711" w:rsidRDefault="00F815BE">
      <w:pPr>
        <w:numPr>
          <w:ilvl w:val="0"/>
          <w:numId w:val="12"/>
        </w:numPr>
        <w:spacing w:before="120" w:after="120" w:line="240" w:lineRule="auto"/>
        <w:ind w:firstLine="709"/>
        <w:contextualSpacing/>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Долженко Г.К. Экскурсионное дело / Г.К. Долженко. –Ростов на Дону: Феникс, 2009. – 271с.</w:t>
      </w:r>
    </w:p>
    <w:p w:rsidR="00517711" w:rsidRDefault="00F815BE">
      <w:pPr>
        <w:numPr>
          <w:ilvl w:val="0"/>
          <w:numId w:val="12"/>
        </w:numPr>
        <w:spacing w:before="120" w:after="120" w:line="240" w:lineRule="auto"/>
        <w:ind w:firstLine="709"/>
        <w:contextualSpacing/>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Малахова Н.Н., Ушаков Д.С. Инновации в туризме и сервисе / Н.Н. Малахова, Д.С. Ушаков. - Москва: ИКЦ «МарТ», 2008. – 224с.</w:t>
      </w:r>
    </w:p>
    <w:p w:rsidR="00517711" w:rsidRDefault="00517711">
      <w:pPr>
        <w:spacing w:after="0"/>
        <w:jc w:val="center"/>
        <w:rPr>
          <w:rFonts w:ascii="Times New Roman" w:eastAsia="Calibri" w:hAnsi="Times New Roman"/>
          <w:b/>
          <w:sz w:val="20"/>
          <w:szCs w:val="24"/>
        </w:rPr>
      </w:pPr>
    </w:p>
    <w:p w:rsidR="00517711" w:rsidRDefault="00F815BE">
      <w:pPr>
        <w:spacing w:after="0" w:line="240" w:lineRule="auto"/>
        <w:jc w:val="both"/>
        <w:rPr>
          <w:rFonts w:ascii="Times New Roman" w:eastAsia="Calibri" w:hAnsi="Times New Roman"/>
          <w:b/>
          <w:sz w:val="20"/>
          <w:szCs w:val="24"/>
        </w:rPr>
      </w:pPr>
      <w:r>
        <w:rPr>
          <w:rFonts w:ascii="Times New Roman" w:eastAsia="Calibri" w:hAnsi="Times New Roman"/>
          <w:b/>
          <w:sz w:val="20"/>
          <w:szCs w:val="24"/>
        </w:rPr>
        <w:t>Рубрика: Современные тренды развития туристских дестинаций</w:t>
      </w:r>
    </w:p>
    <w:p w:rsidR="00517711" w:rsidRDefault="00517711">
      <w:pPr>
        <w:spacing w:after="0" w:line="240" w:lineRule="auto"/>
        <w:jc w:val="both"/>
        <w:rPr>
          <w:rFonts w:ascii="Times New Roman" w:eastAsia="Calibri" w:hAnsi="Times New Roman"/>
          <w:sz w:val="20"/>
          <w:szCs w:val="24"/>
        </w:rPr>
      </w:pPr>
    </w:p>
    <w:p w:rsidR="00517711" w:rsidRDefault="00F815BE">
      <w:pPr>
        <w:spacing w:after="0" w:line="240" w:lineRule="auto"/>
        <w:jc w:val="both"/>
        <w:rPr>
          <w:rFonts w:ascii="Times New Roman" w:eastAsia="Calibri" w:hAnsi="Times New Roman"/>
          <w:sz w:val="20"/>
          <w:szCs w:val="24"/>
        </w:rPr>
      </w:pPr>
      <w:r>
        <w:rPr>
          <w:rFonts w:ascii="Times New Roman" w:eastAsia="Calibri" w:hAnsi="Times New Roman"/>
          <w:sz w:val="20"/>
          <w:szCs w:val="24"/>
        </w:rPr>
        <w:t>УДК  336.486</w:t>
      </w:r>
    </w:p>
    <w:p w:rsidR="00517711" w:rsidRDefault="00517711">
      <w:pPr>
        <w:spacing w:after="0"/>
        <w:jc w:val="both"/>
        <w:rPr>
          <w:rFonts w:ascii="Times New Roman" w:eastAsia="Calibri" w:hAnsi="Times New Roman"/>
          <w:sz w:val="24"/>
          <w:szCs w:val="24"/>
        </w:rPr>
      </w:pPr>
    </w:p>
    <w:p w:rsidR="00517711" w:rsidRDefault="00F815BE">
      <w:pPr>
        <w:spacing w:after="0" w:line="240" w:lineRule="auto"/>
        <w:jc w:val="center"/>
        <w:rPr>
          <w:rFonts w:ascii="Book Antiqua" w:eastAsia="Calibri" w:hAnsi="Book Antiqua"/>
          <w:b/>
          <w:sz w:val="26"/>
          <w:szCs w:val="26"/>
        </w:rPr>
      </w:pPr>
      <w:r>
        <w:rPr>
          <w:rFonts w:ascii="Book Antiqua" w:eastAsia="Calibri" w:hAnsi="Book Antiqua"/>
          <w:b/>
          <w:sz w:val="26"/>
          <w:szCs w:val="26"/>
        </w:rPr>
        <w:t>ОРГАНИЗАЦИОННЫЕ МОДЕЛИ КУЛИНАРНЫХ ФЕСТИВАЛЕЙ</w:t>
      </w:r>
    </w:p>
    <w:p w:rsidR="00517711" w:rsidRDefault="00F815BE">
      <w:pPr>
        <w:spacing w:after="0" w:line="240" w:lineRule="auto"/>
        <w:jc w:val="center"/>
        <w:rPr>
          <w:rFonts w:ascii="Arial" w:eastAsia="Calibri" w:hAnsi="Arial" w:cs="Arial"/>
          <w:b/>
          <w:sz w:val="24"/>
          <w:szCs w:val="24"/>
        </w:rPr>
      </w:pPr>
      <w:r>
        <w:rPr>
          <w:rFonts w:ascii="Times New Roman" w:eastAsia="Calibri" w:hAnsi="Times New Roman"/>
          <w:sz w:val="24"/>
          <w:szCs w:val="24"/>
        </w:rPr>
        <w:br/>
      </w:r>
      <w:r>
        <w:rPr>
          <w:rFonts w:ascii="Arial" w:eastAsia="Calibri" w:hAnsi="Arial" w:cs="Arial"/>
          <w:b/>
          <w:sz w:val="24"/>
          <w:szCs w:val="24"/>
        </w:rPr>
        <w:t xml:space="preserve">Ден Валерия Гихоевна, </w:t>
      </w:r>
    </w:p>
    <w:p w:rsidR="00517711" w:rsidRDefault="00F815BE">
      <w:pPr>
        <w:spacing w:after="0" w:line="240" w:lineRule="auto"/>
        <w:jc w:val="center"/>
        <w:rPr>
          <w:rFonts w:ascii="Arial" w:eastAsia="Calibri" w:hAnsi="Arial" w:cs="Arial"/>
          <w:sz w:val="24"/>
          <w:szCs w:val="24"/>
        </w:rPr>
      </w:pPr>
      <w:r>
        <w:rPr>
          <w:rFonts w:ascii="Arial" w:eastAsia="Calibri" w:hAnsi="Arial" w:cs="Arial"/>
          <w:sz w:val="24"/>
          <w:szCs w:val="24"/>
        </w:rPr>
        <w:t>бакалавр 4 курса</w:t>
      </w:r>
    </w:p>
    <w:p w:rsidR="00517711" w:rsidRDefault="00F815BE">
      <w:pPr>
        <w:spacing w:after="0" w:line="240" w:lineRule="auto"/>
        <w:jc w:val="center"/>
        <w:rPr>
          <w:rFonts w:ascii="Times New Roman" w:eastAsia="Calibri" w:hAnsi="Times New Roman"/>
          <w:i/>
          <w:szCs w:val="24"/>
        </w:rPr>
      </w:pPr>
      <w:r>
        <w:rPr>
          <w:rFonts w:ascii="Times New Roman" w:eastAsia="Calibri" w:hAnsi="Times New Roman"/>
          <w:szCs w:val="24"/>
        </w:rPr>
        <w:br/>
      </w:r>
      <w:r>
        <w:rPr>
          <w:rFonts w:ascii="Times New Roman" w:eastAsia="Calibri" w:hAnsi="Times New Roman"/>
          <w:i/>
          <w:szCs w:val="24"/>
        </w:rPr>
        <w:t>Владивостокский государственный университет экономики и сервиса</w:t>
      </w:r>
      <w:r>
        <w:rPr>
          <w:rFonts w:ascii="Times New Roman" w:eastAsia="Calibri" w:hAnsi="Times New Roman"/>
          <w:szCs w:val="24"/>
        </w:rPr>
        <w:br/>
      </w:r>
      <w:r>
        <w:rPr>
          <w:rFonts w:ascii="Times New Roman" w:eastAsia="Calibri" w:hAnsi="Times New Roman"/>
          <w:i/>
          <w:szCs w:val="24"/>
        </w:rPr>
        <w:t>Россия. Владивосток</w:t>
      </w:r>
    </w:p>
    <w:p w:rsidR="00517711" w:rsidRPr="00BD6187" w:rsidRDefault="00F815BE">
      <w:pPr>
        <w:spacing w:after="0" w:line="240" w:lineRule="auto"/>
        <w:jc w:val="center"/>
        <w:rPr>
          <w:rFonts w:ascii="Times New Roman" w:eastAsia="Calibri" w:hAnsi="Times New Roman" w:cs="Times New Roman"/>
          <w:sz w:val="20"/>
          <w:szCs w:val="20"/>
        </w:rPr>
      </w:pPr>
      <w:r w:rsidRPr="00BD6187">
        <w:rPr>
          <w:rFonts w:ascii="Times New Roman" w:eastAsia="Calibri" w:hAnsi="Times New Roman"/>
          <w:sz w:val="24"/>
          <w:szCs w:val="24"/>
        </w:rPr>
        <w:br/>
      </w:r>
      <w:r>
        <w:rPr>
          <w:rFonts w:ascii="Times New Roman" w:eastAsia="Calibri" w:hAnsi="Times New Roman" w:cs="Times New Roman"/>
          <w:sz w:val="20"/>
          <w:szCs w:val="20"/>
          <w:lang w:val="en-US"/>
        </w:rPr>
        <w:t>E</w:t>
      </w:r>
      <w:r w:rsidRPr="00BD6187">
        <w:rPr>
          <w:rFonts w:ascii="Times New Roman" w:eastAsia="Calibri" w:hAnsi="Times New Roman" w:cs="Times New Roman"/>
          <w:sz w:val="20"/>
          <w:szCs w:val="20"/>
        </w:rPr>
        <w:t>-</w:t>
      </w:r>
      <w:r>
        <w:rPr>
          <w:rFonts w:ascii="Times New Roman" w:eastAsia="Calibri" w:hAnsi="Times New Roman" w:cs="Times New Roman"/>
          <w:sz w:val="20"/>
          <w:szCs w:val="20"/>
          <w:lang w:val="en-US"/>
        </w:rPr>
        <w:t>mail</w:t>
      </w:r>
      <w:r w:rsidRPr="00BD6187">
        <w:rPr>
          <w:rFonts w:ascii="Times New Roman" w:eastAsia="Calibri" w:hAnsi="Times New Roman" w:cs="Times New Roman"/>
          <w:sz w:val="20"/>
          <w:szCs w:val="20"/>
        </w:rPr>
        <w:t xml:space="preserve">: </w:t>
      </w:r>
      <w:hyperlink r:id="rId79" w:history="1">
        <w:r>
          <w:rPr>
            <w:rFonts w:ascii="Times New Roman" w:eastAsia="Calibri" w:hAnsi="Times New Roman" w:cs="Times New Roman"/>
            <w:sz w:val="20"/>
            <w:szCs w:val="20"/>
            <w:lang w:val="en-US"/>
          </w:rPr>
          <w:t>denlero</w:t>
        </w:r>
        <w:r w:rsidRPr="00BD6187">
          <w:rPr>
            <w:rFonts w:ascii="Times New Roman" w:eastAsia="Calibri" w:hAnsi="Times New Roman" w:cs="Times New Roman"/>
            <w:sz w:val="20"/>
            <w:szCs w:val="20"/>
          </w:rPr>
          <w:t>4</w:t>
        </w:r>
        <w:r>
          <w:rPr>
            <w:rFonts w:ascii="Times New Roman" w:eastAsia="Calibri" w:hAnsi="Times New Roman" w:cs="Times New Roman"/>
            <w:sz w:val="20"/>
            <w:szCs w:val="20"/>
            <w:lang w:val="en-US"/>
          </w:rPr>
          <w:t>ka</w:t>
        </w:r>
        <w:r w:rsidRPr="00BD6187">
          <w:rPr>
            <w:rFonts w:ascii="Times New Roman" w:eastAsia="Calibri" w:hAnsi="Times New Roman" w:cs="Times New Roman"/>
            <w:sz w:val="20"/>
            <w:szCs w:val="20"/>
          </w:rPr>
          <w:t>96@</w:t>
        </w:r>
        <w:r>
          <w:rPr>
            <w:rFonts w:ascii="Times New Roman" w:eastAsia="Calibri" w:hAnsi="Times New Roman" w:cs="Times New Roman"/>
            <w:sz w:val="20"/>
            <w:szCs w:val="20"/>
            <w:lang w:val="en-US"/>
          </w:rPr>
          <w:t>mail</w:t>
        </w:r>
        <w:r w:rsidRPr="00BD6187">
          <w:rPr>
            <w:rFonts w:ascii="Times New Roman" w:eastAsia="Calibri" w:hAnsi="Times New Roman" w:cs="Times New Roman"/>
            <w:sz w:val="20"/>
            <w:szCs w:val="20"/>
          </w:rPr>
          <w:t>.</w:t>
        </w:r>
        <w:r>
          <w:rPr>
            <w:rFonts w:ascii="Times New Roman" w:eastAsia="Calibri" w:hAnsi="Times New Roman" w:cs="Times New Roman"/>
            <w:sz w:val="20"/>
            <w:szCs w:val="20"/>
            <w:lang w:val="en-US"/>
          </w:rPr>
          <w:t>ru</w:t>
        </w:r>
      </w:hyperlink>
      <w:r w:rsidRPr="00BD6187">
        <w:rPr>
          <w:rFonts w:ascii="Times New Roman" w:eastAsia="Calibri" w:hAnsi="Times New Roman" w:cs="Times New Roman"/>
          <w:sz w:val="20"/>
          <w:szCs w:val="20"/>
        </w:rPr>
        <w:t xml:space="preserve">; </w:t>
      </w:r>
      <w:r>
        <w:rPr>
          <w:rFonts w:ascii="Times New Roman" w:eastAsia="Calibri" w:hAnsi="Times New Roman" w:cs="Times New Roman"/>
          <w:sz w:val="20"/>
          <w:szCs w:val="20"/>
        </w:rPr>
        <w:t>тел</w:t>
      </w:r>
      <w:r w:rsidRPr="00BD6187">
        <w:rPr>
          <w:rFonts w:ascii="Times New Roman" w:eastAsia="Calibri" w:hAnsi="Times New Roman" w:cs="Times New Roman"/>
          <w:sz w:val="20"/>
          <w:szCs w:val="20"/>
        </w:rPr>
        <w:t xml:space="preserve">.: +79841883337; </w:t>
      </w:r>
    </w:p>
    <w:p w:rsidR="00517711" w:rsidRDefault="00F815BE">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ул. Гоголя, 41, г. Владивосток, Приморский край, Россия, 690014</w:t>
      </w:r>
    </w:p>
    <w:p w:rsidR="00517711" w:rsidRDefault="00517711">
      <w:pPr>
        <w:spacing w:after="0" w:line="240" w:lineRule="auto"/>
        <w:jc w:val="center"/>
        <w:rPr>
          <w:rFonts w:ascii="Times New Roman" w:eastAsia="Calibri" w:hAnsi="Times New Roman"/>
          <w:sz w:val="24"/>
          <w:szCs w:val="24"/>
        </w:rPr>
      </w:pPr>
    </w:p>
    <w:p w:rsidR="00517711" w:rsidRDefault="00F815BE">
      <w:pPr>
        <w:spacing w:after="0" w:line="240" w:lineRule="auto"/>
        <w:jc w:val="center"/>
        <w:rPr>
          <w:rFonts w:ascii="Arial" w:eastAsia="Calibri" w:hAnsi="Arial" w:cs="Arial"/>
          <w:b/>
          <w:sz w:val="24"/>
          <w:szCs w:val="24"/>
        </w:rPr>
      </w:pPr>
      <w:r>
        <w:rPr>
          <w:rFonts w:ascii="Arial" w:eastAsia="Calibri" w:hAnsi="Arial" w:cs="Arial"/>
          <w:b/>
          <w:sz w:val="24"/>
          <w:szCs w:val="24"/>
        </w:rPr>
        <w:t>Гомилевская Галина Александровна,</w:t>
      </w:r>
    </w:p>
    <w:p w:rsidR="00517711" w:rsidRDefault="00F815BE">
      <w:pPr>
        <w:spacing w:after="0" w:line="240" w:lineRule="auto"/>
        <w:jc w:val="center"/>
        <w:rPr>
          <w:rFonts w:ascii="Arial" w:eastAsia="Calibri" w:hAnsi="Arial" w:cs="Arial"/>
          <w:sz w:val="24"/>
          <w:szCs w:val="24"/>
        </w:rPr>
      </w:pPr>
      <w:r>
        <w:rPr>
          <w:rFonts w:ascii="Arial" w:eastAsia="Calibri" w:hAnsi="Arial" w:cs="Arial"/>
          <w:sz w:val="24"/>
          <w:szCs w:val="24"/>
        </w:rPr>
        <w:t>директор международного института туризма и гостеприимства</w:t>
      </w:r>
    </w:p>
    <w:p w:rsidR="00517711" w:rsidRDefault="00517711">
      <w:pPr>
        <w:spacing w:after="0" w:line="240" w:lineRule="auto"/>
        <w:jc w:val="center"/>
        <w:rPr>
          <w:rFonts w:ascii="Times New Roman" w:eastAsia="Calibri" w:hAnsi="Times New Roman"/>
          <w:sz w:val="24"/>
          <w:szCs w:val="24"/>
        </w:rPr>
      </w:pPr>
    </w:p>
    <w:p w:rsidR="00517711" w:rsidRDefault="00F815BE">
      <w:pPr>
        <w:spacing w:after="0" w:line="240" w:lineRule="auto"/>
        <w:jc w:val="center"/>
        <w:rPr>
          <w:rFonts w:ascii="Times New Roman" w:eastAsia="Calibri" w:hAnsi="Times New Roman"/>
          <w:i/>
          <w:szCs w:val="24"/>
        </w:rPr>
      </w:pPr>
      <w:r>
        <w:rPr>
          <w:rFonts w:ascii="Times New Roman" w:eastAsia="Calibri" w:hAnsi="Times New Roman"/>
          <w:i/>
          <w:szCs w:val="24"/>
        </w:rPr>
        <w:t>Владивостокский государственный университет экономики и сервиса</w:t>
      </w:r>
      <w:r>
        <w:rPr>
          <w:rFonts w:ascii="Times New Roman" w:eastAsia="Calibri" w:hAnsi="Times New Roman"/>
          <w:i/>
          <w:szCs w:val="24"/>
        </w:rPr>
        <w:br/>
        <w:t>Россия, Владивосток</w:t>
      </w:r>
    </w:p>
    <w:p w:rsidR="00517711" w:rsidRDefault="00517711">
      <w:pPr>
        <w:spacing w:after="0" w:line="240" w:lineRule="auto"/>
        <w:jc w:val="center"/>
        <w:rPr>
          <w:rFonts w:ascii="Times New Roman" w:eastAsia="Calibri" w:hAnsi="Times New Roman"/>
          <w:i/>
          <w:sz w:val="24"/>
          <w:szCs w:val="24"/>
        </w:rPr>
      </w:pPr>
    </w:p>
    <w:p w:rsidR="00517711" w:rsidRDefault="00F815BE">
      <w:pPr>
        <w:spacing w:after="0" w:line="240" w:lineRule="auto"/>
        <w:jc w:val="center"/>
        <w:rPr>
          <w:rFonts w:ascii="Times New Roman" w:eastAsia="Calibri" w:hAnsi="Times New Roman" w:cs="Times New Roman"/>
          <w:sz w:val="20"/>
          <w:szCs w:val="20"/>
          <w:lang w:val="en-US"/>
        </w:rPr>
      </w:pPr>
      <w:r>
        <w:rPr>
          <w:rFonts w:ascii="Times New Roman" w:eastAsia="Calibri" w:hAnsi="Times New Roman" w:cs="Times New Roman"/>
          <w:sz w:val="20"/>
          <w:szCs w:val="20"/>
          <w:lang w:val="en-US"/>
        </w:rPr>
        <w:t xml:space="preserve">E-mail: </w:t>
      </w:r>
      <w:hyperlink r:id="rId80" w:history="1">
        <w:r>
          <w:rPr>
            <w:rFonts w:ascii="Times New Roman" w:eastAsia="Calibri" w:hAnsi="Times New Roman" w:cs="Times New Roman"/>
            <w:sz w:val="20"/>
            <w:szCs w:val="20"/>
            <w:lang w:val="en-US"/>
          </w:rPr>
          <w:t>gag17@yandex.ru</w:t>
        </w:r>
      </w:hyperlink>
      <w:r>
        <w:rPr>
          <w:rFonts w:ascii="Times New Roman" w:eastAsia="Calibri" w:hAnsi="Times New Roman" w:cs="Times New Roman"/>
          <w:sz w:val="20"/>
          <w:szCs w:val="20"/>
          <w:lang w:val="en-US"/>
        </w:rPr>
        <w:t xml:space="preserve">; </w:t>
      </w:r>
      <w:r>
        <w:rPr>
          <w:rFonts w:ascii="Times New Roman" w:eastAsia="Calibri" w:hAnsi="Times New Roman" w:cs="Times New Roman"/>
          <w:sz w:val="20"/>
          <w:szCs w:val="20"/>
        </w:rPr>
        <w:t>тел</w:t>
      </w:r>
      <w:r>
        <w:rPr>
          <w:rFonts w:ascii="Times New Roman" w:eastAsia="Calibri" w:hAnsi="Times New Roman" w:cs="Times New Roman"/>
          <w:sz w:val="20"/>
          <w:szCs w:val="20"/>
          <w:lang w:val="en-US"/>
        </w:rPr>
        <w:t>.: +79644452199;</w:t>
      </w:r>
    </w:p>
    <w:p w:rsidR="00517711" w:rsidRDefault="00F815BE">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ул. Гоголя, 41, г. Владивосток, Приморский край, Россия, 690014</w:t>
      </w:r>
    </w:p>
    <w:p w:rsidR="00517711" w:rsidRDefault="00517711">
      <w:pPr>
        <w:spacing w:after="0" w:line="240" w:lineRule="auto"/>
        <w:jc w:val="center"/>
        <w:rPr>
          <w:rFonts w:ascii="Times New Roman" w:eastAsia="Calibri" w:hAnsi="Times New Roman"/>
          <w:sz w:val="24"/>
          <w:szCs w:val="24"/>
        </w:rPr>
      </w:pPr>
    </w:p>
    <w:p w:rsidR="00517711" w:rsidRDefault="00517711">
      <w:pPr>
        <w:spacing w:after="0" w:line="240" w:lineRule="auto"/>
        <w:jc w:val="center"/>
        <w:rPr>
          <w:rFonts w:ascii="Times New Roman" w:eastAsia="Calibri" w:hAnsi="Times New Roman"/>
          <w:sz w:val="24"/>
          <w:szCs w:val="24"/>
        </w:rPr>
      </w:pPr>
    </w:p>
    <w:p w:rsidR="00517711" w:rsidRDefault="00F815BE">
      <w:pPr>
        <w:spacing w:after="0" w:line="240" w:lineRule="auto"/>
        <w:ind w:firstLine="709"/>
        <w:jc w:val="both"/>
        <w:rPr>
          <w:rFonts w:ascii="Times New Roman" w:eastAsia="Calibri" w:hAnsi="Times New Roman"/>
          <w:i/>
          <w:szCs w:val="24"/>
        </w:rPr>
      </w:pPr>
      <w:r>
        <w:rPr>
          <w:rFonts w:ascii="Times New Roman" w:eastAsia="Calibri" w:hAnsi="Times New Roman"/>
          <w:i/>
          <w:szCs w:val="24"/>
        </w:rPr>
        <w:t xml:space="preserve">Туризм является существенной составляющей развития нашей страны. В качестве инновационного направления туристской деятельности выступает гастрономический туризм, специфика формирования которого связана с природными, этническими, географическими, культурными ресурсами, а также событийными формами организации туризма. Событийные мероприятия, в том числе фестивали, повышают туристскую привлекательность региона и содействуют развитию туризма в регионе в целом. </w:t>
      </w:r>
    </w:p>
    <w:p w:rsidR="00517711" w:rsidRDefault="00F815BE">
      <w:pPr>
        <w:spacing w:after="0" w:line="240" w:lineRule="auto"/>
        <w:ind w:firstLine="709"/>
        <w:jc w:val="both"/>
        <w:rPr>
          <w:rFonts w:ascii="Times New Roman" w:eastAsia="Calibri" w:hAnsi="Times New Roman"/>
          <w:i/>
          <w:szCs w:val="24"/>
        </w:rPr>
      </w:pPr>
      <w:r>
        <w:rPr>
          <w:rFonts w:ascii="Times New Roman" w:eastAsia="Calibri" w:hAnsi="Times New Roman"/>
          <w:i/>
          <w:szCs w:val="24"/>
        </w:rPr>
        <w:lastRenderedPageBreak/>
        <w:t xml:space="preserve"> </w:t>
      </w:r>
      <w:r>
        <w:rPr>
          <w:rFonts w:ascii="Times New Roman" w:eastAsia="Calibri" w:hAnsi="Times New Roman"/>
          <w:b/>
          <w:i/>
          <w:szCs w:val="24"/>
        </w:rPr>
        <w:t>Ключевые слова:</w:t>
      </w:r>
      <w:r>
        <w:rPr>
          <w:rFonts w:ascii="Times New Roman" w:eastAsia="Calibri" w:hAnsi="Times New Roman"/>
          <w:i/>
          <w:szCs w:val="24"/>
        </w:rPr>
        <w:t xml:space="preserve"> туризм, кулинарный фестиваль, гастрономический туризм, организация кулинарных фестивалей, модели гастрономического фестиваля.</w:t>
      </w:r>
    </w:p>
    <w:p w:rsidR="00517711" w:rsidRDefault="00517711">
      <w:pPr>
        <w:spacing w:after="0" w:line="240" w:lineRule="auto"/>
        <w:ind w:firstLine="709"/>
        <w:jc w:val="both"/>
        <w:rPr>
          <w:rFonts w:ascii="Times New Roman" w:eastAsia="Calibri" w:hAnsi="Times New Roman"/>
          <w:i/>
          <w:sz w:val="24"/>
          <w:szCs w:val="24"/>
        </w:rPr>
      </w:pPr>
    </w:p>
    <w:p w:rsidR="00517711" w:rsidRDefault="00F815BE">
      <w:pPr>
        <w:spacing w:after="0" w:line="240" w:lineRule="auto"/>
        <w:jc w:val="center"/>
        <w:rPr>
          <w:rFonts w:ascii="Book Antiqua" w:eastAsia="Calibri" w:hAnsi="Book Antiqua"/>
          <w:b/>
          <w:sz w:val="26"/>
          <w:szCs w:val="26"/>
          <w:lang w:val="en-US"/>
        </w:rPr>
      </w:pPr>
      <w:r>
        <w:rPr>
          <w:rFonts w:ascii="Book Antiqua" w:eastAsia="Calibri" w:hAnsi="Book Antiqua"/>
          <w:b/>
          <w:sz w:val="26"/>
          <w:szCs w:val="26"/>
          <w:lang w:val="en-US"/>
        </w:rPr>
        <w:t>ORGANIZATIONAL MODELS OF CULINARY FESTIVALS</w:t>
      </w:r>
    </w:p>
    <w:p w:rsidR="00517711" w:rsidRDefault="00517711">
      <w:pPr>
        <w:spacing w:after="0" w:line="240" w:lineRule="auto"/>
        <w:ind w:firstLine="709"/>
        <w:jc w:val="both"/>
        <w:rPr>
          <w:rFonts w:ascii="Times New Roman" w:eastAsia="Calibri" w:hAnsi="Times New Roman"/>
          <w:i/>
          <w:sz w:val="24"/>
          <w:szCs w:val="24"/>
          <w:lang w:val="en-US"/>
        </w:rPr>
      </w:pPr>
    </w:p>
    <w:p w:rsidR="00517711" w:rsidRDefault="00F815BE">
      <w:pPr>
        <w:spacing w:after="0" w:line="240" w:lineRule="auto"/>
        <w:ind w:firstLine="709"/>
        <w:jc w:val="both"/>
        <w:rPr>
          <w:rFonts w:ascii="Times New Roman" w:eastAsia="Calibri" w:hAnsi="Times New Roman"/>
          <w:i/>
          <w:szCs w:val="24"/>
          <w:lang w:val="en-US"/>
        </w:rPr>
      </w:pPr>
      <w:r>
        <w:rPr>
          <w:rFonts w:ascii="Times New Roman" w:eastAsia="Calibri" w:hAnsi="Times New Roman"/>
          <w:i/>
          <w:szCs w:val="24"/>
          <w:lang w:val="en-US"/>
        </w:rPr>
        <w:t>Tourism is a significant component of the country development. Gastronomic tourism is the innovative direction of tourism activity, which is connected with natural, ethnic, geographical, cultural resources, as well as event forms of tourism organization. Culinary events, including festivals, increase the tourist attractiveness of the region and contribute to the tourism development of the region in general.</w:t>
      </w:r>
    </w:p>
    <w:p w:rsidR="00517711" w:rsidRDefault="00F815BE">
      <w:pPr>
        <w:spacing w:after="0" w:line="240" w:lineRule="auto"/>
        <w:ind w:firstLine="709"/>
        <w:jc w:val="both"/>
        <w:rPr>
          <w:rFonts w:ascii="Times New Roman" w:eastAsia="Calibri" w:hAnsi="Times New Roman"/>
          <w:i/>
          <w:szCs w:val="24"/>
          <w:lang w:val="en-US"/>
        </w:rPr>
      </w:pPr>
      <w:r>
        <w:rPr>
          <w:rFonts w:ascii="Times New Roman" w:eastAsia="Calibri" w:hAnsi="Times New Roman"/>
          <w:b/>
          <w:i/>
          <w:szCs w:val="24"/>
          <w:lang w:val="en-US"/>
        </w:rPr>
        <w:t>Keywords:</w:t>
      </w:r>
      <w:r>
        <w:rPr>
          <w:rFonts w:ascii="Times New Roman" w:eastAsia="Calibri" w:hAnsi="Times New Roman"/>
          <w:i/>
          <w:szCs w:val="24"/>
          <w:lang w:val="en-US"/>
        </w:rPr>
        <w:t xml:space="preserve"> tourism, culinary festival, gastronomic tourism, culinary festivals organization, gastronomic festival models.</w:t>
      </w:r>
    </w:p>
    <w:p w:rsidR="00517711" w:rsidRDefault="00517711">
      <w:pPr>
        <w:spacing w:after="0" w:line="240" w:lineRule="auto"/>
        <w:ind w:firstLine="709"/>
        <w:jc w:val="both"/>
        <w:rPr>
          <w:rFonts w:ascii="Times New Roman" w:eastAsia="Calibri" w:hAnsi="Times New Roman"/>
          <w:sz w:val="24"/>
          <w:szCs w:val="24"/>
          <w:lang w:val="en-US"/>
        </w:rPr>
      </w:pP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Сегодня гастрономический туризм является одним из самых привлекательных и динамично развивающихся сегментов туризма. Важной составляющей, поддерживающей популярность данного сегмента, являются событийные формы организации туризма кулинарной направленности.</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Цель работы заключается в исследовании организационных аспектов гастрономического фестиваля. </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В ходе работы были выделены следующие задачи:</w:t>
      </w:r>
    </w:p>
    <w:p w:rsidR="00517711" w:rsidRDefault="00F815BE">
      <w:pPr>
        <w:pStyle w:val="af4"/>
        <w:numPr>
          <w:ilvl w:val="0"/>
          <w:numId w:val="15"/>
        </w:numPr>
        <w:spacing w:after="0" w:line="240" w:lineRule="auto"/>
        <w:jc w:val="both"/>
        <w:rPr>
          <w:rFonts w:ascii="Times New Roman" w:eastAsia="Calibri" w:hAnsi="Times New Roman"/>
          <w:sz w:val="20"/>
          <w:szCs w:val="20"/>
        </w:rPr>
      </w:pPr>
      <w:r>
        <w:rPr>
          <w:rFonts w:ascii="Times New Roman" w:eastAsia="Calibri" w:hAnsi="Times New Roman"/>
          <w:sz w:val="20"/>
          <w:szCs w:val="20"/>
        </w:rPr>
        <w:t xml:space="preserve">определить особенности организации гастрономического фестиваля; </w:t>
      </w:r>
    </w:p>
    <w:p w:rsidR="00517711" w:rsidRDefault="00F815BE">
      <w:pPr>
        <w:pStyle w:val="af4"/>
        <w:numPr>
          <w:ilvl w:val="0"/>
          <w:numId w:val="15"/>
        </w:numPr>
        <w:spacing w:after="0" w:line="240" w:lineRule="auto"/>
        <w:jc w:val="both"/>
        <w:rPr>
          <w:rFonts w:ascii="Times New Roman" w:eastAsia="Calibri" w:hAnsi="Times New Roman"/>
          <w:sz w:val="20"/>
          <w:szCs w:val="20"/>
        </w:rPr>
      </w:pPr>
      <w:r>
        <w:rPr>
          <w:rFonts w:ascii="Times New Roman" w:eastAsia="Calibri" w:hAnsi="Times New Roman"/>
          <w:sz w:val="20"/>
          <w:szCs w:val="20"/>
        </w:rPr>
        <w:t xml:space="preserve">выделить модели организации кулинарного фестиваля; </w:t>
      </w:r>
    </w:p>
    <w:p w:rsidR="00517711" w:rsidRDefault="00F815BE">
      <w:pPr>
        <w:pStyle w:val="af4"/>
        <w:numPr>
          <w:ilvl w:val="0"/>
          <w:numId w:val="15"/>
        </w:numPr>
        <w:spacing w:after="0" w:line="240" w:lineRule="auto"/>
        <w:jc w:val="both"/>
        <w:rPr>
          <w:rFonts w:ascii="Times New Roman" w:eastAsia="Calibri" w:hAnsi="Times New Roman"/>
          <w:sz w:val="20"/>
          <w:szCs w:val="20"/>
        </w:rPr>
      </w:pPr>
      <w:r>
        <w:rPr>
          <w:rFonts w:ascii="Times New Roman" w:eastAsia="Calibri" w:hAnsi="Times New Roman"/>
          <w:sz w:val="20"/>
          <w:szCs w:val="20"/>
        </w:rPr>
        <w:t>систематизировать методы и приемы организации фестиваля;</w:t>
      </w:r>
    </w:p>
    <w:p w:rsidR="00517711" w:rsidRDefault="00F815BE">
      <w:pPr>
        <w:pStyle w:val="af4"/>
        <w:numPr>
          <w:ilvl w:val="0"/>
          <w:numId w:val="15"/>
        </w:numPr>
        <w:spacing w:after="0" w:line="240" w:lineRule="auto"/>
        <w:jc w:val="both"/>
        <w:rPr>
          <w:rFonts w:ascii="Times New Roman" w:eastAsia="Calibri" w:hAnsi="Times New Roman"/>
          <w:sz w:val="20"/>
          <w:szCs w:val="20"/>
        </w:rPr>
      </w:pPr>
      <w:r>
        <w:rPr>
          <w:rFonts w:ascii="Times New Roman" w:eastAsia="Calibri" w:hAnsi="Times New Roman"/>
          <w:sz w:val="20"/>
          <w:szCs w:val="20"/>
        </w:rPr>
        <w:t>разработать принципиальную схему организации кулинарного фестиваля.</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За последние годы в российской практике появилось достаточно много серьезных и разносторонних исследований о роли гастрономических фестивалей в продвижении регионов. В исследованиях Ворониной А.Б [1], Чумаковой В. В. [2], Чурсиной Е.В. [3] и других авторов отмечается значимость кулинарных фестивалей в развитии регионов, развитии туризма в России, представлен анализ ресурсного потенциала фестивалей по различной гастрономической тематике. При этом в работах недостаточное внимание уделено организационным и технологическим аспектам при разработке гастрономических программ и организации кулинарных фестивалей.</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По нашему мнению, гастрономический фестиваль, как массовое мероприятие, включает комплекс мероприятий кулинарной направленности (демонстрацию, смотр, продажу и дегустацию кулинарных блюд и напитков) и выступает в качестве профессиональной площадки для коммуникации потребителей, производителей и специалистов общественного питания с использованием конкурсных, презентационных и развлекательных мероприятий [4].</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Следует отметить, что фестивальный туризм способен решить проблему сезонности, способствует росту занятости населения, расширяет ресурсный потенциал региона, что впоследствии оказывает положительное влияние на экономическое и социальное развитие региона.</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На основании комплексного исследования широкого разнообразия форм кулинарных фестивалей [5, 6], изучения мирового и отечественного опыта авторами предложены четыре базовых модели организации кулинарных фестивалей (Рисунок 1).</w:t>
      </w:r>
    </w:p>
    <w:p w:rsidR="00517711" w:rsidRDefault="00F815BE">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noProof/>
          <w:sz w:val="20"/>
          <w:szCs w:val="20"/>
          <w:lang w:eastAsia="ru-RU"/>
        </w:rPr>
        <w:drawing>
          <wp:inline distT="0" distB="0" distL="0" distR="0">
            <wp:extent cx="4552948" cy="2590798"/>
            <wp:effectExtent l="0" t="0" r="0" b="0"/>
            <wp:docPr id="4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1. Модели гастрономических фестивалей.bmp"/>
                    <pic:cNvPicPr>
                      <a:picLocks noChangeAspect="1"/>
                    </pic:cNvPicPr>
                  </pic:nvPicPr>
                  <pic:blipFill>
                    <a:blip r:embed="rId81"/>
                    <a:stretch/>
                  </pic:blipFill>
                  <pic:spPr bwMode="auto">
                    <a:xfrm>
                      <a:off x="0" y="0"/>
                      <a:ext cx="4552950" cy="2590800"/>
                    </a:xfrm>
                    <a:prstGeom prst="rect">
                      <a:avLst/>
                    </a:prstGeom>
                  </pic:spPr>
                </pic:pic>
              </a:graphicData>
            </a:graphic>
          </wp:inline>
        </w:drawing>
      </w:r>
    </w:p>
    <w:p w:rsidR="00517711" w:rsidRDefault="00F815BE">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Рис.1. Модели гастрономических фестивалей</w:t>
      </w:r>
    </w:p>
    <w:p w:rsidR="00517711" w:rsidRDefault="00517711">
      <w:pPr>
        <w:spacing w:after="0" w:line="240" w:lineRule="auto"/>
        <w:ind w:firstLine="709"/>
        <w:jc w:val="both"/>
        <w:rPr>
          <w:rFonts w:ascii="Times New Roman" w:eastAsia="Calibri" w:hAnsi="Times New Roman" w:cs="Times New Roman"/>
          <w:sz w:val="20"/>
          <w:szCs w:val="20"/>
        </w:rPr>
      </w:pP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Согласно рисунку, предложены историческая (основанная на хранении истории и соблюдении традиций), этнографическая (связанная с национальными и этническими кухнями), географическая (связанная с </w:t>
      </w:r>
      <w:r>
        <w:rPr>
          <w:rFonts w:ascii="Times New Roman" w:eastAsia="Calibri" w:hAnsi="Times New Roman" w:cs="Times New Roman"/>
          <w:sz w:val="20"/>
          <w:szCs w:val="20"/>
        </w:rPr>
        <w:lastRenderedPageBreak/>
        <w:t>продвижением региональных сельскохозяйственных культур) и продовольственная модель (при которой участники фестиваля представляют определенные продукты и напитки вне зависимости от места производства).</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Гастрономический фестиваль имеет свою специфику. В нее входит подготовка и поиск:</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1. Специального оборудования для проведения мастер-классов и шоу;</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2. Сырьевых материалов;</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3. Профессиональных шеф-поваров;</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4. Оборудования для хранения сырья и готовых продуктов;</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5. Плана дегустации блюд [7].</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С учетом специфики гастрономических мероприятий нами предложена схема организации кулинарного фестиваля (Рисунок 2), которая устанавливает системообразующие принципы управления мероприятием на основе проектного управления. </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Проектное управление кулинарным фестивалем подразумевает различные формы социального партнерства, основанного на совместной работе и взаимном учете интересов участников проекта. Как правило, организация фестиваля основана на принципах государственно-частного партнерства с внедрением правовой формы инвестиционного товарищества (ИТ) [8]. В следствие договорных отношений социальное партнерство дает возможность увеличить результативность использования ресурсов и сформировать баланс интересов участников. Социальное партнерство также требует решения вопросов согласования с органами регионального и местного управления, в том числе – обеспечения безопасности участников фестиваля и своевременных действий со стороны Скорой помощи, МЧС, полиции.</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На этапе разработки концепции выделяется тематика мероприятия, цели и задачи. Данный шаг становится исходным вектором, который определяет направления работы команды организаторов. Необходимо обозначить, что эффективность фестиваля зависит, в первую очередь, от его уникальности и времени проведения. Исследования показывают, что ряд кулинарных фестивалей имеют схожие тематики и зачастую проводятся одновременно, что снижает их результативность и привлекательность. </w:t>
      </w:r>
    </w:p>
    <w:p w:rsidR="00517711" w:rsidRDefault="00517711">
      <w:pPr>
        <w:spacing w:after="0" w:line="240" w:lineRule="auto"/>
        <w:ind w:firstLine="709"/>
        <w:jc w:val="both"/>
        <w:rPr>
          <w:rFonts w:ascii="Times New Roman" w:eastAsia="Calibri" w:hAnsi="Times New Roman" w:cs="Times New Roman"/>
          <w:sz w:val="20"/>
          <w:szCs w:val="20"/>
        </w:rPr>
      </w:pPr>
    </w:p>
    <w:p w:rsidR="00517711" w:rsidRDefault="00F815BE">
      <w:pPr>
        <w:spacing w:after="0" w:line="240" w:lineRule="auto"/>
        <w:jc w:val="center"/>
        <w:rPr>
          <w:rFonts w:ascii="Times New Roman" w:eastAsia="Calibri" w:hAnsi="Times New Roman" w:cs="Times New Roman"/>
          <w:color w:val="FF0000"/>
          <w:sz w:val="20"/>
          <w:szCs w:val="20"/>
        </w:rPr>
      </w:pPr>
      <w:r>
        <w:rPr>
          <w:rFonts w:ascii="Times New Roman" w:eastAsia="Calibri" w:hAnsi="Times New Roman" w:cs="Times New Roman"/>
          <w:noProof/>
          <w:color w:val="FF0000"/>
          <w:sz w:val="20"/>
          <w:szCs w:val="20"/>
          <w:lang w:eastAsia="ru-RU"/>
        </w:rPr>
        <w:drawing>
          <wp:inline distT="0" distB="0" distL="0" distR="0">
            <wp:extent cx="5391148" cy="3381373"/>
            <wp:effectExtent l="0" t="0" r="0" b="9523"/>
            <wp:docPr id="44"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2. Схема организации гкулинарных фестивалей.bmp"/>
                    <pic:cNvPicPr>
                      <a:picLocks noChangeAspect="1"/>
                    </pic:cNvPicPr>
                  </pic:nvPicPr>
                  <pic:blipFill>
                    <a:blip r:embed="rId82"/>
                    <a:srcRect l="1190" t="4825" r="2551"/>
                    <a:stretch/>
                  </pic:blipFill>
                  <pic:spPr bwMode="auto">
                    <a:xfrm>
                      <a:off x="0" y="0"/>
                      <a:ext cx="5391150" cy="3381375"/>
                    </a:xfrm>
                    <a:prstGeom prst="rect">
                      <a:avLst/>
                    </a:prstGeom>
                    <a:ln>
                      <a:noFill/>
                    </a:ln>
                  </pic:spPr>
                </pic:pic>
              </a:graphicData>
            </a:graphic>
          </wp:inline>
        </w:drawing>
      </w:r>
    </w:p>
    <w:p w:rsidR="00517711" w:rsidRDefault="00F815BE">
      <w:pPr>
        <w:spacing w:after="0" w:line="240" w:lineRule="auto"/>
        <w:ind w:firstLine="709"/>
        <w:jc w:val="center"/>
        <w:rPr>
          <w:rFonts w:ascii="Times New Roman" w:eastAsia="Calibri" w:hAnsi="Times New Roman" w:cs="Times New Roman"/>
          <w:sz w:val="20"/>
          <w:szCs w:val="20"/>
        </w:rPr>
      </w:pPr>
      <w:r>
        <w:rPr>
          <w:rFonts w:ascii="Times New Roman" w:eastAsia="Calibri" w:hAnsi="Times New Roman" w:cs="Times New Roman"/>
          <w:sz w:val="20"/>
          <w:szCs w:val="20"/>
        </w:rPr>
        <w:t>Рис.2. – Схема организации кулинарного фестиваля</w:t>
      </w:r>
    </w:p>
    <w:p w:rsidR="00517711" w:rsidRDefault="00517711">
      <w:pPr>
        <w:spacing w:after="0" w:line="240" w:lineRule="auto"/>
        <w:ind w:firstLine="709"/>
        <w:jc w:val="center"/>
        <w:rPr>
          <w:rFonts w:ascii="Times New Roman" w:eastAsia="Calibri" w:hAnsi="Times New Roman" w:cs="Times New Roman"/>
          <w:sz w:val="20"/>
          <w:szCs w:val="20"/>
        </w:rPr>
      </w:pP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Процесс планирования кулинарного фестиваля включает исследование рынка, анализ потребителей, характеристику продукции и услуг, план продвижения и составление четкого регламента с детальной программой. Опыт организации фестивалей свидетельствует о предъявлении высоких требований к маркетингу, в том числе - созданию тематического сайта, ведению аккаунтов в социальных сетях и т.д. Пример организации фестиваля «Изобилие» в Самаре показывает, что, несмотря на качественный маркетинг фестиваля, непродуманная программа и некорректная оценка рисков могут привести к закрытию фестиваля и негативному отношению участников к организаторам.</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Следующий этап подготовки фестиваля – составление списка участников – определяется в соответствии с выбранной тематикой, в список также должны быть включен обслуживающий или вспомогательный персонал (волонтеры).</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lastRenderedPageBreak/>
        <w:t xml:space="preserve">Этап составления плана дегустации может рассматриваться как возможность инвестирования в имидж предприятия производителя и его продукта. Вместе с тем, необходим тщательный расчет объема необходимого сырья и готового продукта для дегустации. </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Одним из самых важных этапов, требующих предварительной подготовки является обеспечение материально-технической базой (техническое оснащение, свет, мебель, павильоны, стенды, реквизит); холодильным оборудованием; оборудованием для хранения и проведения мастер-классов; посудой и вспомогательной техникой. </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Определение бюджета содержит: составление сметы и поиск источников финансирования, в качестве которых, как правило, выступают организаторы, регистрационные взносы участников, спонсорская помощь. Данный этап является заключительным в системе проектного управления фестиваля и тесным образом связан с выбором организационно-правовой формы, определяющей систему взаимоотношений организаторов фестиваля.</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Таким образом, системный подход к организации гастрономического фестиваля предполагает широкий спектр действий, и недостаточный уровень подготовки хотя бы одного этапа может привести к негативным последствиям, снижению эффективности и даже провалу фестиваля. </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В результате исследования на основе комплексного анализа мирового и отечественного опыта развития гастрономического туризма выявлено, что гастрономический фестиваль является важным в процессе формирования имиджа туристской дестинации и развития туризма в регионе. </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В процессе исследования были предложены основные модели гастрономических фестивалей, на основе которых могут быть сформированы различные событийные формы гастрономического туризма.</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В организационном аспекте фестиваль выступает как комплексный продукт, требующий выполнения технологии поэтапного планирования. Проектное управление фестиваля предполагает создание социального и государственно-частного партнерства </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В итоге, при комплексном подходе к организации, гастрономический фестиваль может выступать в качестве профессионального и туристского ресурса, позволяющего повысить привлекательность региона за счет продвижения местных продуктов.</w:t>
      </w:r>
    </w:p>
    <w:p w:rsidR="00517711" w:rsidRDefault="00517711">
      <w:pPr>
        <w:spacing w:after="0" w:line="240" w:lineRule="auto"/>
        <w:ind w:firstLine="709"/>
        <w:jc w:val="both"/>
        <w:rPr>
          <w:rFonts w:ascii="Times New Roman" w:eastAsia="Calibri" w:hAnsi="Times New Roman" w:cs="Times New Roman"/>
          <w:sz w:val="20"/>
          <w:szCs w:val="20"/>
        </w:rPr>
      </w:pPr>
    </w:p>
    <w:p w:rsidR="00517711" w:rsidRDefault="00F815BE">
      <w:pPr>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w:t>
      </w:r>
    </w:p>
    <w:p w:rsidR="00517711" w:rsidRDefault="00F815BE">
      <w:pPr>
        <w:pStyle w:val="af4"/>
        <w:numPr>
          <w:ilvl w:val="0"/>
          <w:numId w:val="14"/>
        </w:numPr>
        <w:spacing w:line="259" w:lineRule="auto"/>
        <w:rPr>
          <w:rFonts w:ascii="Times New Roman" w:hAnsi="Times New Roman"/>
          <w:sz w:val="20"/>
          <w:szCs w:val="20"/>
        </w:rPr>
      </w:pPr>
      <w:r>
        <w:rPr>
          <w:rFonts w:ascii="Times New Roman" w:hAnsi="Times New Roman"/>
          <w:sz w:val="20"/>
          <w:szCs w:val="20"/>
        </w:rPr>
        <w:t>Воронина А.Б. фестивальный туризм, как значимая составляющая событийного туризма// Ученые записки Крымского федерального университета имени В.И Вернадского. География. Геология. 2011. Т. 24 (63). № 1. С. 161-172.</w:t>
      </w:r>
    </w:p>
    <w:p w:rsidR="00517711" w:rsidRDefault="00F815BE">
      <w:pPr>
        <w:pStyle w:val="af4"/>
        <w:numPr>
          <w:ilvl w:val="0"/>
          <w:numId w:val="14"/>
        </w:numPr>
        <w:spacing w:line="259" w:lineRule="auto"/>
        <w:rPr>
          <w:rFonts w:ascii="Times New Roman" w:hAnsi="Times New Roman"/>
          <w:sz w:val="20"/>
          <w:szCs w:val="20"/>
        </w:rPr>
      </w:pPr>
      <w:r>
        <w:rPr>
          <w:rFonts w:ascii="Times New Roman" w:hAnsi="Times New Roman"/>
          <w:sz w:val="20"/>
          <w:szCs w:val="20"/>
        </w:rPr>
        <w:t>Чумакова В.В. Фестивальный туризм как перспективное направление событийного туризма// материалы III Международной научно-практической студенческой интернет-конференции. 2017. С. 98-102.</w:t>
      </w:r>
    </w:p>
    <w:p w:rsidR="00517711" w:rsidRDefault="00F815BE">
      <w:pPr>
        <w:pStyle w:val="af4"/>
        <w:numPr>
          <w:ilvl w:val="0"/>
          <w:numId w:val="14"/>
        </w:numPr>
        <w:spacing w:line="259" w:lineRule="auto"/>
        <w:rPr>
          <w:rFonts w:ascii="Times New Roman" w:hAnsi="Times New Roman"/>
          <w:sz w:val="20"/>
          <w:szCs w:val="20"/>
        </w:rPr>
      </w:pPr>
      <w:r>
        <w:rPr>
          <w:rFonts w:ascii="Times New Roman" w:hAnsi="Times New Roman"/>
          <w:sz w:val="20"/>
          <w:szCs w:val="20"/>
        </w:rPr>
        <w:t>Чурсина Е.В. Гастрономические фестивали как способ повышения туристской привлекательности региона// материалы международной научно-практической интернет-конференции с международным участием в рамках V фестиваля туризма в г. Белгороде. Белгородский университет кооперации экономики и права. 2016. С. 328-333.</w:t>
      </w:r>
    </w:p>
    <w:p w:rsidR="00517711" w:rsidRDefault="00F815BE">
      <w:pPr>
        <w:pStyle w:val="af4"/>
        <w:numPr>
          <w:ilvl w:val="0"/>
          <w:numId w:val="14"/>
        </w:numPr>
        <w:spacing w:line="259" w:lineRule="auto"/>
        <w:rPr>
          <w:rFonts w:ascii="Times New Roman" w:hAnsi="Times New Roman"/>
          <w:sz w:val="20"/>
          <w:szCs w:val="20"/>
        </w:rPr>
      </w:pPr>
      <w:r>
        <w:rPr>
          <w:rFonts w:ascii="Times New Roman" w:hAnsi="Times New Roman"/>
          <w:sz w:val="20"/>
          <w:szCs w:val="20"/>
        </w:rPr>
        <w:t>Ден В. Г., Гомилевская Г. А. Кулинарный фестиваль как профессиональный и туристский ресурс (на примере Sea Food Festival, Владивосток)/ материалы междунар.науч-практ.конф. студентов, аспирантов и молодых исследователей (28-29 апреля): в 5 т. Т. 3/ под общ. Ред. О. Ю. Ворожбит; Владивостокский государственный университет экономики и сервиса. – Владивосток: Изд-во ВГУЭС, 2016. – Т. 3 – 480 с.</w:t>
      </w:r>
    </w:p>
    <w:p w:rsidR="00517711" w:rsidRDefault="00F815BE">
      <w:pPr>
        <w:pStyle w:val="af4"/>
        <w:numPr>
          <w:ilvl w:val="0"/>
          <w:numId w:val="14"/>
        </w:numPr>
        <w:spacing w:line="259" w:lineRule="auto"/>
        <w:rPr>
          <w:rFonts w:ascii="Times New Roman" w:hAnsi="Times New Roman"/>
          <w:sz w:val="20"/>
          <w:szCs w:val="20"/>
        </w:rPr>
      </w:pPr>
      <w:r>
        <w:rPr>
          <w:rFonts w:ascii="Times New Roman" w:hAnsi="Times New Roman"/>
          <w:sz w:val="20"/>
          <w:szCs w:val="20"/>
        </w:rPr>
        <w:t>Сайт о кулинарных фестивалях Европы [Электронный ресурс] – Режим доступа: http://www.foodfestivalseurope.com</w:t>
      </w:r>
    </w:p>
    <w:p w:rsidR="00517711" w:rsidRDefault="00F815BE">
      <w:pPr>
        <w:pStyle w:val="af4"/>
        <w:numPr>
          <w:ilvl w:val="0"/>
          <w:numId w:val="14"/>
        </w:numPr>
        <w:spacing w:line="259" w:lineRule="auto"/>
        <w:rPr>
          <w:rFonts w:ascii="Times New Roman" w:hAnsi="Times New Roman"/>
          <w:sz w:val="20"/>
          <w:szCs w:val="20"/>
        </w:rPr>
      </w:pPr>
      <w:r>
        <w:rPr>
          <w:rFonts w:ascii="Times New Roman" w:hAnsi="Times New Roman"/>
          <w:sz w:val="20"/>
          <w:szCs w:val="20"/>
        </w:rPr>
        <w:t>Национальный календарь событий «EventsInRussia» [Электронный ресурс] – Режим доступа: http://eventsinrussia.com/tag/масленица?page=3</w:t>
      </w:r>
    </w:p>
    <w:p w:rsidR="00517711" w:rsidRDefault="00F815BE">
      <w:pPr>
        <w:pStyle w:val="af4"/>
        <w:numPr>
          <w:ilvl w:val="0"/>
          <w:numId w:val="14"/>
        </w:numPr>
        <w:spacing w:line="259" w:lineRule="auto"/>
        <w:rPr>
          <w:rFonts w:ascii="Times New Roman" w:hAnsi="Times New Roman"/>
          <w:sz w:val="20"/>
          <w:szCs w:val="20"/>
        </w:rPr>
      </w:pPr>
      <w:r>
        <w:rPr>
          <w:rFonts w:ascii="Times New Roman" w:hAnsi="Times New Roman"/>
          <w:sz w:val="20"/>
          <w:szCs w:val="20"/>
        </w:rPr>
        <w:t>Food Nations / Gottlieb Duttweiler Institute [Электронный ресурс], 2012. – Режим доступа: http://www.gdi.ch/de</w:t>
      </w:r>
    </w:p>
    <w:p w:rsidR="00517711" w:rsidRDefault="00F815BE">
      <w:pPr>
        <w:spacing w:after="120" w:line="240" w:lineRule="auto"/>
        <w:rPr>
          <w:rFonts w:ascii="Times New Roman" w:hAnsi="Times New Roman"/>
          <w:b/>
          <w:sz w:val="20"/>
          <w:szCs w:val="24"/>
        </w:rPr>
      </w:pPr>
      <w:r>
        <w:rPr>
          <w:rFonts w:ascii="Times New Roman" w:hAnsi="Times New Roman"/>
          <w:b/>
          <w:sz w:val="20"/>
          <w:szCs w:val="24"/>
        </w:rPr>
        <w:t>Рубрика: Туристско-экскурсионное обслуживание</w:t>
      </w:r>
    </w:p>
    <w:p w:rsidR="00517711" w:rsidRDefault="00F815BE">
      <w:pPr>
        <w:spacing w:after="0" w:line="240" w:lineRule="auto"/>
        <w:rPr>
          <w:rFonts w:ascii="Times New Roman" w:hAnsi="Times New Roman"/>
          <w:sz w:val="20"/>
          <w:szCs w:val="24"/>
        </w:rPr>
      </w:pPr>
      <w:r>
        <w:rPr>
          <w:rFonts w:ascii="Times New Roman" w:hAnsi="Times New Roman"/>
          <w:sz w:val="20"/>
          <w:szCs w:val="24"/>
        </w:rPr>
        <w:t>УДК 338.48</w:t>
      </w:r>
    </w:p>
    <w:p w:rsidR="00517711" w:rsidRDefault="00F815BE">
      <w:pPr>
        <w:spacing w:before="120" w:after="120" w:line="240" w:lineRule="auto"/>
        <w:jc w:val="center"/>
        <w:rPr>
          <w:rFonts w:ascii="Book Antiqua" w:hAnsi="Book Antiqua"/>
          <w:b/>
          <w:sz w:val="26"/>
          <w:szCs w:val="26"/>
        </w:rPr>
      </w:pPr>
      <w:r>
        <w:rPr>
          <w:rFonts w:ascii="Book Antiqua" w:hAnsi="Book Antiqua"/>
          <w:b/>
          <w:color w:val="000000"/>
          <w:sz w:val="26"/>
          <w:szCs w:val="26"/>
        </w:rPr>
        <w:t>ИССЛЕДОВАНИЕ ПРЕДПОЧТЕНИЙ ПОТРЕБИТЕЛЕЙ В ЭКСКУРСИОННЫХ УСЛУГАХ Г. ВЛАДИВОСТОКА</w:t>
      </w:r>
    </w:p>
    <w:p w:rsidR="00517711" w:rsidRDefault="00F815BE">
      <w:pPr>
        <w:spacing w:after="0" w:line="240" w:lineRule="auto"/>
        <w:jc w:val="center"/>
        <w:rPr>
          <w:rFonts w:ascii="Arial" w:hAnsi="Arial" w:cs="Arial"/>
          <w:b/>
          <w:sz w:val="24"/>
          <w:szCs w:val="24"/>
        </w:rPr>
      </w:pPr>
      <w:r>
        <w:rPr>
          <w:rFonts w:ascii="Arial" w:hAnsi="Arial" w:cs="Arial"/>
          <w:b/>
          <w:sz w:val="24"/>
          <w:szCs w:val="24"/>
        </w:rPr>
        <w:lastRenderedPageBreak/>
        <w:t>Егорова Екатерина Сергеевна,</w:t>
      </w:r>
    </w:p>
    <w:p w:rsidR="00517711" w:rsidRDefault="00F815BE">
      <w:pPr>
        <w:spacing w:after="0" w:line="240" w:lineRule="auto"/>
        <w:jc w:val="center"/>
        <w:rPr>
          <w:rFonts w:ascii="Arial" w:hAnsi="Arial" w:cs="Arial"/>
          <w:sz w:val="24"/>
          <w:szCs w:val="24"/>
        </w:rPr>
      </w:pPr>
      <w:r>
        <w:rPr>
          <w:rFonts w:ascii="Arial" w:hAnsi="Arial" w:cs="Arial"/>
          <w:sz w:val="24"/>
          <w:szCs w:val="24"/>
        </w:rPr>
        <w:t xml:space="preserve">бакалавр </w:t>
      </w:r>
    </w:p>
    <w:p w:rsidR="00517711" w:rsidRDefault="00517711">
      <w:pPr>
        <w:spacing w:after="0" w:line="240" w:lineRule="auto"/>
        <w:jc w:val="center"/>
        <w:rPr>
          <w:rFonts w:ascii="Times New Roman" w:hAnsi="Times New Roman"/>
          <w:sz w:val="24"/>
          <w:szCs w:val="24"/>
        </w:rPr>
      </w:pPr>
    </w:p>
    <w:p w:rsidR="00517711" w:rsidRPr="00BD6187" w:rsidRDefault="00F815BE">
      <w:pPr>
        <w:spacing w:after="0" w:line="240" w:lineRule="auto"/>
        <w:jc w:val="center"/>
        <w:rPr>
          <w:rFonts w:ascii="Times New Roman" w:hAnsi="Times New Roman"/>
          <w:sz w:val="20"/>
          <w:szCs w:val="24"/>
        </w:rPr>
      </w:pPr>
      <w:r>
        <w:rPr>
          <w:rFonts w:ascii="Times New Roman" w:hAnsi="Times New Roman"/>
          <w:sz w:val="20"/>
          <w:szCs w:val="24"/>
          <w:lang w:val="en-US"/>
        </w:rPr>
        <w:t>E</w:t>
      </w:r>
      <w:r w:rsidRPr="00BD6187">
        <w:rPr>
          <w:rFonts w:ascii="Times New Roman" w:hAnsi="Times New Roman"/>
          <w:sz w:val="20"/>
          <w:szCs w:val="24"/>
        </w:rPr>
        <w:t>-</w:t>
      </w:r>
      <w:r>
        <w:rPr>
          <w:rFonts w:ascii="Times New Roman" w:hAnsi="Times New Roman"/>
          <w:sz w:val="20"/>
          <w:szCs w:val="24"/>
          <w:lang w:val="en-US"/>
        </w:rPr>
        <w:t>mail</w:t>
      </w:r>
      <w:r w:rsidRPr="00BD6187">
        <w:rPr>
          <w:rFonts w:ascii="Times New Roman" w:hAnsi="Times New Roman"/>
          <w:sz w:val="20"/>
          <w:szCs w:val="24"/>
        </w:rPr>
        <w:t xml:space="preserve">: </w:t>
      </w:r>
      <w:r>
        <w:rPr>
          <w:rFonts w:ascii="Times New Roman" w:hAnsi="Times New Roman"/>
          <w:sz w:val="20"/>
          <w:szCs w:val="24"/>
          <w:lang w:val="en-US"/>
        </w:rPr>
        <w:t>Kate</w:t>
      </w:r>
      <w:r w:rsidRPr="00BD6187">
        <w:rPr>
          <w:rFonts w:ascii="Times New Roman" w:hAnsi="Times New Roman"/>
          <w:sz w:val="20"/>
          <w:szCs w:val="24"/>
        </w:rPr>
        <w:t>_</w:t>
      </w:r>
      <w:r>
        <w:rPr>
          <w:rFonts w:ascii="Times New Roman" w:hAnsi="Times New Roman"/>
          <w:sz w:val="20"/>
          <w:szCs w:val="24"/>
          <w:lang w:val="en-US"/>
        </w:rPr>
        <w:t>egorova</w:t>
      </w:r>
      <w:r w:rsidRPr="00BD6187">
        <w:rPr>
          <w:rFonts w:ascii="Times New Roman" w:hAnsi="Times New Roman"/>
          <w:sz w:val="20"/>
          <w:szCs w:val="24"/>
        </w:rPr>
        <w:t>_97@</w:t>
      </w:r>
      <w:r>
        <w:rPr>
          <w:rFonts w:ascii="Times New Roman" w:hAnsi="Times New Roman"/>
          <w:sz w:val="20"/>
          <w:szCs w:val="24"/>
          <w:lang w:val="en-US"/>
        </w:rPr>
        <w:t>mail</w:t>
      </w:r>
      <w:r w:rsidRPr="00BD6187">
        <w:rPr>
          <w:rFonts w:ascii="Times New Roman" w:hAnsi="Times New Roman"/>
          <w:sz w:val="20"/>
          <w:szCs w:val="24"/>
        </w:rPr>
        <w:t>.</w:t>
      </w:r>
      <w:r>
        <w:rPr>
          <w:rFonts w:ascii="Times New Roman" w:hAnsi="Times New Roman"/>
          <w:sz w:val="20"/>
          <w:szCs w:val="24"/>
          <w:lang w:val="en-US"/>
        </w:rPr>
        <w:t>ru</w:t>
      </w:r>
      <w:r w:rsidRPr="00BD6187">
        <w:rPr>
          <w:rFonts w:ascii="Times New Roman" w:hAnsi="Times New Roman"/>
          <w:sz w:val="20"/>
          <w:szCs w:val="24"/>
        </w:rPr>
        <w:t xml:space="preserve">; </w:t>
      </w:r>
      <w:r>
        <w:rPr>
          <w:rFonts w:ascii="Times New Roman" w:hAnsi="Times New Roman"/>
          <w:sz w:val="20"/>
          <w:szCs w:val="24"/>
        </w:rPr>
        <w:t>тел</w:t>
      </w:r>
      <w:r w:rsidRPr="00BD6187">
        <w:rPr>
          <w:rFonts w:ascii="Times New Roman" w:hAnsi="Times New Roman"/>
          <w:sz w:val="20"/>
          <w:szCs w:val="24"/>
        </w:rPr>
        <w:t>.: +79146736197</w:t>
      </w:r>
    </w:p>
    <w:p w:rsidR="00517711" w:rsidRDefault="00F815BE">
      <w:pPr>
        <w:spacing w:after="0" w:line="240" w:lineRule="auto"/>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517711">
      <w:pPr>
        <w:spacing w:after="0" w:line="240" w:lineRule="auto"/>
        <w:jc w:val="center"/>
        <w:rPr>
          <w:rFonts w:ascii="Times New Roman" w:hAnsi="Times New Roman"/>
          <w:i/>
          <w:sz w:val="24"/>
          <w:szCs w:val="24"/>
        </w:rPr>
      </w:pPr>
    </w:p>
    <w:p w:rsidR="00517711" w:rsidRDefault="00F815BE">
      <w:pPr>
        <w:spacing w:after="0" w:line="240" w:lineRule="auto"/>
        <w:jc w:val="center"/>
        <w:rPr>
          <w:rFonts w:ascii="Times New Roman" w:hAnsi="Times New Roman"/>
          <w:i/>
          <w:szCs w:val="24"/>
        </w:rPr>
      </w:pPr>
      <w:r>
        <w:rPr>
          <w:rFonts w:ascii="Times New Roman" w:hAnsi="Times New Roman"/>
          <w:i/>
          <w:szCs w:val="24"/>
        </w:rPr>
        <w:t>Владивостокский государственный университет экономики и сервиса</w:t>
      </w:r>
    </w:p>
    <w:p w:rsidR="00517711" w:rsidRDefault="00F815BE">
      <w:pPr>
        <w:spacing w:after="0" w:line="240" w:lineRule="auto"/>
        <w:jc w:val="center"/>
        <w:rPr>
          <w:rFonts w:ascii="Times New Roman" w:hAnsi="Times New Roman"/>
          <w:i/>
          <w:szCs w:val="24"/>
        </w:rPr>
      </w:pPr>
      <w:r>
        <w:rPr>
          <w:rFonts w:ascii="Times New Roman" w:hAnsi="Times New Roman"/>
          <w:i/>
          <w:szCs w:val="24"/>
        </w:rPr>
        <w:t>Россия. Владивосток</w:t>
      </w:r>
    </w:p>
    <w:p w:rsidR="00517711" w:rsidRDefault="00517711">
      <w:pPr>
        <w:spacing w:after="0" w:line="240" w:lineRule="auto"/>
        <w:jc w:val="center"/>
        <w:rPr>
          <w:rFonts w:ascii="Times New Roman" w:hAnsi="Times New Roman"/>
          <w:sz w:val="24"/>
          <w:szCs w:val="24"/>
        </w:rPr>
      </w:pPr>
    </w:p>
    <w:p w:rsidR="00517711" w:rsidRDefault="00F815BE">
      <w:pPr>
        <w:spacing w:after="0" w:line="240" w:lineRule="auto"/>
        <w:jc w:val="center"/>
        <w:rPr>
          <w:rFonts w:ascii="Arial" w:hAnsi="Arial" w:cs="Arial"/>
          <w:b/>
          <w:sz w:val="24"/>
          <w:szCs w:val="24"/>
        </w:rPr>
      </w:pPr>
      <w:r>
        <w:rPr>
          <w:rFonts w:ascii="Arial" w:hAnsi="Arial" w:cs="Arial"/>
          <w:b/>
          <w:sz w:val="24"/>
          <w:szCs w:val="24"/>
        </w:rPr>
        <w:t>Шеметова Елена Васильевна,</w:t>
      </w:r>
    </w:p>
    <w:p w:rsidR="00517711" w:rsidRDefault="00F815BE">
      <w:pPr>
        <w:spacing w:after="0" w:line="240" w:lineRule="auto"/>
        <w:jc w:val="center"/>
        <w:rPr>
          <w:rFonts w:ascii="Arial" w:hAnsi="Arial" w:cs="Arial"/>
          <w:sz w:val="24"/>
          <w:szCs w:val="24"/>
        </w:rPr>
      </w:pPr>
      <w:r>
        <w:rPr>
          <w:rFonts w:ascii="Arial" w:hAnsi="Arial" w:cs="Arial"/>
          <w:sz w:val="24"/>
          <w:szCs w:val="24"/>
        </w:rPr>
        <w:t>старший преподаватель, кафедра туризма и экологии</w:t>
      </w:r>
    </w:p>
    <w:p w:rsidR="00517711" w:rsidRDefault="00517711">
      <w:pPr>
        <w:spacing w:after="0" w:line="240" w:lineRule="auto"/>
        <w:jc w:val="center"/>
        <w:rPr>
          <w:rFonts w:ascii="Times New Roman" w:hAnsi="Times New Roman"/>
          <w:sz w:val="24"/>
          <w:szCs w:val="24"/>
        </w:rPr>
      </w:pPr>
    </w:p>
    <w:p w:rsidR="00517711" w:rsidRDefault="00F815BE">
      <w:pPr>
        <w:spacing w:after="0" w:line="240" w:lineRule="auto"/>
        <w:jc w:val="center"/>
        <w:rPr>
          <w:rFonts w:ascii="Times New Roman" w:hAnsi="Times New Roman"/>
          <w:sz w:val="20"/>
          <w:szCs w:val="24"/>
          <w:lang w:val="en-US"/>
        </w:rPr>
      </w:pPr>
      <w:r>
        <w:rPr>
          <w:rFonts w:ascii="Times New Roman" w:hAnsi="Times New Roman"/>
          <w:sz w:val="20"/>
          <w:szCs w:val="24"/>
          <w:lang w:val="en-US"/>
        </w:rPr>
        <w:t xml:space="preserve">E-mail: elena.shemetova@vvsu.ru; </w:t>
      </w:r>
      <w:r>
        <w:rPr>
          <w:rFonts w:ascii="Times New Roman" w:hAnsi="Times New Roman"/>
          <w:sz w:val="20"/>
          <w:szCs w:val="24"/>
        </w:rPr>
        <w:t>тел</w:t>
      </w:r>
      <w:r>
        <w:rPr>
          <w:rFonts w:ascii="Times New Roman" w:hAnsi="Times New Roman"/>
          <w:sz w:val="20"/>
          <w:szCs w:val="24"/>
          <w:lang w:val="en-US"/>
        </w:rPr>
        <w:t>.: +79024828863</w:t>
      </w:r>
    </w:p>
    <w:p w:rsidR="00517711" w:rsidRDefault="00517711">
      <w:pPr>
        <w:spacing w:after="0" w:line="240" w:lineRule="auto"/>
        <w:jc w:val="center"/>
        <w:rPr>
          <w:rFonts w:ascii="Times New Roman" w:hAnsi="Times New Roman"/>
          <w:sz w:val="24"/>
          <w:szCs w:val="24"/>
          <w:lang w:val="en-US"/>
        </w:rPr>
      </w:pPr>
    </w:p>
    <w:p w:rsidR="00517711" w:rsidRDefault="00F815BE">
      <w:pPr>
        <w:spacing w:after="0" w:line="240" w:lineRule="auto"/>
        <w:ind w:firstLine="708"/>
        <w:jc w:val="both"/>
        <w:rPr>
          <w:rFonts w:ascii="Times New Roman" w:hAnsi="Times New Roman"/>
          <w:i/>
          <w:szCs w:val="24"/>
        </w:rPr>
      </w:pPr>
      <w:r>
        <w:rPr>
          <w:rFonts w:ascii="Times New Roman" w:hAnsi="Times New Roman"/>
          <w:i/>
          <w:szCs w:val="24"/>
        </w:rPr>
        <w:t xml:space="preserve">В 2017 год Приморский край посетили более 4 млн человек, что на 20% больше, чем в прошлом году, включая 640 тысяч иностранных туристов. Большой поток туристов требует организованных форм досуга и качественные экскурсии, созданные  с учетом предпочтений потребителей,  являются отличным инструментом. </w:t>
      </w:r>
    </w:p>
    <w:p w:rsidR="00517711" w:rsidRDefault="00F815BE">
      <w:pPr>
        <w:spacing w:after="0" w:line="240" w:lineRule="auto"/>
        <w:ind w:firstLine="708"/>
        <w:jc w:val="both"/>
        <w:rPr>
          <w:rFonts w:ascii="Times New Roman" w:hAnsi="Times New Roman"/>
          <w:i/>
          <w:szCs w:val="24"/>
          <w:highlight w:val="yellow"/>
        </w:rPr>
      </w:pPr>
      <w:r>
        <w:rPr>
          <w:rFonts w:ascii="Times New Roman" w:hAnsi="Times New Roman"/>
          <w:b/>
          <w:i/>
          <w:szCs w:val="24"/>
        </w:rPr>
        <w:t>Ключевые слова и словосочетания</w:t>
      </w:r>
      <w:r>
        <w:rPr>
          <w:rFonts w:ascii="Times New Roman" w:hAnsi="Times New Roman"/>
          <w:i/>
          <w:szCs w:val="24"/>
        </w:rPr>
        <w:t>: экскурсия, потребитель, Владивосток, опрос, туризм.</w:t>
      </w:r>
    </w:p>
    <w:p w:rsidR="00517711" w:rsidRDefault="00517711">
      <w:pPr>
        <w:spacing w:line="240" w:lineRule="auto"/>
        <w:ind w:firstLine="708"/>
        <w:jc w:val="both"/>
        <w:rPr>
          <w:rFonts w:ascii="Times New Roman" w:hAnsi="Times New Roman"/>
          <w:b/>
          <w:sz w:val="24"/>
          <w:szCs w:val="24"/>
        </w:rPr>
      </w:pPr>
    </w:p>
    <w:p w:rsidR="00517711" w:rsidRDefault="00F815BE">
      <w:pPr>
        <w:spacing w:line="240" w:lineRule="auto"/>
        <w:ind w:firstLine="708"/>
        <w:jc w:val="center"/>
        <w:rPr>
          <w:rFonts w:ascii="Book Antiqua" w:hAnsi="Book Antiqua"/>
          <w:b/>
          <w:sz w:val="26"/>
          <w:szCs w:val="26"/>
          <w:highlight w:val="yellow"/>
          <w:lang w:val="en-US"/>
        </w:rPr>
      </w:pPr>
      <w:r>
        <w:rPr>
          <w:rFonts w:ascii="Book Antiqua" w:hAnsi="Book Antiqua"/>
          <w:b/>
          <w:sz w:val="26"/>
          <w:szCs w:val="26"/>
          <w:lang w:val="en-US"/>
        </w:rPr>
        <w:t>RESEARCH OF PREFERENCES OF CONSUMERS IN EXCURSION SERVICES OF VLADIVOSTOK</w:t>
      </w:r>
    </w:p>
    <w:p w:rsidR="00517711" w:rsidRDefault="00F815BE">
      <w:pPr>
        <w:spacing w:after="0" w:line="240" w:lineRule="auto"/>
        <w:ind w:firstLine="708"/>
        <w:jc w:val="both"/>
        <w:rPr>
          <w:rFonts w:ascii="Times New Roman" w:hAnsi="Times New Roman"/>
          <w:i/>
          <w:szCs w:val="24"/>
          <w:lang w:val="en-US"/>
        </w:rPr>
      </w:pPr>
      <w:r>
        <w:rPr>
          <w:rFonts w:ascii="Times New Roman" w:hAnsi="Times New Roman"/>
          <w:i/>
          <w:szCs w:val="24"/>
          <w:lang w:val="en-US"/>
        </w:rPr>
        <w:t>In 2017, Primorsky Krai was visited by more than 4 million people, which is 20% more than last year, including 640 thousand foreign tourists. A large stream of tourists requires organized forms of leisure and quality excursions, created taking into account the preferences of consumers, are an excellent tool.</w:t>
      </w:r>
    </w:p>
    <w:p w:rsidR="00517711" w:rsidRDefault="00F815BE">
      <w:pPr>
        <w:spacing w:after="0" w:line="240" w:lineRule="auto"/>
        <w:ind w:firstLine="708"/>
        <w:jc w:val="both"/>
        <w:rPr>
          <w:rFonts w:ascii="Times New Roman" w:hAnsi="Times New Roman"/>
          <w:i/>
          <w:szCs w:val="24"/>
          <w:lang w:val="en-US"/>
        </w:rPr>
      </w:pPr>
      <w:r>
        <w:rPr>
          <w:rFonts w:ascii="Times New Roman" w:hAnsi="Times New Roman"/>
          <w:b/>
          <w:i/>
          <w:szCs w:val="24"/>
          <w:lang w:val="en-US"/>
        </w:rPr>
        <w:t>Keywords</w:t>
      </w:r>
      <w:r>
        <w:rPr>
          <w:rFonts w:ascii="Times New Roman" w:hAnsi="Times New Roman"/>
          <w:i/>
          <w:szCs w:val="24"/>
          <w:lang w:val="en-US"/>
        </w:rPr>
        <w:t>: excursion, consumer, Vladivostok, interview, tourism.</w:t>
      </w:r>
    </w:p>
    <w:p w:rsidR="00517711" w:rsidRDefault="00F815BE">
      <w:pPr>
        <w:pStyle w:val="1"/>
        <w:spacing w:after="0"/>
        <w:rPr>
          <w:sz w:val="20"/>
          <w:szCs w:val="20"/>
        </w:rPr>
      </w:pPr>
      <w:r>
        <w:rPr>
          <w:sz w:val="20"/>
          <w:szCs w:val="20"/>
        </w:rPr>
        <w:t>Введение</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Экскурсия – это одна из туристических услуг, удовлетворяющих познавательные, эстетические, духовные и иные гуманитарные потребности туристов [1] .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Данное направление туризма не только расширяет кругозор и социальные контакты, знакомит с достопримечательностями места, где находится турист.</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Экскурсии являются популярным продуктом в туристских дестинациях. Именно экскурсии позволяют получить полную информацию об интересующем месте и увидеть его своими глазами.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Экскурсия является популярной формой проведения досуга, как среди туристов, так и среди местного населения, это обусловлено следующими причинами: возможность изучить историю; экономичный вид отдыха; приобретение новых друзей; хорошая возможность провести время с семьей и друзьями; расширение кругозора. </w:t>
      </w:r>
    </w:p>
    <w:p w:rsidR="00517711" w:rsidRDefault="00F815BE">
      <w:pPr>
        <w:pStyle w:val="ae"/>
        <w:ind w:firstLine="709"/>
        <w:jc w:val="both"/>
        <w:rPr>
          <w:rFonts w:ascii="Times New Roman" w:hAnsi="Times New Roman" w:cs="Times New Roman"/>
          <w:sz w:val="20"/>
          <w:szCs w:val="20"/>
        </w:rPr>
      </w:pPr>
      <w:r>
        <w:rPr>
          <w:rFonts w:ascii="Times New Roman" w:hAnsi="Times New Roman" w:cs="Times New Roman"/>
          <w:sz w:val="20"/>
          <w:szCs w:val="20"/>
        </w:rPr>
        <w:t>Владивосток, несмотря на свою относительную молодость (основан как военный пост «Владивосток» в 1860 году, в 1880 году получил статус города), имеет уникальную и увлекательную историю. Сохранившаяся дореволюционная архитектура центральных улиц, привычная жителям Владивостока и удивительная для его гостей, скрывает множество тайн в скрытых от глаз двориках и старых стенах [2]. Приморский край занимает пятое место среди всех регионов России по посещаемости туристами. За 2017 год Приморье посетили более 4 млн человек, что на 20% больше, чем в прошлом году, включая 640 тысяч иностранных туристов (+13% по сравнению с 2016 годом). 420 тысяч человек прибыли из Китая [3]. Главным образом, туристы стремятся в город Владивосток, а уже оттуда могут приобрести экскурсионный тур по краю или же по городу.</w:t>
      </w:r>
    </w:p>
    <w:p w:rsidR="00517711" w:rsidRDefault="00F815BE">
      <w:pPr>
        <w:pStyle w:val="1"/>
        <w:spacing w:before="0" w:after="0"/>
        <w:rPr>
          <w:sz w:val="20"/>
          <w:szCs w:val="20"/>
        </w:rPr>
      </w:pPr>
      <w:r>
        <w:rPr>
          <w:sz w:val="20"/>
          <w:szCs w:val="20"/>
        </w:rPr>
        <w:t>Маркетинговое исследование</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С целью выявления предпочтений потребителей экскурсионных услуг в городе Владивостоке в марте 2018 г. авторами было проведено маркетинговое исследование в форме опроса. Выборка случайная, без повторений, составила 103 респондента, возраст варьируется от 17 до 65 лет. Опрашивались студенты города Владивостока, жители и гости города, зарегистрированные на территории РФ и иностранцы, обучающиеся в вузах. Анкетирование проводилось путем рассылки опросных листов через Интернет и проведения анкетирования в аудиториях ВГУЭС.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lastRenderedPageBreak/>
        <w:t xml:space="preserve">В рамках маркетингового исследования клиентов туристических услуг необходимо было выделить и решить следующие задачи: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1) определить регулярность посещения экскурсий;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2) выявить виды экскурсий, которые наиболее интересны для потребителей;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3) выявить оптимальную продолжительность и время года для проведения экскурсий;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4) определить качество оказываемых экскурсионных услуг в городе Владивостоке.</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процессе работы использовались следующие методы научного исследования: анкетирование, анализ, синтез, классификация.</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Авторами был разработан опросный лист, в первой части которого, содержались вопросы общего характера о возрасте и роде занятий респондентов, во второй части – респондентам предлагалось выбрать оптимальные параметры экскурсии, и открытый вопрос о том, в какие турфирмы они обращались и какие остались впечатления. Опросный лист состоял из тринадцати вопросов для оперативного ответа респондентов. Обработка данных проводилась с помощью стандартных программ Microsoft Office Word и Microsoft Excel. В ходе проведенного авторами исследования были получены следующие результаты, рассмотрим их подробнее.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Основная масса опрашиваемых находится в возрасте 15-24 года, значит наша целевая аудитория – молодежь. Небольшие проценты составляют возрастные категории от 25 до 65 и старше.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Главным образом участие в проведении анкетировании приняли женщины. Они составляют 68 % против 32 % мужчин.</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76% опрашиваемых, в соответствии с возрастом, относятся к студентам, 21 % людей работают и 3% пенсионеры.</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На рисунке 1 отображены причины посещения экскурсий по городу Владивостоку.</w:t>
      </w:r>
    </w:p>
    <w:p w:rsidR="00517711" w:rsidRDefault="00F815BE">
      <w:pPr>
        <w:spacing w:after="0" w:line="240" w:lineRule="auto"/>
        <w:ind w:firstLine="709"/>
        <w:jc w:val="center"/>
        <w:rPr>
          <w:rFonts w:ascii="Times New Roman" w:hAnsi="Times New Roman" w:cs="Times New Roman"/>
          <w:sz w:val="20"/>
          <w:szCs w:val="20"/>
        </w:rPr>
      </w:pPr>
      <w:r>
        <w:rPr>
          <w:rFonts w:ascii="Times New Roman" w:hAnsi="Times New Roman" w:cs="Times New Roman"/>
          <w:noProof/>
          <w:sz w:val="20"/>
          <w:szCs w:val="20"/>
          <w:lang w:eastAsia="ru-RU"/>
        </w:rPr>
        <w:drawing>
          <wp:inline distT="0" distB="0" distL="0" distR="0">
            <wp:extent cx="4629150" cy="1733548"/>
            <wp:effectExtent l="0" t="0" r="0" b="0"/>
            <wp:docPr id="45"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83"/>
              </a:graphicData>
            </a:graphic>
          </wp:inline>
        </w:drawing>
      </w:r>
    </w:p>
    <w:p w:rsidR="00517711" w:rsidRDefault="00F815B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Рис.1. Мотивация респондентов при посещении экскурсий, составлено автором</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Наличие широкого ассортимента экскурсий респонденты определили как главный толчок к посещению экскурсии, интересной им. Приемлемая цена и хороший способ провести время с близкими оказались на втором месте по уровню мотивации. И высокое качество экскурсии может привлечь потребителей к экскурсионному предложению. Количество свободного времени в большинстве случаев не сыграет большой роли.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На рисунке 2 отображено мнение потребителей относительно средней продолжительности экскурсии.</w:t>
      </w:r>
    </w:p>
    <w:p w:rsidR="00517711" w:rsidRDefault="00F815BE">
      <w:pPr>
        <w:spacing w:after="0" w:line="240" w:lineRule="auto"/>
        <w:ind w:firstLine="709"/>
        <w:jc w:val="center"/>
        <w:rPr>
          <w:rFonts w:ascii="Times New Roman" w:hAnsi="Times New Roman" w:cs="Times New Roman"/>
          <w:sz w:val="20"/>
          <w:szCs w:val="20"/>
        </w:rPr>
      </w:pPr>
      <w:r>
        <w:rPr>
          <w:rFonts w:ascii="Times New Roman" w:hAnsi="Times New Roman" w:cs="Times New Roman"/>
          <w:noProof/>
          <w:sz w:val="20"/>
          <w:szCs w:val="20"/>
          <w:lang w:eastAsia="ru-RU"/>
        </w:rPr>
        <w:drawing>
          <wp:inline distT="0" distB="0" distL="0" distR="0">
            <wp:extent cx="3914775" cy="1466848"/>
            <wp:effectExtent l="0" t="0" r="0" b="0"/>
            <wp:docPr id="46"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84"/>
              </a:graphicData>
            </a:graphic>
          </wp:inline>
        </w:drawing>
      </w:r>
    </w:p>
    <w:p w:rsidR="00517711" w:rsidRDefault="00F815B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Рис.2. Оптимальная продолжительность экскурсии по Владивостоку, по мнению потребителей, составлено автором</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65% респондентов считают, что оптимальная продолжительность экскурсии составляет 1-2 часа, 19% желают посещать экскурсии длительностью до 1 часа. Экскурсии по городу дольше 5 часов пожелали посетить только 2% опрашиваемых.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Рисунок 3 показывает, что большая часть респондентов предпочтет смешанную экскурсию пешеходной или автобусной.</w:t>
      </w:r>
    </w:p>
    <w:p w:rsidR="00517711" w:rsidRDefault="00F815BE">
      <w:pPr>
        <w:spacing w:after="0" w:line="240" w:lineRule="auto"/>
        <w:ind w:firstLine="709"/>
        <w:jc w:val="center"/>
        <w:rPr>
          <w:rFonts w:ascii="Times New Roman" w:hAnsi="Times New Roman" w:cs="Times New Roman"/>
          <w:sz w:val="20"/>
          <w:szCs w:val="20"/>
        </w:rPr>
      </w:pPr>
      <w:r>
        <w:rPr>
          <w:rFonts w:ascii="Times New Roman" w:hAnsi="Times New Roman" w:cs="Times New Roman"/>
          <w:noProof/>
          <w:sz w:val="20"/>
          <w:szCs w:val="20"/>
          <w:lang w:eastAsia="ru-RU"/>
        </w:rPr>
        <w:lastRenderedPageBreak/>
        <w:drawing>
          <wp:inline distT="0" distB="0" distL="0" distR="0">
            <wp:extent cx="4124323" cy="1362073"/>
            <wp:effectExtent l="0" t="0" r="0" b="0"/>
            <wp:docPr id="47"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85"/>
              </a:graphicData>
            </a:graphic>
          </wp:inline>
        </w:drawing>
      </w:r>
    </w:p>
    <w:p w:rsidR="00517711" w:rsidRDefault="00517711">
      <w:pPr>
        <w:spacing w:after="0" w:line="240" w:lineRule="auto"/>
        <w:ind w:firstLine="709"/>
        <w:jc w:val="center"/>
        <w:rPr>
          <w:rFonts w:ascii="Times New Roman" w:hAnsi="Times New Roman" w:cs="Times New Roman"/>
          <w:sz w:val="20"/>
          <w:szCs w:val="20"/>
        </w:rPr>
      </w:pPr>
    </w:p>
    <w:p w:rsidR="00517711" w:rsidRDefault="00F815BE">
      <w:pPr>
        <w:spacing w:after="120" w:line="240" w:lineRule="auto"/>
        <w:ind w:firstLine="709"/>
        <w:jc w:val="center"/>
        <w:rPr>
          <w:rFonts w:ascii="Times New Roman" w:hAnsi="Times New Roman" w:cs="Times New Roman"/>
          <w:sz w:val="20"/>
          <w:szCs w:val="20"/>
        </w:rPr>
      </w:pPr>
      <w:r>
        <w:rPr>
          <w:rFonts w:ascii="Times New Roman" w:hAnsi="Times New Roman" w:cs="Times New Roman"/>
          <w:sz w:val="20"/>
          <w:szCs w:val="20"/>
        </w:rPr>
        <w:t>Рис.3. Предпочтительный вид экскурсий для респондентов, составлено автором</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Предпочтительным видом экскурсии 70% респондентов выбрали смешанную экскурсию. При смешанной экскурсии экскурсанты часть маршрута проходят пешком, а другую часть проезжают на экскурсионном автобусе. Автобусная и пешеходная экскурсия поделили голоса респондентов почти пополам.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На рисунке 4 выявлен рейтинг времен года комфортных для посещения экскурсий.</w:t>
      </w:r>
    </w:p>
    <w:p w:rsidR="00517711" w:rsidRDefault="00517711">
      <w:pPr>
        <w:spacing w:after="0" w:line="240" w:lineRule="auto"/>
        <w:ind w:firstLine="709"/>
        <w:jc w:val="center"/>
        <w:rPr>
          <w:rFonts w:ascii="Times New Roman" w:hAnsi="Times New Roman" w:cs="Times New Roman"/>
          <w:sz w:val="20"/>
          <w:szCs w:val="20"/>
        </w:rPr>
      </w:pPr>
    </w:p>
    <w:p w:rsidR="00517711" w:rsidRDefault="00F815BE">
      <w:pPr>
        <w:spacing w:after="0" w:line="240" w:lineRule="auto"/>
        <w:ind w:firstLine="709"/>
        <w:jc w:val="center"/>
        <w:rPr>
          <w:rFonts w:ascii="Times New Roman" w:hAnsi="Times New Roman" w:cs="Times New Roman"/>
          <w:sz w:val="20"/>
          <w:szCs w:val="20"/>
        </w:rPr>
      </w:pPr>
      <w:r>
        <w:rPr>
          <w:rFonts w:ascii="Times New Roman" w:hAnsi="Times New Roman" w:cs="Times New Roman"/>
          <w:noProof/>
          <w:sz w:val="20"/>
          <w:szCs w:val="20"/>
          <w:lang w:eastAsia="ru-RU"/>
        </w:rPr>
        <w:drawing>
          <wp:inline distT="0" distB="0" distL="0" distR="0">
            <wp:extent cx="3867148" cy="1343025"/>
            <wp:effectExtent l="0" t="0" r="0" b="0"/>
            <wp:docPr id="48"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86"/>
              </a:graphicData>
            </a:graphic>
          </wp:inline>
        </w:drawing>
      </w:r>
    </w:p>
    <w:p w:rsidR="00517711" w:rsidRDefault="00F815BE">
      <w:pPr>
        <w:spacing w:after="120" w:line="240" w:lineRule="auto"/>
        <w:ind w:firstLine="709"/>
        <w:jc w:val="center"/>
        <w:rPr>
          <w:rFonts w:ascii="Times New Roman" w:hAnsi="Times New Roman" w:cs="Times New Roman"/>
          <w:sz w:val="20"/>
          <w:szCs w:val="20"/>
        </w:rPr>
      </w:pPr>
      <w:r>
        <w:rPr>
          <w:rFonts w:ascii="Times New Roman" w:hAnsi="Times New Roman" w:cs="Times New Roman"/>
          <w:sz w:val="20"/>
          <w:szCs w:val="20"/>
        </w:rPr>
        <w:t>Рис.4. Предпочтительное время года для проведения экскурсий в г. Владивостоке, составлено автором</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Согласно нашим предположениям, наиболее популярным временем года для посещения экскурсий было  выбрано лето – оно собрало 49% голосов. Начало осени во Владивостоке – это «бархатный сезон», 26% респондентов выбрали осень для посещения экскурсий в городе. Почти равное количество проголосовало за весну. Зима в городе холодная и ветреная, посещение экскурсий в это время возможно только в комфортабельных экскурсионных автобусах, только 2% респондентов пожелали посетить экскурсию зимой.</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Рейтинг видов экскурсий, по версии опрашиваемых, сформировался следующим образом:</w:t>
      </w:r>
    </w:p>
    <w:p w:rsidR="00517711" w:rsidRDefault="00F815BE">
      <w:pPr>
        <w:pStyle w:val="af4"/>
        <w:numPr>
          <w:ilvl w:val="0"/>
          <w:numId w:val="16"/>
        </w:numPr>
        <w:spacing w:after="0" w:line="240" w:lineRule="auto"/>
        <w:jc w:val="both"/>
        <w:rPr>
          <w:rFonts w:ascii="Times New Roman" w:hAnsi="Times New Roman"/>
          <w:sz w:val="20"/>
          <w:szCs w:val="20"/>
        </w:rPr>
      </w:pPr>
      <w:r>
        <w:rPr>
          <w:rFonts w:ascii="Times New Roman" w:hAnsi="Times New Roman"/>
          <w:sz w:val="20"/>
          <w:szCs w:val="20"/>
        </w:rPr>
        <w:t xml:space="preserve">исторические </w:t>
      </w:r>
    </w:p>
    <w:p w:rsidR="00517711" w:rsidRDefault="00F815BE">
      <w:pPr>
        <w:pStyle w:val="af4"/>
        <w:numPr>
          <w:ilvl w:val="0"/>
          <w:numId w:val="16"/>
        </w:numPr>
        <w:spacing w:after="0" w:line="240" w:lineRule="auto"/>
        <w:jc w:val="both"/>
        <w:rPr>
          <w:rFonts w:ascii="Times New Roman" w:hAnsi="Times New Roman"/>
          <w:sz w:val="20"/>
          <w:szCs w:val="20"/>
        </w:rPr>
      </w:pPr>
      <w:r>
        <w:rPr>
          <w:rFonts w:ascii="Times New Roman" w:hAnsi="Times New Roman"/>
          <w:sz w:val="20"/>
          <w:szCs w:val="20"/>
        </w:rPr>
        <w:t xml:space="preserve">гастрономические </w:t>
      </w:r>
    </w:p>
    <w:p w:rsidR="00517711" w:rsidRDefault="00F815BE">
      <w:pPr>
        <w:pStyle w:val="af4"/>
        <w:numPr>
          <w:ilvl w:val="0"/>
          <w:numId w:val="16"/>
        </w:numPr>
        <w:spacing w:after="0" w:line="240" w:lineRule="auto"/>
        <w:jc w:val="both"/>
        <w:rPr>
          <w:rFonts w:ascii="Times New Roman" w:hAnsi="Times New Roman"/>
          <w:sz w:val="20"/>
          <w:szCs w:val="20"/>
        </w:rPr>
      </w:pPr>
      <w:r>
        <w:rPr>
          <w:rFonts w:ascii="Times New Roman" w:hAnsi="Times New Roman"/>
          <w:sz w:val="20"/>
          <w:szCs w:val="20"/>
        </w:rPr>
        <w:t xml:space="preserve">морские </w:t>
      </w:r>
    </w:p>
    <w:p w:rsidR="00517711" w:rsidRDefault="00F815BE">
      <w:pPr>
        <w:pStyle w:val="af4"/>
        <w:numPr>
          <w:ilvl w:val="0"/>
          <w:numId w:val="16"/>
        </w:numPr>
        <w:spacing w:after="0" w:line="240" w:lineRule="auto"/>
        <w:jc w:val="both"/>
        <w:rPr>
          <w:rFonts w:ascii="Times New Roman" w:hAnsi="Times New Roman"/>
          <w:sz w:val="20"/>
          <w:szCs w:val="20"/>
        </w:rPr>
      </w:pPr>
      <w:r>
        <w:rPr>
          <w:rFonts w:ascii="Times New Roman" w:hAnsi="Times New Roman"/>
          <w:sz w:val="20"/>
          <w:szCs w:val="20"/>
        </w:rPr>
        <w:t xml:space="preserve">военно-исторические и природоведческие </w:t>
      </w:r>
    </w:p>
    <w:p w:rsidR="00517711" w:rsidRDefault="00F815BE">
      <w:pPr>
        <w:pStyle w:val="af4"/>
        <w:numPr>
          <w:ilvl w:val="0"/>
          <w:numId w:val="16"/>
        </w:numPr>
        <w:spacing w:after="0" w:line="240" w:lineRule="auto"/>
        <w:jc w:val="both"/>
        <w:rPr>
          <w:rFonts w:ascii="Times New Roman" w:hAnsi="Times New Roman"/>
          <w:sz w:val="20"/>
          <w:szCs w:val="20"/>
        </w:rPr>
      </w:pPr>
      <w:r>
        <w:rPr>
          <w:rFonts w:ascii="Times New Roman" w:hAnsi="Times New Roman"/>
          <w:sz w:val="20"/>
          <w:szCs w:val="20"/>
        </w:rPr>
        <w:t>архитектурные и экскурсии по музеям и галереям.</w:t>
      </w:r>
    </w:p>
    <w:p w:rsidR="00517711" w:rsidRDefault="00F815BE">
      <w:pPr>
        <w:pStyle w:val="af4"/>
        <w:spacing w:after="0" w:line="240" w:lineRule="auto"/>
        <w:ind w:left="0" w:firstLine="1069"/>
        <w:jc w:val="both"/>
        <w:rPr>
          <w:rFonts w:ascii="Times New Roman" w:hAnsi="Times New Roman"/>
          <w:sz w:val="20"/>
          <w:szCs w:val="20"/>
        </w:rPr>
      </w:pPr>
      <w:r>
        <w:rPr>
          <w:rFonts w:ascii="Times New Roman" w:hAnsi="Times New Roman"/>
          <w:sz w:val="20"/>
          <w:szCs w:val="20"/>
        </w:rPr>
        <w:t xml:space="preserve">Оптимальная стоимость экскурсий, по мнению потребителей, отображена на рисунке 6. </w:t>
      </w:r>
    </w:p>
    <w:p w:rsidR="00517711" w:rsidRDefault="00517711">
      <w:pPr>
        <w:spacing w:after="0" w:line="240" w:lineRule="auto"/>
        <w:ind w:firstLine="709"/>
        <w:jc w:val="center"/>
        <w:rPr>
          <w:rFonts w:ascii="Times New Roman" w:hAnsi="Times New Roman" w:cs="Times New Roman"/>
          <w:sz w:val="20"/>
          <w:szCs w:val="20"/>
        </w:rPr>
      </w:pPr>
    </w:p>
    <w:p w:rsidR="00517711" w:rsidRDefault="00F815BE">
      <w:pPr>
        <w:spacing w:after="0" w:line="240" w:lineRule="auto"/>
        <w:ind w:firstLine="709"/>
        <w:jc w:val="center"/>
        <w:rPr>
          <w:rFonts w:ascii="Times New Roman" w:hAnsi="Times New Roman" w:cs="Times New Roman"/>
          <w:sz w:val="20"/>
          <w:szCs w:val="20"/>
        </w:rPr>
      </w:pPr>
      <w:r>
        <w:rPr>
          <w:rFonts w:ascii="Times New Roman" w:hAnsi="Times New Roman" w:cs="Times New Roman"/>
          <w:noProof/>
          <w:sz w:val="20"/>
          <w:szCs w:val="20"/>
          <w:lang w:eastAsia="ru-RU"/>
        </w:rPr>
        <w:drawing>
          <wp:inline distT="0" distB="0" distL="0" distR="0">
            <wp:extent cx="5314948" cy="1343025"/>
            <wp:effectExtent l="0" t="0" r="0" b="0"/>
            <wp:docPr id="49"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87"/>
              </a:graphicData>
            </a:graphic>
          </wp:inline>
        </w:drawing>
      </w:r>
    </w:p>
    <w:p w:rsidR="00517711" w:rsidRDefault="00F815B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Рис.6.Сумма, которую респонденты готовы потратить на экскурсию по городу Владивостоку, составлено автором</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44% респондентов готовы потратить от 400 до 800 рублей на экскурсию по городу Владивостоку. 42% готовы потратить 900-1200 рублей за экскурсию. Остальная аудитория готова заплатить более 1300 рублей. </w:t>
      </w:r>
    </w:p>
    <w:p w:rsidR="00517711" w:rsidRDefault="00517711">
      <w:pPr>
        <w:spacing w:after="0" w:line="240" w:lineRule="auto"/>
        <w:ind w:firstLine="709"/>
        <w:jc w:val="center"/>
        <w:rPr>
          <w:rFonts w:ascii="Times New Roman" w:hAnsi="Times New Roman" w:cs="Times New Roman"/>
          <w:sz w:val="20"/>
          <w:szCs w:val="20"/>
        </w:rPr>
      </w:pPr>
    </w:p>
    <w:p w:rsidR="00517711" w:rsidRDefault="00F815BE">
      <w:pPr>
        <w:spacing w:after="0" w:line="240" w:lineRule="auto"/>
        <w:ind w:firstLine="709"/>
        <w:jc w:val="center"/>
        <w:rPr>
          <w:rFonts w:ascii="Times New Roman" w:hAnsi="Times New Roman" w:cs="Times New Roman"/>
          <w:sz w:val="20"/>
          <w:szCs w:val="20"/>
        </w:rPr>
      </w:pPr>
      <w:r>
        <w:rPr>
          <w:rFonts w:ascii="Times New Roman" w:hAnsi="Times New Roman" w:cs="Times New Roman"/>
          <w:noProof/>
          <w:sz w:val="20"/>
          <w:szCs w:val="20"/>
          <w:lang w:eastAsia="ru-RU"/>
        </w:rPr>
        <w:lastRenderedPageBreak/>
        <w:drawing>
          <wp:inline distT="0" distB="0" distL="0" distR="0">
            <wp:extent cx="4238623" cy="1685925"/>
            <wp:effectExtent l="0" t="0" r="0" b="0"/>
            <wp:docPr id="50"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88"/>
              </a:graphicData>
            </a:graphic>
          </wp:inline>
        </w:drawing>
      </w:r>
    </w:p>
    <w:p w:rsidR="00517711" w:rsidRDefault="00F815B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Рис.7. Используемые ресурсы при поиске экскурсионного предложения, составлено автором</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Самым используемым ресурсом при поиске экскурсий для посещения оказался сайт </w:t>
      </w:r>
      <w:r>
        <w:rPr>
          <w:rFonts w:ascii="Times New Roman" w:hAnsi="Times New Roman" w:cs="Times New Roman"/>
          <w:sz w:val="20"/>
          <w:szCs w:val="20"/>
          <w:lang w:val="en-US"/>
        </w:rPr>
        <w:t>Vl</w:t>
      </w:r>
      <w:r>
        <w:rPr>
          <w:rFonts w:ascii="Times New Roman" w:hAnsi="Times New Roman" w:cs="Times New Roman"/>
          <w:sz w:val="20"/>
          <w:szCs w:val="20"/>
        </w:rPr>
        <w:t>.</w:t>
      </w:r>
      <w:r>
        <w:rPr>
          <w:rFonts w:ascii="Times New Roman" w:hAnsi="Times New Roman" w:cs="Times New Roman"/>
          <w:sz w:val="20"/>
          <w:szCs w:val="20"/>
          <w:lang w:val="en-US"/>
        </w:rPr>
        <w:t>ru</w:t>
      </w:r>
      <w:r>
        <w:rPr>
          <w:rFonts w:ascii="Times New Roman" w:hAnsi="Times New Roman" w:cs="Times New Roman"/>
          <w:sz w:val="20"/>
          <w:szCs w:val="20"/>
        </w:rPr>
        <w:t xml:space="preserve">, более 65% опрашиваемых проголосовали за него. Вторым по популярности оказалось «сарафанное радио». Одним из респондентов был указан популярный во Владивостоке сайт </w:t>
      </w:r>
      <w:r>
        <w:rPr>
          <w:rFonts w:ascii="Times New Roman" w:hAnsi="Times New Roman" w:cs="Times New Roman"/>
          <w:sz w:val="20"/>
          <w:szCs w:val="20"/>
          <w:lang w:val="en-US"/>
        </w:rPr>
        <w:t>farpost</w:t>
      </w:r>
      <w:r>
        <w:rPr>
          <w:rFonts w:ascii="Times New Roman" w:hAnsi="Times New Roman" w:cs="Times New Roman"/>
          <w:sz w:val="20"/>
          <w:szCs w:val="20"/>
        </w:rPr>
        <w:t>.</w:t>
      </w:r>
      <w:r>
        <w:rPr>
          <w:rFonts w:ascii="Times New Roman" w:hAnsi="Times New Roman" w:cs="Times New Roman"/>
          <w:sz w:val="20"/>
          <w:szCs w:val="20"/>
          <w:lang w:val="en-US"/>
        </w:rPr>
        <w:t>ru</w:t>
      </w:r>
      <w:r>
        <w:rPr>
          <w:rFonts w:ascii="Times New Roman" w:hAnsi="Times New Roman" w:cs="Times New Roman"/>
          <w:sz w:val="20"/>
          <w:szCs w:val="20"/>
        </w:rPr>
        <w:t>. На данный момент потребители все больше пользуются интернет ресурсами для поиска необходимой информации, при этом намного проще найти необходимое в общей афише, чем на отдельно взятых сайтах туристических фирм.</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По итогам анкетирования были выявлены получены результаты, которые привлекут наибольшую аудиторию (основная масса – это молодежь) на экскурсии по городу Владивостоку:</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продолжительность около 2 часов не  утомит экскурсантов;</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стоимость от 400 до 800 рублей потребители считают разумной ценой за экскурсию по Владивостоку;</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 размещение рекламы на сайте </w:t>
      </w:r>
      <w:r>
        <w:rPr>
          <w:rFonts w:ascii="Times New Roman" w:hAnsi="Times New Roman" w:cs="Times New Roman"/>
          <w:sz w:val="20"/>
          <w:szCs w:val="20"/>
          <w:lang w:val="en-US"/>
        </w:rPr>
        <w:t>Vl</w:t>
      </w:r>
      <w:r>
        <w:rPr>
          <w:rFonts w:ascii="Times New Roman" w:hAnsi="Times New Roman" w:cs="Times New Roman"/>
          <w:sz w:val="20"/>
          <w:szCs w:val="20"/>
        </w:rPr>
        <w:t>.</w:t>
      </w:r>
      <w:r>
        <w:rPr>
          <w:rFonts w:ascii="Times New Roman" w:hAnsi="Times New Roman" w:cs="Times New Roman"/>
          <w:sz w:val="20"/>
          <w:szCs w:val="20"/>
          <w:lang w:val="en-US"/>
        </w:rPr>
        <w:t>ru</w:t>
      </w:r>
      <w:r>
        <w:rPr>
          <w:rFonts w:ascii="Times New Roman" w:hAnsi="Times New Roman" w:cs="Times New Roman"/>
          <w:sz w:val="20"/>
          <w:szCs w:val="20"/>
        </w:rPr>
        <w:t xml:space="preserve"> наиболее целесообразно. Кроме того это не повлечет больших затрат, в отличие от рекламы в журналах и раздачи флаеров;</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проведение большого количества экскурсий будет пользоваться наибольшим спросом летом;</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исторические и  гастрономические экскурсии вызывают повышенный интерес у потребителей;</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смешанный тип экскурсии поможет не тратить время на мелкие детали, но  при этом ближе рассмотреть важные моменты;</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наибольшую мотивацию вызывают приемлемая цена, широкий ассортимент тематик и возможность провести время с близкими людьми. В этой связи было бы целесообразно предложить потребителям семейные скидки, или акцию «приведи друга».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На рисунке 8 отображена частота посещений респондентами экскурсий в городе Владивостоке.</w:t>
      </w:r>
    </w:p>
    <w:p w:rsidR="00517711" w:rsidRDefault="00F815BE">
      <w:pPr>
        <w:spacing w:after="0" w:line="240" w:lineRule="auto"/>
        <w:ind w:firstLine="709"/>
        <w:jc w:val="center"/>
        <w:rPr>
          <w:rFonts w:ascii="Times New Roman" w:hAnsi="Times New Roman" w:cs="Times New Roman"/>
          <w:sz w:val="20"/>
          <w:szCs w:val="20"/>
        </w:rPr>
      </w:pPr>
      <w:r>
        <w:rPr>
          <w:rFonts w:ascii="Times New Roman" w:hAnsi="Times New Roman" w:cs="Times New Roman"/>
          <w:noProof/>
          <w:sz w:val="20"/>
          <w:szCs w:val="20"/>
          <w:lang w:eastAsia="ru-RU"/>
        </w:rPr>
        <w:drawing>
          <wp:inline distT="0" distB="0" distL="0" distR="0">
            <wp:extent cx="4381498" cy="1143000"/>
            <wp:effectExtent l="0" t="0" r="0" b="0"/>
            <wp:docPr id="51" name="Диаграмма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89"/>
              </a:graphicData>
            </a:graphic>
          </wp:inline>
        </w:drawing>
      </w:r>
    </w:p>
    <w:p w:rsidR="00517711" w:rsidRDefault="00F815BE">
      <w:pPr>
        <w:spacing w:after="120" w:line="240" w:lineRule="auto"/>
        <w:ind w:firstLine="709"/>
        <w:jc w:val="center"/>
        <w:rPr>
          <w:rFonts w:ascii="Times New Roman" w:hAnsi="Times New Roman" w:cs="Times New Roman"/>
          <w:sz w:val="20"/>
          <w:szCs w:val="20"/>
        </w:rPr>
      </w:pPr>
      <w:r>
        <w:rPr>
          <w:rFonts w:ascii="Times New Roman" w:hAnsi="Times New Roman" w:cs="Times New Roman"/>
          <w:sz w:val="20"/>
          <w:szCs w:val="20"/>
        </w:rPr>
        <w:t>Рис.8. Частота посещений экскурсий респондентами, составлено автором</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Чтобы выявить популярность городских экскурсий среди респондентов, был задан вопрос о частоте посещения ими экскурсий по Владивостоку.  40% анкетируемых ни разу не были на экскурсии по городу Владивостоку. Это означает, что больше половины респондентов так или иначе с разной периодичностью посещают экскурсии по городу. </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Из 45 человек, посещавших когда-либо экскурсии по городу Владивостоку, только 2% остались недовольны результатом. 51% дали оценку «4» и 47% остались полностью довольны полученным опытом. Это говорит о качественной подготовке экскурсий турфирмами города. Из замечаний потребителями были отмечены: «очень скучно, абсолютно неинтересно» и «не организовано работают».</w:t>
      </w:r>
    </w:p>
    <w:p w:rsidR="00517711" w:rsidRDefault="00F815BE">
      <w:pPr>
        <w:pStyle w:val="1"/>
        <w:spacing w:before="0" w:after="0"/>
        <w:rPr>
          <w:sz w:val="20"/>
          <w:szCs w:val="20"/>
        </w:rPr>
      </w:pPr>
      <w:r>
        <w:rPr>
          <w:sz w:val="20"/>
          <w:szCs w:val="20"/>
        </w:rPr>
        <w:t>Заключение</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Экскурсия – (от лат. excursio – поездка) - это коллективное посещение музея, выставки, достопримечательного места и тому подобного, как одна из форм образовательно-воспитательной работы с детьми, которая дает возможность изучать предметы и явления в естественной обстановке; поездка, прогулка с образовательной, научной, спортивной, увеселительной целью [1].</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Регулярное проведение маркетинговых исследований позволяет выявлять требования потребителей к организации экскурсий по городу Владивостоку, определить частоту и регулярность посещений экскурсий; время и средства, которое потребители готовить потратить на туризм и виды экскурсий, вызывающие повышенный интерес.</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В результате исследования было выявлено, что большинство потребителей интересуют экскурсии, связанные с историей и гастрономические туры по городу. В связи с этим возможно расширение </w:t>
      </w:r>
      <w:r>
        <w:rPr>
          <w:rFonts w:ascii="Times New Roman" w:hAnsi="Times New Roman" w:cs="Times New Roman"/>
          <w:sz w:val="20"/>
          <w:szCs w:val="20"/>
        </w:rPr>
        <w:lastRenderedPageBreak/>
        <w:t xml:space="preserve">турпредложений, нацеленных на эти виды экскурсий. Кроме того, введение семейных скидок или акции «приведи друга» поможет привлечь необходимое количество аудитории. Самым актуальным ресурсом для продвижения турпродукта на сегодняшний день является сайт </w:t>
      </w:r>
      <w:r>
        <w:rPr>
          <w:rFonts w:ascii="Times New Roman" w:hAnsi="Times New Roman" w:cs="Times New Roman"/>
          <w:sz w:val="20"/>
          <w:szCs w:val="20"/>
          <w:lang w:val="en-US"/>
        </w:rPr>
        <w:t>Vl</w:t>
      </w:r>
      <w:r>
        <w:rPr>
          <w:rFonts w:ascii="Times New Roman" w:hAnsi="Times New Roman" w:cs="Times New Roman"/>
          <w:sz w:val="20"/>
          <w:szCs w:val="20"/>
        </w:rPr>
        <w:t>.</w:t>
      </w:r>
      <w:r>
        <w:rPr>
          <w:rFonts w:ascii="Times New Roman" w:hAnsi="Times New Roman" w:cs="Times New Roman"/>
          <w:sz w:val="20"/>
          <w:szCs w:val="20"/>
          <w:lang w:val="en-US"/>
        </w:rPr>
        <w:t>ru</w:t>
      </w:r>
      <w:r>
        <w:rPr>
          <w:rFonts w:ascii="Times New Roman" w:hAnsi="Times New Roman" w:cs="Times New Roman"/>
          <w:sz w:val="20"/>
          <w:szCs w:val="20"/>
        </w:rPr>
        <w:t>. Удобный интерфейс и строка поиска помогает быстро найти необходимые предложения. Современное качество экскурсионных услуг в целом удовлетворяет потребителей, но учтя их предпочтения, можно достичь увеличения потока экскурсантов и, соответственно, увеличить прибыль от оказания экскурсионных услуг.</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noProof/>
          <w:sz w:val="20"/>
          <w:szCs w:val="20"/>
          <w:lang w:eastAsia="ru-RU"/>
        </w:rPr>
        <mc:AlternateContent>
          <mc:Choice Requires="wps">
            <w:drawing>
              <wp:anchor distT="0" distB="0" distL="114300" distR="114300" simplePos="0" relativeHeight="251692032" behindDoc="0" locked="0" layoutInCell="1" allowOverlap="1">
                <wp:simplePos x="0" y="0"/>
                <wp:positionH relativeFrom="column">
                  <wp:posOffset>2538</wp:posOffset>
                </wp:positionH>
                <wp:positionV relativeFrom="paragraph">
                  <wp:posOffset>99058</wp:posOffset>
                </wp:positionV>
                <wp:extent cx="6113778" cy="31748"/>
                <wp:effectExtent l="0" t="0" r="20318" b="25398"/>
                <wp:wrapNone/>
                <wp:docPr id="52" name="Прямая соединительная линия 11"/>
                <wp:cNvGraphicFramePr/>
                <a:graphic xmlns:a="http://schemas.openxmlformats.org/drawingml/2006/main">
                  <a:graphicData uri="http://schemas.microsoft.com/office/word/2010/wordprocessingShape">
                    <wps:wsp>
                      <wps:cNvCnPr/>
                      <wps:spPr bwMode="auto">
                        <a:xfrm flipV="1">
                          <a:off x="0" y="0"/>
                          <a:ext cx="6113780" cy="3175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BC0C9FB" id="Прямая соединительная линия 11" o:spid="_x0000_s1026" style="position:absolute;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pt,7.8pt" to="481.6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" strokecolor="black [3213]" strokeweight="1pt"/>
            </w:pict>
          </mc:Fallback>
        </mc:AlternateContent>
      </w:r>
    </w:p>
    <w:p w:rsidR="00517711" w:rsidRDefault="00F815BE">
      <w:pPr>
        <w:pStyle w:val="2"/>
        <w:spacing w:line="240" w:lineRule="auto"/>
        <w:rPr>
          <w:rFonts w:cs="Times New Roman"/>
          <w:sz w:val="20"/>
          <w:szCs w:val="20"/>
        </w:rPr>
      </w:pPr>
      <w:r>
        <w:rPr>
          <w:rFonts w:cs="Times New Roman"/>
          <w:sz w:val="20"/>
          <w:szCs w:val="20"/>
        </w:rPr>
        <w:t>Список использованной литературы</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1 Основы экскурсоведения [Электронный ресурс] // Все о туризме. Туристическая библиотека. – Режим доступа: http://tourlib.net.</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2 Экскурсии во Владивостоке: старый город, подземелье, острова[Электронный ресурс] // </w:t>
      </w:r>
      <w:r>
        <w:rPr>
          <w:rFonts w:ascii="Times New Roman" w:hAnsi="Times New Roman" w:cs="Times New Roman"/>
          <w:sz w:val="20"/>
          <w:szCs w:val="20"/>
          <w:lang w:val="en-US"/>
        </w:rPr>
        <w:t>Vl</w:t>
      </w:r>
      <w:r>
        <w:rPr>
          <w:rFonts w:ascii="Times New Roman" w:hAnsi="Times New Roman" w:cs="Times New Roman"/>
          <w:sz w:val="20"/>
          <w:szCs w:val="20"/>
        </w:rPr>
        <w:t>.</w:t>
      </w:r>
      <w:r>
        <w:rPr>
          <w:rFonts w:ascii="Times New Roman" w:hAnsi="Times New Roman" w:cs="Times New Roman"/>
          <w:sz w:val="20"/>
          <w:szCs w:val="20"/>
          <w:lang w:val="en-US"/>
        </w:rPr>
        <w:t>ru</w:t>
      </w:r>
      <w:r>
        <w:rPr>
          <w:rFonts w:ascii="Times New Roman" w:hAnsi="Times New Roman" w:cs="Times New Roman"/>
          <w:sz w:val="20"/>
          <w:szCs w:val="20"/>
        </w:rPr>
        <w:t>. - Режим доступа: https://www.newsvl.ru/vlad/2017/07/08/160815/</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 Итоги Въездного Туризма в 2017 году // [Электронный ресурс] Аналитическое агентство ТурСтат. - Режим доступа: http://turstat.com.</w:t>
      </w:r>
    </w:p>
    <w:p w:rsidR="00517711" w:rsidRDefault="00517711">
      <w:pPr>
        <w:spacing w:after="0" w:line="240" w:lineRule="auto"/>
        <w:ind w:firstLine="709"/>
        <w:rPr>
          <w:rFonts w:ascii="Times New Roman" w:hAnsi="Times New Roman"/>
          <w:sz w:val="24"/>
        </w:rPr>
      </w:pPr>
    </w:p>
    <w:p w:rsidR="00517711" w:rsidRDefault="00517711">
      <w:pPr>
        <w:spacing w:after="0" w:line="240" w:lineRule="auto"/>
        <w:ind w:firstLine="709"/>
        <w:rPr>
          <w:rFonts w:ascii="Times New Roman" w:hAnsi="Times New Roman"/>
          <w:sz w:val="24"/>
        </w:rPr>
      </w:pPr>
    </w:p>
    <w:p w:rsidR="00517711" w:rsidRDefault="00F815BE">
      <w:pPr>
        <w:spacing w:after="0" w:line="240" w:lineRule="auto"/>
        <w:rPr>
          <w:rFonts w:ascii="Times New Roman" w:hAnsi="Times New Roman" w:cs="Times New Roman"/>
          <w:b/>
          <w:sz w:val="20"/>
        </w:rPr>
      </w:pPr>
      <w:r>
        <w:rPr>
          <w:rFonts w:ascii="Times New Roman" w:hAnsi="Times New Roman" w:cs="Times New Roman"/>
          <w:b/>
          <w:sz w:val="20"/>
        </w:rPr>
        <w:t>Рубрика: Современные тренды развития туристских дестинаций</w:t>
      </w:r>
    </w:p>
    <w:p w:rsidR="00517711" w:rsidRDefault="00517711">
      <w:pPr>
        <w:spacing w:after="0" w:line="240" w:lineRule="auto"/>
        <w:ind w:firstLine="709"/>
        <w:rPr>
          <w:rFonts w:ascii="Times New Roman" w:hAnsi="Times New Roman" w:cs="Times New Roman"/>
          <w:sz w:val="20"/>
        </w:rPr>
      </w:pPr>
    </w:p>
    <w:p w:rsidR="00517711" w:rsidRDefault="00F815BE">
      <w:pPr>
        <w:spacing w:after="0" w:line="240" w:lineRule="auto"/>
        <w:rPr>
          <w:rFonts w:ascii="Times New Roman" w:hAnsi="Times New Roman" w:cs="Times New Roman"/>
          <w:b/>
          <w:sz w:val="20"/>
        </w:rPr>
      </w:pPr>
      <w:r>
        <w:rPr>
          <w:rFonts w:ascii="Times New Roman" w:hAnsi="Times New Roman" w:cs="Times New Roman"/>
          <w:sz w:val="20"/>
        </w:rPr>
        <w:t>УДК 338.48-6:615.8(571.63)</w:t>
      </w:r>
    </w:p>
    <w:p w:rsidR="00517711" w:rsidRDefault="00517711">
      <w:pPr>
        <w:spacing w:after="0" w:line="240" w:lineRule="auto"/>
        <w:ind w:firstLine="709"/>
        <w:rPr>
          <w:rFonts w:ascii="Times New Roman" w:hAnsi="Times New Roman"/>
          <w:b/>
          <w:sz w:val="24"/>
        </w:rPr>
      </w:pPr>
    </w:p>
    <w:p w:rsidR="00517711" w:rsidRDefault="00517711">
      <w:pPr>
        <w:spacing w:after="0" w:line="240" w:lineRule="auto"/>
        <w:ind w:firstLine="709"/>
        <w:rPr>
          <w:rFonts w:ascii="Times New Roman" w:hAnsi="Times New Roman"/>
          <w:b/>
          <w:sz w:val="24"/>
        </w:rPr>
      </w:pPr>
    </w:p>
    <w:p w:rsidR="00517711" w:rsidRDefault="00F815BE">
      <w:pPr>
        <w:spacing w:after="0" w:line="240" w:lineRule="auto"/>
        <w:jc w:val="center"/>
        <w:rPr>
          <w:rFonts w:ascii="Book Antiqua" w:hAnsi="Book Antiqua"/>
          <w:b/>
          <w:sz w:val="26"/>
          <w:szCs w:val="26"/>
        </w:rPr>
      </w:pPr>
      <w:r>
        <w:rPr>
          <w:rFonts w:ascii="Book Antiqua" w:hAnsi="Book Antiqua"/>
          <w:b/>
          <w:sz w:val="26"/>
          <w:szCs w:val="26"/>
        </w:rPr>
        <w:t xml:space="preserve">ПЕРСПЕКТИВЫ РАЗВИТИЯ ЛЕЧЕБНО-ОЗДОРОВИТЕЛЬНОГО ТУРИЗМА С ПРИМЕНЕНИЕМ </w:t>
      </w:r>
    </w:p>
    <w:p w:rsidR="00517711" w:rsidRDefault="00F815BE">
      <w:pPr>
        <w:spacing w:after="0" w:line="240" w:lineRule="auto"/>
        <w:jc w:val="center"/>
        <w:rPr>
          <w:rFonts w:ascii="Book Antiqua" w:hAnsi="Book Antiqua"/>
          <w:b/>
          <w:sz w:val="26"/>
          <w:szCs w:val="26"/>
        </w:rPr>
      </w:pPr>
      <w:r>
        <w:rPr>
          <w:rFonts w:ascii="Book Antiqua" w:hAnsi="Book Antiqua"/>
          <w:b/>
          <w:sz w:val="26"/>
          <w:szCs w:val="26"/>
        </w:rPr>
        <w:t>ПЕЛОИДОВ В ПРИМОРСКОМ КРАЕ</w:t>
      </w:r>
    </w:p>
    <w:p w:rsidR="00517711" w:rsidRDefault="00517711">
      <w:pPr>
        <w:spacing w:after="0" w:line="240" w:lineRule="auto"/>
        <w:jc w:val="center"/>
        <w:rPr>
          <w:rFonts w:ascii="Times New Roman" w:hAnsi="Times New Roman"/>
          <w:i/>
          <w:sz w:val="24"/>
        </w:rPr>
      </w:pPr>
    </w:p>
    <w:p w:rsidR="00517711" w:rsidRDefault="00F815BE">
      <w:pPr>
        <w:spacing w:after="0" w:line="240" w:lineRule="auto"/>
        <w:jc w:val="center"/>
        <w:rPr>
          <w:rFonts w:ascii="Arial" w:hAnsi="Arial" w:cs="Arial"/>
          <w:b/>
          <w:sz w:val="24"/>
        </w:rPr>
      </w:pPr>
      <w:r>
        <w:rPr>
          <w:rFonts w:ascii="Arial" w:hAnsi="Arial" w:cs="Arial"/>
          <w:b/>
          <w:sz w:val="24"/>
        </w:rPr>
        <w:t xml:space="preserve">Ладнова Валерия Игоревна, </w:t>
      </w:r>
    </w:p>
    <w:p w:rsidR="00517711" w:rsidRDefault="00F815BE">
      <w:pPr>
        <w:spacing w:after="0" w:line="240" w:lineRule="auto"/>
        <w:jc w:val="center"/>
        <w:rPr>
          <w:rFonts w:ascii="Arial" w:hAnsi="Arial" w:cs="Arial"/>
          <w:sz w:val="24"/>
        </w:rPr>
      </w:pPr>
      <w:r>
        <w:rPr>
          <w:rFonts w:ascii="Arial" w:hAnsi="Arial" w:cs="Arial"/>
          <w:sz w:val="24"/>
        </w:rPr>
        <w:t>бакалавр</w:t>
      </w:r>
    </w:p>
    <w:p w:rsidR="00517711" w:rsidRDefault="00517711">
      <w:pPr>
        <w:spacing w:after="0" w:line="240" w:lineRule="auto"/>
        <w:jc w:val="center"/>
        <w:rPr>
          <w:rFonts w:ascii="Times New Roman" w:hAnsi="Times New Roman"/>
          <w:i/>
          <w:sz w:val="24"/>
        </w:rPr>
      </w:pPr>
    </w:p>
    <w:p w:rsidR="00517711" w:rsidRDefault="00F815BE">
      <w:pPr>
        <w:spacing w:after="0" w:line="240" w:lineRule="auto"/>
        <w:jc w:val="center"/>
        <w:rPr>
          <w:rFonts w:ascii="Times New Roman" w:hAnsi="Times New Roman"/>
          <w:i/>
        </w:rPr>
      </w:pPr>
      <w:r>
        <w:rPr>
          <w:rFonts w:ascii="Times New Roman" w:hAnsi="Times New Roman"/>
          <w:i/>
        </w:rPr>
        <w:t>Владивостокский государственный университет экономики и сервиса</w:t>
      </w:r>
    </w:p>
    <w:p w:rsidR="00517711" w:rsidRDefault="00F815BE">
      <w:pPr>
        <w:spacing w:after="0" w:line="240" w:lineRule="auto"/>
        <w:jc w:val="center"/>
        <w:rPr>
          <w:rFonts w:ascii="Times New Roman" w:hAnsi="Times New Roman"/>
          <w:i/>
        </w:rPr>
      </w:pPr>
      <w:r>
        <w:rPr>
          <w:rFonts w:ascii="Times New Roman" w:hAnsi="Times New Roman"/>
          <w:i/>
        </w:rPr>
        <w:t>Россия. Владивосток</w:t>
      </w:r>
    </w:p>
    <w:p w:rsidR="00517711" w:rsidRDefault="00517711">
      <w:pPr>
        <w:spacing w:after="0" w:line="240" w:lineRule="auto"/>
        <w:jc w:val="center"/>
        <w:rPr>
          <w:rFonts w:ascii="Times New Roman" w:hAnsi="Times New Roman"/>
          <w:sz w:val="24"/>
        </w:rPr>
      </w:pPr>
    </w:p>
    <w:p w:rsidR="00517711" w:rsidRDefault="00F815BE">
      <w:pPr>
        <w:spacing w:after="0" w:line="240" w:lineRule="auto"/>
        <w:jc w:val="center"/>
        <w:rPr>
          <w:rFonts w:ascii="Times New Roman" w:hAnsi="Times New Roman"/>
          <w:sz w:val="20"/>
        </w:rPr>
      </w:pPr>
      <w:r>
        <w:rPr>
          <w:rFonts w:ascii="Times New Roman" w:hAnsi="Times New Roman"/>
          <w:sz w:val="20"/>
          <w:lang w:val="en-US"/>
        </w:rPr>
        <w:t>E</w:t>
      </w:r>
      <w:r>
        <w:rPr>
          <w:rFonts w:ascii="Times New Roman" w:hAnsi="Times New Roman"/>
          <w:sz w:val="20"/>
        </w:rPr>
        <w:t>-</w:t>
      </w:r>
      <w:r>
        <w:rPr>
          <w:rFonts w:ascii="Times New Roman" w:hAnsi="Times New Roman"/>
          <w:sz w:val="20"/>
          <w:lang w:val="en-US"/>
        </w:rPr>
        <w:t>mail</w:t>
      </w:r>
      <w:r>
        <w:rPr>
          <w:rFonts w:ascii="Times New Roman" w:hAnsi="Times New Roman"/>
          <w:sz w:val="20"/>
        </w:rPr>
        <w:t xml:space="preserve">: </w:t>
      </w:r>
      <w:r>
        <w:rPr>
          <w:rFonts w:ascii="Times New Roman" w:hAnsi="Times New Roman"/>
          <w:sz w:val="20"/>
          <w:lang w:val="en-US"/>
        </w:rPr>
        <w:t>deth</w:t>
      </w:r>
      <w:r>
        <w:rPr>
          <w:rFonts w:ascii="Times New Roman" w:hAnsi="Times New Roman"/>
          <w:sz w:val="20"/>
        </w:rPr>
        <w:t>96@</w:t>
      </w:r>
      <w:r>
        <w:rPr>
          <w:rFonts w:ascii="Times New Roman" w:hAnsi="Times New Roman"/>
          <w:sz w:val="20"/>
          <w:lang w:val="en-US"/>
        </w:rPr>
        <w:t>mail</w:t>
      </w:r>
      <w:r>
        <w:rPr>
          <w:rFonts w:ascii="Times New Roman" w:hAnsi="Times New Roman"/>
          <w:sz w:val="20"/>
        </w:rPr>
        <w:t>.</w:t>
      </w:r>
      <w:r>
        <w:rPr>
          <w:rFonts w:ascii="Times New Roman" w:hAnsi="Times New Roman"/>
          <w:sz w:val="20"/>
          <w:lang w:val="en-US"/>
        </w:rPr>
        <w:t>ru</w:t>
      </w:r>
      <w:r>
        <w:rPr>
          <w:rFonts w:ascii="Times New Roman" w:hAnsi="Times New Roman"/>
          <w:sz w:val="20"/>
        </w:rPr>
        <w:t>, тел. +79149669064</w:t>
      </w:r>
    </w:p>
    <w:p w:rsidR="00517711" w:rsidRDefault="00F815BE">
      <w:pPr>
        <w:spacing w:after="0" w:line="240" w:lineRule="auto"/>
        <w:jc w:val="center"/>
        <w:rPr>
          <w:rFonts w:ascii="Times New Roman" w:hAnsi="Times New Roman"/>
          <w:sz w:val="20"/>
        </w:rPr>
      </w:pPr>
      <w:r>
        <w:rPr>
          <w:rFonts w:ascii="Times New Roman" w:hAnsi="Times New Roman"/>
          <w:sz w:val="20"/>
        </w:rPr>
        <w:t>ул. Гоголя, 41, г. Владивосток, Приморский край, Россия, 690014</w:t>
      </w:r>
    </w:p>
    <w:p w:rsidR="00517711" w:rsidRDefault="00517711">
      <w:pPr>
        <w:spacing w:after="0" w:line="240" w:lineRule="auto"/>
        <w:ind w:firstLine="709"/>
        <w:jc w:val="center"/>
        <w:rPr>
          <w:rFonts w:ascii="Times New Roman" w:hAnsi="Times New Roman"/>
          <w:i/>
          <w:sz w:val="24"/>
        </w:rPr>
      </w:pPr>
    </w:p>
    <w:p w:rsidR="00517711" w:rsidRDefault="00F815BE">
      <w:pPr>
        <w:spacing w:after="0" w:line="240" w:lineRule="auto"/>
        <w:ind w:firstLine="709"/>
        <w:jc w:val="both"/>
        <w:rPr>
          <w:rFonts w:ascii="Times New Roman" w:hAnsi="Times New Roman"/>
          <w:i/>
        </w:rPr>
      </w:pPr>
      <w:r>
        <w:rPr>
          <w:rFonts w:ascii="Times New Roman" w:hAnsi="Times New Roman"/>
          <w:i/>
        </w:rPr>
        <w:t>В статье представлены данные по Приморскому краю в сфере лечебно-оздоровительного туризма. Проведен анализ центров пелоидолечения и тенденций развития лечебно-оздоровительного туризма в Приморье. Определены перспективы развития санаторно-курортной отрасли Приморского края.</w:t>
      </w:r>
    </w:p>
    <w:p w:rsidR="00517711" w:rsidRDefault="00F815BE">
      <w:pPr>
        <w:spacing w:after="0" w:line="240" w:lineRule="auto"/>
        <w:ind w:firstLine="709"/>
        <w:jc w:val="both"/>
        <w:rPr>
          <w:rFonts w:ascii="Times New Roman" w:hAnsi="Times New Roman"/>
          <w:i/>
        </w:rPr>
      </w:pPr>
      <w:r>
        <w:rPr>
          <w:rFonts w:ascii="Times New Roman" w:hAnsi="Times New Roman"/>
          <w:b/>
          <w:i/>
        </w:rPr>
        <w:t xml:space="preserve">Ключевые слова: </w:t>
      </w:r>
      <w:r>
        <w:rPr>
          <w:rFonts w:ascii="Times New Roman" w:hAnsi="Times New Roman"/>
          <w:i/>
        </w:rPr>
        <w:t>лечебно-оздоровительный туризм, пелоиды, санаторно-курортный комплекс, лечебные местности, месторождения пелоидов.</w:t>
      </w:r>
    </w:p>
    <w:p w:rsidR="00517711" w:rsidRDefault="00517711">
      <w:pPr>
        <w:spacing w:after="0" w:line="240" w:lineRule="auto"/>
        <w:ind w:firstLine="709"/>
        <w:jc w:val="both"/>
        <w:rPr>
          <w:rFonts w:ascii="Times New Roman" w:hAnsi="Times New Roman"/>
          <w:b/>
          <w:sz w:val="24"/>
        </w:rPr>
      </w:pPr>
    </w:p>
    <w:p w:rsidR="00517711" w:rsidRDefault="00F815BE">
      <w:pPr>
        <w:spacing w:after="0" w:line="240" w:lineRule="auto"/>
        <w:jc w:val="center"/>
        <w:rPr>
          <w:rFonts w:ascii="Book Antiqua" w:hAnsi="Book Antiqua"/>
          <w:b/>
          <w:sz w:val="26"/>
          <w:szCs w:val="26"/>
          <w:lang w:val="en-US"/>
        </w:rPr>
      </w:pPr>
      <w:r>
        <w:rPr>
          <w:rFonts w:ascii="Book Antiqua" w:hAnsi="Book Antiqua"/>
          <w:b/>
          <w:sz w:val="26"/>
          <w:szCs w:val="26"/>
          <w:lang w:val="en-US"/>
        </w:rPr>
        <w:t>PROSPECTS FOR THE DEVELOPMENT OF THERAPEUTIC AND HEALTH TOURISM WITH THE USE OF THERAPEUTIC MUD IN PRIMORSKY KRAI.</w:t>
      </w:r>
    </w:p>
    <w:p w:rsidR="00517711" w:rsidRDefault="00517711">
      <w:pPr>
        <w:spacing w:after="0" w:line="240" w:lineRule="auto"/>
        <w:ind w:firstLine="709"/>
        <w:jc w:val="both"/>
        <w:rPr>
          <w:rFonts w:ascii="Times New Roman" w:hAnsi="Times New Roman"/>
          <w:b/>
          <w:sz w:val="24"/>
          <w:lang w:val="en-US"/>
        </w:rPr>
      </w:pPr>
    </w:p>
    <w:p w:rsidR="00517711" w:rsidRDefault="00F815BE">
      <w:pPr>
        <w:spacing w:after="0" w:line="240" w:lineRule="auto"/>
        <w:ind w:firstLine="709"/>
        <w:jc w:val="both"/>
        <w:rPr>
          <w:rFonts w:ascii="Times New Roman" w:hAnsi="Times New Roman"/>
          <w:i/>
          <w:lang w:val="en-US"/>
        </w:rPr>
      </w:pPr>
      <w:r>
        <w:rPr>
          <w:rFonts w:ascii="Times New Roman" w:hAnsi="Times New Roman"/>
          <w:i/>
          <w:lang w:val="en-US"/>
        </w:rPr>
        <w:t>The article presents data on the Primorsky Territory in the sphere of medical and health tourism. The analysis of the centers of peloid treatment and tendencies in the development of medical and health tourism in Primorye was carried out. The prospects for the development of the sanatorium and resort industry of Primorsky Krai have been determined.</w:t>
      </w:r>
    </w:p>
    <w:p w:rsidR="00517711" w:rsidRDefault="00F815BE">
      <w:pPr>
        <w:spacing w:after="0" w:line="240" w:lineRule="auto"/>
        <w:ind w:firstLine="709"/>
        <w:jc w:val="both"/>
        <w:rPr>
          <w:rFonts w:ascii="Times New Roman" w:hAnsi="Times New Roman"/>
          <w:i/>
          <w:lang w:val="en-US"/>
        </w:rPr>
      </w:pPr>
      <w:r>
        <w:rPr>
          <w:rFonts w:ascii="Times New Roman" w:hAnsi="Times New Roman"/>
          <w:b/>
          <w:i/>
          <w:lang w:val="en-US"/>
        </w:rPr>
        <w:t>Keywords:</w:t>
      </w:r>
      <w:r>
        <w:rPr>
          <w:rFonts w:ascii="Times New Roman" w:hAnsi="Times New Roman"/>
          <w:i/>
          <w:lang w:val="en-US"/>
        </w:rPr>
        <w:t xml:space="preserve"> health-improving tourism, peloids, a sanatorium complex, medical areas, deposits of peloids.</w:t>
      </w:r>
    </w:p>
    <w:p w:rsidR="00517711" w:rsidRDefault="00517711">
      <w:pPr>
        <w:spacing w:after="0" w:line="240" w:lineRule="auto"/>
        <w:ind w:firstLine="709"/>
        <w:jc w:val="both"/>
        <w:rPr>
          <w:rFonts w:ascii="Times New Roman" w:hAnsi="Times New Roman"/>
          <w:i/>
          <w:sz w:val="24"/>
          <w:lang w:val="en-US"/>
        </w:rPr>
      </w:pP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Одним из приоритетов государственной политики обеспечения устойчивого социально-экономического развития Российской Федерации является сохранение и укрепление здоровья населения на основе формирования здорового образа жизни и повышения доступности и качества медицинской помощи (Стратегия развития здравоохранения Российской Федерации на долгосрочный период 2015 – 2030 гг.).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lastRenderedPageBreak/>
        <w:t>Целью исследования является определение перспективы развития лечебно-оздоровительного туризма с использованием пелоидов в Приморском крае в рамках современного состояния санаторно-курортной отрасли.</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 ходе работы были выявлены следующие задачи:</w:t>
      </w:r>
    </w:p>
    <w:p w:rsidR="00517711" w:rsidRDefault="00F815BE">
      <w:pPr>
        <w:pStyle w:val="af4"/>
        <w:numPr>
          <w:ilvl w:val="0"/>
          <w:numId w:val="18"/>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выделить основные лечебные местности;</w:t>
      </w:r>
    </w:p>
    <w:p w:rsidR="00517711" w:rsidRDefault="00F815BE">
      <w:pPr>
        <w:pStyle w:val="af4"/>
        <w:numPr>
          <w:ilvl w:val="0"/>
          <w:numId w:val="18"/>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проанализировать базу пелоидолечения в Приморском крае;</w:t>
      </w:r>
    </w:p>
    <w:p w:rsidR="00517711" w:rsidRDefault="00F815BE">
      <w:pPr>
        <w:pStyle w:val="af4"/>
        <w:numPr>
          <w:ilvl w:val="0"/>
          <w:numId w:val="18"/>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оценить современное состояние санаторно-курортного комплекса Приморского края.</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Согласно данным Федеральной службы государственной статистики уровень заболеваемости населения растет с каждым годом [3].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Среди перечня заболеваний, которыми в последние годы все чаще страдают жители России, находится немалое количество тех недугов, в лечении которых может быть полезна лечебная грязь (рисунок 1). </w:t>
      </w:r>
    </w:p>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lang w:eastAsia="ru-RU"/>
        </w:rPr>
        <mc:AlternateContent>
          <mc:Choice Requires="wpg">
            <w:drawing>
              <wp:inline distT="0" distB="0" distL="0" distR="0">
                <wp:extent cx="3475353" cy="1724023"/>
                <wp:effectExtent l="0" t="19048" r="10793" b="47623"/>
                <wp:docPr id="53" name="Схема 4"/>
                <wp:cNvGraphicFramePr/>
                <a:graphic xmlns:a="http://schemas.openxmlformats.org/drawingml/2006/main">
                  <a:graphicData uri="http://schemas.microsoft.com/office/word/2010/wordprocessingGroup">
                    <wpg:wgp>
                      <wpg:cNvGrpSpPr/>
                      <wpg:grpSpPr bwMode="auto">
                        <a:xfrm>
                          <a:off x="0" y="0"/>
                          <a:ext cx="3475353" cy="1724023"/>
                          <a:chOff x="0" y="0"/>
                          <a:chExt cx="3475353" cy="1724023"/>
                        </a:xfrm>
                      </wpg:grpSpPr>
                      <wpg:grpSp>
                        <wpg:cNvPr id="81" name="Группа 81"/>
                        <wpg:cNvGrpSpPr/>
                        <wpg:grpSpPr bwMode="auto">
                          <a:xfrm>
                            <a:off x="0" y="1553927"/>
                            <a:ext cx="3475355" cy="170045"/>
                            <a:chOff x="0" y="0"/>
                            <a:chExt cx="3475355" cy="170045"/>
                          </a:xfrm>
                        </wpg:grpSpPr>
                        <wps:wsp>
                          <wps:cNvPr id="82" name="Прямоугольник 82"/>
                          <wps:cNvSpPr/>
                          <wps:spPr bwMode="auto">
                            <a:xfrm>
                              <a:off x="0" y="0"/>
                              <a:ext cx="3475355" cy="170045"/>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wps:spPr>
                          <wps:style>
                            <a:lnRef idx="2">
                              <a:srgbClr val="000000"/>
                            </a:lnRef>
                            <a:fillRef idx="1">
                              <a:srgbClr val="000000"/>
                            </a:fillRef>
                            <a:effectRef idx="0">
                              <a:srgbClr val="000000"/>
                            </a:effectRef>
                            <a:fontRef idx="minor">
                              <a:schemeClr val="lt1"/>
                            </a:fontRef>
                          </wps:style>
                          <wps:bodyPr rot="0">
                            <a:prstTxWarp prst="textNoShape">
                              <a:avLst/>
                            </a:prstTxWarp>
                            <a:noAutofit/>
                          </wps:bodyPr>
                        </wps:wsp>
                        <wps:wsp>
                          <wps:cNvPr id="83" name="Прямоугольник 83"/>
                          <wps:cNvSpPr/>
                          <wps:spPr bwMode="auto">
                            <a:xfrm>
                              <a:off x="0" y="0"/>
                              <a:ext cx="3475355" cy="170045"/>
                            </a:xfrm>
                            <a:prstGeom prst="rect">
                              <a:avLst/>
                            </a:prstGeom>
                            <a:noFill/>
                            <a:ln>
                              <a:noFill/>
                            </a:ln>
                          </wps:spPr>
                          <wps:txbx>
                            <w:txbxContent>
                              <w:p w:rsidR="00306ED2" w:rsidRDefault="00306ED2">
                                <w:r>
                                  <w:rPr>
                                    <w:rFonts w:ascii="Times New Roman" w:eastAsia="+mn-ea" w:hAnsi="Times New Roman" w:cs="Times New Roman"/>
                                    <w:color w:val="000000"/>
                                    <w:sz w:val="24"/>
                                    <w:szCs w:val="24"/>
                                  </w:rPr>
                                  <w:t>др.</w:t>
                                </w:r>
                              </w:p>
                            </w:txbxContent>
                          </wps:txbx>
                          <wps:bodyPr spcFirstLastPara="0" vert="horz" wrap="square" lIns="85344" tIns="85344" rIns="85344" bIns="85344" numCol="1" spcCol="1270" anchor="ctr" anchorCtr="0">
                            <a:noAutofit/>
                          </wps:bodyPr>
                        </wps:wsp>
                      </wpg:grpSp>
                      <wpg:grpSp>
                        <wpg:cNvPr id="84" name="Группа 84"/>
                        <wpg:cNvGrpSpPr/>
                        <wpg:grpSpPr bwMode="auto">
                          <a:xfrm>
                            <a:off x="0" y="1294948"/>
                            <a:ext cx="3475355" cy="261529"/>
                            <a:chOff x="0" y="0"/>
                            <a:chExt cx="3475355" cy="261529"/>
                          </a:xfrm>
                        </wpg:grpSpPr>
                        <wps:wsp>
                          <wps:cNvPr id="85" name="Выноска со стрелкой вверх 85"/>
                          <wps:cNvSpPr/>
                          <wps:spPr bwMode="auto">
                            <a:xfrm rot="10800000">
                              <a:off x="0" y="0"/>
                              <a:ext cx="3475355" cy="261529"/>
                            </a:xfrm>
                            <a:prstGeom prst="upArrowCallout">
                              <a:avLst>
                                <a:gd name="adj1" fmla="val 25000"/>
                                <a:gd name="adj2" fmla="val 25000"/>
                                <a:gd name="adj3" fmla="val 25000"/>
                                <a:gd name="adj4" fmla="val 64977"/>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wps:spPr>
                          <wps:style>
                            <a:lnRef idx="2">
                              <a:srgbClr val="000000"/>
                            </a:lnRef>
                            <a:fillRef idx="1">
                              <a:srgbClr val="000000"/>
                            </a:fillRef>
                            <a:effectRef idx="0">
                              <a:srgbClr val="000000"/>
                            </a:effectRef>
                            <a:fontRef idx="minor">
                              <a:schemeClr val="lt1"/>
                            </a:fontRef>
                          </wps:style>
                          <wps:bodyPr rot="0">
                            <a:prstTxWarp prst="textNoShape">
                              <a:avLst/>
                            </a:prstTxWarp>
                            <a:noAutofit/>
                          </wps:bodyPr>
                        </wps:wsp>
                        <wps:wsp>
                          <wps:cNvPr id="86" name="Прямоугольник 86"/>
                          <wps:cNvSpPr/>
                          <wps:spPr bwMode="auto">
                            <a:xfrm rot="21600000">
                              <a:off x="0" y="0"/>
                              <a:ext cx="3475355" cy="169934"/>
                            </a:xfrm>
                            <a:prstGeom prst="rect">
                              <a:avLst/>
                            </a:prstGeom>
                            <a:noFill/>
                            <a:ln>
                              <a:noFill/>
                            </a:ln>
                          </wps:spPr>
                          <wps:txbx>
                            <w:txbxContent>
                              <w:p w:rsidR="00306ED2" w:rsidRDefault="00306ED2">
                                <w:r>
                                  <w:rPr>
                                    <w:rFonts w:ascii="Times New Roman" w:eastAsia="+mn-ea" w:hAnsi="Times New Roman" w:cs="Times New Roman"/>
                                    <w:color w:val="000000"/>
                                    <w:sz w:val="21"/>
                                    <w:szCs w:val="21"/>
                                  </w:rPr>
                                  <w:t>мужского и женского бесплодия</w:t>
                                </w:r>
                              </w:p>
                            </w:txbxContent>
                          </wps:txbx>
                          <wps:bodyPr spcFirstLastPara="0" vert="horz" wrap="square" lIns="78232" tIns="78232" rIns="78232" bIns="78232" numCol="1" spcCol="1270" anchor="ctr" anchorCtr="0">
                            <a:noAutofit/>
                          </wps:bodyPr>
                        </wps:wsp>
                      </wpg:grpSp>
                      <wpg:grpSp>
                        <wpg:cNvPr id="87" name="Группа 87"/>
                        <wpg:cNvGrpSpPr/>
                        <wpg:grpSpPr bwMode="auto">
                          <a:xfrm>
                            <a:off x="0" y="1035968"/>
                            <a:ext cx="3475355" cy="261529"/>
                            <a:chOff x="0" y="0"/>
                            <a:chExt cx="3475355" cy="261529"/>
                          </a:xfrm>
                        </wpg:grpSpPr>
                        <wps:wsp>
                          <wps:cNvPr id="88" name="Выноска со стрелкой вверх 88"/>
                          <wps:cNvSpPr/>
                          <wps:spPr bwMode="auto">
                            <a:xfrm rot="10800000">
                              <a:off x="0" y="0"/>
                              <a:ext cx="3475355" cy="261529"/>
                            </a:xfrm>
                            <a:prstGeom prst="upArrowCallout">
                              <a:avLst>
                                <a:gd name="adj1" fmla="val 25000"/>
                                <a:gd name="adj2" fmla="val 25000"/>
                                <a:gd name="adj3" fmla="val 25000"/>
                                <a:gd name="adj4" fmla="val 64977"/>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wps:spPr>
                          <wps:style>
                            <a:lnRef idx="2">
                              <a:srgbClr val="000000"/>
                            </a:lnRef>
                            <a:fillRef idx="1">
                              <a:srgbClr val="000000"/>
                            </a:fillRef>
                            <a:effectRef idx="0">
                              <a:srgbClr val="000000"/>
                            </a:effectRef>
                            <a:fontRef idx="minor">
                              <a:schemeClr val="lt1"/>
                            </a:fontRef>
                          </wps:style>
                          <wps:bodyPr rot="0">
                            <a:prstTxWarp prst="textNoShape">
                              <a:avLst/>
                            </a:prstTxWarp>
                            <a:noAutofit/>
                          </wps:bodyPr>
                        </wps:wsp>
                        <wps:wsp>
                          <wps:cNvPr id="89" name="Прямоугольник 89"/>
                          <wps:cNvSpPr/>
                          <wps:spPr bwMode="auto">
                            <a:xfrm rot="21600000">
                              <a:off x="0" y="0"/>
                              <a:ext cx="3475355" cy="169934"/>
                            </a:xfrm>
                            <a:prstGeom prst="rect">
                              <a:avLst/>
                            </a:prstGeom>
                            <a:noFill/>
                            <a:ln>
                              <a:noFill/>
                            </a:ln>
                          </wps:spPr>
                          <wps:txbx>
                            <w:txbxContent>
                              <w:p w:rsidR="00306ED2" w:rsidRDefault="00306ED2">
                                <w:r>
                                  <w:rPr>
                                    <w:rFonts w:ascii="Times New Roman" w:eastAsia="+mn-ea" w:hAnsi="Times New Roman" w:cs="Times New Roman"/>
                                    <w:color w:val="000000"/>
                                    <w:sz w:val="21"/>
                                    <w:szCs w:val="21"/>
                                  </w:rPr>
                                  <w:t xml:space="preserve">воспалительных гинекологических </w:t>
                                </w:r>
                              </w:p>
                            </w:txbxContent>
                          </wps:txbx>
                          <wps:bodyPr spcFirstLastPara="0" vert="horz" wrap="square" lIns="78232" tIns="78232" rIns="78232" bIns="78232" numCol="1" spcCol="1270" anchor="ctr" anchorCtr="0">
                            <a:noAutofit/>
                          </wps:bodyPr>
                        </wps:wsp>
                      </wpg:grpSp>
                      <wpg:grpSp>
                        <wpg:cNvPr id="90" name="Группа 90"/>
                        <wpg:cNvGrpSpPr/>
                        <wpg:grpSpPr bwMode="auto">
                          <a:xfrm>
                            <a:off x="0" y="776989"/>
                            <a:ext cx="3475355" cy="261529"/>
                            <a:chOff x="0" y="0"/>
                            <a:chExt cx="3475355" cy="261529"/>
                          </a:xfrm>
                        </wpg:grpSpPr>
                        <wps:wsp>
                          <wps:cNvPr id="91" name="Выноска со стрелкой вверх 91"/>
                          <wps:cNvSpPr/>
                          <wps:spPr bwMode="auto">
                            <a:xfrm rot="10800000">
                              <a:off x="0" y="0"/>
                              <a:ext cx="3475355" cy="261529"/>
                            </a:xfrm>
                            <a:prstGeom prst="upArrowCallout">
                              <a:avLst>
                                <a:gd name="adj1" fmla="val 25000"/>
                                <a:gd name="adj2" fmla="val 25000"/>
                                <a:gd name="adj3" fmla="val 25000"/>
                                <a:gd name="adj4" fmla="val 64977"/>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wps:spPr>
                          <wps:style>
                            <a:lnRef idx="2">
                              <a:srgbClr val="000000"/>
                            </a:lnRef>
                            <a:fillRef idx="1">
                              <a:srgbClr val="000000"/>
                            </a:fillRef>
                            <a:effectRef idx="0">
                              <a:srgbClr val="000000"/>
                            </a:effectRef>
                            <a:fontRef idx="minor">
                              <a:schemeClr val="lt1"/>
                            </a:fontRef>
                          </wps:style>
                          <wps:bodyPr rot="0">
                            <a:prstTxWarp prst="textNoShape">
                              <a:avLst/>
                            </a:prstTxWarp>
                            <a:noAutofit/>
                          </wps:bodyPr>
                        </wps:wsp>
                        <wps:wsp>
                          <wps:cNvPr id="92" name="Прямоугольник 92"/>
                          <wps:cNvSpPr/>
                          <wps:spPr bwMode="auto">
                            <a:xfrm rot="21600000">
                              <a:off x="0" y="0"/>
                              <a:ext cx="3475355" cy="169934"/>
                            </a:xfrm>
                            <a:prstGeom prst="rect">
                              <a:avLst/>
                            </a:prstGeom>
                            <a:noFill/>
                            <a:ln>
                              <a:noFill/>
                            </a:ln>
                          </wps:spPr>
                          <wps:txbx>
                            <w:txbxContent>
                              <w:p w:rsidR="00306ED2" w:rsidRDefault="00306ED2">
                                <w:r>
                                  <w:rPr>
                                    <w:rFonts w:ascii="Times New Roman" w:eastAsia="+mn-ea" w:hAnsi="Times New Roman" w:cs="Times New Roman"/>
                                    <w:color w:val="000000"/>
                                    <w:sz w:val="21"/>
                                    <w:szCs w:val="21"/>
                                  </w:rPr>
                                  <w:t>желудочно-кишечного тракта</w:t>
                                </w:r>
                              </w:p>
                            </w:txbxContent>
                          </wps:txbx>
                          <wps:bodyPr spcFirstLastPara="0" vert="horz" wrap="square" lIns="78232" tIns="78232" rIns="78232" bIns="78232" numCol="1" spcCol="1270" anchor="ctr" anchorCtr="0">
                            <a:noAutofit/>
                          </wps:bodyPr>
                        </wps:wsp>
                      </wpg:grpSp>
                      <wpg:grpSp>
                        <wpg:cNvPr id="93" name="Группа 93"/>
                        <wpg:cNvGrpSpPr/>
                        <wpg:grpSpPr bwMode="auto">
                          <a:xfrm>
                            <a:off x="0" y="518010"/>
                            <a:ext cx="3475355" cy="261529"/>
                            <a:chOff x="0" y="0"/>
                            <a:chExt cx="3475355" cy="261529"/>
                          </a:xfrm>
                        </wpg:grpSpPr>
                        <wps:wsp>
                          <wps:cNvPr id="94" name="Выноска со стрелкой вверх 94"/>
                          <wps:cNvSpPr/>
                          <wps:spPr bwMode="auto">
                            <a:xfrm rot="10800000">
                              <a:off x="0" y="0"/>
                              <a:ext cx="3475355" cy="261529"/>
                            </a:xfrm>
                            <a:prstGeom prst="upArrowCallout">
                              <a:avLst>
                                <a:gd name="adj1" fmla="val 25000"/>
                                <a:gd name="adj2" fmla="val 25000"/>
                                <a:gd name="adj3" fmla="val 25000"/>
                                <a:gd name="adj4" fmla="val 64977"/>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wps:spPr>
                          <wps:style>
                            <a:lnRef idx="2">
                              <a:srgbClr val="000000"/>
                            </a:lnRef>
                            <a:fillRef idx="1">
                              <a:srgbClr val="000000"/>
                            </a:fillRef>
                            <a:effectRef idx="0">
                              <a:srgbClr val="000000"/>
                            </a:effectRef>
                            <a:fontRef idx="minor">
                              <a:schemeClr val="lt1"/>
                            </a:fontRef>
                          </wps:style>
                          <wps:bodyPr rot="0">
                            <a:prstTxWarp prst="textNoShape">
                              <a:avLst/>
                            </a:prstTxWarp>
                            <a:noAutofit/>
                          </wps:bodyPr>
                        </wps:wsp>
                        <wps:wsp>
                          <wps:cNvPr id="95" name="Прямоугольник 95"/>
                          <wps:cNvSpPr/>
                          <wps:spPr bwMode="auto">
                            <a:xfrm rot="21600000">
                              <a:off x="0" y="0"/>
                              <a:ext cx="3475355" cy="169934"/>
                            </a:xfrm>
                            <a:prstGeom prst="rect">
                              <a:avLst/>
                            </a:prstGeom>
                            <a:noFill/>
                            <a:ln>
                              <a:noFill/>
                            </a:ln>
                          </wps:spPr>
                          <wps:txbx>
                            <w:txbxContent>
                              <w:p w:rsidR="00306ED2" w:rsidRDefault="00306ED2">
                                <w:r>
                                  <w:rPr>
                                    <w:rFonts w:ascii="Times New Roman" w:eastAsia="+mn-ea" w:hAnsi="Times New Roman" w:cs="Times New Roman"/>
                                    <w:color w:val="000000"/>
                                    <w:sz w:val="21"/>
                                    <w:szCs w:val="21"/>
                                  </w:rPr>
                                  <w:t>поверхности кожи</w:t>
                                </w:r>
                              </w:p>
                            </w:txbxContent>
                          </wps:txbx>
                          <wps:bodyPr spcFirstLastPara="0" vert="horz" wrap="square" lIns="78232" tIns="78232" rIns="78232" bIns="78232" numCol="1" spcCol="1270" anchor="ctr" anchorCtr="0">
                            <a:noAutofit/>
                          </wps:bodyPr>
                        </wps:wsp>
                      </wpg:grpSp>
                      <wpg:grpSp>
                        <wpg:cNvPr id="96" name="Группа 96"/>
                        <wpg:cNvGrpSpPr/>
                        <wpg:grpSpPr bwMode="auto">
                          <a:xfrm>
                            <a:off x="0" y="259031"/>
                            <a:ext cx="3475355" cy="261529"/>
                            <a:chOff x="0" y="0"/>
                            <a:chExt cx="3475355" cy="261529"/>
                          </a:xfrm>
                        </wpg:grpSpPr>
                        <wps:wsp>
                          <wps:cNvPr id="97" name="Выноска со стрелкой вверх 97"/>
                          <wps:cNvSpPr/>
                          <wps:spPr bwMode="auto">
                            <a:xfrm rot="10800000">
                              <a:off x="0" y="0"/>
                              <a:ext cx="3475355" cy="261529"/>
                            </a:xfrm>
                            <a:prstGeom prst="upArrowCallout">
                              <a:avLst>
                                <a:gd name="adj1" fmla="val 25000"/>
                                <a:gd name="adj2" fmla="val 25000"/>
                                <a:gd name="adj3" fmla="val 25000"/>
                                <a:gd name="adj4" fmla="val 64977"/>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wps:spPr>
                          <wps:style>
                            <a:lnRef idx="2">
                              <a:srgbClr val="000000"/>
                            </a:lnRef>
                            <a:fillRef idx="1">
                              <a:srgbClr val="000000"/>
                            </a:fillRef>
                            <a:effectRef idx="0">
                              <a:srgbClr val="000000"/>
                            </a:effectRef>
                            <a:fontRef idx="minor">
                              <a:schemeClr val="lt1"/>
                            </a:fontRef>
                          </wps:style>
                          <wps:bodyPr rot="0">
                            <a:prstTxWarp prst="textNoShape">
                              <a:avLst/>
                            </a:prstTxWarp>
                            <a:noAutofit/>
                          </wps:bodyPr>
                        </wps:wsp>
                        <wps:wsp>
                          <wps:cNvPr id="98" name="Прямоугольник 98"/>
                          <wps:cNvSpPr/>
                          <wps:spPr bwMode="auto">
                            <a:xfrm rot="21600000">
                              <a:off x="0" y="0"/>
                              <a:ext cx="3475355" cy="169934"/>
                            </a:xfrm>
                            <a:prstGeom prst="rect">
                              <a:avLst/>
                            </a:prstGeom>
                            <a:noFill/>
                            <a:ln>
                              <a:noFill/>
                            </a:ln>
                          </wps:spPr>
                          <wps:txbx>
                            <w:txbxContent>
                              <w:p w:rsidR="00306ED2" w:rsidRDefault="00306ED2">
                                <w:r>
                                  <w:rPr>
                                    <w:rFonts w:ascii="Times New Roman" w:eastAsia="+mn-ea" w:hAnsi="Times New Roman" w:cs="Times New Roman"/>
                                    <w:color w:val="000000"/>
                                  </w:rPr>
                                  <w:t>опорно-двигательной системы</w:t>
                                </w:r>
                              </w:p>
                            </w:txbxContent>
                          </wps:txbx>
                          <wps:bodyPr spcFirstLastPara="0" vert="horz" wrap="square" lIns="78232" tIns="78232" rIns="78232" bIns="78232" numCol="1" spcCol="1270" anchor="ctr" anchorCtr="0">
                            <a:noAutofit/>
                          </wps:bodyPr>
                        </wps:wsp>
                      </wpg:grpSp>
                      <wpg:grpSp>
                        <wpg:cNvPr id="99" name="Группа 99"/>
                        <wpg:cNvGrpSpPr/>
                        <wpg:grpSpPr bwMode="auto">
                          <a:xfrm>
                            <a:off x="0" y="52"/>
                            <a:ext cx="3475355" cy="261529"/>
                            <a:chOff x="0" y="0"/>
                            <a:chExt cx="3475355" cy="261529"/>
                          </a:xfrm>
                        </wpg:grpSpPr>
                        <wps:wsp>
                          <wps:cNvPr id="100" name="Выноска со стрелкой вверх 100"/>
                          <wps:cNvSpPr/>
                          <wps:spPr bwMode="auto">
                            <a:xfrm rot="10800000">
                              <a:off x="0" y="0"/>
                              <a:ext cx="3475355" cy="261529"/>
                            </a:xfrm>
                            <a:prstGeom prst="upArrowCallout">
                              <a:avLst>
                                <a:gd name="adj1" fmla="val 25000"/>
                                <a:gd name="adj2" fmla="val 25000"/>
                                <a:gd name="adj3" fmla="val 25000"/>
                                <a:gd name="adj4" fmla="val 64977"/>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wps:spPr>
                          <wps:style>
                            <a:lnRef idx="2">
                              <a:srgbClr val="000000"/>
                            </a:lnRef>
                            <a:fillRef idx="1">
                              <a:srgbClr val="000000"/>
                            </a:fillRef>
                            <a:effectRef idx="0">
                              <a:srgbClr val="000000"/>
                            </a:effectRef>
                            <a:fontRef idx="minor">
                              <a:schemeClr val="lt1"/>
                            </a:fontRef>
                          </wps:style>
                          <wps:bodyPr rot="0">
                            <a:prstTxWarp prst="textNoShape">
                              <a:avLst/>
                            </a:prstTxWarp>
                            <a:noAutofit/>
                          </wps:bodyPr>
                        </wps:wsp>
                        <wps:wsp>
                          <wps:cNvPr id="101" name="Прямоугольник 101"/>
                          <wps:cNvSpPr/>
                          <wps:spPr bwMode="auto">
                            <a:xfrm rot="21600000">
                              <a:off x="0" y="0"/>
                              <a:ext cx="3475355" cy="169934"/>
                            </a:xfrm>
                            <a:prstGeom prst="rect">
                              <a:avLst/>
                            </a:prstGeom>
                            <a:noFill/>
                            <a:ln>
                              <a:noFill/>
                            </a:ln>
                          </wps:spPr>
                          <wps:txbx>
                            <w:txbxContent>
                              <w:p w:rsidR="00306ED2" w:rsidRDefault="00306ED2">
                                <w:r>
                                  <w:rPr>
                                    <w:rFonts w:ascii="Times New Roman" w:eastAsia="+mn-ea" w:hAnsi="Times New Roman" w:cs="Times New Roman"/>
                                    <w:color w:val="000000"/>
                                    <w:sz w:val="21"/>
                                    <w:szCs w:val="21"/>
                                  </w:rPr>
                                  <w:t>переферической нервной системы</w:t>
                                </w:r>
                              </w:p>
                            </w:txbxContent>
                          </wps:txbx>
                          <wps:bodyPr spcFirstLastPara="0" vert="horz" wrap="square" lIns="78232" tIns="78232" rIns="78232" bIns="78232" numCol="1" spcCol="1270" anchor="ctr" anchorCtr="0">
                            <a:noAutofit/>
                          </wps:bodyPr>
                        </wps:wsp>
                      </wpg:grpSp>
                    </wpg:wgp>
                  </a:graphicData>
                </a:graphic>
              </wp:inline>
            </w:drawing>
          </mc:Choice>
          <mc:Fallback>
            <w:pict>
              <v:group id="Схема 4" o:spid="_x0000_s1073" style="width:273.65pt;height:135.75pt;mso-position-horizontal-relative:char;mso-position-vertical-relative:line" coordsize="34753,17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">
                <v:group id="Группа 81" o:spid="_x0000_s1074" style="position:absolute;top:15539;width:34753;height:1700" coordsize="34753,17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qe/IGwwAAANsAAAAP&#10;AAAAAAAAAAAAAAAAAKoCAABkcnMvZG93bnJldi54bWxQSwUGAAAAAAQABAD6AAAAmgMAAAAA&#10;">
                  <v:rect id="Прямоугольник 82" o:spid="_x0000_s1075" style="position:absolute;width:34753;height:17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fRN8cA&#10;AADbAAAADwAAAGRycy9kb3ducmV2LnhtbESPT2sCMRTE74V+h/AKvRTN6mG7bo2iQrHQUvAPirfH&#10;5jW7uHlZkqjbb98UCj0OM/MbZjrvbSuu5EPjWMFomIEgrpxu2CjY714HBYgQkTW2jknBNwWYz+7v&#10;plhqd+MNXbfRiAThUKKCOsaulDJUNVkMQ9cRJ+/LeYsxSW+k9nhLcNvKcZbl0mLDaaHGjlY1Veft&#10;xSpYng+bz2dTvPsun3ysn07HvDdHpR4f+sULiEh9/A//td+0gmIMv1/SD5Cz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230TfHAAAA2wAAAA8AAAAAAAAAAAAAAAAAmAIAAGRy&#10;cy9kb3ducmV2LnhtbFBLBQYAAAAABAAEAPUAAACMAwAAAAA=&#10;" strokeweight="1pt"/>
                  <v:rect id="Прямоугольник 83" o:spid="_x0000_s1076" style="position:absolute;width:34753;height:17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Mdar8A&#10;AADbAAAADwAAAGRycy9kb3ducmV2LnhtbESPzYrCMBSF98K8Q7gDs9N0FGqpRhkEwW0dcX1prk2x&#10;uSlJtNWnnwjCLA/n5+Ost6PtxJ18aB0r+J5lIIhrp1tuFJx+99MCRIjIGjvHpOBBAbabj8kaS+0G&#10;ruh+jI1IIxxKVGBi7EspQ23IYpi5njh5F+ctxiR9I7XHIY3bTs6zLJcWW04Egz3tDNXX480mrq9O&#10;+ZOfebUo9M745fmhB6vU1+f4swIRaYz/4Xf7oBUUC3h9ST9Abv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wcx1qvwAAANsAAAAPAAAAAAAAAAAAAAAAAJgCAABkcnMvZG93bnJl&#10;di54bWxQSwUGAAAAAAQABAD1AAAAhAMAAAAA&#10;" filled="f" stroked="f">
                    <v:textbox inset="6.72pt,6.72pt,6.72pt,6.72pt">
                      <w:txbxContent>
                        <w:p w:rsidR="00306ED2" w:rsidRDefault="00306ED2">
                          <w:r>
                            <w:rPr>
                              <w:rFonts w:ascii="Times New Roman" w:eastAsia="+mn-ea" w:hAnsi="Times New Roman" w:cs="Times New Roman"/>
                              <w:color w:val="000000"/>
                              <w:sz w:val="24"/>
                              <w:szCs w:val="24"/>
                            </w:rPr>
                            <w:t>др.</w:t>
                          </w:r>
                        </w:p>
                      </w:txbxContent>
                    </v:textbox>
                  </v:rect>
                </v:group>
                <v:group id="Группа 84" o:spid="_x0000_s1077" style="position:absolute;top:12949;width:34753;height:2615" coordsize="34753,26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shapetype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Выноска со стрелкой вверх 85" o:spid="_x0000_s1078" type="#_x0000_t79" style="position:absolute;width:34753;height:2615;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hqGsUA&#10;AADbAAAADwAAAGRycy9kb3ducmV2LnhtbESPT2vCQBTE70K/w/IKvemmhZY0uootij0pag96e2Sf&#10;+WP2bcyuJvrpu0LB4zAzv2FGk85U4kKNKywreB1EIIhTqwvOFPxu5/0YhPPIGivLpOBKDibjp94I&#10;E21bXtNl4zMRIOwSVJB7XydSujQng25ga+LgHWxj0AfZZFI32Aa4qeRbFH1IgwWHhRxr+s4pPW7O&#10;RsGpreLV4ia35mvZrsrZrpx/7kulXp676RCEp84/wv/tH60gfof7l/AD5Pg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6GoaxQAAANsAAAAPAAAAAAAAAAAAAAAAAJgCAABkcnMv&#10;ZG93bnJldi54bWxQSwUGAAAAAAQABAD1AAAAigMAAAAA&#10;" adj="7565,10394,5400,10597" strokeweight="1pt"/>
                  <v:rect id="Прямоугольник 86" o:spid="_x0000_s1079" style="position:absolute;width:34753;height:16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2cxMQA&#10;AADbAAAADwAAAGRycy9kb3ducmV2LnhtbESPT2vCQBTE7wW/w/KE3urGHpIQXaWI1RCo4B96fmRf&#10;k9Ds25hdY/rtu4WCx2FmfsMs16NpxUC9aywrmM8iEMSl1Q1XCi7n95cUhPPIGlvLpOCHHKxXk6cl&#10;Ztre+UjDyVciQNhlqKD2vsukdGVNBt3MdsTB+7K9QR9kX0nd4z3ATStfoyiWBhsOCzV2tKmp/D7d&#10;jILPgj/2A2LS5dvksDskV252hVLP0/FtAcLT6B/h/3auFaQx/H0JP0C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9nMTEAAAA2wAAAA8AAAAAAAAAAAAAAAAAmAIAAGRycy9k&#10;b3ducmV2LnhtbFBLBQYAAAAABAAEAPUAAACJAwAAAAA=&#10;" filled="f" stroked="f">
                    <v:textbox inset="6.16pt,6.16pt,6.16pt,6.16pt">
                      <w:txbxContent>
                        <w:p w:rsidR="00306ED2" w:rsidRDefault="00306ED2">
                          <w:r>
                            <w:rPr>
                              <w:rFonts w:ascii="Times New Roman" w:eastAsia="+mn-ea" w:hAnsi="Times New Roman" w:cs="Times New Roman"/>
                              <w:color w:val="000000"/>
                              <w:sz w:val="21"/>
                              <w:szCs w:val="21"/>
                            </w:rPr>
                            <w:t>мужского и женского бесплодия</w:t>
                          </w:r>
                        </w:p>
                      </w:txbxContent>
                    </v:textbox>
                  </v:rect>
                </v:group>
                <v:group id="Группа 87" o:spid="_x0000_s1080" style="position:absolute;top:10359;width:34753;height:2615" coordsize="34753,26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t7P6cQAAADbAAAADwAAAGRycy9kb3ducmV2LnhtbESPQYvCMBSE78L+h/CE&#10;vWnaXXSlGkXEXTyIoC6It0fzbIvNS2liW/+9EQSPw8x8w8wWnSlFQ7UrLCuIhxEI4tTqgjMF/8ff&#10;wQSE88gaS8uk4E4OFvOP3gwTbVveU3PwmQgQdgkqyL2vEildmpNBN7QVcfAutjbog6wzqWtsA9yU&#10;8iuKxtJgwWEhx4pWOaXXw80o+GuxXX7H62Z7vazu5+Nod9rGpNRnv1tOQXjq/Dv8am+0gskP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t7P6cQAAADbAAAA&#10;DwAAAAAAAAAAAAAAAACqAgAAZHJzL2Rvd25yZXYueG1sUEsFBgAAAAAEAAQA+gAAAJsDAAAAAA==&#10;">
                  <v:shape id="Выноска со стрелкой вверх 88" o:spid="_x0000_s1081" type="#_x0000_t79" style="position:absolute;width:34753;height:2615;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nFhMMA&#10;AADbAAAADwAAAGRycy9kb3ducmV2LnhtbERPu27CMBTdkfgH6yJ1AweGKqQ4UYtAZQJBOrTbVXyb&#10;R+PrNDYk9OvroVLHo/PeZKNpxY16V1tWsFxEIIgLq2suFbzl+3kMwnlkja1lUnAnB1k6nWww0Xbg&#10;M90uvhQhhF2CCirvu0RKV1Rk0C1sRxy4T9sb9AH2pdQ9DiHctHIVRY/SYM2hocKOthUVX5erUfA9&#10;tPHp9Ufm5uU4nJrde7NffzRKPczG5ycQnkb/L/5zH7SCOIwNX8IPkO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OnFhMMAAADbAAAADwAAAAAAAAAAAAAAAACYAgAAZHJzL2Rv&#10;d25yZXYueG1sUEsFBgAAAAAEAAQA9QAAAIgDAAAAAA==&#10;" adj="7565,10394,5400,10597" strokeweight="1pt"/>
                  <v:rect id="Прямоугольник 89" o:spid="_x0000_s1082" style="position:absolute;width:34753;height:16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IItsQA&#10;AADbAAAADwAAAGRycy9kb3ducmV2LnhtbESPQWvCQBSE7wX/w/KE3ppNe2g0ukoprZWAAaN4fmRf&#10;k9Ds2zS7jem/dwXB4zAz3zDL9WhaMVDvGssKnqMYBHFpdcOVguPh82kGwnlkja1lUvBPDtarycMS&#10;U23PvKeh8JUIEHYpKqi971IpXVmTQRfZjjh437Y36IPsK6l7PAe4aeVLHL9Kgw2HhRo7eq+p/Cn+&#10;jIJTxruvATHpth9JvsmTX242mVKP0/FtAcLT6O/hW3urFczmcP0SfoBcX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2iCLbEAAAA2wAAAA8AAAAAAAAAAAAAAAAAmAIAAGRycy9k&#10;b3ducmV2LnhtbFBLBQYAAAAABAAEAPUAAACJAwAAAAA=&#10;" filled="f" stroked="f">
                    <v:textbox inset="6.16pt,6.16pt,6.16pt,6.16pt">
                      <w:txbxContent>
                        <w:p w:rsidR="00306ED2" w:rsidRDefault="00306ED2">
                          <w:r>
                            <w:rPr>
                              <w:rFonts w:ascii="Times New Roman" w:eastAsia="+mn-ea" w:hAnsi="Times New Roman" w:cs="Times New Roman"/>
                              <w:color w:val="000000"/>
                              <w:sz w:val="21"/>
                              <w:szCs w:val="21"/>
                            </w:rPr>
                            <w:t xml:space="preserve">воспалительных гинекологических </w:t>
                          </w:r>
                        </w:p>
                      </w:txbxContent>
                    </v:textbox>
                  </v:rect>
                </v:group>
                <v:group id="Группа 90" o:spid="_x0000_s1083" style="position:absolute;top:7769;width:34753;height:2616" coordsize="34753,26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Выноска со стрелкой вверх 91" o:spid="_x0000_s1084" type="#_x0000_t79" style="position:absolute;width:34753;height:2615;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r6xMYA&#10;AADbAAAADwAAAGRycy9kb3ducmV2LnhtbESPzW7CMBCE75V4B2uReisOPVSQ4kQFFcGpqMCh3Fbx&#10;kp/G6xAbkvL0NRISx9HMfKOZpb2pxYVaV1pWMB5FIIgzq0vOFex3y5cJCOeRNdaWScEfOUiTwdMM&#10;Y207/qbL1uciQNjFqKDwvomldFlBBt3INsTBO9rWoA+yzaVusQtwU8vXKHqTBksOCwU2tCgo+92e&#10;jYJTV082q6vcmflXt6k+f6rl9FAp9TzsP95BeOr9I3xvr7WC6RhuX8IPkM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Ar6xMYAAADbAAAADwAAAAAAAAAAAAAAAACYAgAAZHJz&#10;L2Rvd25yZXYueG1sUEsFBgAAAAAEAAQA9QAAAIsDAAAAAA==&#10;" adj="7565,10394,5400,10597" strokeweight="1pt"/>
                  <v:rect id="Прямоугольник 92" o:spid="_x0000_s1085" style="position:absolute;width:34753;height:16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8MGsQA&#10;AADbAAAADwAAAGRycy9kb3ducmV2LnhtbESPzWrDMBCE74W8g9hAb43cHOrGiRJKaV1jSCA/5LxY&#10;W9vUWrmWajtvHwUKOQ4z8w2z2oymET11rras4HkWgSAurK65VHA6fj69gnAeWWNjmRRcyMFmPXlY&#10;YaLtwHvqD74UAcIuQQWV920ipSsqMuhmtiUO3rftDPogu1LqDocAN42cR9GLNFhzWKiwpfeKip/D&#10;n1Fwznn71SPGbfYR79Jd/Mt1miv1OB3fliA8jf4e/m9nWsFiDrcv4QfI9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fDBrEAAAA2wAAAA8AAAAAAAAAAAAAAAAAmAIAAGRycy9k&#10;b3ducmV2LnhtbFBLBQYAAAAABAAEAPUAAACJAwAAAAA=&#10;" filled="f" stroked="f">
                    <v:textbox inset="6.16pt,6.16pt,6.16pt,6.16pt">
                      <w:txbxContent>
                        <w:p w:rsidR="00306ED2" w:rsidRDefault="00306ED2">
                          <w:r>
                            <w:rPr>
                              <w:rFonts w:ascii="Times New Roman" w:eastAsia="+mn-ea" w:hAnsi="Times New Roman" w:cs="Times New Roman"/>
                              <w:color w:val="000000"/>
                              <w:sz w:val="21"/>
                              <w:szCs w:val="21"/>
                            </w:rPr>
                            <w:t>желудочно-кишечного тракта</w:t>
                          </w:r>
                        </w:p>
                      </w:txbxContent>
                    </v:textbox>
                  </v:rect>
                </v:group>
                <v:group id="Группа 93" o:spid="_x0000_s1086" style="position:absolute;top:5180;width:34753;height:2615" coordsize="34753,26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DxfN8QAAADbAAAADwAAAGRycy9kb3ducmV2LnhtbESPT4vCMBTE7wt+h/AE&#10;b2taxUWrUURc8SCCf0C8PZpnW2xeSpNt67ffLAh7HGbmN8xi1ZlSNFS7wrKCeBiBIE6tLjhTcL18&#10;f05BOI+ssbRMCl7kYLXsfSww0bblEzVnn4kAYZeggtz7KpHSpTkZdENbEQfvYWuDPsg6k7rGNsBN&#10;KUdR9CUNFhwWcqxok1P6PP8YBbsW2/U43jaH52Pzul8mx9shJqUG/W49B+Gp8//hd3uvFc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DxfN8QAAADbAAAA&#10;DwAAAAAAAAAAAAAAAACqAgAAZHJzL2Rvd25yZXYueG1sUEsFBgAAAAAEAAQA+gAAAJsDAAAAAA==&#10;">
                  <v:shape id="Выноска со стрелкой вверх 94" o:spid="_x0000_s1087" type="#_x0000_t79" style="position:absolute;width:34753;height:2615;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1ZXMYA&#10;AADbAAAADwAAAGRycy9kb3ducmV2LnhtbESPT2vCQBTE70K/w/IK3nRTKaLRNbSlQU+K2kO9PbKv&#10;+dPs25hdTeyn7wqFHoeZ+Q2zTHpTiyu1rrSs4GkcgSDOrC45V/BxTEczEM4ja6wtk4IbOUhWD4Ml&#10;xtp2vKfrweciQNjFqKDwvomldFlBBt3YNsTB+7KtQR9km0vdYhfgppaTKJpKgyWHhQIbeiso+z5c&#10;jIJzV8926x95NK/bble9f1bp/FQpNXzsXxYgPPX+P/zX3mgF82e4fwk/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H1ZXMYAAADbAAAADwAAAAAAAAAAAAAAAACYAgAAZHJz&#10;L2Rvd25yZXYueG1sUEsFBgAAAAAEAAQA9QAAAIsDAAAAAA==&#10;" adj="7565,10394,5400,10597" strokeweight="1pt"/>
                  <v:rect id="Прямоугольник 95" o:spid="_x0000_s1088" style="position:absolute;width:34753;height:16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aUbsMA&#10;AADbAAAADwAAAGRycy9kb3ducmV2LnhtbESP3WrCQBSE7wu+w3IE7+rGgsZGV5HiH4JCbfH6kD0m&#10;wezZmF1j+vZuQfBymJlvmOm8NaVoqHaFZQWDfgSCOLW64EzB78/qfQzCeWSNpWVS8EcO5rPO2xQT&#10;be/8Tc3RZyJA2CWoIPe+SqR0aU4GXd9WxME729qgD7LOpK7xHuCmlB9RNJIGCw4LOVb0lVN6Od6M&#10;gtOO95sGMa62y/iwPsRXLtY7pXrddjEB4an1r/CzvdUKPofw/yX8ADl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TaUbsMAAADbAAAADwAAAAAAAAAAAAAAAACYAgAAZHJzL2Rv&#10;d25yZXYueG1sUEsFBgAAAAAEAAQA9QAAAIgDAAAAAA==&#10;" filled="f" stroked="f">
                    <v:textbox inset="6.16pt,6.16pt,6.16pt,6.16pt">
                      <w:txbxContent>
                        <w:p w:rsidR="00306ED2" w:rsidRDefault="00306ED2">
                          <w:r>
                            <w:rPr>
                              <w:rFonts w:ascii="Times New Roman" w:eastAsia="+mn-ea" w:hAnsi="Times New Roman" w:cs="Times New Roman"/>
                              <w:color w:val="000000"/>
                              <w:sz w:val="21"/>
                              <w:szCs w:val="21"/>
                            </w:rPr>
                            <w:t>поверхности кожи</w:t>
                          </w:r>
                        </w:p>
                      </w:txbxContent>
                    </v:textbox>
                  </v:rect>
                </v:group>
                <v:group id="Группа 96" o:spid="_x0000_s1089" style="position:absolute;top:2590;width:34753;height:2615" coordsize="34753,26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shape id="Выноска со стрелкой вверх 97" o:spid="_x0000_s1090" type="#_x0000_t79" style="position:absolute;width:34753;height:2615;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HK8YA&#10;AADbAAAADwAAAGRycy9kb3ducmV2LnhtbESPzW7CMBCE70h9B2srcQOnHAoETNRWjeAEAnoot1W8&#10;zU/jdYgNCX36GqlSj6OZ+UazTHpTiyu1rrSs4GkcgSDOrC45V/BxTEczEM4ja6wtk4IbOUhWD4Ml&#10;xtp2vKfrweciQNjFqKDwvomldFlBBt3YNsTB+7KtQR9km0vdYhfgppaTKHqWBksOCwU29FZQ9n24&#10;GAXnrp7t1j/yaF633a56/6zS+alSavjYvyxAeOr9f/ivvdEK5lO4fwk/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K/HK8YAAADbAAAADwAAAAAAAAAAAAAAAACYAgAAZHJz&#10;L2Rvd25yZXYueG1sUEsFBgAAAAAEAAQA9QAAAIsDAAAAAA==&#10;" adj="7565,10394,5400,10597" strokeweight="1pt"/>
                  <v:rect id="Прямоугольник 98" o:spid="_x0000_s1091" style="position:absolute;width:34753;height:16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c78MEA&#10;AADbAAAADwAAAGRycy9kb3ducmV2LnhtbERPy2rCQBTdF/yH4QrdNRO7aGrMKCI2FaGCD1xfMtck&#10;mLmTZqZJ+vedRcHl4byz1Wga0VPnassKZlEMgriwuuZSweX88fIOwnlkjY1lUvBLDlbLyVOGqbYD&#10;H6k/+VKEEHYpKqi8b1MpXVGRQRfZljhwN9sZ9AF2pdQdDiHcNPI1jt+kwZpDQ4UtbSoq7qcfo+C6&#10;56/PHjFpd9vkkB+Sb67zvVLP03G9AOFp9A/xv3unFczD2PAl/A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c3O/DBAAAA2wAAAA8AAAAAAAAAAAAAAAAAmAIAAGRycy9kb3du&#10;cmV2LnhtbFBLBQYAAAAABAAEAPUAAACGAwAAAAA=&#10;" filled="f" stroked="f">
                    <v:textbox inset="6.16pt,6.16pt,6.16pt,6.16pt">
                      <w:txbxContent>
                        <w:p w:rsidR="00306ED2" w:rsidRDefault="00306ED2">
                          <w:r>
                            <w:rPr>
                              <w:rFonts w:ascii="Times New Roman" w:eastAsia="+mn-ea" w:hAnsi="Times New Roman" w:cs="Times New Roman"/>
                              <w:color w:val="000000"/>
                            </w:rPr>
                            <w:t>опорно-двигательной системы</w:t>
                          </w:r>
                        </w:p>
                      </w:txbxContent>
                    </v:textbox>
                  </v:rect>
                </v:group>
                <v:group id="Группа 99" o:spid="_x0000_s1092" style="position:absolute;width:34753;height:2615" coordsize="34753,26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dRo3cQAAADbAAAADwAAAGRycy9kb3ducmV2LnhtbESPQYvCMBSE78L+h/CE&#10;vWnaXZS1GkXEXTyIoC6It0fzbIvNS2liW/+9EQSPw8x8w8wWnSlFQ7UrLCuIhxEI4tTqgjMF/8ff&#10;wQ8I55E1lpZJwZ0cLOYfvRkm2ra8p+bgMxEg7BJUkHtfJVK6NCeDbmgr4uBdbG3QB1lnUtfYBrgp&#10;5VcUjaXBgsNCjhWtckqvh5tR8Ndiu/yO1832elndz8fR7rSNSanPfrecgvDU+Xf41d5oBZMJ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dRo3cQAAADbAAAA&#10;DwAAAAAAAAAAAAAAAACqAgAAZHJzL2Rvd25yZXYueG1sUEsFBgAAAAAEAAQA+gAAAJsDAAAAAA==&#10;">
                  <v:shape id="Выноска со стрелкой вверх 100" o:spid="_x0000_s1093" type="#_x0000_t79" style="position:absolute;width:34753;height:2615;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845MYA&#10;AADcAAAADwAAAGRycy9kb3ducmV2LnhtbESPzW7CQAyE75X6DitX4lY27QHRwIKgKqKnogIHuFlZ&#10;kx+y3pDdkpSnx4dKvdma8czn6bx3tbpSG0rPBl6GCSjizNuScwP73ep5DCpEZIu1ZzLwSwHms8eH&#10;KabWd/xN123MlYRwSNFAEWOTah2yghyGoW+IRTv51mGUtc21bbGTcFfr1yQZaYclS0OBDb0XlJ23&#10;P87ApavHm/VN79zyq9tUH4dq9XasjBk89YsJqEh9/Df/XX9awU8EX56RCf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P845MYAAADcAAAADwAAAAAAAAAAAAAAAACYAgAAZHJz&#10;L2Rvd25yZXYueG1sUEsFBgAAAAAEAAQA9QAAAIsDAAAAAA==&#10;" adj="7565,10394,5400,10597" strokeweight="1pt"/>
                  <v:rect id="Прямоугольник 101" o:spid="_x0000_s1094" style="position:absolute;width:34753;height:16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WDaMIA&#10;AADcAAAADwAAAGRycy9kb3ducmV2LnhtbERPTWvCQBC9F/wPywi91Y09NCW6iojVEGigKp6H7JgE&#10;s7Mxuybpv+8WCr3N433Ocj2aRvTUudqygvksAkFcWF1zqeB8+nh5B+E8ssbGMin4Jgfr1eRpiYm2&#10;A39Rf/SlCCHsElRQed8mUrqiIoNuZlviwF1tZ9AH2JVSdziEcNPI1yh6kwZrDg0VtrStqLgdH0bB&#10;JePPQ48Yt+kuzvd5fOd6nyn1PB03CxCeRv8v/nOnOsyP5vD7TLhAr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ZYNowgAAANwAAAAPAAAAAAAAAAAAAAAAAJgCAABkcnMvZG93&#10;bnJldi54bWxQSwUGAAAAAAQABAD1AAAAhwMAAAAA&#10;" filled="f" stroked="f">
                    <v:textbox inset="6.16pt,6.16pt,6.16pt,6.16pt">
                      <w:txbxContent>
                        <w:p w:rsidR="00306ED2" w:rsidRDefault="00306ED2">
                          <w:r>
                            <w:rPr>
                              <w:rFonts w:ascii="Times New Roman" w:eastAsia="+mn-ea" w:hAnsi="Times New Roman" w:cs="Times New Roman"/>
                              <w:color w:val="000000"/>
                              <w:sz w:val="21"/>
                              <w:szCs w:val="21"/>
                            </w:rPr>
                            <w:t>переферической нервной системы</w:t>
                          </w:r>
                        </w:p>
                      </w:txbxContent>
                    </v:textbox>
                  </v:rect>
                </v:group>
                <w10:anchorlock/>
              </v:group>
            </w:pict>
          </mc:Fallback>
        </mc:AlternateContent>
      </w:r>
    </w:p>
    <w:p w:rsidR="00517711" w:rsidRDefault="00F815BE">
      <w:pPr>
        <w:spacing w:after="120" w:line="240" w:lineRule="auto"/>
        <w:jc w:val="center"/>
        <w:rPr>
          <w:rFonts w:ascii="Times New Roman" w:hAnsi="Times New Roman" w:cs="Times New Roman"/>
          <w:sz w:val="20"/>
          <w:szCs w:val="20"/>
        </w:rPr>
      </w:pPr>
      <w:r>
        <w:rPr>
          <w:rFonts w:ascii="Times New Roman" w:hAnsi="Times New Roman" w:cs="Times New Roman"/>
          <w:sz w:val="20"/>
          <w:szCs w:val="20"/>
        </w:rPr>
        <w:t>Рис.1. Заболевания, при которых показаны лечебные грязи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Приморском крае находятся 7 санаторно-курортных учреждения, которые используют в своей деятельности лечебные грязи (таблица 1).</w:t>
      </w:r>
    </w:p>
    <w:p w:rsidR="00517711" w:rsidRDefault="00F815BE">
      <w:pPr>
        <w:spacing w:after="80" w:line="240" w:lineRule="auto"/>
        <w:jc w:val="right"/>
        <w:rPr>
          <w:rFonts w:ascii="Times New Roman" w:hAnsi="Times New Roman" w:cs="Times New Roman"/>
          <w:i/>
          <w:sz w:val="20"/>
          <w:szCs w:val="20"/>
        </w:rPr>
      </w:pPr>
      <w:r>
        <w:rPr>
          <w:rFonts w:ascii="Times New Roman" w:hAnsi="Times New Roman" w:cs="Times New Roman"/>
          <w:i/>
          <w:sz w:val="20"/>
          <w:szCs w:val="20"/>
        </w:rPr>
        <w:t>Таблица 1</w:t>
      </w:r>
    </w:p>
    <w:p w:rsidR="00517711" w:rsidRDefault="00F815BE">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 xml:space="preserve">Санатории Приморского края, использующие пелоиды в лечебно-оздоровительной </w:t>
      </w:r>
    </w:p>
    <w:p w:rsidR="00517711" w:rsidRDefault="00F815BE">
      <w:pPr>
        <w:spacing w:after="80" w:line="240" w:lineRule="auto"/>
        <w:jc w:val="center"/>
        <w:rPr>
          <w:rFonts w:ascii="Times New Roman" w:hAnsi="Times New Roman" w:cs="Times New Roman"/>
          <w:b/>
          <w:sz w:val="20"/>
          <w:szCs w:val="20"/>
        </w:rPr>
      </w:pPr>
      <w:r>
        <w:rPr>
          <w:rFonts w:ascii="Times New Roman" w:hAnsi="Times New Roman" w:cs="Times New Roman"/>
          <w:b/>
          <w:sz w:val="20"/>
          <w:szCs w:val="20"/>
        </w:rPr>
        <w:t>деятельности</w:t>
      </w:r>
    </w:p>
    <w:tbl>
      <w:tblPr>
        <w:tblStyle w:val="af1"/>
        <w:tblW w:w="9634" w:type="dxa"/>
        <w:jc w:val="center"/>
        <w:tblLook w:val="04A0" w:firstRow="1" w:lastRow="0" w:firstColumn="1" w:lastColumn="0" w:noHBand="0" w:noVBand="1"/>
      </w:tblPr>
      <w:tblGrid>
        <w:gridCol w:w="1512"/>
        <w:gridCol w:w="1973"/>
        <w:gridCol w:w="2461"/>
        <w:gridCol w:w="1734"/>
        <w:gridCol w:w="1954"/>
      </w:tblGrid>
      <w:tr w:rsidR="00517711">
        <w:trPr>
          <w:jc w:val="center"/>
        </w:trPr>
        <w:tc>
          <w:tcPr>
            <w:tcW w:w="154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Название</w:t>
            </w:r>
          </w:p>
        </w:tc>
        <w:tc>
          <w:tcPr>
            <w:tcW w:w="157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Месторасположение</w:t>
            </w:r>
          </w:p>
        </w:tc>
        <w:tc>
          <w:tcPr>
            <w:tcW w:w="2410"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Ведущий лечебный фактор</w:t>
            </w:r>
          </w:p>
        </w:tc>
        <w:tc>
          <w:tcPr>
            <w:tcW w:w="2268"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Способ применения пелоидов</w:t>
            </w:r>
          </w:p>
        </w:tc>
        <w:tc>
          <w:tcPr>
            <w:tcW w:w="184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Месторождение</w:t>
            </w:r>
          </w:p>
        </w:tc>
      </w:tr>
      <w:tr w:rsidR="00517711">
        <w:trPr>
          <w:jc w:val="center"/>
        </w:trPr>
        <w:tc>
          <w:tcPr>
            <w:tcW w:w="154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Санаторий «Жемчужный»</w:t>
            </w:r>
          </w:p>
        </w:tc>
        <w:tc>
          <w:tcPr>
            <w:tcW w:w="157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г. Находка</w:t>
            </w:r>
          </w:p>
        </w:tc>
        <w:tc>
          <w:tcPr>
            <w:tcW w:w="2410"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Слабосульфидные среднеминерализованные иловые морские лечебные грязи</w:t>
            </w:r>
          </w:p>
        </w:tc>
        <w:tc>
          <w:tcPr>
            <w:tcW w:w="2268"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Грязевые аппликации</w:t>
            </w:r>
          </w:p>
        </w:tc>
        <w:tc>
          <w:tcPr>
            <w:tcW w:w="184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«Ясное»</w:t>
            </w:r>
          </w:p>
        </w:tc>
      </w:tr>
      <w:tr w:rsidR="00517711">
        <w:trPr>
          <w:jc w:val="center"/>
        </w:trPr>
        <w:tc>
          <w:tcPr>
            <w:tcW w:w="154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Санаторий «Белый лебедь»</w:t>
            </w:r>
          </w:p>
        </w:tc>
        <w:tc>
          <w:tcPr>
            <w:tcW w:w="157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Бухта Воевода, о-в Русский</w:t>
            </w:r>
          </w:p>
        </w:tc>
        <w:tc>
          <w:tcPr>
            <w:tcW w:w="2410"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Слабоминерализованные сульфидидные грязи Садгородского типа</w:t>
            </w:r>
          </w:p>
        </w:tc>
        <w:tc>
          <w:tcPr>
            <w:tcW w:w="2268"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Общие и местные тонкослойные аппликации</w:t>
            </w:r>
          </w:p>
        </w:tc>
        <w:tc>
          <w:tcPr>
            <w:tcW w:w="184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«Мелководненское»</w:t>
            </w:r>
          </w:p>
        </w:tc>
      </w:tr>
      <w:tr w:rsidR="00517711">
        <w:trPr>
          <w:jc w:val="center"/>
        </w:trPr>
        <w:tc>
          <w:tcPr>
            <w:tcW w:w="154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Медицинский центр «Океан»</w:t>
            </w:r>
          </w:p>
        </w:tc>
        <w:tc>
          <w:tcPr>
            <w:tcW w:w="157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г. Владивосток</w:t>
            </w:r>
          </w:p>
        </w:tc>
        <w:tc>
          <w:tcPr>
            <w:tcW w:w="2410"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Среднеминерализованные слабосульфидные лечебные грязи</w:t>
            </w:r>
          </w:p>
        </w:tc>
        <w:tc>
          <w:tcPr>
            <w:tcW w:w="2268"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Аппликации, электрофорез, гальвано грязь, ингаляции с грязевым отжимом, местные тампоны</w:t>
            </w:r>
          </w:p>
        </w:tc>
        <w:tc>
          <w:tcPr>
            <w:tcW w:w="184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«Садгородское»</w:t>
            </w:r>
          </w:p>
        </w:tc>
      </w:tr>
      <w:tr w:rsidR="00517711">
        <w:trPr>
          <w:trHeight w:val="916"/>
          <w:jc w:val="center"/>
        </w:trPr>
        <w:tc>
          <w:tcPr>
            <w:tcW w:w="154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Военный санаторий «Океанский»</w:t>
            </w:r>
          </w:p>
        </w:tc>
        <w:tc>
          <w:tcPr>
            <w:tcW w:w="157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г. Владивосток</w:t>
            </w:r>
          </w:p>
        </w:tc>
        <w:tc>
          <w:tcPr>
            <w:tcW w:w="2410"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Климат, садгородские лечебные грязи</w:t>
            </w:r>
          </w:p>
        </w:tc>
        <w:tc>
          <w:tcPr>
            <w:tcW w:w="2268"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Аппликации, электрофорез и фонофорез грязевого отжима</w:t>
            </w:r>
          </w:p>
        </w:tc>
        <w:tc>
          <w:tcPr>
            <w:tcW w:w="184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«Садгородское»</w:t>
            </w:r>
          </w:p>
        </w:tc>
      </w:tr>
      <w:tr w:rsidR="00517711">
        <w:trPr>
          <w:jc w:val="center"/>
        </w:trPr>
        <w:tc>
          <w:tcPr>
            <w:tcW w:w="154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Санаторий «Строитель»</w:t>
            </w:r>
          </w:p>
        </w:tc>
        <w:tc>
          <w:tcPr>
            <w:tcW w:w="157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г. Владивосток</w:t>
            </w:r>
          </w:p>
        </w:tc>
        <w:tc>
          <w:tcPr>
            <w:tcW w:w="2410"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Слабосульфидные среднеминерализованные иловые морские лечебные грязи</w:t>
            </w:r>
          </w:p>
        </w:tc>
        <w:tc>
          <w:tcPr>
            <w:tcW w:w="2268"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Местные и общие аппликации</w:t>
            </w:r>
          </w:p>
        </w:tc>
        <w:tc>
          <w:tcPr>
            <w:tcW w:w="184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«Ясное»</w:t>
            </w:r>
          </w:p>
        </w:tc>
      </w:tr>
      <w:tr w:rsidR="00517711">
        <w:trPr>
          <w:jc w:val="center"/>
        </w:trPr>
        <w:tc>
          <w:tcPr>
            <w:tcW w:w="154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lastRenderedPageBreak/>
              <w:t>Санаторий «Приморье»</w:t>
            </w:r>
          </w:p>
        </w:tc>
        <w:tc>
          <w:tcPr>
            <w:tcW w:w="157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г. Владивосток</w:t>
            </w:r>
          </w:p>
        </w:tc>
        <w:tc>
          <w:tcPr>
            <w:tcW w:w="2410"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Среднеминерализованные слабосульфидные лечебные грязи</w:t>
            </w:r>
          </w:p>
        </w:tc>
        <w:tc>
          <w:tcPr>
            <w:tcW w:w="2268"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Аппликации, электрофорез, гальваногрязи, ингаляции с грязевым отжимом, местное лечение грязевыми тампонами</w:t>
            </w:r>
          </w:p>
        </w:tc>
        <w:tc>
          <w:tcPr>
            <w:tcW w:w="184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«Садгородское»</w:t>
            </w:r>
          </w:p>
        </w:tc>
      </w:tr>
      <w:tr w:rsidR="00517711">
        <w:trPr>
          <w:jc w:val="center"/>
        </w:trPr>
        <w:tc>
          <w:tcPr>
            <w:tcW w:w="154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Санаторий «Амурский залив»</w:t>
            </w:r>
          </w:p>
        </w:tc>
        <w:tc>
          <w:tcPr>
            <w:tcW w:w="157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г. Владивосток</w:t>
            </w:r>
          </w:p>
        </w:tc>
        <w:tc>
          <w:tcPr>
            <w:tcW w:w="2410"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Воды, среднеминерализованные слабосульфидные лечебные грязи</w:t>
            </w:r>
          </w:p>
        </w:tc>
        <w:tc>
          <w:tcPr>
            <w:tcW w:w="2268"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Аппликации</w:t>
            </w:r>
          </w:p>
        </w:tc>
        <w:tc>
          <w:tcPr>
            <w:tcW w:w="184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«Садгородское»</w:t>
            </w:r>
          </w:p>
        </w:tc>
      </w:tr>
    </w:tbl>
    <w:p w:rsidR="00517711" w:rsidRDefault="00F815BE">
      <w:pPr>
        <w:spacing w:before="120" w:after="12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Составлено автором по [4, 5, 6, 7, 8, 9, 11].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Самым распространенным способом применения пелоидов в лечебно-оздоровительных целях являются грязевые аппликации. Санаторно-курортные учреждения Приморского края, используя в своей деятельности местную лечебную грязь, играют значимую роль в снижении уровня заболеваемости населения по основным классам болезней (рисунок 2).</w:t>
      </w:r>
    </w:p>
    <w:p w:rsidR="00517711" w:rsidRDefault="00F815BE">
      <w:pPr>
        <w:spacing w:before="120" w:after="0" w:line="240" w:lineRule="auto"/>
        <w:jc w:val="center"/>
        <w:rPr>
          <w:rFonts w:ascii="Times New Roman" w:hAnsi="Times New Roman" w:cs="Times New Roman"/>
          <w:sz w:val="20"/>
          <w:szCs w:val="20"/>
        </w:rPr>
      </w:pPr>
      <w:r>
        <w:rPr>
          <w:rFonts w:ascii="Times New Roman" w:hAnsi="Times New Roman" w:cs="Times New Roman"/>
          <w:noProof/>
          <w:sz w:val="20"/>
          <w:szCs w:val="20"/>
          <w:lang w:eastAsia="ru-RU"/>
        </w:rPr>
        <w:drawing>
          <wp:inline distT="0" distB="0" distL="0" distR="0">
            <wp:extent cx="5429250" cy="2105023"/>
            <wp:effectExtent l="0" t="0" r="0" b="0"/>
            <wp:docPr id="54"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0"/>
              </a:graphicData>
            </a:graphic>
          </wp:inline>
        </w:drawing>
      </w:r>
    </w:p>
    <w:p w:rsidR="00517711" w:rsidRDefault="00F815BE">
      <w:pPr>
        <w:spacing w:before="120"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Рис.2.Основные классы болезней, с которыми борются санаторно-курортные учреждения Приморского края </w:t>
      </w:r>
    </w:p>
    <w:p w:rsidR="00517711" w:rsidRDefault="00F815BE">
      <w:pPr>
        <w:spacing w:before="120" w:after="120" w:line="240" w:lineRule="auto"/>
        <w:ind w:firstLine="709"/>
        <w:jc w:val="both"/>
        <w:rPr>
          <w:rFonts w:ascii="Times New Roman" w:hAnsi="Times New Roman" w:cs="Times New Roman"/>
          <w:sz w:val="20"/>
          <w:szCs w:val="20"/>
        </w:rPr>
      </w:pPr>
      <w:r>
        <w:rPr>
          <w:rFonts w:ascii="Times New Roman" w:hAnsi="Times New Roman" w:cs="Times New Roman"/>
          <w:sz w:val="20"/>
          <w:szCs w:val="20"/>
        </w:rPr>
        <w:t>Составлено автором по [4, 5, 6, 7, 8, 9, 11].</w:t>
      </w:r>
    </w:p>
    <w:p w:rsidR="00517711" w:rsidRDefault="00F815BE">
      <w:pPr>
        <w:spacing w:before="120"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санаторно-курортных учреждениях Приморского края основной уклон делается на лечение болезней нервной системы, мочеполовой системы и болезней костно-мышечной системы и соединительной ткани.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Санаторно-курортные организации Приморского края являются одним из популярных мест размещения туристов (таблица 2).</w:t>
      </w:r>
    </w:p>
    <w:p w:rsidR="00517711" w:rsidRDefault="00F815BE">
      <w:pPr>
        <w:spacing w:after="0" w:line="240" w:lineRule="auto"/>
        <w:jc w:val="right"/>
        <w:rPr>
          <w:rFonts w:ascii="Times New Roman" w:hAnsi="Times New Roman" w:cs="Times New Roman"/>
          <w:i/>
          <w:sz w:val="20"/>
          <w:szCs w:val="20"/>
        </w:rPr>
      </w:pPr>
      <w:r>
        <w:rPr>
          <w:rFonts w:ascii="Times New Roman" w:hAnsi="Times New Roman" w:cs="Times New Roman"/>
          <w:i/>
          <w:sz w:val="20"/>
          <w:szCs w:val="20"/>
        </w:rPr>
        <w:t>Таблица 2</w:t>
      </w:r>
    </w:p>
    <w:p w:rsidR="00517711" w:rsidRDefault="00F815BE">
      <w:pPr>
        <w:spacing w:after="80" w:line="240" w:lineRule="auto"/>
        <w:jc w:val="center"/>
        <w:rPr>
          <w:rFonts w:ascii="Times New Roman" w:hAnsi="Times New Roman" w:cs="Times New Roman"/>
          <w:b/>
          <w:sz w:val="20"/>
          <w:szCs w:val="20"/>
        </w:rPr>
      </w:pPr>
      <w:r>
        <w:rPr>
          <w:rFonts w:ascii="Times New Roman" w:hAnsi="Times New Roman" w:cs="Times New Roman"/>
          <w:b/>
          <w:color w:val="000000"/>
          <w:sz w:val="20"/>
          <w:szCs w:val="20"/>
        </w:rPr>
        <w:t>Санаторно-курортные организации Приморского края</w:t>
      </w:r>
    </w:p>
    <w:tbl>
      <w:tblPr>
        <w:tblStyle w:val="af1"/>
        <w:tblW w:w="9620" w:type="dxa"/>
        <w:tblLook w:val="04A0" w:firstRow="1" w:lastRow="0" w:firstColumn="1" w:lastColumn="0" w:noHBand="0" w:noVBand="1"/>
      </w:tblPr>
      <w:tblGrid>
        <w:gridCol w:w="3256"/>
        <w:gridCol w:w="1134"/>
        <w:gridCol w:w="1134"/>
        <w:gridCol w:w="992"/>
        <w:gridCol w:w="1134"/>
        <w:gridCol w:w="992"/>
        <w:gridCol w:w="978"/>
      </w:tblGrid>
      <w:tr w:rsidR="00517711">
        <w:trPr>
          <w:trHeight w:val="454"/>
        </w:trPr>
        <w:tc>
          <w:tcPr>
            <w:tcW w:w="3256" w:type="dxa"/>
          </w:tcPr>
          <w:p w:rsidR="00517711" w:rsidRDefault="00517711">
            <w:pPr>
              <w:rPr>
                <w:rFonts w:ascii="Times New Roman" w:hAnsi="Times New Roman" w:cs="Times New Roman"/>
                <w:sz w:val="20"/>
                <w:szCs w:val="20"/>
              </w:rPr>
            </w:pP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2011</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2012</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2013</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2014</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2015</w:t>
            </w:r>
          </w:p>
        </w:tc>
        <w:tc>
          <w:tcPr>
            <w:tcW w:w="978" w:type="dxa"/>
            <w:vAlign w:val="center"/>
          </w:tcPr>
          <w:p w:rsidR="00517711" w:rsidRDefault="00F815BE">
            <w:pPr>
              <w:jc w:val="center"/>
              <w:rPr>
                <w:rFonts w:ascii="Times New Roman" w:hAnsi="Times New Roman" w:cs="Times New Roman"/>
                <w:sz w:val="20"/>
                <w:szCs w:val="20"/>
                <w:lang w:val="en-US"/>
              </w:rPr>
            </w:pPr>
            <w:r>
              <w:rPr>
                <w:rFonts w:ascii="Times New Roman" w:hAnsi="Times New Roman" w:cs="Times New Roman"/>
                <w:sz w:val="20"/>
                <w:szCs w:val="20"/>
                <w:lang w:val="en-US"/>
              </w:rPr>
              <w:t>2016</w:t>
            </w:r>
          </w:p>
        </w:tc>
      </w:tr>
      <w:tr w:rsidR="00517711">
        <w:trPr>
          <w:trHeight w:val="454"/>
        </w:trPr>
        <w:tc>
          <w:tcPr>
            <w:tcW w:w="3256" w:type="dxa"/>
            <w:vAlign w:val="center"/>
          </w:tcPr>
          <w:p w:rsidR="00517711" w:rsidRDefault="00F815BE">
            <w:pPr>
              <w:rPr>
                <w:rFonts w:ascii="Times New Roman" w:hAnsi="Times New Roman" w:cs="Times New Roman"/>
                <w:sz w:val="20"/>
                <w:szCs w:val="20"/>
              </w:rPr>
            </w:pPr>
            <w:r>
              <w:rPr>
                <w:rFonts w:ascii="Times New Roman" w:hAnsi="Times New Roman" w:cs="Times New Roman"/>
                <w:sz w:val="20"/>
                <w:szCs w:val="20"/>
              </w:rPr>
              <w:t>Число санаторно-курортных организаций и организаций отдыха</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72</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65</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67</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62</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78</w:t>
            </w:r>
          </w:p>
        </w:tc>
        <w:tc>
          <w:tcPr>
            <w:tcW w:w="978" w:type="dxa"/>
            <w:vAlign w:val="center"/>
          </w:tcPr>
          <w:p w:rsidR="00517711" w:rsidRDefault="00F815BE">
            <w:pPr>
              <w:jc w:val="center"/>
              <w:rPr>
                <w:rFonts w:ascii="Times New Roman" w:hAnsi="Times New Roman" w:cs="Times New Roman"/>
                <w:sz w:val="20"/>
                <w:szCs w:val="20"/>
                <w:lang w:val="en-US"/>
              </w:rPr>
            </w:pPr>
            <w:r>
              <w:rPr>
                <w:rFonts w:ascii="Times New Roman" w:hAnsi="Times New Roman" w:cs="Times New Roman"/>
                <w:sz w:val="20"/>
                <w:szCs w:val="20"/>
                <w:lang w:val="en-US"/>
              </w:rPr>
              <w:t>101</w:t>
            </w:r>
          </w:p>
        </w:tc>
      </w:tr>
      <w:tr w:rsidR="00517711">
        <w:trPr>
          <w:trHeight w:val="454"/>
        </w:trPr>
        <w:tc>
          <w:tcPr>
            <w:tcW w:w="3256" w:type="dxa"/>
            <w:vAlign w:val="center"/>
          </w:tcPr>
          <w:p w:rsidR="00517711" w:rsidRDefault="00F815BE">
            <w:pPr>
              <w:rPr>
                <w:rFonts w:ascii="Times New Roman" w:hAnsi="Times New Roman" w:cs="Times New Roman"/>
                <w:sz w:val="20"/>
                <w:szCs w:val="20"/>
              </w:rPr>
            </w:pPr>
            <w:r>
              <w:rPr>
                <w:rFonts w:ascii="Times New Roman" w:hAnsi="Times New Roman" w:cs="Times New Roman"/>
                <w:sz w:val="20"/>
                <w:szCs w:val="20"/>
              </w:rPr>
              <w:t xml:space="preserve"> в них коек (мест)</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13250</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13233</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13566</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13111</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12599</w:t>
            </w:r>
          </w:p>
        </w:tc>
        <w:tc>
          <w:tcPr>
            <w:tcW w:w="978" w:type="dxa"/>
            <w:vAlign w:val="center"/>
          </w:tcPr>
          <w:p w:rsidR="00517711" w:rsidRDefault="00F815BE">
            <w:pPr>
              <w:jc w:val="center"/>
              <w:rPr>
                <w:rFonts w:ascii="Times New Roman" w:hAnsi="Times New Roman" w:cs="Times New Roman"/>
                <w:sz w:val="20"/>
                <w:szCs w:val="20"/>
                <w:lang w:val="en-US"/>
              </w:rPr>
            </w:pPr>
            <w:r>
              <w:rPr>
                <w:rFonts w:ascii="Times New Roman" w:hAnsi="Times New Roman" w:cs="Times New Roman"/>
                <w:sz w:val="20"/>
                <w:szCs w:val="20"/>
                <w:lang w:val="en-US"/>
              </w:rPr>
              <w:t>17291</w:t>
            </w:r>
          </w:p>
        </w:tc>
      </w:tr>
      <w:tr w:rsidR="00517711">
        <w:trPr>
          <w:trHeight w:val="454"/>
        </w:trPr>
        <w:tc>
          <w:tcPr>
            <w:tcW w:w="3256" w:type="dxa"/>
            <w:vAlign w:val="center"/>
          </w:tcPr>
          <w:p w:rsidR="00517711" w:rsidRDefault="00F815BE">
            <w:pPr>
              <w:rPr>
                <w:rFonts w:ascii="Times New Roman" w:hAnsi="Times New Roman" w:cs="Times New Roman"/>
                <w:sz w:val="20"/>
                <w:szCs w:val="20"/>
              </w:rPr>
            </w:pPr>
            <w:r>
              <w:rPr>
                <w:rFonts w:ascii="Times New Roman" w:hAnsi="Times New Roman" w:cs="Times New Roman"/>
                <w:sz w:val="20"/>
                <w:szCs w:val="20"/>
              </w:rPr>
              <w:t xml:space="preserve"> обслужено лиц, тыс. человек</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120.3</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124.8</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120.2</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114.9</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121.9</w:t>
            </w:r>
          </w:p>
        </w:tc>
        <w:tc>
          <w:tcPr>
            <w:tcW w:w="978" w:type="dxa"/>
            <w:vAlign w:val="center"/>
          </w:tcPr>
          <w:p w:rsidR="00517711" w:rsidRDefault="00F815BE">
            <w:pPr>
              <w:jc w:val="center"/>
              <w:rPr>
                <w:rFonts w:ascii="Times New Roman" w:hAnsi="Times New Roman" w:cs="Times New Roman"/>
                <w:sz w:val="20"/>
                <w:szCs w:val="20"/>
                <w:lang w:val="en-US"/>
              </w:rPr>
            </w:pPr>
            <w:r>
              <w:rPr>
                <w:rFonts w:ascii="Times New Roman" w:hAnsi="Times New Roman" w:cs="Times New Roman"/>
                <w:sz w:val="20"/>
                <w:szCs w:val="20"/>
                <w:lang w:val="en-US"/>
              </w:rPr>
              <w:t>170.9</w:t>
            </w:r>
          </w:p>
        </w:tc>
      </w:tr>
      <w:tr w:rsidR="00517711">
        <w:trPr>
          <w:trHeight w:val="454"/>
        </w:trPr>
        <w:tc>
          <w:tcPr>
            <w:tcW w:w="3256" w:type="dxa"/>
            <w:vAlign w:val="center"/>
          </w:tcPr>
          <w:p w:rsidR="00517711" w:rsidRDefault="00F815BE">
            <w:pPr>
              <w:rPr>
                <w:rFonts w:ascii="Times New Roman" w:hAnsi="Times New Roman" w:cs="Times New Roman"/>
                <w:sz w:val="20"/>
                <w:szCs w:val="20"/>
              </w:rPr>
            </w:pPr>
            <w:r>
              <w:rPr>
                <w:rFonts w:ascii="Times New Roman" w:hAnsi="Times New Roman" w:cs="Times New Roman"/>
                <w:sz w:val="20"/>
                <w:szCs w:val="20"/>
              </w:rPr>
              <w:t>Из числа санаторно-курортных организаций отдыха:</w:t>
            </w:r>
          </w:p>
        </w:tc>
        <w:tc>
          <w:tcPr>
            <w:tcW w:w="6364" w:type="dxa"/>
            <w:gridSpan w:val="6"/>
            <w:vAlign w:val="center"/>
          </w:tcPr>
          <w:p w:rsidR="00517711" w:rsidRDefault="00517711">
            <w:pPr>
              <w:jc w:val="center"/>
              <w:rPr>
                <w:rFonts w:ascii="Times New Roman" w:hAnsi="Times New Roman" w:cs="Times New Roman"/>
                <w:sz w:val="20"/>
                <w:szCs w:val="20"/>
              </w:rPr>
            </w:pPr>
          </w:p>
        </w:tc>
      </w:tr>
      <w:tr w:rsidR="00517711">
        <w:trPr>
          <w:trHeight w:val="454"/>
        </w:trPr>
        <w:tc>
          <w:tcPr>
            <w:tcW w:w="3256" w:type="dxa"/>
            <w:vAlign w:val="center"/>
          </w:tcPr>
          <w:p w:rsidR="00517711" w:rsidRDefault="00F815BE">
            <w:pPr>
              <w:rPr>
                <w:rFonts w:ascii="Times New Roman" w:hAnsi="Times New Roman" w:cs="Times New Roman"/>
                <w:sz w:val="20"/>
                <w:szCs w:val="20"/>
              </w:rPr>
            </w:pPr>
            <w:r>
              <w:rPr>
                <w:rFonts w:ascii="Times New Roman" w:hAnsi="Times New Roman" w:cs="Times New Roman"/>
                <w:sz w:val="20"/>
                <w:szCs w:val="20"/>
              </w:rPr>
              <w:t xml:space="preserve"> санатории</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11</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11</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10</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9</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10</w:t>
            </w:r>
          </w:p>
        </w:tc>
        <w:tc>
          <w:tcPr>
            <w:tcW w:w="978" w:type="dxa"/>
            <w:vAlign w:val="center"/>
          </w:tcPr>
          <w:p w:rsidR="00517711" w:rsidRDefault="00F815BE">
            <w:pPr>
              <w:jc w:val="center"/>
              <w:rPr>
                <w:rFonts w:ascii="Times New Roman" w:hAnsi="Times New Roman" w:cs="Times New Roman"/>
                <w:sz w:val="20"/>
                <w:szCs w:val="20"/>
                <w:lang w:val="en-US"/>
              </w:rPr>
            </w:pPr>
            <w:r>
              <w:rPr>
                <w:rFonts w:ascii="Times New Roman" w:hAnsi="Times New Roman" w:cs="Times New Roman"/>
                <w:sz w:val="20"/>
                <w:szCs w:val="20"/>
                <w:lang w:val="en-US"/>
              </w:rPr>
              <w:t>10</w:t>
            </w:r>
          </w:p>
        </w:tc>
      </w:tr>
      <w:tr w:rsidR="00517711">
        <w:trPr>
          <w:trHeight w:val="454"/>
        </w:trPr>
        <w:tc>
          <w:tcPr>
            <w:tcW w:w="3256" w:type="dxa"/>
            <w:vAlign w:val="center"/>
          </w:tcPr>
          <w:p w:rsidR="00517711" w:rsidRDefault="00F815BE">
            <w:pPr>
              <w:rPr>
                <w:rFonts w:ascii="Times New Roman" w:hAnsi="Times New Roman" w:cs="Times New Roman"/>
                <w:sz w:val="20"/>
                <w:szCs w:val="20"/>
              </w:rPr>
            </w:pPr>
            <w:r>
              <w:rPr>
                <w:rFonts w:ascii="Times New Roman" w:hAnsi="Times New Roman" w:cs="Times New Roman"/>
                <w:sz w:val="20"/>
                <w:szCs w:val="20"/>
              </w:rPr>
              <w:t xml:space="preserve"> в них коек</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3523</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3467</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3408</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3195</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3526</w:t>
            </w:r>
          </w:p>
        </w:tc>
        <w:tc>
          <w:tcPr>
            <w:tcW w:w="978" w:type="dxa"/>
            <w:vAlign w:val="center"/>
          </w:tcPr>
          <w:p w:rsidR="00517711" w:rsidRDefault="00F815BE">
            <w:pPr>
              <w:jc w:val="center"/>
              <w:rPr>
                <w:rFonts w:ascii="Times New Roman" w:hAnsi="Times New Roman" w:cs="Times New Roman"/>
                <w:sz w:val="20"/>
                <w:szCs w:val="20"/>
                <w:lang w:val="en-US"/>
              </w:rPr>
            </w:pPr>
            <w:r>
              <w:rPr>
                <w:rFonts w:ascii="Times New Roman" w:hAnsi="Times New Roman" w:cs="Times New Roman"/>
                <w:sz w:val="20"/>
                <w:szCs w:val="20"/>
                <w:lang w:val="en-US"/>
              </w:rPr>
              <w:t>3426</w:t>
            </w:r>
          </w:p>
        </w:tc>
      </w:tr>
      <w:tr w:rsidR="00517711">
        <w:trPr>
          <w:trHeight w:val="454"/>
        </w:trPr>
        <w:tc>
          <w:tcPr>
            <w:tcW w:w="3256" w:type="dxa"/>
            <w:vAlign w:val="center"/>
          </w:tcPr>
          <w:p w:rsidR="00517711" w:rsidRDefault="00F815BE">
            <w:pPr>
              <w:rPr>
                <w:rFonts w:ascii="Times New Roman" w:hAnsi="Times New Roman" w:cs="Times New Roman"/>
                <w:sz w:val="20"/>
                <w:szCs w:val="20"/>
              </w:rPr>
            </w:pPr>
            <w:r>
              <w:rPr>
                <w:rFonts w:ascii="Times New Roman" w:hAnsi="Times New Roman" w:cs="Times New Roman"/>
                <w:sz w:val="20"/>
                <w:szCs w:val="20"/>
              </w:rPr>
              <w:lastRenderedPageBreak/>
              <w:t xml:space="preserve"> обслужено лиц, тыс. человек</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46.6</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48.8</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46.2</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43.4</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56.3</w:t>
            </w:r>
          </w:p>
        </w:tc>
        <w:tc>
          <w:tcPr>
            <w:tcW w:w="978" w:type="dxa"/>
            <w:vAlign w:val="center"/>
          </w:tcPr>
          <w:p w:rsidR="00517711" w:rsidRDefault="00F815BE">
            <w:pPr>
              <w:jc w:val="center"/>
              <w:rPr>
                <w:rFonts w:ascii="Times New Roman" w:hAnsi="Times New Roman" w:cs="Times New Roman"/>
                <w:sz w:val="20"/>
                <w:szCs w:val="20"/>
                <w:lang w:val="en-US"/>
              </w:rPr>
            </w:pPr>
            <w:r>
              <w:rPr>
                <w:rFonts w:ascii="Times New Roman" w:hAnsi="Times New Roman" w:cs="Times New Roman"/>
                <w:sz w:val="20"/>
                <w:szCs w:val="20"/>
                <w:lang w:val="en-US"/>
              </w:rPr>
              <w:t>46.1</w:t>
            </w:r>
          </w:p>
        </w:tc>
      </w:tr>
      <w:tr w:rsidR="00517711">
        <w:trPr>
          <w:trHeight w:val="454"/>
        </w:trPr>
        <w:tc>
          <w:tcPr>
            <w:tcW w:w="3256" w:type="dxa"/>
            <w:vAlign w:val="center"/>
          </w:tcPr>
          <w:p w:rsidR="00517711" w:rsidRDefault="00F815BE">
            <w:pPr>
              <w:rPr>
                <w:rFonts w:ascii="Times New Roman" w:hAnsi="Times New Roman" w:cs="Times New Roman"/>
                <w:sz w:val="20"/>
                <w:szCs w:val="20"/>
              </w:rPr>
            </w:pPr>
            <w:r>
              <w:rPr>
                <w:rFonts w:ascii="Times New Roman" w:hAnsi="Times New Roman" w:cs="Times New Roman"/>
                <w:sz w:val="20"/>
                <w:szCs w:val="20"/>
              </w:rPr>
              <w:t>санатории-профилактории</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4</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4</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4</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5</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5</w:t>
            </w:r>
          </w:p>
        </w:tc>
        <w:tc>
          <w:tcPr>
            <w:tcW w:w="978" w:type="dxa"/>
            <w:vAlign w:val="center"/>
          </w:tcPr>
          <w:p w:rsidR="00517711" w:rsidRDefault="00F815BE">
            <w:pPr>
              <w:jc w:val="center"/>
              <w:rPr>
                <w:rFonts w:ascii="Times New Roman" w:hAnsi="Times New Roman" w:cs="Times New Roman"/>
                <w:sz w:val="20"/>
                <w:szCs w:val="20"/>
                <w:lang w:val="en-US"/>
              </w:rPr>
            </w:pPr>
            <w:r>
              <w:rPr>
                <w:rFonts w:ascii="Times New Roman" w:hAnsi="Times New Roman" w:cs="Times New Roman"/>
                <w:sz w:val="20"/>
                <w:szCs w:val="20"/>
                <w:lang w:val="en-US"/>
              </w:rPr>
              <w:t>5</w:t>
            </w:r>
          </w:p>
        </w:tc>
      </w:tr>
      <w:tr w:rsidR="00517711">
        <w:trPr>
          <w:trHeight w:val="454"/>
        </w:trPr>
        <w:tc>
          <w:tcPr>
            <w:tcW w:w="3256" w:type="dxa"/>
            <w:vAlign w:val="center"/>
          </w:tcPr>
          <w:p w:rsidR="00517711" w:rsidRDefault="00F815BE">
            <w:pPr>
              <w:rPr>
                <w:rFonts w:ascii="Times New Roman" w:hAnsi="Times New Roman" w:cs="Times New Roman"/>
                <w:sz w:val="20"/>
                <w:szCs w:val="20"/>
              </w:rPr>
            </w:pPr>
            <w:r>
              <w:rPr>
                <w:rFonts w:ascii="Times New Roman" w:hAnsi="Times New Roman" w:cs="Times New Roman"/>
                <w:sz w:val="20"/>
                <w:szCs w:val="20"/>
              </w:rPr>
              <w:t xml:space="preserve"> в них коек</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558</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505</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468</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724</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631</w:t>
            </w:r>
          </w:p>
        </w:tc>
        <w:tc>
          <w:tcPr>
            <w:tcW w:w="978" w:type="dxa"/>
            <w:vAlign w:val="center"/>
          </w:tcPr>
          <w:p w:rsidR="00517711" w:rsidRDefault="00F815BE">
            <w:pPr>
              <w:jc w:val="center"/>
              <w:rPr>
                <w:rFonts w:ascii="Times New Roman" w:hAnsi="Times New Roman" w:cs="Times New Roman"/>
                <w:sz w:val="20"/>
                <w:szCs w:val="20"/>
                <w:lang w:val="en-US"/>
              </w:rPr>
            </w:pPr>
            <w:r>
              <w:rPr>
                <w:rFonts w:ascii="Times New Roman" w:hAnsi="Times New Roman" w:cs="Times New Roman"/>
                <w:sz w:val="20"/>
                <w:szCs w:val="20"/>
                <w:lang w:val="en-US"/>
              </w:rPr>
              <w:t>599</w:t>
            </w:r>
          </w:p>
        </w:tc>
      </w:tr>
      <w:tr w:rsidR="00517711">
        <w:trPr>
          <w:trHeight w:val="454"/>
        </w:trPr>
        <w:tc>
          <w:tcPr>
            <w:tcW w:w="3256" w:type="dxa"/>
            <w:vAlign w:val="center"/>
          </w:tcPr>
          <w:p w:rsidR="00517711" w:rsidRDefault="00F815BE">
            <w:pPr>
              <w:rPr>
                <w:rFonts w:ascii="Times New Roman" w:hAnsi="Times New Roman" w:cs="Times New Roman"/>
                <w:sz w:val="20"/>
                <w:szCs w:val="20"/>
              </w:rPr>
            </w:pPr>
            <w:r>
              <w:rPr>
                <w:rFonts w:ascii="Times New Roman" w:hAnsi="Times New Roman" w:cs="Times New Roman"/>
                <w:sz w:val="20"/>
                <w:szCs w:val="20"/>
              </w:rPr>
              <w:t xml:space="preserve"> обслужено лиц, тыс. человек</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5.8</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6.1</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8.0</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9.4</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7.4</w:t>
            </w:r>
          </w:p>
        </w:tc>
        <w:tc>
          <w:tcPr>
            <w:tcW w:w="978" w:type="dxa"/>
            <w:vAlign w:val="center"/>
          </w:tcPr>
          <w:p w:rsidR="00517711" w:rsidRDefault="00F815BE">
            <w:pPr>
              <w:jc w:val="center"/>
              <w:rPr>
                <w:rFonts w:ascii="Times New Roman" w:hAnsi="Times New Roman" w:cs="Times New Roman"/>
                <w:sz w:val="20"/>
                <w:szCs w:val="20"/>
                <w:lang w:val="en-US"/>
              </w:rPr>
            </w:pPr>
            <w:r>
              <w:rPr>
                <w:rFonts w:ascii="Times New Roman" w:hAnsi="Times New Roman" w:cs="Times New Roman"/>
                <w:sz w:val="20"/>
                <w:szCs w:val="20"/>
                <w:lang w:val="en-US"/>
              </w:rPr>
              <w:t>6.4</w:t>
            </w:r>
          </w:p>
        </w:tc>
      </w:tr>
    </w:tbl>
    <w:p w:rsidR="00517711" w:rsidRDefault="00F815BE">
      <w:pPr>
        <w:spacing w:before="120"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По данным Федеральной службы государственной статистики число санаториев и санаториев-профилакториев в целом на протяжении трех лет остается неизменным, что говорит о стабильности санаторно-курортной базы Приморского края. Численность лиц, размещенных в санаториях резко возросло в 2015 году, что говорит о высоком спросе санаторно-курортного лечения. Данный факт может быть связан с политическими и экономическими событиями 2014 года в России [10].</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Приморский край в силу географического положения и сложившихся климатических условий обладает наиболее благоприятным природно-ресурсным потенциалом и наиболее развитой в Дальневосточном регионе курортной инфраструктурой для развития лечебно-оздоровительного туризма. Климато-оздоровительные типы лечебных местностей расположены в западных, юго-западных и юго-восточных предгорных районах Сихотэ-Алиня, и прилегающих долинах рек, а также в отдельных, благоприятных по микроклиматическим условиям районах южного побережья залива Петра Великого, Амурского и Уссурийского заливов.</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Перспективными районами побережья для строительства современных рекреационных центров круглогодичного использования могут стать районы крупных иловых месторождений, а именно побережий бухты Экспедиции (Хасанский район) и Мелководной (о. Русский). Район «Садгородского» месторождения лечебных грязей в настоящее время не может рассматриваться как перспективный для планирования новых рекреационных объектов (рисунок 3).</w:t>
      </w:r>
    </w:p>
    <w:p w:rsidR="00517711" w:rsidRDefault="00F815BE">
      <w:pPr>
        <w:spacing w:before="240" w:after="240" w:line="240" w:lineRule="auto"/>
        <w:jc w:val="center"/>
        <w:rPr>
          <w:rFonts w:ascii="Times New Roman" w:hAnsi="Times New Roman" w:cs="Times New Roman"/>
          <w:color w:val="FF0000"/>
          <w:sz w:val="20"/>
          <w:szCs w:val="20"/>
        </w:rPr>
      </w:pPr>
      <w:r>
        <w:rPr>
          <w:rFonts w:ascii="Times New Roman" w:hAnsi="Times New Roman" w:cs="Times New Roman"/>
          <w:noProof/>
          <w:color w:val="FF0000"/>
          <w:sz w:val="20"/>
          <w:szCs w:val="20"/>
          <w:lang w:eastAsia="ru-RU"/>
        </w:rPr>
        <w:drawing>
          <wp:inline distT="0" distB="0" distL="0" distR="0">
            <wp:extent cx="4114800" cy="2514598"/>
            <wp:effectExtent l="0" t="0" r="0" b="0"/>
            <wp:docPr id="5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2"/>
                    <pic:cNvPicPr>
                      <a:picLocks noChangeAspect="1"/>
                    </pic:cNvPicPr>
                  </pic:nvPicPr>
                  <pic:blipFill>
                    <a:blip r:embed="rId91"/>
                    <a:stretch/>
                  </pic:blipFill>
                  <pic:spPr bwMode="auto">
                    <a:xfrm>
                      <a:off x="0" y="0"/>
                      <a:ext cx="4114800" cy="2514600"/>
                    </a:xfrm>
                    <a:prstGeom prst="rect">
                      <a:avLst/>
                    </a:prstGeom>
                    <a:noFill/>
                    <a:ln>
                      <a:noFill/>
                    </a:ln>
                  </pic:spPr>
                </pic:pic>
              </a:graphicData>
            </a:graphic>
          </wp:inline>
        </w:drawing>
      </w:r>
    </w:p>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Рис.3.Схема территориального расположения месторождений лечебных грязей на </w:t>
      </w:r>
    </w:p>
    <w:p w:rsidR="00517711" w:rsidRDefault="00F815BE">
      <w:pPr>
        <w:spacing w:after="240" w:line="240" w:lineRule="auto"/>
        <w:jc w:val="center"/>
        <w:rPr>
          <w:rFonts w:ascii="Times New Roman" w:hAnsi="Times New Roman" w:cs="Times New Roman"/>
          <w:sz w:val="20"/>
          <w:szCs w:val="20"/>
        </w:rPr>
      </w:pPr>
      <w:r>
        <w:rPr>
          <w:rFonts w:ascii="Times New Roman" w:hAnsi="Times New Roman" w:cs="Times New Roman"/>
          <w:sz w:val="20"/>
          <w:szCs w:val="20"/>
        </w:rPr>
        <w:t xml:space="preserve">побережье залива Петра Великого </w:t>
      </w:r>
    </w:p>
    <w:p w:rsidR="00517711" w:rsidRDefault="00F815BE">
      <w:pPr>
        <w:spacing w:after="0" w:line="240" w:lineRule="auto"/>
        <w:ind w:firstLine="709"/>
        <w:rPr>
          <w:rFonts w:ascii="Times New Roman" w:hAnsi="Times New Roman" w:cs="Times New Roman"/>
          <w:sz w:val="20"/>
          <w:szCs w:val="20"/>
        </w:rPr>
      </w:pPr>
      <w:r>
        <w:rPr>
          <w:rFonts w:ascii="Times New Roman" w:hAnsi="Times New Roman" w:cs="Times New Roman"/>
          <w:sz w:val="20"/>
          <w:szCs w:val="20"/>
        </w:rPr>
        <w:t>Составлено автором по [1].</w:t>
      </w:r>
    </w:p>
    <w:p w:rsidR="00517711" w:rsidRDefault="00517711">
      <w:pPr>
        <w:spacing w:after="0" w:line="240" w:lineRule="auto"/>
        <w:ind w:firstLine="709"/>
        <w:rPr>
          <w:rFonts w:ascii="Times New Roman" w:hAnsi="Times New Roman" w:cs="Times New Roman"/>
          <w:sz w:val="20"/>
          <w:szCs w:val="20"/>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На территории «Ясненского» месторождения в данный момент не существует санаторно-курортного учреждения, но имеются большие запасы лечебной грязи для его организации. Вблизи месторождения существует перспектива создания санаторно-курортного учреждения регионального значения, главным лечебным фактором которого станут лечебные грязи «Ясненского месторождения», расположенные в экологическом чистом районе. Рядом с границами лечебно-оздоровительной местности располагаются особо охраняемые природные территории – Дальневосточный морской биосферный государственный природный заповедник Дальневосточного отделения РАН, национальный парк «Земля леопарда», что повысит туристскую привлекательность лечебно-оздоровительной местности.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Месторождение бухты Мелководной имеет большие балансовые запасы морских сульфидных иловых лечебных грязей и располагается на о. Русский, входящем в структуру г. Владивостока, где имеются историко-культурные ресурсы, экскурсионные бюро и туристские фирмы. На о. Русский формируется туристская инфраструктура международного уровня, что является благоприятным фактором для совершенствования уже существующего на данной территории санатория «Белый лебедь», так и создание новых, более развитых, инновационных санаторно-курортных учреждений с перспективным профилем грязелечения [1].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lastRenderedPageBreak/>
        <w:t xml:space="preserve">В Приморском крае имеется, созданная в ХХ веке лечебно-оздоровительная база санаторно-курортных учреждений, которую необходимо развивать и включать в комплексы современное технологическое оборудование и привлекать в край высококвалифицированный персонал для работы в санаторно-курортных учреждениях.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Для создания новых современных лечебно-оздоровительных центров необходимо наличие инфраструктуры на предполагаемых местах организации учреждений вблизи месторождений лечебной грязи.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Приморском крае существует возможность объединения культурных и лечебно-оздоровительных ресурсов в единую туристскую систему, которая поможет развивать лечебно-оздоровительный туризм и привлекать туристов не только из Приморского края и Дальнего Востока, но и появляется возможность стать одним из лечебно-оздоровительных центров страны.</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Санаторно-курортный комплекс Приморского края может поспособствовать привлечению туристов из других регионов страны, а также из соседних стран Азиатско-Тихоокеанского региона и поспособствовать развитию лечебно-оздоровительного туризма в крае. Основой популярности лечебно-оздоровительного туризма в XXI веке является мода на здоровое тело и здоровый дух, когда люди все чаще придерживаются здорового образа жизни.</w:t>
      </w:r>
    </w:p>
    <w:p w:rsidR="00517711" w:rsidRDefault="00F815BE">
      <w:pPr>
        <w:spacing w:after="8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В мире растет число людей, которые придерживаются позиции здорового образа жизни и нуждаются в восстановительных антистрессовых программах. В основном это физически активные люди среднего возраста. По мнению многих экспертов, потребители этого типа будут главными клиентами санаторно-курортных учреждений и гарантией развития лечебно-оздоровительного туризма в XXI веке [2].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noProof/>
          <w:sz w:val="20"/>
          <w:szCs w:val="20"/>
          <w:lang w:eastAsia="ru-RU"/>
        </w:rPr>
        <mc:AlternateContent>
          <mc:Choice Requires="wps">
            <w:drawing>
              <wp:anchor distT="0" distB="773094111" distL="114300" distR="114300" simplePos="0" relativeHeight="251693056" behindDoc="0" locked="0" layoutInCell="1" allowOverlap="1">
                <wp:simplePos x="0" y="0"/>
                <wp:positionH relativeFrom="column">
                  <wp:posOffset>480060</wp:posOffset>
                </wp:positionH>
                <wp:positionV relativeFrom="paragraph">
                  <wp:posOffset>96517</wp:posOffset>
                </wp:positionV>
                <wp:extent cx="3124198" cy="0"/>
                <wp:effectExtent l="0" t="0" r="19048" b="19048"/>
                <wp:wrapNone/>
                <wp:docPr id="56" name="Прямая соединительная линия 15"/>
                <wp:cNvGraphicFramePr/>
                <a:graphic xmlns:a="http://schemas.openxmlformats.org/drawingml/2006/main">
                  <a:graphicData uri="http://schemas.microsoft.com/office/word/2010/wordprocessingShape">
                    <wps:wsp>
                      <wps:cNvCnPr/>
                      <wps:spPr bwMode="auto">
                        <a:xfrm>
                          <a:off x="0" y="0"/>
                          <a:ext cx="31242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5CCAA90" id="Прямая соединительная линия 15" o:spid="_x0000_s1026" style="position:absolute;z-index:251693056;visibility:visible;mso-wrap-style:square;mso-width-percent:0;mso-height-percent:0;mso-wrap-distance-left:9pt;mso-wrap-distance-top:0;mso-wrap-distance-right:9pt;mso-wrap-distance-bottom:21474.83642mm;mso-position-horizontal:absolute;mso-position-horizontal-relative:text;mso-position-vertical:absolute;mso-position-vertical-relative:text;mso-width-percent:0;mso-height-percent:0;mso-width-relative:page;mso-height-relative:page" from="37.8pt,7.6pt" to="283.8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" strokecolor="black [3213]"/>
            </w:pict>
          </mc:Fallback>
        </mc:AlternateContent>
      </w:r>
    </w:p>
    <w:p w:rsidR="00517711" w:rsidRDefault="00F815BE">
      <w:pPr>
        <w:pStyle w:val="af4"/>
        <w:numPr>
          <w:ilvl w:val="0"/>
          <w:numId w:val="17"/>
        </w:numPr>
        <w:spacing w:before="80" w:after="0" w:line="240" w:lineRule="auto"/>
        <w:ind w:left="0" w:firstLine="709"/>
        <w:jc w:val="both"/>
        <w:rPr>
          <w:rFonts w:ascii="Times New Roman" w:hAnsi="Times New Roman"/>
          <w:sz w:val="20"/>
          <w:szCs w:val="20"/>
        </w:rPr>
      </w:pPr>
      <w:r>
        <w:rPr>
          <w:rFonts w:ascii="Times New Roman" w:hAnsi="Times New Roman"/>
          <w:sz w:val="20"/>
          <w:szCs w:val="20"/>
        </w:rPr>
        <w:t>Дергачева Л.Н. Оздоровительный туризм как фактор развития территории на примере побережья залива Петра Великого, Японское море // Современные проблемы сервиса и туризма. – 2014. – №1. – С. 45-50.</w:t>
      </w:r>
    </w:p>
    <w:p w:rsidR="00517711" w:rsidRDefault="00F815BE">
      <w:pPr>
        <w:pStyle w:val="af4"/>
        <w:numPr>
          <w:ilvl w:val="0"/>
          <w:numId w:val="17"/>
        </w:numPr>
        <w:spacing w:after="0" w:line="240" w:lineRule="auto"/>
        <w:ind w:left="0" w:firstLine="709"/>
        <w:jc w:val="both"/>
        <w:rPr>
          <w:rFonts w:ascii="Times New Roman" w:hAnsi="Times New Roman"/>
          <w:sz w:val="20"/>
          <w:szCs w:val="20"/>
        </w:rPr>
      </w:pPr>
      <w:r>
        <w:rPr>
          <w:rFonts w:ascii="Times New Roman" w:hAnsi="Times New Roman"/>
          <w:color w:val="000000" w:themeColor="text1"/>
          <w:sz w:val="20"/>
          <w:szCs w:val="20"/>
        </w:rPr>
        <w:t>Ефименко Н. В. Лечебно-оздоровительный туризм в России и за рубежом с позиций курортной науки [Электронный ресурс] / Н. В. Ефименко, А. Н. Глухов // Курортная медицина. – 2012. – № 3. – С. 51-56. – Режим доступа: http://elibrary.ru/item.asp?id=18923403</w:t>
      </w:r>
    </w:p>
    <w:p w:rsidR="00517711" w:rsidRDefault="00F815BE">
      <w:pPr>
        <w:pStyle w:val="af4"/>
        <w:numPr>
          <w:ilvl w:val="0"/>
          <w:numId w:val="17"/>
        </w:numPr>
        <w:spacing w:after="0" w:line="240" w:lineRule="auto"/>
        <w:ind w:left="0" w:firstLine="709"/>
        <w:jc w:val="both"/>
        <w:rPr>
          <w:rFonts w:ascii="Times New Roman" w:hAnsi="Times New Roman"/>
          <w:sz w:val="20"/>
          <w:szCs w:val="20"/>
        </w:rPr>
      </w:pPr>
      <w:r>
        <w:rPr>
          <w:rFonts w:ascii="Times New Roman" w:hAnsi="Times New Roman"/>
          <w:color w:val="000000" w:themeColor="text1"/>
          <w:sz w:val="20"/>
          <w:szCs w:val="20"/>
        </w:rPr>
        <w:t>Здравоохранение в России. 2017: стат.сб. / Федеральная служба гос. статистики. – М.: Росстат, 2017. – 170 с.</w:t>
      </w:r>
    </w:p>
    <w:p w:rsidR="00517711" w:rsidRDefault="00F815BE">
      <w:pPr>
        <w:pStyle w:val="af4"/>
        <w:numPr>
          <w:ilvl w:val="0"/>
          <w:numId w:val="17"/>
        </w:numPr>
        <w:spacing w:after="0" w:line="240" w:lineRule="auto"/>
        <w:ind w:left="0" w:firstLine="709"/>
        <w:jc w:val="both"/>
        <w:rPr>
          <w:rFonts w:ascii="Times New Roman" w:hAnsi="Times New Roman"/>
          <w:sz w:val="20"/>
          <w:szCs w:val="20"/>
        </w:rPr>
      </w:pPr>
      <w:r>
        <w:rPr>
          <w:rFonts w:ascii="Times New Roman" w:hAnsi="Times New Roman"/>
          <w:sz w:val="20"/>
          <w:szCs w:val="20"/>
        </w:rPr>
        <w:t>Санаторий-профилакторий Белый лебедь. О санатории [Электронный ресурс] // Санаторий-профилакторий: официал. сайт организации. – Режим доступа: http://lebeddv.ru/index.php?module=catalog&amp;cid=178</w:t>
      </w:r>
    </w:p>
    <w:p w:rsidR="00517711" w:rsidRDefault="00F815BE">
      <w:pPr>
        <w:pStyle w:val="af4"/>
        <w:numPr>
          <w:ilvl w:val="0"/>
          <w:numId w:val="17"/>
        </w:numPr>
        <w:spacing w:after="0" w:line="240" w:lineRule="auto"/>
        <w:ind w:left="0" w:firstLine="709"/>
        <w:jc w:val="both"/>
        <w:rPr>
          <w:rFonts w:ascii="Times New Roman" w:hAnsi="Times New Roman"/>
          <w:sz w:val="20"/>
          <w:szCs w:val="20"/>
        </w:rPr>
      </w:pPr>
      <w:r>
        <w:rPr>
          <w:rFonts w:ascii="Times New Roman" w:hAnsi="Times New Roman"/>
          <w:sz w:val="20"/>
          <w:szCs w:val="20"/>
        </w:rPr>
        <w:t>Санаторно-курортный комплекс «Дальневосточный» ФГКУ. Санаторий «Океанский» [Электронный ресурс] // Санаторно-курортный комплекс «Дальневосточный» ФГКУ: официал. сайт организации. – Режим доступа: http://skk-dv.ru/san-okeansky/</w:t>
      </w:r>
    </w:p>
    <w:p w:rsidR="00517711" w:rsidRDefault="00F815BE">
      <w:pPr>
        <w:pStyle w:val="af4"/>
        <w:numPr>
          <w:ilvl w:val="0"/>
          <w:numId w:val="17"/>
        </w:numPr>
        <w:spacing w:after="0" w:line="240" w:lineRule="auto"/>
        <w:ind w:left="0" w:firstLine="709"/>
        <w:jc w:val="both"/>
        <w:rPr>
          <w:rFonts w:ascii="Times New Roman" w:hAnsi="Times New Roman"/>
          <w:sz w:val="20"/>
          <w:szCs w:val="20"/>
        </w:rPr>
      </w:pPr>
      <w:r>
        <w:rPr>
          <w:rFonts w:ascii="Times New Roman" w:hAnsi="Times New Roman"/>
          <w:sz w:val="20"/>
          <w:szCs w:val="20"/>
        </w:rPr>
        <w:t>Санаторий Амурский залив. О санатории [Электронный ресурс] // Санаторий Амурский залив: официал. сайт организации. – Режим доступа: http://www.amurskiyzaliv.ru/sanatorium/about/</w:t>
      </w:r>
    </w:p>
    <w:p w:rsidR="00517711" w:rsidRDefault="00F815BE">
      <w:pPr>
        <w:pStyle w:val="af4"/>
        <w:numPr>
          <w:ilvl w:val="0"/>
          <w:numId w:val="17"/>
        </w:numPr>
        <w:spacing w:after="0" w:line="240" w:lineRule="auto"/>
        <w:ind w:left="0" w:firstLine="709"/>
        <w:jc w:val="both"/>
        <w:rPr>
          <w:rFonts w:ascii="Times New Roman" w:hAnsi="Times New Roman"/>
          <w:sz w:val="20"/>
          <w:szCs w:val="20"/>
        </w:rPr>
      </w:pPr>
      <w:r>
        <w:rPr>
          <w:rFonts w:ascii="Times New Roman" w:hAnsi="Times New Roman"/>
          <w:sz w:val="20"/>
          <w:szCs w:val="20"/>
        </w:rPr>
        <w:t>Санаторий Жемчужный. Все о санатории [Электронный ресурс] // Санаторий Жемчужный: официал. сайт организации. – Режим доступа: http://www.pearlsan.ru/about/</w:t>
      </w:r>
    </w:p>
    <w:p w:rsidR="00517711" w:rsidRDefault="00F815BE">
      <w:pPr>
        <w:pStyle w:val="af4"/>
        <w:numPr>
          <w:ilvl w:val="0"/>
          <w:numId w:val="17"/>
        </w:numPr>
        <w:spacing w:after="0" w:line="240" w:lineRule="auto"/>
        <w:ind w:left="0" w:firstLine="709"/>
        <w:jc w:val="both"/>
        <w:rPr>
          <w:rFonts w:ascii="Times New Roman" w:hAnsi="Times New Roman"/>
          <w:sz w:val="20"/>
          <w:szCs w:val="20"/>
        </w:rPr>
      </w:pPr>
      <w:r>
        <w:rPr>
          <w:rFonts w:ascii="Times New Roman" w:hAnsi="Times New Roman"/>
          <w:sz w:val="20"/>
          <w:szCs w:val="20"/>
        </w:rPr>
        <w:t>Санаторий МВД России Приморье. О санатории [Электронный ресурс] // Санаторий МВД России Приморье: официал. сайт организации. – Режим доступа: http://санаторий-приморье.рф/ o_sanatorii/</w:t>
      </w:r>
    </w:p>
    <w:p w:rsidR="00517711" w:rsidRDefault="00F815BE">
      <w:pPr>
        <w:pStyle w:val="af4"/>
        <w:numPr>
          <w:ilvl w:val="0"/>
          <w:numId w:val="17"/>
        </w:numPr>
        <w:spacing w:after="0" w:line="240" w:lineRule="auto"/>
        <w:ind w:left="0" w:firstLine="709"/>
        <w:jc w:val="both"/>
        <w:rPr>
          <w:rFonts w:ascii="Times New Roman" w:hAnsi="Times New Roman"/>
          <w:sz w:val="20"/>
          <w:szCs w:val="20"/>
        </w:rPr>
      </w:pPr>
      <w:r>
        <w:rPr>
          <w:rFonts w:ascii="Times New Roman" w:hAnsi="Times New Roman"/>
          <w:sz w:val="20"/>
          <w:szCs w:val="20"/>
        </w:rPr>
        <w:t>Санаторий Строитель. Санаторий [Электронный ресурс] // Санаторий Строитель: официал. сайт организации. – Режим доступа: http://sanstroitel.ru/sanatorij/</w:t>
      </w:r>
    </w:p>
    <w:p w:rsidR="00517711" w:rsidRDefault="00F815BE">
      <w:pPr>
        <w:pStyle w:val="af4"/>
        <w:numPr>
          <w:ilvl w:val="0"/>
          <w:numId w:val="17"/>
        </w:numPr>
        <w:spacing w:after="0" w:line="240" w:lineRule="auto"/>
        <w:ind w:left="0" w:firstLine="709"/>
        <w:jc w:val="both"/>
        <w:rPr>
          <w:rFonts w:ascii="Times New Roman" w:hAnsi="Times New Roman"/>
          <w:sz w:val="20"/>
          <w:szCs w:val="20"/>
        </w:rPr>
      </w:pPr>
      <w:r>
        <w:rPr>
          <w:rFonts w:ascii="Times New Roman" w:hAnsi="Times New Roman"/>
          <w:color w:val="000000" w:themeColor="text1"/>
          <w:sz w:val="20"/>
          <w:szCs w:val="20"/>
        </w:rPr>
        <w:t>Социально-экономические показатели: статист. ежегодник / Территориал. орган Федерал. службы гос. статистики по Приморскому краю. – Владивосток: Приморскстат, 2017. – 313 с.</w:t>
      </w:r>
    </w:p>
    <w:p w:rsidR="00517711" w:rsidRDefault="00F815BE">
      <w:pPr>
        <w:pStyle w:val="af4"/>
        <w:numPr>
          <w:ilvl w:val="0"/>
          <w:numId w:val="17"/>
        </w:numPr>
        <w:spacing w:after="0" w:line="240" w:lineRule="auto"/>
        <w:ind w:left="0" w:firstLine="709"/>
        <w:jc w:val="both"/>
        <w:rPr>
          <w:rFonts w:ascii="Times New Roman" w:hAnsi="Times New Roman"/>
          <w:sz w:val="20"/>
          <w:szCs w:val="20"/>
        </w:rPr>
      </w:pPr>
      <w:r>
        <w:rPr>
          <w:rFonts w:ascii="Times New Roman" w:hAnsi="Times New Roman"/>
          <w:sz w:val="20"/>
          <w:szCs w:val="20"/>
        </w:rPr>
        <w:t>Туристско-информационный центр Приморского края. Медицинский центр Океан [Электронный ресурс] // Туристско-информационный центр Приморского края: официал. сайт организации. – Режим доступа: http://tour.primorsky.ru/dostoprimechatelnosti/zonyi_lechebno_ozdorovitelnogo_turizma/meditsinskiy_tsentr_ «океан»</w:t>
      </w:r>
    </w:p>
    <w:p w:rsidR="00517711" w:rsidRDefault="00517711"/>
    <w:p w:rsidR="00517711" w:rsidRDefault="00F815BE">
      <w:pPr>
        <w:keepNext/>
        <w:spacing w:before="120" w:after="120" w:line="240" w:lineRule="auto"/>
        <w:outlineLvl w:val="3"/>
        <w:rPr>
          <w:rFonts w:ascii="Times New Roman" w:eastAsia="Calibri" w:hAnsi="Times New Roman" w:cs="Times New Roman"/>
          <w:b/>
          <w:bCs/>
          <w:sz w:val="20"/>
          <w:szCs w:val="28"/>
        </w:rPr>
      </w:pPr>
      <w:r>
        <w:rPr>
          <w:rFonts w:ascii="Times New Roman" w:eastAsia="Calibri" w:hAnsi="Times New Roman" w:cs="Times New Roman"/>
          <w:b/>
          <w:bCs/>
          <w:sz w:val="20"/>
          <w:szCs w:val="28"/>
        </w:rPr>
        <w:t>Рубрика: Современные тренды развития туристских дестинаций</w:t>
      </w:r>
    </w:p>
    <w:p w:rsidR="00517711" w:rsidRDefault="00F815BE">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УДК 379.85</w:t>
      </w:r>
    </w:p>
    <w:p w:rsidR="00517711" w:rsidRDefault="00F815BE">
      <w:pPr>
        <w:keepNext/>
        <w:spacing w:before="240" w:after="240" w:line="240" w:lineRule="auto"/>
        <w:jc w:val="center"/>
        <w:outlineLvl w:val="0"/>
        <w:rPr>
          <w:rFonts w:ascii="Book Antiqua" w:hAnsi="Book Antiqua" w:cs="Times New Roman"/>
          <w:b/>
          <w:bCs/>
          <w:caps/>
          <w:sz w:val="26"/>
          <w:szCs w:val="26"/>
        </w:rPr>
      </w:pPr>
      <w:r>
        <w:rPr>
          <w:rFonts w:ascii="Book Antiqua" w:hAnsi="Book Antiqua" w:cs="Times New Roman"/>
          <w:b/>
          <w:bCs/>
          <w:caps/>
          <w:sz w:val="26"/>
          <w:szCs w:val="26"/>
        </w:rPr>
        <w:t>Тенденция продвижения туристского продукта в сети Интернет</w:t>
      </w:r>
    </w:p>
    <w:p w:rsidR="00517711" w:rsidRDefault="00F815BE">
      <w:pPr>
        <w:spacing w:after="11" w:line="240" w:lineRule="auto"/>
        <w:ind w:left="-13" w:right="214" w:firstLine="698"/>
        <w:jc w:val="center"/>
        <w:rPr>
          <w:rFonts w:ascii="Arial" w:eastAsia="Calibri" w:hAnsi="Arial" w:cs="Times New Roman"/>
          <w:b/>
          <w:bCs/>
          <w:sz w:val="24"/>
          <w:szCs w:val="20"/>
          <w:lang w:eastAsia="ru-RU"/>
        </w:rPr>
      </w:pPr>
      <w:r>
        <w:rPr>
          <w:rFonts w:ascii="Arial" w:eastAsia="Calibri" w:hAnsi="Arial" w:cs="Times New Roman"/>
          <w:b/>
          <w:bCs/>
          <w:sz w:val="24"/>
          <w:szCs w:val="20"/>
          <w:lang w:eastAsia="ru-RU"/>
        </w:rPr>
        <w:t xml:space="preserve">Лазарь Александра Андреевна, </w:t>
      </w:r>
    </w:p>
    <w:p w:rsidR="00517711" w:rsidRDefault="00F815BE">
      <w:pPr>
        <w:spacing w:after="0" w:line="240" w:lineRule="auto"/>
        <w:ind w:left="-13" w:right="214" w:firstLine="698"/>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Бакалавр</w:t>
      </w:r>
    </w:p>
    <w:p w:rsidR="00517711" w:rsidRDefault="00517711">
      <w:pPr>
        <w:spacing w:after="0" w:line="240" w:lineRule="auto"/>
        <w:ind w:left="-13" w:right="214" w:firstLine="698"/>
        <w:jc w:val="center"/>
        <w:rPr>
          <w:rFonts w:ascii="Arial" w:eastAsia="Calibri" w:hAnsi="Arial" w:cs="Times New Roman"/>
          <w:bCs/>
          <w:sz w:val="24"/>
          <w:szCs w:val="20"/>
          <w:lang w:eastAsia="ru-RU"/>
        </w:rPr>
      </w:pPr>
    </w:p>
    <w:p w:rsidR="00517711" w:rsidRDefault="00F815BE">
      <w:pPr>
        <w:spacing w:after="0" w:line="240" w:lineRule="auto"/>
        <w:ind w:left="-13" w:right="214" w:firstLine="698"/>
        <w:jc w:val="center"/>
        <w:rPr>
          <w:rFonts w:ascii="Arial" w:eastAsia="Calibri" w:hAnsi="Arial" w:cs="Times New Roman"/>
          <w:b/>
          <w:bCs/>
          <w:sz w:val="24"/>
          <w:szCs w:val="20"/>
          <w:lang w:eastAsia="ru-RU"/>
        </w:rPr>
      </w:pPr>
      <w:r>
        <w:rPr>
          <w:rFonts w:ascii="Arial" w:eastAsia="Calibri" w:hAnsi="Arial" w:cs="Times New Roman"/>
          <w:b/>
          <w:bCs/>
          <w:sz w:val="24"/>
          <w:szCs w:val="20"/>
          <w:lang w:eastAsia="ru-RU"/>
        </w:rPr>
        <w:t xml:space="preserve">Кононов Артем Юрьевич, </w:t>
      </w:r>
    </w:p>
    <w:p w:rsidR="00517711" w:rsidRDefault="00F815BE">
      <w:pPr>
        <w:spacing w:after="0" w:line="240" w:lineRule="auto"/>
        <w:ind w:left="-13" w:right="214" w:firstLine="698"/>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 xml:space="preserve">Кандидат экономических наук, ассистент кафедры туризма и экологии </w:t>
      </w:r>
    </w:p>
    <w:p w:rsidR="00517711" w:rsidRDefault="00517711">
      <w:pPr>
        <w:spacing w:after="0" w:line="240" w:lineRule="auto"/>
        <w:ind w:left="-13" w:right="214" w:firstLine="698"/>
        <w:jc w:val="center"/>
        <w:rPr>
          <w:rFonts w:ascii="Arial" w:eastAsia="Calibri" w:hAnsi="Arial" w:cs="Times New Roman"/>
          <w:bCs/>
          <w:sz w:val="24"/>
          <w:szCs w:val="20"/>
          <w:lang w:eastAsia="ru-RU"/>
        </w:rPr>
      </w:pP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lastRenderedPageBreak/>
        <w:t>Владивостокский государственный университет экономики и сервиса</w:t>
      </w: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Россия. Владивосток</w:t>
      </w:r>
    </w:p>
    <w:p w:rsidR="00517711" w:rsidRDefault="00517711">
      <w:pPr>
        <w:spacing w:after="0" w:line="240" w:lineRule="auto"/>
        <w:jc w:val="center"/>
        <w:rPr>
          <w:rFonts w:ascii="Times New Roman" w:eastAsia="Calibri" w:hAnsi="Times New Roman" w:cs="Times New Roman"/>
          <w:i/>
          <w:sz w:val="21"/>
          <w:szCs w:val="21"/>
        </w:rPr>
      </w:pPr>
    </w:p>
    <w:p w:rsidR="00517711" w:rsidRPr="00BD6187" w:rsidRDefault="00F815BE">
      <w:pPr>
        <w:spacing w:after="11" w:line="240" w:lineRule="auto"/>
        <w:ind w:left="-13" w:right="214" w:firstLine="698"/>
        <w:jc w:val="center"/>
        <w:rPr>
          <w:rFonts w:ascii="Times New Roman" w:hAnsi="Times New Roman"/>
          <w:iCs/>
          <w:color w:val="000000"/>
          <w:sz w:val="20"/>
          <w:szCs w:val="24"/>
          <w:lang w:eastAsia="ko-KR"/>
        </w:rPr>
      </w:pPr>
      <w:r>
        <w:rPr>
          <w:rFonts w:ascii="Times New Roman" w:hAnsi="Times New Roman"/>
          <w:iCs/>
          <w:color w:val="000000"/>
          <w:sz w:val="20"/>
          <w:szCs w:val="24"/>
          <w:lang w:val="en-US" w:eastAsia="ko-KR"/>
        </w:rPr>
        <w:t>E</w:t>
      </w:r>
      <w:r w:rsidRPr="00BD6187">
        <w:rPr>
          <w:rFonts w:ascii="Times New Roman" w:hAnsi="Times New Roman"/>
          <w:iCs/>
          <w:color w:val="000000"/>
          <w:sz w:val="20"/>
          <w:szCs w:val="24"/>
          <w:lang w:eastAsia="ko-KR"/>
        </w:rPr>
        <w:t>-</w:t>
      </w:r>
      <w:r>
        <w:rPr>
          <w:rFonts w:ascii="Times New Roman" w:hAnsi="Times New Roman"/>
          <w:iCs/>
          <w:color w:val="000000"/>
          <w:sz w:val="20"/>
          <w:szCs w:val="24"/>
          <w:lang w:val="en-US" w:eastAsia="ko-KR"/>
        </w:rPr>
        <w:t>mail</w:t>
      </w:r>
      <w:r w:rsidRPr="00BD6187">
        <w:rPr>
          <w:rFonts w:ascii="Times New Roman" w:hAnsi="Times New Roman"/>
          <w:iCs/>
          <w:color w:val="000000"/>
          <w:sz w:val="20"/>
          <w:szCs w:val="24"/>
          <w:lang w:eastAsia="ko-KR"/>
        </w:rPr>
        <w:t xml:space="preserve">: </w:t>
      </w:r>
      <w:r>
        <w:rPr>
          <w:rFonts w:ascii="Times New Roman" w:hAnsi="Times New Roman"/>
          <w:iCs/>
          <w:color w:val="000000"/>
          <w:sz w:val="20"/>
          <w:szCs w:val="24"/>
          <w:lang w:val="en-US" w:eastAsia="ko-KR"/>
        </w:rPr>
        <w:t>Lazero</w:t>
      </w:r>
      <w:r w:rsidRPr="00BD6187">
        <w:rPr>
          <w:rFonts w:ascii="Times New Roman" w:hAnsi="Times New Roman"/>
          <w:iCs/>
          <w:color w:val="000000"/>
          <w:sz w:val="20"/>
          <w:szCs w:val="24"/>
          <w:lang w:eastAsia="ko-KR"/>
        </w:rPr>
        <w:t>4</w:t>
      </w:r>
      <w:r>
        <w:rPr>
          <w:rFonts w:ascii="Times New Roman" w:hAnsi="Times New Roman"/>
          <w:iCs/>
          <w:color w:val="000000"/>
          <w:sz w:val="20"/>
          <w:szCs w:val="24"/>
          <w:lang w:val="en-US" w:eastAsia="ko-KR"/>
        </w:rPr>
        <w:t>ka</w:t>
      </w:r>
      <w:r w:rsidRPr="00BD6187">
        <w:rPr>
          <w:rFonts w:ascii="Times New Roman" w:hAnsi="Times New Roman"/>
          <w:iCs/>
          <w:color w:val="000000"/>
          <w:sz w:val="20"/>
          <w:szCs w:val="24"/>
          <w:lang w:eastAsia="ko-KR"/>
        </w:rPr>
        <w:t>@</w:t>
      </w:r>
      <w:r>
        <w:rPr>
          <w:rFonts w:ascii="Times New Roman" w:hAnsi="Times New Roman"/>
          <w:iCs/>
          <w:color w:val="000000"/>
          <w:sz w:val="20"/>
          <w:szCs w:val="24"/>
          <w:lang w:val="en-US" w:eastAsia="ko-KR"/>
        </w:rPr>
        <w:t>mail</w:t>
      </w:r>
      <w:r w:rsidRPr="00BD6187">
        <w:rPr>
          <w:rFonts w:ascii="Times New Roman" w:hAnsi="Times New Roman"/>
          <w:iCs/>
          <w:color w:val="000000"/>
          <w:sz w:val="20"/>
          <w:szCs w:val="24"/>
          <w:lang w:eastAsia="ko-KR"/>
        </w:rPr>
        <w:t>.</w:t>
      </w:r>
      <w:r>
        <w:rPr>
          <w:rFonts w:ascii="Times New Roman" w:hAnsi="Times New Roman"/>
          <w:iCs/>
          <w:color w:val="000000"/>
          <w:sz w:val="20"/>
          <w:szCs w:val="24"/>
          <w:lang w:val="en-US" w:eastAsia="ko-KR"/>
        </w:rPr>
        <w:t>ru</w:t>
      </w:r>
      <w:r w:rsidRPr="00BD6187">
        <w:rPr>
          <w:rFonts w:ascii="Times New Roman" w:hAnsi="Times New Roman"/>
          <w:iCs/>
          <w:color w:val="000000"/>
          <w:sz w:val="20"/>
          <w:szCs w:val="24"/>
          <w:lang w:eastAsia="ko-KR"/>
        </w:rPr>
        <w:t xml:space="preserve">; </w:t>
      </w:r>
      <w:r>
        <w:rPr>
          <w:rFonts w:ascii="Times New Roman" w:hAnsi="Times New Roman"/>
          <w:iCs/>
          <w:color w:val="000000"/>
          <w:sz w:val="20"/>
          <w:szCs w:val="24"/>
          <w:lang w:eastAsia="ko-KR"/>
        </w:rPr>
        <w:t>тел</w:t>
      </w:r>
      <w:r w:rsidRPr="00BD6187">
        <w:rPr>
          <w:rFonts w:ascii="Times New Roman" w:hAnsi="Times New Roman"/>
          <w:iCs/>
          <w:color w:val="000000"/>
          <w:sz w:val="20"/>
          <w:szCs w:val="24"/>
          <w:lang w:eastAsia="ko-KR"/>
        </w:rPr>
        <w:t>.: +79990890665</w:t>
      </w:r>
    </w:p>
    <w:p w:rsidR="00517711" w:rsidRDefault="00F815BE">
      <w:pPr>
        <w:spacing w:after="11" w:line="240" w:lineRule="auto"/>
        <w:ind w:left="-13" w:right="214" w:firstLine="698"/>
        <w:jc w:val="center"/>
        <w:rPr>
          <w:rFonts w:ascii="Times New Roman" w:hAnsi="Times New Roman"/>
          <w:iCs/>
          <w:color w:val="000000"/>
          <w:sz w:val="20"/>
          <w:szCs w:val="24"/>
          <w:lang w:eastAsia="ko-KR"/>
        </w:rPr>
      </w:pPr>
      <w:r>
        <w:rPr>
          <w:rFonts w:ascii="Times New Roman" w:hAnsi="Times New Roman"/>
          <w:iCs/>
          <w:color w:val="000000"/>
          <w:sz w:val="20"/>
          <w:szCs w:val="24"/>
          <w:lang w:eastAsia="ko-KR"/>
        </w:rPr>
        <w:t>ул. Гоголя, 41, г. Владивосток, Приморский край, Россия, 690014</w:t>
      </w:r>
    </w:p>
    <w:p w:rsidR="00517711" w:rsidRDefault="00517711">
      <w:pPr>
        <w:spacing w:after="11" w:line="240" w:lineRule="auto"/>
        <w:ind w:left="-13" w:right="214" w:firstLine="698"/>
        <w:jc w:val="center"/>
        <w:rPr>
          <w:rFonts w:ascii="Times New Roman" w:hAnsi="Times New Roman"/>
          <w:iCs/>
          <w:color w:val="000000"/>
          <w:sz w:val="24"/>
          <w:szCs w:val="24"/>
          <w:lang w:eastAsia="ko-KR"/>
        </w:rPr>
      </w:pPr>
    </w:p>
    <w:p w:rsidR="00517711" w:rsidRDefault="00F815BE">
      <w:pPr>
        <w:spacing w:line="240" w:lineRule="auto"/>
        <w:ind w:firstLine="683"/>
        <w:contextualSpacing/>
        <w:jc w:val="both"/>
        <w:rPr>
          <w:rFonts w:ascii="Times New Roman" w:hAnsi="Times New Roman"/>
          <w:i/>
          <w:szCs w:val="24"/>
        </w:rPr>
      </w:pPr>
      <w:r>
        <w:rPr>
          <w:rFonts w:ascii="Times New Roman" w:hAnsi="Times New Roman"/>
          <w:i/>
          <w:szCs w:val="24"/>
        </w:rPr>
        <w:t xml:space="preserve">Интернет-технологии – важный элемент туристкой маркетинговой системы. Применение современных технологий в бизнесе, позволяет быть с потребителем ближе. Статья посвящена применению интернет технологий в туристской деятельности, а также рекламе и продвижению туристского продукта с использованием сети Internet. Рассмотрены проблемы и перспективы продвижения туристского продукта с использованием информационных технологий. </w:t>
      </w:r>
    </w:p>
    <w:p w:rsidR="00517711" w:rsidRDefault="00F815BE">
      <w:pPr>
        <w:spacing w:line="360" w:lineRule="auto"/>
        <w:ind w:firstLine="709"/>
        <w:contextualSpacing/>
        <w:jc w:val="both"/>
        <w:rPr>
          <w:rFonts w:ascii="Times New Roman" w:hAnsi="Times New Roman"/>
          <w:szCs w:val="24"/>
        </w:rPr>
      </w:pPr>
      <w:r>
        <w:rPr>
          <w:rFonts w:ascii="Times New Roman" w:hAnsi="Times New Roman"/>
          <w:b/>
          <w:i/>
          <w:szCs w:val="24"/>
        </w:rPr>
        <w:t>Ключевые слова:</w:t>
      </w:r>
      <w:r>
        <w:rPr>
          <w:rFonts w:ascii="Times New Roman" w:hAnsi="Times New Roman"/>
          <w:szCs w:val="24"/>
        </w:rPr>
        <w:t xml:space="preserve"> </w:t>
      </w:r>
      <w:r>
        <w:rPr>
          <w:rFonts w:ascii="Times New Roman" w:hAnsi="Times New Roman"/>
          <w:i/>
          <w:szCs w:val="24"/>
        </w:rPr>
        <w:t>туризм, продвижение, турпродукт, Интернет</w:t>
      </w:r>
      <w:r>
        <w:rPr>
          <w:rFonts w:ascii="Times New Roman" w:hAnsi="Times New Roman"/>
          <w:szCs w:val="24"/>
        </w:rPr>
        <w:t>.</w:t>
      </w:r>
    </w:p>
    <w:p w:rsidR="00517711" w:rsidRDefault="00F815BE">
      <w:pPr>
        <w:keepNext/>
        <w:spacing w:before="240" w:after="240" w:line="240" w:lineRule="auto"/>
        <w:jc w:val="center"/>
        <w:outlineLvl w:val="0"/>
        <w:rPr>
          <w:rFonts w:ascii="Book Antiqua" w:hAnsi="Book Antiqua" w:cs="Times New Roman"/>
          <w:b/>
          <w:bCs/>
          <w:caps/>
          <w:sz w:val="26"/>
          <w:szCs w:val="26"/>
          <w:lang w:val="en-US"/>
        </w:rPr>
      </w:pPr>
      <w:r>
        <w:rPr>
          <w:rFonts w:ascii="Book Antiqua" w:hAnsi="Book Antiqua" w:cs="Times New Roman"/>
          <w:b/>
          <w:bCs/>
          <w:caps/>
          <w:sz w:val="26"/>
          <w:szCs w:val="26"/>
          <w:lang w:val="en-US"/>
        </w:rPr>
        <w:t>The trend of promotion of the tourist product on the Internet</w:t>
      </w:r>
    </w:p>
    <w:p w:rsidR="00517711" w:rsidRDefault="00F815BE">
      <w:pPr>
        <w:spacing w:line="240" w:lineRule="auto"/>
        <w:ind w:firstLine="709"/>
        <w:contextualSpacing/>
        <w:jc w:val="both"/>
        <w:rPr>
          <w:rFonts w:ascii="Times New Roman" w:hAnsi="Times New Roman"/>
          <w:i/>
          <w:szCs w:val="24"/>
          <w:lang w:val="en-US"/>
        </w:rPr>
      </w:pPr>
      <w:r>
        <w:rPr>
          <w:rFonts w:ascii="Times New Roman" w:hAnsi="Times New Roman"/>
          <w:i/>
          <w:szCs w:val="24"/>
          <w:lang w:val="en-US"/>
        </w:rPr>
        <w:t>Internet technologies are an important element of the tourist marketing system. The use of modern technologies in business allows you to be closer to the consumer. The article covers the problem of Internet technologies usage in tourism, as well as the problem of advertising and promotion of a tourist product in the world wide web. Researched are the problems and prospects of promotion of a tourist product with the help of information technologies.</w:t>
      </w:r>
    </w:p>
    <w:p w:rsidR="00517711" w:rsidRDefault="00F815BE">
      <w:pPr>
        <w:spacing w:line="360" w:lineRule="auto"/>
        <w:ind w:firstLine="709"/>
        <w:contextualSpacing/>
        <w:jc w:val="both"/>
        <w:rPr>
          <w:rFonts w:ascii="Times New Roman" w:hAnsi="Times New Roman"/>
          <w:i/>
          <w:szCs w:val="24"/>
          <w:lang w:val="en-US"/>
        </w:rPr>
      </w:pPr>
      <w:r>
        <w:rPr>
          <w:rFonts w:ascii="Times New Roman" w:hAnsi="Times New Roman"/>
          <w:b/>
          <w:i/>
          <w:szCs w:val="24"/>
          <w:lang w:val="en-US"/>
        </w:rPr>
        <w:t>Keywords:</w:t>
      </w:r>
      <w:r>
        <w:rPr>
          <w:rFonts w:ascii="Times New Roman" w:hAnsi="Times New Roman"/>
          <w:i/>
          <w:szCs w:val="24"/>
          <w:lang w:val="en-US"/>
        </w:rPr>
        <w:t xml:space="preserve"> tourism, promotion, tourist product, Internet.</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 xml:space="preserve">Реализация методов эффективного продвижения туристского продукта с использованием Интернет-технологий является одной из самых актуальных задач в индустрии туризма на сегодняшний день [1]. Основная функция сети Интернет - предоставлять и передавать информацию - помогает турфирме получать полезные сведения, анализировать их и оперативно принимать необходимые решения. </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 xml:space="preserve">Сеть предоставляет большие возможности для предоставления и продвижения своего туристского продукта. Сеть также предлагает доступные поисковые возможности, позволяя задать необходимую структуру поиска [2]. </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 xml:space="preserve">Само продвижение - это особая кропотливая работа, которую нельзя упускать из виду и игнорировать, это труд рекламодателя, который направлен на то, чтобы его продукт был заметен в потребительской среде. </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Важней всего определиться, как правильно рекламировать туристический продукт. Рекламные услуги, которые существуют сегодня в сети Интернет, весьма разнообразны. Рекламодателям может поступить предложение создать сайт, разместить баннер, видеоролик, гиперссылку, рекламу в сетях и т.д.</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 xml:space="preserve">Самый верный способ заявить о себе в Интернете – это создавать, продвигать, и рекламировать свой личный интернет-проект, а именно Web-сайт или Web-страницу. </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 xml:space="preserve">Сайты различны по своему содержанию. По их задачам и размещенной информации сайты можно разделить на три группы (табл. 1): </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 xml:space="preserve">1. Визитная карточка. Сайт является простым представлением (презентацией) бизнеса. </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 xml:space="preserve">2.Web-витрина. Как правило, содержит основную информацию о различных предлагаемых направлениях. </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3. Система «туроператор-турагент». Такой сайт в основном ориентирован на турагентсва, которые могут бронировать тур онлайн и другие функции.</w:t>
      </w:r>
    </w:p>
    <w:p w:rsidR="00517711" w:rsidRDefault="00517711">
      <w:pPr>
        <w:spacing w:line="240" w:lineRule="auto"/>
        <w:ind w:firstLine="709"/>
        <w:contextualSpacing/>
        <w:jc w:val="both"/>
        <w:rPr>
          <w:rFonts w:ascii="Times New Roman" w:hAnsi="Times New Roman"/>
          <w:sz w:val="20"/>
          <w:szCs w:val="24"/>
        </w:rPr>
      </w:pPr>
    </w:p>
    <w:p w:rsidR="00517711" w:rsidRDefault="00F815BE">
      <w:pPr>
        <w:spacing w:line="240" w:lineRule="auto"/>
        <w:ind w:firstLine="709"/>
        <w:contextualSpacing/>
        <w:jc w:val="center"/>
        <w:rPr>
          <w:rFonts w:ascii="Times New Roman" w:hAnsi="Times New Roman"/>
          <w:sz w:val="20"/>
          <w:szCs w:val="24"/>
        </w:rPr>
      </w:pPr>
      <w:r>
        <w:rPr>
          <w:rFonts w:ascii="Times New Roman" w:hAnsi="Times New Roman"/>
          <w:sz w:val="20"/>
          <w:szCs w:val="24"/>
        </w:rPr>
        <w:t>Таблица 1 - Достоинства и недостатки основных видов сайтов туроператоров</w:t>
      </w:r>
    </w:p>
    <w:tbl>
      <w:tblPr>
        <w:tblStyle w:val="af1"/>
        <w:tblW w:w="0" w:type="auto"/>
        <w:jc w:val="right"/>
        <w:tblLook w:val="04A0" w:firstRow="1" w:lastRow="0" w:firstColumn="1" w:lastColumn="0" w:noHBand="0" w:noVBand="1"/>
      </w:tblPr>
      <w:tblGrid>
        <w:gridCol w:w="1951"/>
        <w:gridCol w:w="3260"/>
        <w:gridCol w:w="4360"/>
      </w:tblGrid>
      <w:tr w:rsidR="00517711">
        <w:trPr>
          <w:jc w:val="right"/>
        </w:trPr>
        <w:tc>
          <w:tcPr>
            <w:tcW w:w="1951" w:type="dxa"/>
            <w:vAlign w:val="center"/>
          </w:tcPr>
          <w:p w:rsidR="00517711" w:rsidRDefault="00F815BE">
            <w:pPr>
              <w:pStyle w:val="13"/>
            </w:pPr>
            <w:r>
              <w:t>Вид сайта</w:t>
            </w:r>
          </w:p>
        </w:tc>
        <w:tc>
          <w:tcPr>
            <w:tcW w:w="3260" w:type="dxa"/>
            <w:vAlign w:val="center"/>
          </w:tcPr>
          <w:p w:rsidR="00517711" w:rsidRDefault="00F815BE">
            <w:pPr>
              <w:pStyle w:val="13"/>
            </w:pPr>
            <w:r>
              <w:t>Достоинства</w:t>
            </w:r>
          </w:p>
        </w:tc>
        <w:tc>
          <w:tcPr>
            <w:tcW w:w="4360" w:type="dxa"/>
            <w:vAlign w:val="center"/>
          </w:tcPr>
          <w:p w:rsidR="00517711" w:rsidRDefault="00F815BE">
            <w:pPr>
              <w:pStyle w:val="13"/>
            </w:pPr>
            <w:r>
              <w:t>Недостатки</w:t>
            </w:r>
          </w:p>
        </w:tc>
      </w:tr>
      <w:tr w:rsidR="00517711">
        <w:trPr>
          <w:jc w:val="right"/>
        </w:trPr>
        <w:tc>
          <w:tcPr>
            <w:tcW w:w="1951" w:type="dxa"/>
            <w:vAlign w:val="center"/>
          </w:tcPr>
          <w:p w:rsidR="00517711" w:rsidRDefault="00F815BE">
            <w:pPr>
              <w:pStyle w:val="13"/>
            </w:pPr>
            <w:r>
              <w:t>Визитная карточка</w:t>
            </w:r>
          </w:p>
        </w:tc>
        <w:tc>
          <w:tcPr>
            <w:tcW w:w="3260" w:type="dxa"/>
            <w:vAlign w:val="center"/>
          </w:tcPr>
          <w:p w:rsidR="00517711" w:rsidRDefault="00F815BE">
            <w:pPr>
              <w:pStyle w:val="13"/>
            </w:pPr>
            <w:r>
              <w:t>Простая технология; весьма низкая стоимость создания</w:t>
            </w:r>
          </w:p>
        </w:tc>
        <w:tc>
          <w:tcPr>
            <w:tcW w:w="4360" w:type="dxa"/>
            <w:vAlign w:val="center"/>
          </w:tcPr>
          <w:p w:rsidR="00517711" w:rsidRDefault="00F815BE">
            <w:pPr>
              <w:pStyle w:val="13"/>
            </w:pPr>
            <w:r>
              <w:t>Отсутствие детальной информации о предложениях и турах</w:t>
            </w:r>
          </w:p>
        </w:tc>
      </w:tr>
      <w:tr w:rsidR="00517711">
        <w:trPr>
          <w:jc w:val="right"/>
        </w:trPr>
        <w:tc>
          <w:tcPr>
            <w:tcW w:w="1951" w:type="dxa"/>
            <w:vAlign w:val="center"/>
          </w:tcPr>
          <w:p w:rsidR="00517711" w:rsidRDefault="00F815BE">
            <w:pPr>
              <w:pStyle w:val="13"/>
            </w:pPr>
            <w:r>
              <w:t>Web-витрина</w:t>
            </w:r>
          </w:p>
        </w:tc>
        <w:tc>
          <w:tcPr>
            <w:tcW w:w="3260" w:type="dxa"/>
            <w:vAlign w:val="center"/>
          </w:tcPr>
          <w:p w:rsidR="00517711" w:rsidRDefault="00F815BE">
            <w:pPr>
              <w:pStyle w:val="13"/>
            </w:pPr>
            <w:r>
              <w:t>Содержание подробной информации о конкретных предложениях; Наличие оперативной информации</w:t>
            </w:r>
          </w:p>
        </w:tc>
        <w:tc>
          <w:tcPr>
            <w:tcW w:w="4360" w:type="dxa"/>
            <w:vAlign w:val="center"/>
          </w:tcPr>
          <w:p w:rsidR="00517711" w:rsidRDefault="00F815BE">
            <w:pPr>
              <w:pStyle w:val="13"/>
            </w:pPr>
            <w:r>
              <w:t>Более высокая цена создания; Необходимость регулярного обновления и контроля; Необходимость содержать в штате квалифицированного специалиста</w:t>
            </w:r>
          </w:p>
        </w:tc>
      </w:tr>
      <w:tr w:rsidR="00517711">
        <w:trPr>
          <w:jc w:val="right"/>
        </w:trPr>
        <w:tc>
          <w:tcPr>
            <w:tcW w:w="1951" w:type="dxa"/>
            <w:vAlign w:val="center"/>
          </w:tcPr>
          <w:p w:rsidR="00517711" w:rsidRDefault="00F815BE">
            <w:pPr>
              <w:pStyle w:val="13"/>
            </w:pPr>
            <w:r>
              <w:t>Система «турагент- туроператор»</w:t>
            </w:r>
          </w:p>
        </w:tc>
        <w:tc>
          <w:tcPr>
            <w:tcW w:w="3260" w:type="dxa"/>
            <w:vAlign w:val="center"/>
          </w:tcPr>
          <w:p w:rsidR="00517711" w:rsidRDefault="00F815BE">
            <w:pPr>
              <w:pStyle w:val="13"/>
            </w:pPr>
            <w:r>
              <w:t>Полная автоматизация</w:t>
            </w:r>
          </w:p>
        </w:tc>
        <w:tc>
          <w:tcPr>
            <w:tcW w:w="4360" w:type="dxa"/>
            <w:vAlign w:val="center"/>
          </w:tcPr>
          <w:p w:rsidR="00517711" w:rsidRDefault="00F815BE">
            <w:pPr>
              <w:pStyle w:val="13"/>
            </w:pPr>
            <w:r>
              <w:t>Высокая начальная стоимость разработки сайта</w:t>
            </w:r>
          </w:p>
        </w:tc>
      </w:tr>
    </w:tbl>
    <w:p w:rsidR="00517711" w:rsidRDefault="00517711">
      <w:pPr>
        <w:spacing w:line="240" w:lineRule="auto"/>
        <w:ind w:firstLine="709"/>
        <w:contextualSpacing/>
        <w:jc w:val="both"/>
        <w:rPr>
          <w:rFonts w:ascii="Times New Roman" w:hAnsi="Times New Roman"/>
          <w:sz w:val="20"/>
          <w:szCs w:val="24"/>
        </w:rPr>
      </w:pP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lastRenderedPageBreak/>
        <w:t xml:space="preserve">Для туроператора разумным будет размещение информации, интересующей ее агентов: расписание чартерных рейсов и их изменения, загрузка рейсов и отелей, документы, необходимые для оформления клиента агентом, порядок взаиморасчетов, адреса и телефоны агентов. </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Сайты туристских организаций предоставляют наглядный материал (фотографии туристского комплекса, отелей, номеров, туристских объектов), который напрямую используется для привлечения потенциальных покупателей, клиентов.  Самая важная часть работы по продвижению продукта - сделать рекламу привлекательной для клиента, что достигается специальными приемами оформления информации. При таких возможностях даже небольшая турфирма при правильном проведении рекламной кампании может достичь огромных результатов [1, 3].</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 xml:space="preserve">Чтобы страница была интересна более широкой аудитории, необходимо размещать на ней общую полезную информацию о странах, отелях, советы в дорогу, тогда потенциальные покупатели, зашедшие на нее один раз, захотят вернуться снова или посоветуют другим посмотреть ее [2]. </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На некоторых сетевых ресурсах и сайтах уже реализован механизм онлайн продаж туров и услуг, также как и открыто поле для комментариев и отзывов, что сделано только для одной цели: отслеживать, какие внедренные услуги сработали, а какие нет, что называется обратной связью [5]</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 xml:space="preserve">Существует еще немаловажная проблема, которая требует должного внимания, так как от решения этой проблемы зависит удержание и посещаемость клиентов, покупателей продукта турфирмы. Самая распространенная проблема турфирм – компьютерная неграмотность персонала. Многие сотрудники туристских компаний имеют гуманитарное образование, и им довольно трудно общаются с компьютером, а далеко не все турфирмы могут содержать у себя в штате ИТ-специалистов. При этом помимо насыщенного содержания хороший сайт обязан иметь качественное дизайнерское оформление и техподдержку [2]. </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Сайт - это лицо, визитная карточка турфирмы и функционировать он должен круглосуточно, и если компании этим не занимаются, а также не уделяют должного внимания дизайну сайта и других рекламных страниц по продвижению их турпродукта, то мы сталкиваемся с понятием «мертвый» сайт. Совершение такого рода ошибок сводит на нет все усилия организаторского проекта.</w:t>
      </w:r>
    </w:p>
    <w:p w:rsidR="00517711" w:rsidRDefault="00F815BE">
      <w:pPr>
        <w:spacing w:after="0" w:line="240" w:lineRule="auto"/>
        <w:ind w:firstLine="709"/>
        <w:contextualSpacing/>
        <w:jc w:val="both"/>
        <w:rPr>
          <w:rFonts w:ascii="Times New Roman" w:hAnsi="Times New Roman"/>
          <w:sz w:val="20"/>
          <w:szCs w:val="24"/>
        </w:rPr>
      </w:pPr>
      <w:r>
        <w:rPr>
          <w:rFonts w:ascii="Times New Roman" w:hAnsi="Times New Roman"/>
          <w:sz w:val="20"/>
          <w:szCs w:val="24"/>
        </w:rPr>
        <w:t xml:space="preserve">Значительную эффективность имеет размещение баннеров на особых туристических ресурсах в сети. Баннером чаще всего называется графическое изображение со статичным или динамичным характером. Также на баннере может иметься звук. В большинстве случаев баннер имеет гиперссылку на сайт и прочие свои предложения. Сайты, которые объединяются единой целостной системой размещения баннеров, становятся рекламными сетями. </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Текстовая реклама отличается от баннерной тем, что отображается у всех пользователей. И, конечно, при этом ее загрузка гораздо быстрее, и, соответственно, ее эффективность высока. Гиперссылки размещаются в текстовой структуре сайтов на интернет страницы рекламодателей.</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 xml:space="preserve">Таким образом, начиная строить свой интернет-бизнес, нужно заострить внимание на следующих аспектах: 1) точность той информации, которую вы предоставляете на сайте; 2) раскрутка сайта; 3) поиск нового взаимодействия; 4) дизайн и структура сайта; 5) обеспечение полуавтоматического режима обновления в ходе эксплуатации сайта. </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 xml:space="preserve">Самое большое отличие рекламы в социальных сетях, интернете от обычных СМИ заключается в ее интерактивности. В СМИ назначается конкретное количество публикаций и наступает период ожидания звонков, в то время как в интернете круглосуточно ведется работа по анализу рынка, идут вход новые идеи по решению различных проблем и задач, а тем самым добывается успех. </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 xml:space="preserve">Важно заметить, что в настоящее время реклама и продвижение товаров и услуг в сети Интернет для бизнеса превратилось из простых экспериментов в необходимость. В настоящий момент для многих фирм реклама в сети Интернет стала самым эффективным способом продвижения и привлечения партнеров и клиентов. Это новейшая среда распространения различной важной информации со своей спецификой. Интернет позволяет намного больше повысить степень оперативности и качество связи, снизить затраты на различные коммуникации и командировки, расширить поле деятельности, круг потребителей [3]. </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Таким образом, туризм сегодня – это весьма глобальный информационный и интернет зависимый бизнес. Сегодняшний туристический продукт является более гибким и особенным, более доступным и привлекательным для клиента. Можно с уверенностью сказать, что сеть Интернет предоставляет пользователям ранее неизвестные возможности для продвижения своего туристского продукта [6].</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 xml:space="preserve">Сегодня все больше и больше компаний используют такие методы, как продвижение и реклама продукта через создание собственной страницы в социальных сетях, промо-акции в сети Интернет, почтовая прямая рассылка, PR-технологии, участие в международных выставках в Интернете. О рекламе в Интернете можно говорить как о вполне уже сложившемся средстве формирования имиджа компании. Для продвижения используются основные элементы такие как: Web-сервер, баннеры, электронная почта. </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Таким образом, реклама туризма в Интернете сейчас весьма актуальна и эффективна, важно только выбрать правильную, четкую стратегию и учесть, что реклама в социальных сетях и сети Интернет, как и любая реклама – это комплексная кропотливая, долгая процедура, а не разовая.</w:t>
      </w:r>
    </w:p>
    <w:p w:rsidR="00517711" w:rsidRDefault="00F815BE">
      <w:pPr>
        <w:jc w:val="both"/>
      </w:pPr>
      <w:r>
        <w:rPr>
          <w:noProof/>
          <w:lang w:eastAsia="ru-RU"/>
        </w:rPr>
        <mc:AlternateContent>
          <mc:Choice Requires="wps">
            <w:drawing>
              <wp:anchor distT="0" distB="773094111" distL="114300" distR="114300" simplePos="0" relativeHeight="251724800" behindDoc="0" locked="0" layoutInCell="0" allowOverlap="1">
                <wp:simplePos x="0" y="0"/>
                <wp:positionH relativeFrom="character">
                  <wp:posOffset>438148</wp:posOffset>
                </wp:positionH>
                <wp:positionV relativeFrom="paragraph">
                  <wp:posOffset>65403</wp:posOffset>
                </wp:positionV>
                <wp:extent cx="2567303" cy="0"/>
                <wp:effectExtent l="0" t="0" r="23493" b="19048"/>
                <wp:wrapNone/>
                <wp:docPr id="57" name="Прямая соединительная линия 122"/>
                <wp:cNvGraphicFramePr/>
                <a:graphic xmlns:a="http://schemas.openxmlformats.org/drawingml/2006/main">
                  <a:graphicData uri="http://schemas.microsoft.com/office/word/2010/wordprocessingShape">
                    <wps:wsp>
                      <wps:cNvCnPr/>
                      <wps:spPr bwMode="auto">
                        <a:xfrm>
                          <a:off x="0" y="0"/>
                          <a:ext cx="2567305"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DF27D92" id="Прямая соединительная линия 122" o:spid="_x0000_s1026" style="position:absolute;z-index:251724800;visibility:visible;mso-wrap-style:square;mso-width-percent:0;mso-height-percent:0;mso-wrap-distance-left:9pt;mso-wrap-distance-top:0;mso-wrap-distance-right:9pt;mso-wrap-distance-bottom:21474.83642mm;mso-position-horizontal:absolute;mso-position-horizontal-relative:char;mso-position-vertical:absolute;mso-position-vertical-relative:text;mso-width-percent:0;mso-height-percent:0;mso-width-relative:page;mso-height-relative:page" from="34.5pt,5.15pt" to="236.65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" o:allowincell="f"/>
            </w:pict>
          </mc:Fallback>
        </mc:AlternateContent>
      </w:r>
    </w:p>
    <w:p w:rsidR="00517711" w:rsidRDefault="00F815BE">
      <w:pPr>
        <w:numPr>
          <w:ilvl w:val="0"/>
          <w:numId w:val="70"/>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lastRenderedPageBreak/>
        <w:t>Тимашов Е.П. Адаптация информационных систем и технологий к практике организации различных видов туризма: Материалы международной научно-практической интернет-конференции с международным участием в рамках V фестиваля туризма в г. Белгороде 25-25 сентября 2016 г. – С. 367-371.</w:t>
      </w:r>
    </w:p>
    <w:p w:rsidR="00517711" w:rsidRDefault="00F815BE">
      <w:pPr>
        <w:numPr>
          <w:ilvl w:val="0"/>
          <w:numId w:val="70"/>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Роздольская И.В. Маркетинговые технологии и интенции продвижения продукции организации / И.В.Роздольская, Ю.А.Мозговая, И.С.Болотова, Л.А. Исаенко // Вестник Белгородского университета кооперации экономики и права. – № 6. – 2015. – С.33-34.</w:t>
      </w:r>
    </w:p>
    <w:p w:rsidR="00517711" w:rsidRDefault="00F815BE">
      <w:pPr>
        <w:numPr>
          <w:ilvl w:val="0"/>
          <w:numId w:val="70"/>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Роздольская И.В. Маркетинговые исследования товаров и услуг, учебное пособие для студентов. Товароведение и экспертиза товаров /И.В. Раздольская, Ю.А. Беседина. – Белгород. 2009, 420 с.</w:t>
      </w:r>
    </w:p>
    <w:p w:rsidR="00517711" w:rsidRDefault="00F815BE">
      <w:pPr>
        <w:numPr>
          <w:ilvl w:val="0"/>
          <w:numId w:val="70"/>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Единая туристическая информационная система [Электронный ресурс].-URLhttp://www.etis.ru (дата обращения 01.12.2016)</w:t>
      </w:r>
    </w:p>
    <w:p w:rsidR="00517711" w:rsidRDefault="00F815BE">
      <w:pPr>
        <w:numPr>
          <w:ilvl w:val="0"/>
          <w:numId w:val="70"/>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Роздольская И.В. Маркетинговые исследования на рынке услуг: особенности, методы и практика организации: монография / И.В.Роздольская, Ю.А. Беседина. – Белгородский университет кооперации экономики и права, 2010. – 127 с.</w:t>
      </w:r>
    </w:p>
    <w:p w:rsidR="00517711" w:rsidRDefault="00F815BE">
      <w:pPr>
        <w:numPr>
          <w:ilvl w:val="0"/>
          <w:numId w:val="70"/>
        </w:numPr>
        <w:spacing w:after="0" w:line="240" w:lineRule="auto"/>
        <w:ind w:left="0" w:firstLine="397"/>
        <w:jc w:val="both"/>
      </w:pPr>
      <w:r>
        <w:rPr>
          <w:rFonts w:ascii="Times New Roman" w:hAnsi="Times New Roman" w:cs="Times New Roman"/>
          <w:sz w:val="20"/>
          <w:szCs w:val="20"/>
          <w:lang w:eastAsia="ru-RU"/>
        </w:rPr>
        <w:t>Мозговая Ю.А. Понятие бренда и его влияние на инновационную активность предприятия / Ю.А. Мозговая, Е.Н Семенченко // Вестник Белгородского университета кооперации, экономики и права. 2014. – №1 (49). – С.321-326.</w:t>
      </w:r>
    </w:p>
    <w:p w:rsidR="00517711" w:rsidRDefault="00517711">
      <w:pPr>
        <w:spacing w:after="0" w:line="240" w:lineRule="auto"/>
        <w:jc w:val="both"/>
      </w:pPr>
    </w:p>
    <w:p w:rsidR="00517711" w:rsidRDefault="00F815BE">
      <w:pPr>
        <w:rPr>
          <w:rFonts w:ascii="Times New Roman" w:hAnsi="Times New Roman" w:cs="Times New Roman"/>
          <w:b/>
          <w:sz w:val="20"/>
          <w:szCs w:val="24"/>
        </w:rPr>
      </w:pPr>
      <w:r>
        <w:rPr>
          <w:rFonts w:ascii="Times New Roman" w:hAnsi="Times New Roman" w:cs="Times New Roman"/>
          <w:b/>
          <w:sz w:val="20"/>
          <w:szCs w:val="24"/>
        </w:rPr>
        <w:t>Рубрика: Туристско-экскурсионное обслуживание</w:t>
      </w:r>
    </w:p>
    <w:p w:rsidR="00517711" w:rsidRDefault="00F815BE">
      <w:pPr>
        <w:rPr>
          <w:rFonts w:ascii="Times New Roman" w:hAnsi="Times New Roman" w:cs="Times New Roman"/>
          <w:sz w:val="20"/>
          <w:szCs w:val="24"/>
        </w:rPr>
      </w:pPr>
      <w:r>
        <w:rPr>
          <w:rFonts w:ascii="Times New Roman" w:hAnsi="Times New Roman" w:cs="Times New Roman"/>
          <w:sz w:val="20"/>
          <w:szCs w:val="24"/>
        </w:rPr>
        <w:t>УДК 338.48</w:t>
      </w:r>
    </w:p>
    <w:p w:rsidR="00517711" w:rsidRDefault="00517711">
      <w:pPr>
        <w:rPr>
          <w:rFonts w:ascii="Times New Roman" w:hAnsi="Times New Roman"/>
          <w:sz w:val="24"/>
          <w:szCs w:val="24"/>
        </w:rPr>
      </w:pPr>
    </w:p>
    <w:p w:rsidR="00517711" w:rsidRDefault="00F815BE">
      <w:pPr>
        <w:jc w:val="center"/>
        <w:rPr>
          <w:rFonts w:ascii="Book Antiqua" w:hAnsi="Book Antiqua"/>
          <w:b/>
          <w:sz w:val="26"/>
          <w:szCs w:val="26"/>
        </w:rPr>
      </w:pPr>
      <w:r>
        <w:rPr>
          <w:rFonts w:ascii="Book Antiqua" w:hAnsi="Book Antiqua"/>
          <w:b/>
          <w:sz w:val="26"/>
          <w:szCs w:val="26"/>
        </w:rPr>
        <w:t xml:space="preserve">ВОЗМОЖНОСТИ ВЗАИМОДЕЙСТВИЯ РОССИИ И КИТАЯ В СФЕРЕ ТУРИЗМА </w:t>
      </w:r>
    </w:p>
    <w:p w:rsidR="00517711" w:rsidRDefault="00F815BE">
      <w:pPr>
        <w:spacing w:after="0"/>
        <w:jc w:val="center"/>
        <w:rPr>
          <w:rFonts w:ascii="Arial" w:hAnsi="Arial" w:cs="Arial"/>
          <w:b/>
          <w:sz w:val="24"/>
          <w:szCs w:val="24"/>
        </w:rPr>
      </w:pPr>
      <w:r>
        <w:rPr>
          <w:rFonts w:ascii="Arial" w:hAnsi="Arial" w:cs="Arial"/>
          <w:b/>
          <w:sz w:val="24"/>
          <w:szCs w:val="24"/>
        </w:rPr>
        <w:t>Миллер Виктория Михайловна,</w:t>
      </w:r>
    </w:p>
    <w:p w:rsidR="00517711" w:rsidRDefault="00F815BE">
      <w:pPr>
        <w:spacing w:after="0"/>
        <w:jc w:val="center"/>
        <w:rPr>
          <w:rFonts w:ascii="Arial" w:hAnsi="Arial" w:cs="Arial"/>
          <w:sz w:val="24"/>
          <w:szCs w:val="24"/>
        </w:rPr>
      </w:pPr>
      <w:r>
        <w:rPr>
          <w:rFonts w:ascii="Arial" w:hAnsi="Arial" w:cs="Arial"/>
          <w:sz w:val="24"/>
          <w:szCs w:val="24"/>
        </w:rPr>
        <w:t>бакалавр</w:t>
      </w:r>
    </w:p>
    <w:p w:rsidR="00517711" w:rsidRDefault="00517711">
      <w:pPr>
        <w:spacing w:after="0"/>
        <w:jc w:val="center"/>
        <w:rPr>
          <w:rFonts w:ascii="Times New Roman" w:hAnsi="Times New Roman"/>
          <w:sz w:val="20"/>
          <w:szCs w:val="24"/>
        </w:rPr>
      </w:pPr>
    </w:p>
    <w:p w:rsidR="00517711" w:rsidRPr="00BD6187" w:rsidRDefault="00F815BE">
      <w:pPr>
        <w:spacing w:after="0"/>
        <w:jc w:val="center"/>
        <w:rPr>
          <w:rFonts w:ascii="Times New Roman" w:hAnsi="Times New Roman"/>
          <w:sz w:val="20"/>
          <w:szCs w:val="24"/>
        </w:rPr>
      </w:pPr>
      <w:r>
        <w:rPr>
          <w:rFonts w:ascii="Times New Roman" w:hAnsi="Times New Roman"/>
          <w:sz w:val="20"/>
          <w:szCs w:val="24"/>
          <w:lang w:val="en-US"/>
        </w:rPr>
        <w:t>E</w:t>
      </w:r>
      <w:r w:rsidRPr="00BD6187">
        <w:rPr>
          <w:rFonts w:ascii="Times New Roman" w:hAnsi="Times New Roman"/>
          <w:sz w:val="20"/>
          <w:szCs w:val="24"/>
        </w:rPr>
        <w:t>-</w:t>
      </w:r>
      <w:r>
        <w:rPr>
          <w:rFonts w:ascii="Times New Roman" w:hAnsi="Times New Roman"/>
          <w:sz w:val="20"/>
          <w:szCs w:val="24"/>
          <w:lang w:val="en-US"/>
        </w:rPr>
        <w:t>mail</w:t>
      </w:r>
      <w:r w:rsidRPr="00BD6187">
        <w:rPr>
          <w:rFonts w:ascii="Times New Roman" w:hAnsi="Times New Roman"/>
          <w:sz w:val="20"/>
          <w:szCs w:val="24"/>
        </w:rPr>
        <w:t xml:space="preserve">: </w:t>
      </w:r>
      <w:r>
        <w:rPr>
          <w:rFonts w:ascii="Times New Roman" w:hAnsi="Times New Roman"/>
          <w:sz w:val="20"/>
          <w:szCs w:val="24"/>
          <w:lang w:val="en-US"/>
        </w:rPr>
        <w:t>vika</w:t>
      </w:r>
      <w:r w:rsidRPr="00BD6187">
        <w:rPr>
          <w:rFonts w:ascii="Times New Roman" w:hAnsi="Times New Roman"/>
          <w:sz w:val="20"/>
          <w:szCs w:val="24"/>
        </w:rPr>
        <w:t>2821@</w:t>
      </w:r>
      <w:r>
        <w:rPr>
          <w:rFonts w:ascii="Times New Roman" w:hAnsi="Times New Roman"/>
          <w:sz w:val="20"/>
          <w:szCs w:val="24"/>
          <w:lang w:val="en-US"/>
        </w:rPr>
        <w:t>mail</w:t>
      </w:r>
      <w:r w:rsidRPr="00BD6187">
        <w:rPr>
          <w:rFonts w:ascii="Times New Roman" w:hAnsi="Times New Roman"/>
          <w:sz w:val="20"/>
          <w:szCs w:val="24"/>
        </w:rPr>
        <w:t>.</w:t>
      </w:r>
      <w:r>
        <w:rPr>
          <w:rFonts w:ascii="Times New Roman" w:hAnsi="Times New Roman"/>
          <w:sz w:val="20"/>
          <w:szCs w:val="24"/>
          <w:lang w:val="en-US"/>
        </w:rPr>
        <w:t>ru</w:t>
      </w:r>
      <w:r w:rsidRPr="00BD6187">
        <w:rPr>
          <w:rFonts w:ascii="Times New Roman" w:hAnsi="Times New Roman"/>
          <w:sz w:val="20"/>
          <w:szCs w:val="24"/>
        </w:rPr>
        <w:t xml:space="preserve">; </w:t>
      </w:r>
      <w:r>
        <w:rPr>
          <w:rFonts w:ascii="Times New Roman" w:hAnsi="Times New Roman"/>
          <w:sz w:val="20"/>
          <w:szCs w:val="24"/>
        </w:rPr>
        <w:t>тел</w:t>
      </w:r>
      <w:r w:rsidRPr="00BD6187">
        <w:rPr>
          <w:rFonts w:ascii="Times New Roman" w:hAnsi="Times New Roman"/>
          <w:sz w:val="20"/>
          <w:szCs w:val="24"/>
        </w:rPr>
        <w:t>.: +79084415400</w:t>
      </w:r>
    </w:p>
    <w:p w:rsidR="00517711" w:rsidRDefault="00F815BE">
      <w:pPr>
        <w:spacing w:after="0"/>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517711">
      <w:pPr>
        <w:spacing w:after="0"/>
        <w:jc w:val="center"/>
        <w:rPr>
          <w:rFonts w:ascii="Times New Roman" w:hAnsi="Times New Roman"/>
          <w:i/>
          <w:sz w:val="24"/>
          <w:szCs w:val="24"/>
        </w:rPr>
      </w:pPr>
    </w:p>
    <w:p w:rsidR="00517711" w:rsidRDefault="00F815BE">
      <w:pPr>
        <w:spacing w:after="0"/>
        <w:jc w:val="center"/>
        <w:rPr>
          <w:rFonts w:ascii="Times New Roman" w:hAnsi="Times New Roman"/>
          <w:i/>
          <w:szCs w:val="24"/>
        </w:rPr>
      </w:pPr>
      <w:r>
        <w:rPr>
          <w:rFonts w:ascii="Times New Roman" w:hAnsi="Times New Roman"/>
          <w:i/>
          <w:szCs w:val="24"/>
        </w:rPr>
        <w:t>Владивостокский государственный университет экономики и сервиса</w:t>
      </w:r>
    </w:p>
    <w:p w:rsidR="00517711" w:rsidRDefault="00F815BE">
      <w:pPr>
        <w:spacing w:after="0"/>
        <w:jc w:val="center"/>
        <w:rPr>
          <w:rFonts w:ascii="Times New Roman" w:hAnsi="Times New Roman"/>
          <w:i/>
          <w:szCs w:val="24"/>
        </w:rPr>
      </w:pPr>
      <w:r>
        <w:rPr>
          <w:rFonts w:ascii="Times New Roman" w:hAnsi="Times New Roman"/>
          <w:i/>
          <w:szCs w:val="24"/>
        </w:rPr>
        <w:t>Россия, Владивосток</w:t>
      </w:r>
    </w:p>
    <w:p w:rsidR="00517711" w:rsidRDefault="00517711">
      <w:pPr>
        <w:spacing w:after="0" w:line="240" w:lineRule="auto"/>
        <w:jc w:val="center"/>
        <w:rPr>
          <w:rFonts w:ascii="Times New Roman" w:hAnsi="Times New Roman"/>
          <w:sz w:val="24"/>
          <w:szCs w:val="24"/>
        </w:rPr>
      </w:pPr>
    </w:p>
    <w:p w:rsidR="00517711" w:rsidRDefault="00F815BE">
      <w:pPr>
        <w:spacing w:after="0" w:line="240" w:lineRule="auto"/>
        <w:jc w:val="center"/>
        <w:rPr>
          <w:rFonts w:ascii="Arial" w:hAnsi="Arial" w:cs="Arial"/>
          <w:b/>
          <w:sz w:val="24"/>
          <w:szCs w:val="24"/>
        </w:rPr>
      </w:pPr>
      <w:r>
        <w:rPr>
          <w:rFonts w:ascii="Arial" w:hAnsi="Arial" w:cs="Arial"/>
          <w:b/>
          <w:sz w:val="24"/>
          <w:szCs w:val="24"/>
        </w:rPr>
        <w:t>Шеметова Елена Васильевна,</w:t>
      </w:r>
    </w:p>
    <w:p w:rsidR="00517711" w:rsidRDefault="00F815BE">
      <w:pPr>
        <w:spacing w:after="0" w:line="240" w:lineRule="auto"/>
        <w:jc w:val="center"/>
        <w:rPr>
          <w:rFonts w:ascii="Arial" w:hAnsi="Arial" w:cs="Arial"/>
          <w:sz w:val="24"/>
          <w:szCs w:val="24"/>
        </w:rPr>
      </w:pPr>
      <w:r>
        <w:rPr>
          <w:rFonts w:ascii="Arial" w:hAnsi="Arial" w:cs="Arial"/>
          <w:sz w:val="24"/>
          <w:szCs w:val="24"/>
        </w:rPr>
        <w:t>старший преподаватель, кафедра туризма и экологии</w:t>
      </w:r>
    </w:p>
    <w:p w:rsidR="00517711" w:rsidRDefault="00517711">
      <w:pPr>
        <w:spacing w:after="0" w:line="240" w:lineRule="auto"/>
        <w:jc w:val="center"/>
        <w:rPr>
          <w:rFonts w:ascii="Times New Roman" w:hAnsi="Times New Roman"/>
          <w:sz w:val="24"/>
          <w:szCs w:val="24"/>
        </w:rPr>
      </w:pPr>
    </w:p>
    <w:p w:rsidR="00517711" w:rsidRDefault="00F815BE">
      <w:pPr>
        <w:spacing w:after="0" w:line="240" w:lineRule="auto"/>
        <w:jc w:val="center"/>
        <w:rPr>
          <w:rFonts w:ascii="Times New Roman" w:hAnsi="Times New Roman"/>
          <w:sz w:val="20"/>
          <w:szCs w:val="24"/>
          <w:lang w:val="en-US"/>
        </w:rPr>
      </w:pPr>
      <w:r>
        <w:rPr>
          <w:rFonts w:ascii="Times New Roman" w:hAnsi="Times New Roman"/>
          <w:sz w:val="20"/>
          <w:szCs w:val="24"/>
          <w:lang w:val="en-US"/>
        </w:rPr>
        <w:t>E-mail: elena.shemetova@vvsu.ru</w:t>
      </w:r>
    </w:p>
    <w:p w:rsidR="00517711" w:rsidRDefault="00517711">
      <w:pPr>
        <w:spacing w:after="0"/>
        <w:jc w:val="center"/>
        <w:rPr>
          <w:rFonts w:ascii="Times New Roman" w:hAnsi="Times New Roman"/>
          <w:sz w:val="24"/>
          <w:szCs w:val="24"/>
          <w:lang w:val="en-US"/>
        </w:rPr>
      </w:pPr>
    </w:p>
    <w:p w:rsidR="00517711" w:rsidRDefault="00F815BE">
      <w:pPr>
        <w:spacing w:after="0" w:line="240" w:lineRule="auto"/>
        <w:jc w:val="both"/>
        <w:rPr>
          <w:rFonts w:ascii="Times New Roman" w:hAnsi="Times New Roman"/>
          <w:i/>
          <w:szCs w:val="24"/>
        </w:rPr>
      </w:pPr>
      <w:r>
        <w:rPr>
          <w:rFonts w:ascii="Times New Roman" w:hAnsi="Times New Roman"/>
          <w:i/>
          <w:sz w:val="24"/>
          <w:szCs w:val="24"/>
          <w:lang w:val="en-US"/>
        </w:rPr>
        <w:tab/>
      </w:r>
      <w:r>
        <w:rPr>
          <w:rFonts w:ascii="Times New Roman" w:hAnsi="Times New Roman"/>
          <w:i/>
          <w:szCs w:val="24"/>
        </w:rPr>
        <w:t>Актуальность взаимодействия России, Китая в туризме: при увеличении потоков туристов возрастёт экономика, статус, международный потенциал стран.</w:t>
      </w:r>
    </w:p>
    <w:p w:rsidR="00517711" w:rsidRDefault="00F815BE">
      <w:pPr>
        <w:spacing w:after="0" w:line="240" w:lineRule="auto"/>
        <w:jc w:val="both"/>
        <w:rPr>
          <w:rFonts w:ascii="Times New Roman" w:hAnsi="Times New Roman"/>
          <w:i/>
          <w:szCs w:val="24"/>
        </w:rPr>
      </w:pPr>
      <w:r>
        <w:rPr>
          <w:rFonts w:ascii="Times New Roman" w:hAnsi="Times New Roman"/>
          <w:i/>
          <w:szCs w:val="24"/>
        </w:rPr>
        <w:tab/>
        <w:t>Главная цель: привлечение российских туристов в Китай, китайских туристов в Россию.</w:t>
      </w:r>
    </w:p>
    <w:p w:rsidR="00517711" w:rsidRDefault="00F815BE">
      <w:pPr>
        <w:spacing w:after="0" w:line="240" w:lineRule="auto"/>
        <w:jc w:val="both"/>
        <w:rPr>
          <w:rFonts w:ascii="Times New Roman" w:hAnsi="Times New Roman"/>
          <w:i/>
          <w:szCs w:val="24"/>
        </w:rPr>
      </w:pPr>
      <w:r>
        <w:rPr>
          <w:rFonts w:ascii="Times New Roman" w:hAnsi="Times New Roman"/>
          <w:i/>
          <w:szCs w:val="24"/>
        </w:rPr>
        <w:tab/>
        <w:t>В России проблемы для иностранных туристов: плохая осведомлённость о туристических объектах, невозможность добраться к ним. Задачи: научиться использовать рекламу, наладить транспортную сеть.</w:t>
      </w:r>
    </w:p>
    <w:p w:rsidR="00517711" w:rsidRDefault="00F815BE">
      <w:pPr>
        <w:spacing w:after="0" w:line="240" w:lineRule="auto"/>
        <w:ind w:firstLine="709"/>
        <w:jc w:val="both"/>
        <w:rPr>
          <w:rFonts w:ascii="Times New Roman" w:hAnsi="Times New Roman"/>
          <w:i/>
          <w:szCs w:val="24"/>
        </w:rPr>
      </w:pPr>
      <w:r>
        <w:rPr>
          <w:rFonts w:ascii="Times New Roman" w:hAnsi="Times New Roman"/>
          <w:b/>
          <w:i/>
          <w:szCs w:val="24"/>
        </w:rPr>
        <w:t xml:space="preserve">Ключевые слова и словосочетания: </w:t>
      </w:r>
      <w:r>
        <w:rPr>
          <w:rFonts w:ascii="Times New Roman" w:hAnsi="Times New Roman"/>
          <w:i/>
          <w:szCs w:val="24"/>
        </w:rPr>
        <w:t>взаимодействие России и Китая, международный туризм, въездной и выездной туризм.</w:t>
      </w:r>
    </w:p>
    <w:p w:rsidR="00517711" w:rsidRDefault="00F815BE">
      <w:pPr>
        <w:jc w:val="both"/>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p>
    <w:p w:rsidR="00517711" w:rsidRDefault="00F815BE">
      <w:pPr>
        <w:jc w:val="center"/>
        <w:rPr>
          <w:rFonts w:ascii="Book Antiqua" w:hAnsi="Book Antiqua"/>
          <w:b/>
          <w:sz w:val="26"/>
          <w:szCs w:val="26"/>
          <w:lang w:val="en-US"/>
        </w:rPr>
      </w:pPr>
      <w:r>
        <w:rPr>
          <w:rFonts w:ascii="Book Antiqua" w:hAnsi="Book Antiqua"/>
          <w:b/>
          <w:sz w:val="26"/>
          <w:szCs w:val="26"/>
          <w:lang w:val="en-US"/>
        </w:rPr>
        <w:t>OPPORTUNITIES FOR RUSSIA-CHINA INTERACTION IN TOURISM</w:t>
      </w:r>
    </w:p>
    <w:p w:rsidR="00517711" w:rsidRDefault="00F815BE">
      <w:pPr>
        <w:spacing w:after="0" w:line="240" w:lineRule="auto"/>
        <w:jc w:val="both"/>
        <w:rPr>
          <w:rFonts w:ascii="Times New Roman" w:hAnsi="Times New Roman"/>
          <w:i/>
          <w:szCs w:val="24"/>
          <w:lang w:val="en-US"/>
        </w:rPr>
      </w:pPr>
      <w:r>
        <w:rPr>
          <w:rFonts w:ascii="Times New Roman" w:hAnsi="Times New Roman"/>
          <w:i/>
          <w:sz w:val="24"/>
          <w:szCs w:val="24"/>
          <w:lang w:val="en-US"/>
        </w:rPr>
        <w:tab/>
      </w:r>
      <w:r>
        <w:rPr>
          <w:rFonts w:ascii="Times New Roman" w:hAnsi="Times New Roman"/>
          <w:i/>
          <w:szCs w:val="24"/>
          <w:lang w:val="en-US"/>
        </w:rPr>
        <w:t>The relevance of the interaction of Russia and China in tourism: with increasing flows of tourists, the economy, status, and international potential of countries will increase.</w:t>
      </w:r>
    </w:p>
    <w:p w:rsidR="00517711" w:rsidRDefault="00F815BE">
      <w:pPr>
        <w:spacing w:after="0" w:line="240" w:lineRule="auto"/>
        <w:jc w:val="both"/>
        <w:rPr>
          <w:rFonts w:ascii="Times New Roman" w:hAnsi="Times New Roman"/>
          <w:i/>
          <w:szCs w:val="24"/>
          <w:lang w:val="en-US"/>
        </w:rPr>
      </w:pPr>
      <w:r>
        <w:rPr>
          <w:rFonts w:ascii="Times New Roman" w:hAnsi="Times New Roman"/>
          <w:i/>
          <w:szCs w:val="24"/>
          <w:lang w:val="en-US"/>
        </w:rPr>
        <w:t>The main goal: attracting Russian tourists to China, Chinese tourists to Russia.</w:t>
      </w:r>
    </w:p>
    <w:p w:rsidR="00517711" w:rsidRDefault="00F815BE">
      <w:pPr>
        <w:spacing w:after="0" w:line="240" w:lineRule="auto"/>
        <w:jc w:val="both"/>
        <w:rPr>
          <w:rFonts w:ascii="Times New Roman" w:hAnsi="Times New Roman"/>
          <w:i/>
          <w:szCs w:val="24"/>
          <w:lang w:val="en-US"/>
        </w:rPr>
      </w:pPr>
      <w:r>
        <w:rPr>
          <w:rFonts w:ascii="Times New Roman" w:hAnsi="Times New Roman"/>
          <w:i/>
          <w:szCs w:val="24"/>
          <w:lang w:val="en-US"/>
        </w:rPr>
        <w:t>In Russia, problems for foreign tourists: poor awareness of tourist sites, the inability to reach them. Objectives: to learn how to use advertising, establish a transport network.</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b/>
          <w:i/>
          <w:szCs w:val="24"/>
          <w:lang w:val="en-US"/>
        </w:rPr>
        <w:lastRenderedPageBreak/>
        <w:t>Key words and phrases</w:t>
      </w:r>
      <w:r>
        <w:rPr>
          <w:rFonts w:ascii="Times New Roman" w:hAnsi="Times New Roman"/>
          <w:i/>
          <w:szCs w:val="24"/>
          <w:lang w:val="en-US"/>
        </w:rPr>
        <w:t>: cooperation between Russia and China, international tourism, inbound and outbound tourism.</w:t>
      </w:r>
    </w:p>
    <w:p w:rsidR="00517711" w:rsidRDefault="00517711">
      <w:pPr>
        <w:spacing w:after="0" w:line="240" w:lineRule="auto"/>
        <w:ind w:firstLine="709"/>
        <w:jc w:val="both"/>
        <w:rPr>
          <w:rFonts w:ascii="Times New Roman" w:hAnsi="Times New Roman"/>
          <w:sz w:val="24"/>
          <w:szCs w:val="24"/>
          <w:lang w:val="en-US"/>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Одними из главных факторов во взаимоотношениях Россия и Китая следующие: географические (при сухопутных границах стимулируется приграничное сотрудничество); экономические (повышение уровня жизни в КНР и ослабление экономики России, из-за чего в среднем тур в РФ стоит на порядок дешевле, чем в Европу); политические (укрепление взаимного сотрудничества на политической арене и подписание ряда взаимных соглашений на высшем уровне); рекреационно-туристические потенциал России (богатейшая история, культура и природные ресурсы) и интерес со стороны граждан Китая к нему и др.</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Китай заинтересован в проекте «Шёлковый путь», одна из частей которого проходит по России, исходя из этого Китаю в Россию следует инвестировать.</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Китайские намерения для России остаются непонятны, поэтому отношение к этой державе очень настороженные. Развитие сотрудничества – одна из хороших возможностей для экономики России, но, если наступит экономическая зависимость, то вероятность давления со стороны Китая повысится. Для этого Китаю нужно сделать так, чтобы российская держава поверила в отсутствие императорской амбиции у Китая.</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Китайское правительство стремится к налаживанию тесных взаимоотношений. Западно-российские отношения за последние годы ухудшились, Китай воспользовался данной ситуацией, оказав поддержку России. Для всего мира Китай показывает себя мирным государством, не вмешиваясь в конфликтные дела государств.</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Таким образом, Китай видит Россию как партнера, с которым можно выстраивать двусторонние отношения. Россия старается понять китайскую культуру, с каждым годом все больше студентов выбирают к изучению китайский язык, также Россия стремится перенять опыт Китая в сфере развития технологий и роста экономики[1].</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Что касается непосредственно туризма.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Взаимодействие между РФ и КНР в области туризма во многом носит стратегический характер. В то время как китайские туристы стали более состоятельными и все чаще приезжают в Россию не только в целях культурно-познавательного туризма, но и в целях шопинга, поток туристов из России в Китай падает. Являясь лидером въездного туризма в РФ, Китай продолжает увеличивать количество посещений нашей страны из года в год. Опираясь на наиболее свежие данные, предоставленные российской туристической ассоциацией «Мир без границ», можно предположить дальнейшее развитие событий. Наибольшую популярность среди китайцев на сегодняшний день имеют безвизовые поездки в рамках туристических групп: «Россию за 11 месяцев 2017 года в составе безвизовых групп посетили около 530 тыс. жителей Китая, что на 89% превысило показатели аналогичного периода прошлого года». Такой рост потока китайских туристов обусловлен несколькими факторами. Во-первых, это упрощение формальностей с российской стороны. Введенный в начале 2000-х годов и действующий по сей день безвизовый режим оказывает положительное влияние на увеличение потока туристов из Китая в нашу страну. По данным российской туристической организации «Мир без границ», количество безвизовых туристов из Китая в 2017 г. выросло на 87 %. Наряду с Москвой и Петербургом, не меньшей популярностью пользуется и Приморский край. По итогам 2017 г. Приморский край по безвизовому режиму посетило 120 тысяч китайских туристов, что практически вдвое превысило аналогичный показатель 2016 г. Не менее привлекательным для китайских туристов является и Амурский регион, количество безвизовых посещений в который с 2016 по 2017 г. выросло с 47 до 67 тысяч человек.</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Второй причиной для такого стремительного роста въездного потока китайцев в РФ и одновременно - уменьшения численности потока из России в Китай стал курс валют. Падение рубля увеличило финансовые возможности китайцев в России, и сегодня китайский турист едет в Москву не только за достопримечательностями, но и за недорогими, относительно Китая, брендовыми товарами (одежда, обувь, часы). За последние три года российский рубль упал вдвое по отношению к китайскому юаню, что значительно увеличило интерес китайцев к путешествию в Россию.</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Третий и наиболее значимый фактор увеличения численности потока туристов из Китая в нашу страну - создание в России благоприятной среды для пребывающих здесь китайских туристов. Сегодня все больше и больше гостиниц и ресторанов России присоединяются к программе «China Friendly», являющейся важнейшим проектом РФ по созданию комфортной среды для китайцев. Китайский турист - целевое направление развития российской индустрии туризма, и все туристические объекты страны сегодня стараются снабжать китайскоязычными указателями и гидами, служащими, говорящими на китайском языке и т.д. «Сейчас туристы из Китая у нас на первой строке, нас это очень радует. Мы будем делать все, чтобы китайским туристам было комфортно, удобно, недорого посещать нашу страну» - заявил глава Ростуризма О.Сафонов[2].</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Современный Китай – это не только самая густонаселенная, но и самая путешествующая страна мира. При этом темпы роста выезда за рубеж из КНР очень высоки. По данным статистики, динамика выездного турпотока из Китая за последние годы составляет +20% в год. Это связано с общими экономическими и политическими факторами, среди которых повышение доходов населения КНР, благоприятные изменения внутренней политики по выезду за рубеж, рост стоимости китайской валюты, визовая политика зарубежных стран и регионов, увеличение числа международных рейсов из Китая [4].</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Важно заметить, что жители Китая не только много путешествуют, но и занимают лидирующие строки по расходам в зарубежных поездках. По данным Всемирной федерации туристических городов, каждый </w:t>
      </w:r>
      <w:r>
        <w:rPr>
          <w:rFonts w:ascii="Times New Roman" w:hAnsi="Times New Roman" w:cs="Times New Roman"/>
          <w:sz w:val="20"/>
          <w:szCs w:val="20"/>
        </w:rPr>
        <w:lastRenderedPageBreak/>
        <w:t xml:space="preserve">китайский турист тратит на поездку в среднем около 20 тысяч юаней, из которых 57,8% уходят на шоппинг. Второе место в рейтинге трат китайских туристов - расходы на рестораны, затем – на проживание и развлечения.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Представителям турбизнеса по всему миру следует быть готовыми к приему большого количества китайских туристов, создавать соответствующие условия, изучать специфику китайских потребностей.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В свою очередь и Китай готов принимать все возрастающее количество туристов из других стран. Индустрия туризма Китая способна удовлетворить самые разнообразные запросы посетителей. Курс на интеграцию в мировой рынок при активной роли государства позволил КНР возглавить список азиатских стран по туристическим прибытиям.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Большой популярностью у китайских туристов пользуется центральная часть России и приграничный регион к Китаю. Однако далеко не вся Россия «изведана» туристами КНР. Это происходит из-за их плохой информированности о туристском потенциале нашей страны[5].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Российская сторона готова предложить китайским туристам множество интересных маршрутов и проектов по культурно-познавательному, оздоровительному, экологическому и другим видам туризма. Кроме Москвы и Санкт-Петербурга, в России много других мест, например – озеро Байкал, Республика Алтай и др.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На сегодняшний день маршрутная сеть авиасообщения между Россией и Китаем достаточно разветвленная, она соединяет двенадцать городов России, десять населенных пунктов Китая по тридцати двум направлениям. Десять российских и четыре китайские авиакомпании осуществляют воздушные перевозки пассажиров между нашими странами.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Возможность путешествовать без визы между Россией и Китаем появилась с 2000 года, когда было подписано межправительственное соглашение о безвизовых групповых туристических поездках. Работать эта система начала позже, но до сих пор она уникальна и не имеет аналогов с другими странами[6].</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Исходя из всего изложенного выше, можно сделать вывод о том, что китайские туристы могут стать потенциальной движущей силой возрождающейся туристической отрасли России. В данной связи представляется целесообразным планирование специальных проектов, ориентированных на формирование российских предприятий туристской отрасли (гостиниц, музеев, туристических компаний, ресторанов, торговых центров и т.д.) в соответствии с основными запросами туристов из КНР. Подобные проекты должны стать особенно важными в силу разницы российской и азиатской культур, значительного языкового барьера для расширения информирования граждан КНР об объектах туристской инфраструктуры на территории России.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При этом в рамках планирования проектов по привлечению китайских туристов стоит руководствоваться следующими принципами: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 Постоянный мониторинг потребностей туристического рынка Китая;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 Понимание национальных особенностей китайских граждан. Организация обучения российских профессиональных кадров в сфере туризма;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 Прием китайских туристов на самом высоком уровне. Профессионализм и безупречный сервис;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 Обеспечение безопасности и страхования туристов;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 Ориентир на инновации в туризме;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Укрепление дружественных отношений между народами России и КНР.</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Подводя итог возможностям взаимодействия России и Китая в сфере туризма, необходимо отметить следующие основные моменты:</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во-первых, международный туризм в российско-китайских отношениях получил в последние годы новый импульс для развития, о чем свидетельствует активизация межгосударственных и межрегиональных взаимодействий в туристской сфере между странами. Подтверждением этого является принятие решения на межгосударственном уровне о проведении в 2012 г. «Года российского туризма в Китае» и «Года китайского туризма в России» в 2013 г.;</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во-вторых, спад в развитии международного туризма продлился недолго и с2010 г. было отмечено активное восстановление туристских прибытий и доходов в обеих странах, а также туристских обменов между Россией и Китаем, что является положительной тенденцией;</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в-третьих, межрегиональные взаимодействия в туристской сфере в приграничной зоне России и Китая быстрее и существеннее реагируют на институциональные изменения, что прослеживается в реакции динамики туристских потоков и структуры поездок на принятие межгосударственных соглашений и законодательных актов в обеих странах;</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в-четвертых, развитие туристских миграций между странами свидетельствует о повышении мобильности граждан обеих стран, которая способствует увеличению межкультурных контактов, лучшему взаимопониманию народов и взаимопроникновению культур, а также более толерантному отношению народов друг к другу;</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в-пятых, наличие взаимной заинтересованности в развитии туризма между странами, создание конкретных перспективных межгосударственных маршрутов, поддерживаемых руководством стран, будут и в дальнейшем определять развитие взаимного туризма между странами.</w:t>
      </w:r>
    </w:p>
    <w:p w:rsidR="00517711" w:rsidRDefault="00F815BE">
      <w:pPr>
        <w:spacing w:after="0" w:line="240" w:lineRule="auto"/>
        <w:ind w:firstLine="709"/>
        <w:jc w:val="right"/>
        <w:rPr>
          <w:rFonts w:ascii="Times New Roman" w:hAnsi="Times New Roman" w:cs="Times New Roman"/>
          <w:i/>
          <w:sz w:val="20"/>
          <w:szCs w:val="20"/>
        </w:rPr>
      </w:pPr>
      <w:r>
        <w:rPr>
          <w:rFonts w:ascii="Times New Roman" w:hAnsi="Times New Roman" w:cs="Times New Roman"/>
          <w:i/>
          <w:sz w:val="20"/>
          <w:szCs w:val="20"/>
        </w:rPr>
        <w:t>Таблица 1</w:t>
      </w:r>
    </w:p>
    <w:p w:rsidR="00517711" w:rsidRDefault="00F815BE">
      <w:pPr>
        <w:spacing w:after="0" w:line="240" w:lineRule="auto"/>
        <w:ind w:firstLine="709"/>
        <w:jc w:val="center"/>
        <w:rPr>
          <w:rFonts w:ascii="Times New Roman" w:hAnsi="Times New Roman" w:cs="Times New Roman"/>
          <w:b/>
          <w:sz w:val="20"/>
          <w:szCs w:val="20"/>
        </w:rPr>
      </w:pPr>
      <w:r>
        <w:rPr>
          <w:rFonts w:ascii="Times New Roman" w:hAnsi="Times New Roman" w:cs="Times New Roman"/>
          <w:b/>
          <w:sz w:val="20"/>
          <w:szCs w:val="20"/>
        </w:rPr>
        <w:t>Популярные объекты и турфирмы, предлагающие на них туры</w:t>
      </w:r>
    </w:p>
    <w:p w:rsidR="00517711" w:rsidRDefault="00517711">
      <w:pPr>
        <w:spacing w:after="0" w:line="240" w:lineRule="auto"/>
        <w:ind w:firstLine="709"/>
        <w:jc w:val="center"/>
        <w:rPr>
          <w:rFonts w:ascii="Times New Roman" w:hAnsi="Times New Roman" w:cs="Times New Roman"/>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0"/>
        <w:gridCol w:w="1766"/>
        <w:gridCol w:w="1803"/>
        <w:gridCol w:w="1738"/>
        <w:gridCol w:w="1660"/>
        <w:gridCol w:w="1417"/>
      </w:tblGrid>
      <w:tr w:rsidR="00517711">
        <w:tc>
          <w:tcPr>
            <w:tcW w:w="1642" w:type="dxa"/>
          </w:tcPr>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Популярные </w:t>
            </w:r>
            <w:r>
              <w:rPr>
                <w:rFonts w:ascii="Times New Roman" w:hAnsi="Times New Roman" w:cs="Times New Roman"/>
                <w:sz w:val="20"/>
                <w:szCs w:val="20"/>
              </w:rPr>
              <w:lastRenderedPageBreak/>
              <w:t>объекты КНР</w:t>
            </w:r>
          </w:p>
        </w:tc>
        <w:tc>
          <w:tcPr>
            <w:tcW w:w="1642" w:type="dxa"/>
          </w:tcPr>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lastRenderedPageBreak/>
              <w:t xml:space="preserve">Фирмы КНР, </w:t>
            </w:r>
            <w:r>
              <w:rPr>
                <w:rFonts w:ascii="Times New Roman" w:hAnsi="Times New Roman" w:cs="Times New Roman"/>
                <w:sz w:val="20"/>
                <w:szCs w:val="20"/>
              </w:rPr>
              <w:lastRenderedPageBreak/>
              <w:t>предлагающие туры на объекты</w:t>
            </w:r>
          </w:p>
        </w:tc>
        <w:tc>
          <w:tcPr>
            <w:tcW w:w="1642" w:type="dxa"/>
          </w:tcPr>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lastRenderedPageBreak/>
              <w:t xml:space="preserve">Популярные </w:t>
            </w:r>
            <w:r>
              <w:rPr>
                <w:rFonts w:ascii="Times New Roman" w:hAnsi="Times New Roman" w:cs="Times New Roman"/>
                <w:sz w:val="20"/>
                <w:szCs w:val="20"/>
              </w:rPr>
              <w:lastRenderedPageBreak/>
              <w:t>объекты Приморского края</w:t>
            </w:r>
          </w:p>
        </w:tc>
        <w:tc>
          <w:tcPr>
            <w:tcW w:w="1642" w:type="dxa"/>
          </w:tcPr>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lastRenderedPageBreak/>
              <w:t xml:space="preserve">Фирмы </w:t>
            </w:r>
            <w:r>
              <w:rPr>
                <w:rFonts w:ascii="Times New Roman" w:hAnsi="Times New Roman" w:cs="Times New Roman"/>
                <w:sz w:val="20"/>
                <w:szCs w:val="20"/>
              </w:rPr>
              <w:lastRenderedPageBreak/>
              <w:t>Приморского края, предлагающие туры на объекты</w:t>
            </w:r>
          </w:p>
        </w:tc>
        <w:tc>
          <w:tcPr>
            <w:tcW w:w="1643" w:type="dxa"/>
          </w:tcPr>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lastRenderedPageBreak/>
              <w:t xml:space="preserve">Популярные </w:t>
            </w:r>
            <w:r>
              <w:rPr>
                <w:rFonts w:ascii="Times New Roman" w:hAnsi="Times New Roman" w:cs="Times New Roman"/>
                <w:sz w:val="20"/>
                <w:szCs w:val="20"/>
              </w:rPr>
              <w:lastRenderedPageBreak/>
              <w:t>объекты России</w:t>
            </w:r>
          </w:p>
        </w:tc>
        <w:tc>
          <w:tcPr>
            <w:tcW w:w="1643" w:type="dxa"/>
          </w:tcPr>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lastRenderedPageBreak/>
              <w:t xml:space="preserve">Фирмы </w:t>
            </w:r>
            <w:r>
              <w:rPr>
                <w:rFonts w:ascii="Times New Roman" w:hAnsi="Times New Roman" w:cs="Times New Roman"/>
                <w:sz w:val="20"/>
                <w:szCs w:val="20"/>
              </w:rPr>
              <w:lastRenderedPageBreak/>
              <w:t>России, предлагающие туры на объекты</w:t>
            </w:r>
          </w:p>
        </w:tc>
      </w:tr>
      <w:tr w:rsidR="00517711">
        <w:tc>
          <w:tcPr>
            <w:tcW w:w="1642" w:type="dxa"/>
          </w:tcPr>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lastRenderedPageBreak/>
              <w:t>1.Великая Китайская стена.</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2.Пещеры десяти тысяч Будд.</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3.Южная часть острова Хайнань.</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4.Карстовая пещера «Тростниковой флейты».</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5.Каменный лес.</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6.Монастырь Шаолинь.</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7.Запретный город.</w:t>
            </w:r>
          </w:p>
        </w:tc>
        <w:tc>
          <w:tcPr>
            <w:tcW w:w="1642" w:type="dxa"/>
          </w:tcPr>
          <w:p w:rsidR="00517711" w:rsidRDefault="00F815BE">
            <w:pPr>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1.</w:t>
            </w:r>
            <w:r>
              <w:rPr>
                <w:rFonts w:ascii="Times New Roman" w:hAnsi="Times New Roman" w:cs="Times New Roman"/>
                <w:sz w:val="20"/>
                <w:szCs w:val="20"/>
              </w:rPr>
              <w:t>Чайна</w:t>
            </w:r>
            <w:r>
              <w:rPr>
                <w:rFonts w:ascii="Times New Roman" w:hAnsi="Times New Roman" w:cs="Times New Roman"/>
                <w:sz w:val="20"/>
                <w:szCs w:val="20"/>
                <w:lang w:val="en-US"/>
              </w:rPr>
              <w:t xml:space="preserve"> </w:t>
            </w:r>
            <w:r>
              <w:rPr>
                <w:rFonts w:ascii="Times New Roman" w:hAnsi="Times New Roman" w:cs="Times New Roman"/>
                <w:sz w:val="20"/>
                <w:szCs w:val="20"/>
              </w:rPr>
              <w:t>Хайлайтс</w:t>
            </w:r>
          </w:p>
          <w:p w:rsidR="00517711" w:rsidRDefault="00F815BE">
            <w:pPr>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2.CHINA INTERNATIONAL TRAVEL SERVICES</w:t>
            </w:r>
          </w:p>
          <w:p w:rsidR="00517711" w:rsidRDefault="00F815BE">
            <w:pPr>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3.CHINA TRAVEL SERVICE HEAD OFFICE</w:t>
            </w:r>
          </w:p>
          <w:p w:rsidR="00517711" w:rsidRDefault="00F815BE">
            <w:pPr>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3. GUANGDONG CITS CO,LTD</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4.SHANTOU TOURIST GENERAL CORP</w:t>
            </w:r>
          </w:p>
          <w:p w:rsidR="00517711" w:rsidRDefault="00517711">
            <w:pPr>
              <w:spacing w:after="0" w:line="240" w:lineRule="auto"/>
              <w:jc w:val="both"/>
              <w:rPr>
                <w:rFonts w:ascii="Times New Roman" w:hAnsi="Times New Roman" w:cs="Times New Roman"/>
                <w:sz w:val="20"/>
                <w:szCs w:val="20"/>
                <w:lang w:val="en-US"/>
              </w:rPr>
            </w:pPr>
          </w:p>
        </w:tc>
        <w:tc>
          <w:tcPr>
            <w:tcW w:w="1642" w:type="dxa"/>
          </w:tcPr>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1.Вантовые мосты во Владивостоке.</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2.Ворошиловская батарея во Владивостоке</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3.Маяк «Токаревская кошка».</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4.Покровский кафедральный собор Владивостока.</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5.Государственный природный заповедник «Кедровая падь».</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6.Сихотэ-Алинский природный биосферный заповедник.</w:t>
            </w:r>
          </w:p>
          <w:p w:rsidR="00517711" w:rsidRDefault="00517711">
            <w:pPr>
              <w:spacing w:after="0" w:line="240" w:lineRule="auto"/>
              <w:jc w:val="both"/>
              <w:rPr>
                <w:rFonts w:ascii="Times New Roman" w:hAnsi="Times New Roman" w:cs="Times New Roman"/>
                <w:sz w:val="20"/>
                <w:szCs w:val="20"/>
              </w:rPr>
            </w:pPr>
          </w:p>
        </w:tc>
        <w:tc>
          <w:tcPr>
            <w:tcW w:w="1642" w:type="dxa"/>
          </w:tcPr>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1.Новый век</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2.Комета</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3.Восток Интур</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4.Мирабель Тур</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5.Пять звёзд</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6.Путешественник</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7.Хорус</w:t>
            </w:r>
          </w:p>
        </w:tc>
        <w:tc>
          <w:tcPr>
            <w:tcW w:w="1643" w:type="dxa"/>
          </w:tcPr>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1.Храм Василия Блаженного</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2.Московский Кремль и Красная площадь</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3.Озеро Байкал</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4.Долина гейзеров на Камчатке</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5.Архитектурный ансамбль Кижи</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6.Казанский Кремль</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7.Золотое кольцо России</w:t>
            </w:r>
          </w:p>
        </w:tc>
        <w:tc>
          <w:tcPr>
            <w:tcW w:w="1643" w:type="dxa"/>
          </w:tcPr>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1. Алеан</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2.</w:t>
            </w:r>
            <w:r>
              <w:rPr>
                <w:rFonts w:ascii="Times New Roman" w:hAnsi="Times New Roman" w:cs="Times New Roman"/>
                <w:sz w:val="20"/>
                <w:szCs w:val="20"/>
                <w:lang w:val="en-US"/>
              </w:rPr>
              <w:t>Coral</w:t>
            </w:r>
            <w:r>
              <w:rPr>
                <w:rFonts w:ascii="Times New Roman" w:hAnsi="Times New Roman" w:cs="Times New Roman"/>
                <w:sz w:val="20"/>
                <w:szCs w:val="20"/>
              </w:rPr>
              <w:t xml:space="preserve"> </w:t>
            </w:r>
            <w:r>
              <w:rPr>
                <w:rFonts w:ascii="Times New Roman" w:hAnsi="Times New Roman" w:cs="Times New Roman"/>
                <w:sz w:val="20"/>
                <w:szCs w:val="20"/>
                <w:lang w:val="en-US"/>
              </w:rPr>
              <w:t>Travel</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3. ФориТур Приморье</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4. Орион</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5. Мир</w:t>
            </w:r>
          </w:p>
        </w:tc>
      </w:tr>
    </w:tbl>
    <w:p w:rsidR="00517711" w:rsidRDefault="00517711">
      <w:pPr>
        <w:spacing w:after="0" w:line="240" w:lineRule="auto"/>
        <w:ind w:firstLine="709"/>
        <w:jc w:val="both"/>
        <w:rPr>
          <w:rFonts w:ascii="Times New Roman" w:hAnsi="Times New Roman" w:cs="Times New Roman"/>
          <w:sz w:val="20"/>
          <w:szCs w:val="20"/>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таблице представлены популярные объекты Китая, Приморского края и всей России, а также турагенства, которые могут их предоставить. Хочется обратить внимание на то, что иностранцы осведомлены только о городе Владивостоке, остальные объекты им практически неизвестны.</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При упоминании о Владивостоке, у китайцев сразу возникают две ассоциации «море» и «армия». Если с «морем» всё понятно, то с «армией» нужно немного разобраться. Если поразмыслить, то во Владивостоке действительно много военно-исторических памятников. Но, приехав во Владивосток, китайцы отодвигают военно-исторические объекты на второй план. Им важны не столько архитектурные памятники, сколько море, пейзаж и владивостокские постройки. Также их радуют дешевые цены и близкое расположение Владивостока относительно Китая. Любят посещать экскурсии по Владивостоку, нравится кухня. Стоит упомянуть о том, что китайцам нравится посещать Владивосток во время важных мероприятий: «Восточный экономический форум», «Тихоокеанская международная туристская выставка </w:t>
      </w:r>
      <w:r>
        <w:rPr>
          <w:rFonts w:ascii="Times New Roman" w:hAnsi="Times New Roman" w:cs="Times New Roman"/>
          <w:sz w:val="20"/>
          <w:szCs w:val="20"/>
          <w:lang w:val="en-US"/>
        </w:rPr>
        <w:t>PITE</w:t>
      </w:r>
      <w:r>
        <w:rPr>
          <w:rFonts w:ascii="Times New Roman" w:hAnsi="Times New Roman" w:cs="Times New Roman"/>
          <w:sz w:val="20"/>
          <w:szCs w:val="20"/>
        </w:rPr>
        <w:t>». И Владивосток – третий по популярности город среди китайцев (после Москвы и Санкт-Петербурга).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Приморье в целом китайскими туристами неизведанно, исключение составляет только комплекс гостиниц, ресторанов и казино «Tigre de Cristal», находящийся в Артёме.</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Туристические выставки и биржи являются одними из главных мероприятий для привлечения туристов на международном уровне. Они – бюджетный вариант для информирования о новейших аспектах экономических, политических, информационных, организационных и коммерческих возможностях туристического рынка.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К ним относятся:</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1) International Tourismus Borse – ежегодная туристическая биржа с огромным масштабом, проводится в Берлине. Для примера можно привести статистику: 5 материков, 186 стран мира, 860 крупных потребителя, 11000 экспонентов, 22000 делегатов, 50000 раз посещена выставка частно, 105000 посетителя-специалиста, 170000 кв. м площади, 6,7 млрд. евро оборота. Данные с 52-й международной туристической биржи, проходившая с седьмого по одиннадцатое марта 2018 г. По традиции длится выставка 5 дней. Привлекает участников продуманность и оснащенность мероприятия[8].</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Россия принимала участие в выставке, её представлял Руководитель Ростуризма Олег Сафонов, был показан национальный стенд.</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Национальный стенд России площадью 102 кв. м стал площадкой для презентации турпродуктов и туристских маршрутов Российской Федерации, уникальных возможностей в части отдыха и путешествий, которыми обладают регионы страны. В частности, те, в которых пройдут матчи мирового футбольного первенства.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Основное внимание со стороны России уделялось FIFA 2018, готовность к качественному проведению чемпионата.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Бонусом от России стали розыгрыши призов с национальной и футбольной тематикой, сэты из национальной кухни.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Китай организовал в прошлом году аналог берлинской биржи - ITB China.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lastRenderedPageBreak/>
        <w:t>Результаты превзошли ожидания. 16500 обговоренные деловые встречи, 14000 посетили выставку, 900 топовых покупателя из Китая, 93% участников достигли своих целей в бизнесе, 95% рекомендаций партнёрам в дальнейшем принятии участия, 89% в ожидании дополнительного развития в бизнесе[9].</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2018 году она будет проводиться три дня. С 16 по 18 мая.</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то время, когда проходит выставка, можно принимать участие в семинарах, круглых столах, конференциях. На выставке представлены различные аспекты туризма: международные федерации туризма, национальные и региональные туристические организации, туристические и транспортные агентства и туроператоры, отели, страховые компании и многое другое. В свою очередь, посетители выставки также представляют собой все многообразие бизнеса, связанного с путешествиями и отдыхом. Это и туроператоры, и клерки турагентств, и гостиничные менеджеры, и издатели специальной литературы по туризму.</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Страны, направление, туроператор, система бронирования, транспортная сеть, гостиницы – часть того, что представляет из себя выставка.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На двух последних днях можно приобрести тур по выгодной цене.</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2) World Travel Market – вторая масштабная биржа, проводимая в Лондоне.</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 FITUR – международная туристская биржа, проводится в Мадриде</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4) BIT – туристская международная биржа, проводится в Милане.</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5) Mitt – московская международная туристическая биржа.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Все остальные четыре международные выставки также имеют крупный масштаб для сближения взаимоотношений между странами.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Таким образом, можно сделать вывод о том, что на всех выставках решаются задачи, направленные на контакт между людьми в туристической сфере, изучение и налаживание связей между странами в туристическом бизнесе. Россия и Китай являются участниками всех выставок. У России есть московская выставка, а по примеру </w:t>
      </w:r>
      <w:r>
        <w:rPr>
          <w:rFonts w:ascii="Times New Roman" w:hAnsi="Times New Roman" w:cs="Times New Roman"/>
          <w:sz w:val="20"/>
          <w:szCs w:val="20"/>
          <w:lang w:val="en-US"/>
        </w:rPr>
        <w:t>ITB</w:t>
      </w:r>
      <w:r>
        <w:rPr>
          <w:rFonts w:ascii="Times New Roman" w:hAnsi="Times New Roman" w:cs="Times New Roman"/>
          <w:sz w:val="20"/>
          <w:szCs w:val="20"/>
        </w:rPr>
        <w:t xml:space="preserve"> Китай организовал свою выставку, что говорит о пользе данного мероприятия.</w:t>
      </w:r>
    </w:p>
    <w:p w:rsidR="00517711" w:rsidRDefault="00517711">
      <w:pPr>
        <w:pBdr>
          <w:bottom w:val="single" w:sz="12" w:space="1" w:color="auto"/>
        </w:pBdr>
        <w:spacing w:after="0" w:line="240" w:lineRule="auto"/>
        <w:ind w:firstLine="709"/>
        <w:jc w:val="both"/>
        <w:rPr>
          <w:rFonts w:ascii="Times New Roman" w:hAnsi="Times New Roman" w:cs="Times New Roman"/>
          <w:sz w:val="20"/>
          <w:szCs w:val="20"/>
        </w:rPr>
      </w:pPr>
    </w:p>
    <w:p w:rsidR="00517711" w:rsidRDefault="00517711">
      <w:pPr>
        <w:spacing w:after="0" w:line="240" w:lineRule="auto"/>
        <w:ind w:firstLine="709"/>
        <w:jc w:val="both"/>
        <w:rPr>
          <w:rFonts w:ascii="Times New Roman" w:hAnsi="Times New Roman" w:cs="Times New Roman"/>
          <w:sz w:val="20"/>
          <w:szCs w:val="20"/>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1. Взаимоотношение России и Китая [Электронный ресурс]. – Режим доступа: http://studbooks.net/1872877/ekonomika/vzaimootnosheniya_rossii_kitaya.</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2. Россия и Китай. Развитие совместного туризма [Электронный ресурс]. – Режим доступа: https://studwood.ru/1021553/turizm/rossiya_kitay_razvitie_sovmestnogo_turizma.</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  Российско-китайские отношения: основные направления сотрудничества в XXI веке [Электронный ресурс]. – Режим доступа: http://csef.ru/ru/politica-i-geopolitica/416/rossijsko-kitajskie-otnosheniya-osnovnye-napravleniya-sotrudnichestva-v-xxi-veke-6190.</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4. </w:t>
      </w:r>
      <w:r>
        <w:rPr>
          <w:rFonts w:ascii="Times New Roman" w:hAnsi="Times New Roman" w:cs="Times New Roman"/>
          <w:sz w:val="20"/>
          <w:szCs w:val="20"/>
        </w:rPr>
        <w:tab/>
        <w:t>Федеральное Агентство по туризму. Статистика о взаимных поездках иностранных граждан в РФ [Электронный ресурс]. – Режим доступа: http://www.russiatourism.ru.</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5.</w:t>
      </w:r>
      <w:r>
        <w:rPr>
          <w:rFonts w:ascii="Times New Roman" w:hAnsi="Times New Roman" w:cs="Times New Roman"/>
          <w:sz w:val="20"/>
          <w:szCs w:val="20"/>
        </w:rPr>
        <w:tab/>
        <w:t>Денисов А.В. Мы и Вы: Истории о Китае и России: учебное пособие / А.В. Денисов. – СПб.: Д.А.Р.К., 2016. – 481 с.</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6. </w:t>
      </w:r>
      <w:r>
        <w:rPr>
          <w:rFonts w:ascii="Times New Roman" w:hAnsi="Times New Roman" w:cs="Times New Roman"/>
          <w:sz w:val="20"/>
          <w:szCs w:val="20"/>
        </w:rPr>
        <w:tab/>
        <w:t>Молодин В.Н. История Китайских границ /В.Н. Молодин, С.А. Комиссаров. – Ростов-на-Дону: Феникс, 2016. – 349 с.</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7.  Интервью китайской газете «Жэньминь Жибао», китайскому журналу «Юный корреспондент Китая» и Центральному телевидению Китая – [Электронный ресурс] – Режим доступа: //http://russian.people.com.cn/31519/2919033.html (Дата обращения 29.11.2017).</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8. О выставке ITB Berlin 2018 [Электронный ресурс]. – Режим доступа: http://itbberlin.ru/pages/turistichesk-vyistavka-itb-berlin-vyistavka-turizma-itb-2018.html.</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9.  ITB China 2018 – 2-я международная выставка туристического рынка Китая [Электронный ресурс] – Режим доступа: https://www.expoclub.ru/db/exhibition/view/itb-china/.</w:t>
      </w:r>
    </w:p>
    <w:p w:rsidR="00517711" w:rsidRDefault="00517711">
      <w:pPr>
        <w:widowControl w:val="0"/>
        <w:spacing w:after="0" w:line="240" w:lineRule="auto"/>
        <w:rPr>
          <w:rFonts w:ascii="Times New Roman" w:hAnsi="Times New Roman"/>
          <w:sz w:val="24"/>
          <w:szCs w:val="28"/>
        </w:rPr>
      </w:pPr>
    </w:p>
    <w:p w:rsidR="00517711" w:rsidRDefault="00F815BE">
      <w:pPr>
        <w:widowControl w:val="0"/>
        <w:spacing w:after="0" w:line="240" w:lineRule="auto"/>
        <w:rPr>
          <w:rFonts w:ascii="Times New Roman" w:hAnsi="Times New Roman"/>
          <w:b/>
          <w:sz w:val="20"/>
          <w:szCs w:val="28"/>
        </w:rPr>
      </w:pPr>
      <w:r>
        <w:rPr>
          <w:rFonts w:ascii="Times New Roman" w:hAnsi="Times New Roman"/>
          <w:b/>
          <w:sz w:val="20"/>
          <w:szCs w:val="28"/>
        </w:rPr>
        <w:t xml:space="preserve">Рубрика: Туризм </w:t>
      </w:r>
    </w:p>
    <w:p w:rsidR="00517711" w:rsidRDefault="00517711">
      <w:pPr>
        <w:widowControl w:val="0"/>
        <w:spacing w:after="0" w:line="240" w:lineRule="auto"/>
        <w:rPr>
          <w:rFonts w:ascii="Times New Roman" w:hAnsi="Times New Roman"/>
          <w:sz w:val="20"/>
          <w:szCs w:val="28"/>
        </w:rPr>
      </w:pPr>
    </w:p>
    <w:p w:rsidR="00517711" w:rsidRDefault="00F815BE">
      <w:pPr>
        <w:widowControl w:val="0"/>
        <w:spacing w:after="0" w:line="240" w:lineRule="auto"/>
        <w:rPr>
          <w:rFonts w:ascii="Times New Roman" w:hAnsi="Times New Roman"/>
          <w:sz w:val="20"/>
          <w:szCs w:val="28"/>
        </w:rPr>
      </w:pPr>
      <w:r>
        <w:rPr>
          <w:rFonts w:ascii="Times New Roman" w:hAnsi="Times New Roman"/>
          <w:sz w:val="20"/>
          <w:szCs w:val="28"/>
        </w:rPr>
        <w:t xml:space="preserve">УДК 338.48 </w:t>
      </w:r>
    </w:p>
    <w:p w:rsidR="00517711" w:rsidRDefault="00517711">
      <w:pPr>
        <w:widowControl w:val="0"/>
        <w:tabs>
          <w:tab w:val="left" w:pos="426"/>
        </w:tabs>
        <w:spacing w:after="0" w:line="240" w:lineRule="auto"/>
        <w:ind w:firstLine="284"/>
        <w:jc w:val="center"/>
        <w:rPr>
          <w:rFonts w:ascii="Times New Roman" w:hAnsi="Times New Roman"/>
          <w:b/>
          <w:sz w:val="28"/>
          <w:szCs w:val="28"/>
        </w:rPr>
      </w:pPr>
    </w:p>
    <w:p w:rsidR="00517711" w:rsidRDefault="00F815BE">
      <w:pPr>
        <w:widowControl w:val="0"/>
        <w:tabs>
          <w:tab w:val="left" w:pos="426"/>
        </w:tabs>
        <w:spacing w:after="0" w:line="240" w:lineRule="auto"/>
        <w:ind w:firstLine="284"/>
        <w:jc w:val="center"/>
        <w:rPr>
          <w:rFonts w:ascii="Book Antiqua" w:hAnsi="Book Antiqua"/>
          <w:b/>
          <w:sz w:val="26"/>
          <w:szCs w:val="26"/>
        </w:rPr>
      </w:pPr>
      <w:r>
        <w:rPr>
          <w:rFonts w:ascii="Book Antiqua" w:hAnsi="Book Antiqua"/>
          <w:b/>
          <w:sz w:val="26"/>
          <w:szCs w:val="26"/>
        </w:rPr>
        <w:t>РАЗВИТИЕ ТРАНСГРАНИЧНЫХ ТУРОВ В РАМКАХ ТУРИСТСКОГО БРЕНДА «ВОСТОЧНОЕ КОЛЬЦО РОССИИ»</w:t>
      </w:r>
    </w:p>
    <w:p w:rsidR="00517711" w:rsidRDefault="00517711">
      <w:pPr>
        <w:widowControl w:val="0"/>
        <w:tabs>
          <w:tab w:val="left" w:pos="426"/>
        </w:tabs>
        <w:spacing w:after="0" w:line="240" w:lineRule="auto"/>
        <w:ind w:firstLine="284"/>
        <w:jc w:val="center"/>
        <w:rPr>
          <w:rFonts w:ascii="Times New Roman" w:hAnsi="Times New Roman"/>
          <w:b/>
          <w:sz w:val="28"/>
          <w:szCs w:val="28"/>
        </w:rPr>
      </w:pPr>
    </w:p>
    <w:p w:rsidR="00517711" w:rsidRDefault="00F815BE">
      <w:pPr>
        <w:widowControl w:val="0"/>
        <w:tabs>
          <w:tab w:val="left" w:pos="426"/>
        </w:tabs>
        <w:spacing w:after="0" w:line="240" w:lineRule="auto"/>
        <w:ind w:firstLine="284"/>
        <w:jc w:val="center"/>
        <w:rPr>
          <w:rFonts w:ascii="Arial" w:hAnsi="Arial" w:cs="Arial"/>
          <w:b/>
          <w:sz w:val="24"/>
          <w:szCs w:val="28"/>
        </w:rPr>
      </w:pPr>
      <w:r>
        <w:rPr>
          <w:rFonts w:ascii="Arial" w:hAnsi="Arial" w:cs="Arial"/>
          <w:b/>
          <w:sz w:val="24"/>
          <w:szCs w:val="28"/>
        </w:rPr>
        <w:t>Фомкин Алексей Юрьевич</w:t>
      </w:r>
    </w:p>
    <w:p w:rsidR="00517711" w:rsidRDefault="00F815BE">
      <w:pPr>
        <w:widowControl w:val="0"/>
        <w:tabs>
          <w:tab w:val="left" w:pos="426"/>
        </w:tabs>
        <w:spacing w:after="0" w:line="240" w:lineRule="auto"/>
        <w:ind w:firstLine="284"/>
        <w:jc w:val="center"/>
        <w:rPr>
          <w:rFonts w:ascii="Times New Roman" w:hAnsi="Times New Roman"/>
          <w:sz w:val="24"/>
          <w:szCs w:val="28"/>
        </w:rPr>
      </w:pPr>
      <w:r>
        <w:rPr>
          <w:rFonts w:ascii="Arial" w:hAnsi="Arial" w:cs="Arial"/>
          <w:sz w:val="24"/>
          <w:szCs w:val="28"/>
        </w:rPr>
        <w:t>магистрант</w:t>
      </w:r>
    </w:p>
    <w:p w:rsidR="00517711" w:rsidRDefault="00517711">
      <w:pPr>
        <w:widowControl w:val="0"/>
        <w:tabs>
          <w:tab w:val="left" w:pos="426"/>
        </w:tabs>
        <w:spacing w:after="0" w:line="240" w:lineRule="auto"/>
        <w:ind w:firstLine="284"/>
        <w:jc w:val="center"/>
        <w:rPr>
          <w:rFonts w:ascii="Times New Roman" w:hAnsi="Times New Roman"/>
          <w:i/>
          <w:sz w:val="24"/>
          <w:szCs w:val="28"/>
        </w:rPr>
      </w:pPr>
    </w:p>
    <w:p w:rsidR="00517711" w:rsidRDefault="00F815BE">
      <w:pPr>
        <w:widowControl w:val="0"/>
        <w:tabs>
          <w:tab w:val="left" w:pos="426"/>
        </w:tabs>
        <w:spacing w:after="0" w:line="240" w:lineRule="auto"/>
        <w:ind w:firstLine="284"/>
        <w:jc w:val="center"/>
        <w:rPr>
          <w:rFonts w:ascii="Times New Roman" w:hAnsi="Times New Roman"/>
          <w:i/>
          <w:szCs w:val="28"/>
        </w:rPr>
      </w:pPr>
      <w:r>
        <w:rPr>
          <w:rFonts w:ascii="Times New Roman" w:hAnsi="Times New Roman"/>
          <w:i/>
          <w:szCs w:val="28"/>
        </w:rPr>
        <w:t xml:space="preserve">Владивостокский государственный университет экономики и сервиса </w:t>
      </w:r>
    </w:p>
    <w:p w:rsidR="00517711" w:rsidRDefault="00F815BE">
      <w:pPr>
        <w:widowControl w:val="0"/>
        <w:tabs>
          <w:tab w:val="left" w:pos="426"/>
        </w:tabs>
        <w:spacing w:after="0" w:line="240" w:lineRule="auto"/>
        <w:ind w:firstLine="284"/>
        <w:jc w:val="center"/>
        <w:rPr>
          <w:rFonts w:ascii="Times New Roman" w:hAnsi="Times New Roman"/>
          <w:i/>
          <w:szCs w:val="28"/>
        </w:rPr>
      </w:pPr>
      <w:r>
        <w:rPr>
          <w:rFonts w:ascii="Times New Roman" w:hAnsi="Times New Roman"/>
          <w:i/>
          <w:szCs w:val="28"/>
        </w:rPr>
        <w:t>Россия. Владивосток</w:t>
      </w:r>
    </w:p>
    <w:p w:rsidR="00517711" w:rsidRDefault="00517711">
      <w:pPr>
        <w:widowControl w:val="0"/>
        <w:tabs>
          <w:tab w:val="left" w:pos="426"/>
        </w:tabs>
        <w:spacing w:after="0" w:line="240" w:lineRule="auto"/>
        <w:ind w:firstLine="284"/>
        <w:jc w:val="center"/>
        <w:rPr>
          <w:rFonts w:ascii="Times New Roman" w:hAnsi="Times New Roman"/>
          <w:sz w:val="24"/>
          <w:szCs w:val="28"/>
        </w:rPr>
      </w:pPr>
    </w:p>
    <w:p w:rsidR="00517711" w:rsidRDefault="00F815BE">
      <w:pPr>
        <w:widowControl w:val="0"/>
        <w:tabs>
          <w:tab w:val="left" w:pos="426"/>
        </w:tabs>
        <w:spacing w:after="0" w:line="240" w:lineRule="auto"/>
        <w:ind w:firstLine="284"/>
        <w:jc w:val="center"/>
        <w:rPr>
          <w:rFonts w:ascii="Times New Roman" w:hAnsi="Times New Roman"/>
          <w:sz w:val="20"/>
          <w:szCs w:val="28"/>
        </w:rPr>
      </w:pPr>
      <w:r>
        <w:rPr>
          <w:rFonts w:ascii="Times New Roman" w:hAnsi="Times New Roman"/>
          <w:sz w:val="20"/>
          <w:szCs w:val="28"/>
          <w:lang w:val="en-US"/>
        </w:rPr>
        <w:t>E</w:t>
      </w:r>
      <w:r>
        <w:rPr>
          <w:rFonts w:ascii="Times New Roman" w:hAnsi="Times New Roman"/>
          <w:sz w:val="20"/>
          <w:szCs w:val="28"/>
        </w:rPr>
        <w:t>-</w:t>
      </w:r>
      <w:r>
        <w:rPr>
          <w:rFonts w:ascii="Times New Roman" w:hAnsi="Times New Roman"/>
          <w:sz w:val="20"/>
          <w:szCs w:val="28"/>
          <w:lang w:val="en-US"/>
        </w:rPr>
        <w:t>mail</w:t>
      </w:r>
      <w:r>
        <w:rPr>
          <w:rFonts w:ascii="Times New Roman" w:hAnsi="Times New Roman"/>
          <w:sz w:val="20"/>
          <w:szCs w:val="28"/>
        </w:rPr>
        <w:t xml:space="preserve">: </w:t>
      </w:r>
      <w:r>
        <w:rPr>
          <w:rFonts w:ascii="Times New Roman" w:hAnsi="Times New Roman"/>
          <w:sz w:val="20"/>
          <w:szCs w:val="28"/>
          <w:lang w:val="en-US"/>
        </w:rPr>
        <w:t>alexey</w:t>
      </w:r>
      <w:r>
        <w:rPr>
          <w:rFonts w:ascii="Times New Roman" w:hAnsi="Times New Roman"/>
          <w:sz w:val="20"/>
          <w:szCs w:val="28"/>
        </w:rPr>
        <w:t>6711@</w:t>
      </w:r>
      <w:r>
        <w:rPr>
          <w:rFonts w:ascii="Times New Roman" w:hAnsi="Times New Roman"/>
          <w:sz w:val="20"/>
          <w:szCs w:val="28"/>
          <w:lang w:val="en-US"/>
        </w:rPr>
        <w:t>gmail</w:t>
      </w:r>
      <w:r>
        <w:rPr>
          <w:rFonts w:ascii="Times New Roman" w:hAnsi="Times New Roman"/>
          <w:sz w:val="20"/>
          <w:szCs w:val="28"/>
        </w:rPr>
        <w:t>.</w:t>
      </w:r>
      <w:r>
        <w:rPr>
          <w:rFonts w:ascii="Times New Roman" w:hAnsi="Times New Roman"/>
          <w:sz w:val="20"/>
          <w:szCs w:val="28"/>
          <w:lang w:val="en-US"/>
        </w:rPr>
        <w:t>com</w:t>
      </w:r>
      <w:r>
        <w:rPr>
          <w:rFonts w:ascii="Times New Roman" w:hAnsi="Times New Roman"/>
          <w:sz w:val="20"/>
          <w:szCs w:val="28"/>
        </w:rPr>
        <w:t>; тел.: +79644455284</w:t>
      </w:r>
    </w:p>
    <w:p w:rsidR="00517711" w:rsidRDefault="00F815BE">
      <w:pPr>
        <w:widowControl w:val="0"/>
        <w:tabs>
          <w:tab w:val="left" w:pos="426"/>
        </w:tabs>
        <w:spacing w:after="0" w:line="240" w:lineRule="auto"/>
        <w:ind w:firstLine="284"/>
        <w:jc w:val="center"/>
        <w:rPr>
          <w:rFonts w:ascii="Times New Roman" w:hAnsi="Times New Roman"/>
          <w:sz w:val="20"/>
          <w:szCs w:val="28"/>
        </w:rPr>
      </w:pPr>
      <w:r>
        <w:rPr>
          <w:rFonts w:ascii="Times New Roman" w:hAnsi="Times New Roman"/>
          <w:sz w:val="20"/>
          <w:szCs w:val="28"/>
        </w:rPr>
        <w:lastRenderedPageBreak/>
        <w:t>ул. Гоголя, 41, г. Владивосток, Приморский край, Россия, 690014</w:t>
      </w:r>
    </w:p>
    <w:p w:rsidR="00517711" w:rsidRDefault="00517711">
      <w:pPr>
        <w:widowControl w:val="0"/>
        <w:tabs>
          <w:tab w:val="left" w:pos="426"/>
        </w:tabs>
        <w:spacing w:after="0" w:line="240" w:lineRule="auto"/>
        <w:ind w:firstLine="284"/>
        <w:jc w:val="center"/>
        <w:rPr>
          <w:rFonts w:ascii="Times New Roman" w:hAnsi="Times New Roman"/>
          <w:sz w:val="24"/>
          <w:szCs w:val="28"/>
        </w:rPr>
      </w:pPr>
    </w:p>
    <w:p w:rsidR="00517711" w:rsidRDefault="00F815BE">
      <w:pPr>
        <w:widowControl w:val="0"/>
        <w:tabs>
          <w:tab w:val="left" w:pos="426"/>
        </w:tabs>
        <w:spacing w:after="0" w:line="240" w:lineRule="auto"/>
        <w:ind w:firstLine="284"/>
        <w:jc w:val="center"/>
        <w:rPr>
          <w:rFonts w:ascii="Arial" w:hAnsi="Arial" w:cs="Arial"/>
          <w:b/>
          <w:sz w:val="24"/>
          <w:szCs w:val="28"/>
        </w:rPr>
      </w:pPr>
      <w:r>
        <w:rPr>
          <w:rFonts w:ascii="Arial" w:hAnsi="Arial" w:cs="Arial"/>
          <w:b/>
          <w:sz w:val="24"/>
          <w:szCs w:val="28"/>
        </w:rPr>
        <w:t>Кутявина Светлана Павловна,</w:t>
      </w:r>
    </w:p>
    <w:p w:rsidR="00517711" w:rsidRDefault="00F815BE">
      <w:pPr>
        <w:widowControl w:val="0"/>
        <w:tabs>
          <w:tab w:val="left" w:pos="426"/>
        </w:tabs>
        <w:spacing w:after="0" w:line="240" w:lineRule="auto"/>
        <w:ind w:firstLine="284"/>
        <w:jc w:val="center"/>
        <w:rPr>
          <w:rFonts w:ascii="Arial" w:hAnsi="Arial" w:cs="Arial"/>
          <w:sz w:val="24"/>
          <w:szCs w:val="28"/>
        </w:rPr>
      </w:pPr>
      <w:r>
        <w:rPr>
          <w:rFonts w:ascii="Arial" w:hAnsi="Arial" w:cs="Arial"/>
          <w:sz w:val="24"/>
          <w:szCs w:val="28"/>
        </w:rPr>
        <w:t>бакалавр</w:t>
      </w:r>
    </w:p>
    <w:p w:rsidR="00517711" w:rsidRDefault="00517711">
      <w:pPr>
        <w:widowControl w:val="0"/>
        <w:tabs>
          <w:tab w:val="left" w:pos="426"/>
        </w:tabs>
        <w:spacing w:after="0" w:line="240" w:lineRule="auto"/>
        <w:ind w:firstLine="284"/>
        <w:jc w:val="center"/>
        <w:rPr>
          <w:rFonts w:ascii="Times New Roman" w:hAnsi="Times New Roman"/>
          <w:i/>
          <w:sz w:val="24"/>
          <w:szCs w:val="28"/>
        </w:rPr>
      </w:pPr>
    </w:p>
    <w:p w:rsidR="00517711" w:rsidRDefault="00F815BE">
      <w:pPr>
        <w:widowControl w:val="0"/>
        <w:tabs>
          <w:tab w:val="left" w:pos="426"/>
        </w:tabs>
        <w:spacing w:after="0" w:line="240" w:lineRule="auto"/>
        <w:ind w:firstLine="284"/>
        <w:jc w:val="center"/>
        <w:rPr>
          <w:rFonts w:ascii="Times New Roman" w:hAnsi="Times New Roman"/>
          <w:i/>
          <w:szCs w:val="28"/>
        </w:rPr>
      </w:pPr>
      <w:r>
        <w:rPr>
          <w:rFonts w:ascii="Times New Roman" w:hAnsi="Times New Roman"/>
          <w:i/>
          <w:szCs w:val="28"/>
        </w:rPr>
        <w:t xml:space="preserve">Владивостокский государственный университет экономики и сервиса </w:t>
      </w:r>
    </w:p>
    <w:p w:rsidR="00517711" w:rsidRDefault="00F815BE">
      <w:pPr>
        <w:widowControl w:val="0"/>
        <w:tabs>
          <w:tab w:val="left" w:pos="426"/>
        </w:tabs>
        <w:spacing w:after="0" w:line="240" w:lineRule="auto"/>
        <w:ind w:firstLine="284"/>
        <w:jc w:val="center"/>
        <w:rPr>
          <w:rFonts w:ascii="Times New Roman" w:hAnsi="Times New Roman"/>
          <w:i/>
          <w:sz w:val="24"/>
          <w:szCs w:val="28"/>
        </w:rPr>
      </w:pPr>
      <w:r>
        <w:rPr>
          <w:rFonts w:ascii="Times New Roman" w:hAnsi="Times New Roman"/>
          <w:i/>
          <w:szCs w:val="28"/>
        </w:rPr>
        <w:t>Россия. Владивосток</w:t>
      </w:r>
    </w:p>
    <w:p w:rsidR="00517711" w:rsidRDefault="00517711">
      <w:pPr>
        <w:widowControl w:val="0"/>
        <w:tabs>
          <w:tab w:val="left" w:pos="426"/>
        </w:tabs>
        <w:spacing w:after="0" w:line="240" w:lineRule="auto"/>
        <w:ind w:firstLine="284"/>
        <w:jc w:val="center"/>
        <w:rPr>
          <w:rFonts w:ascii="Times New Roman" w:hAnsi="Times New Roman"/>
          <w:sz w:val="24"/>
          <w:szCs w:val="28"/>
        </w:rPr>
      </w:pPr>
    </w:p>
    <w:p w:rsidR="00517711" w:rsidRDefault="00F815BE">
      <w:pPr>
        <w:widowControl w:val="0"/>
        <w:tabs>
          <w:tab w:val="left" w:pos="426"/>
        </w:tabs>
        <w:spacing w:after="0" w:line="240" w:lineRule="auto"/>
        <w:ind w:firstLine="284"/>
        <w:jc w:val="center"/>
        <w:rPr>
          <w:rFonts w:ascii="Times New Roman" w:hAnsi="Times New Roman"/>
          <w:sz w:val="20"/>
          <w:szCs w:val="28"/>
        </w:rPr>
      </w:pPr>
      <w:r>
        <w:rPr>
          <w:rFonts w:ascii="Times New Roman" w:hAnsi="Times New Roman"/>
          <w:sz w:val="20"/>
          <w:szCs w:val="28"/>
          <w:lang w:val="en-US"/>
        </w:rPr>
        <w:t>E</w:t>
      </w:r>
      <w:r>
        <w:rPr>
          <w:rFonts w:ascii="Times New Roman" w:hAnsi="Times New Roman"/>
          <w:sz w:val="20"/>
          <w:szCs w:val="28"/>
        </w:rPr>
        <w:t>-</w:t>
      </w:r>
      <w:r>
        <w:rPr>
          <w:rFonts w:ascii="Times New Roman" w:hAnsi="Times New Roman"/>
          <w:sz w:val="20"/>
          <w:szCs w:val="28"/>
          <w:lang w:val="en-US"/>
        </w:rPr>
        <w:t>mail</w:t>
      </w:r>
      <w:r>
        <w:rPr>
          <w:rFonts w:ascii="Times New Roman" w:hAnsi="Times New Roman"/>
          <w:sz w:val="20"/>
          <w:szCs w:val="28"/>
        </w:rPr>
        <w:t xml:space="preserve">: </w:t>
      </w:r>
      <w:r>
        <w:rPr>
          <w:rFonts w:ascii="Times New Roman" w:hAnsi="Times New Roman"/>
          <w:sz w:val="20"/>
          <w:szCs w:val="28"/>
          <w:lang w:val="en-US"/>
        </w:rPr>
        <w:t>svetlanaK</w:t>
      </w:r>
      <w:r>
        <w:rPr>
          <w:rFonts w:ascii="Times New Roman" w:hAnsi="Times New Roman"/>
          <w:sz w:val="20"/>
          <w:szCs w:val="28"/>
        </w:rPr>
        <w:t>0404@</w:t>
      </w:r>
      <w:r>
        <w:rPr>
          <w:rFonts w:ascii="Times New Roman" w:hAnsi="Times New Roman"/>
          <w:sz w:val="20"/>
          <w:szCs w:val="28"/>
          <w:lang w:val="en-US"/>
        </w:rPr>
        <w:t>mail</w:t>
      </w:r>
      <w:r>
        <w:rPr>
          <w:rFonts w:ascii="Times New Roman" w:hAnsi="Times New Roman"/>
          <w:sz w:val="20"/>
          <w:szCs w:val="28"/>
        </w:rPr>
        <w:t>.</w:t>
      </w:r>
      <w:r>
        <w:rPr>
          <w:rFonts w:ascii="Times New Roman" w:hAnsi="Times New Roman"/>
          <w:sz w:val="20"/>
          <w:szCs w:val="28"/>
          <w:lang w:val="en-US"/>
        </w:rPr>
        <w:t>ru</w:t>
      </w:r>
      <w:r>
        <w:rPr>
          <w:rFonts w:ascii="Times New Roman" w:hAnsi="Times New Roman"/>
          <w:sz w:val="20"/>
          <w:szCs w:val="28"/>
        </w:rPr>
        <w:t>; тел.: +79841905076</w:t>
      </w:r>
    </w:p>
    <w:p w:rsidR="00517711" w:rsidRDefault="00F815BE">
      <w:pPr>
        <w:widowControl w:val="0"/>
        <w:tabs>
          <w:tab w:val="left" w:pos="426"/>
        </w:tabs>
        <w:spacing w:after="0" w:line="240" w:lineRule="auto"/>
        <w:ind w:firstLine="284"/>
        <w:jc w:val="center"/>
        <w:rPr>
          <w:rFonts w:ascii="Times New Roman" w:hAnsi="Times New Roman"/>
          <w:sz w:val="20"/>
          <w:szCs w:val="28"/>
        </w:rPr>
      </w:pPr>
      <w:r>
        <w:rPr>
          <w:rFonts w:ascii="Times New Roman" w:hAnsi="Times New Roman"/>
          <w:sz w:val="20"/>
          <w:szCs w:val="28"/>
        </w:rPr>
        <w:t>ул. Гоголя, 41, г. Владивосток, Приморский край, Россия, 690014</w:t>
      </w:r>
    </w:p>
    <w:p w:rsidR="00517711" w:rsidRDefault="00517711">
      <w:pPr>
        <w:widowControl w:val="0"/>
        <w:tabs>
          <w:tab w:val="left" w:pos="426"/>
        </w:tabs>
        <w:spacing w:after="0" w:line="240" w:lineRule="auto"/>
        <w:ind w:firstLine="284"/>
        <w:jc w:val="center"/>
        <w:rPr>
          <w:rFonts w:ascii="Times New Roman" w:hAnsi="Times New Roman"/>
          <w:sz w:val="24"/>
          <w:szCs w:val="28"/>
        </w:rPr>
      </w:pPr>
    </w:p>
    <w:p w:rsidR="00517711" w:rsidRDefault="00F815BE">
      <w:pPr>
        <w:widowControl w:val="0"/>
        <w:tabs>
          <w:tab w:val="left" w:pos="426"/>
        </w:tabs>
        <w:spacing w:after="0" w:line="240" w:lineRule="auto"/>
        <w:ind w:firstLine="284"/>
        <w:jc w:val="center"/>
        <w:rPr>
          <w:rFonts w:ascii="Arial" w:hAnsi="Arial" w:cs="Arial"/>
          <w:b/>
          <w:sz w:val="24"/>
          <w:szCs w:val="28"/>
        </w:rPr>
      </w:pPr>
      <w:r>
        <w:rPr>
          <w:rFonts w:ascii="Arial" w:hAnsi="Arial" w:cs="Arial"/>
          <w:b/>
          <w:sz w:val="24"/>
          <w:szCs w:val="28"/>
        </w:rPr>
        <w:t>Смирнова Екатерина Ильинична,</w:t>
      </w:r>
    </w:p>
    <w:p w:rsidR="00517711" w:rsidRDefault="00F815BE">
      <w:pPr>
        <w:widowControl w:val="0"/>
        <w:tabs>
          <w:tab w:val="left" w:pos="426"/>
        </w:tabs>
        <w:spacing w:after="0" w:line="240" w:lineRule="auto"/>
        <w:ind w:firstLine="284"/>
        <w:jc w:val="center"/>
        <w:rPr>
          <w:rFonts w:ascii="Times New Roman" w:hAnsi="Times New Roman"/>
          <w:sz w:val="24"/>
          <w:szCs w:val="28"/>
        </w:rPr>
      </w:pPr>
      <w:r>
        <w:rPr>
          <w:rFonts w:ascii="Arial" w:hAnsi="Arial" w:cs="Arial"/>
          <w:sz w:val="24"/>
          <w:szCs w:val="28"/>
        </w:rPr>
        <w:t>бакалавр</w:t>
      </w:r>
    </w:p>
    <w:p w:rsidR="00517711" w:rsidRDefault="00517711">
      <w:pPr>
        <w:widowControl w:val="0"/>
        <w:tabs>
          <w:tab w:val="left" w:pos="426"/>
        </w:tabs>
        <w:spacing w:after="0" w:line="240" w:lineRule="auto"/>
        <w:ind w:firstLine="284"/>
        <w:jc w:val="center"/>
        <w:rPr>
          <w:rFonts w:ascii="Times New Roman" w:hAnsi="Times New Roman"/>
          <w:sz w:val="24"/>
          <w:szCs w:val="28"/>
        </w:rPr>
      </w:pPr>
    </w:p>
    <w:p w:rsidR="00517711" w:rsidRDefault="00F815BE">
      <w:pPr>
        <w:widowControl w:val="0"/>
        <w:tabs>
          <w:tab w:val="left" w:pos="426"/>
        </w:tabs>
        <w:spacing w:after="0" w:line="240" w:lineRule="auto"/>
        <w:ind w:firstLine="284"/>
        <w:jc w:val="center"/>
        <w:rPr>
          <w:rFonts w:ascii="Times New Roman" w:hAnsi="Times New Roman"/>
          <w:i/>
          <w:szCs w:val="28"/>
        </w:rPr>
      </w:pPr>
      <w:r>
        <w:rPr>
          <w:rFonts w:ascii="Times New Roman" w:hAnsi="Times New Roman"/>
          <w:i/>
          <w:szCs w:val="28"/>
        </w:rPr>
        <w:t xml:space="preserve">Владивостокский государственный университет экономики и сервиса </w:t>
      </w:r>
    </w:p>
    <w:p w:rsidR="00517711" w:rsidRDefault="00F815BE">
      <w:pPr>
        <w:widowControl w:val="0"/>
        <w:tabs>
          <w:tab w:val="left" w:pos="426"/>
        </w:tabs>
        <w:spacing w:after="0" w:line="240" w:lineRule="auto"/>
        <w:ind w:firstLine="284"/>
        <w:jc w:val="center"/>
        <w:rPr>
          <w:rFonts w:ascii="Times New Roman" w:hAnsi="Times New Roman"/>
          <w:i/>
          <w:szCs w:val="28"/>
        </w:rPr>
      </w:pPr>
      <w:r>
        <w:rPr>
          <w:rFonts w:ascii="Times New Roman" w:hAnsi="Times New Roman"/>
          <w:i/>
          <w:szCs w:val="28"/>
        </w:rPr>
        <w:t>Россия. Владивосток</w:t>
      </w:r>
    </w:p>
    <w:p w:rsidR="00517711" w:rsidRDefault="00517711">
      <w:pPr>
        <w:widowControl w:val="0"/>
        <w:tabs>
          <w:tab w:val="left" w:pos="426"/>
        </w:tabs>
        <w:spacing w:after="0" w:line="240" w:lineRule="auto"/>
        <w:ind w:firstLine="284"/>
        <w:jc w:val="center"/>
        <w:rPr>
          <w:rFonts w:ascii="Times New Roman" w:hAnsi="Times New Roman"/>
          <w:sz w:val="24"/>
          <w:szCs w:val="28"/>
        </w:rPr>
      </w:pPr>
    </w:p>
    <w:p w:rsidR="00517711" w:rsidRDefault="00F815BE">
      <w:pPr>
        <w:widowControl w:val="0"/>
        <w:tabs>
          <w:tab w:val="left" w:pos="426"/>
        </w:tabs>
        <w:spacing w:after="0" w:line="240" w:lineRule="auto"/>
        <w:ind w:firstLine="284"/>
        <w:jc w:val="center"/>
        <w:rPr>
          <w:rFonts w:ascii="Times New Roman" w:hAnsi="Times New Roman"/>
          <w:sz w:val="20"/>
          <w:szCs w:val="28"/>
        </w:rPr>
      </w:pPr>
      <w:r>
        <w:rPr>
          <w:rFonts w:ascii="Times New Roman" w:hAnsi="Times New Roman"/>
          <w:sz w:val="20"/>
          <w:szCs w:val="28"/>
          <w:lang w:val="en-US"/>
        </w:rPr>
        <w:t>E</w:t>
      </w:r>
      <w:r>
        <w:rPr>
          <w:rFonts w:ascii="Times New Roman" w:hAnsi="Times New Roman"/>
          <w:sz w:val="20"/>
          <w:szCs w:val="28"/>
        </w:rPr>
        <w:t>-</w:t>
      </w:r>
      <w:r>
        <w:rPr>
          <w:rFonts w:ascii="Times New Roman" w:hAnsi="Times New Roman"/>
          <w:sz w:val="20"/>
          <w:szCs w:val="28"/>
          <w:lang w:val="en-US"/>
        </w:rPr>
        <w:t>mail</w:t>
      </w:r>
      <w:r>
        <w:rPr>
          <w:rFonts w:ascii="Times New Roman" w:hAnsi="Times New Roman"/>
          <w:sz w:val="20"/>
          <w:szCs w:val="28"/>
        </w:rPr>
        <w:t xml:space="preserve">: </w:t>
      </w:r>
      <w:r>
        <w:rPr>
          <w:rFonts w:ascii="Times New Roman" w:hAnsi="Times New Roman"/>
          <w:sz w:val="20"/>
          <w:szCs w:val="28"/>
          <w:lang w:val="en-US"/>
        </w:rPr>
        <w:t>smirnovakaterinka</w:t>
      </w:r>
      <w:r>
        <w:rPr>
          <w:rFonts w:ascii="Times New Roman" w:hAnsi="Times New Roman"/>
          <w:sz w:val="20"/>
          <w:szCs w:val="28"/>
        </w:rPr>
        <w:t>@</w:t>
      </w:r>
      <w:r>
        <w:rPr>
          <w:rFonts w:ascii="Times New Roman" w:hAnsi="Times New Roman"/>
          <w:sz w:val="20"/>
          <w:szCs w:val="28"/>
          <w:lang w:val="en-US"/>
        </w:rPr>
        <w:t>mail</w:t>
      </w:r>
      <w:r>
        <w:rPr>
          <w:rFonts w:ascii="Times New Roman" w:hAnsi="Times New Roman"/>
          <w:sz w:val="20"/>
          <w:szCs w:val="28"/>
        </w:rPr>
        <w:t>.</w:t>
      </w:r>
      <w:r>
        <w:rPr>
          <w:rFonts w:ascii="Times New Roman" w:hAnsi="Times New Roman"/>
          <w:sz w:val="20"/>
          <w:szCs w:val="28"/>
          <w:lang w:val="en-US"/>
        </w:rPr>
        <w:t>ru</w:t>
      </w:r>
      <w:r>
        <w:rPr>
          <w:rFonts w:ascii="Times New Roman" w:hAnsi="Times New Roman"/>
          <w:sz w:val="20"/>
          <w:szCs w:val="28"/>
        </w:rPr>
        <w:t>; тел.: +79149730361</w:t>
      </w:r>
    </w:p>
    <w:p w:rsidR="00517711" w:rsidRDefault="00F815BE">
      <w:pPr>
        <w:widowControl w:val="0"/>
        <w:tabs>
          <w:tab w:val="left" w:pos="426"/>
        </w:tabs>
        <w:spacing w:after="0" w:line="240" w:lineRule="auto"/>
        <w:ind w:firstLine="284"/>
        <w:jc w:val="center"/>
        <w:rPr>
          <w:rFonts w:ascii="Times New Roman" w:hAnsi="Times New Roman"/>
          <w:sz w:val="20"/>
          <w:szCs w:val="28"/>
        </w:rPr>
      </w:pPr>
      <w:r>
        <w:rPr>
          <w:rFonts w:ascii="Times New Roman" w:hAnsi="Times New Roman"/>
          <w:sz w:val="20"/>
          <w:szCs w:val="28"/>
        </w:rPr>
        <w:t>ул. Гоголя, 41, г. Владивосток, Приморский край, Россия, 690014</w:t>
      </w:r>
    </w:p>
    <w:p w:rsidR="00517711" w:rsidRDefault="00517711">
      <w:pPr>
        <w:widowControl w:val="0"/>
        <w:tabs>
          <w:tab w:val="left" w:pos="426"/>
        </w:tabs>
        <w:spacing w:after="0" w:line="240" w:lineRule="auto"/>
        <w:ind w:firstLine="284"/>
        <w:jc w:val="center"/>
        <w:rPr>
          <w:rFonts w:ascii="Times New Roman" w:hAnsi="Times New Roman"/>
          <w:sz w:val="24"/>
          <w:szCs w:val="28"/>
        </w:rPr>
      </w:pPr>
    </w:p>
    <w:p w:rsidR="00517711" w:rsidRDefault="00F815BE">
      <w:pPr>
        <w:widowControl w:val="0"/>
        <w:spacing w:after="0" w:line="240" w:lineRule="auto"/>
        <w:ind w:firstLine="709"/>
        <w:jc w:val="both"/>
        <w:rPr>
          <w:rFonts w:ascii="Times New Roman" w:hAnsi="Times New Roman"/>
          <w:i/>
        </w:rPr>
      </w:pPr>
      <w:r>
        <w:rPr>
          <w:rFonts w:ascii="Times New Roman" w:hAnsi="Times New Roman"/>
          <w:i/>
          <w:szCs w:val="28"/>
        </w:rPr>
        <w:t xml:space="preserve">На сегодняшний день трансграничный туризм является одним из наиболее активно развивающихся видов туризма, преимущественно на Дальнем Востоке России. Трансграничное сотрудничество в рамках туристского бренда «Восточное кольцо России» позволит стране занять устойчивое положение и укрепить взаимоотношения со </w:t>
      </w:r>
      <w:r>
        <w:rPr>
          <w:rFonts w:ascii="Times New Roman" w:hAnsi="Times New Roman"/>
          <w:i/>
        </w:rPr>
        <w:t>странами Азиатско-Тихоокеанского региона.</w:t>
      </w:r>
    </w:p>
    <w:p w:rsidR="00517711" w:rsidRDefault="00F815BE">
      <w:pPr>
        <w:widowControl w:val="0"/>
        <w:spacing w:after="0" w:line="240" w:lineRule="auto"/>
        <w:ind w:firstLine="709"/>
        <w:jc w:val="both"/>
        <w:rPr>
          <w:rFonts w:ascii="Times New Roman" w:hAnsi="Times New Roman"/>
          <w:i/>
          <w:szCs w:val="28"/>
        </w:rPr>
      </w:pPr>
      <w:r>
        <w:rPr>
          <w:rFonts w:ascii="Times New Roman" w:hAnsi="Times New Roman"/>
          <w:b/>
          <w:i/>
          <w:szCs w:val="28"/>
        </w:rPr>
        <w:t xml:space="preserve">Ключевые слова и словосочетания: </w:t>
      </w:r>
      <w:r>
        <w:rPr>
          <w:rFonts w:ascii="Times New Roman" w:hAnsi="Times New Roman"/>
          <w:i/>
          <w:szCs w:val="28"/>
        </w:rPr>
        <w:t>трансграничный туризм, трансграничный маршрут, туристский бренд, трансграничное сотрудничество, Дальневосточный федеральный округ, восточное кольцо.</w:t>
      </w:r>
    </w:p>
    <w:p w:rsidR="00517711" w:rsidRDefault="00517711">
      <w:pPr>
        <w:widowControl w:val="0"/>
        <w:spacing w:after="0" w:line="240" w:lineRule="auto"/>
        <w:ind w:firstLine="387"/>
        <w:jc w:val="center"/>
        <w:rPr>
          <w:rFonts w:ascii="Times New Roman" w:hAnsi="Times New Roman"/>
          <w:sz w:val="28"/>
          <w:szCs w:val="28"/>
        </w:rPr>
      </w:pPr>
    </w:p>
    <w:p w:rsidR="00517711" w:rsidRDefault="00F815BE">
      <w:pPr>
        <w:widowControl w:val="0"/>
        <w:spacing w:after="0" w:line="240" w:lineRule="auto"/>
        <w:ind w:firstLine="387"/>
        <w:jc w:val="center"/>
        <w:rPr>
          <w:rFonts w:ascii="Book Antiqua" w:hAnsi="Book Antiqua"/>
          <w:b/>
          <w:sz w:val="26"/>
          <w:szCs w:val="26"/>
          <w:lang w:val="en-US"/>
        </w:rPr>
      </w:pPr>
      <w:r>
        <w:rPr>
          <w:rFonts w:ascii="Book Antiqua" w:hAnsi="Book Antiqua"/>
          <w:b/>
          <w:sz w:val="26"/>
          <w:szCs w:val="26"/>
          <w:lang w:val="en-US"/>
        </w:rPr>
        <w:t>DEVELOPMENT OF CROSS-BORDER TOURS UNDER THE TOURIST BRAND «THE EASTERN RING OF RUSSIA»</w:t>
      </w:r>
    </w:p>
    <w:p w:rsidR="00517711" w:rsidRDefault="00517711">
      <w:pPr>
        <w:widowControl w:val="0"/>
        <w:spacing w:after="0" w:line="240" w:lineRule="auto"/>
        <w:ind w:firstLine="387"/>
        <w:jc w:val="center"/>
        <w:rPr>
          <w:rFonts w:ascii="Times New Roman" w:hAnsi="Times New Roman"/>
          <w:b/>
          <w:sz w:val="24"/>
          <w:szCs w:val="28"/>
          <w:lang w:val="en-US"/>
        </w:rPr>
      </w:pPr>
    </w:p>
    <w:p w:rsidR="00517711" w:rsidRDefault="00F815BE">
      <w:pPr>
        <w:widowControl w:val="0"/>
        <w:spacing w:after="0" w:line="240" w:lineRule="auto"/>
        <w:ind w:firstLine="709"/>
        <w:jc w:val="both"/>
        <w:rPr>
          <w:rFonts w:ascii="Times New Roman" w:hAnsi="Times New Roman"/>
          <w:i/>
          <w:szCs w:val="28"/>
          <w:lang w:val="en-US"/>
        </w:rPr>
      </w:pPr>
      <w:r>
        <w:rPr>
          <w:rFonts w:ascii="Times New Roman" w:hAnsi="Times New Roman"/>
          <w:i/>
          <w:color w:val="000000"/>
          <w:szCs w:val="20"/>
          <w:shd w:val="clear" w:color="auto" w:fill="FFFFFF"/>
          <w:lang w:val="en-US"/>
        </w:rPr>
        <w:t>At the present time</w:t>
      </w:r>
      <w:r>
        <w:rPr>
          <w:rFonts w:ascii="Arial" w:hAnsi="Arial" w:cs="Arial"/>
          <w:i/>
          <w:color w:val="000000"/>
          <w:szCs w:val="20"/>
          <w:shd w:val="clear" w:color="auto" w:fill="FFFFFF"/>
          <w:lang w:val="en-US"/>
        </w:rPr>
        <w:t xml:space="preserve"> </w:t>
      </w:r>
      <w:r>
        <w:rPr>
          <w:rFonts w:ascii="Times New Roman" w:hAnsi="Times New Roman"/>
          <w:i/>
          <w:szCs w:val="28"/>
          <w:lang w:val="en-US"/>
        </w:rPr>
        <w:t>cross-border tourism is one of the most rapidly developing types of tourism, predominantly on the Far East of Russian Federation.</w:t>
      </w:r>
      <w:r>
        <w:rPr>
          <w:i/>
          <w:sz w:val="18"/>
          <w:lang w:val="en-US"/>
        </w:rPr>
        <w:t xml:space="preserve"> </w:t>
      </w:r>
      <w:r>
        <w:rPr>
          <w:rFonts w:ascii="Times New Roman" w:hAnsi="Times New Roman"/>
          <w:i/>
          <w:szCs w:val="28"/>
          <w:lang w:val="en-US"/>
        </w:rPr>
        <w:t xml:space="preserve"> Cross-border cooperation under the tourist brand «The Eastern Ring of Russia» will allow the country to gain a foothold and strengthen its relations with the countries of the Pacific Rim.</w:t>
      </w:r>
    </w:p>
    <w:p w:rsidR="00517711" w:rsidRDefault="00F815BE">
      <w:pPr>
        <w:widowControl w:val="0"/>
        <w:spacing w:after="0" w:line="240" w:lineRule="auto"/>
        <w:ind w:firstLine="709"/>
        <w:jc w:val="both"/>
        <w:rPr>
          <w:rFonts w:ascii="Times New Roman" w:hAnsi="Times New Roman"/>
          <w:i/>
          <w:szCs w:val="28"/>
          <w:lang w:val="en-US"/>
        </w:rPr>
      </w:pPr>
      <w:r>
        <w:rPr>
          <w:rFonts w:ascii="Times New Roman" w:hAnsi="Times New Roman"/>
          <w:b/>
          <w:i/>
          <w:szCs w:val="28"/>
          <w:lang w:val="en-US"/>
        </w:rPr>
        <w:t xml:space="preserve">Keywords: </w:t>
      </w:r>
      <w:r>
        <w:rPr>
          <w:rFonts w:ascii="Times New Roman" w:hAnsi="Times New Roman"/>
          <w:i/>
          <w:szCs w:val="28"/>
          <w:lang w:val="en-US"/>
        </w:rPr>
        <w:t>cross-border tourism, cross-border route, tourist brand, cross-border cooperation, Far Eastern Federal District, eastern ring.</w:t>
      </w:r>
    </w:p>
    <w:p w:rsidR="00517711" w:rsidRDefault="00517711">
      <w:pPr>
        <w:widowControl w:val="0"/>
        <w:spacing w:after="0" w:line="240" w:lineRule="auto"/>
        <w:ind w:firstLine="387"/>
        <w:jc w:val="both"/>
        <w:rPr>
          <w:rFonts w:ascii="Times New Roman" w:hAnsi="Times New Roman"/>
          <w:sz w:val="28"/>
          <w:szCs w:val="28"/>
          <w:lang w:val="en-US"/>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В работе исследуется развитие трансграничных туров в рамках бренда «Восточное кольцо России». Проанализировав существующие трансграничные маршруты, мы пришли к заключению, что актуальность выбранной темы выражается в следующем: трансграничный туризм рассматривается как активно-развивающийся вид экономического, социального и культурного сотрудничества, как во всем мире, так и на территории Дальневосточного федерального округа (далее ДФО).  Регионы Дальнего Востока имеют множество схожих и уникальных природных и культурных особенностей, общие вехи в истории развития, обладают богатым и в то же время не до конца реализованным туристским потенциалом в области сотрудничества с близлежащими странами Азиатско-Тихоокеанского региона.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Цель работы заключается в изучении развития трансграничного сотрудничества в сфере туризма территорий ДФО на основе анализа существующих трансграничных маршрутов на территории субъекта Российской Федерации.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ходе работы выделены следующие задачи: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охарактеризовать тенденции  развития трансграничного туризма на территории ДФО;</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систематизировать существующие межрегиональные маршруты на территории ДФО;</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исследовать туристский потенциал основных туристских регионов, входящих в состав туристского бренда «Восточное кольцо России».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Дальний Восток – большая территория, охватывающая как регионы крайнего севера, так и районы близкие к субтропикам. Каждый из них по-своему интересен. В то же время мы наблюдаем активную </w:t>
      </w:r>
      <w:r>
        <w:rPr>
          <w:rFonts w:ascii="Times New Roman" w:hAnsi="Times New Roman" w:cs="Times New Roman"/>
          <w:sz w:val="20"/>
          <w:szCs w:val="20"/>
        </w:rPr>
        <w:lastRenderedPageBreak/>
        <w:t>положительную тенденцию роста межрегиональных маршрутов, когда за одно путешествие человек может посетить, например, музей мамонта в Якутске и курорт «Паратунка» на Камчатке, знаменитые петроглифы Сикачи-Аляна в Хабаровском крае, и филиал Мариинского театра оперы и балета в Приморье, и лыжные трассы Сахалина. [4]</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На сегодняшний день существуют перспективные программы, способные вывести Дальневосточный регион на совершенно новый уровень развития трансграничного туризма. Такие программы как режим «Открытое небо», проект «Свободный порт Владивосток» (порто-франко), а также приуроченный к последнему 72-часовой безвизовый режим для иностранцев активно способствуют становлению Дальнего Востока крупнейшим азиатским центром. [6]</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Что касается турпотока, если еврорегионы являются основной формой организации приграничного и межрегионального сотрудничества ЕС и СНГ, то в АТР Россия встречается с другим подходом к интеграции. В структуре потока иностранных туристов, посещающих районы и центры Дальнего Востока, доминируют туристы из соседних азиатских стран: Япония, Южная Корея и Китай.</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частности, объективными предпосылками развития сотрудничества в области туризма являются: территориальная близость России и Республики Корея; регулярное авиасообщение и открытые в 2000-е годы морская паромная грузопассажирская линия Зарубино (Приморский край) – Сокчо (Республика Корея) – Хуньчунь (КНР), паромная линия Владивосток (Российская Федерация) – Донхэ (Республика Корея) – Сакаиминато (Япония), а также взаимный интерес граждан России и Республика Корея к культуре и истории обеих стран [2].</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установлении взаимовыгодных связей в области туризма из стран АТР Россия отводит одно из ведущих мест Японии – стране с высокоразвитой экономикой. В интересах развития туризма страны регулярно проводят молодежные и культурные обмены. Помимо  этого, 6 из 9 субъектов ДФО имеют выход к морю, некоторые располагают оборудованными пирсами, что подразумевает значительный потенциал для развития круизного туризма между Дальним Востоком и Японией [3].</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Важнейшим фактором развития трансграничного туризма также является наличие сухопутной границы с КНР у четырех из девяти субъектов ДФО, что обуславливает постоянное взаимовыгодное сотрудничество в сфере туризма.</w:t>
      </w:r>
    </w:p>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lang w:eastAsia="ru-RU"/>
        </w:rPr>
        <w:drawing>
          <wp:inline distT="0" distB="0" distL="0" distR="0">
            <wp:extent cx="5095494" cy="2885565"/>
            <wp:effectExtent l="0" t="0" r="0" b="0"/>
            <wp:docPr id="58"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Рисунок 1"/>
                    <pic:cNvPicPr>
                      <a:picLocks noChangeAspect="1"/>
                    </pic:cNvPicPr>
                  </pic:nvPicPr>
                  <pic:blipFill>
                    <a:blip r:embed="rId92"/>
                    <a:stretch/>
                  </pic:blipFill>
                  <pic:spPr bwMode="auto">
                    <a:xfrm>
                      <a:off x="0" y="0"/>
                      <a:ext cx="5095240" cy="2885440"/>
                    </a:xfrm>
                    <a:prstGeom prst="rect">
                      <a:avLst/>
                    </a:prstGeom>
                    <a:ln>
                      <a:noFill/>
                    </a:ln>
                  </pic:spPr>
                </pic:pic>
              </a:graphicData>
            </a:graphic>
          </wp:inline>
        </w:drawing>
      </w:r>
    </w:p>
    <w:p w:rsidR="00517711" w:rsidRDefault="00F815BE">
      <w:pPr>
        <w:spacing w:after="120" w:line="240" w:lineRule="auto"/>
        <w:jc w:val="center"/>
        <w:rPr>
          <w:rFonts w:ascii="Times New Roman" w:hAnsi="Times New Roman" w:cs="Times New Roman"/>
          <w:b/>
          <w:sz w:val="20"/>
          <w:szCs w:val="20"/>
        </w:rPr>
      </w:pPr>
      <w:r>
        <w:rPr>
          <w:rFonts w:ascii="Times New Roman" w:hAnsi="Times New Roman" w:cs="Times New Roman"/>
          <w:b/>
          <w:sz w:val="20"/>
          <w:szCs w:val="20"/>
        </w:rPr>
        <w:t>Рис.1. Рейтинговое позиционирование регионов по видам туризма. Разработано авторами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Рисунок 1 выражает рейтинговое позиционирование регионов по видам туризма. За основу было взято 9 видов туризма, представленных в ДФО. Рейтинг определяется по большему показателю, т.е. наиболее популярным видом туризма в регионе является наименование, значение которого равно 9.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Таким образом, Приморский край демонстрирует наивысшие показатели с точки зрения развития транзитного, познавательного и развлекательного видов туризма. В то же время недостаточно используются в рамках трансграничных туров лечебно-оздоровительный и этнографический виды туризма.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Хабаровский край позиционируется с точки зрения познавательного, транзитного и этнографического туризма (наскальные рисунки в долинах рек Кия и Мая, петроглифы у с. Сикачи-Алян). Ограниченно используются лечебно-оздоровительный и событийный виды туризма.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Камчатском крае обратная ситуация: в рамках трансграничного туризма в максимальной степени предлагаются  лечебно-оздоровительный, спортивный и экологический виды туризма (14% территории полуострова занимают природные парки). Прочие направления несколько уступают основным, но в целом также активно пользуются успехом. [1]</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lastRenderedPageBreak/>
        <w:t>Магаданская область позиционируется преимущественно круглогодичным развитием спортивных видов туризма на полуострове Старицкого, озерах Танцующих Хариусов и Джека Лондона, наименьшим успехом пользуются этнографический и событийный туризм. [5]</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В Якутии широко развивается событийный туризм на основе национального праздника Ысыах и выставок драгоценных камней и ювелирных изделий «Бриллиантовая Якутия», также благодаря активному участию коренного населения региона популярностью пользуется этнографический туризм. Прочие виды немного уступают основным, но в целом также активно пользуются успехом.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Таким образом, Камчатская область, Республика Саха и Магаданская область являются наиболее перспективными районами для развития экологического туризма. Этнографический туризм является одним из приоритетов развития в Якутии и в Хабаровском крае. В южных районах Дальнего Востока (Приморский и Хабаровский края) перспективным видятся создание тематических парков, центров приграничного и курортного туризма.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ходе исследования был проведен анализ существующих межрегиональных маршрутов в рамках бренда «Восточное кольцо России», в результате которого предпринята попытка ранжирования регионов ДФО с позиции  включенности в трансграничные маршруты (таблица 1).</w:t>
      </w:r>
    </w:p>
    <w:p w:rsidR="00517711" w:rsidRDefault="00F815BE">
      <w:pPr>
        <w:spacing w:after="0" w:line="240" w:lineRule="auto"/>
        <w:ind w:firstLine="709"/>
        <w:jc w:val="right"/>
        <w:rPr>
          <w:rFonts w:ascii="Times New Roman" w:hAnsi="Times New Roman" w:cs="Times New Roman"/>
          <w:i/>
          <w:sz w:val="20"/>
          <w:szCs w:val="20"/>
        </w:rPr>
      </w:pPr>
      <w:r>
        <w:rPr>
          <w:rFonts w:ascii="Times New Roman" w:hAnsi="Times New Roman" w:cs="Times New Roman"/>
          <w:i/>
          <w:sz w:val="20"/>
          <w:szCs w:val="20"/>
        </w:rPr>
        <w:t>Таблица 1</w:t>
      </w:r>
    </w:p>
    <w:p w:rsidR="00517711" w:rsidRDefault="00F815BE">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Ранжирование регионов в рамках включенности в трансграничные маршруты</w:t>
      </w:r>
    </w:p>
    <w:tbl>
      <w:tblPr>
        <w:tblStyle w:val="af1"/>
        <w:tblW w:w="9072" w:type="dxa"/>
        <w:tblInd w:w="108" w:type="dxa"/>
        <w:tblLayout w:type="fixed"/>
        <w:tblLook w:val="04A0" w:firstRow="1" w:lastRow="0" w:firstColumn="1" w:lastColumn="0" w:noHBand="0" w:noVBand="1"/>
      </w:tblPr>
      <w:tblGrid>
        <w:gridCol w:w="426"/>
        <w:gridCol w:w="3543"/>
        <w:gridCol w:w="851"/>
        <w:gridCol w:w="850"/>
        <w:gridCol w:w="709"/>
        <w:gridCol w:w="851"/>
        <w:gridCol w:w="850"/>
        <w:gridCol w:w="992"/>
      </w:tblGrid>
      <w:tr w:rsidR="00517711">
        <w:trPr>
          <w:cantSplit/>
          <w:trHeight w:val="1347"/>
        </w:trPr>
        <w:tc>
          <w:tcPr>
            <w:tcW w:w="426" w:type="dxa"/>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w:t>
            </w:r>
          </w:p>
        </w:tc>
        <w:tc>
          <w:tcPr>
            <w:tcW w:w="3543" w:type="dxa"/>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Наименование маршрута</w:t>
            </w:r>
          </w:p>
        </w:tc>
        <w:tc>
          <w:tcPr>
            <w:tcW w:w="851" w:type="dxa"/>
            <w:textDirection w:val="btLr"/>
          </w:tcPr>
          <w:p w:rsidR="00517711" w:rsidRDefault="00F815BE">
            <w:pPr>
              <w:ind w:left="113" w:right="113"/>
              <w:jc w:val="both"/>
              <w:rPr>
                <w:rFonts w:ascii="Times New Roman" w:hAnsi="Times New Roman" w:cs="Times New Roman"/>
                <w:sz w:val="20"/>
                <w:szCs w:val="20"/>
              </w:rPr>
            </w:pPr>
            <w:r>
              <w:rPr>
                <w:rFonts w:ascii="Times New Roman" w:hAnsi="Times New Roman" w:cs="Times New Roman"/>
                <w:sz w:val="20"/>
                <w:szCs w:val="20"/>
              </w:rPr>
              <w:t>Приморский край</w:t>
            </w:r>
          </w:p>
        </w:tc>
        <w:tc>
          <w:tcPr>
            <w:tcW w:w="850" w:type="dxa"/>
            <w:textDirection w:val="btLr"/>
          </w:tcPr>
          <w:p w:rsidR="00517711" w:rsidRDefault="00F815BE">
            <w:pPr>
              <w:ind w:left="113" w:right="113"/>
              <w:jc w:val="both"/>
              <w:rPr>
                <w:rFonts w:ascii="Times New Roman" w:hAnsi="Times New Roman" w:cs="Times New Roman"/>
                <w:sz w:val="20"/>
                <w:szCs w:val="20"/>
              </w:rPr>
            </w:pPr>
            <w:r>
              <w:rPr>
                <w:rFonts w:ascii="Times New Roman" w:hAnsi="Times New Roman" w:cs="Times New Roman"/>
                <w:sz w:val="20"/>
                <w:szCs w:val="20"/>
              </w:rPr>
              <w:t>Хабаровский край</w:t>
            </w:r>
          </w:p>
        </w:tc>
        <w:tc>
          <w:tcPr>
            <w:tcW w:w="709" w:type="dxa"/>
            <w:textDirection w:val="btLr"/>
          </w:tcPr>
          <w:p w:rsidR="00517711" w:rsidRDefault="00F815BE">
            <w:pPr>
              <w:ind w:left="113" w:right="113"/>
              <w:jc w:val="both"/>
              <w:rPr>
                <w:rFonts w:ascii="Times New Roman" w:hAnsi="Times New Roman" w:cs="Times New Roman"/>
                <w:sz w:val="20"/>
                <w:szCs w:val="20"/>
              </w:rPr>
            </w:pPr>
            <w:r>
              <w:rPr>
                <w:rFonts w:ascii="Times New Roman" w:hAnsi="Times New Roman" w:cs="Times New Roman"/>
                <w:sz w:val="20"/>
                <w:szCs w:val="20"/>
              </w:rPr>
              <w:t>Камчатский край</w:t>
            </w:r>
          </w:p>
        </w:tc>
        <w:tc>
          <w:tcPr>
            <w:tcW w:w="851" w:type="dxa"/>
            <w:textDirection w:val="btLr"/>
          </w:tcPr>
          <w:p w:rsidR="00517711" w:rsidRDefault="00F815BE">
            <w:pPr>
              <w:ind w:left="113" w:right="113"/>
              <w:jc w:val="both"/>
              <w:rPr>
                <w:rFonts w:ascii="Times New Roman" w:hAnsi="Times New Roman" w:cs="Times New Roman"/>
                <w:sz w:val="20"/>
                <w:szCs w:val="20"/>
              </w:rPr>
            </w:pPr>
            <w:r>
              <w:rPr>
                <w:rFonts w:ascii="Times New Roman" w:hAnsi="Times New Roman" w:cs="Times New Roman"/>
                <w:sz w:val="20"/>
                <w:szCs w:val="20"/>
              </w:rPr>
              <w:t>Магаданская область</w:t>
            </w:r>
          </w:p>
        </w:tc>
        <w:tc>
          <w:tcPr>
            <w:tcW w:w="850" w:type="dxa"/>
            <w:textDirection w:val="btLr"/>
          </w:tcPr>
          <w:p w:rsidR="00517711" w:rsidRDefault="00F815BE">
            <w:pPr>
              <w:ind w:left="113" w:right="113"/>
              <w:jc w:val="both"/>
              <w:rPr>
                <w:rFonts w:ascii="Times New Roman" w:hAnsi="Times New Roman" w:cs="Times New Roman"/>
                <w:sz w:val="20"/>
                <w:szCs w:val="20"/>
              </w:rPr>
            </w:pPr>
            <w:r>
              <w:rPr>
                <w:rFonts w:ascii="Times New Roman" w:hAnsi="Times New Roman" w:cs="Times New Roman"/>
                <w:sz w:val="20"/>
                <w:szCs w:val="20"/>
              </w:rPr>
              <w:t>Сахалинская область</w:t>
            </w:r>
          </w:p>
        </w:tc>
        <w:tc>
          <w:tcPr>
            <w:tcW w:w="992" w:type="dxa"/>
            <w:textDirection w:val="btLr"/>
          </w:tcPr>
          <w:p w:rsidR="00517711" w:rsidRDefault="00F815BE">
            <w:pPr>
              <w:ind w:left="113" w:right="113"/>
              <w:rPr>
                <w:rFonts w:ascii="Times New Roman" w:hAnsi="Times New Roman" w:cs="Times New Roman"/>
                <w:sz w:val="20"/>
                <w:szCs w:val="20"/>
              </w:rPr>
            </w:pPr>
            <w:r>
              <w:rPr>
                <w:rFonts w:ascii="Times New Roman" w:hAnsi="Times New Roman" w:cs="Times New Roman"/>
                <w:sz w:val="20"/>
                <w:szCs w:val="20"/>
              </w:rPr>
              <w:t>Республика Саха (Якутия)</w:t>
            </w:r>
          </w:p>
        </w:tc>
      </w:tr>
      <w:tr w:rsidR="00517711">
        <w:tc>
          <w:tcPr>
            <w:tcW w:w="426" w:type="dxa"/>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1</w:t>
            </w:r>
          </w:p>
        </w:tc>
        <w:tc>
          <w:tcPr>
            <w:tcW w:w="3543" w:type="dxa"/>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«Восточное кольцо»</w:t>
            </w:r>
          </w:p>
        </w:tc>
        <w:tc>
          <w:tcPr>
            <w:tcW w:w="851"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c>
          <w:tcPr>
            <w:tcW w:w="85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c>
          <w:tcPr>
            <w:tcW w:w="851" w:type="dxa"/>
          </w:tcPr>
          <w:p w:rsidR="00517711" w:rsidRDefault="00517711">
            <w:pPr>
              <w:jc w:val="center"/>
              <w:rPr>
                <w:rFonts w:ascii="Times New Roman" w:hAnsi="Times New Roman" w:cs="Times New Roman"/>
                <w:sz w:val="20"/>
                <w:szCs w:val="20"/>
              </w:rPr>
            </w:pPr>
          </w:p>
        </w:tc>
        <w:tc>
          <w:tcPr>
            <w:tcW w:w="850" w:type="dxa"/>
          </w:tcPr>
          <w:p w:rsidR="00517711" w:rsidRDefault="00517711">
            <w:pPr>
              <w:jc w:val="center"/>
              <w:rPr>
                <w:rFonts w:ascii="Times New Roman" w:hAnsi="Times New Roman" w:cs="Times New Roman"/>
                <w:sz w:val="20"/>
                <w:szCs w:val="20"/>
              </w:rPr>
            </w:pPr>
          </w:p>
        </w:tc>
        <w:tc>
          <w:tcPr>
            <w:tcW w:w="992" w:type="dxa"/>
          </w:tcPr>
          <w:p w:rsidR="00517711" w:rsidRDefault="00517711">
            <w:pPr>
              <w:jc w:val="center"/>
              <w:rPr>
                <w:rFonts w:ascii="Times New Roman" w:hAnsi="Times New Roman" w:cs="Times New Roman"/>
                <w:sz w:val="20"/>
                <w:szCs w:val="20"/>
              </w:rPr>
            </w:pPr>
          </w:p>
        </w:tc>
      </w:tr>
      <w:tr w:rsidR="00517711">
        <w:tc>
          <w:tcPr>
            <w:tcW w:w="426" w:type="dxa"/>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2</w:t>
            </w:r>
          </w:p>
        </w:tc>
        <w:tc>
          <w:tcPr>
            <w:tcW w:w="3543" w:type="dxa"/>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«Восточное ожерелье»</w:t>
            </w:r>
          </w:p>
        </w:tc>
        <w:tc>
          <w:tcPr>
            <w:tcW w:w="851"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c>
          <w:tcPr>
            <w:tcW w:w="85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c>
          <w:tcPr>
            <w:tcW w:w="851" w:type="dxa"/>
          </w:tcPr>
          <w:p w:rsidR="00517711" w:rsidRDefault="00517711">
            <w:pPr>
              <w:jc w:val="center"/>
              <w:rPr>
                <w:rFonts w:ascii="Times New Roman" w:hAnsi="Times New Roman" w:cs="Times New Roman"/>
                <w:sz w:val="20"/>
                <w:szCs w:val="20"/>
              </w:rPr>
            </w:pPr>
          </w:p>
        </w:tc>
        <w:tc>
          <w:tcPr>
            <w:tcW w:w="85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c>
          <w:tcPr>
            <w:tcW w:w="992" w:type="dxa"/>
          </w:tcPr>
          <w:p w:rsidR="00517711" w:rsidRDefault="00517711">
            <w:pPr>
              <w:jc w:val="center"/>
              <w:rPr>
                <w:rFonts w:ascii="Times New Roman" w:hAnsi="Times New Roman" w:cs="Times New Roman"/>
                <w:sz w:val="20"/>
                <w:szCs w:val="20"/>
              </w:rPr>
            </w:pPr>
          </w:p>
        </w:tc>
      </w:tr>
      <w:tr w:rsidR="00517711">
        <w:tc>
          <w:tcPr>
            <w:tcW w:w="426" w:type="dxa"/>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3</w:t>
            </w:r>
          </w:p>
        </w:tc>
        <w:tc>
          <w:tcPr>
            <w:tcW w:w="3543" w:type="dxa"/>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«Пять элементов»</w:t>
            </w:r>
          </w:p>
        </w:tc>
        <w:tc>
          <w:tcPr>
            <w:tcW w:w="851"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c>
          <w:tcPr>
            <w:tcW w:w="85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c>
          <w:tcPr>
            <w:tcW w:w="851" w:type="dxa"/>
          </w:tcPr>
          <w:p w:rsidR="00517711" w:rsidRDefault="00517711">
            <w:pPr>
              <w:jc w:val="center"/>
              <w:rPr>
                <w:rFonts w:ascii="Times New Roman" w:hAnsi="Times New Roman" w:cs="Times New Roman"/>
                <w:sz w:val="20"/>
                <w:szCs w:val="20"/>
              </w:rPr>
            </w:pPr>
          </w:p>
        </w:tc>
        <w:tc>
          <w:tcPr>
            <w:tcW w:w="850" w:type="dxa"/>
          </w:tcPr>
          <w:p w:rsidR="00517711" w:rsidRDefault="00517711">
            <w:pPr>
              <w:jc w:val="center"/>
              <w:rPr>
                <w:rFonts w:ascii="Times New Roman" w:hAnsi="Times New Roman" w:cs="Times New Roman"/>
                <w:sz w:val="20"/>
                <w:szCs w:val="20"/>
              </w:rPr>
            </w:pPr>
          </w:p>
        </w:tc>
        <w:tc>
          <w:tcPr>
            <w:tcW w:w="992"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r>
      <w:tr w:rsidR="00517711">
        <w:tc>
          <w:tcPr>
            <w:tcW w:w="426" w:type="dxa"/>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4</w:t>
            </w:r>
          </w:p>
        </w:tc>
        <w:tc>
          <w:tcPr>
            <w:tcW w:w="3543" w:type="dxa"/>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«Большая рыбалка «Якутск-Магадан»</w:t>
            </w:r>
          </w:p>
        </w:tc>
        <w:tc>
          <w:tcPr>
            <w:tcW w:w="851" w:type="dxa"/>
          </w:tcPr>
          <w:p w:rsidR="00517711" w:rsidRDefault="00517711">
            <w:pPr>
              <w:jc w:val="center"/>
              <w:rPr>
                <w:rFonts w:ascii="Times New Roman" w:hAnsi="Times New Roman" w:cs="Times New Roman"/>
                <w:sz w:val="20"/>
                <w:szCs w:val="20"/>
              </w:rPr>
            </w:pPr>
          </w:p>
        </w:tc>
        <w:tc>
          <w:tcPr>
            <w:tcW w:w="850" w:type="dxa"/>
          </w:tcPr>
          <w:p w:rsidR="00517711" w:rsidRDefault="00517711">
            <w:pPr>
              <w:jc w:val="center"/>
              <w:rPr>
                <w:rFonts w:ascii="Times New Roman" w:hAnsi="Times New Roman" w:cs="Times New Roman"/>
                <w:sz w:val="20"/>
                <w:szCs w:val="20"/>
              </w:rPr>
            </w:pPr>
          </w:p>
        </w:tc>
        <w:tc>
          <w:tcPr>
            <w:tcW w:w="709" w:type="dxa"/>
          </w:tcPr>
          <w:p w:rsidR="00517711" w:rsidRDefault="00517711">
            <w:pPr>
              <w:jc w:val="center"/>
              <w:rPr>
                <w:rFonts w:ascii="Times New Roman" w:hAnsi="Times New Roman" w:cs="Times New Roman"/>
                <w:sz w:val="20"/>
                <w:szCs w:val="20"/>
              </w:rPr>
            </w:pPr>
          </w:p>
        </w:tc>
        <w:tc>
          <w:tcPr>
            <w:tcW w:w="851"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c>
          <w:tcPr>
            <w:tcW w:w="850" w:type="dxa"/>
          </w:tcPr>
          <w:p w:rsidR="00517711" w:rsidRDefault="00517711">
            <w:pPr>
              <w:jc w:val="center"/>
              <w:rPr>
                <w:rFonts w:ascii="Times New Roman" w:hAnsi="Times New Roman" w:cs="Times New Roman"/>
                <w:sz w:val="20"/>
                <w:szCs w:val="20"/>
              </w:rPr>
            </w:pPr>
          </w:p>
        </w:tc>
        <w:tc>
          <w:tcPr>
            <w:tcW w:w="992"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r>
      <w:tr w:rsidR="00517711">
        <w:tc>
          <w:tcPr>
            <w:tcW w:w="426" w:type="dxa"/>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5</w:t>
            </w:r>
          </w:p>
        </w:tc>
        <w:tc>
          <w:tcPr>
            <w:tcW w:w="3543" w:type="dxa"/>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«Тигровый бриллиант»</w:t>
            </w:r>
          </w:p>
        </w:tc>
        <w:tc>
          <w:tcPr>
            <w:tcW w:w="851"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c>
          <w:tcPr>
            <w:tcW w:w="85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c>
          <w:tcPr>
            <w:tcW w:w="851" w:type="dxa"/>
          </w:tcPr>
          <w:p w:rsidR="00517711" w:rsidRDefault="00517711">
            <w:pPr>
              <w:jc w:val="center"/>
              <w:rPr>
                <w:rFonts w:ascii="Times New Roman" w:hAnsi="Times New Roman" w:cs="Times New Roman"/>
                <w:sz w:val="20"/>
                <w:szCs w:val="20"/>
              </w:rPr>
            </w:pPr>
          </w:p>
        </w:tc>
        <w:tc>
          <w:tcPr>
            <w:tcW w:w="850" w:type="dxa"/>
          </w:tcPr>
          <w:p w:rsidR="00517711" w:rsidRDefault="00517711">
            <w:pPr>
              <w:jc w:val="center"/>
              <w:rPr>
                <w:rFonts w:ascii="Times New Roman" w:hAnsi="Times New Roman" w:cs="Times New Roman"/>
                <w:sz w:val="20"/>
                <w:szCs w:val="20"/>
              </w:rPr>
            </w:pPr>
          </w:p>
        </w:tc>
        <w:tc>
          <w:tcPr>
            <w:tcW w:w="992"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r>
      <w:tr w:rsidR="00517711">
        <w:tc>
          <w:tcPr>
            <w:tcW w:w="426" w:type="dxa"/>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6</w:t>
            </w:r>
          </w:p>
        </w:tc>
        <w:tc>
          <w:tcPr>
            <w:tcW w:w="3543" w:type="dxa"/>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«Легенды Тихого океана»</w:t>
            </w:r>
          </w:p>
        </w:tc>
        <w:tc>
          <w:tcPr>
            <w:tcW w:w="851"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c>
          <w:tcPr>
            <w:tcW w:w="850" w:type="dxa"/>
          </w:tcPr>
          <w:p w:rsidR="00517711" w:rsidRDefault="00517711">
            <w:pPr>
              <w:jc w:val="center"/>
              <w:rPr>
                <w:rFonts w:ascii="Times New Roman" w:hAnsi="Times New Roman" w:cs="Times New Roman"/>
                <w:sz w:val="20"/>
                <w:szCs w:val="20"/>
              </w:rPr>
            </w:pPr>
          </w:p>
        </w:tc>
        <w:tc>
          <w:tcPr>
            <w:tcW w:w="709" w:type="dxa"/>
          </w:tcPr>
          <w:p w:rsidR="00517711" w:rsidRDefault="00517711">
            <w:pPr>
              <w:jc w:val="center"/>
              <w:rPr>
                <w:rFonts w:ascii="Times New Roman" w:hAnsi="Times New Roman" w:cs="Times New Roman"/>
                <w:sz w:val="20"/>
                <w:szCs w:val="20"/>
              </w:rPr>
            </w:pPr>
          </w:p>
        </w:tc>
        <w:tc>
          <w:tcPr>
            <w:tcW w:w="851" w:type="dxa"/>
          </w:tcPr>
          <w:p w:rsidR="00517711" w:rsidRDefault="00517711">
            <w:pPr>
              <w:jc w:val="center"/>
              <w:rPr>
                <w:rFonts w:ascii="Times New Roman" w:hAnsi="Times New Roman" w:cs="Times New Roman"/>
                <w:sz w:val="20"/>
                <w:szCs w:val="20"/>
              </w:rPr>
            </w:pPr>
          </w:p>
        </w:tc>
        <w:tc>
          <w:tcPr>
            <w:tcW w:w="85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c>
          <w:tcPr>
            <w:tcW w:w="992" w:type="dxa"/>
          </w:tcPr>
          <w:p w:rsidR="00517711" w:rsidRDefault="00517711">
            <w:pPr>
              <w:jc w:val="center"/>
              <w:rPr>
                <w:rFonts w:ascii="Times New Roman" w:hAnsi="Times New Roman" w:cs="Times New Roman"/>
                <w:sz w:val="20"/>
                <w:szCs w:val="20"/>
              </w:rPr>
            </w:pPr>
          </w:p>
        </w:tc>
      </w:tr>
      <w:tr w:rsidR="00517711">
        <w:tc>
          <w:tcPr>
            <w:tcW w:w="426" w:type="dxa"/>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w:t>
            </w:r>
          </w:p>
        </w:tc>
        <w:tc>
          <w:tcPr>
            <w:tcW w:w="3543" w:type="dxa"/>
          </w:tcPr>
          <w:p w:rsidR="00517711" w:rsidRDefault="00517711">
            <w:pPr>
              <w:jc w:val="both"/>
              <w:rPr>
                <w:rFonts w:ascii="Times New Roman" w:hAnsi="Times New Roman" w:cs="Times New Roman"/>
                <w:sz w:val="20"/>
                <w:szCs w:val="20"/>
              </w:rPr>
            </w:pPr>
          </w:p>
        </w:tc>
        <w:tc>
          <w:tcPr>
            <w:tcW w:w="851" w:type="dxa"/>
          </w:tcPr>
          <w:p w:rsidR="00517711" w:rsidRDefault="00517711">
            <w:pPr>
              <w:jc w:val="center"/>
              <w:rPr>
                <w:rFonts w:ascii="Times New Roman" w:hAnsi="Times New Roman" w:cs="Times New Roman"/>
                <w:sz w:val="20"/>
                <w:szCs w:val="20"/>
              </w:rPr>
            </w:pPr>
          </w:p>
        </w:tc>
        <w:tc>
          <w:tcPr>
            <w:tcW w:w="850" w:type="dxa"/>
          </w:tcPr>
          <w:p w:rsidR="00517711" w:rsidRDefault="00517711">
            <w:pPr>
              <w:jc w:val="center"/>
              <w:rPr>
                <w:rFonts w:ascii="Times New Roman" w:hAnsi="Times New Roman" w:cs="Times New Roman"/>
                <w:sz w:val="20"/>
                <w:szCs w:val="20"/>
              </w:rPr>
            </w:pPr>
          </w:p>
        </w:tc>
        <w:tc>
          <w:tcPr>
            <w:tcW w:w="709" w:type="dxa"/>
          </w:tcPr>
          <w:p w:rsidR="00517711" w:rsidRDefault="00517711">
            <w:pPr>
              <w:jc w:val="center"/>
              <w:rPr>
                <w:rFonts w:ascii="Times New Roman" w:hAnsi="Times New Roman" w:cs="Times New Roman"/>
                <w:sz w:val="20"/>
                <w:szCs w:val="20"/>
              </w:rPr>
            </w:pPr>
          </w:p>
        </w:tc>
        <w:tc>
          <w:tcPr>
            <w:tcW w:w="851" w:type="dxa"/>
          </w:tcPr>
          <w:p w:rsidR="00517711" w:rsidRDefault="00517711">
            <w:pPr>
              <w:jc w:val="center"/>
              <w:rPr>
                <w:rFonts w:ascii="Times New Roman" w:hAnsi="Times New Roman" w:cs="Times New Roman"/>
                <w:sz w:val="20"/>
                <w:szCs w:val="20"/>
              </w:rPr>
            </w:pPr>
          </w:p>
        </w:tc>
        <w:tc>
          <w:tcPr>
            <w:tcW w:w="850" w:type="dxa"/>
          </w:tcPr>
          <w:p w:rsidR="00517711" w:rsidRDefault="00517711">
            <w:pPr>
              <w:jc w:val="center"/>
              <w:rPr>
                <w:rFonts w:ascii="Times New Roman" w:hAnsi="Times New Roman" w:cs="Times New Roman"/>
                <w:sz w:val="20"/>
                <w:szCs w:val="20"/>
              </w:rPr>
            </w:pPr>
          </w:p>
        </w:tc>
        <w:tc>
          <w:tcPr>
            <w:tcW w:w="992" w:type="dxa"/>
          </w:tcPr>
          <w:p w:rsidR="00517711" w:rsidRDefault="00517711">
            <w:pPr>
              <w:jc w:val="center"/>
              <w:rPr>
                <w:rFonts w:ascii="Times New Roman" w:hAnsi="Times New Roman" w:cs="Times New Roman"/>
                <w:sz w:val="20"/>
                <w:szCs w:val="20"/>
              </w:rPr>
            </w:pPr>
          </w:p>
        </w:tc>
      </w:tr>
      <w:tr w:rsidR="00517711">
        <w:tc>
          <w:tcPr>
            <w:tcW w:w="426" w:type="dxa"/>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30</w:t>
            </w:r>
          </w:p>
        </w:tc>
        <w:tc>
          <w:tcPr>
            <w:tcW w:w="3543" w:type="dxa"/>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«Якутия - Хабаровский край - Приморье»</w:t>
            </w:r>
          </w:p>
        </w:tc>
        <w:tc>
          <w:tcPr>
            <w:tcW w:w="851"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c>
          <w:tcPr>
            <w:tcW w:w="85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517711" w:rsidRDefault="00517711">
            <w:pPr>
              <w:jc w:val="center"/>
              <w:rPr>
                <w:rFonts w:ascii="Times New Roman" w:hAnsi="Times New Roman" w:cs="Times New Roman"/>
                <w:sz w:val="20"/>
                <w:szCs w:val="20"/>
              </w:rPr>
            </w:pPr>
          </w:p>
        </w:tc>
        <w:tc>
          <w:tcPr>
            <w:tcW w:w="851" w:type="dxa"/>
          </w:tcPr>
          <w:p w:rsidR="00517711" w:rsidRDefault="00517711">
            <w:pPr>
              <w:jc w:val="center"/>
              <w:rPr>
                <w:rFonts w:ascii="Times New Roman" w:hAnsi="Times New Roman" w:cs="Times New Roman"/>
                <w:sz w:val="20"/>
                <w:szCs w:val="20"/>
              </w:rPr>
            </w:pPr>
          </w:p>
        </w:tc>
        <w:tc>
          <w:tcPr>
            <w:tcW w:w="850" w:type="dxa"/>
          </w:tcPr>
          <w:p w:rsidR="00517711" w:rsidRDefault="00517711">
            <w:pPr>
              <w:jc w:val="center"/>
              <w:rPr>
                <w:rFonts w:ascii="Times New Roman" w:hAnsi="Times New Roman" w:cs="Times New Roman"/>
                <w:sz w:val="20"/>
                <w:szCs w:val="20"/>
              </w:rPr>
            </w:pPr>
          </w:p>
        </w:tc>
        <w:tc>
          <w:tcPr>
            <w:tcW w:w="992"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r>
      <w:tr w:rsidR="00517711">
        <w:tc>
          <w:tcPr>
            <w:tcW w:w="426" w:type="dxa"/>
          </w:tcPr>
          <w:p w:rsidR="00517711" w:rsidRDefault="00517711">
            <w:pPr>
              <w:jc w:val="both"/>
              <w:rPr>
                <w:rFonts w:ascii="Times New Roman" w:hAnsi="Times New Roman" w:cs="Times New Roman"/>
                <w:sz w:val="20"/>
                <w:szCs w:val="20"/>
              </w:rPr>
            </w:pPr>
          </w:p>
        </w:tc>
        <w:tc>
          <w:tcPr>
            <w:tcW w:w="3543" w:type="dxa"/>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Итого</w:t>
            </w:r>
          </w:p>
        </w:tc>
        <w:tc>
          <w:tcPr>
            <w:tcW w:w="851"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28</w:t>
            </w:r>
          </w:p>
        </w:tc>
        <w:tc>
          <w:tcPr>
            <w:tcW w:w="85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13</w:t>
            </w:r>
          </w:p>
        </w:tc>
        <w:tc>
          <w:tcPr>
            <w:tcW w:w="709"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14</w:t>
            </w:r>
          </w:p>
        </w:tc>
        <w:tc>
          <w:tcPr>
            <w:tcW w:w="851"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3</w:t>
            </w:r>
          </w:p>
        </w:tc>
        <w:tc>
          <w:tcPr>
            <w:tcW w:w="85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6</w:t>
            </w:r>
          </w:p>
        </w:tc>
        <w:tc>
          <w:tcPr>
            <w:tcW w:w="992"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9</w:t>
            </w:r>
          </w:p>
        </w:tc>
      </w:tr>
      <w:tr w:rsidR="00517711">
        <w:tc>
          <w:tcPr>
            <w:tcW w:w="426" w:type="dxa"/>
          </w:tcPr>
          <w:p w:rsidR="00517711" w:rsidRDefault="00517711">
            <w:pPr>
              <w:jc w:val="both"/>
              <w:rPr>
                <w:rFonts w:ascii="Times New Roman" w:hAnsi="Times New Roman" w:cs="Times New Roman"/>
                <w:sz w:val="20"/>
                <w:szCs w:val="20"/>
              </w:rPr>
            </w:pPr>
          </w:p>
        </w:tc>
        <w:tc>
          <w:tcPr>
            <w:tcW w:w="3543" w:type="dxa"/>
          </w:tcPr>
          <w:p w:rsidR="00517711" w:rsidRDefault="00517711">
            <w:pPr>
              <w:jc w:val="both"/>
              <w:rPr>
                <w:rFonts w:ascii="Times New Roman" w:hAnsi="Times New Roman" w:cs="Times New Roman"/>
                <w:sz w:val="20"/>
                <w:szCs w:val="20"/>
              </w:rPr>
            </w:pPr>
          </w:p>
        </w:tc>
        <w:tc>
          <w:tcPr>
            <w:tcW w:w="851" w:type="dxa"/>
          </w:tcPr>
          <w:p w:rsidR="00517711" w:rsidRDefault="00517711">
            <w:pPr>
              <w:jc w:val="center"/>
              <w:rPr>
                <w:rFonts w:ascii="Times New Roman" w:hAnsi="Times New Roman" w:cs="Times New Roman"/>
                <w:sz w:val="20"/>
                <w:szCs w:val="20"/>
              </w:rPr>
            </w:pPr>
          </w:p>
        </w:tc>
        <w:tc>
          <w:tcPr>
            <w:tcW w:w="850" w:type="dxa"/>
          </w:tcPr>
          <w:p w:rsidR="00517711" w:rsidRDefault="00517711">
            <w:pPr>
              <w:jc w:val="center"/>
              <w:rPr>
                <w:rFonts w:ascii="Times New Roman" w:hAnsi="Times New Roman" w:cs="Times New Roman"/>
                <w:sz w:val="20"/>
                <w:szCs w:val="20"/>
              </w:rPr>
            </w:pPr>
          </w:p>
        </w:tc>
        <w:tc>
          <w:tcPr>
            <w:tcW w:w="709" w:type="dxa"/>
          </w:tcPr>
          <w:p w:rsidR="00517711" w:rsidRDefault="00517711">
            <w:pPr>
              <w:jc w:val="center"/>
              <w:rPr>
                <w:rFonts w:ascii="Times New Roman" w:hAnsi="Times New Roman" w:cs="Times New Roman"/>
                <w:sz w:val="20"/>
                <w:szCs w:val="20"/>
              </w:rPr>
            </w:pPr>
          </w:p>
        </w:tc>
        <w:tc>
          <w:tcPr>
            <w:tcW w:w="851" w:type="dxa"/>
          </w:tcPr>
          <w:p w:rsidR="00517711" w:rsidRDefault="00517711">
            <w:pPr>
              <w:jc w:val="center"/>
              <w:rPr>
                <w:rFonts w:ascii="Times New Roman" w:hAnsi="Times New Roman" w:cs="Times New Roman"/>
                <w:sz w:val="20"/>
                <w:szCs w:val="20"/>
              </w:rPr>
            </w:pPr>
          </w:p>
        </w:tc>
        <w:tc>
          <w:tcPr>
            <w:tcW w:w="850" w:type="dxa"/>
          </w:tcPr>
          <w:p w:rsidR="00517711" w:rsidRDefault="00517711">
            <w:pPr>
              <w:jc w:val="center"/>
              <w:rPr>
                <w:rFonts w:ascii="Times New Roman" w:hAnsi="Times New Roman" w:cs="Times New Roman"/>
                <w:sz w:val="20"/>
                <w:szCs w:val="20"/>
              </w:rPr>
            </w:pPr>
          </w:p>
        </w:tc>
        <w:tc>
          <w:tcPr>
            <w:tcW w:w="992" w:type="dxa"/>
          </w:tcPr>
          <w:p w:rsidR="00517711" w:rsidRDefault="00517711">
            <w:pPr>
              <w:jc w:val="center"/>
              <w:rPr>
                <w:rFonts w:ascii="Times New Roman" w:hAnsi="Times New Roman" w:cs="Times New Roman"/>
                <w:sz w:val="20"/>
                <w:szCs w:val="20"/>
              </w:rPr>
            </w:pPr>
          </w:p>
        </w:tc>
      </w:tr>
    </w:tbl>
    <w:p w:rsidR="00517711" w:rsidRDefault="00F815BE">
      <w:pPr>
        <w:spacing w:after="0" w:line="240" w:lineRule="auto"/>
        <w:jc w:val="center"/>
        <w:rPr>
          <w:rFonts w:ascii="Times New Roman" w:hAnsi="Times New Roman" w:cs="Times New Roman"/>
          <w:b/>
          <w:sz w:val="20"/>
          <w:szCs w:val="20"/>
        </w:rPr>
      </w:pPr>
      <w:r>
        <w:rPr>
          <w:rFonts w:ascii="Times New Roman" w:hAnsi="Times New Roman" w:cs="Times New Roman"/>
          <w:b/>
          <w:noProof/>
          <w:sz w:val="20"/>
          <w:szCs w:val="20"/>
          <w:lang w:eastAsia="ru-RU"/>
        </w:rPr>
        <w:drawing>
          <wp:inline distT="0" distB="0" distL="0" distR="0">
            <wp:extent cx="3657600" cy="2113152"/>
            <wp:effectExtent l="0" t="0" r="0" b="0"/>
            <wp:docPr id="59"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Рисунок 2"/>
                    <pic:cNvPicPr>
                      <a:picLocks noChangeAspect="1"/>
                    </pic:cNvPicPr>
                  </pic:nvPicPr>
                  <pic:blipFill>
                    <a:blip r:embed="rId93"/>
                    <a:stretch/>
                  </pic:blipFill>
                  <pic:spPr bwMode="auto">
                    <a:xfrm>
                      <a:off x="0" y="0"/>
                      <a:ext cx="3657600" cy="2112645"/>
                    </a:xfrm>
                    <a:prstGeom prst="rect">
                      <a:avLst/>
                    </a:prstGeom>
                    <a:ln>
                      <a:noFill/>
                    </a:ln>
                  </pic:spPr>
                </pic:pic>
              </a:graphicData>
            </a:graphic>
          </wp:inline>
        </w:drawing>
      </w:r>
    </w:p>
    <w:p w:rsidR="00517711" w:rsidRDefault="00F815BE">
      <w:pPr>
        <w:spacing w:after="120" w:line="240" w:lineRule="auto"/>
        <w:jc w:val="center"/>
        <w:rPr>
          <w:rFonts w:ascii="Times New Roman" w:hAnsi="Times New Roman" w:cs="Times New Roman"/>
          <w:b/>
          <w:sz w:val="20"/>
          <w:szCs w:val="20"/>
        </w:rPr>
      </w:pPr>
      <w:r>
        <w:rPr>
          <w:rFonts w:ascii="Times New Roman" w:hAnsi="Times New Roman" w:cs="Times New Roman"/>
          <w:b/>
          <w:sz w:val="20"/>
          <w:szCs w:val="20"/>
        </w:rPr>
        <w:t>Рис.2. Ранжирование регионов в рамках включенности в трансграничные маршруты Разработано авторами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На основе  представленных данных можно заключить, что Приморский край является ключевой точкой развития межрегиональных туров ДФО, так 28 из 30 проанализированных маршрутов (93%) проходят через территорию региона, что определяет Приморский край преимущественно как транзитный регион для туристов из стран Северо-Восточной Азии.    Следующим по популярности посещения является Камчатский край, на </w:t>
      </w:r>
      <w:r>
        <w:rPr>
          <w:rFonts w:ascii="Times New Roman" w:hAnsi="Times New Roman" w:cs="Times New Roman"/>
          <w:sz w:val="20"/>
          <w:szCs w:val="20"/>
        </w:rPr>
        <w:lastRenderedPageBreak/>
        <w:t>одну позицию от него отстает Хабаровский край. Через регионы проходит 14 и 13 маршрутов соответственно, в процентном значении популярность регионов выражается в 47% (Камчатский край) и 43% (Хабаровский край).  Через Республику Саха (Якутия) проходит треть маршрутов, что составляет 30% от общего значения. Еще ниже по значению показателей располагается Сахалинская область, на ее территории проходит 6 маршрутов или 20%.  Наименьшее число маршрутов лежит в Магаданской области, её рейтинг составляет около 10% (3 маршрута).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Таким образом, трансграничность является ключевым фактором развития данной территории, сфера туризма при этом принимает следующие особенности. Во-первых, близость стран АТР, что определяет доступность ДФО для жителей данных территорий. Во-вторых, широкие возможности для расширения внешнеэкономических связей и организации международных проектов и маршрутов. В-третьих, наличие необходимых ресурсов дает возможность развивать Дальневосточный федеральный округ в рамках трансграничных туров под брендом «Восточное кольцо России». Более того, при системном продвижении бренда можно существенно увеличить популярность региона.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______________________________</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1  Кулакова Л.И. Особенности взаимодействия бизнеса и власти в привлечении туристов из КНР в Камчатский край/ Л.И. Кулакова.: Владивосток, 2017</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2 Левинталь, А. Развитие туризма между Дальним Востоком России и Республикой Корея / А. Левинталь // Вестник ТОГУ. –  №3. – 2013.</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3 Россия и Китай: от проектов к результатам: мат. междунар. науч. форума магистрантов, аспирантов и молодых ученых и вузов Ассоциации Дальнего Востока и Сибири РФ и северо-восточных регионов КНР / под общ. ред. А.П. Латкина; Владивосток. гос. ун-т экономики и сервиса. - Владивосток: Изд-во ВГУЭС, 2017. - 288 с. [Электронный ресурс] – Режим доступа: http://science.vvsu.ru›files/C8FEAA98-8ABE-4F56-82B0-060B005546D3</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4 Степанова С.В. Общие тенденции и особенности развития инфраструктуры туризма российских регионов / С.В. Степанова // Вестник Московского университета. Сер. 6: Экономика. № 3. – 2016.</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5 Степанова С. В. Трансграничные туристские маршруты: возможности северо-запада России. Туристический маршрут «Остров двух рек». -  2017. - [Электронный ресурс] – Режим доступа: http://fuyuan.ru/3204</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6 Федеральный закон «О свободном порте Владивосток» от 13.07.2015 № 212-ФЗ // КонсультантПлюс: справ. правовая система. [Электронный ресурс] – Режим доступа: http://www.consultant.ru/document/cons_doc_LAW_182596/</w:t>
      </w:r>
    </w:p>
    <w:p w:rsidR="00517711" w:rsidRDefault="00517711"/>
    <w:p w:rsidR="00517711" w:rsidRDefault="00517711">
      <w:pPr>
        <w:tabs>
          <w:tab w:val="left" w:pos="993"/>
        </w:tabs>
        <w:spacing w:after="0" w:line="240" w:lineRule="auto"/>
        <w:jc w:val="both"/>
        <w:rPr>
          <w:rFonts w:ascii="Book Antiqua" w:hAnsi="Book Antiqua"/>
          <w:b/>
          <w:sz w:val="24"/>
          <w:szCs w:val="24"/>
        </w:rPr>
      </w:pPr>
    </w:p>
    <w:p w:rsidR="00517711" w:rsidRDefault="00517711">
      <w:pPr>
        <w:tabs>
          <w:tab w:val="left" w:pos="993"/>
        </w:tabs>
        <w:spacing w:after="0" w:line="240" w:lineRule="auto"/>
        <w:jc w:val="both"/>
        <w:rPr>
          <w:rFonts w:ascii="Times New Roman" w:hAnsi="Times New Roman"/>
          <w:sz w:val="20"/>
          <w:szCs w:val="20"/>
        </w:rPr>
      </w:pPr>
    </w:p>
    <w:p w:rsidR="00517711" w:rsidRDefault="00F815BE">
      <w:pPr>
        <w:rPr>
          <w:rFonts w:ascii="Book Antiqua" w:hAnsi="Book Antiqua"/>
          <w:b/>
          <w:sz w:val="24"/>
          <w:szCs w:val="24"/>
        </w:rPr>
      </w:pPr>
      <w:r>
        <w:rPr>
          <w:rFonts w:ascii="Book Antiqua" w:hAnsi="Book Antiqua"/>
          <w:b/>
          <w:sz w:val="24"/>
          <w:szCs w:val="24"/>
        </w:rPr>
        <w:br w:type="page"/>
      </w:r>
    </w:p>
    <w:p w:rsidR="00517711" w:rsidRDefault="00F815BE">
      <w:pPr>
        <w:tabs>
          <w:tab w:val="left" w:pos="993"/>
        </w:tabs>
        <w:spacing w:after="0" w:line="240" w:lineRule="auto"/>
        <w:jc w:val="center"/>
        <w:rPr>
          <w:rFonts w:ascii="Book Antiqua" w:hAnsi="Book Antiqua"/>
          <w:b/>
          <w:sz w:val="24"/>
          <w:szCs w:val="24"/>
        </w:rPr>
      </w:pPr>
      <w:r>
        <w:rPr>
          <w:rFonts w:ascii="Book Antiqua" w:hAnsi="Book Antiqua"/>
          <w:b/>
          <w:sz w:val="24"/>
          <w:szCs w:val="24"/>
        </w:rPr>
        <w:lastRenderedPageBreak/>
        <w:t>Секция. ЭКОЛОГИЯ И ОХРАНА ОКРУЖАЮЩЕЙ СРЕДЫ</w:t>
      </w:r>
    </w:p>
    <w:p w:rsidR="00517711" w:rsidRDefault="00F815BE">
      <w:pPr>
        <w:keepNext/>
        <w:spacing w:before="120" w:after="120" w:line="240" w:lineRule="auto"/>
        <w:outlineLvl w:val="3"/>
        <w:rPr>
          <w:rFonts w:ascii="Times New Roman" w:eastAsia="Calibri" w:hAnsi="Times New Roman" w:cs="Times New Roman"/>
          <w:b/>
          <w:bCs/>
          <w:sz w:val="20"/>
          <w:szCs w:val="28"/>
        </w:rPr>
      </w:pPr>
      <w:r>
        <w:rPr>
          <w:rFonts w:ascii="Times New Roman" w:eastAsia="Calibri" w:hAnsi="Times New Roman" w:cs="Times New Roman"/>
          <w:b/>
          <w:bCs/>
          <w:sz w:val="20"/>
          <w:szCs w:val="28"/>
        </w:rPr>
        <w:t>Рубрика: Экология и охрана окружающей среды</w:t>
      </w:r>
    </w:p>
    <w:p w:rsidR="00517711" w:rsidRDefault="00F815BE">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УДК 504. 054</w:t>
      </w:r>
    </w:p>
    <w:p w:rsidR="00517711" w:rsidRDefault="00F815BE">
      <w:pPr>
        <w:keepNext/>
        <w:spacing w:before="240" w:after="240" w:line="240" w:lineRule="auto"/>
        <w:jc w:val="center"/>
        <w:outlineLvl w:val="0"/>
        <w:rPr>
          <w:rFonts w:ascii="Book Antiqua" w:hAnsi="Book Antiqua" w:cs="Times New Roman"/>
          <w:b/>
          <w:bCs/>
          <w:caps/>
          <w:sz w:val="26"/>
          <w:szCs w:val="26"/>
        </w:rPr>
      </w:pPr>
      <w:r>
        <w:rPr>
          <w:rFonts w:ascii="Book Antiqua" w:hAnsi="Book Antiqua" w:cs="Times New Roman"/>
          <w:b/>
          <w:bCs/>
          <w:caps/>
          <w:sz w:val="26"/>
          <w:szCs w:val="26"/>
        </w:rPr>
        <w:t>Особенности токсикологического влияния тяжёлых металлов на живые организмы</w:t>
      </w:r>
    </w:p>
    <w:p w:rsidR="00517711" w:rsidRDefault="00F815BE">
      <w:pPr>
        <w:spacing w:after="0" w:line="240" w:lineRule="auto"/>
        <w:jc w:val="center"/>
        <w:rPr>
          <w:rFonts w:ascii="Arial" w:eastAsia="Calibri" w:hAnsi="Arial" w:cs="Times New Roman"/>
          <w:b/>
          <w:bCs/>
          <w:sz w:val="24"/>
          <w:szCs w:val="20"/>
          <w:lang w:eastAsia="ru-RU"/>
        </w:rPr>
      </w:pPr>
      <w:r>
        <w:rPr>
          <w:rFonts w:ascii="Arial" w:eastAsia="Calibri" w:hAnsi="Arial" w:cs="Times New Roman"/>
          <w:b/>
          <w:bCs/>
          <w:sz w:val="24"/>
          <w:szCs w:val="20"/>
          <w:lang w:eastAsia="ru-RU"/>
        </w:rPr>
        <w:t>Акулова Серафима Михайловна</w:t>
      </w:r>
    </w:p>
    <w:p w:rsidR="00517711" w:rsidRDefault="00F815BE">
      <w:pPr>
        <w:spacing w:line="240" w:lineRule="auto"/>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Бакалавр, 1 курс</w:t>
      </w: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Россия. Владивосток</w:t>
      </w:r>
    </w:p>
    <w:p w:rsidR="00517711" w:rsidRDefault="00F815BE">
      <w:pPr>
        <w:spacing w:after="0" w:line="240" w:lineRule="auto"/>
        <w:jc w:val="center"/>
        <w:rPr>
          <w:rFonts w:ascii="Times New Roman" w:hAnsi="Times New Roman" w:cs="Times New Roman"/>
          <w:sz w:val="20"/>
        </w:rPr>
      </w:pPr>
      <w:r>
        <w:rPr>
          <w:rFonts w:ascii="Times New Roman" w:hAnsi="Times New Roman" w:cs="Times New Roman"/>
          <w:sz w:val="20"/>
          <w:lang w:val="en-US"/>
        </w:rPr>
        <w:t>Email</w:t>
      </w:r>
      <w:r>
        <w:rPr>
          <w:rFonts w:ascii="Times New Roman" w:hAnsi="Times New Roman" w:cs="Times New Roman"/>
          <w:sz w:val="20"/>
        </w:rPr>
        <w:t xml:space="preserve">: </w:t>
      </w:r>
      <w:hyperlink r:id="rId94" w:history="1">
        <w:r>
          <w:rPr>
            <w:rFonts w:ascii="Times New Roman" w:hAnsi="Times New Roman" w:cs="Times New Roman"/>
            <w:sz w:val="20"/>
            <w:lang w:val="en-US"/>
          </w:rPr>
          <w:t>sima</w:t>
        </w:r>
        <w:r>
          <w:rPr>
            <w:rFonts w:ascii="Times New Roman" w:hAnsi="Times New Roman" w:cs="Times New Roman"/>
            <w:sz w:val="20"/>
          </w:rPr>
          <w:t>199973@</w:t>
        </w:r>
        <w:r>
          <w:rPr>
            <w:rFonts w:ascii="Times New Roman" w:hAnsi="Times New Roman" w:cs="Times New Roman"/>
            <w:sz w:val="20"/>
            <w:lang w:val="en-US"/>
          </w:rPr>
          <w:t>gmail</w:t>
        </w:r>
        <w:r>
          <w:rPr>
            <w:rFonts w:ascii="Times New Roman" w:hAnsi="Times New Roman" w:cs="Times New Roman"/>
            <w:sz w:val="20"/>
          </w:rPr>
          <w:t>.</w:t>
        </w:r>
        <w:r>
          <w:rPr>
            <w:rFonts w:ascii="Times New Roman" w:hAnsi="Times New Roman" w:cs="Times New Roman"/>
            <w:sz w:val="20"/>
            <w:lang w:val="en-US"/>
          </w:rPr>
          <w:t>com</w:t>
        </w:r>
      </w:hyperlink>
      <w:r>
        <w:rPr>
          <w:rFonts w:ascii="Times New Roman" w:hAnsi="Times New Roman" w:cs="Times New Roman"/>
          <w:sz w:val="20"/>
        </w:rPr>
        <w:t>; тел. +79020761946</w:t>
      </w:r>
    </w:p>
    <w:p w:rsidR="00517711" w:rsidRDefault="00F815BE">
      <w:pPr>
        <w:spacing w:line="240" w:lineRule="auto"/>
        <w:jc w:val="center"/>
        <w:rPr>
          <w:rFonts w:ascii="Times New Roman" w:hAnsi="Times New Roman" w:cs="Times New Roman"/>
          <w:sz w:val="20"/>
        </w:rPr>
      </w:pPr>
      <w:r>
        <w:rPr>
          <w:rFonts w:ascii="Times New Roman" w:hAnsi="Times New Roman" w:cs="Times New Roman"/>
          <w:sz w:val="20"/>
        </w:rPr>
        <w:t>ул. Гоголя, 41, г. Владивосток, Приморский край, Россия, 690014</w:t>
      </w:r>
    </w:p>
    <w:p w:rsidR="00517711" w:rsidRDefault="00F815BE">
      <w:pPr>
        <w:spacing w:line="240" w:lineRule="auto"/>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Научный руководитель: к.т.н., доц. Макарова Вера Николаевна</w:t>
      </w:r>
    </w:p>
    <w:p w:rsidR="00517711" w:rsidRDefault="00F815BE">
      <w:pPr>
        <w:spacing w:after="0" w:line="240" w:lineRule="auto"/>
        <w:ind w:firstLine="397"/>
        <w:jc w:val="both"/>
        <w:rPr>
          <w:rFonts w:ascii="Times New Roman" w:hAnsi="Times New Roman" w:cs="Times New Roman"/>
          <w:i/>
        </w:rPr>
      </w:pPr>
      <w:r>
        <w:rPr>
          <w:rFonts w:ascii="Times New Roman" w:hAnsi="Times New Roman" w:cs="Times New Roman"/>
          <w:i/>
        </w:rPr>
        <w:t>Данная статья освещает необходимость перманентного мониторинга поступления тяжёлых металлов в окружающую среду, ввиду их губительного влияния на человека и другие живые организмы при чрезмерном поступлении. Рассматриваются основные причины особой токсичности тяжёлых металлов для живых организмов, важность комплексной оценки взаимосвязи одних загрязнителей с другими ввиду их синергизма и антагонизма.</w:t>
      </w:r>
    </w:p>
    <w:p w:rsidR="00517711" w:rsidRDefault="00F815BE">
      <w:pPr>
        <w:spacing w:after="0" w:line="240" w:lineRule="auto"/>
        <w:ind w:firstLine="397"/>
        <w:jc w:val="both"/>
        <w:rPr>
          <w:rFonts w:ascii="Times New Roman" w:hAnsi="Times New Roman" w:cs="Times New Roman"/>
          <w:i/>
        </w:rPr>
      </w:pPr>
      <w:r>
        <w:rPr>
          <w:rFonts w:ascii="Times New Roman" w:hAnsi="Times New Roman" w:cs="Times New Roman"/>
          <w:b/>
          <w:i/>
        </w:rPr>
        <w:t>Ключевые слова и словосочетания:</w:t>
      </w:r>
      <w:r>
        <w:rPr>
          <w:rFonts w:ascii="Times New Roman" w:hAnsi="Times New Roman" w:cs="Times New Roman"/>
          <w:i/>
        </w:rPr>
        <w:t xml:space="preserve"> тяжёлые металлы, окружающая среда, экологическая опасность, синергизм, антагонизм, микроэлементозы.</w:t>
      </w:r>
    </w:p>
    <w:p w:rsidR="00517711" w:rsidRDefault="00F815BE">
      <w:pPr>
        <w:keepNext/>
        <w:spacing w:before="240" w:after="240" w:line="240" w:lineRule="auto"/>
        <w:jc w:val="center"/>
        <w:outlineLvl w:val="0"/>
        <w:rPr>
          <w:rFonts w:ascii="Book Antiqua" w:eastAsia="Calibri" w:hAnsi="Book Antiqua" w:cs="Times New Roman"/>
          <w:b/>
          <w:bCs/>
          <w:caps/>
          <w:sz w:val="26"/>
          <w:szCs w:val="20"/>
          <w:lang w:val="en-US"/>
        </w:rPr>
      </w:pPr>
      <w:r>
        <w:rPr>
          <w:rFonts w:ascii="Book Antiqua" w:eastAsia="Calibri" w:hAnsi="Book Antiqua" w:cs="Times New Roman"/>
          <w:b/>
          <w:bCs/>
          <w:caps/>
          <w:sz w:val="26"/>
          <w:szCs w:val="20"/>
          <w:lang w:val="en-US"/>
        </w:rPr>
        <w:t>Toxicological effects of heavy metals on living organisms and its features</w:t>
      </w:r>
    </w:p>
    <w:p w:rsidR="00517711" w:rsidRDefault="00F815BE">
      <w:pPr>
        <w:spacing w:after="0" w:line="240" w:lineRule="auto"/>
        <w:ind w:firstLine="397"/>
        <w:jc w:val="both"/>
        <w:rPr>
          <w:rFonts w:ascii="Times New Roman" w:hAnsi="Times New Roman" w:cs="Times New Roman"/>
          <w:i/>
          <w:lang w:val="en-US"/>
        </w:rPr>
      </w:pPr>
      <w:r>
        <w:rPr>
          <w:rFonts w:ascii="Times New Roman" w:hAnsi="Times New Roman" w:cs="Times New Roman"/>
          <w:i/>
          <w:lang w:val="en-US"/>
        </w:rPr>
        <w:t>This article highlights the need for permanent monitoring of heavy metals in the environment, due to their harmful effects on humans and other living organisms with excessive intake. The main causes of the special toxicity of heavy metals to living organisms, the importance of a comprehensive assessment of the relationship of one pollutant to another due to their synergism and antagonism are considered.</w:t>
      </w:r>
    </w:p>
    <w:p w:rsidR="00517711" w:rsidRDefault="00F815BE">
      <w:pPr>
        <w:spacing w:after="0" w:line="240" w:lineRule="auto"/>
        <w:ind w:firstLine="397"/>
        <w:jc w:val="both"/>
        <w:rPr>
          <w:rFonts w:ascii="Times New Roman" w:hAnsi="Times New Roman" w:cs="Times New Roman"/>
          <w:i/>
          <w:lang w:val="en-US"/>
        </w:rPr>
      </w:pPr>
      <w:r>
        <w:rPr>
          <w:rFonts w:ascii="Times New Roman" w:hAnsi="Times New Roman" w:cs="Times New Roman"/>
          <w:b/>
          <w:i/>
          <w:lang w:val="en-US"/>
        </w:rPr>
        <w:t>Key words and phrases:</w:t>
      </w:r>
      <w:r>
        <w:rPr>
          <w:rFonts w:ascii="Times New Roman" w:hAnsi="Times New Roman" w:cs="Times New Roman"/>
          <w:i/>
          <w:lang w:val="en-US"/>
        </w:rPr>
        <w:t xml:space="preserve"> heavy metals, environment, environmental hazard, synergism, antagonism, trace elements.</w:t>
      </w:r>
    </w:p>
    <w:p w:rsidR="00517711" w:rsidRDefault="00517711">
      <w:pPr>
        <w:spacing w:after="0" w:line="240" w:lineRule="auto"/>
        <w:ind w:firstLine="397"/>
        <w:jc w:val="both"/>
        <w:rPr>
          <w:rFonts w:ascii="Times New Roman" w:hAnsi="Times New Roman" w:cs="Times New Roman"/>
          <w:sz w:val="20"/>
          <w:szCs w:val="20"/>
          <w:lang w:val="en-US" w:eastAsia="ru-RU"/>
        </w:rPr>
      </w:pP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Актуальность. Данная проблема особенно актуальна в наше время из-за ухудшения экологической обстановки в стране, и, как следствие, повышения уровня заболеваемости среди населения. Актуальность её для Приморского края обусловлена тем, что в настоящее время машиностроение и металлообработка (одни из крупнейших загрязнителей окружающей среды тяжёлыми металлами), являются одними из ключевых отраслей промышленного комплекса края. </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Научная новизна исследования состоит в выявлении опасности накопления тяжелых металлов в организме человека и опасности данного явления для последующих поколений, а также необходимости комплексной оценки взаимного влияния тяжёлых металлов друг на друга.</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Конечной целью исследования является научная аргументация необходимости защиты от поступления в организм человека частиц тяжёлых металлов (ТМ), а также недопустимости попадания отходов, содержащих данные загрязнители, в окружающую среду. В задачи исследования входит: 1. Рассмотрение синергизма и антагонизма ТМ, а как следствие и обоснование необходимости грамотного расположения промышленных предприятий, зачастую являющихся источниками загрязнения окружающей среды многокомпонентными смесями ТМ. 2. Обоснование усиленного токсического влияния ТМ на живые организмы ввиду их способности накапливаться в природных средах на примере «болезни минамата».</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Основным методом исследования послужило изучение данных о влиянии ТМ на компоненты живой природы, опубликованных А.А. Кожиным в книге «Основы патологии» [1]. Углубляя и обогащая эти данные из других источников, мы постарались получить более полную и ясную картину влияния ТМ на живые компоненты окружающей среды. </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Важным фактором при содержании химических соединений ТМ в различных природных средах становится их форма. Свободные ионы металлов наиболее токсичны, чем их недиссоциированные соли и практически нерастворимые оксиды. Также действие ТМ зависит от того, образует ли данный элемент органические или неорганические комплексные соединения, так как образование металлом хелатных </w:t>
      </w:r>
      <w:r>
        <w:rPr>
          <w:rFonts w:ascii="Times New Roman" w:hAnsi="Times New Roman" w:cs="Times New Roman"/>
          <w:sz w:val="20"/>
          <w:szCs w:val="20"/>
          <w:lang w:eastAsia="ru-RU"/>
        </w:rPr>
        <w:lastRenderedPageBreak/>
        <w:t xml:space="preserve">комплексов снижает его токсичность [2, с. 33].  К тому же для ТМ характерно проявление взаимного синергизма или антагонизма при различных их сочетаниях в природных средах, при возникновении многокомпонентных смесей металлов. </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Известно, что хозяйственная деятельность человека, например, металлургическое и нефтехимическое производство, зачастую являются источником поступления в окружающую среду именно многокомпонентных смесей ТМ [3, с. 82-85]. В результате исследования состава зол, полученных при сжигании реактивных топлив, в них в разных количествах были обнаружены такие элементы, как кремний, алюминий, магний, кальций, железо, марганец, никель, титан, ванадий, хром, медь, свинец, серебро, сурьма, мышьяк, цинк, кадмий, олово, барий, натрий, стронций.  В одной из зол также был обнаружен кадмий. Очевидно, что перечисленные элементы являются также и составной частью сырья, из которого были произведены данные топлива (нефти Бакинского, Туймазинского и Мухановского месторождений) [4, с. 302].  </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Зачастую даже полезные с экономической точки зрения примеси, содержащиеся в сырье, не могут быть извлечены и полностью удалены из отходов предприятия в силу несовершенства технологии производства конечного продукта. Из изложенного выше можно сделать вывод о важности обдуманного размещения предприятий, которые могут стать источниками загрязнения окружающей среды ТМ, поскольку загрязнители, исходящие от одного предприятия во взаимодействии с выбросами другого, могут увеличивать свою токсичность, ввиду проявления синергизма химических элементов. Характерной особенностью ТМ является способность накапливаться в живых организмах и различных средах. Они способны концентрироваться в живых организмах, вызывая при этом различные патологии [5, с. 19-22]. </w:t>
      </w:r>
    </w:p>
    <w:p w:rsidR="00517711" w:rsidRDefault="00517711">
      <w:pPr>
        <w:spacing w:after="0" w:line="240" w:lineRule="auto"/>
        <w:jc w:val="both"/>
        <w:rPr>
          <w:sz w:val="20"/>
          <w:lang w:eastAsia="ru-RU"/>
        </w:rPr>
      </w:pPr>
    </w:p>
    <w:p w:rsidR="00517711" w:rsidRDefault="00F815BE">
      <w:pPr>
        <w:pStyle w:val="aff0"/>
      </w:pPr>
      <w:r>
        <w:t xml:space="preserve"> Таблица 1</w:t>
      </w:r>
    </w:p>
    <w:p w:rsidR="00517711" w:rsidRDefault="00F815BE">
      <w:pPr>
        <w:pStyle w:val="afa"/>
        <w:keepNext/>
        <w:widowControl/>
        <w:spacing w:before="120" w:after="120"/>
        <w:jc w:val="center"/>
        <w:outlineLvl w:val="0"/>
        <w:rPr>
          <w:b/>
          <w:sz w:val="20"/>
          <w:szCs w:val="20"/>
        </w:rPr>
      </w:pPr>
      <w:r>
        <w:rPr>
          <w:b/>
          <w:sz w:val="20"/>
          <w:szCs w:val="20"/>
        </w:rPr>
        <w:t xml:space="preserve">               Коэффициент биоаккумуляции тяжёлых металлов Сводн.орг.,/Свод. в звеньях водных трофических цепей [5, с. 35] </w:t>
      </w:r>
    </w:p>
    <w:tbl>
      <w:tblPr>
        <w:tblStyle w:val="af1"/>
        <w:tblW w:w="0" w:type="auto"/>
        <w:tblLook w:val="04A0" w:firstRow="1" w:lastRow="0" w:firstColumn="1" w:lastColumn="0" w:noHBand="0" w:noVBand="1"/>
      </w:tblPr>
      <w:tblGrid>
        <w:gridCol w:w="4785"/>
        <w:gridCol w:w="4786"/>
      </w:tblGrid>
      <w:tr w:rsidR="00517711">
        <w:tc>
          <w:tcPr>
            <w:tcW w:w="4785" w:type="dxa"/>
          </w:tcPr>
          <w:p w:rsidR="00517711" w:rsidRDefault="00F815BE">
            <w:pPr>
              <w:pStyle w:val="aff1"/>
            </w:pPr>
            <w:r>
              <w:t>Водоросли</w:t>
            </w:r>
          </w:p>
        </w:tc>
        <w:tc>
          <w:tcPr>
            <w:tcW w:w="4786" w:type="dxa"/>
          </w:tcPr>
          <w:p w:rsidR="00517711" w:rsidRDefault="00F815BE">
            <w:pPr>
              <w:pStyle w:val="aff1"/>
            </w:pPr>
            <w:r>
              <w:t>&lt; 5</w:t>
            </w:r>
          </w:p>
        </w:tc>
      </w:tr>
      <w:tr w:rsidR="00517711">
        <w:tc>
          <w:tcPr>
            <w:tcW w:w="4785" w:type="dxa"/>
          </w:tcPr>
          <w:p w:rsidR="00517711" w:rsidRDefault="00F815BE">
            <w:pPr>
              <w:pStyle w:val="aff1"/>
            </w:pPr>
            <w:r>
              <w:t>Веслоногие рачки</w:t>
            </w:r>
          </w:p>
        </w:tc>
        <w:tc>
          <w:tcPr>
            <w:tcW w:w="4786" w:type="dxa"/>
          </w:tcPr>
          <w:p w:rsidR="00517711" w:rsidRDefault="00F815BE">
            <w:pPr>
              <w:pStyle w:val="aff1"/>
            </w:pPr>
            <w:r>
              <w:t>около 10</w:t>
            </w:r>
          </w:p>
        </w:tc>
      </w:tr>
      <w:tr w:rsidR="00517711">
        <w:tc>
          <w:tcPr>
            <w:tcW w:w="4785" w:type="dxa"/>
          </w:tcPr>
          <w:p w:rsidR="00517711" w:rsidRDefault="00F815BE">
            <w:pPr>
              <w:pStyle w:val="aff1"/>
            </w:pPr>
            <w:r>
              <w:t>Мелкие рыбы</w:t>
            </w:r>
          </w:p>
        </w:tc>
        <w:tc>
          <w:tcPr>
            <w:tcW w:w="4786" w:type="dxa"/>
          </w:tcPr>
          <w:p w:rsidR="00517711" w:rsidRDefault="00F815BE">
            <w:pPr>
              <w:pStyle w:val="aff1"/>
            </w:pPr>
            <w:r>
              <w:t>100-1000</w:t>
            </w:r>
          </w:p>
        </w:tc>
      </w:tr>
      <w:tr w:rsidR="00517711">
        <w:tc>
          <w:tcPr>
            <w:tcW w:w="4785" w:type="dxa"/>
          </w:tcPr>
          <w:p w:rsidR="00517711" w:rsidRDefault="00F815BE">
            <w:pPr>
              <w:pStyle w:val="aff1"/>
            </w:pPr>
            <w:r>
              <w:t>Хищные рыбы</w:t>
            </w:r>
          </w:p>
        </w:tc>
        <w:tc>
          <w:tcPr>
            <w:tcW w:w="4786" w:type="dxa"/>
          </w:tcPr>
          <w:p w:rsidR="00517711" w:rsidRDefault="00F815BE">
            <w:pPr>
              <w:pStyle w:val="aff1"/>
            </w:pPr>
            <w:r>
              <w:t>1000-10000</w:t>
            </w:r>
          </w:p>
        </w:tc>
      </w:tr>
    </w:tbl>
    <w:p w:rsidR="00517711" w:rsidRDefault="00517711">
      <w:pPr>
        <w:spacing w:after="0" w:line="240" w:lineRule="auto"/>
        <w:ind w:firstLine="397"/>
        <w:jc w:val="both"/>
        <w:rPr>
          <w:rFonts w:ascii="Times New Roman" w:hAnsi="Times New Roman" w:cs="Times New Roman"/>
          <w:sz w:val="20"/>
          <w:szCs w:val="20"/>
          <w:lang w:eastAsia="ru-RU"/>
        </w:rPr>
      </w:pP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В качестве примера трофической цепи взята трофическая цепь водоёма Костомукшского природного заповедника. На основании данных, представленных в таблице, можно сделать вывод, что с увеличением уровня трофической цепи концентрация тяжёлых металлов в живых организмах возрастает. В результате даже при нормальной концентрации тяжёлых металлов во внешней (водной, воздушной или почвенной) среде может наблюдаться значительное негативное влияние данных загрязнителей на соприкасающиеся с этой живые организмы. Поскольку человек является конечным звеном цепи питания, то именно в его организме часто накапливается наибольшая доза. [5, с. 22]</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В настоящее время все заболевания, синдромы и патологические состояния, вызванные дефицитом, избытком или дисбалансом микроэлементов в живом организме и имеют общее название «микроэлементозы» [1, с. 65]. Не стоит забывать о том, что и ТМ в ряде случаев являются важнейшими биогенными элементами, однако дисбаланс их содержания в организме часто приводит к наиболее пагубным последствиям. По данным В. В. Егорова [6] содержание ТМ в почве, соответственно либо вызывающее дисбаланс, либо сохраняющее баланс содержания ТМ в живых организмах, должно быть в определенных пределах (табл. 2 и 3), выход за которые в ту или другую сторону чреват серьезными последствиями для организмов (закон оптимума) [6, с. 131].</w:t>
      </w:r>
    </w:p>
    <w:p w:rsidR="00517711" w:rsidRDefault="00F815BE">
      <w:pPr>
        <w:pStyle w:val="aff0"/>
      </w:pPr>
      <w:r>
        <w:t>Таблица 2</w:t>
      </w:r>
    </w:p>
    <w:p w:rsidR="00517711" w:rsidRDefault="00F815BE">
      <w:pPr>
        <w:pStyle w:val="afa"/>
        <w:keepNext/>
        <w:widowControl/>
        <w:spacing w:before="120"/>
        <w:jc w:val="center"/>
        <w:outlineLvl w:val="0"/>
        <w:rPr>
          <w:b/>
          <w:sz w:val="20"/>
          <w:szCs w:val="20"/>
        </w:rPr>
      </w:pPr>
      <w:r>
        <w:rPr>
          <w:b/>
          <w:sz w:val="20"/>
          <w:szCs w:val="20"/>
        </w:rPr>
        <w:t xml:space="preserve">Пороговая концентрация элементов в почве и последствия их нарушений </w:t>
      </w:r>
    </w:p>
    <w:p w:rsidR="00517711" w:rsidRDefault="00F815BE">
      <w:pPr>
        <w:pStyle w:val="afa"/>
        <w:keepNext/>
        <w:widowControl/>
        <w:spacing w:after="120"/>
        <w:jc w:val="center"/>
        <w:outlineLvl w:val="0"/>
        <w:rPr>
          <w:b/>
          <w:sz w:val="20"/>
          <w:szCs w:val="20"/>
        </w:rPr>
      </w:pPr>
      <w:r>
        <w:rPr>
          <w:b/>
          <w:sz w:val="20"/>
          <w:szCs w:val="20"/>
        </w:rPr>
        <w:t>(ниже нижней границы)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2551"/>
        <w:gridCol w:w="4678"/>
      </w:tblGrid>
      <w:tr w:rsidR="00517711">
        <w:tc>
          <w:tcPr>
            <w:tcW w:w="2235" w:type="dxa"/>
            <w:vAlign w:val="center"/>
          </w:tcPr>
          <w:p w:rsidR="00517711" w:rsidRDefault="00F815BE">
            <w:pPr>
              <w:pStyle w:val="13"/>
            </w:pPr>
            <w:r>
              <w:t>Элемент</w:t>
            </w:r>
          </w:p>
        </w:tc>
        <w:tc>
          <w:tcPr>
            <w:tcW w:w="2551" w:type="dxa"/>
          </w:tcPr>
          <w:p w:rsidR="00517711" w:rsidRDefault="00F815BE">
            <w:pPr>
              <w:pStyle w:val="13"/>
            </w:pPr>
            <w:r>
              <w:t>Нижняя пороговая концентрация и ниже, мг/кг</w:t>
            </w:r>
          </w:p>
        </w:tc>
        <w:tc>
          <w:tcPr>
            <w:tcW w:w="4678" w:type="dxa"/>
            <w:vAlign w:val="center"/>
          </w:tcPr>
          <w:p w:rsidR="00517711" w:rsidRDefault="00F815BE">
            <w:pPr>
              <w:pStyle w:val="13"/>
            </w:pPr>
            <w:r>
              <w:t>Последствия</w:t>
            </w:r>
          </w:p>
        </w:tc>
      </w:tr>
      <w:tr w:rsidR="00517711">
        <w:tc>
          <w:tcPr>
            <w:tcW w:w="2235" w:type="dxa"/>
            <w:vAlign w:val="center"/>
          </w:tcPr>
          <w:p w:rsidR="00517711" w:rsidRDefault="00F815BE">
            <w:pPr>
              <w:pStyle w:val="aff1"/>
            </w:pPr>
            <w:r>
              <w:t>Кобальт</w:t>
            </w:r>
          </w:p>
        </w:tc>
        <w:tc>
          <w:tcPr>
            <w:tcW w:w="2551" w:type="dxa"/>
          </w:tcPr>
          <w:p w:rsidR="00517711" w:rsidRDefault="00F815BE">
            <w:pPr>
              <w:pStyle w:val="aff1"/>
            </w:pPr>
            <w:r>
              <w:t xml:space="preserve">                  7</w:t>
            </w:r>
          </w:p>
        </w:tc>
        <w:tc>
          <w:tcPr>
            <w:tcW w:w="4678" w:type="dxa"/>
            <w:vAlign w:val="center"/>
          </w:tcPr>
          <w:p w:rsidR="00517711" w:rsidRDefault="00F815BE">
            <w:pPr>
              <w:pStyle w:val="aff1"/>
            </w:pPr>
            <w:r>
              <w:t>Анемия, гипоавитаминоз и  авитаминоз</w:t>
            </w:r>
          </w:p>
        </w:tc>
      </w:tr>
      <w:tr w:rsidR="00517711">
        <w:tc>
          <w:tcPr>
            <w:tcW w:w="2235" w:type="dxa"/>
            <w:vAlign w:val="center"/>
          </w:tcPr>
          <w:p w:rsidR="00517711" w:rsidRDefault="00F815BE">
            <w:pPr>
              <w:pStyle w:val="aff1"/>
            </w:pPr>
            <w:r>
              <w:t>Марганец</w:t>
            </w:r>
          </w:p>
        </w:tc>
        <w:tc>
          <w:tcPr>
            <w:tcW w:w="2551" w:type="dxa"/>
          </w:tcPr>
          <w:p w:rsidR="00517711" w:rsidRDefault="00F815BE">
            <w:pPr>
              <w:pStyle w:val="aff1"/>
            </w:pPr>
            <w:r>
              <w:t xml:space="preserve">                400</w:t>
            </w:r>
          </w:p>
        </w:tc>
        <w:tc>
          <w:tcPr>
            <w:tcW w:w="4678" w:type="dxa"/>
            <w:vAlign w:val="center"/>
          </w:tcPr>
          <w:p w:rsidR="00517711" w:rsidRDefault="00F815BE">
            <w:pPr>
              <w:pStyle w:val="aff1"/>
            </w:pPr>
            <w:r>
              <w:t>Заболевания костей</w:t>
            </w:r>
          </w:p>
        </w:tc>
      </w:tr>
      <w:tr w:rsidR="00517711">
        <w:tc>
          <w:tcPr>
            <w:tcW w:w="2235" w:type="dxa"/>
            <w:vAlign w:val="center"/>
          </w:tcPr>
          <w:p w:rsidR="00517711" w:rsidRDefault="00F815BE">
            <w:pPr>
              <w:pStyle w:val="aff1"/>
            </w:pPr>
            <w:r>
              <w:t>Цинк</w:t>
            </w:r>
          </w:p>
        </w:tc>
        <w:tc>
          <w:tcPr>
            <w:tcW w:w="2551" w:type="dxa"/>
          </w:tcPr>
          <w:p w:rsidR="00517711" w:rsidRDefault="00F815BE">
            <w:pPr>
              <w:pStyle w:val="aff1"/>
            </w:pPr>
            <w:r>
              <w:t xml:space="preserve">                 30</w:t>
            </w:r>
          </w:p>
        </w:tc>
        <w:tc>
          <w:tcPr>
            <w:tcW w:w="4678" w:type="dxa"/>
            <w:vAlign w:val="center"/>
          </w:tcPr>
          <w:p w:rsidR="00517711" w:rsidRDefault="00F815BE">
            <w:pPr>
              <w:pStyle w:val="aff1"/>
            </w:pPr>
            <w:r>
              <w:t>Карликовый рост животных и растений</w:t>
            </w:r>
          </w:p>
        </w:tc>
      </w:tr>
    </w:tbl>
    <w:p w:rsidR="00517711" w:rsidRDefault="00F815BE">
      <w:pPr>
        <w:tabs>
          <w:tab w:val="left" w:pos="2850"/>
        </w:tabs>
        <w:spacing w:after="0" w:line="240" w:lineRule="auto"/>
        <w:jc w:val="both"/>
      </w:pPr>
      <w:r>
        <w:tab/>
      </w:r>
    </w:p>
    <w:p w:rsidR="00517711" w:rsidRDefault="00F815BE">
      <w:pPr>
        <w:pStyle w:val="aff0"/>
      </w:pPr>
      <w:r>
        <w:lastRenderedPageBreak/>
        <w:t>Таблица 3</w:t>
      </w:r>
    </w:p>
    <w:p w:rsidR="00517711" w:rsidRDefault="00F815BE">
      <w:pPr>
        <w:pStyle w:val="afa"/>
        <w:keepNext/>
        <w:widowControl/>
        <w:spacing w:before="120"/>
        <w:jc w:val="center"/>
        <w:outlineLvl w:val="0"/>
        <w:rPr>
          <w:b/>
          <w:sz w:val="20"/>
          <w:szCs w:val="20"/>
        </w:rPr>
      </w:pPr>
      <w:r>
        <w:rPr>
          <w:b/>
          <w:sz w:val="20"/>
          <w:szCs w:val="20"/>
        </w:rPr>
        <w:t>Пороговая концентрация элементов в почве и последствия их нарушений (выше верхней границы)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2493"/>
        <w:gridCol w:w="4991"/>
      </w:tblGrid>
      <w:tr w:rsidR="00517711">
        <w:tc>
          <w:tcPr>
            <w:tcW w:w="1980" w:type="dxa"/>
            <w:vAlign w:val="center"/>
          </w:tcPr>
          <w:p w:rsidR="00517711" w:rsidRDefault="00517711">
            <w:pPr>
              <w:pStyle w:val="13"/>
            </w:pPr>
          </w:p>
          <w:p w:rsidR="00517711" w:rsidRDefault="00F815BE">
            <w:pPr>
              <w:pStyle w:val="13"/>
            </w:pPr>
            <w:r>
              <w:t>Элемент</w:t>
            </w:r>
          </w:p>
        </w:tc>
        <w:tc>
          <w:tcPr>
            <w:tcW w:w="2493" w:type="dxa"/>
          </w:tcPr>
          <w:p w:rsidR="00517711" w:rsidRDefault="00F815BE">
            <w:pPr>
              <w:pStyle w:val="13"/>
            </w:pPr>
            <w:r>
              <w:t>Верхняя пороговая концентрация и выше, мг/кг</w:t>
            </w:r>
          </w:p>
        </w:tc>
        <w:tc>
          <w:tcPr>
            <w:tcW w:w="4991" w:type="dxa"/>
            <w:vAlign w:val="center"/>
          </w:tcPr>
          <w:p w:rsidR="00517711" w:rsidRDefault="00F815BE">
            <w:pPr>
              <w:pStyle w:val="13"/>
            </w:pPr>
            <w:r>
              <w:t>Последствия</w:t>
            </w:r>
          </w:p>
        </w:tc>
      </w:tr>
      <w:tr w:rsidR="00517711">
        <w:tc>
          <w:tcPr>
            <w:tcW w:w="1980" w:type="dxa"/>
            <w:vAlign w:val="center"/>
          </w:tcPr>
          <w:p w:rsidR="00517711" w:rsidRDefault="00F815BE">
            <w:pPr>
              <w:pStyle w:val="aff1"/>
            </w:pPr>
            <w:r>
              <w:t>Кобальт</w:t>
            </w:r>
          </w:p>
        </w:tc>
        <w:tc>
          <w:tcPr>
            <w:tcW w:w="2493" w:type="dxa"/>
          </w:tcPr>
          <w:p w:rsidR="00517711" w:rsidRDefault="00F815BE">
            <w:pPr>
              <w:pStyle w:val="aff1"/>
            </w:pPr>
            <w:r>
              <w:t xml:space="preserve">    30</w:t>
            </w:r>
          </w:p>
        </w:tc>
        <w:tc>
          <w:tcPr>
            <w:tcW w:w="4991" w:type="dxa"/>
            <w:vAlign w:val="center"/>
          </w:tcPr>
          <w:p w:rsidR="00517711" w:rsidRDefault="00F815BE">
            <w:pPr>
              <w:pStyle w:val="aff1"/>
            </w:pPr>
            <w:r>
              <w:t>Угнетение синтеза витамина В12</w:t>
            </w:r>
          </w:p>
        </w:tc>
      </w:tr>
      <w:tr w:rsidR="00517711">
        <w:tc>
          <w:tcPr>
            <w:tcW w:w="1980" w:type="dxa"/>
            <w:vAlign w:val="center"/>
          </w:tcPr>
          <w:p w:rsidR="00517711" w:rsidRDefault="00F815BE">
            <w:pPr>
              <w:pStyle w:val="aff1"/>
            </w:pPr>
            <w:r>
              <w:t>Марганец</w:t>
            </w:r>
          </w:p>
        </w:tc>
        <w:tc>
          <w:tcPr>
            <w:tcW w:w="2493" w:type="dxa"/>
          </w:tcPr>
          <w:p w:rsidR="00517711" w:rsidRDefault="00F815BE">
            <w:pPr>
              <w:pStyle w:val="aff1"/>
            </w:pPr>
            <w:r>
              <w:t xml:space="preserve">  3000</w:t>
            </w:r>
          </w:p>
        </w:tc>
        <w:tc>
          <w:tcPr>
            <w:tcW w:w="4991" w:type="dxa"/>
            <w:vAlign w:val="center"/>
          </w:tcPr>
          <w:p w:rsidR="00517711" w:rsidRDefault="00F815BE">
            <w:pPr>
              <w:pStyle w:val="aff1"/>
            </w:pPr>
            <w:r>
              <w:t>Заболевания костной системы</w:t>
            </w:r>
          </w:p>
        </w:tc>
      </w:tr>
      <w:tr w:rsidR="00517711">
        <w:tc>
          <w:tcPr>
            <w:tcW w:w="1980" w:type="dxa"/>
            <w:vAlign w:val="center"/>
          </w:tcPr>
          <w:p w:rsidR="00517711" w:rsidRDefault="00F815BE">
            <w:pPr>
              <w:pStyle w:val="aff1"/>
            </w:pPr>
            <w:r>
              <w:t>Цинк</w:t>
            </w:r>
          </w:p>
        </w:tc>
        <w:tc>
          <w:tcPr>
            <w:tcW w:w="2493" w:type="dxa"/>
          </w:tcPr>
          <w:p w:rsidR="00517711" w:rsidRDefault="00F815BE">
            <w:pPr>
              <w:pStyle w:val="aff1"/>
            </w:pPr>
            <w:r>
              <w:t xml:space="preserve">    70</w:t>
            </w:r>
          </w:p>
        </w:tc>
        <w:tc>
          <w:tcPr>
            <w:tcW w:w="4991" w:type="dxa"/>
            <w:vAlign w:val="center"/>
          </w:tcPr>
          <w:p w:rsidR="00517711" w:rsidRDefault="00F815BE">
            <w:pPr>
              <w:pStyle w:val="aff1"/>
            </w:pPr>
            <w:r>
              <w:t>Анемия, угнетение окислительных процессов</w:t>
            </w:r>
          </w:p>
        </w:tc>
      </w:tr>
    </w:tbl>
    <w:p w:rsidR="00517711" w:rsidRDefault="00517711">
      <w:pPr>
        <w:spacing w:after="0" w:line="240" w:lineRule="auto"/>
        <w:ind w:firstLine="397"/>
        <w:jc w:val="both"/>
        <w:rPr>
          <w:rFonts w:ascii="Times New Roman" w:hAnsi="Times New Roman" w:cs="Times New Roman"/>
          <w:sz w:val="20"/>
          <w:szCs w:val="20"/>
          <w:lang w:eastAsia="ru-RU"/>
        </w:rPr>
      </w:pP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ТМ опасны тем, что при попадании в организм не подвергаются распаду и выведению из организма, подобно органическим веществам, в состав которых они могут входить. Ввиду этой особенности проявление синергизма и антагонизма ТМ при взаимодействии с различными загрязнителями приобретает особую значимость. Происходит это из-за того, что переставший поступать в организм, но ещё не выведенный из него ТМ, на протяжении длительного промежутка времени будет оказывать своё негативное влияние и, соответственно, при определённых условиях реагировать самым различным образом на присутствие синергистов и антагонистов.</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Одной из самых известных болезней, возникших в условиях антропогенного загрязнения окружающей среды ТМ стала «болезнь минамата», справедливо отнесённая к трансагрессивным техногенным заболеваниям химической природы, для которых характерен перенос специфической химической вредности за счёт атмосферной или водной циркуляции. (Япония, процесс производства ацетальдегида с использованием соединений ртути в качестве катализатора, ведущий к образованию ртутного шлама) [1, с. 66]. Впоследствии в отходах предприятия также были обнаружены частицы таллия, марганца, меди, свинца, а также антагониста ртути – селена [7, с. 2]. В результате отравления залива Минамата соединениями ртути и иных ТМ и попадания их с пищей и водой в организмы местных людей стали распространяться не просто характерные для множества органических и неорганических ядов тяжёлые отравления. Наряду с тяжелейшими симптомами отравления, вызванного попаданием в организм соединений ртути и других токсинов, огромной бедой стало накопление ТМ в организмах живых существ, в том числе и людей. В книге В. Цветова [7, с.4] приведены данные, свидетельствующие о том, что спустя семь лет после прекращения производства ацетальдегида химическим концерном «Тиссо» в посёлке Минамата, ставшем эпицентром последствий воздействия ртутных соединений, были обнаружены 40 новорождённых с полным набором признаков «болезни минамата» </w:t>
      </w:r>
      <w:r>
        <w:rPr>
          <w:rFonts w:ascii="Times New Roman" w:hAnsi="Times New Roman" w:cs="Times New Roman"/>
          <w:sz w:val="20"/>
          <w:szCs w:val="20"/>
        </w:rPr>
        <w:t>–</w:t>
      </w:r>
      <w:r>
        <w:rPr>
          <w:rFonts w:ascii="Times New Roman" w:hAnsi="Times New Roman" w:cs="Times New Roman"/>
          <w:sz w:val="20"/>
          <w:szCs w:val="20"/>
          <w:lang w:eastAsia="ru-RU"/>
        </w:rPr>
        <w:t xml:space="preserve"> от потери речи до судорог.</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Но даже при самом серьёзном отравлении родителей органическим соединением, способным к ферментативному расщеплению и выведению из организма и природных сред, признаки его не могли через такой промежуток времени отразиться на детях с такой поразительной точностью. В таком случае отклонения в развитии детей могли бы быть связаны лишь с физиологическими сбоями и нарушениями в организмах родителей, к которым привело отравление, но никак не с прямым воздействием токсина. Как следствие, абсолютно невозможным было бы полное повторение признаков, возникающих при отравлении данным токсином через такой промежуток времени. Такое повторение имело бы место лишь в том случае, если бы во время беременности в организм матери данный токсин продолжал поступать с пищей, водой или дыханием. При хроническом воздействии малых доз в течении продолжительного времени симптомы могут проявиться через несколько десятилетий, в частности канцерогенное действие мышьяка, ртути [1, с. 67].</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 Без сомнения, это может свидетельствовать лишь об одном: 1) токсичность ртутных соединений, сохранившихся в том или ином виде, в данной местности, либо накопленных в тканях и органах родителей, ничуть не снизилась; 2) эти соединения (либо ионы ртути) сохранились в данной местности в тех или иных природных средах. При врождённых микроэлементозах в основе заболевания может лежать микроэлементоз матери. [1, с. 66] Ввиду слабого выведения из организма человека ионов ТМ, в данном случае, в основном, ртути, врождённые микроэлементозы имели место спустя такой промежуток времени.</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Выводы: Таким образом, можно сделать вывод о «двойном ударе» ТМ на живые организмы, в том числе на человека и его потомков. С одной стороны, ТМ, как любые токсины, оказывают негативное влияние на физиологию организма в момент непосредственного попадания в организм, с другой стороны, способны накапливаться в организме, продолжая своё негативное воздействие даже в следующем поколении. В сочетании с природными и другими антропогенными источниками загрязнений выбросы тяжёлых металлов металлургическими и иными предприятиями могут повлечь за собой последствия, не ожидаемые при загрязнении окружающей среды каким-либо одним конкретным металлом. Важно учитывать не только токсичность конкретного загрязнителя, но и возможность проявления синергизма или антагонизма при сочетании его с другими загрязнителями. Ввиду способности ТМ накапливаться в живых организмах и иных природных средах проявление ими синергизма и антагонизма при взаимодействии с различными загрязнителями приобретает особую значимость.</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Тяжёлые металлы ввиду своих химических особенностей и входящие в состав сырья в производстве являются одними из самых опасных загрязнителей окружающей среды. Необходимо чёткое соблюдение мер </w:t>
      </w:r>
      <w:r>
        <w:rPr>
          <w:rFonts w:ascii="Times New Roman" w:hAnsi="Times New Roman" w:cs="Times New Roman"/>
          <w:sz w:val="20"/>
          <w:szCs w:val="20"/>
          <w:lang w:eastAsia="ru-RU"/>
        </w:rPr>
        <w:lastRenderedPageBreak/>
        <w:t>безопасности, направленных на предотвращение попадания в окружающую среду производственных выбросов, содержащих ТМ.</w:t>
      </w:r>
    </w:p>
    <w:p w:rsidR="00517711" w:rsidRDefault="00517711">
      <w:pPr>
        <w:pBdr>
          <w:bottom w:val="single" w:sz="12" w:space="1" w:color="auto"/>
        </w:pBdr>
        <w:spacing w:after="0" w:line="240" w:lineRule="auto"/>
        <w:jc w:val="both"/>
      </w:pPr>
    </w:p>
    <w:p w:rsidR="00517711" w:rsidRDefault="00F815BE">
      <w:pPr>
        <w:numPr>
          <w:ilvl w:val="0"/>
          <w:numId w:val="77"/>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Кожин А. А. Основы патологии: учебное пособие для студ. вузов / А.А. Кожин.  – Изд-во Южного федерального университета, 2008. – 256с.</w:t>
      </w:r>
    </w:p>
    <w:p w:rsidR="00517711" w:rsidRDefault="00F815BE">
      <w:pPr>
        <w:numPr>
          <w:ilvl w:val="0"/>
          <w:numId w:val="77"/>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Налета Е.В. Влияние загрязнения тяжёлыми металлами на биологические свойства городов Ростовской области: научная монография / Е.В. Налета, С.И. Колесников, К. Ш. </w:t>
      </w:r>
      <w:hyperlink r:id="rId95" w:history="1">
        <w:r>
          <w:rPr>
            <w:rFonts w:ascii="Times New Roman" w:hAnsi="Times New Roman" w:cs="Times New Roman"/>
            <w:sz w:val="20"/>
            <w:szCs w:val="20"/>
            <w:lang w:eastAsia="ru-RU"/>
          </w:rPr>
          <w:t>Казеев: </w:t>
        </w:r>
      </w:hyperlink>
      <w:r>
        <w:rPr>
          <w:rFonts w:ascii="Times New Roman" w:hAnsi="Times New Roman" w:cs="Times New Roman"/>
          <w:sz w:val="20"/>
          <w:szCs w:val="20"/>
          <w:lang w:eastAsia="ru-RU"/>
        </w:rPr>
        <w:t>Изд-во Южного федерального университета, 2015. – 108с.</w:t>
      </w:r>
    </w:p>
    <w:p w:rsidR="00517711" w:rsidRDefault="00F815BE">
      <w:pPr>
        <w:numPr>
          <w:ilvl w:val="0"/>
          <w:numId w:val="77"/>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Ценные и вредные элементы в рудах и отходах месторождений цветной металлургии / авт.: С. В. Азарова, Е.В. Перегудина, А.Н. Третьяков, А.А. Капустина: статья [Электронный ресурс] // Молодой ученый. – Режим доступа: https://moluch.ru/archive/90/18986/.</w:t>
      </w:r>
    </w:p>
    <w:p w:rsidR="00517711" w:rsidRDefault="00F815BE">
      <w:pPr>
        <w:numPr>
          <w:ilvl w:val="0"/>
          <w:numId w:val="77"/>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Справочник химика 21 [Электронный ресурс]. – Режим доступа: http://chem21.inf</w:t>
      </w:r>
      <w:hyperlink r:id="rId96" w:history="1">
        <w:r>
          <w:rPr>
            <w:rFonts w:ascii="Times New Roman" w:hAnsi="Times New Roman" w:cs="Times New Roman"/>
            <w:sz w:val="20"/>
            <w:szCs w:val="20"/>
            <w:lang w:eastAsia="ru-RU"/>
          </w:rPr>
          <w:t>o/page/004253040096177080136188007155215096047045184240/</w:t>
        </w:r>
      </w:hyperlink>
    </w:p>
    <w:p w:rsidR="00517711" w:rsidRDefault="000D1C8F">
      <w:pPr>
        <w:numPr>
          <w:ilvl w:val="0"/>
          <w:numId w:val="77"/>
        </w:numPr>
        <w:spacing w:after="0" w:line="240" w:lineRule="auto"/>
        <w:ind w:left="0" w:firstLine="397"/>
        <w:jc w:val="both"/>
        <w:rPr>
          <w:rFonts w:ascii="Times New Roman" w:hAnsi="Times New Roman" w:cs="Times New Roman"/>
          <w:sz w:val="20"/>
          <w:szCs w:val="20"/>
          <w:lang w:eastAsia="ru-RU"/>
        </w:rPr>
      </w:pPr>
      <w:hyperlink r:id="rId97" w:history="1">
        <w:r w:rsidR="00F815BE">
          <w:rPr>
            <w:rFonts w:ascii="Times New Roman" w:hAnsi="Times New Roman" w:cs="Times New Roman"/>
            <w:sz w:val="20"/>
            <w:szCs w:val="20"/>
          </w:rPr>
          <w:t>Виноградова А. А.</w:t>
        </w:r>
      </w:hyperlink>
      <w:r w:rsidR="00F815BE">
        <w:rPr>
          <w:rFonts w:ascii="Times New Roman" w:hAnsi="Times New Roman" w:cs="Times New Roman"/>
          <w:sz w:val="20"/>
          <w:szCs w:val="20"/>
        </w:rPr>
        <w:t xml:space="preserve"> </w:t>
      </w:r>
      <w:r w:rsidR="00F815BE">
        <w:rPr>
          <w:rFonts w:ascii="Times New Roman" w:hAnsi="Times New Roman" w:cs="Times New Roman"/>
          <w:sz w:val="20"/>
          <w:szCs w:val="20"/>
          <w:lang w:eastAsia="ru-RU"/>
        </w:rPr>
        <w:t>Антропогенная нагрузка на экосистемы Костомукшского природного заповедника: научная монография / А.А. Виноградова, Ю.А. Иванова: Изд-во Физмалит, 2013. – 83с.</w:t>
      </w:r>
    </w:p>
    <w:p w:rsidR="00517711" w:rsidRDefault="00F815BE">
      <w:pPr>
        <w:numPr>
          <w:ilvl w:val="0"/>
          <w:numId w:val="77"/>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Егоров В.В. Экологическая химия: учебное пособие / Егоров В.В. – СПб.: Изд-во «Лань»</w:t>
      </w:r>
      <w:r>
        <w:rPr>
          <w:rFonts w:ascii="Times New Roman" w:hAnsi="Times New Roman" w:cs="Times New Roman"/>
          <w:sz w:val="20"/>
          <w:szCs w:val="20"/>
        </w:rPr>
        <w:t>, 2009. – 192 с.</w:t>
      </w:r>
    </w:p>
    <w:p w:rsidR="00517711" w:rsidRDefault="00F815BE">
      <w:pPr>
        <w:numPr>
          <w:ilvl w:val="0"/>
          <w:numId w:val="77"/>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Цветов В.Я. Отравители из Тиссо: история, экология / В.Я. Цветов. – Изд-во Политиздат, 1980. – 18с. </w:t>
      </w:r>
    </w:p>
    <w:p w:rsidR="00517711" w:rsidRDefault="00517711">
      <w:pPr>
        <w:tabs>
          <w:tab w:val="left" w:pos="993"/>
        </w:tabs>
        <w:spacing w:after="0" w:line="240" w:lineRule="auto"/>
        <w:jc w:val="both"/>
        <w:rPr>
          <w:rFonts w:ascii="Times New Roman" w:hAnsi="Times New Roman"/>
          <w:sz w:val="20"/>
          <w:szCs w:val="20"/>
        </w:rPr>
      </w:pPr>
    </w:p>
    <w:p w:rsidR="00517711" w:rsidRDefault="00517711">
      <w:pPr>
        <w:tabs>
          <w:tab w:val="left" w:pos="993"/>
        </w:tabs>
        <w:spacing w:after="0" w:line="240" w:lineRule="auto"/>
        <w:jc w:val="both"/>
        <w:rPr>
          <w:rFonts w:ascii="Times New Roman" w:hAnsi="Times New Roman"/>
          <w:sz w:val="20"/>
          <w:szCs w:val="20"/>
        </w:rPr>
      </w:pPr>
    </w:p>
    <w:p w:rsidR="00517711" w:rsidRDefault="00F815BE">
      <w:pPr>
        <w:spacing w:before="20" w:after="20" w:line="240" w:lineRule="auto"/>
        <w:jc w:val="both"/>
        <w:rPr>
          <w:rFonts w:ascii="Times New Roman" w:hAnsi="Times New Roman"/>
          <w:b/>
          <w:sz w:val="20"/>
          <w:szCs w:val="24"/>
        </w:rPr>
      </w:pPr>
      <w:r>
        <w:rPr>
          <w:rFonts w:ascii="Times New Roman" w:hAnsi="Times New Roman"/>
          <w:b/>
          <w:sz w:val="20"/>
          <w:szCs w:val="24"/>
        </w:rPr>
        <w:t>Рубрика: Общая экология</w:t>
      </w:r>
    </w:p>
    <w:p w:rsidR="00517711" w:rsidRDefault="00517711">
      <w:pPr>
        <w:spacing w:before="20" w:after="20" w:line="240" w:lineRule="auto"/>
        <w:jc w:val="both"/>
        <w:rPr>
          <w:rFonts w:ascii="Times New Roman" w:hAnsi="Times New Roman"/>
          <w:sz w:val="20"/>
          <w:szCs w:val="24"/>
        </w:rPr>
      </w:pPr>
    </w:p>
    <w:p w:rsidR="00517711" w:rsidRDefault="00F815BE">
      <w:pPr>
        <w:spacing w:before="20" w:after="20" w:line="240" w:lineRule="auto"/>
        <w:jc w:val="both"/>
        <w:rPr>
          <w:rFonts w:ascii="Times New Roman" w:hAnsi="Times New Roman"/>
          <w:sz w:val="20"/>
          <w:szCs w:val="24"/>
        </w:rPr>
      </w:pPr>
      <w:r>
        <w:rPr>
          <w:rFonts w:ascii="Times New Roman" w:hAnsi="Times New Roman"/>
          <w:sz w:val="20"/>
          <w:szCs w:val="24"/>
        </w:rPr>
        <w:t>УДК 574.22</w:t>
      </w:r>
    </w:p>
    <w:p w:rsidR="00517711" w:rsidRDefault="00517711">
      <w:pPr>
        <w:spacing w:after="0" w:line="240" w:lineRule="auto"/>
        <w:rPr>
          <w:rFonts w:ascii="Times New Roman" w:hAnsi="Times New Roman"/>
          <w:sz w:val="24"/>
          <w:szCs w:val="24"/>
        </w:rPr>
      </w:pPr>
    </w:p>
    <w:p w:rsidR="00517711" w:rsidRDefault="00F815BE">
      <w:pPr>
        <w:spacing w:after="0" w:line="240" w:lineRule="auto"/>
        <w:jc w:val="center"/>
        <w:rPr>
          <w:rFonts w:ascii="Book Antiqua" w:hAnsi="Book Antiqua"/>
          <w:b/>
          <w:sz w:val="26"/>
          <w:szCs w:val="26"/>
        </w:rPr>
      </w:pPr>
      <w:r>
        <w:rPr>
          <w:rFonts w:ascii="Book Antiqua" w:hAnsi="Book Antiqua"/>
          <w:b/>
          <w:sz w:val="26"/>
          <w:szCs w:val="26"/>
        </w:rPr>
        <w:t>ОЦЕНКА ВОЗДЕЙСТВИЯ НА АТМОСФЕРНЫЙ ВОЗДУХ НА ПРИМЕРЕ ПРЕДПРИЯТИЯ ОАО «ДАЛЬНЕВОСТОЧНАЯ ЭНЕРГЕТИЧЕСКАЯ УПРАВЛЯЮЩАЯ КОМПАНИЯ» - МИНИ-ТЭЦ «СЕВЕРНАЯ»</w:t>
      </w:r>
    </w:p>
    <w:p w:rsidR="00517711" w:rsidRDefault="00517711">
      <w:pPr>
        <w:spacing w:after="0" w:line="360" w:lineRule="auto"/>
        <w:jc w:val="center"/>
        <w:rPr>
          <w:rFonts w:ascii="Times New Roman" w:hAnsi="Times New Roman"/>
          <w:sz w:val="24"/>
          <w:szCs w:val="24"/>
        </w:rPr>
      </w:pPr>
    </w:p>
    <w:p w:rsidR="00517711" w:rsidRDefault="00F815BE">
      <w:pPr>
        <w:spacing w:after="0" w:line="240" w:lineRule="auto"/>
        <w:jc w:val="center"/>
        <w:rPr>
          <w:rFonts w:ascii="Arial" w:hAnsi="Arial" w:cs="Arial"/>
          <w:b/>
          <w:sz w:val="24"/>
          <w:szCs w:val="24"/>
        </w:rPr>
      </w:pPr>
      <w:r>
        <w:rPr>
          <w:rFonts w:ascii="Arial" w:hAnsi="Arial" w:cs="Arial"/>
          <w:b/>
          <w:sz w:val="24"/>
          <w:szCs w:val="24"/>
        </w:rPr>
        <w:t>Алешин Дмитрий Иванович</w:t>
      </w:r>
    </w:p>
    <w:p w:rsidR="00517711" w:rsidRDefault="00F815BE">
      <w:pPr>
        <w:spacing w:after="0" w:line="240" w:lineRule="auto"/>
        <w:jc w:val="center"/>
        <w:rPr>
          <w:rFonts w:ascii="Arial" w:hAnsi="Arial" w:cs="Arial"/>
          <w:b/>
          <w:sz w:val="24"/>
          <w:szCs w:val="24"/>
        </w:rPr>
      </w:pPr>
      <w:r>
        <w:rPr>
          <w:rFonts w:ascii="Arial" w:hAnsi="Arial" w:cs="Arial"/>
          <w:sz w:val="24"/>
          <w:szCs w:val="24"/>
        </w:rPr>
        <w:t>бакалавр</w:t>
      </w:r>
    </w:p>
    <w:p w:rsidR="00517711" w:rsidRDefault="00517711">
      <w:pPr>
        <w:spacing w:after="0" w:line="240" w:lineRule="auto"/>
        <w:jc w:val="center"/>
        <w:rPr>
          <w:rFonts w:ascii="Times New Roman" w:hAnsi="Times New Roman"/>
          <w:i/>
          <w:sz w:val="24"/>
          <w:szCs w:val="24"/>
        </w:rPr>
      </w:pPr>
    </w:p>
    <w:p w:rsidR="00517711" w:rsidRDefault="00F815BE">
      <w:pPr>
        <w:spacing w:after="0" w:line="240" w:lineRule="auto"/>
        <w:jc w:val="center"/>
        <w:rPr>
          <w:rFonts w:ascii="Times New Roman" w:hAnsi="Times New Roman"/>
          <w:i/>
          <w:szCs w:val="24"/>
        </w:rPr>
      </w:pPr>
      <w:r>
        <w:rPr>
          <w:rFonts w:ascii="Times New Roman" w:hAnsi="Times New Roman"/>
          <w:i/>
          <w:szCs w:val="24"/>
        </w:rPr>
        <w:t>Владивостокский государственный университет экономики и сервиса</w:t>
      </w:r>
    </w:p>
    <w:p w:rsidR="00517711" w:rsidRDefault="00F815BE">
      <w:pPr>
        <w:spacing w:after="0" w:line="240" w:lineRule="auto"/>
        <w:jc w:val="center"/>
        <w:rPr>
          <w:rFonts w:ascii="Times New Roman" w:hAnsi="Times New Roman"/>
          <w:i/>
          <w:szCs w:val="24"/>
        </w:rPr>
      </w:pPr>
      <w:r>
        <w:rPr>
          <w:rFonts w:ascii="Times New Roman" w:hAnsi="Times New Roman"/>
          <w:i/>
          <w:szCs w:val="24"/>
        </w:rPr>
        <w:t>Россия. Владивосток</w:t>
      </w:r>
    </w:p>
    <w:p w:rsidR="00517711" w:rsidRDefault="00517711">
      <w:pPr>
        <w:spacing w:after="0" w:line="240" w:lineRule="auto"/>
        <w:jc w:val="center"/>
        <w:rPr>
          <w:rFonts w:ascii="Times New Roman" w:hAnsi="Times New Roman"/>
          <w:sz w:val="24"/>
          <w:szCs w:val="24"/>
        </w:rPr>
      </w:pPr>
    </w:p>
    <w:p w:rsidR="00517711" w:rsidRDefault="00F815BE">
      <w:pPr>
        <w:spacing w:after="0" w:line="240" w:lineRule="auto"/>
        <w:jc w:val="center"/>
        <w:rPr>
          <w:rFonts w:ascii="Times New Roman" w:hAnsi="Times New Roman"/>
          <w:sz w:val="20"/>
          <w:szCs w:val="24"/>
        </w:rPr>
      </w:pPr>
      <w:r>
        <w:rPr>
          <w:rFonts w:ascii="Times New Roman" w:hAnsi="Times New Roman"/>
          <w:sz w:val="20"/>
          <w:szCs w:val="24"/>
          <w:lang w:val="en-US"/>
        </w:rPr>
        <w:t>E</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 xml:space="preserve">: </w:t>
      </w:r>
      <w:r>
        <w:rPr>
          <w:rFonts w:ascii="Times New Roman" w:hAnsi="Times New Roman"/>
          <w:sz w:val="20"/>
          <w:szCs w:val="24"/>
          <w:lang w:val="en-US"/>
        </w:rPr>
        <w:t>byorkman</w:t>
      </w:r>
      <w:r>
        <w:rPr>
          <w:rFonts w:ascii="Times New Roman" w:hAnsi="Times New Roman"/>
          <w:sz w:val="20"/>
          <w:szCs w:val="24"/>
        </w:rPr>
        <w:t>_</w:t>
      </w:r>
      <w:r>
        <w:rPr>
          <w:rFonts w:ascii="Times New Roman" w:hAnsi="Times New Roman"/>
          <w:sz w:val="20"/>
          <w:szCs w:val="24"/>
          <w:lang w:val="en-US"/>
        </w:rPr>
        <w:t>di</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w:t>
      </w:r>
      <w:r>
        <w:rPr>
          <w:rFonts w:ascii="Times New Roman" w:hAnsi="Times New Roman"/>
          <w:sz w:val="20"/>
          <w:szCs w:val="24"/>
          <w:lang w:val="en-US"/>
        </w:rPr>
        <w:t>ru</w:t>
      </w:r>
      <w:r>
        <w:rPr>
          <w:rFonts w:ascii="Times New Roman" w:hAnsi="Times New Roman"/>
          <w:sz w:val="20"/>
          <w:szCs w:val="24"/>
        </w:rPr>
        <w:t>, тел: 89841885769</w:t>
      </w:r>
    </w:p>
    <w:p w:rsidR="00517711" w:rsidRDefault="00F815BE">
      <w:pPr>
        <w:spacing w:after="0" w:line="240" w:lineRule="auto"/>
        <w:jc w:val="center"/>
        <w:rPr>
          <w:rFonts w:ascii="Times New Roman" w:hAnsi="Times New Roman"/>
          <w:sz w:val="24"/>
          <w:szCs w:val="24"/>
        </w:rPr>
      </w:pPr>
      <w:r>
        <w:rPr>
          <w:rFonts w:ascii="Times New Roman" w:hAnsi="Times New Roman"/>
          <w:sz w:val="20"/>
          <w:szCs w:val="24"/>
        </w:rPr>
        <w:t>ул. Гоголя, 41, г. Владивосток, Приморский край, Россия, 690014</w:t>
      </w:r>
    </w:p>
    <w:p w:rsidR="00517711" w:rsidRDefault="00517711">
      <w:pPr>
        <w:spacing w:before="20" w:after="20" w:line="240" w:lineRule="auto"/>
        <w:ind w:firstLine="709"/>
        <w:jc w:val="both"/>
        <w:rPr>
          <w:rFonts w:ascii="Times New Roman" w:hAnsi="Times New Roman"/>
          <w:i/>
          <w:sz w:val="24"/>
          <w:szCs w:val="24"/>
        </w:rPr>
      </w:pPr>
    </w:p>
    <w:p w:rsidR="00517711" w:rsidRDefault="00F815BE">
      <w:pPr>
        <w:spacing w:after="0" w:line="240" w:lineRule="auto"/>
        <w:ind w:firstLine="709"/>
        <w:jc w:val="both"/>
        <w:rPr>
          <w:rFonts w:ascii="Times New Roman" w:hAnsi="Times New Roman"/>
          <w:i/>
          <w:szCs w:val="24"/>
        </w:rPr>
      </w:pPr>
      <w:r>
        <w:rPr>
          <w:rFonts w:ascii="Times New Roman" w:hAnsi="Times New Roman"/>
          <w:i/>
          <w:szCs w:val="24"/>
        </w:rPr>
        <w:t>В настоящей работе проведена оценка воздействия на атмосферный воздух предприятия ОАО «Дальневосточная энергетическая управляющая компания» - Мини-ТЭЦ «Северная». Изучено распределение выбросов загрязняющих веществ источниками загрязнения, распределение выбросов загрязняющих веществ по классам опасности. Определены вещества, оказывающие наибольшее воздействие на окружающую среду. Рассчитана плата за выбросы загрязняющих веществ для данного предприятия.</w:t>
      </w:r>
    </w:p>
    <w:p w:rsidR="00517711" w:rsidRDefault="00F815BE">
      <w:pPr>
        <w:spacing w:after="0" w:line="240" w:lineRule="auto"/>
        <w:ind w:firstLine="709"/>
        <w:jc w:val="both"/>
        <w:rPr>
          <w:rFonts w:ascii="Times New Roman" w:hAnsi="Times New Roman"/>
          <w:i/>
          <w:szCs w:val="24"/>
        </w:rPr>
      </w:pPr>
      <w:r>
        <w:rPr>
          <w:rFonts w:ascii="Times New Roman" w:hAnsi="Times New Roman"/>
          <w:b/>
          <w:i/>
          <w:szCs w:val="24"/>
        </w:rPr>
        <w:t xml:space="preserve">Ключевые слова и словосочетания: </w:t>
      </w:r>
      <w:r>
        <w:rPr>
          <w:rFonts w:ascii="Times New Roman" w:hAnsi="Times New Roman"/>
          <w:i/>
          <w:szCs w:val="24"/>
        </w:rPr>
        <w:t>нормирование, атмосферный воздух, источник загрязнения, предельно допустимые выбросы, классы опасности.</w:t>
      </w:r>
    </w:p>
    <w:p w:rsidR="00517711" w:rsidRDefault="00517711">
      <w:pPr>
        <w:spacing w:after="0"/>
        <w:ind w:firstLine="709"/>
        <w:jc w:val="both"/>
        <w:rPr>
          <w:i/>
          <w:highlight w:val="green"/>
        </w:rPr>
      </w:pPr>
    </w:p>
    <w:p w:rsidR="00517711" w:rsidRDefault="00F815BE">
      <w:pPr>
        <w:spacing w:after="0"/>
        <w:ind w:firstLine="709"/>
        <w:jc w:val="center"/>
        <w:rPr>
          <w:rFonts w:ascii="Book Antiqua" w:hAnsi="Book Antiqua"/>
          <w:b/>
          <w:sz w:val="26"/>
          <w:szCs w:val="26"/>
          <w:lang w:val="en-US"/>
        </w:rPr>
      </w:pPr>
      <w:r>
        <w:rPr>
          <w:rFonts w:ascii="Book Antiqua" w:hAnsi="Book Antiqua"/>
          <w:b/>
          <w:sz w:val="26"/>
          <w:szCs w:val="26"/>
          <w:lang w:val="en-US"/>
        </w:rPr>
        <w:t>ASSESSMENT OF THE IMPACT ON ATMOSPHERIC AIR ON THE EXAMPLE OF JSC "FAR EASTERN ENERGY MANAGEMENT COMPANY" - MINI-TETS "SEVERNAYA»</w:t>
      </w:r>
    </w:p>
    <w:p w:rsidR="00517711" w:rsidRDefault="00517711">
      <w:pPr>
        <w:spacing w:after="0"/>
        <w:ind w:firstLine="709"/>
        <w:jc w:val="center"/>
        <w:rPr>
          <w:rFonts w:ascii="Times New Roman" w:hAnsi="Times New Roman"/>
          <w:b/>
          <w:sz w:val="24"/>
          <w:highlight w:val="green"/>
          <w:lang w:val="en-US"/>
        </w:rPr>
      </w:pPr>
    </w:p>
    <w:p w:rsidR="00517711" w:rsidRDefault="00F815BE">
      <w:pPr>
        <w:spacing w:after="0" w:line="240" w:lineRule="auto"/>
        <w:ind w:firstLine="709"/>
        <w:jc w:val="both"/>
        <w:rPr>
          <w:rFonts w:ascii="Times New Roman" w:hAnsi="Times New Roman"/>
          <w:i/>
          <w:lang w:val="en-US"/>
        </w:rPr>
      </w:pPr>
      <w:r>
        <w:rPr>
          <w:rFonts w:ascii="Times New Roman" w:hAnsi="Times New Roman"/>
          <w:i/>
          <w:lang w:val="en-US"/>
        </w:rPr>
        <w:t>In the present work the impact assessment on atmospheric air of JSC</w:t>
      </w:r>
      <w:r>
        <w:rPr>
          <w:rFonts w:ascii="Times New Roman" w:hAnsi="Times New Roman"/>
          <w:i/>
          <w:szCs w:val="24"/>
          <w:lang w:val="en-US"/>
        </w:rPr>
        <w:t>«</w:t>
      </w:r>
      <w:r>
        <w:rPr>
          <w:rFonts w:ascii="Times New Roman" w:hAnsi="Times New Roman"/>
          <w:i/>
          <w:lang w:val="en-US"/>
        </w:rPr>
        <w:t xml:space="preserve"> far Eastern energy management company</w:t>
      </w:r>
      <w:r>
        <w:rPr>
          <w:rFonts w:ascii="Times New Roman" w:hAnsi="Times New Roman"/>
          <w:i/>
          <w:szCs w:val="24"/>
          <w:lang w:val="en-US"/>
        </w:rPr>
        <w:t>»</w:t>
      </w:r>
      <w:r>
        <w:rPr>
          <w:rFonts w:ascii="Times New Roman" w:hAnsi="Times New Roman"/>
          <w:i/>
          <w:lang w:val="en-US"/>
        </w:rPr>
        <w:t xml:space="preserve"> - mini-TETS </w:t>
      </w:r>
      <w:r>
        <w:rPr>
          <w:rFonts w:ascii="Times New Roman" w:hAnsi="Times New Roman"/>
          <w:i/>
          <w:szCs w:val="24"/>
          <w:lang w:val="en-US"/>
        </w:rPr>
        <w:t>«</w:t>
      </w:r>
      <w:r>
        <w:rPr>
          <w:rFonts w:ascii="Times New Roman" w:hAnsi="Times New Roman"/>
          <w:i/>
          <w:lang w:val="en-US"/>
        </w:rPr>
        <w:t>Severnaya</w:t>
      </w:r>
      <w:r>
        <w:rPr>
          <w:rFonts w:ascii="Times New Roman" w:hAnsi="Times New Roman"/>
          <w:i/>
          <w:szCs w:val="24"/>
          <w:lang w:val="en-US"/>
        </w:rPr>
        <w:t>»</w:t>
      </w:r>
      <w:r>
        <w:rPr>
          <w:rFonts w:ascii="Times New Roman" w:hAnsi="Times New Roman"/>
          <w:i/>
          <w:lang w:val="en-US"/>
        </w:rPr>
        <w:t>. The distribution of pollutant emissions by sources of pollution, the distribution of pollutant emissions by hazard classes were studied. The substances having the greatest impact on the environment are defined. Calculated fee for emissions of pollutants for the enterprise.</w:t>
      </w:r>
      <w:r>
        <w:rPr>
          <w:rFonts w:ascii="Times New Roman" w:hAnsi="Times New Roman"/>
          <w:i/>
          <w:highlight w:val="yellow"/>
          <w:lang w:val="en-US"/>
        </w:rPr>
        <w:br/>
      </w:r>
      <w:r>
        <w:rPr>
          <w:rFonts w:ascii="Times New Roman" w:hAnsi="Times New Roman"/>
          <w:b/>
          <w:i/>
          <w:lang w:val="en-US"/>
        </w:rPr>
        <w:t xml:space="preserve">            Keywords and phrases: </w:t>
      </w:r>
      <w:r>
        <w:rPr>
          <w:rFonts w:ascii="Times New Roman" w:hAnsi="Times New Roman"/>
          <w:i/>
          <w:lang w:val="en-US"/>
        </w:rPr>
        <w:t>normalization, atmospheric air, pollution source, allowable emissions, hazard classes.</w:t>
      </w:r>
    </w:p>
    <w:p w:rsidR="00517711" w:rsidRDefault="00517711">
      <w:pPr>
        <w:spacing w:after="0"/>
        <w:ind w:firstLine="709"/>
        <w:jc w:val="both"/>
        <w:rPr>
          <w:rFonts w:ascii="Times New Roman" w:hAnsi="Times New Roman"/>
          <w:b/>
          <w:i/>
          <w:sz w:val="24"/>
          <w:lang w:val="en-US"/>
        </w:rPr>
      </w:pP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Нормирование качества окружающей природной среды производится с целью установления предельно - допустимых норм воздействия на окружающую природную среду, гарантирующих экологическую безопасность населения и сохранение генетического фонда, обеспечивающие рациональное использование и воспроизводство природных ресурсов в условиях устойчивого развития хозяйственной деятельности[1].</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Предельно допустимые выбросы (ПДВ) являются экологическим нормативом, установленным для каждого конкретного источника загрязнения атмосферы, при условии, что выбросы вредных веществ от него и всей совокупности источников объекта с учетом их рассеивания и превращения в атмосфере не создадут приземных концентраций, превышающих установленные нормативы качества воздуха [2].</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Открытое акционерное общество «Дальневосточная энергетическая управляющая компания» - Мини-ТЭЦ «Северная»,</w:t>
      </w:r>
      <w:r>
        <w:rPr>
          <w:rFonts w:ascii="Times New Roman" w:hAnsi="Times New Roman" w:cs="Times New Roman"/>
          <w:b/>
          <w:color w:val="000000" w:themeColor="text1"/>
          <w:sz w:val="20"/>
          <w:szCs w:val="20"/>
        </w:rPr>
        <w:t xml:space="preserve"> </w:t>
      </w:r>
      <w:r>
        <w:rPr>
          <w:rFonts w:ascii="Times New Roman" w:hAnsi="Times New Roman" w:cs="Times New Roman"/>
          <w:color w:val="000000" w:themeColor="text1"/>
          <w:sz w:val="20"/>
          <w:szCs w:val="20"/>
        </w:rPr>
        <w:t>располагается по адресу: г. Владивосток, о. Русский, м. Поспелова. Основным видом деятельности являются: обеспечение потребителей электрической и тепловой энергией, в качестве топлива используется дизель. На промплощадке расположены следующие объекты, оказывающие наибольшее влияние на загрязнение атмосферы в районе расположения предприятия:</w:t>
      </w:r>
    </w:p>
    <w:p w:rsidR="00517711" w:rsidRDefault="00F815BE">
      <w:pPr>
        <w:pStyle w:val="af4"/>
        <w:spacing w:after="0" w:line="240" w:lineRule="auto"/>
        <w:ind w:left="1080"/>
        <w:rPr>
          <w:rFonts w:ascii="Times New Roman" w:hAnsi="Times New Roman"/>
          <w:color w:val="000000"/>
          <w:sz w:val="20"/>
          <w:szCs w:val="20"/>
        </w:rPr>
      </w:pPr>
      <w:r>
        <w:rPr>
          <w:rFonts w:ascii="Times New Roman" w:hAnsi="Times New Roman"/>
          <w:color w:val="000000" w:themeColor="text1"/>
          <w:sz w:val="20"/>
          <w:szCs w:val="20"/>
        </w:rPr>
        <w:t>- пиковая котельная;</w:t>
      </w:r>
      <w:r>
        <w:rPr>
          <w:rFonts w:ascii="Times New Roman" w:hAnsi="Times New Roman"/>
          <w:color w:val="000000" w:themeColor="text1"/>
          <w:sz w:val="20"/>
          <w:szCs w:val="20"/>
        </w:rPr>
        <w:br/>
        <w:t>- дизельная электростанция (АДЭС);</w:t>
      </w:r>
    </w:p>
    <w:p w:rsidR="00517711" w:rsidRDefault="00F815BE">
      <w:pPr>
        <w:pStyle w:val="af4"/>
        <w:spacing w:after="0" w:line="240" w:lineRule="auto"/>
        <w:ind w:left="1080"/>
        <w:rPr>
          <w:rFonts w:ascii="Times New Roman" w:hAnsi="Times New Roman"/>
          <w:color w:val="000000"/>
          <w:sz w:val="20"/>
          <w:szCs w:val="20"/>
        </w:rPr>
      </w:pPr>
      <w:r>
        <w:rPr>
          <w:rFonts w:ascii="Times New Roman" w:hAnsi="Times New Roman"/>
          <w:color w:val="000000" w:themeColor="text1"/>
          <w:sz w:val="20"/>
          <w:szCs w:val="20"/>
        </w:rPr>
        <w:t xml:space="preserve">- газотурбинная установка (ГТУ) </w:t>
      </w:r>
      <w:r>
        <w:rPr>
          <w:rFonts w:ascii="Times New Roman" w:hAnsi="Times New Roman"/>
          <w:color w:val="000000" w:themeColor="text1"/>
          <w:sz w:val="20"/>
          <w:szCs w:val="20"/>
          <w:lang w:val="en-US"/>
        </w:rPr>
        <w:t>OPRA</w:t>
      </w:r>
      <w:r>
        <w:rPr>
          <w:rFonts w:ascii="Times New Roman" w:hAnsi="Times New Roman"/>
          <w:color w:val="000000" w:themeColor="text1"/>
          <w:sz w:val="20"/>
          <w:szCs w:val="20"/>
        </w:rPr>
        <w:t xml:space="preserve"> </w:t>
      </w:r>
      <w:r>
        <w:rPr>
          <w:rFonts w:ascii="Times New Roman" w:hAnsi="Times New Roman"/>
          <w:color w:val="000000" w:themeColor="text1"/>
          <w:sz w:val="20"/>
          <w:szCs w:val="20"/>
          <w:lang w:val="en-US"/>
        </w:rPr>
        <w:t>DTG</w:t>
      </w:r>
      <w:r>
        <w:rPr>
          <w:rFonts w:ascii="Times New Roman" w:hAnsi="Times New Roman"/>
          <w:color w:val="000000" w:themeColor="text1"/>
          <w:sz w:val="20"/>
          <w:szCs w:val="20"/>
        </w:rPr>
        <w:t>1.8</w:t>
      </w:r>
      <w:r>
        <w:rPr>
          <w:rFonts w:ascii="Times New Roman" w:hAnsi="Times New Roman"/>
          <w:color w:val="000000" w:themeColor="text1"/>
          <w:sz w:val="20"/>
          <w:szCs w:val="20"/>
          <w:lang w:val="en-US"/>
        </w:rPr>
        <w:t>L</w:t>
      </w:r>
      <w:r>
        <w:rPr>
          <w:rFonts w:ascii="Times New Roman" w:hAnsi="Times New Roman"/>
          <w:color w:val="000000" w:themeColor="text1"/>
          <w:sz w:val="20"/>
          <w:szCs w:val="20"/>
        </w:rPr>
        <w:t>;</w:t>
      </w:r>
    </w:p>
    <w:p w:rsidR="00517711" w:rsidRDefault="00F815BE">
      <w:pPr>
        <w:pStyle w:val="af4"/>
        <w:spacing w:after="0" w:line="240" w:lineRule="auto"/>
        <w:ind w:left="1080"/>
        <w:rPr>
          <w:rFonts w:ascii="Times New Roman" w:hAnsi="Times New Roman"/>
          <w:color w:val="000000"/>
          <w:sz w:val="20"/>
          <w:szCs w:val="20"/>
        </w:rPr>
      </w:pPr>
      <w:r>
        <w:rPr>
          <w:rFonts w:ascii="Times New Roman" w:hAnsi="Times New Roman"/>
          <w:color w:val="000000" w:themeColor="text1"/>
          <w:sz w:val="20"/>
          <w:szCs w:val="20"/>
        </w:rPr>
        <w:t>- емкость для топлива;</w:t>
      </w:r>
      <w:r>
        <w:rPr>
          <w:rFonts w:ascii="Times New Roman" w:hAnsi="Times New Roman"/>
          <w:color w:val="000000" w:themeColor="text1"/>
          <w:sz w:val="20"/>
          <w:szCs w:val="20"/>
        </w:rPr>
        <w:br/>
        <w:t>- насосная станция;</w:t>
      </w:r>
      <w:r>
        <w:rPr>
          <w:rFonts w:ascii="Times New Roman" w:hAnsi="Times New Roman"/>
          <w:color w:val="000000" w:themeColor="text1"/>
          <w:sz w:val="20"/>
          <w:szCs w:val="20"/>
        </w:rPr>
        <w:br/>
        <w:t>- очистные сооружения ливневых вод;</w:t>
      </w:r>
      <w:r>
        <w:rPr>
          <w:rFonts w:ascii="Times New Roman" w:hAnsi="Times New Roman"/>
          <w:color w:val="000000" w:themeColor="text1"/>
          <w:sz w:val="20"/>
          <w:szCs w:val="20"/>
        </w:rPr>
        <w:br/>
        <w:t>- двигатель внутреннего сгорания (ДВС).</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 Выбросы в атмосферу на предприятии осуществляются 11 источниками загрязнения. ГТУ включает в себя 2 источника выделения загрязняющих веществ, котельная - 2 источника, аварийная АДЭС - 2 источника, емкость для топлива - 2 источника, насосная станция - 1 источник, очистные сооружения ливневых вод - 1 источник и ДВС - 1 источник.</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Суммарный выброс загрязняющих веществ в атмосферу составляет 214,313446 т/год. Распределение выбросов показано на рисунке 1.</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Наибольший вклад в общее количество выбросов вносят источники котельной, доля их выбросов составляет 54,42%, на ГТУ приходится 15,13 %, на аварийную ДЭС 12,5%,  на емкости для топлива 1,48%, на насосную станцию 2,81%, на очистные сооружения ливневых вод 10,42%, на ДВС 3,24%.</w:t>
      </w:r>
    </w:p>
    <w:p w:rsidR="00517711" w:rsidRDefault="00517711">
      <w:pPr>
        <w:spacing w:after="0" w:line="240" w:lineRule="auto"/>
        <w:ind w:firstLine="709"/>
        <w:jc w:val="both"/>
        <w:rPr>
          <w:rFonts w:ascii="Times New Roman" w:hAnsi="Times New Roman" w:cs="Times New Roman"/>
          <w:color w:val="000000"/>
          <w:sz w:val="20"/>
          <w:szCs w:val="20"/>
        </w:rPr>
      </w:pP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noProof/>
          <w:color w:val="000000" w:themeColor="text1"/>
          <w:sz w:val="20"/>
          <w:szCs w:val="20"/>
          <w:lang w:eastAsia="ru-RU"/>
        </w:rPr>
        <mc:AlternateContent>
          <mc:Choice Requires="wps">
            <w:drawing>
              <wp:anchor distT="0" distB="0" distL="114300" distR="114300" simplePos="0" relativeHeight="251700224" behindDoc="0" locked="0" layoutInCell="1" allowOverlap="1">
                <wp:simplePos x="0" y="0"/>
                <wp:positionH relativeFrom="column">
                  <wp:posOffset>5341618</wp:posOffset>
                </wp:positionH>
                <wp:positionV relativeFrom="paragraph">
                  <wp:posOffset>2193288</wp:posOffset>
                </wp:positionV>
                <wp:extent cx="501013" cy="269238"/>
                <wp:effectExtent l="13333" t="12063" r="9523" b="13968"/>
                <wp:wrapNone/>
                <wp:docPr id="60" name="Поле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1015" cy="269240"/>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b/>
                                <w:sz w:val="24"/>
                                <w:szCs w:val="24"/>
                              </w:rPr>
                            </w:pPr>
                            <w:r>
                              <w:rPr>
                                <w:rFonts w:ascii="Times New Roman" w:hAnsi="Times New Roman"/>
                                <w:b/>
                                <w:sz w:val="24"/>
                                <w:szCs w:val="24"/>
                              </w:rPr>
                              <w:t>6,94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Поле 24" o:spid="_x0000_s1095" style="position:absolute;left:0;text-align:left;margin-left:420.6pt;margin-top:172.7pt;width:39.45pt;height:21.2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">
                <v:path arrowok="t"/>
                <v:textbox>
                  <w:txbxContent>
                    <w:p w:rsidR="00306ED2" w:rsidRDefault="00306ED2">
                      <w:pPr>
                        <w:rPr>
                          <w:rFonts w:ascii="Times New Roman" w:hAnsi="Times New Roman"/>
                          <w:b/>
                          <w:sz w:val="24"/>
                          <w:szCs w:val="24"/>
                        </w:rPr>
                      </w:pPr>
                      <w:r>
                        <w:rPr>
                          <w:rFonts w:ascii="Times New Roman" w:hAnsi="Times New Roman"/>
                          <w:b/>
                          <w:sz w:val="24"/>
                          <w:szCs w:val="24"/>
                        </w:rPr>
                        <w:t>6,94</w:t>
                      </w:r>
                    </w:p>
                  </w:txbxContent>
                </v:textbox>
              </v:rect>
            </w:pict>
          </mc:Fallback>
        </mc:AlternateContent>
      </w:r>
      <w:r>
        <w:rPr>
          <w:rFonts w:ascii="Times New Roman" w:hAnsi="Times New Roman" w:cs="Times New Roman"/>
          <w:noProof/>
          <w:color w:val="000000" w:themeColor="text1"/>
          <w:sz w:val="20"/>
          <w:szCs w:val="20"/>
          <w:lang w:eastAsia="ru-RU"/>
        </w:rPr>
        <mc:AlternateContent>
          <mc:Choice Requires="wps">
            <w:drawing>
              <wp:anchor distT="0" distB="0" distL="114300" distR="114300" simplePos="0" relativeHeight="251699200" behindDoc="0" locked="0" layoutInCell="1" allowOverlap="1">
                <wp:simplePos x="0" y="0"/>
                <wp:positionH relativeFrom="column">
                  <wp:posOffset>4605018</wp:posOffset>
                </wp:positionH>
                <wp:positionV relativeFrom="paragraph">
                  <wp:posOffset>1819273</wp:posOffset>
                </wp:positionV>
                <wp:extent cx="551813" cy="269238"/>
                <wp:effectExtent l="10158" t="9523" r="9523" b="6984"/>
                <wp:wrapNone/>
                <wp:docPr id="61" name="Поле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1815" cy="269240"/>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b/>
                                <w:sz w:val="24"/>
                                <w:szCs w:val="24"/>
                              </w:rPr>
                            </w:pPr>
                            <w:r>
                              <w:rPr>
                                <w:rFonts w:ascii="Times New Roman" w:hAnsi="Times New Roman"/>
                                <w:b/>
                                <w:sz w:val="24"/>
                                <w:szCs w:val="24"/>
                              </w:rPr>
                              <w:t>26,78</w:t>
                            </w:r>
                          </w:p>
                          <w:p w:rsidR="00306ED2" w:rsidRDefault="00306ED2">
                            <w:pPr>
                              <w:rPr>
                                <w:rFonts w:ascii="Times New Roman" w:hAnsi="Times New Roman"/>
                                <w:b/>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Поле 25" o:spid="_x0000_s1096" style="position:absolute;left:0;text-align:left;margin-left:362.6pt;margin-top:143.25pt;width:43.45pt;height:21.2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">
                <v:path arrowok="t"/>
                <v:textbox>
                  <w:txbxContent>
                    <w:p w:rsidR="00306ED2" w:rsidRDefault="00306ED2">
                      <w:pPr>
                        <w:rPr>
                          <w:rFonts w:ascii="Times New Roman" w:hAnsi="Times New Roman"/>
                          <w:b/>
                          <w:sz w:val="24"/>
                          <w:szCs w:val="24"/>
                        </w:rPr>
                      </w:pPr>
                      <w:r>
                        <w:rPr>
                          <w:rFonts w:ascii="Times New Roman" w:hAnsi="Times New Roman"/>
                          <w:b/>
                          <w:sz w:val="24"/>
                          <w:szCs w:val="24"/>
                        </w:rPr>
                        <w:t>26,78</w:t>
                      </w:r>
                    </w:p>
                    <w:p w:rsidR="00306ED2" w:rsidRDefault="00306ED2">
                      <w:pPr>
                        <w:rPr>
                          <w:rFonts w:ascii="Times New Roman" w:hAnsi="Times New Roman"/>
                          <w:b/>
                          <w:sz w:val="24"/>
                          <w:szCs w:val="24"/>
                        </w:rPr>
                      </w:pPr>
                    </w:p>
                  </w:txbxContent>
                </v:textbox>
              </v:rect>
            </w:pict>
          </mc:Fallback>
        </mc:AlternateContent>
      </w:r>
      <w:r>
        <w:rPr>
          <w:rFonts w:ascii="Times New Roman" w:hAnsi="Times New Roman" w:cs="Times New Roman"/>
          <w:noProof/>
          <w:color w:val="000000" w:themeColor="text1"/>
          <w:sz w:val="20"/>
          <w:szCs w:val="20"/>
          <w:lang w:eastAsia="ru-RU"/>
        </w:rPr>
        <mc:AlternateContent>
          <mc:Choice Requires="wps">
            <w:drawing>
              <wp:anchor distT="0" distB="0" distL="114300" distR="114300" simplePos="0" relativeHeight="251698176" behindDoc="0" locked="0" layoutInCell="1" allowOverlap="1">
                <wp:simplePos x="0" y="0"/>
                <wp:positionH relativeFrom="column">
                  <wp:posOffset>3955413</wp:posOffset>
                </wp:positionH>
                <wp:positionV relativeFrom="paragraph">
                  <wp:posOffset>2193288</wp:posOffset>
                </wp:positionV>
                <wp:extent cx="460373" cy="278763"/>
                <wp:effectExtent l="8253" t="12063" r="7618" b="13968"/>
                <wp:wrapNone/>
                <wp:docPr id="62" name="Поле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0375" cy="278765"/>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b/>
                                <w:sz w:val="24"/>
                                <w:szCs w:val="24"/>
                              </w:rPr>
                            </w:pPr>
                            <w:r>
                              <w:rPr>
                                <w:rFonts w:ascii="Times New Roman" w:hAnsi="Times New Roman"/>
                                <w:b/>
                                <w:sz w:val="24"/>
                                <w:szCs w:val="24"/>
                              </w:rPr>
                              <w:t>6,02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Поле 26" o:spid="_x0000_s1097" style="position:absolute;left:0;text-align:left;margin-left:311.45pt;margin-top:172.7pt;width:36.25pt;height:21.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">
                <v:path arrowok="t"/>
                <v:textbox>
                  <w:txbxContent>
                    <w:p w:rsidR="00306ED2" w:rsidRDefault="00306ED2">
                      <w:pPr>
                        <w:rPr>
                          <w:rFonts w:ascii="Times New Roman" w:hAnsi="Times New Roman"/>
                          <w:b/>
                          <w:sz w:val="24"/>
                          <w:szCs w:val="24"/>
                        </w:rPr>
                      </w:pPr>
                      <w:r>
                        <w:rPr>
                          <w:rFonts w:ascii="Times New Roman" w:hAnsi="Times New Roman"/>
                          <w:b/>
                          <w:sz w:val="24"/>
                          <w:szCs w:val="24"/>
                        </w:rPr>
                        <w:t>6,02</w:t>
                      </w:r>
                    </w:p>
                  </w:txbxContent>
                </v:textbox>
              </v:rect>
            </w:pict>
          </mc:Fallback>
        </mc:AlternateContent>
      </w:r>
      <w:r>
        <w:rPr>
          <w:rFonts w:ascii="Times New Roman" w:hAnsi="Times New Roman" w:cs="Times New Roman"/>
          <w:noProof/>
          <w:color w:val="000000" w:themeColor="text1"/>
          <w:sz w:val="20"/>
          <w:szCs w:val="20"/>
          <w:lang w:eastAsia="ru-RU"/>
        </w:rPr>
        <mc:AlternateContent>
          <mc:Choice Requires="wps">
            <w:drawing>
              <wp:anchor distT="0" distB="0" distL="114300" distR="114300" simplePos="0" relativeHeight="251697152" behindDoc="0" locked="0" layoutInCell="1" allowOverlap="1">
                <wp:simplePos x="0" y="0"/>
                <wp:positionH relativeFrom="column">
                  <wp:posOffset>3201669</wp:posOffset>
                </wp:positionH>
                <wp:positionV relativeFrom="paragraph">
                  <wp:posOffset>2276473</wp:posOffset>
                </wp:positionV>
                <wp:extent cx="474978" cy="245745"/>
                <wp:effectExtent l="6984" t="9523" r="13333" b="11430"/>
                <wp:wrapNone/>
                <wp:docPr id="63" name="Поле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4980" cy="245745"/>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b/>
                                <w:sz w:val="24"/>
                                <w:szCs w:val="24"/>
                              </w:rPr>
                            </w:pPr>
                            <w:r>
                              <w:rPr>
                                <w:rFonts w:ascii="Times New Roman" w:hAnsi="Times New Roman"/>
                                <w:b/>
                                <w:sz w:val="24"/>
                                <w:szCs w:val="24"/>
                              </w:rPr>
                              <w:t>3,71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Поле 27" o:spid="_x0000_s1098" style="position:absolute;left:0;text-align:left;margin-left:252.1pt;margin-top:179.25pt;width:37.4pt;height:19.3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">
                <v:path arrowok="t"/>
                <v:textbox>
                  <w:txbxContent>
                    <w:p w:rsidR="00306ED2" w:rsidRDefault="00306ED2">
                      <w:pPr>
                        <w:rPr>
                          <w:rFonts w:ascii="Times New Roman" w:hAnsi="Times New Roman"/>
                          <w:b/>
                          <w:sz w:val="24"/>
                          <w:szCs w:val="24"/>
                        </w:rPr>
                      </w:pPr>
                      <w:r>
                        <w:rPr>
                          <w:rFonts w:ascii="Times New Roman" w:hAnsi="Times New Roman"/>
                          <w:b/>
                          <w:sz w:val="24"/>
                          <w:szCs w:val="24"/>
                        </w:rPr>
                        <w:t>3,71</w:t>
                      </w:r>
                    </w:p>
                  </w:txbxContent>
                </v:textbox>
              </v:rect>
            </w:pict>
          </mc:Fallback>
        </mc:AlternateContent>
      </w:r>
      <w:r>
        <w:rPr>
          <w:rFonts w:ascii="Times New Roman" w:hAnsi="Times New Roman" w:cs="Times New Roman"/>
          <w:noProof/>
          <w:color w:val="000000" w:themeColor="text1"/>
          <w:sz w:val="20"/>
          <w:szCs w:val="20"/>
          <w:lang w:eastAsia="ru-RU"/>
        </w:rPr>
        <mc:AlternateContent>
          <mc:Choice Requires="wps">
            <w:drawing>
              <wp:anchor distT="0" distB="0" distL="114300" distR="114300" simplePos="0" relativeHeight="251696128" behindDoc="0" locked="0" layoutInCell="1" allowOverlap="1">
                <wp:simplePos x="0" y="0"/>
                <wp:positionH relativeFrom="column">
                  <wp:posOffset>2428238</wp:posOffset>
                </wp:positionH>
                <wp:positionV relativeFrom="paragraph">
                  <wp:posOffset>1876423</wp:posOffset>
                </wp:positionV>
                <wp:extent cx="556893" cy="316863"/>
                <wp:effectExtent l="5078" t="9523" r="9523" b="6984"/>
                <wp:wrapNone/>
                <wp:docPr id="64" name="Поле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6895" cy="316865"/>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b/>
                                <w:sz w:val="24"/>
                                <w:szCs w:val="24"/>
                              </w:rPr>
                            </w:pPr>
                            <w:r>
                              <w:rPr>
                                <w:rFonts w:ascii="Times New Roman" w:hAnsi="Times New Roman"/>
                                <w:b/>
                                <w:sz w:val="24"/>
                                <w:szCs w:val="24"/>
                              </w:rPr>
                              <w:t>22,33</w:t>
                            </w:r>
                          </w:p>
                          <w:p w:rsidR="00306ED2" w:rsidRDefault="00306ED2">
                            <w:pPr>
                              <w:rPr>
                                <w:rFonts w:ascii="Times New Roman" w:hAnsi="Times New Roman"/>
                                <w:b/>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Поле 28" o:spid="_x0000_s1099" style="position:absolute;left:0;text-align:left;margin-left:191.2pt;margin-top:147.75pt;width:43.85pt;height:24.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">
                <v:path arrowok="t"/>
                <v:textbox>
                  <w:txbxContent>
                    <w:p w:rsidR="00306ED2" w:rsidRDefault="00306ED2">
                      <w:pPr>
                        <w:rPr>
                          <w:rFonts w:ascii="Times New Roman" w:hAnsi="Times New Roman"/>
                          <w:b/>
                          <w:sz w:val="24"/>
                          <w:szCs w:val="24"/>
                        </w:rPr>
                      </w:pPr>
                      <w:r>
                        <w:rPr>
                          <w:rFonts w:ascii="Times New Roman" w:hAnsi="Times New Roman"/>
                          <w:b/>
                          <w:sz w:val="24"/>
                          <w:szCs w:val="24"/>
                        </w:rPr>
                        <w:t>22,33</w:t>
                      </w:r>
                    </w:p>
                    <w:p w:rsidR="00306ED2" w:rsidRDefault="00306ED2">
                      <w:pPr>
                        <w:rPr>
                          <w:rFonts w:ascii="Times New Roman" w:hAnsi="Times New Roman"/>
                          <w:b/>
                          <w:sz w:val="24"/>
                          <w:szCs w:val="24"/>
                        </w:rPr>
                      </w:pPr>
                    </w:p>
                  </w:txbxContent>
                </v:textbox>
              </v:rect>
            </w:pict>
          </mc:Fallback>
        </mc:AlternateContent>
      </w:r>
      <w:r>
        <w:rPr>
          <w:rFonts w:ascii="Times New Roman" w:hAnsi="Times New Roman" w:cs="Times New Roman"/>
          <w:noProof/>
          <w:color w:val="000000" w:themeColor="text1"/>
          <w:sz w:val="20"/>
          <w:szCs w:val="20"/>
          <w:lang w:eastAsia="ru-RU"/>
        </w:rPr>
        <mc:AlternateContent>
          <mc:Choice Requires="wps">
            <w:drawing>
              <wp:anchor distT="0" distB="0" distL="114300" distR="114300" simplePos="0" relativeHeight="251694080" behindDoc="0" locked="0" layoutInCell="1" allowOverlap="1">
                <wp:simplePos x="0" y="0"/>
                <wp:positionH relativeFrom="column">
                  <wp:posOffset>946783</wp:posOffset>
                </wp:positionH>
                <wp:positionV relativeFrom="paragraph">
                  <wp:posOffset>320040</wp:posOffset>
                </wp:positionV>
                <wp:extent cx="657225" cy="228600"/>
                <wp:effectExtent l="9523" t="5715" r="9523" b="13333"/>
                <wp:wrapNone/>
                <wp:docPr id="65" name="Поле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7225" cy="228600"/>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b/>
                                <w:sz w:val="24"/>
                                <w:szCs w:val="24"/>
                              </w:rPr>
                            </w:pPr>
                            <w:r>
                              <w:rPr>
                                <w:rFonts w:ascii="Times New Roman" w:hAnsi="Times New Roman"/>
                                <w:b/>
                                <w:sz w:val="24"/>
                                <w:szCs w:val="24"/>
                              </w:rPr>
                              <w:t>116,62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оле 29" o:spid="_x0000_s1100" style="position:absolute;left:0;text-align:left;margin-left:74.55pt;margin-top:25.2pt;width:51.75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">
                <v:path arrowok="t"/>
                <v:textbox>
                  <w:txbxContent>
                    <w:p w:rsidR="00306ED2" w:rsidRDefault="00306ED2">
                      <w:pPr>
                        <w:rPr>
                          <w:rFonts w:ascii="Times New Roman" w:hAnsi="Times New Roman"/>
                          <w:b/>
                          <w:sz w:val="24"/>
                          <w:szCs w:val="24"/>
                        </w:rPr>
                      </w:pPr>
                      <w:r>
                        <w:rPr>
                          <w:rFonts w:ascii="Times New Roman" w:hAnsi="Times New Roman"/>
                          <w:b/>
                          <w:sz w:val="24"/>
                          <w:szCs w:val="24"/>
                        </w:rPr>
                        <w:t>116,62</w:t>
                      </w:r>
                    </w:p>
                  </w:txbxContent>
                </v:textbox>
              </v:rect>
            </w:pict>
          </mc:Fallback>
        </mc:AlternateContent>
      </w:r>
      <w:r>
        <w:rPr>
          <w:rFonts w:ascii="Times New Roman" w:hAnsi="Times New Roman" w:cs="Times New Roman"/>
          <w:noProof/>
          <w:color w:val="000000" w:themeColor="text1"/>
          <w:sz w:val="20"/>
          <w:szCs w:val="20"/>
          <w:lang w:eastAsia="ru-RU"/>
        </w:rPr>
        <mc:AlternateContent>
          <mc:Choice Requires="wps">
            <w:drawing>
              <wp:anchor distT="0" distB="0" distL="114300" distR="114300" simplePos="0" relativeHeight="251695104" behindDoc="0" locked="0" layoutInCell="1" allowOverlap="1">
                <wp:simplePos x="0" y="0"/>
                <wp:positionH relativeFrom="column">
                  <wp:posOffset>1694178</wp:posOffset>
                </wp:positionH>
                <wp:positionV relativeFrom="paragraph">
                  <wp:posOffset>1733548</wp:posOffset>
                </wp:positionV>
                <wp:extent cx="567054" cy="283843"/>
                <wp:effectExtent l="13968" t="9523" r="9523" b="11430"/>
                <wp:wrapNone/>
                <wp:docPr id="66" name="Поле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7055" cy="283845"/>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b/>
                                <w:sz w:val="24"/>
                                <w:szCs w:val="24"/>
                              </w:rPr>
                            </w:pPr>
                            <w:r>
                              <w:rPr>
                                <w:rFonts w:ascii="Times New Roman" w:hAnsi="Times New Roman"/>
                                <w:b/>
                                <w:sz w:val="24"/>
                                <w:szCs w:val="24"/>
                              </w:rPr>
                              <w:t>32,42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Поле 30" o:spid="_x0000_s1101" style="position:absolute;left:0;text-align:left;margin-left:133.4pt;margin-top:136.5pt;width:44.65pt;height:22.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">
                <v:path arrowok="t"/>
                <v:textbox>
                  <w:txbxContent>
                    <w:p w:rsidR="00306ED2" w:rsidRDefault="00306ED2">
                      <w:pPr>
                        <w:rPr>
                          <w:rFonts w:ascii="Times New Roman" w:hAnsi="Times New Roman"/>
                          <w:b/>
                          <w:sz w:val="24"/>
                          <w:szCs w:val="24"/>
                        </w:rPr>
                      </w:pPr>
                      <w:r>
                        <w:rPr>
                          <w:rFonts w:ascii="Times New Roman" w:hAnsi="Times New Roman"/>
                          <w:b/>
                          <w:sz w:val="24"/>
                          <w:szCs w:val="24"/>
                        </w:rPr>
                        <w:t>32,42</w:t>
                      </w:r>
                    </w:p>
                  </w:txbxContent>
                </v:textbox>
              </v:rect>
            </w:pict>
          </mc:Fallback>
        </mc:AlternateContent>
      </w:r>
      <w:r>
        <w:rPr>
          <w:rFonts w:ascii="Times New Roman" w:hAnsi="Times New Roman" w:cs="Times New Roman"/>
          <w:noProof/>
          <w:color w:val="000000" w:themeColor="text1"/>
          <w:sz w:val="20"/>
          <w:szCs w:val="20"/>
          <w:lang w:eastAsia="ru-RU"/>
        </w:rPr>
        <w:drawing>
          <wp:inline distT="0" distB="0" distL="0" distR="0">
            <wp:extent cx="5772150" cy="3286125"/>
            <wp:effectExtent l="0" t="0" r="0" b="0"/>
            <wp:docPr id="67"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8"/>
              </a:graphicData>
            </a:graphic>
          </wp:inline>
        </w:drawing>
      </w:r>
    </w:p>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Рис. 1.  Распределение выбросов загрязняющих веществ источниками </w:t>
      </w:r>
    </w:p>
    <w:p w:rsidR="00517711" w:rsidRDefault="00F815BE">
      <w:pPr>
        <w:spacing w:after="12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ОАО «Дальневосточная энергетическая управляющая компания» - Мини-ТЭЦ «Северная», т/год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Всего в атмосферу поступает 17 загрязняющих веществ (ЗВ) в количестве 214 т 313 кг 446 г в год. В том числе 1 твердое, на долю которого приходится 0,43 % от общего выброса, и 16 жидких/газообразных - 99,57 %. Из твердых загрязняющих веществ выбросы приходятся на вещество 0328 Углерод (Сажа). Это вещество выбрасывается из пиковых котлов (источник № 0003 и 0004).</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Кроме этого значительная доля выбросов приходится на вещества 0337 Углерод оксид - 64,71 % от выбросов ЗВ, основная часть которого содержится в выбросах газотурбинной установки, пиковых котлов и дизельгенератора. 0330 Сера диоксид (Ангидрид сернистый) - 24,42%, образующийся в очистных сооружениях </w:t>
      </w:r>
      <w:r>
        <w:rPr>
          <w:rFonts w:ascii="Times New Roman" w:hAnsi="Times New Roman" w:cs="Times New Roman"/>
          <w:color w:val="000000" w:themeColor="text1"/>
          <w:sz w:val="20"/>
          <w:szCs w:val="20"/>
        </w:rPr>
        <w:lastRenderedPageBreak/>
        <w:t>ливневых вод. 0410 Метан - 4,8%, выбрасываемый при нагревании на пиковых котлах. Выброс остальных веществ незначителен. От источников загрязнения атмосферы ОАО «Дальневосточная энергетическая управляющая компания» - Мини-ТЭЦ «Северная», выбрасываются вещества всех классов опасности, включая ОБУВ.</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Большая часть выбросов - 64,72 % приходится на 4 класс опасности (рисунок 2) за счет веществ упомянутых выше: 0337 Углерод оксид, 2704 Бензин, 2754 Углеводороды предельные С12-С19.</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noProof/>
          <w:color w:val="000000" w:themeColor="text1"/>
          <w:sz w:val="20"/>
          <w:szCs w:val="20"/>
          <w:lang w:eastAsia="ru-RU"/>
        </w:rPr>
        <mc:AlternateContent>
          <mc:Choice Requires="wps">
            <w:drawing>
              <wp:anchor distT="0" distB="0" distL="114300" distR="114300" simplePos="0" relativeHeight="251705344" behindDoc="0" locked="0" layoutInCell="1" allowOverlap="1">
                <wp:simplePos x="0" y="0"/>
                <wp:positionH relativeFrom="column">
                  <wp:posOffset>3623310</wp:posOffset>
                </wp:positionH>
                <wp:positionV relativeFrom="paragraph">
                  <wp:posOffset>138429</wp:posOffset>
                </wp:positionV>
                <wp:extent cx="869949" cy="287019"/>
                <wp:effectExtent l="9523" t="8888" r="6348" b="8888"/>
                <wp:wrapNone/>
                <wp:docPr id="68" name="Поле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69950" cy="287020"/>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b/>
                                <w:sz w:val="24"/>
                                <w:szCs w:val="24"/>
                              </w:rPr>
                            </w:pPr>
                            <w:r>
                              <w:rPr>
                                <w:rFonts w:ascii="Times New Roman" w:hAnsi="Times New Roman"/>
                                <w:b/>
                                <w:sz w:val="24"/>
                                <w:szCs w:val="24"/>
                              </w:rPr>
                              <w:t>138,715938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Поле 31" o:spid="_x0000_s1102" style="position:absolute;left:0;text-align:left;margin-left:285.3pt;margin-top:10.9pt;width:68.5pt;height:22.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">
                <v:path arrowok="t"/>
                <v:textbox>
                  <w:txbxContent>
                    <w:p w:rsidR="00306ED2" w:rsidRDefault="00306ED2">
                      <w:pPr>
                        <w:rPr>
                          <w:rFonts w:ascii="Times New Roman" w:hAnsi="Times New Roman"/>
                          <w:b/>
                          <w:sz w:val="24"/>
                          <w:szCs w:val="24"/>
                        </w:rPr>
                      </w:pPr>
                      <w:r>
                        <w:rPr>
                          <w:rFonts w:ascii="Times New Roman" w:hAnsi="Times New Roman"/>
                          <w:b/>
                          <w:sz w:val="24"/>
                          <w:szCs w:val="24"/>
                        </w:rPr>
                        <w:t>138,715938</w:t>
                      </w:r>
                    </w:p>
                  </w:txbxContent>
                </v:textbox>
              </v:rect>
            </w:pict>
          </mc:Fallback>
        </mc:AlternateContent>
      </w:r>
      <w:r>
        <w:rPr>
          <w:rFonts w:ascii="Times New Roman" w:hAnsi="Times New Roman" w:cs="Times New Roman"/>
          <w:noProof/>
          <w:color w:val="000000" w:themeColor="text1"/>
          <w:sz w:val="20"/>
          <w:szCs w:val="20"/>
          <w:lang w:eastAsia="ru-RU"/>
        </w:rPr>
        <mc:AlternateContent>
          <mc:Choice Requires="wps">
            <w:drawing>
              <wp:anchor distT="0" distB="0" distL="114300" distR="114300" simplePos="0" relativeHeight="251704320" behindDoc="0" locked="0" layoutInCell="1" allowOverlap="1">
                <wp:simplePos x="0" y="0"/>
                <wp:positionH relativeFrom="column">
                  <wp:posOffset>2770503</wp:posOffset>
                </wp:positionH>
                <wp:positionV relativeFrom="paragraph">
                  <wp:posOffset>1310638</wp:posOffset>
                </wp:positionV>
                <wp:extent cx="727074" cy="263523"/>
                <wp:effectExtent l="13968" t="9523" r="11430" b="12699"/>
                <wp:wrapNone/>
                <wp:docPr id="69" name="Поле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27075" cy="263525"/>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b/>
                                <w:sz w:val="24"/>
                                <w:szCs w:val="24"/>
                              </w:rPr>
                            </w:pPr>
                            <w:r>
                              <w:rPr>
                                <w:rFonts w:ascii="Times New Roman" w:hAnsi="Times New Roman"/>
                                <w:b/>
                                <w:sz w:val="24"/>
                                <w:szCs w:val="24"/>
                              </w:rPr>
                              <w:t>65,29083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Поле 32" o:spid="_x0000_s1103" style="position:absolute;left:0;text-align:left;margin-left:218.15pt;margin-top:103.2pt;width:57.25pt;height:20.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">
                <v:path arrowok="t"/>
                <v:textbox>
                  <w:txbxContent>
                    <w:p w:rsidR="00306ED2" w:rsidRDefault="00306ED2">
                      <w:pPr>
                        <w:rPr>
                          <w:rFonts w:ascii="Times New Roman" w:hAnsi="Times New Roman"/>
                          <w:b/>
                          <w:sz w:val="24"/>
                          <w:szCs w:val="24"/>
                        </w:rPr>
                      </w:pPr>
                      <w:r>
                        <w:rPr>
                          <w:rFonts w:ascii="Times New Roman" w:hAnsi="Times New Roman"/>
                          <w:b/>
                          <w:sz w:val="24"/>
                          <w:szCs w:val="24"/>
                        </w:rPr>
                        <w:t>65,29083</w:t>
                      </w:r>
                    </w:p>
                  </w:txbxContent>
                </v:textbox>
              </v:rect>
            </w:pict>
          </mc:Fallback>
        </mc:AlternateContent>
      </w:r>
      <w:r>
        <w:rPr>
          <w:rFonts w:ascii="Times New Roman" w:hAnsi="Times New Roman" w:cs="Times New Roman"/>
          <w:noProof/>
          <w:color w:val="000000" w:themeColor="text1"/>
          <w:sz w:val="20"/>
          <w:szCs w:val="20"/>
          <w:lang w:eastAsia="ru-RU"/>
        </w:rPr>
        <mc:AlternateContent>
          <mc:Choice Requires="wps">
            <w:drawing>
              <wp:anchor distT="0" distB="0" distL="114300" distR="114300" simplePos="0" relativeHeight="251703296" behindDoc="0" locked="0" layoutInCell="1" allowOverlap="1">
                <wp:simplePos x="0" y="0"/>
                <wp:positionH relativeFrom="column">
                  <wp:posOffset>4552313</wp:posOffset>
                </wp:positionH>
                <wp:positionV relativeFrom="paragraph">
                  <wp:posOffset>2186938</wp:posOffset>
                </wp:positionV>
                <wp:extent cx="871853" cy="273048"/>
                <wp:effectExtent l="5078" t="9523" r="8888" b="12699"/>
                <wp:wrapNone/>
                <wp:docPr id="70" name="Поле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71855" cy="273050"/>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b/>
                                <w:sz w:val="24"/>
                                <w:szCs w:val="24"/>
                              </w:rPr>
                            </w:pPr>
                            <w:r>
                              <w:rPr>
                                <w:rFonts w:ascii="Times New Roman" w:hAnsi="Times New Roman"/>
                                <w:b/>
                                <w:sz w:val="24"/>
                                <w:szCs w:val="24"/>
                              </w:rPr>
                              <w:t>10,294782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Поле 33" o:spid="_x0000_s1104" style="position:absolute;left:0;text-align:left;margin-left:358.45pt;margin-top:172.2pt;width:68.65pt;height:2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">
                <v:path arrowok="t"/>
                <v:textbox>
                  <w:txbxContent>
                    <w:p w:rsidR="00306ED2" w:rsidRDefault="00306ED2">
                      <w:pPr>
                        <w:rPr>
                          <w:rFonts w:ascii="Times New Roman" w:hAnsi="Times New Roman"/>
                          <w:b/>
                          <w:sz w:val="24"/>
                          <w:szCs w:val="24"/>
                        </w:rPr>
                      </w:pPr>
                      <w:r>
                        <w:rPr>
                          <w:rFonts w:ascii="Times New Roman" w:hAnsi="Times New Roman"/>
                          <w:b/>
                          <w:sz w:val="24"/>
                          <w:szCs w:val="24"/>
                        </w:rPr>
                        <w:t>10,294782</w:t>
                      </w:r>
                    </w:p>
                  </w:txbxContent>
                </v:textbox>
              </v:rect>
            </w:pict>
          </mc:Fallback>
        </mc:AlternateContent>
      </w:r>
      <w:r>
        <w:rPr>
          <w:rFonts w:ascii="Times New Roman" w:hAnsi="Times New Roman" w:cs="Times New Roman"/>
          <w:noProof/>
          <w:color w:val="000000" w:themeColor="text1"/>
          <w:sz w:val="20"/>
          <w:szCs w:val="20"/>
          <w:lang w:eastAsia="ru-RU"/>
        </w:rPr>
        <mc:AlternateContent>
          <mc:Choice Requires="wps">
            <w:drawing>
              <wp:anchor distT="0" distB="0" distL="114300" distR="114300" simplePos="0" relativeHeight="251702272" behindDoc="0" locked="0" layoutInCell="1" allowOverlap="1">
                <wp:simplePos x="0" y="0"/>
                <wp:positionH relativeFrom="column">
                  <wp:posOffset>1807843</wp:posOffset>
                </wp:positionH>
                <wp:positionV relativeFrom="paragraph">
                  <wp:posOffset>2372994</wp:posOffset>
                </wp:positionV>
                <wp:extent cx="732153" cy="282573"/>
                <wp:effectExtent l="13333" t="5078" r="6984" b="7618"/>
                <wp:wrapNone/>
                <wp:docPr id="71" name="Поле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2155" cy="282575"/>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b/>
                                <w:sz w:val="24"/>
                                <w:szCs w:val="24"/>
                              </w:rPr>
                            </w:pPr>
                            <w:r>
                              <w:rPr>
                                <w:rFonts w:ascii="Times New Roman" w:hAnsi="Times New Roman"/>
                                <w:b/>
                                <w:sz w:val="24"/>
                                <w:szCs w:val="24"/>
                              </w:rPr>
                              <w:t>0,011892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Поле 34" o:spid="_x0000_s1105" style="position:absolute;left:0;text-align:left;margin-left:142.35pt;margin-top:186.85pt;width:57.65pt;height:22.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">
                <v:path arrowok="t"/>
                <v:textbox>
                  <w:txbxContent>
                    <w:p w:rsidR="00306ED2" w:rsidRDefault="00306ED2">
                      <w:pPr>
                        <w:rPr>
                          <w:rFonts w:ascii="Times New Roman" w:hAnsi="Times New Roman"/>
                          <w:b/>
                          <w:sz w:val="24"/>
                          <w:szCs w:val="24"/>
                        </w:rPr>
                      </w:pPr>
                      <w:r>
                        <w:rPr>
                          <w:rFonts w:ascii="Times New Roman" w:hAnsi="Times New Roman"/>
                          <w:b/>
                          <w:sz w:val="24"/>
                          <w:szCs w:val="24"/>
                        </w:rPr>
                        <w:t>0,011892</w:t>
                      </w:r>
                    </w:p>
                  </w:txbxContent>
                </v:textbox>
              </v:rect>
            </w:pict>
          </mc:Fallback>
        </mc:AlternateContent>
      </w:r>
      <w:r>
        <w:rPr>
          <w:rFonts w:ascii="Times New Roman" w:hAnsi="Times New Roman" w:cs="Times New Roman"/>
          <w:noProof/>
          <w:color w:val="000000" w:themeColor="text1"/>
          <w:sz w:val="20"/>
          <w:szCs w:val="20"/>
          <w:lang w:eastAsia="ru-RU"/>
        </w:rPr>
        <mc:AlternateContent>
          <mc:Choice Requires="wps">
            <w:drawing>
              <wp:anchor distT="0" distB="0" distL="114300" distR="114300" simplePos="0" relativeHeight="251701248" behindDoc="0" locked="0" layoutInCell="1" allowOverlap="1">
                <wp:simplePos x="0" y="0"/>
                <wp:positionH relativeFrom="column">
                  <wp:posOffset>872488</wp:posOffset>
                </wp:positionH>
                <wp:positionV relativeFrom="paragraph">
                  <wp:posOffset>2372994</wp:posOffset>
                </wp:positionV>
                <wp:extent cx="774698" cy="306068"/>
                <wp:effectExtent l="11430" t="5078" r="13968" b="12699"/>
                <wp:wrapNone/>
                <wp:docPr id="72" name="Поле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4700" cy="306070"/>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b/>
                                <w:sz w:val="24"/>
                                <w:szCs w:val="24"/>
                              </w:rPr>
                            </w:pPr>
                            <w:r>
                              <w:rPr>
                                <w:rFonts w:ascii="Times New Roman" w:hAnsi="Times New Roman"/>
                                <w:b/>
                                <w:sz w:val="24"/>
                                <w:szCs w:val="24"/>
                              </w:rPr>
                              <w:t>0,000004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Поле 35" o:spid="_x0000_s1106" style="position:absolute;left:0;text-align:left;margin-left:68.7pt;margin-top:186.85pt;width:61pt;height:24.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">
                <v:path arrowok="t"/>
                <v:textbox>
                  <w:txbxContent>
                    <w:p w:rsidR="00306ED2" w:rsidRDefault="00306ED2">
                      <w:pPr>
                        <w:rPr>
                          <w:rFonts w:ascii="Times New Roman" w:hAnsi="Times New Roman"/>
                          <w:b/>
                          <w:sz w:val="24"/>
                          <w:szCs w:val="24"/>
                        </w:rPr>
                      </w:pPr>
                      <w:r>
                        <w:rPr>
                          <w:rFonts w:ascii="Times New Roman" w:hAnsi="Times New Roman"/>
                          <w:b/>
                          <w:sz w:val="24"/>
                          <w:szCs w:val="24"/>
                        </w:rPr>
                        <w:t>0,000004</w:t>
                      </w:r>
                    </w:p>
                  </w:txbxContent>
                </v:textbox>
              </v:rect>
            </w:pict>
          </mc:Fallback>
        </mc:AlternateContent>
      </w:r>
      <w:r>
        <w:rPr>
          <w:rFonts w:ascii="Times New Roman" w:hAnsi="Times New Roman" w:cs="Times New Roman"/>
          <w:color w:val="000000" w:themeColor="text1"/>
          <w:sz w:val="20"/>
          <w:szCs w:val="20"/>
        </w:rPr>
        <w:br/>
      </w:r>
      <w:r>
        <w:rPr>
          <w:rFonts w:ascii="Times New Roman" w:hAnsi="Times New Roman" w:cs="Times New Roman"/>
          <w:noProof/>
          <w:color w:val="000000" w:themeColor="text1"/>
          <w:sz w:val="20"/>
          <w:szCs w:val="20"/>
          <w:lang w:eastAsia="ru-RU"/>
        </w:rPr>
        <w:drawing>
          <wp:inline distT="0" distB="0" distL="0" distR="0">
            <wp:extent cx="6029323" cy="3286125"/>
            <wp:effectExtent l="0" t="0" r="0" b="0"/>
            <wp:docPr id="73"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9"/>
              </a:graphicData>
            </a:graphic>
          </wp:inline>
        </w:drawing>
      </w:r>
    </w:p>
    <w:p w:rsidR="00517711" w:rsidRDefault="00F815BE">
      <w:pPr>
        <w:spacing w:after="0" w:line="240" w:lineRule="auto"/>
        <w:ind w:firstLine="709"/>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highlight w:val="green"/>
        </w:rPr>
        <w:br/>
      </w:r>
      <w:r>
        <w:rPr>
          <w:rFonts w:ascii="Times New Roman" w:hAnsi="Times New Roman" w:cs="Times New Roman"/>
          <w:color w:val="000000" w:themeColor="text1"/>
          <w:sz w:val="20"/>
          <w:szCs w:val="20"/>
        </w:rPr>
        <w:t>Рис. 2. Распределение выбросов загрязняющих веществ по классам опасности, т/год</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highlight w:val="green"/>
        </w:rPr>
        <w:br/>
      </w:r>
      <w:r>
        <w:rPr>
          <w:rFonts w:ascii="Times New Roman" w:hAnsi="Times New Roman" w:cs="Times New Roman"/>
          <w:color w:val="000000" w:themeColor="text1"/>
          <w:sz w:val="20"/>
          <w:szCs w:val="20"/>
        </w:rPr>
        <w:t xml:space="preserve">            Доля выбросов ЗВ 4 класса опасности 64,72%. Основная часть выбросов из трех веществ этого класса приходится на вещество 0337 Углерод оксид  - 99,64 % от выбросов этого класса.</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Для оценки воздействия загрязняющих веществ на окружающую среду были проведены расчеты рассеивания загрязняющих веществ в атмосфере. Расчеты выполнены с учетом фоновых концентраций при условии, что максимальные приземные концентрации ЗВ на границе санитарно-защитной зоны и в зоне жилой застройки не превысят ПДК основных и специфических загрязняющих веществ. Согласно СанПиН 2.2.1/2.1.1.1200-03 «Санитарно-защитные зоны и санитарная классификация предприятий, сооружений и иных объектов» ОАО «Дальневосточная энергетическая управляющая компания» - Мини-ТЭЦ «Северная», относится к промышленным объектам и производствам третьего класса и поэтому размер санитарно-защитной зоны устанавливается 300 м.</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Больше половины выбросов ЗВ приходится на вещество 0337 Углерод оксид (64,71%). В совокупности с веществом 0330 Сера диоксид (24,42%). Вклад оставшихся ЗВ незначителен. Основным источником выбросов твердых веществ является котельная. Так как котельная отапливается дизельным топливом, то контроль за выбросами ЗВ необходимо вести постоянно, т.к. превышение нормативных значений может привести к негативным последствиям, в первую очередь, для работников предприятия [3].</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Углерод оксид проникает в органы исключительно через дыхательную систему и выводится в процессе выдоха практически неизменным, незначительно трансформируясь в двуокись углерода СО кровяной яд. Действие вещества на организм состоит в соединении с гемоглобином, блокировке его с образованием карбоксигемоглобина, сбоях в доставке кислорода к тканям и кислородном голодании. Помимо этого, угнетается миокард. Клинические проявления интоксикации зависимы от количества поступившего яда и продолжительности процесса вдыхания [8]. Поступление в организм больших концентраций вещества ведет к практически мгновенной смерти [3]. Что касается ангидрида сернистого признаки и последствия действия загрязнителей воздуха на организм человека проявляются большей частью в ухудшении общего состояния здоровья: появляются головные боли, тошнота, чувство слабости, снижается или теряется трудоспособность [4].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Наибольшая доля выбросов приходится на вещества 4 класса опасности. Основной вклад вносит - 0337 Углерод оксид, о котором уже упоминалось выше. Причем на Углерод оксид приходится 137,952014 т/год или 64,36 % от общего количества выбросов. Несмотря на внушительный вклад в общее количество выбросов приземная концентрация углерод оксида составила менее 0,05 долей от соответствующих ПДК населенных </w:t>
      </w:r>
      <w:r>
        <w:rPr>
          <w:rFonts w:ascii="Times New Roman" w:hAnsi="Times New Roman" w:cs="Times New Roman"/>
          <w:color w:val="000000" w:themeColor="text1"/>
          <w:sz w:val="20"/>
          <w:szCs w:val="20"/>
        </w:rPr>
        <w:lastRenderedPageBreak/>
        <w:t xml:space="preserve">мест. Однако не стоит забывать, что Углерод оксид — это угарный газ — бесцветный ядовитый газ (при нормальных условиях) без вкуса и запаха [7].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Согласно п.5 Постановления Правительства РФ от 28.09.2015 № 1029ООО Мини-ТЭЦ «Северная» относится к объектам III категории по критериям отнесения объектов, оказывающих незначительное негативное воздействие на окружающую среду [5]. Но не тем не менее от платы за негативное воздействие на атмосферный воздух предприятие не освобождается, так как выбрасывает более 10 тонн в год.</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Законодательные основы для расчета определены в статье 16.3 Федерального закона от 10.01.2002 № 7-ФЗ и постановлении Правительства РФ от 13.09.2016 № 913 (о ставках платы). Данное постановление отменило коэффициенты и нормативы, действовавшие ранее. Обязательный коэффициент инфляции номинально не используется. Ставки, утвержденные правительством на 2016-2018 годы, уже проиндексированы [1, 6].</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Плата за негативное воздействие на окружающую среду не налог (не регулируется НК РФ), но при этом относится к обязательному платежу, направленному на восполнение экологического ущерба. Данная плата призвана стимулировать юридические лица и индивидуальных предпринимателей минимизировать вредное воздействие на природу и проводить мероприятия по улучшению экологической обстановки в регионах [9].</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Но в нашем случае о стимулировании не может быть и речи, т.к. плата за негативное воздействие на атмосферный воздух от источников предприятия составляет 8451,44 рублей в год. Необходим более разумный подход к природохозяйственному управлению. Желательно, чтобы платежи за негативное воздействие на окружающую среду стимулировали предприятия на проведение разумной природоохранной политики. В настоящее время критерием нормативной ставки платежей за выбросы является тонна в год. На наш взгляд необходимо учитывать класс опасности, за высоко токсичные вещества целесообразно было бы установить норматив платы за килограмм, грамм, миллиграмм.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Подводя итог вышесказанному, можно сделать следующие выводы:</w:t>
      </w:r>
    </w:p>
    <w:p w:rsidR="00517711" w:rsidRDefault="00F815BE">
      <w:pPr>
        <w:numPr>
          <w:ilvl w:val="0"/>
          <w:numId w:val="19"/>
        </w:num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Выбрасывается 17 загрязняющих веществ, общим количеством 214 тонн 313 кг 446 г,   но основной вклад 5 газообразных веществ. Их вклад - 99,3 %. Доля остальных веществ незначительна.</w:t>
      </w:r>
    </w:p>
    <w:p w:rsidR="00517711" w:rsidRDefault="00F815BE">
      <w:pPr>
        <w:numPr>
          <w:ilvl w:val="0"/>
          <w:numId w:val="19"/>
        </w:num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Основная часть этих 5 веществ выбрасывается тремя источниками, а именно: Пиковые котлы, Дизельгенераторы и Очистные сооружения ливневых вод. В сумме доля этих источников составляет 99,3 % от общего количества выбросов.</w:t>
      </w:r>
    </w:p>
    <w:p w:rsidR="00517711" w:rsidRDefault="00F815BE">
      <w:pPr>
        <w:numPr>
          <w:ilvl w:val="0"/>
          <w:numId w:val="19"/>
        </w:num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Воздействие на окружающую среду обусловлено в основном фоновой концентрацией. Вклад источников загрязнения атмосферы предприятия незначителен.</w:t>
      </w:r>
    </w:p>
    <w:p w:rsidR="00517711" w:rsidRDefault="00F815BE">
      <w:pPr>
        <w:numPr>
          <w:ilvl w:val="0"/>
          <w:numId w:val="19"/>
        </w:num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В выбросах загрязняющих веществ от  источников загрязнения атмосферы предприятия содержатся вещества всех классов опасности, включая ОБУВ. Наибольший вклад вносят вещества 3 и 4 класса опасности. </w:t>
      </w:r>
    </w:p>
    <w:p w:rsidR="00517711" w:rsidRDefault="00F815BE">
      <w:pPr>
        <w:numPr>
          <w:ilvl w:val="0"/>
          <w:numId w:val="19"/>
        </w:num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Плата за выбросы загрязняющих веществ составляет 8451 рубль и 44 копейки, т.е. проводить природоохранные мероприятия предприятию экономически не выгодно.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_____________________________</w:t>
      </w:r>
    </w:p>
    <w:p w:rsidR="00517711" w:rsidRDefault="00F815BE">
      <w:pPr>
        <w:numPr>
          <w:ilvl w:val="0"/>
          <w:numId w:val="20"/>
        </w:num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Федеральный закон от 10.01.2002 № 7-ФЗ (ред. от 31.12.2017) «Об охране окружающей среды» [Электронный ресурс] // СПС «Консультант плюс». – Режим доступа: http://www.consultant.ru/document/cons_doc_LAW_34823/2c6b18cdf7d7418a7e3c3901ffc7906039862b2d/</w:t>
      </w:r>
    </w:p>
    <w:p w:rsidR="00517711" w:rsidRDefault="00F815BE">
      <w:pPr>
        <w:numPr>
          <w:ilvl w:val="0"/>
          <w:numId w:val="20"/>
        </w:num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Методическое пособие по расчету, нормированию и контролю выбросов загрязняющих веществ в атмосферный воздух (дополненное и переработанное) / СПб, ОАО «НИИ Атмосфера», 2012. – 224 с.</w:t>
      </w:r>
    </w:p>
    <w:p w:rsidR="00517711" w:rsidRDefault="00F815BE">
      <w:pPr>
        <w:numPr>
          <w:ilvl w:val="0"/>
          <w:numId w:val="20"/>
        </w:num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Опасность и вред сажи для человека.[Электронный ресурс] //Экобаланс. – Режим доступа: </w:t>
      </w:r>
      <w:hyperlink r:id="rId100" w:history="1">
        <w:r>
          <w:rPr>
            <w:rStyle w:val="aa"/>
            <w:rFonts w:ascii="Times New Roman" w:hAnsi="Times New Roman" w:cs="Times New Roman"/>
            <w:color w:val="000000" w:themeColor="text1"/>
            <w:sz w:val="20"/>
            <w:szCs w:val="20"/>
            <w:lang w:val="en-US"/>
          </w:rPr>
          <w:t>http</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ekobalans</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ru</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index</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php</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id</w:t>
        </w:r>
        <w:r>
          <w:rPr>
            <w:rStyle w:val="aa"/>
            <w:rFonts w:ascii="Times New Roman" w:hAnsi="Times New Roman" w:cs="Times New Roman"/>
            <w:color w:val="000000" w:themeColor="text1"/>
            <w:sz w:val="20"/>
            <w:szCs w:val="20"/>
          </w:rPr>
          <w:t>=79</w:t>
        </w:r>
      </w:hyperlink>
    </w:p>
    <w:p w:rsidR="00517711" w:rsidRDefault="00F815BE">
      <w:pPr>
        <w:numPr>
          <w:ilvl w:val="0"/>
          <w:numId w:val="20"/>
        </w:num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Химическая энциклопедия. — М: Советская энциклопедия, 1988. — Т. 1. — С. 230. — 625 с.</w:t>
      </w:r>
    </w:p>
    <w:p w:rsidR="00517711" w:rsidRDefault="00F815BE">
      <w:pPr>
        <w:numPr>
          <w:ilvl w:val="0"/>
          <w:numId w:val="20"/>
        </w:num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Постановление Правительства РФ от 28.09.2015 № 1029 «Об утверждении критериев отнесения объектов, оказывающих негативное воздействие на окружающую среду, к объектам I, II, III и IV категорий» [Электронный ресурс] // СПС «Консультант плюс». – Режим доступа:http://www.consultant.ru/cons/cgi/online.cgi?req=doc&amp;base=LAW&amp;n=186693&amp;fld=134&amp;dst=100007,0&amp;rnd=0.6079223462270158#05561877104751796</w:t>
      </w:r>
    </w:p>
    <w:p w:rsidR="00517711" w:rsidRDefault="00F815BE">
      <w:pPr>
        <w:numPr>
          <w:ilvl w:val="0"/>
          <w:numId w:val="20"/>
        </w:num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Постановление Правительства РФ от 13.09.2016 № 913 (ред. от 09.12.2017) «О ставках платы за негативное воздействие на окружающую среду и дополнительных коэффициентах» [Электронный ресурс] // Законы, кодексы и нормативно-правовые акты российской федерации– Режим доступа:http://legalacts.ru/doc/postanovlenie-pravitelstva-rf-ot-13092016-n-913/</w:t>
      </w:r>
    </w:p>
    <w:p w:rsidR="00517711" w:rsidRDefault="00F815BE">
      <w:pPr>
        <w:numPr>
          <w:ilvl w:val="0"/>
          <w:numId w:val="20"/>
        </w:num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Оксид углерода(II). [Электронный ресурс] / Академик – Режим доступа: https://dic.academic.ru/dic.nsf/ruwiki/1073603</w:t>
      </w:r>
    </w:p>
    <w:p w:rsidR="00517711" w:rsidRDefault="00F815BE">
      <w:pPr>
        <w:numPr>
          <w:ilvl w:val="0"/>
          <w:numId w:val="20"/>
        </w:num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Оксид углерода. // Российская энциклопедия по охране труда: В 3 т. — 2-е изд., пе-рераб. и доп. — М.: Изд-во НЦ ЭНАС,2007.</w:t>
      </w:r>
    </w:p>
    <w:p w:rsidR="00517711" w:rsidRDefault="00F815BE">
      <w:pPr>
        <w:numPr>
          <w:ilvl w:val="0"/>
          <w:numId w:val="20"/>
        </w:num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Плата за негативное воздействие на окружающую среду в 2018 году[Электронный ресурс] // Еженедельная профессиональная газета «Учет. Налоги. Право» – Режим доступа:https://www.gazeta-unp.ru/articles/51806-plata-za-negativnoe-vozdeystvie-na-okrujayushchuyu-sredu-v-2018-godu</w:t>
      </w:r>
    </w:p>
    <w:p w:rsidR="00517711" w:rsidRDefault="00517711">
      <w:pPr>
        <w:spacing w:after="0" w:line="240" w:lineRule="auto"/>
        <w:ind w:firstLine="709"/>
        <w:jc w:val="both"/>
        <w:rPr>
          <w:rFonts w:ascii="Times New Roman" w:hAnsi="Times New Roman"/>
          <w:sz w:val="24"/>
          <w:szCs w:val="24"/>
        </w:rPr>
      </w:pPr>
    </w:p>
    <w:p w:rsidR="00517711" w:rsidRDefault="00F815BE">
      <w:pPr>
        <w:keepNext/>
        <w:spacing w:before="120" w:after="120" w:line="240" w:lineRule="auto"/>
        <w:outlineLvl w:val="3"/>
        <w:rPr>
          <w:rFonts w:ascii="Times New Roman" w:eastAsia="Calibri" w:hAnsi="Times New Roman" w:cs="Times New Roman"/>
          <w:b/>
          <w:bCs/>
          <w:sz w:val="20"/>
          <w:szCs w:val="28"/>
        </w:rPr>
      </w:pPr>
      <w:r>
        <w:rPr>
          <w:rFonts w:ascii="Times New Roman" w:eastAsia="Calibri" w:hAnsi="Times New Roman" w:cs="Times New Roman"/>
          <w:b/>
          <w:bCs/>
          <w:sz w:val="20"/>
          <w:szCs w:val="28"/>
        </w:rPr>
        <w:lastRenderedPageBreak/>
        <w:t>Рубрика: Общая экология.</w:t>
      </w:r>
    </w:p>
    <w:p w:rsidR="00517711" w:rsidRDefault="00F815BE">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УДК 574.22</w:t>
      </w:r>
    </w:p>
    <w:p w:rsidR="00517711" w:rsidRDefault="00F815BE">
      <w:pPr>
        <w:keepNext/>
        <w:spacing w:before="240" w:after="240" w:line="240" w:lineRule="auto"/>
        <w:jc w:val="center"/>
        <w:outlineLvl w:val="0"/>
        <w:rPr>
          <w:rFonts w:ascii="Book Antiqua" w:hAnsi="Book Antiqua" w:cs="Times New Roman"/>
          <w:b/>
          <w:bCs/>
          <w:caps/>
          <w:sz w:val="26"/>
          <w:szCs w:val="26"/>
        </w:rPr>
      </w:pPr>
      <w:r>
        <w:rPr>
          <w:rFonts w:ascii="Book Antiqua" w:hAnsi="Book Antiqua" w:cs="Times New Roman"/>
          <w:b/>
          <w:bCs/>
          <w:caps/>
          <w:sz w:val="26"/>
          <w:szCs w:val="26"/>
        </w:rPr>
        <w:t>Воздействие выбросов загрязняющих веществ на атмосферный воздух на примере предприятия «Уссурийская грузовая автостанция ПАО «Приморавтотранс»</w:t>
      </w:r>
    </w:p>
    <w:p w:rsidR="00517711" w:rsidRDefault="00F815BE">
      <w:pPr>
        <w:spacing w:after="0" w:line="240" w:lineRule="auto"/>
        <w:jc w:val="center"/>
        <w:rPr>
          <w:rFonts w:ascii="Arial" w:eastAsia="Calibri" w:hAnsi="Arial" w:cs="Times New Roman"/>
          <w:b/>
          <w:bCs/>
          <w:sz w:val="24"/>
          <w:szCs w:val="20"/>
          <w:lang w:eastAsia="ru-RU"/>
        </w:rPr>
      </w:pPr>
      <w:r>
        <w:rPr>
          <w:rFonts w:ascii="Arial" w:eastAsia="Calibri" w:hAnsi="Arial" w:cs="Times New Roman"/>
          <w:b/>
          <w:bCs/>
          <w:sz w:val="24"/>
          <w:szCs w:val="20"/>
          <w:lang w:eastAsia="ru-RU"/>
        </w:rPr>
        <w:t>Андрейченко Александр Андреевич</w:t>
      </w:r>
    </w:p>
    <w:p w:rsidR="00517711" w:rsidRDefault="00F815BE">
      <w:pPr>
        <w:spacing w:line="240" w:lineRule="auto"/>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Бакалавр</w:t>
      </w: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Владивостокский государственный университет экономики и сервиса</w:t>
      </w: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Россия. Владивосток</w:t>
      </w:r>
    </w:p>
    <w:p w:rsidR="00517711" w:rsidRDefault="00517711">
      <w:pPr>
        <w:spacing w:after="0" w:line="240" w:lineRule="auto"/>
        <w:jc w:val="center"/>
        <w:rPr>
          <w:rFonts w:ascii="Times New Roman" w:eastAsia="Calibri" w:hAnsi="Times New Roman" w:cs="Times New Roman"/>
          <w:i/>
          <w:sz w:val="21"/>
          <w:szCs w:val="21"/>
        </w:rPr>
      </w:pPr>
    </w:p>
    <w:p w:rsidR="00517711" w:rsidRPr="00BD6187" w:rsidRDefault="00F815BE">
      <w:pPr>
        <w:spacing w:after="0" w:line="240" w:lineRule="auto"/>
        <w:jc w:val="center"/>
        <w:rPr>
          <w:rFonts w:ascii="Times New Roman" w:hAnsi="Times New Roman"/>
          <w:sz w:val="20"/>
          <w:szCs w:val="24"/>
        </w:rPr>
      </w:pPr>
      <w:r>
        <w:rPr>
          <w:rFonts w:ascii="Times New Roman" w:hAnsi="Times New Roman"/>
          <w:sz w:val="20"/>
          <w:szCs w:val="24"/>
          <w:lang w:val="en-US"/>
        </w:rPr>
        <w:t>E</w:t>
      </w:r>
      <w:r w:rsidRPr="00BD6187">
        <w:rPr>
          <w:rFonts w:ascii="Times New Roman" w:hAnsi="Times New Roman"/>
          <w:sz w:val="20"/>
          <w:szCs w:val="24"/>
        </w:rPr>
        <w:t>-</w:t>
      </w:r>
      <w:r>
        <w:rPr>
          <w:rFonts w:ascii="Times New Roman" w:hAnsi="Times New Roman"/>
          <w:sz w:val="20"/>
          <w:szCs w:val="24"/>
          <w:lang w:val="en-US"/>
        </w:rPr>
        <w:t>mail</w:t>
      </w:r>
      <w:r w:rsidRPr="00BD6187">
        <w:rPr>
          <w:rFonts w:ascii="Times New Roman" w:hAnsi="Times New Roman"/>
          <w:sz w:val="20"/>
          <w:szCs w:val="24"/>
        </w:rPr>
        <w:t xml:space="preserve">: </w:t>
      </w:r>
      <w:r>
        <w:rPr>
          <w:rFonts w:ascii="Times New Roman" w:hAnsi="Times New Roman"/>
          <w:sz w:val="20"/>
          <w:szCs w:val="24"/>
          <w:lang w:val="en-US"/>
        </w:rPr>
        <w:t>lezax</w:t>
      </w:r>
      <w:r w:rsidRPr="00BD6187">
        <w:rPr>
          <w:rFonts w:ascii="Times New Roman" w:hAnsi="Times New Roman"/>
          <w:sz w:val="20"/>
          <w:szCs w:val="24"/>
        </w:rPr>
        <w:t>1@</w:t>
      </w:r>
      <w:r>
        <w:rPr>
          <w:rFonts w:ascii="Times New Roman" w:hAnsi="Times New Roman"/>
          <w:sz w:val="20"/>
          <w:szCs w:val="24"/>
          <w:lang w:val="en-US"/>
        </w:rPr>
        <w:t>mail</w:t>
      </w:r>
      <w:r w:rsidRPr="00BD6187">
        <w:rPr>
          <w:rFonts w:ascii="Times New Roman" w:hAnsi="Times New Roman"/>
          <w:sz w:val="20"/>
          <w:szCs w:val="24"/>
        </w:rPr>
        <w:t>.</w:t>
      </w:r>
      <w:r>
        <w:rPr>
          <w:rFonts w:ascii="Times New Roman" w:hAnsi="Times New Roman"/>
          <w:sz w:val="20"/>
          <w:szCs w:val="24"/>
          <w:lang w:val="en-US"/>
        </w:rPr>
        <w:t>ru</w:t>
      </w:r>
      <w:r w:rsidRPr="00BD6187">
        <w:rPr>
          <w:rFonts w:ascii="Times New Roman" w:hAnsi="Times New Roman"/>
          <w:sz w:val="20"/>
          <w:szCs w:val="24"/>
        </w:rPr>
        <w:t xml:space="preserve">; </w:t>
      </w:r>
      <w:r>
        <w:rPr>
          <w:rFonts w:ascii="Times New Roman" w:hAnsi="Times New Roman"/>
          <w:sz w:val="20"/>
          <w:szCs w:val="24"/>
        </w:rPr>
        <w:t>тел</w:t>
      </w:r>
      <w:r w:rsidRPr="00BD6187">
        <w:rPr>
          <w:rFonts w:ascii="Times New Roman" w:hAnsi="Times New Roman"/>
          <w:sz w:val="20"/>
          <w:szCs w:val="24"/>
        </w:rPr>
        <w:t>.: +79502864245</w:t>
      </w:r>
    </w:p>
    <w:p w:rsidR="00517711" w:rsidRDefault="00F815BE">
      <w:pPr>
        <w:spacing w:after="0" w:line="240" w:lineRule="auto"/>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517711">
      <w:pPr>
        <w:spacing w:after="0" w:line="240" w:lineRule="auto"/>
        <w:jc w:val="center"/>
        <w:rPr>
          <w:rFonts w:ascii="Times New Roman" w:hAnsi="Times New Roman"/>
          <w:sz w:val="24"/>
          <w:szCs w:val="24"/>
        </w:rPr>
      </w:pPr>
    </w:p>
    <w:p w:rsidR="00517711" w:rsidRDefault="00F815BE">
      <w:pPr>
        <w:spacing w:after="0" w:line="240" w:lineRule="auto"/>
        <w:ind w:firstLine="709"/>
        <w:jc w:val="both"/>
        <w:rPr>
          <w:rFonts w:ascii="Times New Roman" w:hAnsi="Times New Roman"/>
          <w:i/>
          <w:szCs w:val="24"/>
        </w:rPr>
      </w:pPr>
      <w:r>
        <w:rPr>
          <w:rFonts w:ascii="Times New Roman" w:hAnsi="Times New Roman"/>
          <w:i/>
          <w:szCs w:val="24"/>
        </w:rPr>
        <w:t>С развитием Дальневосточного региона России усиливается антропогенное воздействие на окружающую среду. Загрязнение атмосферного воздуха - это постоянный фактор воздействия на человека и окружающую среду. Для снижения уровня приземных концентраций вредных веществ необходим расчет и нормирование предельно допустимых выбросов.</w:t>
      </w:r>
    </w:p>
    <w:p w:rsidR="00517711" w:rsidRDefault="00F815BE">
      <w:pPr>
        <w:spacing w:after="0" w:line="240" w:lineRule="auto"/>
        <w:ind w:firstLine="709"/>
        <w:jc w:val="both"/>
        <w:rPr>
          <w:rFonts w:ascii="Times New Roman" w:hAnsi="Times New Roman"/>
          <w:i/>
          <w:szCs w:val="24"/>
        </w:rPr>
      </w:pPr>
      <w:r>
        <w:rPr>
          <w:rFonts w:ascii="Times New Roman" w:hAnsi="Times New Roman"/>
          <w:b/>
          <w:i/>
          <w:szCs w:val="24"/>
        </w:rPr>
        <w:t>Ключевые слова и словосочетания:</w:t>
      </w:r>
      <w:r>
        <w:rPr>
          <w:rFonts w:ascii="Times New Roman" w:hAnsi="Times New Roman"/>
          <w:szCs w:val="24"/>
        </w:rPr>
        <w:t xml:space="preserve"> </w:t>
      </w:r>
      <w:r>
        <w:rPr>
          <w:rFonts w:ascii="Times New Roman" w:hAnsi="Times New Roman"/>
          <w:i/>
          <w:szCs w:val="24"/>
        </w:rPr>
        <w:t>источник выбросов, приземная концентрация, загрязняющие вещества, атмосферный воздух, методика, контроль, поле рассеивания.</w:t>
      </w:r>
    </w:p>
    <w:p w:rsidR="00517711" w:rsidRDefault="00F815BE">
      <w:pPr>
        <w:keepNext/>
        <w:spacing w:before="240" w:after="240" w:line="240" w:lineRule="auto"/>
        <w:jc w:val="center"/>
        <w:outlineLvl w:val="0"/>
        <w:rPr>
          <w:rFonts w:ascii="Book Antiqua" w:hAnsi="Book Antiqua" w:cs="Times New Roman"/>
          <w:b/>
          <w:bCs/>
          <w:caps/>
          <w:sz w:val="26"/>
          <w:szCs w:val="26"/>
          <w:lang w:val="en-US"/>
        </w:rPr>
      </w:pPr>
      <w:r>
        <w:rPr>
          <w:rFonts w:ascii="Book Antiqua" w:hAnsi="Book Antiqua" w:cs="Times New Roman"/>
          <w:b/>
          <w:bCs/>
          <w:caps/>
          <w:sz w:val="26"/>
          <w:szCs w:val="26"/>
          <w:lang w:val="en-US"/>
        </w:rPr>
        <w:t xml:space="preserve">Impact of pollutant emissions on the atmospheric air on the example of the enterprise </w:t>
      </w:r>
    </w:p>
    <w:p w:rsidR="00517711" w:rsidRDefault="00F815BE">
      <w:pPr>
        <w:keepNext/>
        <w:spacing w:before="240" w:after="240" w:line="240" w:lineRule="auto"/>
        <w:jc w:val="center"/>
        <w:outlineLvl w:val="0"/>
        <w:rPr>
          <w:rFonts w:ascii="Book Antiqua" w:hAnsi="Book Antiqua" w:cs="Times New Roman"/>
          <w:b/>
          <w:bCs/>
          <w:caps/>
          <w:sz w:val="26"/>
          <w:szCs w:val="26"/>
          <w:lang w:val="en-US"/>
        </w:rPr>
      </w:pPr>
      <w:r>
        <w:rPr>
          <w:rFonts w:ascii="Book Antiqua" w:hAnsi="Book Antiqua" w:cs="Times New Roman"/>
          <w:b/>
          <w:bCs/>
          <w:caps/>
          <w:sz w:val="26"/>
          <w:szCs w:val="26"/>
          <w:lang w:val="en-US"/>
        </w:rPr>
        <w:t>«Ussuriysks cargo bus station PJSC «Primoravtotrans»</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i/>
          <w:szCs w:val="24"/>
          <w:lang w:val="en-US"/>
        </w:rPr>
        <w:t>With the development of the Far Eastern region of Russia, the anthropogenic impact on the environment is increasing. Pollution of atmospheric air is a constant factor of influence on the person and environment. To reduce the level of surface concentrations of harmful substances, it is necessary to calculate and normalize the maximum allowable emissions.</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b/>
          <w:i/>
          <w:szCs w:val="24"/>
          <w:lang w:val="en-US"/>
        </w:rPr>
        <w:t>Keywords and word-combinations:</w:t>
      </w:r>
      <w:r>
        <w:rPr>
          <w:rFonts w:ascii="Times New Roman" w:hAnsi="Times New Roman"/>
          <w:i/>
          <w:szCs w:val="24"/>
          <w:lang w:val="en-US"/>
        </w:rPr>
        <w:t xml:space="preserve"> source of emissions, surface concentration, pollutants, atmospheric air, methodology, control, dispersion field.</w:t>
      </w:r>
    </w:p>
    <w:p w:rsidR="00517711" w:rsidRDefault="00517711">
      <w:pPr>
        <w:spacing w:after="0" w:line="240" w:lineRule="auto"/>
        <w:ind w:firstLine="709"/>
        <w:jc w:val="both"/>
        <w:rPr>
          <w:rFonts w:ascii="Times New Roman" w:hAnsi="Times New Roman"/>
          <w:sz w:val="20"/>
          <w:szCs w:val="24"/>
          <w:lang w:val="en-US"/>
        </w:rPr>
      </w:pP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Экологическая проблема номер один в Российской федерации – загрязнение окружающей среды. Под загрязнением атмосферы понимают присутствие в ней одного или более ингредиентов, или их комбинаций в таких количествах и в течение такого времени, что они могут принести вред здоровью или благосостоянию человека, или чрезмерно повлиять на сложившийся уклад жизни.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Особенностью загрязнителей атмосферы является их преимущественная локализация в сравнительно небольших географических районах – городах и других промышленных центрах. Скорость накопления вредных веществ превышает возможности самоочищения атмосферы.</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Актуальность проблемы загрязнения атмосферы заключатся в привнесении в атмосферный воздух новых нехарактерных для него физических, химических и биологических веществ или изменение их естественной концентрации [1]. Атмосферный воздух является самой важной жизнеобеспечивающей природной средой и представляет собой смесь газов и аэрозолей приземного слоя атмосферы, сложившуюся в ходе эволюции Земли, деятельности человека и находящуюся за пределами жилых, производственных и иных помещений. Результаты экологических исследований, как в России, так и за рубежом, однозначно свидетельствуют о том, что загрязнение приземной атмосферы - самый мощный, постоянно действующий фактор воздействия на человека, пищевую цепь и окружающую среду. Атмосферный воздух имеет неограниченную емкость и играет роль наиболее подвижного, химически агрессивного и всепроникающего агента взаимодействия вблизи поверхности компонентов биосферы, гидросферы и литосферы [2].</w:t>
      </w:r>
    </w:p>
    <w:p w:rsidR="00517711" w:rsidRDefault="00F815BE">
      <w:pPr>
        <w:spacing w:after="0" w:line="240" w:lineRule="auto"/>
        <w:ind w:firstLine="709"/>
        <w:jc w:val="both"/>
        <w:rPr>
          <w:rFonts w:ascii="Times New Roman" w:hAnsi="Times New Roman"/>
          <w:sz w:val="20"/>
          <w:szCs w:val="24"/>
        </w:rPr>
      </w:pPr>
      <w:r>
        <w:rPr>
          <w:rFonts w:ascii="Times New Roman" w:hAnsi="Times New Roman"/>
          <w:color w:val="000000"/>
          <w:sz w:val="20"/>
          <w:szCs w:val="24"/>
          <w:lang w:eastAsia="ru-RU"/>
        </w:rPr>
        <w:t xml:space="preserve">Уссурийская грузовая автостанция (УГС) расположена в Уссурийске и является структурной составляющей Уссурийского автотранспортного подразделения публичного акционерного общества «Приморавтотранс» и используется в качестве склада временного хранения грузов, приходящих для ПАО «Приморавтотранс» и дальнейшего распределения по подразделениям предприятия </w:t>
      </w:r>
      <w:r>
        <w:rPr>
          <w:rFonts w:ascii="Times New Roman" w:hAnsi="Times New Roman"/>
          <w:sz w:val="20"/>
          <w:szCs w:val="24"/>
        </w:rPr>
        <w:t>[3].</w:t>
      </w:r>
    </w:p>
    <w:p w:rsidR="00517711" w:rsidRDefault="00F815BE">
      <w:pPr>
        <w:spacing w:after="0" w:line="240" w:lineRule="auto"/>
        <w:jc w:val="center"/>
        <w:rPr>
          <w:rFonts w:ascii="Times New Roman" w:hAnsi="Times New Roman"/>
          <w:sz w:val="24"/>
          <w:szCs w:val="24"/>
        </w:rPr>
      </w:pPr>
      <w:r>
        <w:rPr>
          <w:rFonts w:ascii="Times New Roman" w:hAnsi="Times New Roman"/>
          <w:noProof/>
          <w:sz w:val="24"/>
          <w:szCs w:val="24"/>
          <w:lang w:eastAsia="ru-RU"/>
        </w:rPr>
        <w:lastRenderedPageBreak/>
        <w:drawing>
          <wp:inline distT="0" distB="0" distL="0" distR="0">
            <wp:extent cx="4380863" cy="3928108"/>
            <wp:effectExtent l="0" t="0" r="0" b="0"/>
            <wp:docPr id="74" name="Рисунок 123" descr="\\sysprofiles.adm.vvsu.ru\emplprofiles$\grivanov\Desktop\2018 ГРИВАНОВ И\2018 ДИПЛОМЫ\2018 Андрейченко Александр\2018_Сведения о предприятии\УГС генплан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Рисунок 1" descr="\\sysprofiles.adm.vvsu.ru\emplprofiles$\grivanov\Desktop\2018 ГРИВАНОВ И\2018 ДИПЛОМЫ\2018 Андрейченко Александр\2018_Сведения о предприятии\УГС генплан_1.jpg"/>
                    <pic:cNvPicPr>
                      <a:picLocks noChangeAspect="1"/>
                    </pic:cNvPicPr>
                  </pic:nvPicPr>
                  <pic:blipFill>
                    <a:blip r:embed="rId101"/>
                    <a:stretch/>
                  </pic:blipFill>
                  <pic:spPr bwMode="auto">
                    <a:xfrm>
                      <a:off x="0" y="0"/>
                      <a:ext cx="4380865" cy="3928110"/>
                    </a:xfrm>
                    <a:prstGeom prst="rect">
                      <a:avLst/>
                    </a:prstGeom>
                    <a:noFill/>
                    <a:ln>
                      <a:noFill/>
                    </a:ln>
                  </pic:spPr>
                </pic:pic>
              </a:graphicData>
            </a:graphic>
          </wp:inline>
        </w:drawing>
      </w:r>
    </w:p>
    <w:p w:rsidR="00517711" w:rsidRDefault="00F815BE">
      <w:pPr>
        <w:spacing w:after="0" w:line="240" w:lineRule="auto"/>
        <w:jc w:val="center"/>
        <w:rPr>
          <w:rFonts w:ascii="Times New Roman" w:hAnsi="Times New Roman"/>
          <w:sz w:val="20"/>
          <w:szCs w:val="24"/>
        </w:rPr>
      </w:pPr>
      <w:r>
        <w:rPr>
          <w:rFonts w:ascii="Times New Roman" w:hAnsi="Times New Roman"/>
          <w:sz w:val="20"/>
          <w:szCs w:val="24"/>
        </w:rPr>
        <w:t>Рисунок 1 – Расположение источников загрязнения атмосферы УГС.</w:t>
      </w:r>
    </w:p>
    <w:p w:rsidR="00517711" w:rsidRDefault="00517711">
      <w:pPr>
        <w:spacing w:after="0" w:line="240" w:lineRule="auto"/>
        <w:jc w:val="center"/>
        <w:rPr>
          <w:rFonts w:ascii="Times New Roman" w:hAnsi="Times New Roman"/>
          <w:sz w:val="20"/>
          <w:szCs w:val="24"/>
        </w:rPr>
      </w:pP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На территории предприятия, помимо административно-бытового корпуса, ни имеющего источников загрязнения атмосферы расположены следующие объекты, оказывающие влияние на загрязнение атмосферы в районе расположения предприятия (рисунок 1):</w:t>
      </w:r>
    </w:p>
    <w:p w:rsidR="00517711" w:rsidRDefault="00F815BE">
      <w:pPr>
        <w:pStyle w:val="af4"/>
        <w:numPr>
          <w:ilvl w:val="0"/>
          <w:numId w:val="46"/>
        </w:numPr>
        <w:spacing w:after="0" w:line="240" w:lineRule="auto"/>
        <w:jc w:val="both"/>
        <w:rPr>
          <w:rFonts w:ascii="Times New Roman" w:hAnsi="Times New Roman"/>
          <w:sz w:val="20"/>
          <w:szCs w:val="24"/>
        </w:rPr>
      </w:pPr>
      <w:r>
        <w:rPr>
          <w:rFonts w:ascii="Times New Roman" w:hAnsi="Times New Roman"/>
          <w:sz w:val="20"/>
          <w:szCs w:val="24"/>
        </w:rPr>
        <w:t>Котельная.</w:t>
      </w:r>
    </w:p>
    <w:p w:rsidR="00517711" w:rsidRDefault="00F815BE">
      <w:pPr>
        <w:pStyle w:val="af4"/>
        <w:numPr>
          <w:ilvl w:val="0"/>
          <w:numId w:val="46"/>
        </w:numPr>
        <w:spacing w:after="0" w:line="240" w:lineRule="auto"/>
        <w:jc w:val="both"/>
        <w:rPr>
          <w:rFonts w:ascii="Times New Roman" w:hAnsi="Times New Roman"/>
          <w:sz w:val="20"/>
          <w:szCs w:val="24"/>
        </w:rPr>
      </w:pPr>
      <w:r>
        <w:rPr>
          <w:rFonts w:ascii="Times New Roman" w:hAnsi="Times New Roman"/>
          <w:sz w:val="20"/>
          <w:szCs w:val="24"/>
        </w:rPr>
        <w:t>Склад угля, используемого для котельной.</w:t>
      </w:r>
    </w:p>
    <w:p w:rsidR="00517711" w:rsidRDefault="00F815BE">
      <w:pPr>
        <w:pStyle w:val="af4"/>
        <w:numPr>
          <w:ilvl w:val="0"/>
          <w:numId w:val="46"/>
        </w:numPr>
        <w:spacing w:after="0" w:line="240" w:lineRule="auto"/>
        <w:jc w:val="both"/>
        <w:rPr>
          <w:rFonts w:ascii="Times New Roman" w:hAnsi="Times New Roman"/>
          <w:sz w:val="20"/>
          <w:szCs w:val="24"/>
        </w:rPr>
      </w:pPr>
      <w:r>
        <w:rPr>
          <w:rFonts w:ascii="Times New Roman" w:hAnsi="Times New Roman"/>
          <w:sz w:val="20"/>
          <w:szCs w:val="24"/>
        </w:rPr>
        <w:t>Склад золы.</w:t>
      </w:r>
    </w:p>
    <w:p w:rsidR="00517711" w:rsidRDefault="00F815BE">
      <w:pPr>
        <w:pStyle w:val="af4"/>
        <w:numPr>
          <w:ilvl w:val="0"/>
          <w:numId w:val="46"/>
        </w:numPr>
        <w:spacing w:after="0" w:line="240" w:lineRule="auto"/>
        <w:jc w:val="both"/>
        <w:rPr>
          <w:rFonts w:ascii="Times New Roman" w:hAnsi="Times New Roman"/>
          <w:sz w:val="20"/>
          <w:szCs w:val="24"/>
        </w:rPr>
      </w:pPr>
      <w:r>
        <w:rPr>
          <w:rFonts w:ascii="Times New Roman" w:hAnsi="Times New Roman"/>
          <w:sz w:val="20"/>
          <w:szCs w:val="24"/>
        </w:rPr>
        <w:t>Открытая стоянка автотранспорта.</w:t>
      </w:r>
    </w:p>
    <w:p w:rsidR="00517711" w:rsidRDefault="00F815BE">
      <w:pPr>
        <w:pStyle w:val="af4"/>
        <w:numPr>
          <w:ilvl w:val="0"/>
          <w:numId w:val="46"/>
        </w:numPr>
        <w:spacing w:after="0" w:line="240" w:lineRule="auto"/>
        <w:jc w:val="both"/>
        <w:rPr>
          <w:rFonts w:ascii="Times New Roman" w:hAnsi="Times New Roman"/>
          <w:sz w:val="20"/>
          <w:szCs w:val="24"/>
        </w:rPr>
      </w:pPr>
      <w:r>
        <w:rPr>
          <w:rFonts w:ascii="Times New Roman" w:hAnsi="Times New Roman"/>
          <w:sz w:val="20"/>
          <w:szCs w:val="24"/>
        </w:rPr>
        <w:t>Склад угля на 650 тонн</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Котельная служит для отопления административно бытового корпуса и работает только в отопительный период. В котельной установлено 2 котла, работающих на каменном угле. Годовой расход топлива 60 тонн.</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результате сгорания топлива в атмосферный воздух выбрасываются 7 загрязняющих веществ (ЗВ): Азота диоксид (Азот (IV) оксид), Азот (II) оксид (Азота оксид), Углерод (Сажа), Сера диоксид-Ангидрид сернистый, Углерод оксид, Бенз/а/пирен (3,4-Бензпирен), Пыль неорганическая: 70-20% SiO2 в количестве 0,939196 т/год [4]. Распределение выбросов показано на рисунке 2.</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Как видно из рисунка наибольшая количество выбросов приходится на два вещества: Сера диоксид и Углерод оксид. Их доля составляет 81 %, а с веществом Азота диоксид возрастает до 93 %. Вклад остальных веществ незначителен. Продукты сгорания топлива выбрасываются через дымовую тубу диаметром 300 мм и высотой 22,0 м. Котельная является организованным источником [5]. Вклад этого источника в общее количество выбросов составляет 98,71 %.</w:t>
      </w:r>
    </w:p>
    <w:p w:rsidR="00517711" w:rsidRDefault="00517711">
      <w:pPr>
        <w:spacing w:after="0" w:line="240" w:lineRule="auto"/>
        <w:ind w:firstLine="709"/>
        <w:jc w:val="both"/>
        <w:rPr>
          <w:rFonts w:ascii="Times New Roman" w:hAnsi="Times New Roman"/>
          <w:sz w:val="20"/>
          <w:szCs w:val="24"/>
        </w:rPr>
      </w:pPr>
    </w:p>
    <w:p w:rsidR="00517711" w:rsidRDefault="00F815BE">
      <w:pPr>
        <w:spacing w:after="0" w:line="240" w:lineRule="auto"/>
        <w:jc w:val="center"/>
        <w:rPr>
          <w:rFonts w:ascii="Times New Roman" w:hAnsi="Times New Roman"/>
          <w:sz w:val="24"/>
          <w:szCs w:val="24"/>
        </w:rPr>
      </w:pPr>
      <w:r>
        <w:rPr>
          <w:noProof/>
          <w:lang w:eastAsia="ru-RU"/>
        </w:rPr>
        <w:lastRenderedPageBreak/>
        <w:drawing>
          <wp:inline distT="0" distB="0" distL="0" distR="0">
            <wp:extent cx="4881879" cy="2926080"/>
            <wp:effectExtent l="0" t="0" r="0" b="0"/>
            <wp:docPr id="75" name="Диаграмм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Диаграмма 2"/>
                    <pic:cNvPicPr>
                      <a:picLocks noChangeAspect="1"/>
                    </pic:cNvPicPr>
                  </pic:nvPicPr>
                  <pic:blipFill>
                    <a:blip r:embed="rId102"/>
                    <a:srcRect l="-1575" t="-3587" r="-3653" b="-3914"/>
                    <a:stretch/>
                  </pic:blipFill>
                  <pic:spPr bwMode="auto">
                    <a:xfrm>
                      <a:off x="0" y="0"/>
                      <a:ext cx="4881880" cy="2926080"/>
                    </a:xfrm>
                    <a:prstGeom prst="rect">
                      <a:avLst/>
                    </a:prstGeom>
                    <a:noFill/>
                    <a:ln>
                      <a:noFill/>
                    </a:ln>
                  </pic:spPr>
                </pic:pic>
              </a:graphicData>
            </a:graphic>
          </wp:inline>
        </w:drawing>
      </w:r>
    </w:p>
    <w:p w:rsidR="00517711" w:rsidRDefault="00F815BE">
      <w:pPr>
        <w:spacing w:after="120" w:line="240" w:lineRule="auto"/>
        <w:jc w:val="center"/>
        <w:rPr>
          <w:rFonts w:ascii="Times New Roman" w:hAnsi="Times New Roman"/>
          <w:sz w:val="20"/>
          <w:szCs w:val="24"/>
        </w:rPr>
      </w:pPr>
      <w:r>
        <w:rPr>
          <w:rFonts w:ascii="Times New Roman" w:hAnsi="Times New Roman"/>
          <w:sz w:val="20"/>
          <w:szCs w:val="24"/>
        </w:rPr>
        <w:t>Рисунок 2 – распределение выбросов от котельной, т/год</w:t>
      </w:r>
    </w:p>
    <w:p w:rsidR="00517711" w:rsidRDefault="00517711">
      <w:pPr>
        <w:spacing w:after="0" w:line="240" w:lineRule="auto"/>
        <w:ind w:firstLine="709"/>
        <w:jc w:val="both"/>
        <w:rPr>
          <w:rFonts w:ascii="Times New Roman" w:hAnsi="Times New Roman"/>
          <w:sz w:val="20"/>
          <w:szCs w:val="24"/>
        </w:rPr>
      </w:pP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На складе угля хранится уголь марки 1Б, класса БПК. Уголь хранится в яме размерами 3х3х2,5 м. Подача угля в котельную и топку котла осуществляется вручную. Уголь завозится на предприятие и вывозится автотранспортом. В результате разгрузки и хранения в атмосферный воздух выбрасывает угольная пыль, которая нормируется как вещество Пыль неорганическая: до 20% SiO2 в количестве 0,000001 т/год [6]. Вклад этого источника в общее количество выбросов составляет менее 0,01%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Очаговые остатки вручную удаляются из котла и выносятся в закрытый контейнер. При ссыпании и хранении золы в атмосферный воздух выбрасывается вещество Пыль неорганическая: 70-20% SiO2 в количестве 0,000011 т/год [6]. Вклад этого источника в общее количество выбросов составляет менее 0,01%.</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На территории предприятия для парковки транспорта предназначена открытая неотапливаемая стоянка, рассчитанную на 4 автомобиля. При выезде, пробеге и въезде на стоянку в атмосферный воздух выбрасываются 6 загрязняющих веществ в количестве 0,012231 т/год [7]. Вклад этого источника в общее количество выбросов составляет 1,28 %.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результате работы всех источников загрязнения предприятия в атмосферный воздух выбрасывается 10 загрязняющих веществ в количестве 0,952109 т/год. Максимальный вклад в количество выбросов вносят два вещества: Сера диоксид  – 0,389092 т/год или 41 % от общего количества выбросов и Углерод оксид  – 0,382211 т/год или 40 %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Сера диоксид - вещество 3 класса опасности, малоопасное с ПДК=0,5 мг/м</w:t>
      </w:r>
      <w:r>
        <w:rPr>
          <w:rFonts w:ascii="Times New Roman" w:hAnsi="Times New Roman"/>
          <w:sz w:val="20"/>
          <w:szCs w:val="24"/>
          <w:vertAlign w:val="superscript"/>
        </w:rPr>
        <w:t>3</w:t>
      </w:r>
      <w:r>
        <w:rPr>
          <w:rFonts w:ascii="Times New Roman" w:hAnsi="Times New Roman"/>
          <w:sz w:val="20"/>
          <w:szCs w:val="24"/>
        </w:rPr>
        <w:t>. Сера диоксид в нормальных условиях представляет собой бесцветный газ с характерным резким запахом (запах загорающейся спички), токсичен. Под давлением сжижается при комнатной температуре. Симптомы при отравлении сернистым газом — насморк, кашель, охриплость, першение в горле. При вдыхании сернистого газа более высокой концентрации — удушье, расстройство речи, затруднение глотания, рвота, возможен острый отёк лёгких [8].</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Углерод оксид (СО) — самая распространенная и наиболее значительная примесь атмосферы, называемая в быту угарным газом — бесцветный ядовитый газ без вкуса и запаха. СО - вещество 4 класса опасности, т.е. малоопасное, но далеко небезопасное. Угарный газ очень опасен, так как не имеет запаха и вызывает отравление и даже смерть. Основная масса выбросов СО образуется в процессе сжигания органического топлива, прежде всего в двигателях внутреннего сгорания. Признаки отравления: головная боль и головокружение; отмечается шум в ушах, одышка, сердцебиение, мерцание перед глазами, покраснение лица, общая слабость, тошнота, иногда рвота; в тяжёлых случаях судороги, потеря сознания, кома. Угарный газ - вещество 4 класса опасности, т.е. малоопасное, но далеко небезопасное. Токсическое действие оксида углерода (II) обусловлено образованием карбоксиге-моглобина - значительно более прочного карбонильного комплекса с гемоглобином, в сравнении с комплексом гемоглобина с кислородом (оксигемоглобином), блокируя, таким образом, процессы транспортировки кислорода и клеточного дыхания. Высокая концентрация СО в воздухе приводит к физиологическим изменениям в организме человека: ухудшение остроты зрения и способности оценивать длительность интервалов времени, нарушение психомоторных функций головного мозга, изменение деятельности сердца и легких, головные боли, сонливость, спазмы, нарушение дыхания, а концентрация более 750 мг/м</w:t>
      </w:r>
      <w:r>
        <w:rPr>
          <w:rFonts w:ascii="Times New Roman" w:hAnsi="Times New Roman"/>
          <w:sz w:val="20"/>
          <w:szCs w:val="24"/>
          <w:vertAlign w:val="superscript"/>
        </w:rPr>
        <w:t>3</w:t>
      </w:r>
      <w:r>
        <w:rPr>
          <w:rFonts w:ascii="Times New Roman" w:hAnsi="Times New Roman"/>
          <w:sz w:val="20"/>
          <w:szCs w:val="24"/>
        </w:rPr>
        <w:t xml:space="preserve"> — к смерти в течение одного часа [9].</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Но на окружающую среду наибольшее воздействие оказывают не эти вещества. Для оценки воздействия загрязняющих веществ на окружающую среду были проведены расчеты рассеивания загрязняющих веществ в атмосфере. Исходными данными для проведения расчетов являются инвентаризация </w:t>
      </w:r>
      <w:r>
        <w:rPr>
          <w:rFonts w:ascii="Times New Roman" w:hAnsi="Times New Roman"/>
          <w:sz w:val="20"/>
          <w:szCs w:val="24"/>
        </w:rPr>
        <w:lastRenderedPageBreak/>
        <w:t xml:space="preserve">источников выбросов предприятия, выполненная в соответствии с «Методическим пособием по расчету, нормированию и контролю выбросов загрязняющих веществ в атмосферный воздух» [5]. Расчет рассеивания загрязняющих веществ в приземном слое атмосферы выполнен на ПК по унифицированной программе расчета концентраций в атмосферном воздухе </w:t>
      </w:r>
      <w:r>
        <w:rPr>
          <w:rFonts w:ascii="Times New Roman" w:hAnsi="Times New Roman"/>
          <w:bCs/>
          <w:sz w:val="20"/>
          <w:szCs w:val="24"/>
        </w:rPr>
        <w:t>УПРЗА ЭКОЛОГ, версия 3.00 Copyright © 1990-2003 ФИРМА «ИНТЕГРАЛ»</w:t>
      </w:r>
      <w:r>
        <w:rPr>
          <w:rFonts w:ascii="Times New Roman" w:hAnsi="Times New Roman"/>
          <w:b/>
          <w:bCs/>
          <w:sz w:val="20"/>
          <w:szCs w:val="24"/>
        </w:rPr>
        <w:t xml:space="preserve"> </w:t>
      </w:r>
      <w:r>
        <w:rPr>
          <w:rFonts w:ascii="Times New Roman" w:hAnsi="Times New Roman"/>
          <w:sz w:val="20"/>
          <w:szCs w:val="24"/>
        </w:rPr>
        <w:t xml:space="preserve"> разработанной в соответствии с OHД-86 и согласованной с ГГО им. А.И. Воейкова, которая позволяет дать санитарно-гигиеническую оценку степени загрязнения приземного слоя атмосферы вредными веществами. Как показали расчеты наибольшую приземную концентрацию вносит вещество Азота диоксид (Азот (IV) оксид). Доля его выбросов в общем количестве 12 % или 0,113636 т/год, что более чем в три раза меньше, ем диоксид серы и оксид углерода. Но азота диоксид наиболее токсичен из этих трех веществ. Его ПДК=0,2 мг/м</w:t>
      </w:r>
      <w:r>
        <w:rPr>
          <w:rFonts w:ascii="Times New Roman" w:hAnsi="Times New Roman"/>
          <w:sz w:val="20"/>
          <w:szCs w:val="24"/>
          <w:vertAlign w:val="superscript"/>
        </w:rPr>
        <w:t>3</w:t>
      </w:r>
      <w:r>
        <w:rPr>
          <w:rFonts w:ascii="Times New Roman" w:hAnsi="Times New Roman"/>
          <w:sz w:val="20"/>
          <w:szCs w:val="24"/>
        </w:rPr>
        <w:t xml:space="preserve">, что гораздо ниже, чем у диоксида серы и оксида углерода. Именно, поэтому у этого вещества самая высокая приземная концентрация - 0,22 доли ПДК. Для окружающей среды и человека такое значение не представляет опасности.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Азота диоксид (Азот (IV) оксид) - бурый газ, токсичен, тяжелее воздуха, легко сжижается. Он раздражает дыхательные пути и угнетает аэробное окисление в легочной ткани, что приводит к развитию токсического отёка легких. </w:t>
      </w:r>
      <w:r>
        <w:rPr>
          <w:rFonts w:ascii="Times New Roman" w:hAnsi="Times New Roman"/>
          <w:sz w:val="20"/>
          <w:szCs w:val="24"/>
          <w:lang w:eastAsia="ru-RU"/>
        </w:rPr>
        <w:t>Диоксид азота сильно раздражает слизистые оболочки дыхательных путей. Вдыхание ядовитых паров диоксида азота может привести к серьезному отравлению. Диоксид азота вызывает сенсорные, функциональные и патологические эффекты. К сенсорным эффектам можно отнести обонятельные и зрительные реакции организма на воздействие NO</w:t>
      </w:r>
      <w:r>
        <w:rPr>
          <w:rFonts w:ascii="Times New Roman" w:hAnsi="Times New Roman"/>
          <w:sz w:val="20"/>
          <w:szCs w:val="24"/>
          <w:vertAlign w:val="subscript"/>
          <w:lang w:eastAsia="ru-RU"/>
        </w:rPr>
        <w:t>2</w:t>
      </w:r>
      <w:r>
        <w:rPr>
          <w:rFonts w:ascii="Times New Roman" w:hAnsi="Times New Roman"/>
          <w:sz w:val="20"/>
          <w:szCs w:val="24"/>
          <w:lang w:eastAsia="ru-RU"/>
        </w:rPr>
        <w:t>. Даже при малых концентрациях, человек ощущает присутствие этого газа. Эта концентрация является порогом обнаружения диоксида азота. Однако способность организма обнаруживать NO</w:t>
      </w:r>
      <w:r>
        <w:rPr>
          <w:rFonts w:ascii="Times New Roman" w:hAnsi="Times New Roman"/>
          <w:sz w:val="20"/>
          <w:szCs w:val="24"/>
          <w:vertAlign w:val="subscript"/>
          <w:lang w:eastAsia="ru-RU"/>
        </w:rPr>
        <w:t>2</w:t>
      </w:r>
      <w:r>
        <w:rPr>
          <w:rFonts w:ascii="Times New Roman" w:hAnsi="Times New Roman"/>
          <w:sz w:val="20"/>
          <w:szCs w:val="24"/>
          <w:lang w:eastAsia="ru-RU"/>
        </w:rPr>
        <w:t xml:space="preserve"> пропадает после 10 минут вдыхания, но при этом ощущается чувство сухости и першения в горле. Хотя и эти признаки исчезают при продолжительном воздействии газа в концентрации, в 15 раз превышающей порог обнаружения. Таким образом, NO</w:t>
      </w:r>
      <w:r>
        <w:rPr>
          <w:rFonts w:ascii="Times New Roman" w:hAnsi="Times New Roman"/>
          <w:sz w:val="20"/>
          <w:szCs w:val="24"/>
          <w:vertAlign w:val="subscript"/>
          <w:lang w:eastAsia="ru-RU"/>
        </w:rPr>
        <w:t xml:space="preserve">2 </w:t>
      </w:r>
      <w:r>
        <w:rPr>
          <w:rFonts w:ascii="Times New Roman" w:hAnsi="Times New Roman"/>
          <w:sz w:val="20"/>
          <w:szCs w:val="24"/>
          <w:lang w:eastAsia="ru-RU"/>
        </w:rPr>
        <w:t>ослабляет обоняние. Патологические эффекты проявляются в том, что NO</w:t>
      </w:r>
      <w:r>
        <w:rPr>
          <w:rFonts w:ascii="Times New Roman" w:hAnsi="Times New Roman"/>
          <w:sz w:val="20"/>
          <w:szCs w:val="24"/>
          <w:vertAlign w:val="subscript"/>
          <w:lang w:eastAsia="ru-RU"/>
        </w:rPr>
        <w:t>2</w:t>
      </w:r>
      <w:r>
        <w:rPr>
          <w:rFonts w:ascii="Times New Roman" w:hAnsi="Times New Roman"/>
          <w:sz w:val="20"/>
          <w:szCs w:val="24"/>
          <w:lang w:eastAsia="ru-RU"/>
        </w:rPr>
        <w:t xml:space="preserve"> делает человека более восприимчивым к патогенам, вызывающим болезни дыхательных путей. У людей, подвергшихся воздействию высоких концентраций диоксида азота, чаще наблюдаются катар верхних дыхательных путей, бронхиты, круп и воспаление легких. Кроме того, диоксид азота сам по себе может стать причиной заболеваний дыхательных путей. Попадая в организм человека, NO</w:t>
      </w:r>
      <w:r>
        <w:rPr>
          <w:rFonts w:ascii="Times New Roman" w:hAnsi="Times New Roman"/>
          <w:sz w:val="20"/>
          <w:szCs w:val="24"/>
          <w:vertAlign w:val="subscript"/>
          <w:lang w:eastAsia="ru-RU"/>
        </w:rPr>
        <w:t xml:space="preserve">2 </w:t>
      </w:r>
      <w:r>
        <w:rPr>
          <w:rFonts w:ascii="Times New Roman" w:hAnsi="Times New Roman"/>
          <w:sz w:val="20"/>
          <w:szCs w:val="24"/>
          <w:lang w:eastAsia="ru-RU"/>
        </w:rPr>
        <w:t xml:space="preserve">при контакте с влагой образует азотистую и азотную кислоты, которые разъедают стенки альвеол легких. При этом стенки альвеол и кровеносных капилляров становятся настолько проницаемыми, что пропускают сыворотку крови в полость легких. В этой жидкости растворяется вдыхаемый воздух, образуя пену, препятствующую дальнейшему газообмену. Возникает отек легких, который зачастую ведет к летальному исходу. Длительное воздействие оксидов азота вызывает расширение клеток в корешках бронхов (тонких разветвлениях воздушных путей альвеол), ухудшение сопротивляемости легких к бактериям, а также расширение альвеол. Некоторые исследователи считают, что в районах с высоким содержанием в атмосфере диоксида азота наблюдается повышенная смертность от сердечных и раковых заболеваний </w:t>
      </w:r>
      <w:r>
        <w:rPr>
          <w:rFonts w:ascii="Times New Roman" w:hAnsi="Times New Roman"/>
          <w:sz w:val="20"/>
          <w:szCs w:val="24"/>
        </w:rPr>
        <w:t>[10].</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По проведенному выше анализу расчетов рассеивания загрязняющих веществ в приземном слое атмосферы видно, что максимальные приземные концентрации загрязняющих веществ не превысили  максимально разовые предельно допустимые концентрации загрязняющих веществ. На основании этого, выбросы загрязняющих веществ, выделяемые источниками предприятия, предлагается принять в качестве нормативов ПДВ.</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Подводя итог вышесказанному, можно сделать следующие выводы:</w:t>
      </w:r>
    </w:p>
    <w:p w:rsidR="00517711" w:rsidRDefault="00F815BE">
      <w:pPr>
        <w:pStyle w:val="af4"/>
        <w:numPr>
          <w:ilvl w:val="0"/>
          <w:numId w:val="47"/>
        </w:numPr>
        <w:spacing w:after="0" w:line="240" w:lineRule="auto"/>
        <w:jc w:val="both"/>
        <w:rPr>
          <w:rFonts w:ascii="Times New Roman" w:hAnsi="Times New Roman"/>
          <w:sz w:val="20"/>
          <w:szCs w:val="24"/>
        </w:rPr>
      </w:pPr>
      <w:r>
        <w:rPr>
          <w:rFonts w:ascii="Times New Roman" w:hAnsi="Times New Roman"/>
          <w:sz w:val="20"/>
          <w:szCs w:val="24"/>
        </w:rPr>
        <w:t>Пять источников предприятия выбрасывают 10 загрязняющих веществ в количестве 0,952109 т/год.</w:t>
      </w:r>
    </w:p>
    <w:p w:rsidR="00517711" w:rsidRDefault="00F815BE">
      <w:pPr>
        <w:pStyle w:val="af4"/>
        <w:numPr>
          <w:ilvl w:val="0"/>
          <w:numId w:val="47"/>
        </w:numPr>
        <w:spacing w:after="0" w:line="240" w:lineRule="auto"/>
        <w:jc w:val="both"/>
        <w:rPr>
          <w:rFonts w:ascii="Times New Roman" w:hAnsi="Times New Roman"/>
          <w:sz w:val="20"/>
          <w:szCs w:val="24"/>
        </w:rPr>
      </w:pPr>
      <w:r>
        <w:rPr>
          <w:rFonts w:ascii="Times New Roman" w:hAnsi="Times New Roman"/>
          <w:sz w:val="20"/>
          <w:szCs w:val="24"/>
        </w:rPr>
        <w:t>Основным источником воздействия на окружающую среду является котельная. На ее долю приходится 98,7 % выбросов.</w:t>
      </w:r>
    </w:p>
    <w:p w:rsidR="00517711" w:rsidRDefault="00F815BE">
      <w:pPr>
        <w:pStyle w:val="af4"/>
        <w:numPr>
          <w:ilvl w:val="0"/>
          <w:numId w:val="47"/>
        </w:numPr>
        <w:spacing w:after="0" w:line="240" w:lineRule="auto"/>
        <w:jc w:val="both"/>
        <w:rPr>
          <w:rFonts w:ascii="Times New Roman" w:hAnsi="Times New Roman"/>
          <w:sz w:val="24"/>
          <w:szCs w:val="24"/>
        </w:rPr>
      </w:pPr>
      <w:r>
        <w:rPr>
          <w:rFonts w:ascii="Times New Roman" w:hAnsi="Times New Roman"/>
          <w:sz w:val="20"/>
          <w:szCs w:val="24"/>
        </w:rPr>
        <w:t xml:space="preserve">Наибольшая приземная концентрация приходится на вещество Азота диоксид (Азот (IV) оксид) и составляет 0,22 доли от соответствующих ПДК населенных </w:t>
      </w:r>
      <w:r>
        <w:rPr>
          <w:rFonts w:ascii="Times New Roman" w:hAnsi="Times New Roman"/>
          <w:sz w:val="24"/>
          <w:szCs w:val="24"/>
        </w:rPr>
        <w:t xml:space="preserve">мест. </w:t>
      </w:r>
    </w:p>
    <w:p w:rsidR="00517711" w:rsidRDefault="00F815BE">
      <w:pPr>
        <w:spacing w:after="0" w:line="240" w:lineRule="auto"/>
        <w:ind w:firstLine="709"/>
        <w:jc w:val="both"/>
        <w:rPr>
          <w:rFonts w:ascii="Times New Roman" w:hAnsi="Times New Roman"/>
          <w:b/>
          <w:sz w:val="24"/>
          <w:szCs w:val="24"/>
          <w:u w:val="single"/>
        </w:rPr>
      </w:pPr>
      <w:r>
        <w:rPr>
          <w:rFonts w:ascii="Times New Roman" w:hAnsi="Times New Roman"/>
          <w:b/>
          <w:sz w:val="24"/>
          <w:szCs w:val="24"/>
          <w:u w:val="single"/>
        </w:rPr>
        <w:t>__________________________________________________________________________</w:t>
      </w:r>
    </w:p>
    <w:p w:rsidR="00517711" w:rsidRDefault="00F815BE">
      <w:pPr>
        <w:numPr>
          <w:ilvl w:val="0"/>
          <w:numId w:val="71"/>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Воронский А.В. Прикладная экология. - Ростов н/Д.: «Феникс», 1996</w:t>
      </w:r>
    </w:p>
    <w:p w:rsidR="00517711" w:rsidRDefault="00F815BE">
      <w:pPr>
        <w:numPr>
          <w:ilvl w:val="0"/>
          <w:numId w:val="71"/>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Научные проблемы охраны природы и экологии Электронный ресурс] // Экология и жизнь. Научно-популярный и образовательный журнал. – Режим доступа: http://www.ecolife.ru/arhiv/flash/11(3-1999).html</w:t>
      </w:r>
    </w:p>
    <w:p w:rsidR="00517711" w:rsidRDefault="00F815BE">
      <w:pPr>
        <w:numPr>
          <w:ilvl w:val="0"/>
          <w:numId w:val="71"/>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Организация УССУРИЙСКОЕ АТП ПАО «ПРИМОРАВТОТРАНС» [Электронный ресурс] // List-Org Каталог организаций. – Режим доступа: </w:t>
      </w:r>
      <w:hyperlink r:id="rId103" w:history="1">
        <w:r>
          <w:rPr>
            <w:rFonts w:cs="Times New Roman"/>
            <w:sz w:val="20"/>
            <w:szCs w:val="20"/>
            <w:lang w:eastAsia="ru-RU"/>
          </w:rPr>
          <w:t>http://www.list-org.com/company/850639</w:t>
        </w:r>
      </w:hyperlink>
    </w:p>
    <w:p w:rsidR="00517711" w:rsidRDefault="00F815BE">
      <w:pPr>
        <w:numPr>
          <w:ilvl w:val="0"/>
          <w:numId w:val="71"/>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Методика определения выбросов загрязняющих веществ в атмосферу при сжигании топлива в котлах производительностью менее 20 гкал в час Москва, 1999. Утверждена Госкомэкологии России 09.07.1999 г. [Электронный ресурс] // Библиотека нормативной документации – Режим доступа: </w:t>
      </w:r>
      <w:hyperlink r:id="rId104" w:history="1">
        <w:r>
          <w:rPr>
            <w:rFonts w:cs="Times New Roman"/>
            <w:sz w:val="20"/>
            <w:szCs w:val="20"/>
            <w:lang w:eastAsia="ru-RU"/>
          </w:rPr>
          <w:t>http://files.stroyinf.ru/Data2/1/4294849/4294849657.htm</w:t>
        </w:r>
      </w:hyperlink>
    </w:p>
    <w:p w:rsidR="00517711" w:rsidRDefault="00F815BE">
      <w:pPr>
        <w:numPr>
          <w:ilvl w:val="0"/>
          <w:numId w:val="71"/>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Методическое пособие по расчету, нормированию и контролю выбросов загрязняющих веществ в атмосферный воздух (Дополненное и переработанное), НИИ Атмосфера, Санкт-Петербург, 2005 год. [Электронный ресурс] // Библиотека нормативной документации – Режим доступа: </w:t>
      </w:r>
      <w:hyperlink r:id="rId105" w:history="1">
        <w:r>
          <w:rPr>
            <w:rFonts w:cs="Times New Roman"/>
            <w:sz w:val="20"/>
            <w:szCs w:val="20"/>
            <w:lang w:eastAsia="ru-RU"/>
          </w:rPr>
          <w:t>http://files.stroyinf.ru/data2/1/4293852/4293852098.htm</w:t>
        </w:r>
      </w:hyperlink>
    </w:p>
    <w:p w:rsidR="00517711" w:rsidRDefault="00F815BE">
      <w:pPr>
        <w:numPr>
          <w:ilvl w:val="0"/>
          <w:numId w:val="71"/>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Методическое пособие по расчету выбросов от неорганизованных источников в промышленности строительных материалов, Новороссийск, 2001 [Электронный ресурс] // Библиотека нормативной документации – Режим доступа: </w:t>
      </w:r>
      <w:hyperlink r:id="rId106" w:history="1">
        <w:r>
          <w:rPr>
            <w:rFonts w:cs="Times New Roman"/>
            <w:sz w:val="20"/>
            <w:szCs w:val="20"/>
            <w:lang w:eastAsia="ru-RU"/>
          </w:rPr>
          <w:t>http://files.stroyinf.ru/Data2/1/4293837/4293837763.pdf</w:t>
        </w:r>
      </w:hyperlink>
    </w:p>
    <w:p w:rsidR="00517711" w:rsidRDefault="00F815BE">
      <w:pPr>
        <w:numPr>
          <w:ilvl w:val="0"/>
          <w:numId w:val="71"/>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lastRenderedPageBreak/>
        <w:t>Методика проведения инвентаризации выбросов загрязняющих веществ в атмосферу для автотранспортных предприятий (расчетным методом). М., 1998 г. [Электронный ресурс] // Библиотека нормативной документации – Режим доступа: http://files.stroyinf.ru/Data1/7/7074/</w:t>
      </w:r>
    </w:p>
    <w:p w:rsidR="00517711" w:rsidRDefault="00F815BE">
      <w:pPr>
        <w:numPr>
          <w:ilvl w:val="0"/>
          <w:numId w:val="71"/>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Диоксид серы. Российская энциклопедия по охране труда // Академик: – Режим доступа: </w:t>
      </w:r>
      <w:hyperlink r:id="rId107" w:history="1">
        <w:r>
          <w:rPr>
            <w:rFonts w:cs="Times New Roman"/>
            <w:sz w:val="20"/>
            <w:szCs w:val="20"/>
            <w:lang w:eastAsia="ru-RU"/>
          </w:rPr>
          <w:t>https://dic.academic.ru/dic.nsf/ruwiki/901061</w:t>
        </w:r>
      </w:hyperlink>
    </w:p>
    <w:p w:rsidR="00517711" w:rsidRDefault="00F815BE">
      <w:pPr>
        <w:numPr>
          <w:ilvl w:val="0"/>
          <w:numId w:val="71"/>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Оксид углерода. Российская энциклопедия по охране труда // Академик: – Режим доступа: </w:t>
      </w:r>
      <w:hyperlink r:id="rId108" w:history="1">
        <w:r>
          <w:rPr>
            <w:rFonts w:cs="Times New Roman"/>
            <w:sz w:val="20"/>
            <w:szCs w:val="20"/>
            <w:lang w:eastAsia="ru-RU"/>
          </w:rPr>
          <w:t>https://dic.academic.ru/dic.nsf/ruwiki/1073603</w:t>
        </w:r>
      </w:hyperlink>
    </w:p>
    <w:p w:rsidR="00517711" w:rsidRDefault="00F815BE">
      <w:pPr>
        <w:numPr>
          <w:ilvl w:val="0"/>
          <w:numId w:val="71"/>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Химическая энциклопедия / Редкол.: Кнунянц И.Л. и др.. — М.: Советская энциклопедия, 1988. — Т. 1 (Абл-Дар). — 623 с.</w:t>
      </w:r>
    </w:p>
    <w:p w:rsidR="00517711" w:rsidRDefault="00517711">
      <w:pPr>
        <w:numPr>
          <w:ilvl w:val="0"/>
          <w:numId w:val="71"/>
        </w:numPr>
        <w:spacing w:after="0" w:line="240" w:lineRule="auto"/>
        <w:ind w:left="0" w:firstLine="397"/>
        <w:jc w:val="both"/>
        <w:rPr>
          <w:rFonts w:ascii="Times New Roman" w:hAnsi="Times New Roman" w:cs="Times New Roman"/>
          <w:sz w:val="20"/>
          <w:szCs w:val="20"/>
          <w:lang w:eastAsia="ru-RU"/>
        </w:rPr>
      </w:pPr>
    </w:p>
    <w:p w:rsidR="00517711" w:rsidRDefault="00517711">
      <w:pPr>
        <w:spacing w:after="0" w:line="240" w:lineRule="auto"/>
        <w:jc w:val="both"/>
        <w:rPr>
          <w:rFonts w:ascii="Times New Roman" w:hAnsi="Times New Roman"/>
          <w:b/>
          <w:color w:val="000000"/>
          <w:sz w:val="20"/>
          <w:szCs w:val="24"/>
          <w:lang w:eastAsia="ru-RU"/>
        </w:rPr>
      </w:pPr>
    </w:p>
    <w:p w:rsidR="00517711" w:rsidRDefault="00F815BE">
      <w:pPr>
        <w:spacing w:after="0" w:line="240" w:lineRule="auto"/>
        <w:jc w:val="both"/>
        <w:rPr>
          <w:rFonts w:ascii="Times New Roman" w:hAnsi="Times New Roman"/>
          <w:b/>
          <w:color w:val="000000"/>
          <w:sz w:val="20"/>
          <w:szCs w:val="24"/>
          <w:lang w:eastAsia="ru-RU"/>
        </w:rPr>
      </w:pPr>
      <w:r>
        <w:rPr>
          <w:rFonts w:ascii="Times New Roman" w:hAnsi="Times New Roman"/>
          <w:b/>
          <w:color w:val="000000"/>
          <w:sz w:val="20"/>
          <w:szCs w:val="24"/>
          <w:lang w:eastAsia="ru-RU"/>
        </w:rPr>
        <w:t>Рубрика: Общая экология.</w:t>
      </w:r>
    </w:p>
    <w:p w:rsidR="00517711" w:rsidRDefault="00517711">
      <w:pPr>
        <w:spacing w:after="0" w:line="240" w:lineRule="auto"/>
        <w:ind w:firstLine="709"/>
        <w:jc w:val="both"/>
        <w:rPr>
          <w:rFonts w:ascii="Times New Roman" w:hAnsi="Times New Roman"/>
          <w:color w:val="000000"/>
          <w:sz w:val="20"/>
          <w:szCs w:val="24"/>
          <w:lang w:eastAsia="ru-RU"/>
        </w:rPr>
      </w:pPr>
    </w:p>
    <w:p w:rsidR="00517711" w:rsidRDefault="00F815BE">
      <w:pPr>
        <w:spacing w:after="0" w:line="240" w:lineRule="auto"/>
        <w:jc w:val="both"/>
        <w:rPr>
          <w:rFonts w:ascii="Times New Roman" w:hAnsi="Times New Roman"/>
          <w:color w:val="000000"/>
          <w:sz w:val="20"/>
          <w:szCs w:val="24"/>
          <w:lang w:eastAsia="ru-RU"/>
        </w:rPr>
      </w:pPr>
      <w:r>
        <w:rPr>
          <w:rFonts w:ascii="Times New Roman" w:hAnsi="Times New Roman"/>
          <w:color w:val="000000"/>
          <w:sz w:val="20"/>
          <w:szCs w:val="24"/>
          <w:lang w:eastAsia="ru-RU"/>
        </w:rPr>
        <w:t>УДК 574.22</w:t>
      </w:r>
    </w:p>
    <w:p w:rsidR="00517711" w:rsidRDefault="00517711">
      <w:pPr>
        <w:spacing w:after="0" w:line="240" w:lineRule="auto"/>
        <w:ind w:firstLine="709"/>
        <w:jc w:val="both"/>
        <w:rPr>
          <w:rFonts w:ascii="Times New Roman" w:hAnsi="Times New Roman"/>
          <w:color w:val="000000"/>
          <w:sz w:val="24"/>
          <w:szCs w:val="24"/>
          <w:lang w:eastAsia="ru-RU"/>
        </w:rPr>
      </w:pPr>
    </w:p>
    <w:p w:rsidR="00517711" w:rsidRDefault="00F815BE">
      <w:pPr>
        <w:spacing w:after="0" w:line="240" w:lineRule="auto"/>
        <w:jc w:val="center"/>
        <w:rPr>
          <w:rFonts w:ascii="Book Antiqua" w:hAnsi="Book Antiqua"/>
          <w:b/>
          <w:sz w:val="26"/>
          <w:szCs w:val="26"/>
        </w:rPr>
      </w:pPr>
      <w:r>
        <w:rPr>
          <w:rFonts w:ascii="Book Antiqua" w:hAnsi="Book Antiqua"/>
          <w:b/>
          <w:color w:val="000000"/>
          <w:sz w:val="26"/>
          <w:szCs w:val="26"/>
          <w:lang w:eastAsia="ru-RU"/>
        </w:rPr>
        <w:t>ВОЗДЕЙСТВИЕ ВЫБРОСОВ ЗАГРЯЗНЯЮЩИХ ВЕЩЕСТВ НА АТМОСФЕРНЫЙ ВОЗДУХ НА ПРИМЕРЕ ПРЕДПРИЯТИЯ «УССУРИЙСКАЯ ГРУЗОВАЯ АВТОСТАНЦИЯ ПАО «ПРИМОРАВТОТРАНС»</w:t>
      </w:r>
    </w:p>
    <w:p w:rsidR="00517711" w:rsidRDefault="00517711">
      <w:pPr>
        <w:spacing w:after="0" w:line="240" w:lineRule="auto"/>
        <w:ind w:firstLine="709"/>
        <w:jc w:val="both"/>
        <w:rPr>
          <w:rFonts w:ascii="Times New Roman" w:hAnsi="Times New Roman"/>
          <w:sz w:val="24"/>
          <w:szCs w:val="24"/>
        </w:rPr>
      </w:pPr>
    </w:p>
    <w:p w:rsidR="00517711" w:rsidRDefault="00F815BE">
      <w:pPr>
        <w:spacing w:after="0" w:line="240" w:lineRule="auto"/>
        <w:jc w:val="center"/>
        <w:rPr>
          <w:rFonts w:ascii="Arial" w:hAnsi="Arial" w:cs="Arial"/>
          <w:b/>
          <w:sz w:val="24"/>
          <w:szCs w:val="24"/>
        </w:rPr>
      </w:pPr>
      <w:r>
        <w:rPr>
          <w:rFonts w:ascii="Arial" w:hAnsi="Arial" w:cs="Arial"/>
          <w:b/>
          <w:sz w:val="24"/>
          <w:szCs w:val="24"/>
        </w:rPr>
        <w:t>Андрейченко Александр Андреевич</w:t>
      </w:r>
    </w:p>
    <w:p w:rsidR="00517711" w:rsidRDefault="00F815BE">
      <w:pPr>
        <w:spacing w:after="0" w:line="240" w:lineRule="auto"/>
        <w:jc w:val="center"/>
        <w:rPr>
          <w:rFonts w:ascii="Arial" w:hAnsi="Arial" w:cs="Arial"/>
          <w:sz w:val="24"/>
          <w:szCs w:val="24"/>
        </w:rPr>
      </w:pPr>
      <w:r>
        <w:rPr>
          <w:rFonts w:ascii="Arial" w:hAnsi="Arial" w:cs="Arial"/>
          <w:sz w:val="24"/>
          <w:szCs w:val="24"/>
        </w:rPr>
        <w:t>Бакалавр</w:t>
      </w:r>
    </w:p>
    <w:p w:rsidR="00517711" w:rsidRDefault="00517711">
      <w:pPr>
        <w:spacing w:after="0" w:line="240" w:lineRule="auto"/>
        <w:jc w:val="center"/>
        <w:rPr>
          <w:rFonts w:ascii="Times New Roman" w:hAnsi="Times New Roman"/>
          <w:sz w:val="24"/>
          <w:szCs w:val="24"/>
        </w:rPr>
      </w:pPr>
    </w:p>
    <w:p w:rsidR="00517711" w:rsidRDefault="00F815BE">
      <w:pPr>
        <w:spacing w:after="0" w:line="240" w:lineRule="auto"/>
        <w:jc w:val="center"/>
        <w:rPr>
          <w:rFonts w:ascii="Times New Roman" w:hAnsi="Times New Roman"/>
          <w:i/>
          <w:szCs w:val="24"/>
        </w:rPr>
      </w:pPr>
      <w:r>
        <w:rPr>
          <w:rFonts w:ascii="Times New Roman" w:hAnsi="Times New Roman"/>
          <w:i/>
          <w:szCs w:val="24"/>
        </w:rPr>
        <w:t>Владивостокский государственный университет экономики и сервиса</w:t>
      </w:r>
    </w:p>
    <w:p w:rsidR="00517711" w:rsidRDefault="00F815BE">
      <w:pPr>
        <w:spacing w:after="0" w:line="240" w:lineRule="auto"/>
        <w:jc w:val="center"/>
        <w:rPr>
          <w:rFonts w:ascii="Times New Roman" w:hAnsi="Times New Roman"/>
          <w:i/>
          <w:szCs w:val="24"/>
        </w:rPr>
      </w:pPr>
      <w:r>
        <w:rPr>
          <w:rFonts w:ascii="Times New Roman" w:hAnsi="Times New Roman"/>
          <w:i/>
          <w:szCs w:val="24"/>
        </w:rPr>
        <w:t>Россия. Владивосток</w:t>
      </w:r>
    </w:p>
    <w:p w:rsidR="00517711" w:rsidRDefault="00517711">
      <w:pPr>
        <w:spacing w:after="0" w:line="240" w:lineRule="auto"/>
        <w:jc w:val="center"/>
        <w:rPr>
          <w:rFonts w:ascii="Times New Roman" w:hAnsi="Times New Roman"/>
          <w:sz w:val="24"/>
          <w:szCs w:val="24"/>
        </w:rPr>
      </w:pPr>
    </w:p>
    <w:p w:rsidR="00517711" w:rsidRPr="00BD6187" w:rsidRDefault="00F815BE">
      <w:pPr>
        <w:spacing w:after="0" w:line="240" w:lineRule="auto"/>
        <w:jc w:val="center"/>
        <w:rPr>
          <w:rFonts w:ascii="Times New Roman" w:hAnsi="Times New Roman"/>
          <w:sz w:val="20"/>
          <w:szCs w:val="24"/>
        </w:rPr>
      </w:pPr>
      <w:r>
        <w:rPr>
          <w:rFonts w:ascii="Times New Roman" w:hAnsi="Times New Roman"/>
          <w:sz w:val="20"/>
          <w:szCs w:val="24"/>
          <w:lang w:val="en-US"/>
        </w:rPr>
        <w:t>E</w:t>
      </w:r>
      <w:r w:rsidRPr="00BD6187">
        <w:rPr>
          <w:rFonts w:ascii="Times New Roman" w:hAnsi="Times New Roman"/>
          <w:sz w:val="20"/>
          <w:szCs w:val="24"/>
        </w:rPr>
        <w:t>-</w:t>
      </w:r>
      <w:r>
        <w:rPr>
          <w:rFonts w:ascii="Times New Roman" w:hAnsi="Times New Roman"/>
          <w:sz w:val="20"/>
          <w:szCs w:val="24"/>
          <w:lang w:val="en-US"/>
        </w:rPr>
        <w:t>mail</w:t>
      </w:r>
      <w:r w:rsidRPr="00BD6187">
        <w:rPr>
          <w:rFonts w:ascii="Times New Roman" w:hAnsi="Times New Roman"/>
          <w:sz w:val="20"/>
          <w:szCs w:val="24"/>
        </w:rPr>
        <w:t xml:space="preserve">: </w:t>
      </w:r>
      <w:r>
        <w:rPr>
          <w:rFonts w:ascii="Times New Roman" w:hAnsi="Times New Roman"/>
          <w:sz w:val="20"/>
          <w:szCs w:val="24"/>
          <w:lang w:val="en-US"/>
        </w:rPr>
        <w:t>lezax</w:t>
      </w:r>
      <w:r w:rsidRPr="00BD6187">
        <w:rPr>
          <w:rFonts w:ascii="Times New Roman" w:hAnsi="Times New Roman"/>
          <w:sz w:val="20"/>
          <w:szCs w:val="24"/>
        </w:rPr>
        <w:t>1@</w:t>
      </w:r>
      <w:r>
        <w:rPr>
          <w:rFonts w:ascii="Times New Roman" w:hAnsi="Times New Roman"/>
          <w:sz w:val="20"/>
          <w:szCs w:val="24"/>
          <w:lang w:val="en-US"/>
        </w:rPr>
        <w:t>mail</w:t>
      </w:r>
      <w:r w:rsidRPr="00BD6187">
        <w:rPr>
          <w:rFonts w:ascii="Times New Roman" w:hAnsi="Times New Roman"/>
          <w:sz w:val="20"/>
          <w:szCs w:val="24"/>
        </w:rPr>
        <w:t>.</w:t>
      </w:r>
      <w:r>
        <w:rPr>
          <w:rFonts w:ascii="Times New Roman" w:hAnsi="Times New Roman"/>
          <w:sz w:val="20"/>
          <w:szCs w:val="24"/>
          <w:lang w:val="en-US"/>
        </w:rPr>
        <w:t>ru</w:t>
      </w:r>
      <w:r w:rsidRPr="00BD6187">
        <w:rPr>
          <w:rFonts w:ascii="Times New Roman" w:hAnsi="Times New Roman"/>
          <w:sz w:val="20"/>
          <w:szCs w:val="24"/>
        </w:rPr>
        <w:t xml:space="preserve">; </w:t>
      </w:r>
      <w:r>
        <w:rPr>
          <w:rFonts w:ascii="Times New Roman" w:hAnsi="Times New Roman"/>
          <w:sz w:val="20"/>
          <w:szCs w:val="24"/>
        </w:rPr>
        <w:t>тел</w:t>
      </w:r>
      <w:r w:rsidRPr="00BD6187">
        <w:rPr>
          <w:rFonts w:ascii="Times New Roman" w:hAnsi="Times New Roman"/>
          <w:sz w:val="20"/>
          <w:szCs w:val="24"/>
        </w:rPr>
        <w:t>.: +79502864245</w:t>
      </w:r>
    </w:p>
    <w:p w:rsidR="00517711" w:rsidRDefault="00F815BE">
      <w:pPr>
        <w:spacing w:after="0" w:line="240" w:lineRule="auto"/>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517711">
      <w:pPr>
        <w:spacing w:after="0" w:line="240" w:lineRule="auto"/>
        <w:jc w:val="center"/>
        <w:rPr>
          <w:rFonts w:ascii="Times New Roman" w:hAnsi="Times New Roman"/>
          <w:sz w:val="24"/>
          <w:szCs w:val="24"/>
        </w:rPr>
      </w:pPr>
    </w:p>
    <w:p w:rsidR="00517711" w:rsidRDefault="00F815BE">
      <w:pPr>
        <w:spacing w:after="0" w:line="240" w:lineRule="auto"/>
        <w:ind w:firstLine="709"/>
        <w:jc w:val="both"/>
        <w:rPr>
          <w:rFonts w:ascii="Times New Roman" w:hAnsi="Times New Roman"/>
          <w:i/>
          <w:szCs w:val="24"/>
        </w:rPr>
      </w:pPr>
      <w:r>
        <w:rPr>
          <w:rFonts w:ascii="Times New Roman" w:hAnsi="Times New Roman"/>
          <w:i/>
          <w:szCs w:val="24"/>
        </w:rPr>
        <w:t>С развитием Дальневосточного региона России усиливается антропогенное воздействие на окружающую среду. Загрязнение атмосферного воздуха - это постоянный фактор воздействия на человека и окружающую среду. Для снижения уровня приземных концентраций вредных веществ необходим расчет и нормирование предельно допустимых выбросов.</w:t>
      </w:r>
    </w:p>
    <w:p w:rsidR="00517711" w:rsidRDefault="00F815BE">
      <w:pPr>
        <w:spacing w:after="0" w:line="240" w:lineRule="auto"/>
        <w:ind w:firstLine="709"/>
        <w:jc w:val="both"/>
        <w:rPr>
          <w:rFonts w:ascii="Times New Roman" w:hAnsi="Times New Roman"/>
          <w:i/>
          <w:szCs w:val="24"/>
        </w:rPr>
      </w:pPr>
      <w:r>
        <w:rPr>
          <w:rFonts w:ascii="Times New Roman" w:hAnsi="Times New Roman"/>
          <w:b/>
          <w:i/>
          <w:szCs w:val="24"/>
        </w:rPr>
        <w:t>Ключевые слова и словосочетания:</w:t>
      </w:r>
      <w:r>
        <w:rPr>
          <w:rFonts w:ascii="Times New Roman" w:hAnsi="Times New Roman"/>
          <w:szCs w:val="24"/>
        </w:rPr>
        <w:t xml:space="preserve"> </w:t>
      </w:r>
      <w:r>
        <w:rPr>
          <w:rFonts w:ascii="Times New Roman" w:hAnsi="Times New Roman"/>
          <w:i/>
          <w:szCs w:val="24"/>
        </w:rPr>
        <w:t>источник выбросов, приземная концентрация, загрязняющие вещества, атмосферный воздух, методика, контроль, поле рассеивания.</w:t>
      </w:r>
    </w:p>
    <w:p w:rsidR="00517711" w:rsidRDefault="00517711">
      <w:pPr>
        <w:spacing w:after="0" w:line="240" w:lineRule="auto"/>
        <w:ind w:firstLine="709"/>
        <w:jc w:val="both"/>
        <w:rPr>
          <w:rFonts w:ascii="Times New Roman" w:hAnsi="Times New Roman"/>
          <w:sz w:val="24"/>
          <w:szCs w:val="24"/>
        </w:rPr>
      </w:pPr>
    </w:p>
    <w:p w:rsidR="00517711" w:rsidRDefault="00F815BE">
      <w:pPr>
        <w:spacing w:after="0" w:line="240" w:lineRule="auto"/>
        <w:jc w:val="center"/>
        <w:rPr>
          <w:rFonts w:ascii="Book Antiqua" w:hAnsi="Book Antiqua"/>
          <w:b/>
          <w:sz w:val="26"/>
          <w:szCs w:val="26"/>
          <w:lang w:val="en-US"/>
        </w:rPr>
      </w:pPr>
      <w:r>
        <w:rPr>
          <w:rFonts w:ascii="Book Antiqua" w:hAnsi="Book Antiqua"/>
          <w:b/>
          <w:sz w:val="26"/>
          <w:szCs w:val="26"/>
          <w:lang w:val="en-US"/>
        </w:rPr>
        <w:t xml:space="preserve">IMPACT OF POLLUTANT EMISSIONS ON THE ATMOSPHERIC AIR ON THE EXAMPLE OF THE ENTERPRISE </w:t>
      </w:r>
    </w:p>
    <w:p w:rsidR="00517711" w:rsidRDefault="00F815BE">
      <w:pPr>
        <w:spacing w:after="0" w:line="240" w:lineRule="auto"/>
        <w:jc w:val="center"/>
        <w:rPr>
          <w:rFonts w:ascii="Book Antiqua" w:hAnsi="Book Antiqua"/>
          <w:b/>
          <w:sz w:val="26"/>
          <w:szCs w:val="26"/>
          <w:lang w:val="en-US"/>
        </w:rPr>
      </w:pPr>
      <w:r>
        <w:rPr>
          <w:rFonts w:ascii="Book Antiqua" w:hAnsi="Book Antiqua"/>
          <w:b/>
          <w:sz w:val="26"/>
          <w:szCs w:val="26"/>
          <w:lang w:val="en-US"/>
        </w:rPr>
        <w:t>«USSURIYSKS CARGO BUS STATION PJSC «PRIMORAVTOTRANS»</w:t>
      </w:r>
    </w:p>
    <w:p w:rsidR="00517711" w:rsidRDefault="00517711">
      <w:pPr>
        <w:spacing w:after="0" w:line="240" w:lineRule="auto"/>
        <w:ind w:firstLine="709"/>
        <w:jc w:val="both"/>
        <w:rPr>
          <w:rFonts w:ascii="Times New Roman" w:hAnsi="Times New Roman"/>
          <w:sz w:val="24"/>
          <w:szCs w:val="24"/>
          <w:lang w:val="en-US"/>
        </w:rPr>
      </w:pP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i/>
          <w:szCs w:val="24"/>
          <w:lang w:val="en-US"/>
        </w:rPr>
        <w:t>With the development of the Far Eastern region of Russia, the anthropogenic impact on the environment is increasing. Pollution of atmospheric air is a constant factor of influence on the person and environment. To reduce the level of surface concentrations of harmful substances, it is necessary to calculate and normalize the maximum allowable emissions.</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b/>
          <w:i/>
          <w:szCs w:val="24"/>
          <w:lang w:val="en-US"/>
        </w:rPr>
        <w:t>Keywords and word-combinations:</w:t>
      </w:r>
      <w:r>
        <w:rPr>
          <w:rFonts w:ascii="Times New Roman" w:hAnsi="Times New Roman"/>
          <w:i/>
          <w:szCs w:val="24"/>
          <w:lang w:val="en-US"/>
        </w:rPr>
        <w:t xml:space="preserve"> source of emissions, surface concentration, pollutants, atmospheric air, methodology, control, dispersion field.</w:t>
      </w:r>
    </w:p>
    <w:p w:rsidR="00517711" w:rsidRDefault="00517711">
      <w:pPr>
        <w:spacing w:after="0" w:line="240" w:lineRule="auto"/>
        <w:ind w:firstLine="709"/>
        <w:jc w:val="both"/>
        <w:rPr>
          <w:rFonts w:ascii="Times New Roman" w:hAnsi="Times New Roman"/>
          <w:sz w:val="24"/>
          <w:szCs w:val="24"/>
          <w:lang w:val="en-US"/>
        </w:rPr>
      </w:pP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Экологическая проблема номер один в Российской федерации – загрязнение окружающей среды. Под загрязнением атмосферы понимают присутствие в ней одного или более ингредиентов, или их комбинаций в таких количествах и в течение такого времени, что они могут принести вред здоровью или благосостоянию человека, или чрезмерно повлиять на сложившийся уклад жизни.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Особенностью загрязнителей атмосферы является их преимущественная локализация в сравнительно небольших географических районах – городах и других промышленных центрах. Скорость накопления вредных веществ превышает возможности самоочищения атмосферы.</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Актуальность проблемы загрязнения атмосферы заключатся в привнесении в атмосферный воздух новых нехарактерных для него физических, химических и биологических веществ или изменение их естественной концентрации [1]. Атмосферный воздух является самой важной жизнеобеспечивающей </w:t>
      </w:r>
      <w:r>
        <w:rPr>
          <w:rFonts w:ascii="Times New Roman" w:hAnsi="Times New Roman" w:cs="Times New Roman"/>
          <w:color w:val="000000" w:themeColor="text1"/>
          <w:sz w:val="20"/>
          <w:szCs w:val="20"/>
        </w:rPr>
        <w:lastRenderedPageBreak/>
        <w:t>природной средой и представляет собой смесь газов и аэрозолей приземного слоя атмосферы, сложившуюся в ходе эволюции Земли, деятельности человека и находящуюся за пределами жилых, производственных и иных помещений. Результаты экологических исследований, как в России, так и за рубежом, однозначно свидетельствуют о том, что загрязнение приземной атмосферы - самый мощный, постоянно действующий фактор воздействия на человека, пищевую цепь и окружающую среду. Атмосферный воздух имеет неограниченную емкость и играет роль наиболее подвижного, химически агрессивного и всепроникающего агента взаимодействия вблизи поверхности компонентов биосферы, гидросферы и литосферы [2].</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lang w:eastAsia="ru-RU"/>
        </w:rPr>
        <w:t xml:space="preserve">Уссурийская грузовая автостанция (УГС) расположена в Уссурийске и является структурной составляющей Уссурийского автотранспортного подразделения публичного акционерного общества «Приморавтотранс» и используется в качестве склада временного хранения грузов, приходящих для ПАО «Приморавтотранс» и дальнейшего распределения по подразделениям предприятия </w:t>
      </w:r>
      <w:r>
        <w:rPr>
          <w:rFonts w:ascii="Times New Roman" w:hAnsi="Times New Roman" w:cs="Times New Roman"/>
          <w:color w:val="000000" w:themeColor="text1"/>
          <w:sz w:val="20"/>
          <w:szCs w:val="20"/>
        </w:rPr>
        <w:t>[3].</w:t>
      </w:r>
    </w:p>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noProof/>
          <w:color w:val="000000" w:themeColor="text1"/>
          <w:sz w:val="20"/>
          <w:szCs w:val="20"/>
          <w:lang w:eastAsia="ru-RU"/>
        </w:rPr>
        <w:drawing>
          <wp:inline distT="0" distB="0" distL="0" distR="0">
            <wp:extent cx="4381498" cy="3924298"/>
            <wp:effectExtent l="0" t="0" r="0" b="0"/>
            <wp:docPr id="76" name="Рисунок 58" descr="\\sysprofiles.adm.vvsu.ru\emplprofiles$\grivanov\Desktop\2018 ГРИВАНОВ И\2018 ДИПЛОМЫ\2018 Андрейченко Александр\2018_Сведения о предприятии\УГС генплан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Рисунок 1" descr="\\sysprofiles.adm.vvsu.ru\emplprofiles$\grivanov\Desktop\2018 ГРИВАНОВ И\2018 ДИПЛОМЫ\2018 Андрейченко Александр\2018_Сведения о предприятии\УГС генплан_1.jpg"/>
                    <pic:cNvPicPr>
                      <a:picLocks noChangeAspect="1"/>
                    </pic:cNvPicPr>
                  </pic:nvPicPr>
                  <pic:blipFill>
                    <a:blip r:embed="rId101"/>
                    <a:stretch/>
                  </pic:blipFill>
                  <pic:spPr bwMode="auto">
                    <a:xfrm>
                      <a:off x="0" y="0"/>
                      <a:ext cx="4381500" cy="3924300"/>
                    </a:xfrm>
                    <a:prstGeom prst="rect">
                      <a:avLst/>
                    </a:prstGeom>
                    <a:noFill/>
                    <a:ln>
                      <a:noFill/>
                    </a:ln>
                  </pic:spPr>
                </pic:pic>
              </a:graphicData>
            </a:graphic>
          </wp:inline>
        </w:drawing>
      </w:r>
    </w:p>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Рисунок 1 – Расположение источников загрязнения атмосферы УГС.</w:t>
      </w:r>
    </w:p>
    <w:p w:rsidR="00517711" w:rsidRDefault="00517711">
      <w:pPr>
        <w:spacing w:after="0" w:line="240" w:lineRule="auto"/>
        <w:ind w:firstLine="709"/>
        <w:jc w:val="both"/>
        <w:rPr>
          <w:rFonts w:ascii="Times New Roman" w:hAnsi="Times New Roman" w:cs="Times New Roman"/>
          <w:color w:val="000000"/>
          <w:sz w:val="20"/>
          <w:szCs w:val="20"/>
        </w:rPr>
      </w:pP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На территории предприятия, помимо административно-бытового корпуса, ни имеющего источников загрязнения атмосферы расположены следующие объекты, оказывающие влияние на загрязнение атмосферы в районе расположения предприятия (рисунок 1):</w:t>
      </w:r>
    </w:p>
    <w:p w:rsidR="00517711" w:rsidRDefault="00F815BE">
      <w:pPr>
        <w:pStyle w:val="af4"/>
        <w:numPr>
          <w:ilvl w:val="0"/>
          <w:numId w:val="46"/>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Котельная.</w:t>
      </w:r>
    </w:p>
    <w:p w:rsidR="00517711" w:rsidRDefault="00F815BE">
      <w:pPr>
        <w:pStyle w:val="af4"/>
        <w:numPr>
          <w:ilvl w:val="0"/>
          <w:numId w:val="46"/>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Склад угля, используемого для котельной.</w:t>
      </w:r>
    </w:p>
    <w:p w:rsidR="00517711" w:rsidRDefault="00F815BE">
      <w:pPr>
        <w:pStyle w:val="af4"/>
        <w:numPr>
          <w:ilvl w:val="0"/>
          <w:numId w:val="46"/>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Склад золы.</w:t>
      </w:r>
    </w:p>
    <w:p w:rsidR="00517711" w:rsidRDefault="00F815BE">
      <w:pPr>
        <w:pStyle w:val="af4"/>
        <w:numPr>
          <w:ilvl w:val="0"/>
          <w:numId w:val="46"/>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Открытая стоянка автотранспорта.</w:t>
      </w:r>
    </w:p>
    <w:p w:rsidR="00517711" w:rsidRDefault="00F815BE">
      <w:pPr>
        <w:pStyle w:val="af4"/>
        <w:numPr>
          <w:ilvl w:val="0"/>
          <w:numId w:val="46"/>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Склад угля на 650 тонн</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Котельная служит для отопления административно бытового корпуса и работает только в отопительный период. В котельной установлено 2 котла, работающих на каменном угле. Годовой расход топлива 60 тонн.</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 результате сгорания топлива в атмосферный воздух выбрасываются 7 загрязняющих веществ (ЗВ): Азота диоксид (Азот (IV) оксид), Азот (II) оксид (Азота оксид), Углерод (Сажа), Сера диоксид-Ангидрид сернистый, Углерод оксид, Бенз/а/пирен (3,4-Бензпирен), Пыль неорганическая: 70-20% SiO2 в количестве 0,939196 т/год [4]. Распределение выбросов показано на рисунке 2.</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Как видно из рисунка наибольшая количество выбросов приходится на два вещества: Сера диоксид и Углерод оксид. Их доля составляет 81 %, а с веществом Азота диоксид возрастает до 93 %. Вклад остальных веществ незначителен. Продукты сгорания топлива выбрасываются через дымовую тубу диаметром 300 мм и высотой 22,0 м. Котельная является организованным источником [5]. Вклад этого источника в общее количество выбросов составляет 98,71 %.</w:t>
      </w:r>
    </w:p>
    <w:p w:rsidR="00517711" w:rsidRDefault="00517711">
      <w:pPr>
        <w:spacing w:after="0" w:line="240" w:lineRule="auto"/>
        <w:ind w:firstLine="709"/>
        <w:jc w:val="both"/>
        <w:rPr>
          <w:rFonts w:ascii="Times New Roman" w:hAnsi="Times New Roman" w:cs="Times New Roman"/>
          <w:color w:val="000000"/>
          <w:sz w:val="20"/>
          <w:szCs w:val="20"/>
        </w:rPr>
      </w:pPr>
    </w:p>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noProof/>
          <w:color w:val="000000" w:themeColor="text1"/>
          <w:sz w:val="20"/>
          <w:szCs w:val="20"/>
          <w:lang w:eastAsia="ru-RU"/>
        </w:rPr>
        <w:lastRenderedPageBreak/>
        <w:drawing>
          <wp:inline distT="0" distB="0" distL="0" distR="0">
            <wp:extent cx="4876798" cy="2933698"/>
            <wp:effectExtent l="0" t="0" r="0" b="0"/>
            <wp:docPr id="77" name="Диаграмм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Диаграмма 2"/>
                    <pic:cNvPicPr>
                      <a:picLocks noChangeAspect="1"/>
                    </pic:cNvPicPr>
                  </pic:nvPicPr>
                  <pic:blipFill>
                    <a:blip r:embed="rId102"/>
                    <a:srcRect l="-1575" t="-3587" r="-3653" b="-3914"/>
                    <a:stretch/>
                  </pic:blipFill>
                  <pic:spPr bwMode="auto">
                    <a:xfrm>
                      <a:off x="0" y="0"/>
                      <a:ext cx="4876800" cy="2933699"/>
                    </a:xfrm>
                    <a:prstGeom prst="rect">
                      <a:avLst/>
                    </a:prstGeom>
                    <a:noFill/>
                    <a:ln>
                      <a:noFill/>
                    </a:ln>
                  </pic:spPr>
                </pic:pic>
              </a:graphicData>
            </a:graphic>
          </wp:inline>
        </w:drawing>
      </w:r>
    </w:p>
    <w:p w:rsidR="00517711" w:rsidRDefault="00F815BE">
      <w:pPr>
        <w:spacing w:after="12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Рисунок 2 – распределение выбросов от котельной, т/год</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На складе угля хранится уголь марки 1Б, класса БПК. Уголь хранится в яме размерами 3х3х2,5 м. Подача угля в котельную и топку котла осуществляется вручную. Уголь завозится на предприятие и вывозится автотранспортом. В результате разгрузки и хранения в атмосферный воздух выбрасывает угольная пыль, которая нормируется как вещество Пыль неорганическая: до 20% SiO2 в количестве 0,000001 т/год [6]. Вклад этого источника в общее количество выбросов составляет менее 0,01%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Очаговые остатки вручную удаляются из котла и выносятся в закрытый контейнер. При ссыпании и хранении золы в атмосферный воздух выбрасывается вещество Пыль неорганическая: 70-20% SiO2 в количестве 0,000011 т/год [6]. Вклад этого источника в общее количество выбросов составляет менее 0,01%.</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На территории предприятия для парковки транспорта предназначена открытая неотапливаемая стоянка, рассчитанную на 4 автомобиля. При выезде, пробеге и въезде на стоянку в атмосферный воздух выбрасываются 6 загрязняющих веществ в количестве 0,012231 т/год [7]. Вклад этого источника в общее количество выбросов составляет 1,28 %.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 результате работы всех источников загрязнения предприятия в атмосферный воздух выбрасывается 10 загрязняющих веществ в количестве 0,952109 т/год. Максимальный вклад в количество выбросов вносят два вещества: Сера диоксид  – 0,389092 т/год или 41 % от общего количества выбросов и Углерод оксид  – 0,382211 т/год или 40 %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Сера диоксид - вещество 3 класса опасности, малоопасное с ПДК=0,5 мг/м</w:t>
      </w:r>
      <w:r>
        <w:rPr>
          <w:rFonts w:ascii="Times New Roman" w:hAnsi="Times New Roman" w:cs="Times New Roman"/>
          <w:color w:val="000000" w:themeColor="text1"/>
          <w:sz w:val="20"/>
          <w:szCs w:val="20"/>
          <w:vertAlign w:val="superscript"/>
        </w:rPr>
        <w:t>3</w:t>
      </w:r>
      <w:r>
        <w:rPr>
          <w:rFonts w:ascii="Times New Roman" w:hAnsi="Times New Roman" w:cs="Times New Roman"/>
          <w:color w:val="000000" w:themeColor="text1"/>
          <w:sz w:val="20"/>
          <w:szCs w:val="20"/>
        </w:rPr>
        <w:t>. Сера диоксид в нормальных условиях представляет собой бесцветный газ с характерным резким запахом (запах загорающейся спички), токсичен. Под давлением сжижается при комнатной температуре. Симптомы при отравлении сернистым газом — насморк, кашель, охриплость, першение в горле. При вдыхании сернистого газа более высокой концентрации — удушье, расстройство речи, затруднение глотания, рвота, возможен острый отёк лёгких [8].</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Углерод оксид (СО) — самая распространенная и наиболее значительная примесь атмосферы, называемая в быту угарным газом — бесцветный ядовитый газ без вкуса и запаха. СО - вещество 4 класса опасности, т.е. малоопасное, но далеко небезопасное. Угарный газ очень опасен, так как не имеет запаха и вызывает отравление и даже смерть. Основная масса выбросов СО образуется в процессе сжигания органического топлива, прежде всего в двигателях внутреннего сгорания. Признаки отравления: головная боль и головокружение; отмечается шум в ушах, одышка, сердцебиение, мерцание перед глазами, покраснение лица, общая слабость, тошнота, иногда рвота; в тяжёлых случаях судороги, потеря сознания, кома. Угарный газ - вещество 4 класса опасности, т.е. малоопасное, но далеко небезопасное. Токсическое действие оксида углерода (II) обусловлено образованием карбоксиге-моглобина - значительно более прочного карбонильного комплекса с гемоглобином, в сравнении с комплексом гемоглобина с кислородом (оксигемоглобином), блокируя, таким образом, процессы транспортировки кислорода и клеточного дыхания. Высокая концентрация СО в воздухе приводит к физиологическим изменениям в организме человека: ухудшение остроты зрения и способности оценивать длительность интервалов времени, нарушение психомоторных функций головного мозга, изменение деятельности сердца и легких, головные боли, сонливость, спазмы, нарушение дыхания, а концентрация более 750 мг/м</w:t>
      </w:r>
      <w:r>
        <w:rPr>
          <w:rFonts w:ascii="Times New Roman" w:hAnsi="Times New Roman" w:cs="Times New Roman"/>
          <w:color w:val="000000" w:themeColor="text1"/>
          <w:sz w:val="20"/>
          <w:szCs w:val="20"/>
          <w:vertAlign w:val="superscript"/>
        </w:rPr>
        <w:t>3</w:t>
      </w:r>
      <w:r>
        <w:rPr>
          <w:rFonts w:ascii="Times New Roman" w:hAnsi="Times New Roman" w:cs="Times New Roman"/>
          <w:color w:val="000000" w:themeColor="text1"/>
          <w:sz w:val="20"/>
          <w:szCs w:val="20"/>
        </w:rPr>
        <w:t xml:space="preserve"> — к смерти в течение одного часа [9].</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Но на окружающую среду наибольшее воздействие оказывают не эти вещества. Для оценки воздействия загрязняющих веществ на окружающую среду были проведены расчеты рассеивания загрязняющих веществ в атмосфере. Исходными данными для проведения расчетов являются инвентаризация источников выбросов предприятия, выполненная в соответствии с «Методическим пособием по расчету, </w:t>
      </w:r>
      <w:r>
        <w:rPr>
          <w:rFonts w:ascii="Times New Roman" w:hAnsi="Times New Roman" w:cs="Times New Roman"/>
          <w:color w:val="000000" w:themeColor="text1"/>
          <w:sz w:val="20"/>
          <w:szCs w:val="20"/>
        </w:rPr>
        <w:lastRenderedPageBreak/>
        <w:t xml:space="preserve">нормированию и контролю выбросов загрязняющих веществ в атмосферный воздух» [5]. Расчет рассеивания загрязняющих веществ в приземном слое атмосферы выполнен на ПК по унифицированной программе расчета концентраций в атмосферном воздухе </w:t>
      </w:r>
      <w:r>
        <w:rPr>
          <w:rFonts w:ascii="Times New Roman" w:hAnsi="Times New Roman" w:cs="Times New Roman"/>
          <w:bCs/>
          <w:color w:val="000000" w:themeColor="text1"/>
          <w:sz w:val="20"/>
          <w:szCs w:val="20"/>
        </w:rPr>
        <w:t>УПРЗА ЭКОЛОГ, версия 3.00 Copyright © 1990-2003 ФИРМА «ИНТЕГРАЛ»</w:t>
      </w:r>
      <w:r>
        <w:rPr>
          <w:rFonts w:ascii="Times New Roman" w:hAnsi="Times New Roman" w:cs="Times New Roman"/>
          <w:b/>
          <w:bCs/>
          <w:color w:val="000000" w:themeColor="text1"/>
          <w:sz w:val="20"/>
          <w:szCs w:val="20"/>
        </w:rPr>
        <w:t xml:space="preserve"> </w:t>
      </w:r>
      <w:r>
        <w:rPr>
          <w:rFonts w:ascii="Times New Roman" w:hAnsi="Times New Roman" w:cs="Times New Roman"/>
          <w:color w:val="000000" w:themeColor="text1"/>
          <w:sz w:val="20"/>
          <w:szCs w:val="20"/>
        </w:rPr>
        <w:t xml:space="preserve"> разработанной в соответствии с OHД-86 и согласованной с ГГО им. А.И. Воейкова, которая позволяет дать санитарно-гигиеническую оценку степени загрязнения приземного слоя атмосферы вредными веществами. Как показали расчеты наибольшую приземную концентрацию вносит вещество Азота диоксид (Азот (IV) оксид). Доля его выбросов в общем количестве 12 % или 0,113636 т/год, что более чем в три раза меньше, ем диоксид серы и оксид углерода. Но азота диоксид наиболее токсичен из этих трех веществ. Его ПДК=0,2 мг/м</w:t>
      </w:r>
      <w:r>
        <w:rPr>
          <w:rFonts w:ascii="Times New Roman" w:hAnsi="Times New Roman" w:cs="Times New Roman"/>
          <w:color w:val="000000" w:themeColor="text1"/>
          <w:sz w:val="20"/>
          <w:szCs w:val="20"/>
          <w:vertAlign w:val="superscript"/>
        </w:rPr>
        <w:t>3</w:t>
      </w:r>
      <w:r>
        <w:rPr>
          <w:rFonts w:ascii="Times New Roman" w:hAnsi="Times New Roman" w:cs="Times New Roman"/>
          <w:color w:val="000000" w:themeColor="text1"/>
          <w:sz w:val="20"/>
          <w:szCs w:val="20"/>
        </w:rPr>
        <w:t xml:space="preserve">, что гораздо ниже, чем у диоксида серы и оксида углерода. Именно, поэтому у этого вещества самая высокая приземная концентрация - 0,22 доли ПДК. Для окружающей среды и человека такое значение не представляет опасности.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Азота диоксид (Азот (IV) оксид) - бурый газ, токсичен, тяжелее воздуха, легко сжижается. Он раздражает дыхательные пути и угнетает аэробное окисление в легочной ткани, что приводит к развитию токсического отёка легких. </w:t>
      </w:r>
      <w:r>
        <w:rPr>
          <w:rFonts w:ascii="Times New Roman" w:hAnsi="Times New Roman" w:cs="Times New Roman"/>
          <w:color w:val="000000" w:themeColor="text1"/>
          <w:sz w:val="20"/>
          <w:szCs w:val="20"/>
          <w:lang w:eastAsia="ru-RU"/>
        </w:rPr>
        <w:t>Диоксид азота сильно раздражает слизистые оболочки дыхательных путей. Вдыхание ядовитых паров диоксида азота может привести к серьезному отравлению. Диоксид азота вызывает сенсорные, функциональные и патологические эффекты. К сенсорным эффектам можно отнести обонятельные и зрительные реакции организма на воздействие NO</w:t>
      </w:r>
      <w:r>
        <w:rPr>
          <w:rFonts w:ascii="Times New Roman" w:hAnsi="Times New Roman" w:cs="Times New Roman"/>
          <w:color w:val="000000" w:themeColor="text1"/>
          <w:sz w:val="20"/>
          <w:szCs w:val="20"/>
          <w:vertAlign w:val="subscript"/>
          <w:lang w:eastAsia="ru-RU"/>
        </w:rPr>
        <w:t>2</w:t>
      </w:r>
      <w:r>
        <w:rPr>
          <w:rFonts w:ascii="Times New Roman" w:hAnsi="Times New Roman" w:cs="Times New Roman"/>
          <w:color w:val="000000" w:themeColor="text1"/>
          <w:sz w:val="20"/>
          <w:szCs w:val="20"/>
          <w:lang w:eastAsia="ru-RU"/>
        </w:rPr>
        <w:t>. Даже при малых концентрациях, человек ощущает присутствие этого газа. Эта концентрация является порогом обнаружения диоксида азота. Однако способность организма обнаруживать NO</w:t>
      </w:r>
      <w:r>
        <w:rPr>
          <w:rFonts w:ascii="Times New Roman" w:hAnsi="Times New Roman" w:cs="Times New Roman"/>
          <w:color w:val="000000" w:themeColor="text1"/>
          <w:sz w:val="20"/>
          <w:szCs w:val="20"/>
          <w:vertAlign w:val="subscript"/>
          <w:lang w:eastAsia="ru-RU"/>
        </w:rPr>
        <w:t>2</w:t>
      </w:r>
      <w:r>
        <w:rPr>
          <w:rFonts w:ascii="Times New Roman" w:hAnsi="Times New Roman" w:cs="Times New Roman"/>
          <w:color w:val="000000" w:themeColor="text1"/>
          <w:sz w:val="20"/>
          <w:szCs w:val="20"/>
          <w:lang w:eastAsia="ru-RU"/>
        </w:rPr>
        <w:t xml:space="preserve"> пропадает после 10 минут вдыхания, но при этом ощущается чувство сухости и першения в горле. Хотя и эти признаки исчезают при продолжительном воздействии газа в концентрации, в 15 раз превышающей порог обнаружения. Таким образом, NO</w:t>
      </w:r>
      <w:r>
        <w:rPr>
          <w:rFonts w:ascii="Times New Roman" w:hAnsi="Times New Roman" w:cs="Times New Roman"/>
          <w:color w:val="000000" w:themeColor="text1"/>
          <w:sz w:val="20"/>
          <w:szCs w:val="20"/>
          <w:vertAlign w:val="subscript"/>
          <w:lang w:eastAsia="ru-RU"/>
        </w:rPr>
        <w:t xml:space="preserve">2 </w:t>
      </w:r>
      <w:r>
        <w:rPr>
          <w:rFonts w:ascii="Times New Roman" w:hAnsi="Times New Roman" w:cs="Times New Roman"/>
          <w:color w:val="000000" w:themeColor="text1"/>
          <w:sz w:val="20"/>
          <w:szCs w:val="20"/>
          <w:lang w:eastAsia="ru-RU"/>
        </w:rPr>
        <w:t>ослабляет обоняние. Патологические эффекты проявляются в том, что NO</w:t>
      </w:r>
      <w:r>
        <w:rPr>
          <w:rFonts w:ascii="Times New Roman" w:hAnsi="Times New Roman" w:cs="Times New Roman"/>
          <w:color w:val="000000" w:themeColor="text1"/>
          <w:sz w:val="20"/>
          <w:szCs w:val="20"/>
          <w:vertAlign w:val="subscript"/>
          <w:lang w:eastAsia="ru-RU"/>
        </w:rPr>
        <w:t>2</w:t>
      </w:r>
      <w:r>
        <w:rPr>
          <w:rFonts w:ascii="Times New Roman" w:hAnsi="Times New Roman" w:cs="Times New Roman"/>
          <w:color w:val="000000" w:themeColor="text1"/>
          <w:sz w:val="20"/>
          <w:szCs w:val="20"/>
          <w:lang w:eastAsia="ru-RU"/>
        </w:rPr>
        <w:t xml:space="preserve"> делает человека более восприимчивым к патогенам, вызывающим болезни дыхательных путей. У людей, подвергшихся воздействию высоких концентраций диоксида азота, чаще наблюдаются катар верхних дыхательных путей, бронхиты, круп и воспаление легких. Кроме того, диоксид азота сам по себе может стать причиной заболеваний дыхательных путей. Попадая в организм человека, NO</w:t>
      </w:r>
      <w:r>
        <w:rPr>
          <w:rFonts w:ascii="Times New Roman" w:hAnsi="Times New Roman" w:cs="Times New Roman"/>
          <w:color w:val="000000" w:themeColor="text1"/>
          <w:sz w:val="20"/>
          <w:szCs w:val="20"/>
          <w:vertAlign w:val="subscript"/>
          <w:lang w:eastAsia="ru-RU"/>
        </w:rPr>
        <w:t xml:space="preserve">2 </w:t>
      </w:r>
      <w:r>
        <w:rPr>
          <w:rFonts w:ascii="Times New Roman" w:hAnsi="Times New Roman" w:cs="Times New Roman"/>
          <w:color w:val="000000" w:themeColor="text1"/>
          <w:sz w:val="20"/>
          <w:szCs w:val="20"/>
          <w:lang w:eastAsia="ru-RU"/>
        </w:rPr>
        <w:t xml:space="preserve">при контакте с влагой образует азотистую и азотную кислоты, которые разъедают стенки альвеол легких. При этом стенки альвеол и кровеносных капилляров становятся настолько проницаемыми, что пропускают сыворотку крови в полость легких. В этой жидкости растворяется вдыхаемый воздух, образуя пену, препятствующую дальнейшему газообмену. Возникает отек легких, который зачастую ведет к летальному исходу. Длительное воздействие оксидов азота вызывает расширение клеток в корешках бронхов (тонких разветвлениях воздушных путей альвеол), ухудшение сопротивляемости легких к бактериям, а также расширение альвеол. Некоторые исследователи считают, что в районах с высоким содержанием в атмосфере диоксида азота наблюдается повышенная смертность от сердечных и раковых заболеваний </w:t>
      </w:r>
      <w:r>
        <w:rPr>
          <w:rFonts w:ascii="Times New Roman" w:hAnsi="Times New Roman" w:cs="Times New Roman"/>
          <w:color w:val="000000" w:themeColor="text1"/>
          <w:sz w:val="20"/>
          <w:szCs w:val="20"/>
        </w:rPr>
        <w:t>[10].</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По проведенному выше анализу расчетов рассеивания загрязняющих веществ в приземном слое атмосферы видно, что максимальные приземные концентрации загрязняющих веществ не превысили  максимально разовые предельно допустимые концентрации загрязняющих веществ. На основании этого, выбросы загрязняющих веществ, выделяемые источниками предприятия, предлагается принять в качестве нормативов ПДВ.</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Подводя итог вышесказанному, можно сделать следующие выводы:</w:t>
      </w:r>
    </w:p>
    <w:p w:rsidR="00517711" w:rsidRDefault="00F815BE">
      <w:pPr>
        <w:pStyle w:val="af4"/>
        <w:numPr>
          <w:ilvl w:val="0"/>
          <w:numId w:val="47"/>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Пять источников предприятия выбрасывают 10 загрязняющих веществ в количестве 0,952109 т/год.</w:t>
      </w:r>
    </w:p>
    <w:p w:rsidR="00517711" w:rsidRDefault="00F815BE">
      <w:pPr>
        <w:pStyle w:val="af4"/>
        <w:numPr>
          <w:ilvl w:val="0"/>
          <w:numId w:val="47"/>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Основным источником воздействия на окружающую среду является котельная. На ее долю приходится 98,7 % выбросов.</w:t>
      </w:r>
    </w:p>
    <w:p w:rsidR="00517711" w:rsidRDefault="00F815BE">
      <w:pPr>
        <w:pStyle w:val="af4"/>
        <w:numPr>
          <w:ilvl w:val="0"/>
          <w:numId w:val="47"/>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 xml:space="preserve">Наибольшая приземная концентрация приходится на вещество Азота диоксид (Азот (IV) оксид) и составляет 0,22 доли от соответствующих ПДК населенных мест. </w:t>
      </w:r>
    </w:p>
    <w:p w:rsidR="00517711" w:rsidRDefault="00517711">
      <w:pPr>
        <w:spacing w:after="0" w:line="240" w:lineRule="auto"/>
        <w:ind w:firstLine="709"/>
        <w:jc w:val="both"/>
        <w:rPr>
          <w:rFonts w:ascii="Times New Roman" w:hAnsi="Times New Roman" w:cs="Times New Roman"/>
          <w:color w:val="000000"/>
          <w:sz w:val="20"/>
          <w:szCs w:val="20"/>
        </w:rPr>
      </w:pPr>
    </w:p>
    <w:p w:rsidR="00517711" w:rsidRDefault="00F815BE">
      <w:pPr>
        <w:spacing w:after="0" w:line="240" w:lineRule="auto"/>
        <w:ind w:firstLine="709"/>
        <w:jc w:val="both"/>
        <w:rPr>
          <w:rFonts w:ascii="Times New Roman" w:hAnsi="Times New Roman" w:cs="Times New Roman"/>
          <w:b/>
          <w:color w:val="000000"/>
          <w:sz w:val="20"/>
          <w:szCs w:val="20"/>
          <w:u w:val="single"/>
        </w:rPr>
      </w:pPr>
      <w:r>
        <w:rPr>
          <w:rFonts w:ascii="Times New Roman" w:hAnsi="Times New Roman" w:cs="Times New Roman"/>
          <w:b/>
          <w:color w:val="000000" w:themeColor="text1"/>
          <w:sz w:val="20"/>
          <w:szCs w:val="20"/>
          <w:u w:val="single"/>
        </w:rPr>
        <w:t>__________________________________________________________________________</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1. Воронский А.В. Прикладная экология. - Ростов н/Д.: «Феникс», 1996</w:t>
      </w:r>
    </w:p>
    <w:p w:rsidR="00517711" w:rsidRDefault="00F815BE">
      <w:pPr>
        <w:spacing w:after="0" w:line="240" w:lineRule="auto"/>
        <w:ind w:firstLine="709"/>
        <w:jc w:val="both"/>
        <w:rPr>
          <w:rFonts w:ascii="Times New Roman" w:hAnsi="Times New Roman" w:cs="Times New Roman"/>
          <w:color w:val="000000"/>
          <w:sz w:val="20"/>
          <w:szCs w:val="20"/>
          <w:u w:val="single"/>
        </w:rPr>
      </w:pPr>
      <w:r>
        <w:rPr>
          <w:rFonts w:ascii="Times New Roman" w:hAnsi="Times New Roman" w:cs="Times New Roman"/>
          <w:color w:val="000000" w:themeColor="text1"/>
          <w:sz w:val="20"/>
          <w:szCs w:val="20"/>
        </w:rPr>
        <w:t xml:space="preserve">2.  Научные проблемы охраны природы и экологии Электронный ресурс] // Экология и жизнь. Научно-популярный и образовательный журнал. – Режим доступа: </w:t>
      </w:r>
      <w:r>
        <w:rPr>
          <w:rFonts w:ascii="Times New Roman" w:hAnsi="Times New Roman" w:cs="Times New Roman"/>
          <w:color w:val="000000" w:themeColor="text1"/>
          <w:sz w:val="20"/>
          <w:szCs w:val="20"/>
          <w:u w:val="single"/>
        </w:rPr>
        <w:t>http://www.ecolife.ru/arhiv/flash/11(3-1999).html</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3.  Организация УССУРИЙСКОЕ АТП ПАО «ПРИМОРАВТОТРАНС» [Электронный ресурс] // </w:t>
      </w:r>
      <w:r>
        <w:rPr>
          <w:rFonts w:ascii="Times New Roman" w:hAnsi="Times New Roman" w:cs="Times New Roman"/>
          <w:color w:val="000000" w:themeColor="text1"/>
          <w:sz w:val="20"/>
          <w:szCs w:val="20"/>
          <w:lang w:val="en-US"/>
        </w:rPr>
        <w:t>List</w:t>
      </w:r>
      <w:r>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lang w:val="en-US"/>
        </w:rPr>
        <w:t>Org</w:t>
      </w:r>
      <w:r>
        <w:rPr>
          <w:rFonts w:ascii="Times New Roman" w:hAnsi="Times New Roman" w:cs="Times New Roman"/>
          <w:color w:val="000000" w:themeColor="text1"/>
          <w:sz w:val="20"/>
          <w:szCs w:val="20"/>
        </w:rPr>
        <w:t xml:space="preserve"> Каталог организаций. – Режим доступа: </w:t>
      </w:r>
      <w:hyperlink r:id="rId109" w:history="1">
        <w:r>
          <w:rPr>
            <w:rStyle w:val="aa"/>
            <w:rFonts w:ascii="Times New Roman" w:hAnsi="Times New Roman" w:cs="Times New Roman"/>
            <w:color w:val="000000" w:themeColor="text1"/>
            <w:sz w:val="20"/>
            <w:szCs w:val="20"/>
          </w:rPr>
          <w:t>http://www.list-org.com/company/850639</w:t>
        </w:r>
      </w:hyperlink>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4. Методика определения выбросов загрязняющих веществ в атмосферу при сжигании топлива в котлах производительностью менее 20 гкал в час Москва, 1999. Утверждена Госкомэкологии России 09.07.1999 г. [Электронный ресурс] // Библиотека нормативной документации – Режим доступа: </w:t>
      </w:r>
      <w:hyperlink r:id="rId110" w:history="1">
        <w:r>
          <w:rPr>
            <w:rStyle w:val="aa"/>
            <w:rFonts w:ascii="Times New Roman" w:hAnsi="Times New Roman" w:cs="Times New Roman"/>
            <w:color w:val="000000" w:themeColor="text1"/>
            <w:sz w:val="20"/>
            <w:szCs w:val="20"/>
          </w:rPr>
          <w:t>http://files.stroyinf.ru/Data2/1/4294849/4294849657.htm</w:t>
        </w:r>
      </w:hyperlink>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5. Методическое пособие по расчету, нормированию и контролю выбросов загрязняющих веществ в атмосферный воздух (Дополненное и переработанное), НИИ Атмосфера, Санкт-Петербург, 2005 год. [Электронный ресурс] // Библиотека нормативной документации – Режим доступа: </w:t>
      </w:r>
      <w:hyperlink r:id="rId111" w:history="1">
        <w:r>
          <w:rPr>
            <w:rStyle w:val="aa"/>
            <w:rFonts w:ascii="Times New Roman" w:hAnsi="Times New Roman" w:cs="Times New Roman"/>
            <w:color w:val="000000" w:themeColor="text1"/>
            <w:sz w:val="20"/>
            <w:szCs w:val="20"/>
          </w:rPr>
          <w:t>http://files.stroyinf.ru/data2/1/4293852/4293852098.htm</w:t>
        </w:r>
      </w:hyperlink>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6. Методическое пособие по расчету выбросов от неорганизованных источников в промышленности строительных материалов, Новороссийск, 2001 [Электронный ресурс] // Библиотека нормативной документации – Режим доступа: </w:t>
      </w:r>
      <w:hyperlink r:id="rId112" w:history="1">
        <w:r>
          <w:rPr>
            <w:rStyle w:val="aa"/>
            <w:rFonts w:ascii="Times New Roman" w:hAnsi="Times New Roman" w:cs="Times New Roman"/>
            <w:color w:val="000000" w:themeColor="text1"/>
            <w:sz w:val="20"/>
            <w:szCs w:val="20"/>
          </w:rPr>
          <w:t>http://files.stroyinf.ru/Data2/1/4293837/4293837763.pdf</w:t>
        </w:r>
      </w:hyperlink>
    </w:p>
    <w:p w:rsidR="00517711" w:rsidRDefault="00F815BE">
      <w:pPr>
        <w:spacing w:after="0" w:line="240" w:lineRule="auto"/>
        <w:ind w:firstLine="709"/>
        <w:jc w:val="both"/>
        <w:rPr>
          <w:rFonts w:ascii="Times New Roman" w:hAnsi="Times New Roman" w:cs="Times New Roman"/>
          <w:color w:val="000000"/>
          <w:sz w:val="20"/>
          <w:szCs w:val="20"/>
          <w:u w:val="single"/>
        </w:rPr>
      </w:pPr>
      <w:r>
        <w:rPr>
          <w:rFonts w:ascii="Times New Roman" w:hAnsi="Times New Roman" w:cs="Times New Roman"/>
          <w:color w:val="000000" w:themeColor="text1"/>
          <w:sz w:val="20"/>
          <w:szCs w:val="20"/>
        </w:rPr>
        <w:lastRenderedPageBreak/>
        <w:t xml:space="preserve">7. Методика проведения инвентаризации выбросов загрязняющих веществ в атмосферу для автотранспортных предприятий (расчетным методом). М., 1998 г. [Электронный ресурс] // Библиотека нормативной документации – Режим доступа: </w:t>
      </w:r>
      <w:r>
        <w:rPr>
          <w:rFonts w:ascii="Times New Roman" w:hAnsi="Times New Roman" w:cs="Times New Roman"/>
          <w:color w:val="000000" w:themeColor="text1"/>
          <w:sz w:val="20"/>
          <w:szCs w:val="20"/>
          <w:u w:val="single"/>
        </w:rPr>
        <w:t>http://files.stroyinf.ru/Data1/7/7074/</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8. Диоксид серы. Российская энциклопедия по охране труда // Академик: – Режим доступа: </w:t>
      </w:r>
      <w:hyperlink r:id="rId113" w:history="1">
        <w:r>
          <w:rPr>
            <w:rStyle w:val="aa"/>
            <w:rFonts w:ascii="Times New Roman" w:hAnsi="Times New Roman" w:cs="Times New Roman"/>
            <w:color w:val="000000" w:themeColor="text1"/>
            <w:sz w:val="20"/>
            <w:szCs w:val="20"/>
          </w:rPr>
          <w:t>https://dic.academic.ru/dic.nsf/ruwiki/901061</w:t>
        </w:r>
      </w:hyperlink>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9. Оксид углерода. Российская энциклопедия по охране труда // Академик: – Режим доступа: </w:t>
      </w:r>
      <w:hyperlink r:id="rId114" w:history="1">
        <w:r>
          <w:rPr>
            <w:rStyle w:val="aa"/>
            <w:rFonts w:ascii="Times New Roman" w:hAnsi="Times New Roman" w:cs="Times New Roman"/>
            <w:color w:val="000000" w:themeColor="text1"/>
            <w:sz w:val="20"/>
            <w:szCs w:val="20"/>
          </w:rPr>
          <w:t>https://dic.academic.ru/dic.nsf/ruwiki/1073603</w:t>
        </w:r>
      </w:hyperlink>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10. Химическая энциклопедия / Редкол.: Кнунянц И.Л. и др.. — М.: Советская энциклопедия, 1988. — Т. 1 (Абл-Дар). — 623 с.</w:t>
      </w:r>
    </w:p>
    <w:p w:rsidR="00517711" w:rsidRDefault="00517711">
      <w:pPr>
        <w:pStyle w:val="af6"/>
        <w:spacing w:before="0" w:beforeAutospacing="0" w:after="0" w:afterAutospacing="0"/>
        <w:jc w:val="both"/>
        <w:rPr>
          <w:b/>
          <w:color w:val="000000"/>
          <w:sz w:val="20"/>
        </w:rPr>
      </w:pPr>
    </w:p>
    <w:p w:rsidR="00517711" w:rsidRDefault="00F815BE">
      <w:pPr>
        <w:pStyle w:val="af6"/>
        <w:spacing w:before="0" w:beforeAutospacing="0" w:after="0" w:afterAutospacing="0"/>
        <w:jc w:val="both"/>
        <w:rPr>
          <w:b/>
          <w:color w:val="000000"/>
          <w:sz w:val="20"/>
        </w:rPr>
      </w:pPr>
      <w:r>
        <w:rPr>
          <w:b/>
          <w:color w:val="000000" w:themeColor="text1"/>
          <w:sz w:val="20"/>
        </w:rPr>
        <w:t>Рубрика: экология (по отраслям)</w:t>
      </w:r>
    </w:p>
    <w:p w:rsidR="00517711" w:rsidRDefault="00517711">
      <w:pPr>
        <w:pStyle w:val="af6"/>
        <w:spacing w:before="0" w:beforeAutospacing="0" w:after="0" w:afterAutospacing="0"/>
        <w:jc w:val="both"/>
        <w:rPr>
          <w:color w:val="000000"/>
          <w:sz w:val="20"/>
        </w:rPr>
      </w:pPr>
    </w:p>
    <w:p w:rsidR="00517711" w:rsidRDefault="00F815BE">
      <w:pPr>
        <w:pStyle w:val="af6"/>
        <w:spacing w:before="0" w:beforeAutospacing="0" w:after="0" w:afterAutospacing="0"/>
        <w:jc w:val="both"/>
        <w:rPr>
          <w:color w:val="000000"/>
          <w:sz w:val="20"/>
        </w:rPr>
      </w:pPr>
      <w:r>
        <w:rPr>
          <w:color w:val="000000" w:themeColor="text1"/>
          <w:sz w:val="20"/>
        </w:rPr>
        <w:t>УДК 504.05</w:t>
      </w:r>
    </w:p>
    <w:p w:rsidR="00517711" w:rsidRDefault="00517711">
      <w:pPr>
        <w:pStyle w:val="af6"/>
        <w:spacing w:before="120" w:beforeAutospacing="0" w:after="120" w:afterAutospacing="0"/>
        <w:jc w:val="center"/>
        <w:rPr>
          <w:rFonts w:ascii="Book Antiqua" w:hAnsi="Book Antiqua"/>
          <w:b/>
          <w:color w:val="000000"/>
          <w:sz w:val="26"/>
          <w:szCs w:val="26"/>
        </w:rPr>
      </w:pPr>
    </w:p>
    <w:p w:rsidR="00517711" w:rsidRDefault="00F815BE">
      <w:pPr>
        <w:pStyle w:val="af6"/>
        <w:spacing w:before="120" w:beforeAutospacing="0" w:after="120" w:afterAutospacing="0"/>
        <w:jc w:val="center"/>
        <w:rPr>
          <w:rFonts w:ascii="Book Antiqua" w:hAnsi="Book Antiqua"/>
          <w:b/>
          <w:color w:val="000000"/>
          <w:sz w:val="26"/>
          <w:szCs w:val="26"/>
        </w:rPr>
      </w:pPr>
      <w:r>
        <w:rPr>
          <w:rFonts w:ascii="Book Antiqua" w:hAnsi="Book Antiqua"/>
          <w:b/>
          <w:color w:val="000000" w:themeColor="text1"/>
          <w:sz w:val="26"/>
          <w:szCs w:val="26"/>
        </w:rPr>
        <w:t>УПРАВЛЕНИЕ ОТХОДАМИ НА ПРИМЕРЕ ПРЕДПРИЯТИЯ ПИЩЕВОЙ ОТРАСЛИ ПРИМОРСКОГО КРАЯ</w:t>
      </w:r>
    </w:p>
    <w:p w:rsidR="00517711" w:rsidRDefault="00517711">
      <w:pPr>
        <w:pStyle w:val="af6"/>
        <w:spacing w:before="120" w:beforeAutospacing="0" w:after="0" w:afterAutospacing="0"/>
        <w:jc w:val="center"/>
        <w:rPr>
          <w:rFonts w:ascii="Arial" w:hAnsi="Arial" w:cs="Arial"/>
          <w:color w:val="000000"/>
        </w:rPr>
      </w:pPr>
    </w:p>
    <w:p w:rsidR="00517711" w:rsidRDefault="00F815BE">
      <w:pPr>
        <w:pStyle w:val="af6"/>
        <w:spacing w:before="0" w:beforeAutospacing="0" w:after="0" w:afterAutospacing="0"/>
        <w:jc w:val="center"/>
        <w:rPr>
          <w:rFonts w:ascii="Arial" w:hAnsi="Arial" w:cs="Arial"/>
          <w:b/>
          <w:color w:val="000000"/>
        </w:rPr>
      </w:pPr>
      <w:r>
        <w:rPr>
          <w:rFonts w:ascii="Arial" w:hAnsi="Arial" w:cs="Arial"/>
          <w:b/>
          <w:color w:val="000000" w:themeColor="text1"/>
        </w:rPr>
        <w:t>Арабханова Эльвира Сафералиевна</w:t>
      </w:r>
    </w:p>
    <w:p w:rsidR="00517711" w:rsidRDefault="00F815BE">
      <w:pPr>
        <w:pStyle w:val="af6"/>
        <w:spacing w:before="0" w:beforeAutospacing="0" w:after="0" w:afterAutospacing="0"/>
        <w:jc w:val="center"/>
        <w:rPr>
          <w:rFonts w:ascii="Arial" w:hAnsi="Arial" w:cs="Arial"/>
          <w:color w:val="000000"/>
        </w:rPr>
      </w:pPr>
      <w:r>
        <w:rPr>
          <w:rFonts w:ascii="Arial" w:hAnsi="Arial" w:cs="Arial"/>
          <w:color w:val="000000" w:themeColor="text1"/>
        </w:rPr>
        <w:t>бакалавр</w:t>
      </w:r>
    </w:p>
    <w:p w:rsidR="00517711" w:rsidRDefault="00517711">
      <w:pPr>
        <w:pStyle w:val="af6"/>
        <w:spacing w:before="0" w:beforeAutospacing="0" w:after="0" w:afterAutospacing="0"/>
        <w:jc w:val="center"/>
        <w:rPr>
          <w:i/>
          <w:color w:val="000000"/>
          <w:sz w:val="22"/>
        </w:rPr>
      </w:pPr>
    </w:p>
    <w:p w:rsidR="00517711" w:rsidRDefault="00F815BE">
      <w:pPr>
        <w:pStyle w:val="af6"/>
        <w:spacing w:before="0" w:beforeAutospacing="0" w:after="0" w:afterAutospacing="0"/>
        <w:jc w:val="center"/>
        <w:rPr>
          <w:i/>
          <w:color w:val="000000"/>
          <w:sz w:val="22"/>
        </w:rPr>
      </w:pPr>
      <w:r>
        <w:rPr>
          <w:i/>
          <w:color w:val="000000" w:themeColor="text1"/>
          <w:sz w:val="22"/>
        </w:rPr>
        <w:t>Владивостокский государственный университет экономики и сервиса</w:t>
      </w:r>
    </w:p>
    <w:p w:rsidR="00517711" w:rsidRDefault="00F815BE">
      <w:pPr>
        <w:pStyle w:val="af6"/>
        <w:spacing w:before="0" w:beforeAutospacing="0" w:after="0" w:afterAutospacing="0"/>
        <w:jc w:val="center"/>
        <w:rPr>
          <w:i/>
          <w:color w:val="000000"/>
          <w:sz w:val="22"/>
        </w:rPr>
      </w:pPr>
      <w:r>
        <w:rPr>
          <w:i/>
          <w:color w:val="000000" w:themeColor="text1"/>
          <w:sz w:val="22"/>
        </w:rPr>
        <w:t>Россия. Владивосток</w:t>
      </w:r>
    </w:p>
    <w:p w:rsidR="00517711" w:rsidRDefault="00517711">
      <w:pPr>
        <w:pStyle w:val="af6"/>
        <w:spacing w:before="0" w:beforeAutospacing="0" w:after="0" w:afterAutospacing="0"/>
        <w:jc w:val="center"/>
        <w:rPr>
          <w:color w:val="000000"/>
          <w:sz w:val="20"/>
        </w:rPr>
      </w:pPr>
    </w:p>
    <w:p w:rsidR="00517711" w:rsidRPr="00BD6187" w:rsidRDefault="00F815BE">
      <w:pPr>
        <w:pStyle w:val="af6"/>
        <w:spacing w:before="0" w:beforeAutospacing="0" w:after="0" w:afterAutospacing="0"/>
        <w:jc w:val="center"/>
        <w:rPr>
          <w:color w:val="000000"/>
          <w:sz w:val="20"/>
        </w:rPr>
      </w:pPr>
      <w:r>
        <w:rPr>
          <w:color w:val="000000" w:themeColor="text1"/>
          <w:sz w:val="20"/>
          <w:lang w:val="en-US"/>
        </w:rPr>
        <w:t>E</w:t>
      </w:r>
      <w:r w:rsidRPr="00BD6187">
        <w:rPr>
          <w:color w:val="000000" w:themeColor="text1"/>
          <w:sz w:val="20"/>
        </w:rPr>
        <w:t>–</w:t>
      </w:r>
      <w:r>
        <w:rPr>
          <w:color w:val="000000" w:themeColor="text1"/>
          <w:sz w:val="20"/>
          <w:lang w:val="en-US"/>
        </w:rPr>
        <w:t>mail</w:t>
      </w:r>
      <w:r w:rsidRPr="00BD6187">
        <w:rPr>
          <w:color w:val="000000" w:themeColor="text1"/>
          <w:sz w:val="20"/>
        </w:rPr>
        <w:t xml:space="preserve">: </w:t>
      </w:r>
      <w:r>
        <w:rPr>
          <w:color w:val="000000" w:themeColor="text1"/>
          <w:sz w:val="20"/>
          <w:lang w:val="en-US"/>
        </w:rPr>
        <w:t>Elvira</w:t>
      </w:r>
      <w:r w:rsidRPr="00BD6187">
        <w:rPr>
          <w:color w:val="000000" w:themeColor="text1"/>
          <w:sz w:val="20"/>
        </w:rPr>
        <w:t>.</w:t>
      </w:r>
      <w:r>
        <w:rPr>
          <w:color w:val="000000" w:themeColor="text1"/>
          <w:sz w:val="20"/>
          <w:lang w:val="en-US"/>
        </w:rPr>
        <w:t>arabkhanova</w:t>
      </w:r>
      <w:r w:rsidRPr="00BD6187">
        <w:rPr>
          <w:color w:val="000000" w:themeColor="text1"/>
          <w:sz w:val="20"/>
        </w:rPr>
        <w:t>@</w:t>
      </w:r>
      <w:r>
        <w:rPr>
          <w:color w:val="000000" w:themeColor="text1"/>
          <w:sz w:val="20"/>
          <w:lang w:val="en-US"/>
        </w:rPr>
        <w:t>gmail</w:t>
      </w:r>
      <w:r w:rsidRPr="00BD6187">
        <w:rPr>
          <w:color w:val="000000" w:themeColor="text1"/>
          <w:sz w:val="20"/>
        </w:rPr>
        <w:t>.</w:t>
      </w:r>
      <w:r>
        <w:rPr>
          <w:color w:val="000000" w:themeColor="text1"/>
          <w:sz w:val="20"/>
          <w:lang w:val="en-US"/>
        </w:rPr>
        <w:t>com</w:t>
      </w:r>
      <w:r w:rsidRPr="00BD6187">
        <w:rPr>
          <w:color w:val="000000" w:themeColor="text1"/>
          <w:sz w:val="20"/>
        </w:rPr>
        <w:t xml:space="preserve"> ; </w:t>
      </w:r>
      <w:r>
        <w:rPr>
          <w:color w:val="000000" w:themeColor="text1"/>
          <w:sz w:val="20"/>
        </w:rPr>
        <w:t>тел</w:t>
      </w:r>
      <w:r w:rsidRPr="00BD6187">
        <w:rPr>
          <w:color w:val="000000" w:themeColor="text1"/>
          <w:sz w:val="20"/>
        </w:rPr>
        <w:t>.: +79146923307</w:t>
      </w:r>
    </w:p>
    <w:p w:rsidR="00517711" w:rsidRDefault="00F815BE">
      <w:pPr>
        <w:pStyle w:val="af6"/>
        <w:spacing w:before="0" w:beforeAutospacing="0" w:after="0" w:afterAutospacing="0"/>
        <w:jc w:val="center"/>
        <w:rPr>
          <w:color w:val="000000"/>
          <w:sz w:val="20"/>
        </w:rPr>
      </w:pPr>
      <w:r>
        <w:rPr>
          <w:color w:val="000000" w:themeColor="text1"/>
          <w:sz w:val="20"/>
        </w:rPr>
        <w:t>ул. Гоголя, 41, г. Владивосток, Приморский край, Россия, 690014</w:t>
      </w:r>
    </w:p>
    <w:p w:rsidR="00517711" w:rsidRDefault="00517711">
      <w:pPr>
        <w:spacing w:after="0" w:line="240" w:lineRule="auto"/>
        <w:ind w:firstLine="709"/>
        <w:jc w:val="both"/>
        <w:rPr>
          <w:rFonts w:ascii="Times New Roman" w:hAnsi="Times New Roman"/>
          <w:i/>
          <w:color w:val="000000"/>
          <w:szCs w:val="24"/>
        </w:rPr>
      </w:pPr>
    </w:p>
    <w:p w:rsidR="00517711" w:rsidRDefault="00F815BE">
      <w:pPr>
        <w:spacing w:after="0" w:line="240" w:lineRule="auto"/>
        <w:ind w:firstLine="709"/>
        <w:jc w:val="both"/>
        <w:rPr>
          <w:rFonts w:ascii="Times New Roman" w:hAnsi="Times New Roman"/>
          <w:i/>
          <w:color w:val="000000"/>
          <w:szCs w:val="24"/>
        </w:rPr>
      </w:pPr>
      <w:r>
        <w:rPr>
          <w:rFonts w:ascii="Times New Roman" w:hAnsi="Times New Roman"/>
          <w:i/>
          <w:color w:val="000000" w:themeColor="text1"/>
          <w:szCs w:val="24"/>
        </w:rPr>
        <w:t xml:space="preserve">В Приморском крае одним из самых крупных производств безалкогольных напитков является предприятие ООО "Кока-Кола ЭйчБиСи Евразия". Оно образует отходы всех классов опасности. Наибольшее количество приходится на 4 и 5 классы опасности, что составляет 98% от общего объема. Предприятие является одним из самых передовых производств, которые постоянно реализуют множество программ по сокращению отходов производства. При этом компания модернизирует не только внутреннюю систему менеджмента по обращению с отходами, но и проводит мероприятия, прививающие культуру обращения с отходами всем людям. </w:t>
      </w:r>
    </w:p>
    <w:p w:rsidR="00517711" w:rsidRDefault="00F815BE">
      <w:pPr>
        <w:spacing w:after="0" w:line="240" w:lineRule="auto"/>
        <w:ind w:firstLine="709"/>
        <w:jc w:val="both"/>
        <w:rPr>
          <w:rFonts w:ascii="Times New Roman" w:hAnsi="Times New Roman"/>
          <w:i/>
          <w:color w:val="000000"/>
          <w:szCs w:val="24"/>
        </w:rPr>
      </w:pPr>
      <w:r>
        <w:rPr>
          <w:rFonts w:ascii="Times New Roman" w:hAnsi="Times New Roman"/>
          <w:b/>
          <w:i/>
          <w:color w:val="000000" w:themeColor="text1"/>
          <w:szCs w:val="24"/>
        </w:rPr>
        <w:t>Ключевые слова:</w:t>
      </w:r>
      <w:r>
        <w:rPr>
          <w:rFonts w:ascii="Times New Roman" w:hAnsi="Times New Roman"/>
          <w:i/>
          <w:color w:val="000000" w:themeColor="text1"/>
          <w:szCs w:val="24"/>
        </w:rPr>
        <w:t xml:space="preserve"> пищевое производство, отходы, класс опасности, безалкогольные напитки, вторичная переработка.</w:t>
      </w:r>
    </w:p>
    <w:p w:rsidR="00517711" w:rsidRDefault="00F815BE">
      <w:pPr>
        <w:spacing w:before="120" w:after="120" w:line="240" w:lineRule="auto"/>
        <w:jc w:val="center"/>
        <w:rPr>
          <w:rFonts w:ascii="Book Antiqua" w:hAnsi="Book Antiqua"/>
          <w:b/>
          <w:color w:val="000000"/>
          <w:sz w:val="26"/>
          <w:szCs w:val="26"/>
          <w:lang w:val="en-US"/>
        </w:rPr>
      </w:pPr>
      <w:r>
        <w:rPr>
          <w:rFonts w:ascii="Book Antiqua" w:hAnsi="Book Antiqua"/>
          <w:b/>
          <w:color w:val="000000" w:themeColor="text1"/>
          <w:sz w:val="26"/>
          <w:szCs w:val="26"/>
          <w:lang w:val="en-US"/>
        </w:rPr>
        <w:t>WASTE MANAGEMENT ON THE EXAMPLE OF FOOD INDUSTRY ENTERPRISE OF PRIMORSKY KRAI.</w:t>
      </w:r>
    </w:p>
    <w:p w:rsidR="00517711" w:rsidRDefault="00517711">
      <w:pPr>
        <w:spacing w:after="0" w:line="240" w:lineRule="auto"/>
        <w:ind w:firstLine="709"/>
        <w:jc w:val="both"/>
        <w:rPr>
          <w:rFonts w:ascii="Times New Roman" w:hAnsi="Times New Roman"/>
          <w:i/>
          <w:color w:val="000000"/>
          <w:szCs w:val="24"/>
          <w:lang w:val="en-US"/>
        </w:rPr>
      </w:pPr>
    </w:p>
    <w:p w:rsidR="00517711" w:rsidRDefault="00F815BE">
      <w:pPr>
        <w:spacing w:after="0" w:line="240" w:lineRule="auto"/>
        <w:ind w:firstLine="709"/>
        <w:jc w:val="both"/>
        <w:rPr>
          <w:rFonts w:ascii="Times New Roman" w:hAnsi="Times New Roman"/>
          <w:i/>
          <w:color w:val="000000"/>
          <w:szCs w:val="24"/>
          <w:lang w:val="en-US"/>
        </w:rPr>
      </w:pPr>
      <w:r>
        <w:rPr>
          <w:rFonts w:ascii="Times New Roman" w:hAnsi="Times New Roman"/>
          <w:i/>
          <w:color w:val="000000" w:themeColor="text1"/>
          <w:szCs w:val="24"/>
          <w:lang w:val="en-US"/>
        </w:rPr>
        <w:t>In Primorsky Krai, one of the largest manufactures of soft drinks is the company "Coca-Cola HBC Eurasia". It forms the waste of all hazard classes. The largest number falls on the 4th and 5th classes of danger, which is 98% of the total. The enterprise is one of the most advanced productions which constantly realize a set of programs for reduction of production wastes. At the same time, the company is upgrading not only the internal management system for waste management, but also to carry out activities that inculcate a culture of waste management to all people.</w:t>
      </w:r>
    </w:p>
    <w:p w:rsidR="00517711" w:rsidRDefault="00F815BE">
      <w:pPr>
        <w:spacing w:after="0" w:line="240" w:lineRule="auto"/>
        <w:ind w:firstLine="709"/>
        <w:jc w:val="both"/>
        <w:rPr>
          <w:rFonts w:ascii="Times New Roman" w:hAnsi="Times New Roman"/>
          <w:i/>
          <w:color w:val="000000"/>
          <w:szCs w:val="24"/>
          <w:lang w:val="en-US"/>
        </w:rPr>
      </w:pPr>
      <w:r>
        <w:rPr>
          <w:rFonts w:ascii="Times New Roman" w:hAnsi="Times New Roman"/>
          <w:b/>
          <w:i/>
          <w:color w:val="000000" w:themeColor="text1"/>
          <w:szCs w:val="24"/>
          <w:lang w:val="en-US"/>
        </w:rPr>
        <w:t>Key words:</w:t>
      </w:r>
      <w:r>
        <w:rPr>
          <w:rFonts w:ascii="Times New Roman" w:hAnsi="Times New Roman"/>
          <w:i/>
          <w:color w:val="000000" w:themeColor="text1"/>
          <w:szCs w:val="24"/>
          <w:lang w:val="en-US"/>
        </w:rPr>
        <w:t xml:space="preserve"> food production, waste, hazard class, non–alcoholic beverages, secondary processing.</w:t>
      </w:r>
    </w:p>
    <w:p w:rsidR="00517711" w:rsidRDefault="00517711">
      <w:pPr>
        <w:spacing w:after="0" w:line="240" w:lineRule="auto"/>
        <w:ind w:firstLine="709"/>
        <w:jc w:val="both"/>
        <w:rPr>
          <w:rFonts w:ascii="Times New Roman" w:hAnsi="Times New Roman"/>
          <w:color w:val="000000"/>
          <w:sz w:val="24"/>
          <w:szCs w:val="24"/>
          <w:lang w:val="en-US"/>
        </w:rPr>
      </w:pP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 Приморском крае одним из самых крупных производств безалкогольных напитков является предприятие ООО "Кока-Кола ЭйчБиСи Евразия". Оно стало первым российско–американским совместным предприятием в данном регионе. В 1995 году из Атланты во Владивосток полностью доставили производственную линию. В 1997 году, после подготовки завода, произошло торжественное открытие производства [1, стр.4].</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Предприятие располагается на двух промплощадках в Советском административном районе г. Владивостока:</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Промплощадка №1 – Завод по производству безалкогольных напитков: Приморский край, г. Владивосток, ул. 2-ая Шоссейная, 1 а; Промплощадка занимает территорию общей площадью 4,6942 га.</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На территории промплощадки размещены следующие здания и сооружения:</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lastRenderedPageBreak/>
        <w:t>• Здания завода по производству безалкогольных напитков;</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Вспомогательный корпус (склад ГП);</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Административное здание;</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Очистные сооружения производственных сточных вод;</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Здание котельной со станцией по производству углекислого газа;</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Резервуарный парк для хранения дизельного топлива;</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Насосная станция пожаротушения;</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Помещение мойки автотранспорта;</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Очистные сооружения ливневых стоков;</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Склад хранения баллонов сжиженного газа и диоксида углерода;</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Открытые стоянки личного и служебного автотранспорта предприятия.</w:t>
      </w:r>
    </w:p>
    <w:p w:rsidR="00517711" w:rsidRDefault="00F815BE">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Количество выпускаемых бутылок безалкогольных напитков типа «Кока-Кола», «Фанта», «Спрайт» и др.: 2-х литровых – 16000000 шт.; 1.5 литровых – 2000000 шт.; 1–но литровых – 23000000 шт.; 0,5 литровых –22000000 шт.; BIB – 25000 шт.</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Промплощадка №2 – Центр распределения продукции: Приморский край, г. Владивосток, ул. 2-ая Шоссейная, 1 б.</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На площадке расположены следующие здания и сооружения:</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Главный корпус с административными помещениями, складом готовой продукции, мастерской отдела технического сервиса, участком замены покрышек;</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Вспомогательный складской корпус с трансформаторной подстанцией;</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Склад маркетингового инвентаря;</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Очистные сооружения поверхностных вод;</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КПП;</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Открытая складская стоянка;</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Открытая стоянка автомашин;</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Навес для хранения холодильников.</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На промплощадке №1 имеются 7 объектов временного хранения отходов сроком до 3-х лет. Период накопления отходов не превышает 6 месяцев.</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На промплощадке №2 имеются 5 объектов временного хранения отходов сроком до 3-х лет. Период накопления отходов не превышает 6 месяцев.</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Отходы, образующиеся у предприятия, при своевременном вывозе не представляют экологической опасности для окружающей среды. Они находятся в твёрдой, жидкой и пастообразной формах. Некоторые из них обладают опасными свойствами, такими как, токсичность, пожароопасность, взрывчатость и могут наносить вред водным ресурсам.</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Токсичность вещества, в случае попадания в природу, может привести к заражению людей, к хроническим или затяжным заболеваниям. А так же в следствии биоаккумулирования оказать отрицательное влияние на экосистемы.</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Система обращения с отходами производства и потребления в ООО «Кока-Кола ЭйчБиСи Евразия» включает в себя следующие этапы:</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образование,</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временное накопление,</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передача сторонним организациям, имеющим лицензию на осуществление деятельности по сбору, использованию, обезвреживанию, размещению отходов для транспортировки, размещения, использования или обезвреживания.</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Отходы в зависимости от степени негативного воздействия на окружающую среду подразделяются в соответствии с критериями, установленными федеральным органом исполнительной власти, осуществляющим государственное регулирование в области охраны окружающей среды, на пять классов опасности [2, стр.4]:</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I класс – чрезвычайно опасные отходы;</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II класс – высокоопасные отходы;</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III класс – умеренно опасные отходы;</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IV класс – малоопасные отходы;</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V класс – практически неопасные отходы.</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 результате производственной деятельности ООО «Кока-Кола ЭйчБиСи Евразия» образуется 67 видов отходов общим весом 519,5707 тон в год, из них:</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1 класса опасности – 0,146 тонн;</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2 класса опасности – 1,1 тонн;</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3 класса опасности – 4,865 тонн;</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4 класса опасности – 204,1357 тонн;</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5 класса опасности – 309,324 тонн.</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Для большей наглядности, данные о распределении видов отходов по классам опасности представлены на рисунке 1.</w:t>
      </w:r>
    </w:p>
    <w:p w:rsidR="00517711" w:rsidRDefault="00F815BE">
      <w:pPr>
        <w:spacing w:after="120" w:line="240" w:lineRule="auto"/>
        <w:jc w:val="center"/>
        <w:rPr>
          <w:rFonts w:ascii="Times New Roman" w:hAnsi="Times New Roman" w:cs="Times New Roman"/>
          <w:color w:val="000000"/>
          <w:sz w:val="20"/>
          <w:szCs w:val="20"/>
        </w:rPr>
      </w:pPr>
      <w:r>
        <w:rPr>
          <w:rFonts w:ascii="Times New Roman" w:hAnsi="Times New Roman" w:cs="Times New Roman"/>
          <w:noProof/>
          <w:color w:val="000000" w:themeColor="text1"/>
          <w:sz w:val="20"/>
          <w:szCs w:val="20"/>
          <w:lang w:eastAsia="ru-RU"/>
        </w:rPr>
        <w:lastRenderedPageBreak/>
        <w:drawing>
          <wp:inline distT="0" distB="0" distL="0" distR="0">
            <wp:extent cx="6105523" cy="3267073"/>
            <wp:effectExtent l="0" t="0" r="0" b="0"/>
            <wp:docPr id="78" name="Рисунок 47" descr="Описание: C:\Users\Elvira\Desktop\Безымянны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Рисунок 1" descr="Описание: C:\Users\Elvira\Desktop\Безымянный.png"/>
                    <pic:cNvPicPr>
                      <a:picLocks noChangeAspect="1"/>
                    </pic:cNvPicPr>
                  </pic:nvPicPr>
                  <pic:blipFill>
                    <a:blip r:embed="rId115"/>
                    <a:stretch/>
                  </pic:blipFill>
                  <pic:spPr bwMode="auto">
                    <a:xfrm>
                      <a:off x="0" y="0"/>
                      <a:ext cx="6105525" cy="3267075"/>
                    </a:xfrm>
                    <a:prstGeom prst="rect">
                      <a:avLst/>
                    </a:prstGeom>
                    <a:noFill/>
                    <a:ln>
                      <a:noFill/>
                    </a:ln>
                  </pic:spPr>
                </pic:pic>
              </a:graphicData>
            </a:graphic>
          </wp:inline>
        </w:drawing>
      </w:r>
      <w:r>
        <w:rPr>
          <w:rFonts w:ascii="Times New Roman" w:hAnsi="Times New Roman" w:cs="Times New Roman"/>
          <w:color w:val="000000" w:themeColor="text1"/>
          <w:sz w:val="20"/>
          <w:szCs w:val="20"/>
        </w:rPr>
        <w:t>Рис.1. Процентное соотношение отходов образуемых на «ООО Кока-Кола ЭйчБиСи Евразия» по классам опасности.</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Бренд «Кока-Кола» является самым популярным брендом на планете. Это, безусловно, дает преимущество, но не стоит забывать и об ответственности. Компания задает тренды и имеет огромное влияние на мировое сообщество. Она занимается не только уменьшением и оптимизацией отходов на самом производстве, но и многочисленными экологическими акциями в которые вовлекаются владельцы бизнеса, учебные заведения и обычные граждане.</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Одним из последних масштабных заявлений было о том, что компания Кока-Кола намерена полностью перейти на перерабатываемую упаковку к 2025 году. А в 2030 году будет участвовать в сборе и переработке тары от напитков, производимых под данным брендом. Это будет программой долгосрочных инвестиций в новую стратегию по сокращению мусора во всем мире «Мир без отходов» (World Without Waste).</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b/>
          <w:bCs/>
          <w:i/>
          <w:iCs/>
          <w:color w:val="000000" w:themeColor="text1"/>
          <w:sz w:val="20"/>
          <w:szCs w:val="20"/>
        </w:rPr>
        <w:t>Президент и генеральный директор The Coca-Cola Company Джеймс Куинси:</w:t>
      </w:r>
    </w:p>
    <w:p w:rsidR="00517711" w:rsidRDefault="00F815BE">
      <w:pPr>
        <w:spacing w:after="0" w:line="240" w:lineRule="auto"/>
        <w:ind w:firstLine="709"/>
        <w:jc w:val="both"/>
        <w:rPr>
          <w:rFonts w:ascii="Times New Roman" w:hAnsi="Times New Roman" w:cs="Times New Roman"/>
          <w:i/>
          <w:color w:val="000000"/>
          <w:sz w:val="20"/>
          <w:szCs w:val="20"/>
        </w:rPr>
      </w:pPr>
      <w:r>
        <w:rPr>
          <w:rFonts w:ascii="Times New Roman" w:hAnsi="Times New Roman" w:cs="Times New Roman"/>
          <w:i/>
          <w:iCs/>
          <w:color w:val="000000" w:themeColor="text1"/>
          <w:sz w:val="20"/>
          <w:szCs w:val="20"/>
        </w:rPr>
        <w:t xml:space="preserve">— </w:t>
      </w:r>
      <w:r>
        <w:rPr>
          <w:rFonts w:ascii="Times New Roman" w:hAnsi="Times New Roman" w:cs="Times New Roman"/>
          <w:i/>
          <w:color w:val="000000" w:themeColor="text1"/>
          <w:sz w:val="20"/>
          <w:szCs w:val="20"/>
        </w:rPr>
        <w:t>Мир столкнулся с необходимостью утилизации упаковки — проблемой, которая не появилась на пустом месте. И, как и все компании, мы ответственны за помощь в ее решении. В рамках нашей стратегии «Мир без отходов» мы намерены инвестировать в задачу совершенствования собственной упаковки и сферу защиты окружающей среды, чтобы оставить проблему отходов в прошлом.</w:t>
      </w:r>
      <w:r>
        <w:rPr>
          <w:rFonts w:ascii="Times New Roman" w:hAnsi="Times New Roman" w:cs="Times New Roman"/>
          <w:i/>
          <w:color w:val="000000" w:themeColor="text1"/>
          <w:sz w:val="20"/>
          <w:szCs w:val="20"/>
        </w:rPr>
        <w:br/>
        <w:t xml:space="preserve">Мы уверены, что жизнь в мире без отходов возможна. Именно компании должны взять на себя инициативу и стать лидерами в борьбе за сокращение объема отходов на планете. Это именно то, что мы собираемся сделать, и мы приглашаем остальных присоединиться к нам на этом непростом пути </w:t>
      </w:r>
      <w:r>
        <w:rPr>
          <w:rFonts w:ascii="Times New Roman" w:hAnsi="Times New Roman" w:cs="Times New Roman"/>
          <w:color w:val="000000" w:themeColor="text1"/>
          <w:sz w:val="20"/>
          <w:szCs w:val="20"/>
        </w:rPr>
        <w:t>[3, стр.4].</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Первым пунктом в этой программе будут инвестиции в производство упаковки. К 2025 гуду, вся тара от напитков Кока-Кола станет полностью перерабатываемой. Состав бутылки изменится – 50% будет составлять биоразлагаемый материал. В производстве станут использовать меньше пластика и больше натуральных веществ.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К 2030 году компания планирует организовать сбор и переработку всей упаковки выпускаемой брендом на рынок, независимо от того из какого именно материала она сделана. Компания инвестирует средства в развитие науки, чтобы помочь мировому сообществу справиться с проблемами загрязнения океанов и преодоления экологического кризиса засорения планеты.</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 2016 году система Кока-Кола в России произвела запуск общероссийской программы «Разделяй с нами». Ее цель – внедрение культуры раздельного сбора отходов и практики их переработки по всей стране. 13 декабря 2017 года на экологическом форуме «ЭКОТЕХ» наградили участников конкурса социально-экологических проектов «Разделяй правильно». Конкурс организовало Министерство природных ресурсов и экологии Российской Федерации в рамках «Года экологии в России».</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В ходе программы в 20 городах России установили более 2000 контейнеров для раздельного сбора мусора, собрали и переработали более 12 тысяч тонн пластиковых отходов. Проводятся просветительские тренинги и мероприятия, которые должны привлечь внимание общественности к экологическому кризису, связанному с обилием не переработанных отходов. </w:t>
      </w:r>
      <w:r>
        <w:rPr>
          <w:rFonts w:ascii="Times New Roman" w:hAnsi="Times New Roman" w:cs="Times New Roman"/>
          <w:bCs/>
          <w:color w:val="000000" w:themeColor="text1"/>
          <w:sz w:val="20"/>
          <w:szCs w:val="20"/>
        </w:rPr>
        <w:t>Мероприятия, прививающие культуру обращения с отходами, организованы, рассчитаны на разные возрастные категории, включая школьников, студентов и взрослых.</w:t>
      </w:r>
      <w:r>
        <w:rPr>
          <w:rFonts w:ascii="Times New Roman" w:hAnsi="Times New Roman" w:cs="Times New Roman"/>
          <w:color w:val="000000" w:themeColor="text1"/>
          <w:sz w:val="20"/>
          <w:szCs w:val="20"/>
        </w:rPr>
        <w:t xml:space="preserve"> Уже сейчас в программе «Разделяй с нами» участвуют более 600000 россиян, а в глобальных планах – расширение географии и активное участие в масштабных спортивных мероприятиях Чемпионата мира по футболу FIFA 2018 в России.</w:t>
      </w:r>
    </w:p>
    <w:p w:rsidR="00517711" w:rsidRDefault="00F815BE">
      <w:pPr>
        <w:shd w:val="clear" w:color="auto" w:fill="FFFFFF"/>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b/>
          <w:bCs/>
          <w:color w:val="000000" w:themeColor="text1"/>
          <w:sz w:val="20"/>
          <w:szCs w:val="20"/>
        </w:rPr>
        <w:lastRenderedPageBreak/>
        <w:t>Генеральный менеджер подразделения Coca-Cola в России, Украине, Беларуси, Польше, Латвии, Литве, Эстонии и Молдове Лана Попович прокомментировала:</w:t>
      </w:r>
    </w:p>
    <w:p w:rsidR="00517711" w:rsidRDefault="00F815BE">
      <w:pPr>
        <w:shd w:val="clear" w:color="auto" w:fill="FFFFFF"/>
        <w:spacing w:after="120" w:line="240" w:lineRule="auto"/>
        <w:ind w:firstLine="709"/>
        <w:jc w:val="both"/>
        <w:rPr>
          <w:rFonts w:ascii="Times New Roman" w:hAnsi="Times New Roman" w:cs="Times New Roman"/>
          <w:color w:val="000000"/>
          <w:sz w:val="20"/>
          <w:szCs w:val="20"/>
        </w:rPr>
      </w:pPr>
      <w:r>
        <w:rPr>
          <w:rFonts w:ascii="Times New Roman" w:hAnsi="Times New Roman" w:cs="Times New Roman"/>
          <w:i/>
          <w:iCs/>
          <w:color w:val="000000" w:themeColor="text1"/>
          <w:sz w:val="20"/>
          <w:szCs w:val="20"/>
        </w:rPr>
        <w:t>— Мы полностью поддерживаем глобальную инициативу компании, направленную на очищение нашей планеты и защиту окружающей среды. Руководствуясь успешным опытом реализации программы «Разделяй с нами», мы намерены приложить еще больше усилий по развитию инфраструктуры для переработки отходов и образования населения, чтобы помочь компании выполнить столь амбициозную глобальную цель.</w:t>
      </w:r>
      <w:r>
        <w:rPr>
          <w:rFonts w:ascii="Times New Roman" w:hAnsi="Times New Roman" w:cs="Times New Roman"/>
          <w:color w:val="000000" w:themeColor="text1"/>
          <w:sz w:val="20"/>
          <w:szCs w:val="20"/>
        </w:rPr>
        <w:t xml:space="preserve"> [4, стр.4]:</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 условиях современной мира, система управления отходами на предприятиях должна включать в себя не только оптимизацию обращения с отходами от производства, но и быть направленной на уменьшение влияния конечного продукта на окружающую среду.</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 одиночку ни одна компания, организация, правительство и тем более человек не смогут решить эту проблему. Но если, каждая компания, которая продает товары в упаковке, присоединится к компании Кока-Кола, и сообща будет использовать опыт и ресурсы, станет возможным решить проблему отходов на земле. Обширная миссия Кока-Кола – развиваться, сохраняя высокий уровень общественной сознательности. «Мир без отходов» – часть долгосрочной стратегии Coca-Cola в области устойчивого развития. Компания уже достигла глобальной цели по восполнению 100% эквивалента объема воды, используемой в своих напитках, опередив график на 5 лет.</w:t>
      </w:r>
    </w:p>
    <w:p w:rsidR="00517711" w:rsidRDefault="00517711">
      <w:pPr>
        <w:pBdr>
          <w:bottom w:val="single" w:sz="6" w:space="11" w:color="auto"/>
        </w:pBdr>
        <w:spacing w:after="0" w:line="240" w:lineRule="auto"/>
        <w:jc w:val="both"/>
        <w:rPr>
          <w:rFonts w:ascii="Times New Roman" w:hAnsi="Times New Roman" w:cs="Times New Roman"/>
          <w:color w:val="000000"/>
          <w:sz w:val="20"/>
          <w:szCs w:val="20"/>
        </w:rPr>
      </w:pPr>
    </w:p>
    <w:p w:rsidR="00517711" w:rsidRDefault="00517711">
      <w:pPr>
        <w:shd w:val="clear" w:color="auto" w:fill="FFFFFF"/>
        <w:spacing w:after="0" w:line="240" w:lineRule="auto"/>
        <w:jc w:val="both"/>
        <w:rPr>
          <w:rFonts w:ascii="Times New Roman" w:hAnsi="Times New Roman" w:cs="Times New Roman"/>
          <w:color w:val="000000"/>
          <w:sz w:val="20"/>
          <w:szCs w:val="20"/>
        </w:rPr>
      </w:pPr>
    </w:p>
    <w:p w:rsidR="00517711" w:rsidRDefault="00F815BE">
      <w:pPr>
        <w:pStyle w:val="af4"/>
        <w:numPr>
          <w:ilvl w:val="0"/>
          <w:numId w:val="21"/>
        </w:numPr>
        <w:shd w:val="clear" w:color="auto" w:fill="FFFFFF"/>
        <w:tabs>
          <w:tab w:val="left" w:pos="0"/>
        </w:tabs>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 xml:space="preserve">Главное о заводе Coca-Cola во Владивостоке: История и мощности [Электронный ресурс] // </w:t>
      </w:r>
      <w:r>
        <w:rPr>
          <w:rFonts w:ascii="Times New Roman" w:hAnsi="Times New Roman"/>
          <w:color w:val="000000" w:themeColor="text1"/>
          <w:sz w:val="20"/>
          <w:szCs w:val="20"/>
          <w:lang w:val="en-US"/>
        </w:rPr>
        <w:t>Coca</w:t>
      </w:r>
      <w:r>
        <w:rPr>
          <w:rFonts w:ascii="Times New Roman" w:hAnsi="Times New Roman"/>
          <w:color w:val="000000" w:themeColor="text1"/>
          <w:sz w:val="20"/>
          <w:szCs w:val="20"/>
        </w:rPr>
        <w:t>-</w:t>
      </w:r>
      <w:r>
        <w:rPr>
          <w:rFonts w:ascii="Times New Roman" w:hAnsi="Times New Roman"/>
          <w:color w:val="000000" w:themeColor="text1"/>
          <w:sz w:val="20"/>
          <w:szCs w:val="20"/>
          <w:lang w:val="en-US"/>
        </w:rPr>
        <w:t>Cola</w:t>
      </w:r>
      <w:r>
        <w:rPr>
          <w:rFonts w:ascii="Times New Roman" w:hAnsi="Times New Roman"/>
          <w:color w:val="000000" w:themeColor="text1"/>
          <w:sz w:val="20"/>
          <w:szCs w:val="20"/>
        </w:rPr>
        <w:t xml:space="preserve"> </w:t>
      </w:r>
      <w:r>
        <w:rPr>
          <w:rFonts w:ascii="Times New Roman" w:hAnsi="Times New Roman"/>
          <w:color w:val="000000" w:themeColor="text1"/>
          <w:sz w:val="20"/>
          <w:szCs w:val="20"/>
          <w:lang w:val="en-US"/>
        </w:rPr>
        <w:t>journey</w:t>
      </w:r>
      <w:r>
        <w:rPr>
          <w:rFonts w:ascii="Times New Roman" w:hAnsi="Times New Roman"/>
          <w:color w:val="000000" w:themeColor="text1"/>
          <w:sz w:val="20"/>
          <w:szCs w:val="20"/>
        </w:rPr>
        <w:t xml:space="preserve">. – Режим доступа: </w:t>
      </w:r>
      <w:hyperlink r:id="rId116" w:history="1">
        <w:r>
          <w:rPr>
            <w:rStyle w:val="aa"/>
            <w:rFonts w:ascii="Times New Roman" w:hAnsi="Times New Roman"/>
            <w:color w:val="000000" w:themeColor="text1"/>
            <w:sz w:val="20"/>
            <w:szCs w:val="20"/>
          </w:rPr>
          <w:t>https://www.coca–colarussia.ru/stories/vladivostok–plant</w:t>
        </w:r>
      </w:hyperlink>
    </w:p>
    <w:p w:rsidR="00517711" w:rsidRDefault="00F815BE">
      <w:pPr>
        <w:pStyle w:val="af4"/>
        <w:numPr>
          <w:ilvl w:val="0"/>
          <w:numId w:val="21"/>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 xml:space="preserve">Федеральный закон "Об отходах производства и потребления" от 24.06.1998 N 89–ФЗ (последняя редакция) [Электронный ресурс] – Режим доступа: </w:t>
      </w:r>
      <w:hyperlink r:id="rId117" w:history="1">
        <w:r>
          <w:rPr>
            <w:rFonts w:ascii="Times New Roman" w:hAnsi="Times New Roman"/>
            <w:color w:val="000000" w:themeColor="text1"/>
            <w:sz w:val="20"/>
            <w:szCs w:val="20"/>
          </w:rPr>
          <w:t>http://www.consultant.ru/document/cons_doc_LAW_19109/</w:t>
        </w:r>
      </w:hyperlink>
    </w:p>
    <w:p w:rsidR="00517711" w:rsidRDefault="00F815BE">
      <w:pPr>
        <w:pStyle w:val="af4"/>
        <w:numPr>
          <w:ilvl w:val="0"/>
          <w:numId w:val="21"/>
        </w:numPr>
        <w:shd w:val="clear" w:color="auto" w:fill="FFFFFF"/>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 xml:space="preserve">Джеймс Куинси: Почему мир без отходов – это новая реальность [Электронный ресурс] // </w:t>
      </w:r>
      <w:r>
        <w:rPr>
          <w:rFonts w:ascii="Times New Roman" w:hAnsi="Times New Roman"/>
          <w:color w:val="000000" w:themeColor="text1"/>
          <w:sz w:val="20"/>
          <w:szCs w:val="20"/>
          <w:lang w:val="en-US"/>
        </w:rPr>
        <w:t>Coca</w:t>
      </w:r>
      <w:r>
        <w:rPr>
          <w:rFonts w:ascii="Times New Roman" w:hAnsi="Times New Roman"/>
          <w:color w:val="000000" w:themeColor="text1"/>
          <w:sz w:val="20"/>
          <w:szCs w:val="20"/>
        </w:rPr>
        <w:t>-</w:t>
      </w:r>
      <w:r>
        <w:rPr>
          <w:rFonts w:ascii="Times New Roman" w:hAnsi="Times New Roman"/>
          <w:color w:val="000000" w:themeColor="text1"/>
          <w:sz w:val="20"/>
          <w:szCs w:val="20"/>
          <w:lang w:val="en-US"/>
        </w:rPr>
        <w:t>Cola</w:t>
      </w:r>
      <w:r>
        <w:rPr>
          <w:rFonts w:ascii="Times New Roman" w:hAnsi="Times New Roman"/>
          <w:color w:val="000000" w:themeColor="text1"/>
          <w:sz w:val="20"/>
          <w:szCs w:val="20"/>
        </w:rPr>
        <w:t xml:space="preserve"> </w:t>
      </w:r>
      <w:r>
        <w:rPr>
          <w:rFonts w:ascii="Times New Roman" w:hAnsi="Times New Roman"/>
          <w:color w:val="000000" w:themeColor="text1"/>
          <w:sz w:val="20"/>
          <w:szCs w:val="20"/>
          <w:lang w:val="en-US"/>
        </w:rPr>
        <w:t>journey</w:t>
      </w:r>
      <w:r>
        <w:rPr>
          <w:rFonts w:ascii="Times New Roman" w:hAnsi="Times New Roman"/>
          <w:color w:val="000000" w:themeColor="text1"/>
          <w:sz w:val="20"/>
          <w:szCs w:val="20"/>
        </w:rPr>
        <w:t xml:space="preserve">. – Режим доступа: </w:t>
      </w:r>
      <w:hyperlink r:id="rId118" w:history="1">
        <w:r>
          <w:rPr>
            <w:rStyle w:val="aa"/>
            <w:rFonts w:ascii="Times New Roman" w:hAnsi="Times New Roman"/>
            <w:color w:val="000000" w:themeColor="text1"/>
            <w:sz w:val="20"/>
            <w:szCs w:val="20"/>
          </w:rPr>
          <w:t>https://www.coca–colarussia.ru/stories/why–a–world–without–waste–is–possible</w:t>
        </w:r>
      </w:hyperlink>
    </w:p>
    <w:p w:rsidR="00517711" w:rsidRDefault="00F815BE">
      <w:pPr>
        <w:pStyle w:val="af4"/>
        <w:numPr>
          <w:ilvl w:val="0"/>
          <w:numId w:val="21"/>
        </w:numPr>
        <w:shd w:val="clear" w:color="auto" w:fill="FFFFFF"/>
        <w:tabs>
          <w:tab w:val="left" w:pos="0"/>
        </w:tabs>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 xml:space="preserve">Мир без отходов: новая экологическая стратегия Coca-Cola [Электронный ресурс] // </w:t>
      </w:r>
      <w:r>
        <w:rPr>
          <w:rFonts w:ascii="Times New Roman" w:hAnsi="Times New Roman"/>
          <w:color w:val="000000" w:themeColor="text1"/>
          <w:sz w:val="20"/>
          <w:szCs w:val="20"/>
          <w:lang w:val="en-US"/>
        </w:rPr>
        <w:t>Coca</w:t>
      </w:r>
      <w:r>
        <w:rPr>
          <w:rFonts w:ascii="Times New Roman" w:hAnsi="Times New Roman"/>
          <w:color w:val="000000" w:themeColor="text1"/>
          <w:sz w:val="20"/>
          <w:szCs w:val="20"/>
        </w:rPr>
        <w:t>-</w:t>
      </w:r>
      <w:r>
        <w:rPr>
          <w:rFonts w:ascii="Times New Roman" w:hAnsi="Times New Roman"/>
          <w:color w:val="000000" w:themeColor="text1"/>
          <w:sz w:val="20"/>
          <w:szCs w:val="20"/>
          <w:lang w:val="en-US"/>
        </w:rPr>
        <w:t>Cola</w:t>
      </w:r>
      <w:r>
        <w:rPr>
          <w:rFonts w:ascii="Times New Roman" w:hAnsi="Times New Roman"/>
          <w:color w:val="000000" w:themeColor="text1"/>
          <w:sz w:val="20"/>
          <w:szCs w:val="20"/>
        </w:rPr>
        <w:t xml:space="preserve"> </w:t>
      </w:r>
      <w:r>
        <w:rPr>
          <w:rFonts w:ascii="Times New Roman" w:hAnsi="Times New Roman"/>
          <w:color w:val="000000" w:themeColor="text1"/>
          <w:sz w:val="20"/>
          <w:szCs w:val="20"/>
          <w:lang w:val="en-US"/>
        </w:rPr>
        <w:t>journey</w:t>
      </w:r>
      <w:r>
        <w:rPr>
          <w:rFonts w:ascii="Times New Roman" w:hAnsi="Times New Roman"/>
          <w:color w:val="000000" w:themeColor="text1"/>
          <w:sz w:val="20"/>
          <w:szCs w:val="20"/>
        </w:rPr>
        <w:t>.  – Режим доступа: https://www.coca–colarussia.ru/press–center/world–without–waste–strategy</w:t>
      </w:r>
    </w:p>
    <w:p w:rsidR="00517711" w:rsidRDefault="00517711">
      <w:pPr>
        <w:spacing w:after="0" w:line="240" w:lineRule="auto"/>
        <w:rPr>
          <w:rFonts w:ascii="Times New Roman" w:hAnsi="Times New Roman"/>
          <w:sz w:val="24"/>
          <w:szCs w:val="24"/>
        </w:rPr>
      </w:pPr>
    </w:p>
    <w:p w:rsidR="00517711" w:rsidRDefault="00F815BE">
      <w:pPr>
        <w:spacing w:before="20" w:after="20" w:line="240" w:lineRule="auto"/>
        <w:jc w:val="both"/>
        <w:rPr>
          <w:rFonts w:ascii="Times New Roman" w:hAnsi="Times New Roman"/>
          <w:b/>
          <w:sz w:val="20"/>
          <w:szCs w:val="24"/>
        </w:rPr>
      </w:pPr>
      <w:r>
        <w:rPr>
          <w:rFonts w:ascii="Times New Roman" w:hAnsi="Times New Roman"/>
          <w:b/>
          <w:sz w:val="20"/>
          <w:szCs w:val="24"/>
        </w:rPr>
        <w:t>Рубрика: Общая экология</w:t>
      </w:r>
    </w:p>
    <w:p w:rsidR="00517711" w:rsidRDefault="00517711">
      <w:pPr>
        <w:spacing w:before="20" w:after="20" w:line="240" w:lineRule="auto"/>
        <w:ind w:firstLine="708"/>
        <w:jc w:val="both"/>
        <w:rPr>
          <w:rFonts w:ascii="Times New Roman" w:hAnsi="Times New Roman"/>
          <w:sz w:val="20"/>
          <w:szCs w:val="24"/>
        </w:rPr>
      </w:pPr>
    </w:p>
    <w:p w:rsidR="00517711" w:rsidRDefault="00F815BE">
      <w:pPr>
        <w:spacing w:before="20" w:after="20" w:line="240" w:lineRule="auto"/>
        <w:jc w:val="both"/>
        <w:rPr>
          <w:rFonts w:ascii="Times New Roman" w:hAnsi="Times New Roman"/>
          <w:sz w:val="20"/>
          <w:szCs w:val="24"/>
        </w:rPr>
      </w:pPr>
      <w:r>
        <w:rPr>
          <w:rFonts w:ascii="Times New Roman" w:hAnsi="Times New Roman"/>
          <w:sz w:val="20"/>
          <w:szCs w:val="24"/>
        </w:rPr>
        <w:t>УДК 574.22</w:t>
      </w:r>
    </w:p>
    <w:p w:rsidR="00517711" w:rsidRDefault="00517711">
      <w:pPr>
        <w:spacing w:before="20" w:after="20" w:line="240" w:lineRule="auto"/>
        <w:ind w:firstLine="709"/>
        <w:jc w:val="both"/>
        <w:rPr>
          <w:rFonts w:ascii="Times New Roman" w:hAnsi="Times New Roman"/>
          <w:sz w:val="24"/>
          <w:szCs w:val="24"/>
        </w:rPr>
      </w:pPr>
    </w:p>
    <w:p w:rsidR="00517711" w:rsidRDefault="00F815BE">
      <w:pPr>
        <w:spacing w:before="20" w:after="20" w:line="240" w:lineRule="auto"/>
        <w:ind w:left="709" w:firstLine="709"/>
        <w:jc w:val="center"/>
        <w:rPr>
          <w:rFonts w:ascii="Book Antiqua" w:hAnsi="Book Antiqua"/>
          <w:b/>
          <w:sz w:val="26"/>
          <w:szCs w:val="26"/>
        </w:rPr>
      </w:pPr>
      <w:r>
        <w:rPr>
          <w:rFonts w:ascii="Book Antiqua" w:hAnsi="Book Antiqua"/>
          <w:b/>
          <w:sz w:val="26"/>
          <w:szCs w:val="26"/>
        </w:rPr>
        <w:t>ОЦЕНКА ВОЗДЕЙСТВИЯ НА АТМОСФЕРНЫЙ ВОЗДУХ ПРЕДПРИЯТИЙ ПО ПРОИЗВОДСТВУ</w:t>
      </w:r>
      <w:r>
        <w:rPr>
          <w:rFonts w:ascii="Book Antiqua" w:hAnsi="Book Antiqua" w:cs="Arial"/>
          <w:b/>
          <w:sz w:val="26"/>
          <w:szCs w:val="26"/>
        </w:rPr>
        <w:t xml:space="preserve"> </w:t>
      </w:r>
      <w:r>
        <w:rPr>
          <w:rFonts w:ascii="Book Antiqua" w:hAnsi="Book Antiqua"/>
          <w:b/>
          <w:sz w:val="26"/>
          <w:szCs w:val="26"/>
        </w:rPr>
        <w:t>ОБУВИ</w:t>
      </w:r>
      <w:r>
        <w:rPr>
          <w:rFonts w:ascii="Book Antiqua" w:hAnsi="Book Antiqua" w:cs="Arial"/>
          <w:b/>
          <w:sz w:val="26"/>
          <w:szCs w:val="26"/>
        </w:rPr>
        <w:t xml:space="preserve"> </w:t>
      </w:r>
      <w:r>
        <w:rPr>
          <w:rFonts w:ascii="Book Antiqua" w:hAnsi="Book Antiqua"/>
          <w:b/>
          <w:sz w:val="26"/>
          <w:szCs w:val="26"/>
        </w:rPr>
        <w:t>НА ПРИМЕРЕ ООО МТПК «КАНЦЗИ»</w:t>
      </w:r>
    </w:p>
    <w:p w:rsidR="00517711" w:rsidRDefault="00517711">
      <w:pPr>
        <w:spacing w:before="20" w:after="20" w:line="240" w:lineRule="auto"/>
        <w:ind w:firstLine="709"/>
        <w:jc w:val="center"/>
        <w:rPr>
          <w:rFonts w:ascii="Times New Roman" w:hAnsi="Times New Roman"/>
          <w:sz w:val="24"/>
          <w:szCs w:val="24"/>
        </w:rPr>
      </w:pPr>
    </w:p>
    <w:p w:rsidR="00517711" w:rsidRDefault="00F815BE">
      <w:pPr>
        <w:spacing w:before="20" w:after="20" w:line="240" w:lineRule="auto"/>
        <w:ind w:firstLine="709"/>
        <w:jc w:val="center"/>
        <w:rPr>
          <w:rFonts w:ascii="Arial" w:hAnsi="Arial" w:cs="Arial"/>
          <w:b/>
          <w:sz w:val="24"/>
          <w:szCs w:val="24"/>
        </w:rPr>
      </w:pPr>
      <w:r>
        <w:rPr>
          <w:rFonts w:ascii="Arial" w:hAnsi="Arial" w:cs="Arial"/>
          <w:b/>
          <w:sz w:val="24"/>
          <w:szCs w:val="24"/>
        </w:rPr>
        <w:t>Гончаров Александр Сергеевич,</w:t>
      </w:r>
    </w:p>
    <w:p w:rsidR="00517711" w:rsidRDefault="00F815BE">
      <w:pPr>
        <w:spacing w:before="20" w:after="20" w:line="240" w:lineRule="auto"/>
        <w:ind w:firstLine="709"/>
        <w:jc w:val="center"/>
        <w:rPr>
          <w:rFonts w:ascii="Arial" w:hAnsi="Arial" w:cs="Arial"/>
          <w:sz w:val="24"/>
          <w:szCs w:val="24"/>
        </w:rPr>
      </w:pPr>
      <w:r>
        <w:rPr>
          <w:rFonts w:ascii="Arial" w:hAnsi="Arial" w:cs="Arial"/>
          <w:sz w:val="24"/>
          <w:szCs w:val="24"/>
        </w:rPr>
        <w:t xml:space="preserve"> бакалавр</w:t>
      </w:r>
    </w:p>
    <w:p w:rsidR="00517711" w:rsidRDefault="00517711">
      <w:pPr>
        <w:spacing w:before="20" w:after="20" w:line="240" w:lineRule="auto"/>
        <w:ind w:firstLine="709"/>
        <w:jc w:val="center"/>
        <w:rPr>
          <w:rFonts w:ascii="Times New Roman" w:hAnsi="Times New Roman"/>
          <w:sz w:val="24"/>
          <w:szCs w:val="24"/>
        </w:rPr>
      </w:pPr>
    </w:p>
    <w:p w:rsidR="00517711" w:rsidRDefault="00F815BE">
      <w:pPr>
        <w:spacing w:before="20" w:after="20" w:line="240" w:lineRule="auto"/>
        <w:ind w:firstLine="709"/>
        <w:jc w:val="center"/>
        <w:rPr>
          <w:rFonts w:ascii="Arial" w:hAnsi="Arial" w:cs="Arial"/>
          <w:b/>
          <w:sz w:val="24"/>
          <w:szCs w:val="24"/>
        </w:rPr>
      </w:pPr>
      <w:r>
        <w:rPr>
          <w:rFonts w:ascii="Times New Roman" w:hAnsi="Times New Roman"/>
          <w:sz w:val="24"/>
          <w:szCs w:val="24"/>
        </w:rPr>
        <w:t xml:space="preserve"> </w:t>
      </w:r>
      <w:r>
        <w:rPr>
          <w:rFonts w:ascii="Arial" w:hAnsi="Arial" w:cs="Arial"/>
          <w:b/>
          <w:sz w:val="24"/>
          <w:szCs w:val="24"/>
        </w:rPr>
        <w:t xml:space="preserve">Тарасова Елена Валерьевна, </w:t>
      </w:r>
    </w:p>
    <w:p w:rsidR="00517711" w:rsidRDefault="00F815BE">
      <w:pPr>
        <w:spacing w:before="20" w:after="20" w:line="240" w:lineRule="auto"/>
        <w:ind w:firstLine="709"/>
        <w:jc w:val="center"/>
        <w:rPr>
          <w:rFonts w:ascii="Arial" w:hAnsi="Arial" w:cs="Arial"/>
          <w:sz w:val="24"/>
          <w:szCs w:val="24"/>
        </w:rPr>
      </w:pPr>
      <w:r>
        <w:rPr>
          <w:rFonts w:ascii="Arial" w:hAnsi="Arial" w:cs="Arial"/>
          <w:sz w:val="24"/>
          <w:szCs w:val="24"/>
        </w:rPr>
        <w:t>кандидат географических наук, доцент кафедры туризма и экологии</w:t>
      </w:r>
    </w:p>
    <w:p w:rsidR="00517711" w:rsidRDefault="00517711">
      <w:pPr>
        <w:spacing w:before="20" w:after="20" w:line="240" w:lineRule="auto"/>
        <w:ind w:firstLine="709"/>
        <w:jc w:val="center"/>
        <w:rPr>
          <w:rFonts w:ascii="Times New Roman" w:hAnsi="Times New Roman"/>
          <w:i/>
          <w:sz w:val="24"/>
          <w:szCs w:val="24"/>
        </w:rPr>
      </w:pPr>
    </w:p>
    <w:p w:rsidR="00517711" w:rsidRDefault="00F815BE">
      <w:pPr>
        <w:spacing w:before="20" w:after="20" w:line="240" w:lineRule="auto"/>
        <w:ind w:firstLine="709"/>
        <w:jc w:val="center"/>
        <w:rPr>
          <w:rFonts w:ascii="Times New Roman" w:hAnsi="Times New Roman"/>
          <w:i/>
          <w:szCs w:val="24"/>
        </w:rPr>
      </w:pPr>
      <w:r>
        <w:rPr>
          <w:rFonts w:ascii="Times New Roman" w:hAnsi="Times New Roman"/>
          <w:i/>
          <w:szCs w:val="24"/>
        </w:rPr>
        <w:t>Владивостокский государственный университет экономики и сервиса</w:t>
      </w:r>
    </w:p>
    <w:p w:rsidR="00517711" w:rsidRDefault="00F815BE">
      <w:pPr>
        <w:spacing w:before="20" w:after="20" w:line="240" w:lineRule="auto"/>
        <w:jc w:val="center"/>
        <w:rPr>
          <w:rFonts w:ascii="Times New Roman" w:hAnsi="Times New Roman"/>
          <w:i/>
          <w:szCs w:val="24"/>
        </w:rPr>
      </w:pPr>
      <w:r>
        <w:rPr>
          <w:rFonts w:ascii="Times New Roman" w:hAnsi="Times New Roman"/>
          <w:i/>
          <w:szCs w:val="24"/>
        </w:rPr>
        <w:t>Россия. Владивосток</w:t>
      </w:r>
    </w:p>
    <w:p w:rsidR="00517711" w:rsidRDefault="00517711">
      <w:pPr>
        <w:spacing w:before="20" w:after="20" w:line="240" w:lineRule="auto"/>
        <w:jc w:val="center"/>
        <w:rPr>
          <w:rFonts w:ascii="Times New Roman" w:hAnsi="Times New Roman"/>
          <w:sz w:val="24"/>
          <w:szCs w:val="24"/>
        </w:rPr>
      </w:pPr>
    </w:p>
    <w:p w:rsidR="00517711" w:rsidRDefault="00F815BE">
      <w:pPr>
        <w:spacing w:before="20" w:after="20" w:line="240" w:lineRule="auto"/>
        <w:jc w:val="center"/>
        <w:rPr>
          <w:rFonts w:ascii="Times New Roman" w:hAnsi="Times New Roman"/>
          <w:sz w:val="20"/>
          <w:szCs w:val="24"/>
        </w:rPr>
      </w:pPr>
      <w:r>
        <w:rPr>
          <w:rFonts w:ascii="Times New Roman" w:hAnsi="Times New Roman"/>
          <w:sz w:val="20"/>
          <w:szCs w:val="24"/>
          <w:lang w:val="en-US"/>
        </w:rPr>
        <w:t>E</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 xml:space="preserve">: </w:t>
      </w:r>
      <w:r>
        <w:rPr>
          <w:rFonts w:ascii="Times New Roman" w:hAnsi="Times New Roman"/>
          <w:sz w:val="20"/>
          <w:szCs w:val="24"/>
          <w:lang w:val="en-US"/>
        </w:rPr>
        <w:t>Riohostel</w:t>
      </w:r>
      <w:r>
        <w:rPr>
          <w:rFonts w:ascii="Times New Roman" w:hAnsi="Times New Roman"/>
          <w:sz w:val="20"/>
          <w:szCs w:val="24"/>
        </w:rPr>
        <w:t>2@</w:t>
      </w:r>
      <w:r>
        <w:rPr>
          <w:rFonts w:ascii="Times New Roman" w:hAnsi="Times New Roman"/>
          <w:sz w:val="20"/>
          <w:szCs w:val="24"/>
          <w:lang w:val="en-US"/>
        </w:rPr>
        <w:t>mail</w:t>
      </w:r>
      <w:r>
        <w:rPr>
          <w:rFonts w:ascii="Times New Roman" w:hAnsi="Times New Roman"/>
          <w:sz w:val="20"/>
          <w:szCs w:val="24"/>
        </w:rPr>
        <w:t>.</w:t>
      </w:r>
      <w:r>
        <w:rPr>
          <w:rFonts w:ascii="Times New Roman" w:hAnsi="Times New Roman"/>
          <w:sz w:val="20"/>
          <w:szCs w:val="24"/>
          <w:lang w:val="en-US"/>
        </w:rPr>
        <w:t>ru</w:t>
      </w:r>
    </w:p>
    <w:p w:rsidR="00517711" w:rsidRDefault="00F815BE">
      <w:pPr>
        <w:spacing w:before="20" w:after="20" w:line="240" w:lineRule="auto"/>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517711">
      <w:pPr>
        <w:spacing w:before="20" w:after="20" w:line="240" w:lineRule="auto"/>
        <w:jc w:val="center"/>
        <w:rPr>
          <w:sz w:val="16"/>
          <w:szCs w:val="16"/>
        </w:rPr>
      </w:pPr>
    </w:p>
    <w:p w:rsidR="00517711" w:rsidRDefault="00F815BE">
      <w:pPr>
        <w:spacing w:before="20" w:after="20" w:line="240" w:lineRule="auto"/>
        <w:ind w:firstLine="709"/>
        <w:jc w:val="both"/>
        <w:rPr>
          <w:rFonts w:ascii="Times New Roman" w:hAnsi="Times New Roman"/>
          <w:i/>
          <w:szCs w:val="24"/>
        </w:rPr>
      </w:pPr>
      <w:r>
        <w:rPr>
          <w:rFonts w:ascii="Times New Roman" w:hAnsi="Times New Roman"/>
          <w:i/>
          <w:szCs w:val="24"/>
        </w:rPr>
        <w:t>В настоящей работе проведена оценка воздействия на атмосферный воздух предприятия по производству обуви ООО МТПК «Канцзи». Изучено распределение выбросов загрязняющих веществ источниками загрязнения, распределение выбросов загрязняющих веществ по классам опасности. Определены вещества, оказывающие наибольшее воздействие на окружающую среду. Рассчитана плата за выбросы загрязняющих веществ для данного предприятия.</w:t>
      </w:r>
    </w:p>
    <w:p w:rsidR="00517711" w:rsidRDefault="00F815BE">
      <w:pPr>
        <w:spacing w:before="20" w:after="20" w:line="240" w:lineRule="auto"/>
        <w:ind w:firstLine="709"/>
        <w:jc w:val="both"/>
        <w:rPr>
          <w:rFonts w:ascii="Times New Roman" w:hAnsi="Times New Roman"/>
          <w:i/>
          <w:szCs w:val="24"/>
        </w:rPr>
      </w:pPr>
      <w:r>
        <w:rPr>
          <w:rFonts w:ascii="Times New Roman" w:hAnsi="Times New Roman"/>
          <w:b/>
          <w:i/>
          <w:szCs w:val="24"/>
        </w:rPr>
        <w:t xml:space="preserve">Ключевые слова и словосочетания: </w:t>
      </w:r>
      <w:r>
        <w:rPr>
          <w:rFonts w:ascii="Times New Roman" w:hAnsi="Times New Roman"/>
          <w:i/>
          <w:szCs w:val="24"/>
        </w:rPr>
        <w:t>нормирование, атмосферный воздух, источник загрязнения, предельно допустимые выбросы, классы опасности.</w:t>
      </w:r>
    </w:p>
    <w:p w:rsidR="00517711" w:rsidRDefault="00517711">
      <w:pPr>
        <w:spacing w:before="20" w:after="20" w:line="240" w:lineRule="auto"/>
        <w:ind w:firstLine="709"/>
        <w:jc w:val="both"/>
        <w:rPr>
          <w:rFonts w:ascii="Times New Roman" w:hAnsi="Times New Roman"/>
          <w:sz w:val="24"/>
          <w:szCs w:val="24"/>
        </w:rPr>
      </w:pPr>
    </w:p>
    <w:p w:rsidR="00517711" w:rsidRDefault="00F815B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0" w:after="20" w:line="240" w:lineRule="auto"/>
        <w:jc w:val="center"/>
        <w:rPr>
          <w:rFonts w:ascii="Book Antiqua" w:hAnsi="Book Antiqua"/>
          <w:b/>
          <w:sz w:val="26"/>
          <w:szCs w:val="26"/>
          <w:lang w:val="en-US"/>
        </w:rPr>
      </w:pPr>
      <w:r>
        <w:rPr>
          <w:rFonts w:ascii="Book Antiqua" w:hAnsi="Book Antiqua"/>
          <w:b/>
          <w:sz w:val="26"/>
          <w:szCs w:val="26"/>
          <w:lang w:val="en-US"/>
        </w:rPr>
        <w:t>ASSESSMENT OF THE IMPACT ON THE ATMOSPHERIC AIR OF ENTERPRISES FOR THE PRODUCTION OF FOOTWEAR ON</w:t>
      </w:r>
      <w:r>
        <w:rPr>
          <w:rFonts w:ascii="Book Antiqua" w:hAnsi="Book Antiqua" w:cs="Courier New"/>
          <w:b/>
          <w:color w:val="212121"/>
          <w:sz w:val="26"/>
          <w:szCs w:val="26"/>
          <w:lang w:val="en"/>
        </w:rPr>
        <w:t xml:space="preserve"> </w:t>
      </w:r>
      <w:r>
        <w:rPr>
          <w:rFonts w:ascii="Book Antiqua" w:hAnsi="Book Antiqua"/>
          <w:b/>
          <w:sz w:val="26"/>
          <w:szCs w:val="26"/>
          <w:lang w:val="en-US"/>
        </w:rPr>
        <w:t>THE</w:t>
      </w:r>
      <w:r>
        <w:rPr>
          <w:rFonts w:ascii="Book Antiqua" w:hAnsi="Book Antiqua" w:cs="Courier New"/>
          <w:b/>
          <w:color w:val="212121"/>
          <w:sz w:val="26"/>
          <w:szCs w:val="26"/>
          <w:lang w:val="en"/>
        </w:rPr>
        <w:t xml:space="preserve"> </w:t>
      </w:r>
      <w:r>
        <w:rPr>
          <w:rFonts w:ascii="Book Antiqua" w:hAnsi="Book Antiqua"/>
          <w:b/>
          <w:sz w:val="26"/>
          <w:szCs w:val="26"/>
          <w:lang w:val="en-US"/>
        </w:rPr>
        <w:t>EXAMPLE OF LLC MTPK "KANGJI"</w:t>
      </w:r>
    </w:p>
    <w:p w:rsidR="00517711" w:rsidRDefault="005177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0" w:after="20" w:line="240" w:lineRule="auto"/>
        <w:jc w:val="center"/>
        <w:rPr>
          <w:rFonts w:ascii="inherit" w:hAnsi="inherit" w:cs="Courier New"/>
          <w:b/>
          <w:color w:val="212121"/>
          <w:sz w:val="24"/>
          <w:szCs w:val="20"/>
          <w:lang w:val="en-US"/>
        </w:rPr>
      </w:pPr>
    </w:p>
    <w:p w:rsidR="00517711" w:rsidRDefault="00F815BE">
      <w:pPr>
        <w:pStyle w:val="HTML"/>
        <w:shd w:val="clear" w:color="auto" w:fill="FFFFFF"/>
        <w:spacing w:before="20" w:after="20"/>
        <w:jc w:val="both"/>
        <w:rPr>
          <w:rFonts w:ascii="Times New Roman" w:hAnsi="Times New Roman" w:cs="Times New Roman"/>
          <w:i/>
          <w:sz w:val="22"/>
          <w:szCs w:val="24"/>
          <w:lang w:val="en-US"/>
        </w:rPr>
      </w:pPr>
      <w:r>
        <w:rPr>
          <w:rFonts w:ascii="Times New Roman" w:hAnsi="Times New Roman" w:cs="Times New Roman"/>
          <w:i/>
          <w:sz w:val="24"/>
          <w:szCs w:val="24"/>
          <w:lang w:val="en-US"/>
        </w:rPr>
        <w:tab/>
      </w:r>
      <w:r>
        <w:rPr>
          <w:rFonts w:ascii="Times New Roman" w:hAnsi="Times New Roman" w:cs="Times New Roman"/>
          <w:i/>
          <w:sz w:val="22"/>
          <w:szCs w:val="24"/>
          <w:lang w:val="en-US"/>
        </w:rPr>
        <w:t>In the present work, an assessment of the effect on the atmospheric air of the shoe manufacturing enterprise of OOO KTPM "Kangji". The distribution of pollutant emissions by sources of pollution, distribution of pollutant emissions by hazard class was studied. The substances that have the greatest impact on the environment have been identified. The payment for emissions of polluting substances for the given enterprise is calculated.</w:t>
      </w:r>
    </w:p>
    <w:p w:rsidR="00517711" w:rsidRDefault="00F815BE">
      <w:pPr>
        <w:pStyle w:val="HTML"/>
        <w:spacing w:before="20" w:after="20"/>
        <w:ind w:firstLine="709"/>
        <w:rPr>
          <w:rFonts w:ascii="Times New Roman" w:hAnsi="Times New Roman" w:cs="Times New Roman"/>
          <w:i/>
          <w:sz w:val="22"/>
          <w:szCs w:val="24"/>
          <w:lang w:val="en-US"/>
        </w:rPr>
      </w:pPr>
      <w:r>
        <w:rPr>
          <w:rFonts w:ascii="Times New Roman" w:hAnsi="Times New Roman" w:cs="Times New Roman"/>
          <w:b/>
          <w:i/>
          <w:sz w:val="22"/>
          <w:szCs w:val="24"/>
          <w:lang w:val="en-US"/>
        </w:rPr>
        <w:t>Key</w:t>
      </w:r>
      <w:r>
        <w:rPr>
          <w:rFonts w:ascii="Times New Roman" w:hAnsi="Times New Roman" w:cs="Times New Roman"/>
          <w:i/>
          <w:sz w:val="22"/>
          <w:szCs w:val="24"/>
          <w:lang w:val="en-US"/>
        </w:rPr>
        <w:t xml:space="preserve"> </w:t>
      </w:r>
      <w:r>
        <w:rPr>
          <w:rFonts w:ascii="Times New Roman" w:hAnsi="Times New Roman" w:cs="Times New Roman"/>
          <w:b/>
          <w:i/>
          <w:sz w:val="22"/>
          <w:szCs w:val="24"/>
          <w:lang w:val="en-US"/>
        </w:rPr>
        <w:t>words</w:t>
      </w:r>
      <w:r>
        <w:rPr>
          <w:rFonts w:ascii="Times New Roman" w:hAnsi="Times New Roman" w:cs="Times New Roman"/>
          <w:i/>
          <w:sz w:val="22"/>
          <w:szCs w:val="24"/>
          <w:lang w:val="en-US"/>
        </w:rPr>
        <w:t>: rationing, atmospheric air, source of contamination, maximum permissible emissions, hazard classes.</w:t>
      </w:r>
    </w:p>
    <w:p w:rsidR="00517711" w:rsidRDefault="00517711">
      <w:pPr>
        <w:spacing w:before="20" w:after="20" w:line="240" w:lineRule="auto"/>
        <w:ind w:firstLine="709"/>
        <w:jc w:val="both"/>
        <w:rPr>
          <w:rFonts w:ascii="Times New Roman" w:hAnsi="Times New Roman"/>
          <w:sz w:val="24"/>
          <w:szCs w:val="24"/>
          <w:lang w:val="en-US"/>
        </w:rPr>
      </w:pP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Нормирование качества окружающей природной среды производится с целью установления предельно - допустимых норм воздействия на окружающую природную среду, гарантирующих экологическую безопасность населения и сохранение генетического фонда, обеспечивающие рациональное использование и воспроизводство природных ресурсов в условиях устойчивого развития хозяйственной деятельности [1]</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Предельно допустимые выбросы (ПДВ) являются экологическим нормативом, установленным для каждого конкретного источника загрязнения атмосферы, при условии, что выбросы вредных веществ от него и всей совокупности источников объекта с учетом их рассеивания и превращения в атмосфере не создадут приземных концентраций, превышающих установленные нормативы качества воздуха [1].</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Общество с ограниченной ответственностью международная торгово-промышленная компания «Канцзи» (ООО МТПК «Канцзи») располагается в г. Уссурийск Приморского края. Основным видом деятельности является производство обуви: сборка готовой обуви с использованием клеевого метода крепления низа обуви. метода прессовой вулканизации и метода горячего литья. На промплощадке также производится изготовление мебели (деревообрабатываюrций и окрасочный участки). Теплоснабжение промплощадки осуществляется от собственной котельной, в качестве топлива используются уголь и дрова. </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На промплощадке расположены следующие объекты, оказывающие влияние на загрязнение атмосферы в районе расположения предприятия: </w:t>
      </w:r>
    </w:p>
    <w:p w:rsidR="00517711" w:rsidRDefault="00F815BE">
      <w:pPr>
        <w:pStyle w:val="af4"/>
        <w:widowControl w:val="0"/>
        <w:numPr>
          <w:ilvl w:val="0"/>
          <w:numId w:val="48"/>
        </w:numPr>
        <w:shd w:val="clear" w:color="auto" w:fill="FFFFFF"/>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котельная, включая склад угля и склад золы;</w:t>
      </w:r>
    </w:p>
    <w:p w:rsidR="00517711" w:rsidRDefault="00F815BE">
      <w:pPr>
        <w:pStyle w:val="af4"/>
        <w:widowControl w:val="0"/>
        <w:numPr>
          <w:ilvl w:val="0"/>
          <w:numId w:val="48"/>
        </w:numPr>
        <w:shd w:val="clear" w:color="auto" w:fill="FFFFFF"/>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цеха для сборки готовой обуви;</w:t>
      </w:r>
    </w:p>
    <w:p w:rsidR="00517711" w:rsidRDefault="00F815BE">
      <w:pPr>
        <w:pStyle w:val="af4"/>
        <w:widowControl w:val="0"/>
        <w:numPr>
          <w:ilvl w:val="0"/>
          <w:numId w:val="48"/>
        </w:numPr>
        <w:shd w:val="clear" w:color="auto" w:fill="FFFFFF"/>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мебельный цех с деревообрабатывающим и окрасочными участками.</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Выбросы в атмосферу на предприятии осуществляются 13 источниками загрязнения. Котельная включает в себя 4 источника выделения загрязняющих веществ, сборка обуви - 6 источников и мебельный цех - 3 источника.</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Суммарный выброс загрязняющих веществ в атмосферу составляет 13,976639 т/год. распределение выбросов показано на рисунке 1</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Наибольший вклад в количество выбросов вносят источники котельной, доля их выбросов составляет 67,32 %, на сборку обуви приходится 28,24 %, на мебельный цех 4,44 %</w:t>
      </w:r>
    </w:p>
    <w:p w:rsidR="00517711" w:rsidRDefault="00F815BE">
      <w:pPr>
        <w:spacing w:before="20" w:after="20" w:line="240" w:lineRule="auto"/>
        <w:jc w:val="center"/>
        <w:rPr>
          <w:rFonts w:ascii="Times New Roman" w:hAnsi="Times New Roman" w:cs="Times New Roman"/>
          <w:color w:val="000000"/>
          <w:sz w:val="20"/>
          <w:szCs w:val="20"/>
        </w:rPr>
      </w:pPr>
      <w:r>
        <w:rPr>
          <w:rFonts w:ascii="Times New Roman" w:hAnsi="Times New Roman" w:cs="Times New Roman"/>
          <w:noProof/>
          <w:color w:val="000000" w:themeColor="text1"/>
          <w:sz w:val="20"/>
          <w:szCs w:val="20"/>
          <w:lang w:eastAsia="ru-RU"/>
        </w:rPr>
        <w:lastRenderedPageBreak/>
        <w:drawing>
          <wp:inline distT="0" distB="0" distL="0" distR="0">
            <wp:extent cx="5052060" cy="3027678"/>
            <wp:effectExtent l="0" t="0" r="0" b="0"/>
            <wp:docPr id="79"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9"/>
              </a:graphicData>
            </a:graphic>
          </wp:inline>
        </w:drawing>
      </w:r>
    </w:p>
    <w:p w:rsidR="00517711" w:rsidRDefault="00F815BE">
      <w:pPr>
        <w:spacing w:before="20" w:after="2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Рис.1. Распределение выбросов загрязняющих веществ источниками </w:t>
      </w:r>
    </w:p>
    <w:p w:rsidR="00517711" w:rsidRDefault="00F815BE">
      <w:pPr>
        <w:spacing w:before="20" w:after="2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ООО МТПК «Канцзи», т/год </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В процессе производственной деятельности предприятия в атмосферу выбрасывается 29 наименований загрязняющих веществ (ЗВ) - 6 твердых и 23 жидких и газообразных. Суммарный выброс ЗВ в атмосферу составляет 13,976639 т/год. Причем основная часть выбросов 10,459288 т/год (75,84%) приходится на жидкие и газообразные ЗВ, а на долю твердых приходится 25,17 % или 3,517351 т/год. </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Больше половины выбросов твердых ЗВ приходится на вещество 0328 Углерод (Сажа) (54,72 %). В совокупности с веществом 2908 Пыль неорганическая: 70-20% SiO</w:t>
      </w:r>
      <w:r>
        <w:rPr>
          <w:rFonts w:ascii="Times New Roman" w:hAnsi="Times New Roman" w:cs="Times New Roman"/>
          <w:color w:val="000000" w:themeColor="text1"/>
          <w:sz w:val="20"/>
          <w:szCs w:val="20"/>
          <w:vertAlign w:val="subscript"/>
        </w:rPr>
        <w:t>2</w:t>
      </w:r>
      <w:r>
        <w:rPr>
          <w:rFonts w:ascii="Times New Roman" w:hAnsi="Times New Roman" w:cs="Times New Roman"/>
          <w:color w:val="000000" w:themeColor="text1"/>
          <w:sz w:val="20"/>
          <w:szCs w:val="20"/>
        </w:rPr>
        <w:t xml:space="preserve"> доля выбросов твердых ЗВ возрастает до 94,70 %. А вещество 2902 Взвешенные вещества увеличивает это значение до 98,67 % и составляет 3,470404 т/год. Вклад оставшихся трех твердых ЗВ незначителен. Основным источником выбросов твердых веществ является котельная. Наибольшая приземная концентрация твердых веществ приходится на вещества 0328 Углерод (Сажа) и 2909 Пыль неорганическая: до 20% SiO</w:t>
      </w:r>
      <w:r>
        <w:rPr>
          <w:rFonts w:ascii="Times New Roman" w:hAnsi="Times New Roman" w:cs="Times New Roman"/>
          <w:color w:val="000000" w:themeColor="text1"/>
          <w:sz w:val="20"/>
          <w:szCs w:val="20"/>
          <w:vertAlign w:val="subscript"/>
        </w:rPr>
        <w:t>2</w:t>
      </w:r>
      <w:r>
        <w:rPr>
          <w:rFonts w:ascii="Times New Roman" w:hAnsi="Times New Roman" w:cs="Times New Roman"/>
          <w:color w:val="000000" w:themeColor="text1"/>
          <w:sz w:val="20"/>
          <w:szCs w:val="20"/>
        </w:rPr>
        <w:t>- 0,56 и 0,82 долей от соответствующих ПДК населенных мест, что не превышает допустимого значения, поэтому принимается в качестве допустимого выброса [2]. Так как котельная отапливается различными типами топлива (дровами и углем), то контроль за выбросами ЗВ необходимо вести постоянно, т.к. превышение нормативных значений может привести к негативным последствиям, в первую очередь, для работников предприятия.</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Сажа входит в категорию частиц, опасных для лёгких, так как частицы менее пяти микрон в диаметре не отфильтровываются в верхних дыхательных путях и обладают канцерогенными свойствами [3]. </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Что касается пыли, то наибольшим фиброгенным действием обладают пылеватые частицы, содержащие свободную двуокись кремния (SiO</w:t>
      </w:r>
      <w:r>
        <w:rPr>
          <w:rFonts w:ascii="Times New Roman" w:hAnsi="Times New Roman" w:cs="Times New Roman"/>
          <w:color w:val="000000" w:themeColor="text1"/>
          <w:sz w:val="20"/>
          <w:szCs w:val="20"/>
          <w:vertAlign w:val="subscript"/>
        </w:rPr>
        <w:t>2</w:t>
      </w:r>
      <w:r>
        <w:rPr>
          <w:rFonts w:ascii="Times New Roman" w:hAnsi="Times New Roman" w:cs="Times New Roman"/>
          <w:color w:val="000000" w:themeColor="text1"/>
          <w:sz w:val="20"/>
          <w:szCs w:val="20"/>
        </w:rPr>
        <w:t>). Загрязнение поверхности тела пылью приводит к гнойничковым заболеваниям и экземам. Попадание пыли в глаза вызывает воспалительный процесс слизистых оболочек – конъюнктивит.</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Из выбросов жидких и газообразных ЗВ 82,67 % выбросов приходится на два вещества: 0337 Углерод оксид и 1401 Пропан-2-он (Ацетон) - 52,19 % и 30,48 % соответственно от выбросов жидких и газообразных веществ.</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Выбросы остальных жидких и газообразных ЗВ по долевому участию условно можно разделить на 3 группы, по семь ЗВ в каждой</w:t>
      </w:r>
    </w:p>
    <w:p w:rsidR="00517711" w:rsidRDefault="00F815BE">
      <w:pPr>
        <w:pStyle w:val="af4"/>
        <w:numPr>
          <w:ilvl w:val="0"/>
          <w:numId w:val="49"/>
        </w:numPr>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Вещества с долевым выбросом от 1 до 3 %. Общий вклад - 13,73 % или 0,186796 т/год.</w:t>
      </w:r>
    </w:p>
    <w:p w:rsidR="00517711" w:rsidRDefault="00F815BE">
      <w:pPr>
        <w:pStyle w:val="af4"/>
        <w:numPr>
          <w:ilvl w:val="0"/>
          <w:numId w:val="49"/>
        </w:numPr>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Вещества с долевым выбросом от 0,1 до 1%. Общий вклад - 3,37 % или 0,069323 т/год.</w:t>
      </w:r>
    </w:p>
    <w:p w:rsidR="00517711" w:rsidRDefault="00F815BE">
      <w:pPr>
        <w:pStyle w:val="af4"/>
        <w:numPr>
          <w:ilvl w:val="0"/>
          <w:numId w:val="49"/>
        </w:numPr>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Вещества с долевым выбросом менее 0,1 %. Общий вклад - 0,22 % или 0,004153 т/год.</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А максимальная приземная концентрация приходится на 1401 Пропан-2-он (Ацетон) - 0,55 долей от соответствующих ПДК населенных мест, что также как и по твердым веществам не превышает допустимого значения и поэтому принимается в качестве допустимого выброса. Основным вкладчиком этого вещества в выбросы являются линии по сборке обуви клеевым методом. Одна из основных опасностей при работе с ацетоном — его легковоспламеняемость. Температура самовоспламенения +465 °C, температура вспышки −20 °C. Воздушные смеси, содержащие от 2,5 % до 12,8 % (по объёму), взрывоопасны. С этим необходимо считаться, так как ацетон быстро испаряется, и образующееся облако может распространиться до места воспламенения (нагрев или искра) вдали от места работы с ним. Ацетон ядовит, но относится к малоопасным веществам. Сильно раздражает слизистые оболочки: длительное вдыхание больших концентраций паров приводит к возникновению воспаления слизистых оболочек, отёку лёгких и токсической пневмонии. Пары оказывают слабое наркотическое действие, сопровождаемое, чаще всего, дисфорией. При попадании внутрь </w:t>
      </w:r>
      <w:r>
        <w:rPr>
          <w:rFonts w:ascii="Times New Roman" w:hAnsi="Times New Roman" w:cs="Times New Roman"/>
          <w:color w:val="000000" w:themeColor="text1"/>
          <w:sz w:val="20"/>
          <w:szCs w:val="20"/>
        </w:rPr>
        <w:lastRenderedPageBreak/>
        <w:t>вызывает состояние опьянения, сопровождаемое слабостью и головокружением, нередко — болями в животе; в существенных количествах возникает выраженная интоксикация, хотя, как правило, отравления ацетоном не смертельны. Возможно поражение печени (токсический гепатит), почек (уменьшение диуреза, появление крови и белка в моче) и коматозное состояние. При ингаляционном воздействии ацетон выводится гораздо медленнее (в течение нескольких часов), чем поступает, и поэтому может накапливаться в организме [4,5].</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От источников загрязнения атмосферы ООО МТПК «Канцзи» выбрасываются вещества всех классов опасности и вещества без класса опасности, с установленным ОБУВ. Распределение выбросов по классам опасности показано на рисунке 2</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Как видно из рисунка наибольшая доля выбросов (63,59 %) приходится на вещества 4 класса опасности. К 4 классу относятся 6 загрязняющих веществ, но основной вклад вносят два - 0337 Углерод оксид и 1401 Пропан-2-он (Ацетон), о которых уже упоминалось выше. Их долевой вклад в выбросы загрязняющих веществ 4 класса составляет 97,29 %, причем на Углерод оксид приходится 5,459135 т/год или 39,06 % от общего количества выбросов и 61,42 % от выбросов веществ 4 класса опасности [7]. Не смотря на внушительный вклад в общее количество выбросов приземная концентрация углерод оксида составила менее 0,05 долей от соответствующих ПДК населенных мест. Однако не стоит забывать, что Углерод оксид — это угарный газ — бесцветный ядовитый газ (при нормальных условиях) без вкуса и запаха. Угарный газ очень опасен, так как не имеет запаха и вызывает отравление и даже смерть. Признаки отравления: головная боль и головокружение; отмечается шум в ушах, одышка, сердцебиение, мерцание перед глазами, покраснение лица, общая слабость, тош-нота, иногда рвота; в тяжёлых случаях судороги, потеря сознания, кома [8]  </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Вещества 1401 Пропан-2-он (Ацетон) выбрасывается 3,187739 т/год или 22,81 % от общего количества выбросов и 35,87 % от выбросов веществ 4 класса опасности.</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Значительную долю выбросов (31,04 %) составляют вещества 3 класса опасности, а  доля 1 и 2ласса составляет 1,94 и 1,08 % соответственно.</w:t>
      </w:r>
    </w:p>
    <w:p w:rsidR="00517711" w:rsidRDefault="00F815BE">
      <w:pPr>
        <w:spacing w:before="20" w:after="20" w:line="240" w:lineRule="auto"/>
        <w:jc w:val="center"/>
        <w:rPr>
          <w:rFonts w:ascii="Times New Roman" w:hAnsi="Times New Roman" w:cs="Times New Roman"/>
          <w:color w:val="000000"/>
          <w:sz w:val="20"/>
          <w:szCs w:val="20"/>
        </w:rPr>
      </w:pPr>
      <w:r>
        <w:rPr>
          <w:rFonts w:ascii="Times New Roman" w:hAnsi="Times New Roman" w:cs="Times New Roman"/>
          <w:noProof/>
          <w:color w:val="000000" w:themeColor="text1"/>
          <w:sz w:val="20"/>
          <w:szCs w:val="20"/>
          <w:lang w:eastAsia="ru-RU"/>
        </w:rPr>
        <w:drawing>
          <wp:inline distT="0" distB="0" distL="0" distR="0">
            <wp:extent cx="5600698" cy="3359148"/>
            <wp:effectExtent l="0" t="0" r="0" b="0"/>
            <wp:docPr id="80"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0"/>
              </a:graphicData>
            </a:graphic>
          </wp:inline>
        </w:drawing>
      </w:r>
    </w:p>
    <w:p w:rsidR="00517711" w:rsidRDefault="00F815BE">
      <w:pPr>
        <w:spacing w:before="20" w:after="2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Рис.2. Распределение выбросов загрязняющих веществ по классам опасности, т/год</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Согласно п.5 Постановления Правительства РФ от 28.09.2015 № 1029 ООО МТПК «Канцзи» относится к объектам III категории по критериям отнесения объектов, оказывающих незначительное негативное воздействие на окружающую среду [5]. Но не тем не менее от платы за негативное воздействие на атмосферный воздух предприятие не освобождается, так как выбрасывает более 10 тонн в год.</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Законодательные основы для расчета определены в статье 16.3 Федерального закона от 10.01.2002 № 7-ФЗ и постановлении Правительства РФ от 13.09.2016 № 913 (о ставках платы). Данное постановление отменило коэффициенты и нормативы, действовавшие ранее. Обязательный коэффициент инфляции номинально не используется. Ставки, утвержденные правительством на 2016-2018 годы, уже проиндексированы [1, 6].</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Плата за негативное воздействие на окружающую среду не налог (не регулируется НК РФ), но при этом относится к обязательному платежу, направленному на восполнение экологического ущерба. Данная плата призвана стимулировать юридические лица и индивидуальных предпринимателей минимизировать вредное воздействие на природу и проводить мероприятия по улучшению экологической обстановки в регионах [9].</w:t>
      </w:r>
    </w:p>
    <w:p w:rsidR="00517711" w:rsidRDefault="00F815BE">
      <w:pPr>
        <w:spacing w:before="20" w:after="2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themeColor="text1"/>
          <w:sz w:val="20"/>
          <w:szCs w:val="20"/>
        </w:rPr>
        <w:t xml:space="preserve">Но в нашем случае о стимулировании не может быть и речи, т.к. плата за негативное воздействие на атмосферный воздух от источников предприятия составляет всего 628,02 рубля в год и эта сумма намного меньше любых природоохранных мероприятий. </w:t>
      </w:r>
      <w:r>
        <w:rPr>
          <w:rFonts w:ascii="Times New Roman" w:hAnsi="Times New Roman" w:cs="Times New Roman"/>
          <w:color w:val="000000" w:themeColor="text1"/>
          <w:sz w:val="20"/>
          <w:szCs w:val="20"/>
          <w:shd w:val="clear" w:color="auto" w:fill="FFFFFF"/>
        </w:rPr>
        <w:t xml:space="preserve">Необходим более разумный подход к природохозяйственному </w:t>
      </w:r>
      <w:r>
        <w:rPr>
          <w:rFonts w:ascii="Times New Roman" w:hAnsi="Times New Roman" w:cs="Times New Roman"/>
          <w:color w:val="000000" w:themeColor="text1"/>
          <w:sz w:val="20"/>
          <w:szCs w:val="20"/>
          <w:shd w:val="clear" w:color="auto" w:fill="FFFFFF"/>
        </w:rPr>
        <w:lastRenderedPageBreak/>
        <w:t xml:space="preserve">управлению. Желательно, чтобы платежи за негативное воздействие на окружающую среду стимулировали предприятия на проведение разумной природоохранной политики. В настоящее время критерием нормативной ставки платежей за выбросы является тонна в год. На наш взгляд необходимо учитывать класс опасности, статистические данные о количестве образующихся выбросов и другие экологические, экономические и социальные факторы. За отдельные вещества оставить старый критерий, а за более токсичные, к примеру, установить норматив платы за килограмм, грамм, миллиграмм. </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Подводя итог вышесказанному можно сделать следующие выводы: </w:t>
      </w:r>
    </w:p>
    <w:p w:rsidR="00517711" w:rsidRDefault="00F815BE">
      <w:pPr>
        <w:pStyle w:val="af4"/>
        <w:numPr>
          <w:ilvl w:val="0"/>
          <w:numId w:val="19"/>
        </w:numPr>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Выбросы в атмосферу на предприятии осуществляются 13 источниками загрязнения атмосферы, которые выбрасывают 29 загрязняющих веществ, общим количеством 13 тонн 976 кг 639 г. Наибольший вклад вносит котельная - 9,409191 т/год или 67,32 % от общего количества выбросов</w:t>
      </w:r>
    </w:p>
    <w:p w:rsidR="00517711" w:rsidRDefault="00F815BE">
      <w:pPr>
        <w:pStyle w:val="af4"/>
        <w:numPr>
          <w:ilvl w:val="0"/>
          <w:numId w:val="19"/>
        </w:numPr>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Основная часть выбросов приходится на 23 жидких и газообразных загрязняющих веществ — 10,459288 т/год или 75,84% от общего количества выбросов.</w:t>
      </w:r>
    </w:p>
    <w:p w:rsidR="00517711" w:rsidRDefault="00F815BE">
      <w:pPr>
        <w:pStyle w:val="af4"/>
        <w:numPr>
          <w:ilvl w:val="0"/>
          <w:numId w:val="19"/>
        </w:numPr>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В выбросах загрязняющих веществ от источников загрязнения атмосферы содержатся вещества всех классов опасности и вещества без класса опасности, с установленным ОБУВ. Наибольший вклад в выбросы загрязняющих веществ приходится на вещества 4 класса опасности — 8,887944 т/год или 63,59 % от общего количества выбросов и 3 класса — 4,338065 т/год или 31,04 %.</w:t>
      </w:r>
    </w:p>
    <w:p w:rsidR="00517711" w:rsidRDefault="00F815BE">
      <w:pPr>
        <w:pStyle w:val="af4"/>
        <w:numPr>
          <w:ilvl w:val="0"/>
          <w:numId w:val="19"/>
        </w:numPr>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Воздействие на окружающую среду свыше 0,05 долей от соответствующих ПДК населенных мест оказывают 14 загрязняющих веществ. Наибольшее воздействие оказывает вещество 2909 Пыль неорганическая: до 20% SiO</w:t>
      </w:r>
      <w:r>
        <w:rPr>
          <w:rFonts w:ascii="Times New Roman" w:hAnsi="Times New Roman"/>
          <w:color w:val="000000" w:themeColor="text1"/>
          <w:sz w:val="20"/>
          <w:szCs w:val="20"/>
          <w:vertAlign w:val="subscript"/>
        </w:rPr>
        <w:t>2</w:t>
      </w:r>
      <w:r>
        <w:rPr>
          <w:rFonts w:ascii="Times New Roman" w:hAnsi="Times New Roman"/>
          <w:color w:val="000000" w:themeColor="text1"/>
          <w:sz w:val="20"/>
          <w:szCs w:val="20"/>
        </w:rPr>
        <w:t xml:space="preserve">, выделяющееся при разгрузке и хранении угля на складе, максимальная концентрация которого 0,82 доли ПДК. </w:t>
      </w:r>
    </w:p>
    <w:p w:rsidR="00517711" w:rsidRDefault="00F815BE">
      <w:pPr>
        <w:pStyle w:val="af4"/>
        <w:numPr>
          <w:ilvl w:val="0"/>
          <w:numId w:val="19"/>
        </w:numPr>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Плата за выбросы загрязняющих веществ составляет 628 рублей и 02 копейки, т.е. проводить природоохранные мероприятия предприятию экономически не выгодно. Поэтому необходимо совершенствовать природоохранное законодательство для совершенствования природохозяйственной политики предприятий.</w:t>
      </w:r>
    </w:p>
    <w:p w:rsidR="00517711" w:rsidRDefault="00F815BE">
      <w:pPr>
        <w:spacing w:before="20" w:after="2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______________________________</w:t>
      </w:r>
    </w:p>
    <w:p w:rsidR="00517711" w:rsidRDefault="00F815BE">
      <w:pPr>
        <w:pStyle w:val="af4"/>
        <w:numPr>
          <w:ilvl w:val="0"/>
          <w:numId w:val="50"/>
        </w:numPr>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Федеральный закон от 10.01.2002 № 7-ФЗ (ред. от 31.12.2017) «Об охране окружающей среды» [Электронный ресурс] // СПС «Консультант плюс». – Режим доступа: http://www.consultant.ru/document/cons_doc_LAW_34823/2c6b18cdf7d7418a7e3c3901ffc7906039862b2d/</w:t>
      </w:r>
    </w:p>
    <w:p w:rsidR="00517711" w:rsidRDefault="00F815BE">
      <w:pPr>
        <w:pStyle w:val="af4"/>
        <w:numPr>
          <w:ilvl w:val="0"/>
          <w:numId w:val="50"/>
        </w:numPr>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Методическое пособие по расчету, нормированию и контролю выбросов загрязняющих веществ в атмосферный воздух (дополненное и переработанное) / СПб, ОАО «НИИ Атмосфера», 2012. – 224 с.</w:t>
      </w:r>
    </w:p>
    <w:p w:rsidR="00517711" w:rsidRDefault="00F815BE">
      <w:pPr>
        <w:pStyle w:val="af4"/>
        <w:numPr>
          <w:ilvl w:val="0"/>
          <w:numId w:val="50"/>
        </w:numPr>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 xml:space="preserve">Опасность и вред сажи для человека. [Электронный ресурс] // Экобаланс. – Режим доступа: </w:t>
      </w:r>
      <w:hyperlink r:id="rId121" w:history="1">
        <w:r>
          <w:rPr>
            <w:rStyle w:val="aa"/>
            <w:rFonts w:ascii="Times New Roman" w:hAnsi="Times New Roman"/>
            <w:color w:val="000000" w:themeColor="text1"/>
            <w:sz w:val="20"/>
            <w:szCs w:val="20"/>
            <w:lang w:val="en-US"/>
          </w:rPr>
          <w:t>http</w:t>
        </w:r>
        <w:r>
          <w:rPr>
            <w:rStyle w:val="aa"/>
            <w:rFonts w:ascii="Times New Roman" w:hAnsi="Times New Roman"/>
            <w:color w:val="000000" w:themeColor="text1"/>
            <w:sz w:val="20"/>
            <w:szCs w:val="20"/>
          </w:rPr>
          <w:t>://</w:t>
        </w:r>
        <w:r>
          <w:rPr>
            <w:rStyle w:val="aa"/>
            <w:rFonts w:ascii="Times New Roman" w:hAnsi="Times New Roman"/>
            <w:color w:val="000000" w:themeColor="text1"/>
            <w:sz w:val="20"/>
            <w:szCs w:val="20"/>
            <w:lang w:val="en-US"/>
          </w:rPr>
          <w:t>ekobalans</w:t>
        </w:r>
        <w:r>
          <w:rPr>
            <w:rStyle w:val="aa"/>
            <w:rFonts w:ascii="Times New Roman" w:hAnsi="Times New Roman"/>
            <w:color w:val="000000" w:themeColor="text1"/>
            <w:sz w:val="20"/>
            <w:szCs w:val="20"/>
          </w:rPr>
          <w:t>.</w:t>
        </w:r>
        <w:r>
          <w:rPr>
            <w:rStyle w:val="aa"/>
            <w:rFonts w:ascii="Times New Roman" w:hAnsi="Times New Roman"/>
            <w:color w:val="000000" w:themeColor="text1"/>
            <w:sz w:val="20"/>
            <w:szCs w:val="20"/>
            <w:lang w:val="en-US"/>
          </w:rPr>
          <w:t>ru</w:t>
        </w:r>
        <w:r>
          <w:rPr>
            <w:rStyle w:val="aa"/>
            <w:rFonts w:ascii="Times New Roman" w:hAnsi="Times New Roman"/>
            <w:color w:val="000000" w:themeColor="text1"/>
            <w:sz w:val="20"/>
            <w:szCs w:val="20"/>
          </w:rPr>
          <w:t>/</w:t>
        </w:r>
        <w:r>
          <w:rPr>
            <w:rStyle w:val="aa"/>
            <w:rFonts w:ascii="Times New Roman" w:hAnsi="Times New Roman"/>
            <w:color w:val="000000" w:themeColor="text1"/>
            <w:sz w:val="20"/>
            <w:szCs w:val="20"/>
            <w:lang w:val="en-US"/>
          </w:rPr>
          <w:t>index</w:t>
        </w:r>
        <w:r>
          <w:rPr>
            <w:rStyle w:val="aa"/>
            <w:rFonts w:ascii="Times New Roman" w:hAnsi="Times New Roman"/>
            <w:color w:val="000000" w:themeColor="text1"/>
            <w:sz w:val="20"/>
            <w:szCs w:val="20"/>
          </w:rPr>
          <w:t>.</w:t>
        </w:r>
        <w:r>
          <w:rPr>
            <w:rStyle w:val="aa"/>
            <w:rFonts w:ascii="Times New Roman" w:hAnsi="Times New Roman"/>
            <w:color w:val="000000" w:themeColor="text1"/>
            <w:sz w:val="20"/>
            <w:szCs w:val="20"/>
            <w:lang w:val="en-US"/>
          </w:rPr>
          <w:t>php</w:t>
        </w:r>
        <w:r>
          <w:rPr>
            <w:rStyle w:val="aa"/>
            <w:rFonts w:ascii="Times New Roman" w:hAnsi="Times New Roman"/>
            <w:color w:val="000000" w:themeColor="text1"/>
            <w:sz w:val="20"/>
            <w:szCs w:val="20"/>
          </w:rPr>
          <w:t>?</w:t>
        </w:r>
        <w:r>
          <w:rPr>
            <w:rStyle w:val="aa"/>
            <w:rFonts w:ascii="Times New Roman" w:hAnsi="Times New Roman"/>
            <w:color w:val="000000" w:themeColor="text1"/>
            <w:sz w:val="20"/>
            <w:szCs w:val="20"/>
            <w:lang w:val="en-US"/>
          </w:rPr>
          <w:t>id</w:t>
        </w:r>
        <w:r>
          <w:rPr>
            <w:rStyle w:val="aa"/>
            <w:rFonts w:ascii="Times New Roman" w:hAnsi="Times New Roman"/>
            <w:color w:val="000000" w:themeColor="text1"/>
            <w:sz w:val="20"/>
            <w:szCs w:val="20"/>
          </w:rPr>
          <w:t>=79</w:t>
        </w:r>
      </w:hyperlink>
      <w:r>
        <w:rPr>
          <w:rFonts w:ascii="Times New Roman" w:hAnsi="Times New Roman"/>
          <w:color w:val="000000" w:themeColor="text1"/>
          <w:sz w:val="20"/>
          <w:szCs w:val="20"/>
        </w:rPr>
        <w:t xml:space="preserve"> </w:t>
      </w:r>
    </w:p>
    <w:p w:rsidR="00517711" w:rsidRDefault="00F815BE">
      <w:pPr>
        <w:pStyle w:val="af4"/>
        <w:numPr>
          <w:ilvl w:val="0"/>
          <w:numId w:val="50"/>
        </w:numPr>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Химическая энциклопедия. — М: Советская энциклопедия, 1988. — Т. 1. — С. 230. — 625 с.</w:t>
      </w:r>
    </w:p>
    <w:p w:rsidR="00517711" w:rsidRDefault="00F815BE">
      <w:pPr>
        <w:pStyle w:val="af4"/>
        <w:numPr>
          <w:ilvl w:val="0"/>
          <w:numId w:val="50"/>
        </w:numPr>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Постановление Правительства РФ от 28.09.2015 № 1029 «Об утверждении критериев отнесения объектов, оказывающих негативное воздействие на окружающую среду, к объектам I, II, III и IV категорий» [Электронный ресурс] // СПС «Консультант плюс». – Режим доступа: http://www.consultant.ru/cons/cgi/online.cgi?req=doc&amp;base=LAW&amp;n= 186693&amp;fld=134&amp;dst=100007,0&amp;rnd=0.6079223462270158#05561877104751796</w:t>
      </w:r>
    </w:p>
    <w:p w:rsidR="00517711" w:rsidRDefault="00F815BE">
      <w:pPr>
        <w:pStyle w:val="af4"/>
        <w:numPr>
          <w:ilvl w:val="0"/>
          <w:numId w:val="50"/>
        </w:numPr>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Постановление Правительства РФ от 13.09.2016 № 913 (ред. от 09.12.2017) «О ставках платы за негативное воздействие на окружающую среду и дополнительных коэффициентах» [Электронный ресурс] // Законы, кодексы и нормативно-правовые акты российской федерации – Режим доступа: http://legalacts.ru/doc/postanovlenie-pravitelstva-rf-ot-13092016-n-913/</w:t>
      </w:r>
    </w:p>
    <w:p w:rsidR="00517711" w:rsidRDefault="00F815BE">
      <w:pPr>
        <w:pStyle w:val="af4"/>
        <w:numPr>
          <w:ilvl w:val="0"/>
          <w:numId w:val="50"/>
        </w:numPr>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Оксид углерода(II). [Электронный ресурс] / Академик – Режим доступа: https://dic.academic.ru/dic.nsf/ruwiki/1073603</w:t>
      </w:r>
    </w:p>
    <w:p w:rsidR="00517711" w:rsidRDefault="00F815BE">
      <w:pPr>
        <w:pStyle w:val="af4"/>
        <w:numPr>
          <w:ilvl w:val="0"/>
          <w:numId w:val="50"/>
        </w:numPr>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Оксид углерода. // Российская энциклопедия по охране труда: В 3 т. — 2-е изд., пе-рераб. и доп. — М.: Изд-во НЦ ЭНАС,2007.</w:t>
      </w:r>
    </w:p>
    <w:p w:rsidR="00517711" w:rsidRDefault="00F815BE">
      <w:pPr>
        <w:pStyle w:val="af4"/>
        <w:numPr>
          <w:ilvl w:val="0"/>
          <w:numId w:val="50"/>
        </w:numPr>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Плата за негативное воздействие на окружающую среду в 2018 году [Электронный ресурс] // Еженедельная профессиональная газета «Учет. Налоги. Право» – Режим доступа: https://www.gazeta-unp.ru/articles/51806-plata-za-negativnoe-vozdeystvie-na-okrujayushchuyu-sredu-v-2018-godu</w:t>
      </w:r>
    </w:p>
    <w:p w:rsidR="00517711" w:rsidRDefault="00517711">
      <w:pPr>
        <w:spacing w:before="20" w:after="20" w:line="360" w:lineRule="auto"/>
        <w:ind w:firstLine="709"/>
        <w:jc w:val="both"/>
        <w:rPr>
          <w:rFonts w:ascii="Times New Roman" w:hAnsi="Times New Roman"/>
          <w:sz w:val="24"/>
          <w:szCs w:val="24"/>
        </w:rPr>
      </w:pPr>
    </w:p>
    <w:p w:rsidR="00517711" w:rsidRDefault="00517711">
      <w:pPr>
        <w:spacing w:after="0" w:line="240" w:lineRule="auto"/>
        <w:rPr>
          <w:rFonts w:ascii="Times New Roman" w:hAnsi="Times New Roman"/>
          <w:b/>
          <w:sz w:val="20"/>
          <w:szCs w:val="24"/>
        </w:rPr>
      </w:pPr>
    </w:p>
    <w:p w:rsidR="00517711" w:rsidRDefault="00517711">
      <w:pPr>
        <w:spacing w:after="0" w:line="240" w:lineRule="auto"/>
        <w:rPr>
          <w:rFonts w:ascii="Times New Roman" w:hAnsi="Times New Roman"/>
          <w:b/>
          <w:sz w:val="20"/>
          <w:szCs w:val="24"/>
        </w:rPr>
      </w:pPr>
    </w:p>
    <w:p w:rsidR="00517711" w:rsidRDefault="00F815BE">
      <w:pPr>
        <w:spacing w:after="0" w:line="240" w:lineRule="auto"/>
        <w:rPr>
          <w:rFonts w:ascii="Times New Roman" w:hAnsi="Times New Roman"/>
          <w:b/>
          <w:sz w:val="20"/>
          <w:szCs w:val="24"/>
        </w:rPr>
      </w:pPr>
      <w:r>
        <w:rPr>
          <w:rFonts w:ascii="Times New Roman" w:hAnsi="Times New Roman"/>
          <w:b/>
          <w:sz w:val="20"/>
          <w:szCs w:val="24"/>
        </w:rPr>
        <w:t>Рубрика: Охрана окружающей среды. Управление качеством окружающей среды</w:t>
      </w:r>
    </w:p>
    <w:p w:rsidR="00517711" w:rsidRDefault="00517711">
      <w:pPr>
        <w:spacing w:after="0" w:line="240" w:lineRule="auto"/>
        <w:rPr>
          <w:rFonts w:ascii="Times New Roman" w:hAnsi="Times New Roman"/>
          <w:sz w:val="20"/>
          <w:szCs w:val="24"/>
        </w:rPr>
      </w:pPr>
    </w:p>
    <w:p w:rsidR="00517711" w:rsidRDefault="00F815BE">
      <w:pPr>
        <w:spacing w:after="0" w:line="240" w:lineRule="auto"/>
        <w:rPr>
          <w:rFonts w:ascii="Times New Roman" w:hAnsi="Times New Roman"/>
          <w:sz w:val="20"/>
          <w:szCs w:val="24"/>
        </w:rPr>
      </w:pPr>
      <w:r>
        <w:rPr>
          <w:rFonts w:ascii="Times New Roman" w:hAnsi="Times New Roman"/>
          <w:sz w:val="20"/>
          <w:szCs w:val="24"/>
        </w:rPr>
        <w:t>УДК 504.06</w:t>
      </w:r>
    </w:p>
    <w:p w:rsidR="00517711" w:rsidRDefault="00517711">
      <w:pPr>
        <w:spacing w:after="0" w:line="240" w:lineRule="auto"/>
        <w:ind w:firstLine="709"/>
        <w:jc w:val="center"/>
        <w:rPr>
          <w:rFonts w:ascii="Times New Roman" w:hAnsi="Times New Roman"/>
          <w:b/>
          <w:sz w:val="24"/>
          <w:szCs w:val="24"/>
        </w:rPr>
      </w:pPr>
    </w:p>
    <w:p w:rsidR="00517711" w:rsidRDefault="00F815BE">
      <w:pPr>
        <w:spacing w:after="0" w:line="240" w:lineRule="auto"/>
        <w:ind w:firstLine="709"/>
        <w:jc w:val="center"/>
        <w:rPr>
          <w:rFonts w:ascii="Book Antiqua" w:hAnsi="Book Antiqua"/>
          <w:b/>
          <w:sz w:val="26"/>
          <w:szCs w:val="26"/>
        </w:rPr>
      </w:pPr>
      <w:r>
        <w:rPr>
          <w:rFonts w:ascii="Book Antiqua" w:hAnsi="Book Antiqua"/>
          <w:b/>
          <w:sz w:val="26"/>
          <w:szCs w:val="26"/>
        </w:rPr>
        <w:t>ИНВЕНТАРИЗАЦИЯ ОТХОДОВ И ОБЪЕКТОВ ИХ РАЗМЕЩЕНИЯ НА ПРИМЕРЕ ПРЕДПРИЯТИЯ ПО ПЕРЕВАЛКЕ УГЛЯ В ПРИБРЕЖНО-МОРСКОЙ ЗОНЕ (ПРИМОРСКИЙ КРАЙ)</w:t>
      </w:r>
    </w:p>
    <w:p w:rsidR="00517711" w:rsidRDefault="00517711">
      <w:pPr>
        <w:spacing w:after="0" w:line="240" w:lineRule="auto"/>
        <w:ind w:firstLine="709"/>
        <w:jc w:val="center"/>
        <w:rPr>
          <w:rFonts w:ascii="Times New Roman" w:hAnsi="Times New Roman"/>
          <w:b/>
          <w:sz w:val="24"/>
          <w:szCs w:val="24"/>
        </w:rPr>
      </w:pPr>
    </w:p>
    <w:p w:rsidR="00517711" w:rsidRDefault="00F815BE">
      <w:pPr>
        <w:spacing w:after="0" w:line="240" w:lineRule="auto"/>
        <w:ind w:firstLine="709"/>
        <w:jc w:val="center"/>
        <w:rPr>
          <w:rFonts w:ascii="Arial" w:hAnsi="Arial" w:cs="Arial"/>
          <w:b/>
          <w:sz w:val="24"/>
          <w:szCs w:val="24"/>
        </w:rPr>
      </w:pPr>
      <w:r>
        <w:rPr>
          <w:rFonts w:ascii="Arial" w:hAnsi="Arial" w:cs="Arial"/>
          <w:b/>
          <w:sz w:val="24"/>
          <w:szCs w:val="24"/>
        </w:rPr>
        <w:t>Кидалова София Сергеевна</w:t>
      </w:r>
    </w:p>
    <w:p w:rsidR="00517711" w:rsidRDefault="00F815BE">
      <w:pPr>
        <w:spacing w:after="0" w:line="240" w:lineRule="auto"/>
        <w:ind w:firstLine="709"/>
        <w:jc w:val="center"/>
        <w:rPr>
          <w:rFonts w:ascii="Arial" w:hAnsi="Arial" w:cs="Arial"/>
          <w:sz w:val="24"/>
          <w:szCs w:val="24"/>
        </w:rPr>
      </w:pPr>
      <w:r>
        <w:rPr>
          <w:rFonts w:ascii="Arial" w:hAnsi="Arial" w:cs="Arial"/>
          <w:sz w:val="24"/>
          <w:szCs w:val="24"/>
        </w:rPr>
        <w:t>Бакалавр 4-го курса, кафедра туризма и экологии</w:t>
      </w:r>
    </w:p>
    <w:p w:rsidR="00517711" w:rsidRDefault="00517711">
      <w:pPr>
        <w:spacing w:after="0" w:line="240" w:lineRule="auto"/>
        <w:ind w:firstLine="709"/>
        <w:jc w:val="center"/>
        <w:rPr>
          <w:rFonts w:ascii="Times New Roman" w:hAnsi="Times New Roman"/>
          <w:i/>
          <w:sz w:val="24"/>
          <w:szCs w:val="24"/>
        </w:rPr>
      </w:pPr>
    </w:p>
    <w:p w:rsidR="00517711" w:rsidRDefault="00F815BE">
      <w:pPr>
        <w:spacing w:after="0" w:line="240" w:lineRule="auto"/>
        <w:ind w:firstLine="709"/>
        <w:jc w:val="center"/>
        <w:rPr>
          <w:rFonts w:ascii="Times New Roman" w:hAnsi="Times New Roman"/>
          <w:i/>
          <w:szCs w:val="24"/>
        </w:rPr>
      </w:pPr>
      <w:r>
        <w:rPr>
          <w:rFonts w:ascii="Times New Roman" w:hAnsi="Times New Roman"/>
          <w:i/>
          <w:szCs w:val="24"/>
        </w:rPr>
        <w:t>Владивостокский государственный университет экономики и сервиса,</w:t>
      </w:r>
    </w:p>
    <w:p w:rsidR="00517711" w:rsidRDefault="00F815BE">
      <w:pPr>
        <w:spacing w:after="0" w:line="240" w:lineRule="auto"/>
        <w:ind w:firstLine="709"/>
        <w:jc w:val="center"/>
        <w:rPr>
          <w:rFonts w:ascii="Times New Roman" w:hAnsi="Times New Roman"/>
          <w:i/>
          <w:sz w:val="24"/>
          <w:szCs w:val="24"/>
        </w:rPr>
      </w:pPr>
      <w:r>
        <w:rPr>
          <w:rFonts w:ascii="Times New Roman" w:hAnsi="Times New Roman"/>
          <w:i/>
          <w:szCs w:val="24"/>
        </w:rPr>
        <w:t>г. Владивосток, Россия</w:t>
      </w:r>
    </w:p>
    <w:p w:rsidR="00517711" w:rsidRDefault="00517711">
      <w:pPr>
        <w:spacing w:after="0" w:line="240" w:lineRule="auto"/>
        <w:ind w:firstLine="709"/>
        <w:jc w:val="center"/>
        <w:rPr>
          <w:rFonts w:ascii="Times New Roman" w:hAnsi="Times New Roman"/>
          <w:sz w:val="24"/>
          <w:szCs w:val="24"/>
        </w:rPr>
      </w:pPr>
    </w:p>
    <w:p w:rsidR="00517711" w:rsidRDefault="00F815BE">
      <w:pPr>
        <w:spacing w:after="0" w:line="240" w:lineRule="auto"/>
        <w:ind w:firstLine="709"/>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lang w:val="en-US"/>
        </w:rPr>
        <w:t>E</w:t>
      </w:r>
      <w:r>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lang w:val="en-US"/>
        </w:rPr>
        <w:t>mail</w:t>
      </w:r>
      <w:r>
        <w:rPr>
          <w:rFonts w:ascii="Times New Roman" w:hAnsi="Times New Roman" w:cs="Times New Roman"/>
          <w:color w:val="000000" w:themeColor="text1"/>
          <w:sz w:val="20"/>
          <w:szCs w:val="20"/>
        </w:rPr>
        <w:t xml:space="preserve">: </w:t>
      </w:r>
      <w:hyperlink r:id="rId122" w:history="1">
        <w:r>
          <w:rPr>
            <w:rStyle w:val="aa"/>
            <w:rFonts w:ascii="Times New Roman" w:hAnsi="Times New Roman" w:cs="Times New Roman"/>
            <w:color w:val="000000" w:themeColor="text1"/>
            <w:sz w:val="20"/>
            <w:szCs w:val="20"/>
            <w:lang w:val="en-US"/>
          </w:rPr>
          <w:t>mia</w:t>
        </w:r>
        <w:r>
          <w:rPr>
            <w:rStyle w:val="aa"/>
            <w:rFonts w:ascii="Times New Roman" w:hAnsi="Times New Roman" w:cs="Times New Roman"/>
            <w:color w:val="000000" w:themeColor="text1"/>
            <w:sz w:val="20"/>
            <w:szCs w:val="20"/>
          </w:rPr>
          <w:t>000@</w:t>
        </w:r>
        <w:r>
          <w:rPr>
            <w:rStyle w:val="aa"/>
            <w:rFonts w:ascii="Times New Roman" w:hAnsi="Times New Roman" w:cs="Times New Roman"/>
            <w:color w:val="000000" w:themeColor="text1"/>
            <w:sz w:val="20"/>
            <w:szCs w:val="20"/>
            <w:lang w:val="en-US"/>
          </w:rPr>
          <w:t>bk</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ru</w:t>
        </w:r>
      </w:hyperlink>
      <w:r>
        <w:rPr>
          <w:rFonts w:ascii="Times New Roman" w:hAnsi="Times New Roman" w:cs="Times New Roman"/>
          <w:color w:val="000000" w:themeColor="text1"/>
          <w:sz w:val="20"/>
          <w:szCs w:val="20"/>
        </w:rPr>
        <w:t>; тел.: +79146611280</w:t>
      </w:r>
    </w:p>
    <w:p w:rsidR="00517711" w:rsidRDefault="00517711">
      <w:pPr>
        <w:spacing w:after="0" w:line="240" w:lineRule="auto"/>
        <w:ind w:firstLine="709"/>
        <w:jc w:val="center"/>
        <w:rPr>
          <w:rFonts w:ascii="Times New Roman" w:hAnsi="Times New Roman"/>
          <w:sz w:val="24"/>
          <w:szCs w:val="24"/>
        </w:rPr>
      </w:pPr>
    </w:p>
    <w:p w:rsidR="00517711" w:rsidRDefault="00F815BE">
      <w:pPr>
        <w:spacing w:after="0" w:line="240" w:lineRule="auto"/>
        <w:ind w:firstLine="709"/>
        <w:jc w:val="center"/>
        <w:rPr>
          <w:rFonts w:ascii="Arial" w:hAnsi="Arial" w:cs="Arial"/>
          <w:b/>
          <w:sz w:val="24"/>
          <w:szCs w:val="24"/>
        </w:rPr>
      </w:pPr>
      <w:r>
        <w:rPr>
          <w:rFonts w:ascii="Arial" w:hAnsi="Arial" w:cs="Arial"/>
          <w:b/>
          <w:sz w:val="24"/>
          <w:szCs w:val="24"/>
        </w:rPr>
        <w:t>Иваненко Наталья Владимировна</w:t>
      </w:r>
    </w:p>
    <w:p w:rsidR="00517711" w:rsidRDefault="00F815BE">
      <w:pPr>
        <w:spacing w:after="0" w:line="240" w:lineRule="auto"/>
        <w:ind w:firstLine="709"/>
        <w:jc w:val="center"/>
        <w:rPr>
          <w:rFonts w:ascii="Arial" w:hAnsi="Arial" w:cs="Arial"/>
          <w:sz w:val="24"/>
          <w:szCs w:val="24"/>
        </w:rPr>
      </w:pPr>
      <w:r>
        <w:rPr>
          <w:rFonts w:ascii="Arial" w:hAnsi="Arial" w:cs="Arial"/>
          <w:sz w:val="24"/>
          <w:szCs w:val="24"/>
        </w:rPr>
        <w:t>Научный руководитель, канд. биол. наук, доцент кафедры туризма и экологии,</w:t>
      </w:r>
    </w:p>
    <w:p w:rsidR="00517711" w:rsidRDefault="00517711">
      <w:pPr>
        <w:spacing w:after="0" w:line="240" w:lineRule="auto"/>
        <w:ind w:firstLine="709"/>
        <w:jc w:val="center"/>
        <w:rPr>
          <w:rFonts w:ascii="Times New Roman" w:hAnsi="Times New Roman"/>
          <w:i/>
          <w:sz w:val="24"/>
          <w:szCs w:val="24"/>
        </w:rPr>
      </w:pPr>
    </w:p>
    <w:p w:rsidR="00517711" w:rsidRDefault="00F815BE">
      <w:pPr>
        <w:spacing w:after="0" w:line="240" w:lineRule="auto"/>
        <w:ind w:firstLine="709"/>
        <w:jc w:val="center"/>
        <w:rPr>
          <w:rFonts w:ascii="Times New Roman" w:hAnsi="Times New Roman"/>
          <w:i/>
          <w:szCs w:val="24"/>
        </w:rPr>
      </w:pPr>
      <w:r>
        <w:rPr>
          <w:rFonts w:ascii="Times New Roman" w:hAnsi="Times New Roman"/>
          <w:i/>
          <w:szCs w:val="24"/>
        </w:rPr>
        <w:t>Владивостокский государственный университет экономики и сервиса,</w:t>
      </w:r>
    </w:p>
    <w:p w:rsidR="00517711" w:rsidRDefault="00F815BE">
      <w:pPr>
        <w:spacing w:after="0" w:line="240" w:lineRule="auto"/>
        <w:ind w:firstLine="709"/>
        <w:jc w:val="center"/>
        <w:rPr>
          <w:rFonts w:ascii="Times New Roman" w:hAnsi="Times New Roman"/>
          <w:i/>
          <w:szCs w:val="24"/>
        </w:rPr>
      </w:pPr>
      <w:r>
        <w:rPr>
          <w:rFonts w:ascii="Times New Roman" w:hAnsi="Times New Roman"/>
          <w:i/>
          <w:szCs w:val="24"/>
        </w:rPr>
        <w:t>г. Владивосток, Россия</w:t>
      </w:r>
    </w:p>
    <w:p w:rsidR="00517711" w:rsidRDefault="00517711">
      <w:pPr>
        <w:spacing w:after="0" w:line="240" w:lineRule="auto"/>
        <w:ind w:firstLine="709"/>
        <w:jc w:val="center"/>
        <w:rPr>
          <w:rFonts w:ascii="Times New Roman" w:hAnsi="Times New Roman"/>
          <w:sz w:val="24"/>
          <w:szCs w:val="24"/>
        </w:rPr>
      </w:pPr>
    </w:p>
    <w:p w:rsidR="00517711" w:rsidRDefault="00F815BE">
      <w:pPr>
        <w:spacing w:after="0" w:line="240" w:lineRule="auto"/>
        <w:ind w:firstLine="709"/>
        <w:jc w:val="center"/>
        <w:rPr>
          <w:rFonts w:ascii="Times New Roman" w:hAnsi="Times New Roman"/>
          <w:color w:val="000000"/>
          <w:sz w:val="20"/>
          <w:szCs w:val="20"/>
        </w:rPr>
      </w:pPr>
      <w:r>
        <w:rPr>
          <w:rFonts w:ascii="Times New Roman" w:hAnsi="Times New Roman"/>
          <w:color w:val="000000" w:themeColor="text1"/>
          <w:sz w:val="20"/>
          <w:szCs w:val="20"/>
          <w:lang w:val="en-US"/>
        </w:rPr>
        <w:t>E</w:t>
      </w:r>
      <w:r>
        <w:rPr>
          <w:rFonts w:ascii="Times New Roman" w:hAnsi="Times New Roman"/>
          <w:color w:val="000000" w:themeColor="text1"/>
          <w:sz w:val="20"/>
          <w:szCs w:val="20"/>
        </w:rPr>
        <w:t>-</w:t>
      </w:r>
      <w:r>
        <w:rPr>
          <w:rFonts w:ascii="Times New Roman" w:hAnsi="Times New Roman"/>
          <w:color w:val="000000" w:themeColor="text1"/>
          <w:sz w:val="20"/>
          <w:szCs w:val="20"/>
          <w:lang w:val="en-US"/>
        </w:rPr>
        <w:t>mail</w:t>
      </w:r>
      <w:r>
        <w:rPr>
          <w:rFonts w:ascii="Times New Roman" w:hAnsi="Times New Roman"/>
          <w:color w:val="000000" w:themeColor="text1"/>
          <w:sz w:val="20"/>
          <w:szCs w:val="20"/>
        </w:rPr>
        <w:t xml:space="preserve">: </w:t>
      </w:r>
      <w:hyperlink r:id="rId123" w:history="1">
        <w:r>
          <w:rPr>
            <w:rStyle w:val="aa"/>
            <w:color w:val="000000" w:themeColor="text1"/>
            <w:sz w:val="20"/>
            <w:szCs w:val="20"/>
            <w:shd w:val="clear" w:color="auto" w:fill="FFFFFF"/>
            <w:lang w:val="en-US"/>
          </w:rPr>
          <w:t>natalya</w:t>
        </w:r>
        <w:r>
          <w:rPr>
            <w:rStyle w:val="aa"/>
            <w:color w:val="000000" w:themeColor="text1"/>
            <w:sz w:val="20"/>
            <w:szCs w:val="20"/>
            <w:shd w:val="clear" w:color="auto" w:fill="FFFFFF"/>
          </w:rPr>
          <w:t>.</w:t>
        </w:r>
        <w:r>
          <w:rPr>
            <w:rStyle w:val="aa"/>
            <w:color w:val="000000" w:themeColor="text1"/>
            <w:sz w:val="20"/>
            <w:szCs w:val="20"/>
            <w:shd w:val="clear" w:color="auto" w:fill="FFFFFF"/>
            <w:lang w:val="en-US"/>
          </w:rPr>
          <w:t>ivanenko</w:t>
        </w:r>
        <w:r>
          <w:rPr>
            <w:rStyle w:val="aa"/>
            <w:color w:val="000000" w:themeColor="text1"/>
            <w:sz w:val="20"/>
            <w:szCs w:val="20"/>
            <w:shd w:val="clear" w:color="auto" w:fill="FFFFFF"/>
          </w:rPr>
          <w:t>@</w:t>
        </w:r>
        <w:r>
          <w:rPr>
            <w:rStyle w:val="aa"/>
            <w:color w:val="000000" w:themeColor="text1"/>
            <w:sz w:val="20"/>
            <w:szCs w:val="20"/>
            <w:shd w:val="clear" w:color="auto" w:fill="FFFFFF"/>
            <w:lang w:val="en-US"/>
          </w:rPr>
          <w:t>vvsu</w:t>
        </w:r>
        <w:r>
          <w:rPr>
            <w:rStyle w:val="aa"/>
            <w:color w:val="000000" w:themeColor="text1"/>
            <w:sz w:val="20"/>
            <w:szCs w:val="20"/>
            <w:shd w:val="clear" w:color="auto" w:fill="FFFFFF"/>
          </w:rPr>
          <w:t>.</w:t>
        </w:r>
        <w:r>
          <w:rPr>
            <w:rStyle w:val="aa"/>
            <w:color w:val="000000" w:themeColor="text1"/>
            <w:sz w:val="20"/>
            <w:szCs w:val="20"/>
            <w:shd w:val="clear" w:color="auto" w:fill="FFFFFF"/>
            <w:lang w:val="en-US"/>
          </w:rPr>
          <w:t>ru</w:t>
        </w:r>
      </w:hyperlink>
      <w:r>
        <w:rPr>
          <w:color w:val="000000" w:themeColor="text1"/>
          <w:sz w:val="20"/>
          <w:szCs w:val="20"/>
        </w:rPr>
        <w:t xml:space="preserve">; </w:t>
      </w:r>
      <w:r>
        <w:rPr>
          <w:rFonts w:ascii="Times New Roman" w:hAnsi="Times New Roman"/>
          <w:color w:val="000000" w:themeColor="text1"/>
          <w:sz w:val="20"/>
          <w:szCs w:val="20"/>
        </w:rPr>
        <w:t>тел.: +7(423)240-41-22</w:t>
      </w:r>
    </w:p>
    <w:p w:rsidR="00517711" w:rsidRDefault="00F815BE">
      <w:pPr>
        <w:spacing w:after="0" w:line="240" w:lineRule="auto"/>
        <w:ind w:firstLine="709"/>
        <w:jc w:val="center"/>
        <w:rPr>
          <w:rFonts w:ascii="Times New Roman" w:hAnsi="Times New Roman"/>
          <w:sz w:val="20"/>
          <w:szCs w:val="20"/>
        </w:rPr>
      </w:pPr>
      <w:r>
        <w:rPr>
          <w:rFonts w:ascii="Times New Roman" w:hAnsi="Times New Roman"/>
          <w:color w:val="000000" w:themeColor="text1"/>
          <w:sz w:val="20"/>
          <w:szCs w:val="20"/>
        </w:rPr>
        <w:t>Ул. Гоголя, 41, г. Владивосток, Приморский край, Россия, 690014</w:t>
      </w:r>
    </w:p>
    <w:p w:rsidR="00517711" w:rsidRDefault="00517711">
      <w:pPr>
        <w:spacing w:after="0" w:line="240" w:lineRule="auto"/>
        <w:ind w:firstLine="709"/>
        <w:jc w:val="center"/>
        <w:rPr>
          <w:rFonts w:ascii="Times New Roman" w:hAnsi="Times New Roman"/>
          <w:sz w:val="24"/>
          <w:szCs w:val="24"/>
        </w:rPr>
      </w:pPr>
    </w:p>
    <w:p w:rsidR="00517711" w:rsidRDefault="00F815BE">
      <w:pPr>
        <w:spacing w:after="0" w:line="240" w:lineRule="auto"/>
        <w:ind w:firstLine="709"/>
        <w:jc w:val="both"/>
        <w:rPr>
          <w:rFonts w:ascii="Times New Roman" w:hAnsi="Times New Roman"/>
          <w:i/>
          <w:szCs w:val="24"/>
        </w:rPr>
      </w:pPr>
      <w:r>
        <w:rPr>
          <w:rFonts w:ascii="Times New Roman" w:hAnsi="Times New Roman"/>
          <w:i/>
          <w:szCs w:val="24"/>
        </w:rPr>
        <w:t>Представлены результаты инвентаризации отходов и объектов их размещения на примере предприятия, основным видом деятельности которого является перевалка угля в прибрежно-морской зоне Находкинского городского округа. В результате образуется 39 видов отходов в количестве 409,373 т/год.  Наибольшее количество отходов относится к 4 классу опасности. На предприятии разработаны мероприятия по уменьшению образования отходов, например, ежегодно представлять в Управление Росприроднадзора по Приморскому краю Отчет по форме федерального статистического наблюдения №2-ТП (отходы)</w:t>
      </w:r>
      <w:r>
        <w:rPr>
          <w:rFonts w:ascii="Times New Roman" w:hAnsi="Times New Roman"/>
          <w:bCs/>
          <w:i/>
          <w:szCs w:val="24"/>
        </w:rPr>
        <w:t>;</w:t>
      </w:r>
      <w:r>
        <w:rPr>
          <w:rFonts w:ascii="Times New Roman" w:hAnsi="Times New Roman"/>
          <w:i/>
          <w:szCs w:val="24"/>
        </w:rPr>
        <w:t xml:space="preserve"> мониторинг состояния объектов накопления отходов, организация раздельного накопления отходов по видам и классам опасности отходов</w:t>
      </w:r>
    </w:p>
    <w:p w:rsidR="00517711" w:rsidRDefault="00F815BE">
      <w:pPr>
        <w:spacing w:after="0" w:line="240" w:lineRule="auto"/>
        <w:ind w:firstLine="708"/>
        <w:jc w:val="both"/>
        <w:rPr>
          <w:rFonts w:ascii="Times New Roman" w:hAnsi="Times New Roman"/>
          <w:i/>
          <w:szCs w:val="24"/>
        </w:rPr>
      </w:pPr>
      <w:r>
        <w:rPr>
          <w:rFonts w:ascii="Times New Roman" w:hAnsi="Times New Roman"/>
          <w:b/>
          <w:i/>
          <w:szCs w:val="24"/>
        </w:rPr>
        <w:t>Ключевые слова и словосочетания:</w:t>
      </w:r>
      <w:r>
        <w:rPr>
          <w:rFonts w:ascii="Times New Roman" w:hAnsi="Times New Roman"/>
          <w:i/>
          <w:szCs w:val="24"/>
        </w:rPr>
        <w:t xml:space="preserve"> экологические требования, инвентаризация</w:t>
      </w:r>
      <w:r>
        <w:rPr>
          <w:rFonts w:ascii="Times New Roman" w:hAnsi="Times New Roman"/>
          <w:szCs w:val="24"/>
        </w:rPr>
        <w:t xml:space="preserve">, </w:t>
      </w:r>
      <w:r>
        <w:rPr>
          <w:rFonts w:ascii="Times New Roman" w:hAnsi="Times New Roman"/>
          <w:i/>
          <w:szCs w:val="24"/>
        </w:rPr>
        <w:t>отходы производства и потребления, образование отходов, перевалка угля.</w:t>
      </w:r>
    </w:p>
    <w:p w:rsidR="00517711" w:rsidRDefault="00517711">
      <w:pPr>
        <w:spacing w:after="0"/>
        <w:jc w:val="both"/>
        <w:rPr>
          <w:rFonts w:ascii="Times New Roman" w:hAnsi="Times New Roman"/>
          <w:i/>
          <w:sz w:val="24"/>
          <w:szCs w:val="24"/>
        </w:rPr>
      </w:pPr>
    </w:p>
    <w:p w:rsidR="00517711" w:rsidRDefault="00F815BE">
      <w:pPr>
        <w:spacing w:after="0"/>
        <w:jc w:val="center"/>
        <w:rPr>
          <w:rFonts w:ascii="Book Antiqua" w:hAnsi="Book Antiqua"/>
          <w:b/>
          <w:sz w:val="26"/>
          <w:szCs w:val="26"/>
          <w:lang w:val="en-US"/>
        </w:rPr>
      </w:pPr>
      <w:r>
        <w:rPr>
          <w:rFonts w:ascii="Book Antiqua" w:hAnsi="Book Antiqua"/>
          <w:b/>
          <w:sz w:val="26"/>
          <w:szCs w:val="26"/>
          <w:lang w:val="en-US"/>
        </w:rPr>
        <w:t>INVENTORY OF WASTE AND THEIR DISPOSAL FACILITIES ON THE EXAMPLE OF A COAL TRANSSHIPMENT ENTERPRISE IN THE COASTAL AND MARINE ZONE (PRIMORSKY KRAI)</w:t>
      </w:r>
    </w:p>
    <w:p w:rsidR="00517711" w:rsidRDefault="00517711">
      <w:pPr>
        <w:spacing w:after="0"/>
        <w:jc w:val="center"/>
        <w:rPr>
          <w:rFonts w:ascii="Times New Roman" w:hAnsi="Times New Roman"/>
          <w:b/>
          <w:sz w:val="24"/>
          <w:szCs w:val="24"/>
          <w:lang w:val="en-US"/>
        </w:rPr>
      </w:pP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i/>
          <w:szCs w:val="24"/>
          <w:lang w:val="en-US"/>
        </w:rPr>
        <w:t>The results of an inventory of wastes and their location objects are presented on the example of an enterprise whose main activity is coal transshipment in the coastal and maritime zone of the Nakhodka urban district. As a result, 39 kinds of waste are generated in an amount of 409.373 tons / year. The greatest amount of waste belongs to the 4th class of danger. The enterprise has developed measures to reduce waste generation, for example: to submit annually to the Department of Rosprirodnadzor for the Primorsky Krai Report on the form of federal statistical observation No. 2-TP (waste); Monitoring of the state of waste storage facilities, organization of separate waste accumulation by types and hazard classes of waste</w:t>
      </w:r>
    </w:p>
    <w:p w:rsidR="00517711" w:rsidRDefault="00F815BE">
      <w:pPr>
        <w:spacing w:after="0" w:line="240" w:lineRule="auto"/>
        <w:ind w:firstLine="709"/>
        <w:jc w:val="both"/>
        <w:rPr>
          <w:rFonts w:ascii="Times New Roman" w:hAnsi="Times New Roman"/>
          <w:i/>
          <w:color w:val="000000"/>
          <w:szCs w:val="24"/>
          <w:shd w:val="clear" w:color="auto" w:fill="FFFFFF"/>
          <w:lang w:val="en-US"/>
        </w:rPr>
      </w:pPr>
      <w:r>
        <w:rPr>
          <w:rFonts w:ascii="Times New Roman" w:hAnsi="Times New Roman"/>
          <w:b/>
          <w:i/>
          <w:color w:val="000000"/>
          <w:szCs w:val="24"/>
          <w:shd w:val="clear" w:color="auto" w:fill="FFFFFF"/>
          <w:lang w:val="en-US"/>
        </w:rPr>
        <w:t>Keywords:</w:t>
      </w:r>
      <w:r>
        <w:rPr>
          <w:rFonts w:ascii="Times New Roman" w:hAnsi="Times New Roman"/>
          <w:i/>
          <w:color w:val="000000"/>
          <w:szCs w:val="24"/>
          <w:shd w:val="clear" w:color="auto" w:fill="FFFFFF"/>
          <w:lang w:val="en-US"/>
        </w:rPr>
        <w:t xml:space="preserve"> environmental requirements, inventory, production and consumption wastes, waste generation, coal transshipment.</w:t>
      </w:r>
    </w:p>
    <w:p w:rsidR="00517711" w:rsidRDefault="00517711">
      <w:pPr>
        <w:spacing w:after="0"/>
        <w:rPr>
          <w:lang w:val="en-US"/>
        </w:rPr>
      </w:pP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Каждое предприятие, в ходе деятельности которого образуются отходы, обязаны соблюдать установленные экологические требования. В числе этих требований установлена необходимость проводить инвентаризацию отходов производства и потребления. Обязательность данного этапа указана в статье 67 Федерального закона от 10 января 2002 года №7-ФЗ «Об охране окружающей среды» и статье 11 Федерального закона от 24 июня 1998 года «89-ФЗ «Об отходах производства и потребления»[1, 2].</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Инвентаризация отходов производства и потребления – деятельность по выявлению источников образования отходов, определению мест и условий сбора, временного хранения и накопления, использования, обезвреживания отходов, количественных и качественных показателей отходов производства и потребления, определению условий и возможности их передачи другим юридическим или физическим лицам.</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На этапе инвентаризационного исследования проводится: определение видов деятельности, характерных для каждого структурного подразделения предприятия и сопровождающихся образованием отходов; выявление веществ, материалов и изделий, перешедших в состояние «отход», а также определение наименований образующихся отходов производства по источникам образования отходов; разработка блок-схем </w:t>
      </w:r>
      <w:r>
        <w:rPr>
          <w:rFonts w:ascii="Times New Roman" w:hAnsi="Times New Roman" w:cs="Times New Roman"/>
          <w:color w:val="000000" w:themeColor="text1"/>
          <w:sz w:val="20"/>
          <w:szCs w:val="20"/>
        </w:rPr>
        <w:lastRenderedPageBreak/>
        <w:t>технологических процессов; расчет годового количества образующихся отходов производства и нормативов их образования.</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Рассмотрена инвентаризация отходов и объектов их размещения на примере предприятия по перевалке угля и прочих сыпучих грузов (песок, щебень и прочее) в Находкинском городском округе. Годовой оборот угля составляет 8600 тыс. тонн.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Технологический процесс перевалки угля состоит из трех операций:</w:t>
      </w:r>
    </w:p>
    <w:p w:rsidR="00517711" w:rsidRDefault="00F815BE">
      <w:pPr>
        <w:pStyle w:val="af4"/>
        <w:numPr>
          <w:ilvl w:val="0"/>
          <w:numId w:val="22"/>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Вагонная операция: поставка угля на предприятие осуществляется железнодорожным транспортом в полувагонах. Выгрузка угля осуществляется специальными машинами-манипуляторами, оборудованными грейферами. Выгруженные полувагоны подаются на бункер вагоноразгрузочной галереи для их зачистки и обдувки. Полувагоны предназначены только для перевозки угля, в результате зачистки и обдувки полувагонов образуются остатки угля (кусковые и угольная пыль), которые возвращаются в технологический цикл по перевалке угля.</w:t>
      </w:r>
    </w:p>
    <w:p w:rsidR="00517711" w:rsidRDefault="00F815BE">
      <w:pPr>
        <w:pStyle w:val="af4"/>
        <w:numPr>
          <w:ilvl w:val="0"/>
          <w:numId w:val="22"/>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Складская операция: оператор специальной машины манипулятора (СММ) подает выгружаемый из полувагонов уголь на передаточную площадку угольного склада.  На складе уголь размещается на огражденных, очищенных площадках с твердым и ровным покрытием.  Складирование груза производится строго по маркам, согласно утвержденным схемам складирования. Для перемещения выгруженного угля на склад используются колесные бульдозеры. Формирование штабеля производится складской машиной-манипулятором и гусеничными бульдозерами.</w:t>
      </w:r>
    </w:p>
    <w:p w:rsidR="00517711" w:rsidRDefault="00F815BE">
      <w:pPr>
        <w:pStyle w:val="af4"/>
        <w:numPr>
          <w:ilvl w:val="0"/>
          <w:numId w:val="22"/>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Судовая операция: при погрузке судна используется конвейерная система. Складская машина-манипулятор подает уголь на ленту конвейера, откуда груз через судопогрузочные машины подается в трюм судна. Уголь в зону действия складской СММ доставляется колесными и гусеничными бульдозерами. Освободившаяся после отгрузки судовой партии груза территория склада зачищается от остатков угля с использованием колесных бульдозеров, либо трактора со щеткой. Образующиеся в результате очистки остатки угля (кусковые и угольная пыль) возвращаются в технологический цикл по перевалке угля. Ремонт железнодорожных путей осуществляется по мере необходимости, но не чаще одного раза в десять лет. В ближайшие пять лет ремонт не планируется, поэтому отходы от ремонта ж/д путей в настоящей инвентаризации не учитываются.</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Рассмотрены источники образования отходов, их состав и пример схемы движения.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Предприятие функционирует на одной производственной площадке, в состав которой входят: административно-бытовое здание; центральная пересыпная, береговая и компрессорная станции; механическая мастерская; трансформаторная подстанция; вагонно-разгрузочная галерея; бытовое помещение докеров; 4 крытых склада; 3 открытых грузовых площадки; склад технического имущества; железнодорожная вытяжка; 2 судопогрузочные машины; КПП; 3 места стоянки; ремонтный бокс; причал.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На предприятии находится 10 источников образования отходов. Наибольшее количество отходов образуется от жизнедеятельности персонала и уборки территорий предприятия. Норматив образования составляет 277,945 т/год. Наименьшее количество отходов образуется от работы очистных сооружений и замены ламп – 0,129 т/год.</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Приведен пример схемы движения отходов от работы очистных сооружений (Рис.).</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noProof/>
          <w:color w:val="000000" w:themeColor="text1"/>
          <w:sz w:val="20"/>
          <w:szCs w:val="20"/>
          <w:lang w:eastAsia="ru-RU"/>
        </w:rPr>
        <mc:AlternateContent>
          <mc:Choice Requires="wps">
            <w:drawing>
              <wp:anchor distT="0" distB="0" distL="114300" distR="114300" simplePos="0" relativeHeight="251707392" behindDoc="0" locked="0" layoutInCell="1" allowOverlap="1">
                <wp:simplePos x="0" y="0"/>
                <wp:positionH relativeFrom="column">
                  <wp:posOffset>422910</wp:posOffset>
                </wp:positionH>
                <wp:positionV relativeFrom="paragraph">
                  <wp:posOffset>120648</wp:posOffset>
                </wp:positionV>
                <wp:extent cx="914400" cy="857250"/>
                <wp:effectExtent l="0" t="0" r="19048" b="19048"/>
                <wp:wrapNone/>
                <wp:docPr id="81" name="Прямоугольник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857250"/>
                        </a:xfrm>
                        <a:prstGeom prst="rect">
                          <a:avLst/>
                        </a:prstGeom>
                        <a:solidFill>
                          <a:srgbClr val="FFFFFF"/>
                        </a:solidFill>
                        <a:ln w="9525">
                          <a:solidFill>
                            <a:srgbClr val="000000"/>
                          </a:solidFill>
                          <a:miter lim="800000"/>
                          <a:headEnd/>
                          <a:tailEnd/>
                        </a:ln>
                      </wps:spPr>
                      <wps:txbx>
                        <w:txbxContent>
                          <w:p w:rsidR="00306ED2" w:rsidRDefault="00306ED2">
                            <w:pPr>
                              <w:jc w:val="center"/>
                              <w:rPr>
                                <w:rFonts w:ascii="Times New Roman" w:hAnsi="Times New Roman"/>
                                <w:sz w:val="18"/>
                                <w:szCs w:val="20"/>
                              </w:rPr>
                            </w:pPr>
                            <w:r>
                              <w:rPr>
                                <w:rFonts w:ascii="Times New Roman" w:hAnsi="Times New Roman"/>
                                <w:sz w:val="18"/>
                                <w:szCs w:val="20"/>
                              </w:rPr>
                              <w:t>Обслуживание очистных сооружений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6" o:spid="_x0000_s1107" style="position:absolute;left:0;text-align:left;margin-left:33.3pt;margin-top:9.5pt;width:1in;height:6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">
                <v:textbox>
                  <w:txbxContent>
                    <w:p w:rsidR="00306ED2" w:rsidRDefault="00306ED2">
                      <w:pPr>
                        <w:jc w:val="center"/>
                        <w:rPr>
                          <w:rFonts w:ascii="Times New Roman" w:hAnsi="Times New Roman"/>
                          <w:sz w:val="18"/>
                          <w:szCs w:val="20"/>
                        </w:rPr>
                      </w:pPr>
                      <w:r>
                        <w:rPr>
                          <w:rFonts w:ascii="Times New Roman" w:hAnsi="Times New Roman"/>
                          <w:sz w:val="18"/>
                          <w:szCs w:val="20"/>
                        </w:rPr>
                        <w:t>Обслуживание очистных сооружений</w:t>
                      </w:r>
                    </w:p>
                  </w:txbxContent>
                </v:textbox>
              </v:rect>
            </w:pict>
          </mc:Fallback>
        </mc:AlternateContent>
      </w:r>
      <w:r>
        <w:rPr>
          <w:rFonts w:ascii="Times New Roman" w:hAnsi="Times New Roman" w:cs="Times New Roman"/>
          <w:noProof/>
          <w:color w:val="000000" w:themeColor="text1"/>
          <w:sz w:val="20"/>
          <w:szCs w:val="20"/>
          <w:lang w:eastAsia="ru-RU"/>
        </w:rPr>
        <mc:AlternateContent>
          <mc:Choice Requires="wps">
            <w:drawing>
              <wp:anchor distT="0" distB="773094111" distL="114300" distR="114300" simplePos="0" relativeHeight="251708416" behindDoc="0" locked="0" layoutInCell="1" allowOverlap="1">
                <wp:simplePos x="0" y="0"/>
                <wp:positionH relativeFrom="column">
                  <wp:posOffset>1337310</wp:posOffset>
                </wp:positionH>
                <wp:positionV relativeFrom="paragraph">
                  <wp:posOffset>349247</wp:posOffset>
                </wp:positionV>
                <wp:extent cx="152398" cy="0"/>
                <wp:effectExtent l="0" t="76198" r="19048" b="95248"/>
                <wp:wrapNone/>
                <wp:docPr id="82" name="Прямая соединительная линия 37"/>
                <wp:cNvGraphicFramePr/>
                <a:graphic xmlns:a="http://schemas.openxmlformats.org/drawingml/2006/main">
                  <a:graphicData uri="http://schemas.microsoft.com/office/word/2010/wordprocessingShape">
                    <wps:wsp>
                      <wps:cNvCnPr/>
                      <wps:spPr bwMode="auto">
                        <a:xfrm>
                          <a:off x="0" y="0"/>
                          <a:ext cx="152400" cy="0"/>
                        </a:xfrm>
                        <a:prstGeom prst="line">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4BF103BE" id="Прямая соединительная линия 37" o:spid="_x0000_s1026" style="position:absolute;z-index:251708416;visibility:visible;mso-wrap-style:square;mso-width-percent:0;mso-height-percent:0;mso-wrap-distance-left:9pt;mso-wrap-distance-top:0;mso-wrap-distance-right:9pt;mso-wrap-distance-bottom:21474.83642mm;mso-position-horizontal:absolute;mso-position-horizontal-relative:text;mso-position-vertical:absolute;mso-position-vertical-relative:text;mso-width-percent:0;mso-height-percent:0;mso-width-relative:page;mso-height-relative:page" from="105.3pt,27.5pt" to="117.3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">
                <v:stroke endarrow="block"/>
              </v:line>
            </w:pict>
          </mc:Fallback>
        </mc:AlternateContent>
      </w:r>
      <w:r>
        <w:rPr>
          <w:rFonts w:ascii="Times New Roman" w:hAnsi="Times New Roman" w:cs="Times New Roman"/>
          <w:noProof/>
          <w:color w:val="000000" w:themeColor="text1"/>
          <w:sz w:val="20"/>
          <w:szCs w:val="20"/>
          <w:lang w:eastAsia="ru-RU"/>
        </w:rPr>
        <mc:AlternateContent>
          <mc:Choice Requires="wps">
            <w:drawing>
              <wp:anchor distT="0" distB="773094111" distL="114300" distR="114300" simplePos="0" relativeHeight="251709440" behindDoc="0" locked="0" layoutInCell="1" allowOverlap="1">
                <wp:simplePos x="0" y="0"/>
                <wp:positionH relativeFrom="column">
                  <wp:posOffset>3166110</wp:posOffset>
                </wp:positionH>
                <wp:positionV relativeFrom="paragraph">
                  <wp:posOffset>463547</wp:posOffset>
                </wp:positionV>
                <wp:extent cx="152398" cy="0"/>
                <wp:effectExtent l="0" t="76198" r="19048" b="95248"/>
                <wp:wrapNone/>
                <wp:docPr id="83" name="Прямая соединительная линия 38"/>
                <wp:cNvGraphicFramePr/>
                <a:graphic xmlns:a="http://schemas.openxmlformats.org/drawingml/2006/main">
                  <a:graphicData uri="http://schemas.microsoft.com/office/word/2010/wordprocessingShape">
                    <wps:wsp>
                      <wps:cNvCnPr/>
                      <wps:spPr bwMode="auto">
                        <a:xfrm>
                          <a:off x="0" y="0"/>
                          <a:ext cx="152400" cy="0"/>
                        </a:xfrm>
                        <a:prstGeom prst="line">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53294563" id="Прямая соединительная линия 38" o:spid="_x0000_s1026" style="position:absolute;z-index:251709440;visibility:visible;mso-wrap-style:square;mso-width-percent:0;mso-height-percent:0;mso-wrap-distance-left:9pt;mso-wrap-distance-top:0;mso-wrap-distance-right:9pt;mso-wrap-distance-bottom:21474.83642mm;mso-position-horizontal:absolute;mso-position-horizontal-relative:text;mso-position-vertical:absolute;mso-position-vertical-relative:text;mso-width-percent:0;mso-height-percent:0;mso-width-relative:page;mso-height-relative:page" from="249.3pt,36.5pt" to="261.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">
                <v:stroke endarrow="block"/>
              </v:line>
            </w:pict>
          </mc:Fallback>
        </mc:AlternateContent>
      </w:r>
      <w:r>
        <w:rPr>
          <w:rFonts w:ascii="Times New Roman" w:hAnsi="Times New Roman" w:cs="Times New Roman"/>
          <w:noProof/>
          <w:color w:val="000000" w:themeColor="text1"/>
          <w:sz w:val="20"/>
          <w:szCs w:val="20"/>
          <w:lang w:eastAsia="ru-RU"/>
        </w:rPr>
        <mc:AlternateContent>
          <mc:Choice Requires="wps">
            <w:drawing>
              <wp:anchor distT="0" distB="0" distL="114300" distR="114300" simplePos="0" relativeHeight="251710464" behindDoc="0" locked="0" layoutInCell="1" allowOverlap="1">
                <wp:simplePos x="0" y="0"/>
                <wp:positionH relativeFrom="column">
                  <wp:posOffset>1489708</wp:posOffset>
                </wp:positionH>
                <wp:positionV relativeFrom="paragraph">
                  <wp:posOffset>120648</wp:posOffset>
                </wp:positionV>
                <wp:extent cx="1676398" cy="1162048"/>
                <wp:effectExtent l="0" t="0" r="19048" b="19048"/>
                <wp:wrapNone/>
                <wp:docPr id="84" name="Прямоугольник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1162050"/>
                        </a:xfrm>
                        <a:prstGeom prst="rect">
                          <a:avLst/>
                        </a:prstGeom>
                        <a:solidFill>
                          <a:srgbClr val="FFFFFF"/>
                        </a:solidFill>
                        <a:ln w="9525">
                          <a:solidFill>
                            <a:srgbClr val="000000"/>
                          </a:solidFill>
                          <a:miter lim="800000"/>
                          <a:headEnd/>
                          <a:tailEnd/>
                        </a:ln>
                      </wps:spPr>
                      <wps:txbx>
                        <w:txbxContent>
                          <w:p w:rsidR="00306ED2" w:rsidRDefault="00306ED2">
                            <w:pPr>
                              <w:jc w:val="center"/>
                              <w:rPr>
                                <w:rFonts w:ascii="Times New Roman" w:hAnsi="Times New Roman"/>
                                <w:sz w:val="18"/>
                                <w:szCs w:val="16"/>
                              </w:rPr>
                            </w:pPr>
                            <w:r>
                              <w:rPr>
                                <w:rFonts w:ascii="Times New Roman" w:hAnsi="Times New Roman"/>
                                <w:sz w:val="18"/>
                                <w:szCs w:val="16"/>
                              </w:rPr>
                              <w:t>Фильтрующая загрузка из разнородных полимерных материалов, загрязненная нефтепродуктами (содержание нефтепродуктов 15% и более)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9" o:spid="_x0000_s1108" style="position:absolute;left:0;text-align:left;margin-left:117.3pt;margin-top:9.5pt;width:132pt;height:91.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">
                <v:textbox>
                  <w:txbxContent>
                    <w:p w:rsidR="00306ED2" w:rsidRDefault="00306ED2">
                      <w:pPr>
                        <w:jc w:val="center"/>
                        <w:rPr>
                          <w:rFonts w:ascii="Times New Roman" w:hAnsi="Times New Roman"/>
                          <w:sz w:val="18"/>
                          <w:szCs w:val="16"/>
                        </w:rPr>
                      </w:pPr>
                      <w:r>
                        <w:rPr>
                          <w:rFonts w:ascii="Times New Roman" w:hAnsi="Times New Roman"/>
                          <w:sz w:val="18"/>
                          <w:szCs w:val="16"/>
                        </w:rPr>
                        <w:t>Фильтрующая загрузка из разнородных полимерных материалов, загрязненная нефтепродуктами (содержание нефтепродуктов 15% и более)</w:t>
                      </w:r>
                    </w:p>
                  </w:txbxContent>
                </v:textbox>
              </v:rect>
            </w:pict>
          </mc:Fallback>
        </mc:AlternateContent>
      </w:r>
      <w:r>
        <w:rPr>
          <w:rFonts w:ascii="Times New Roman" w:hAnsi="Times New Roman" w:cs="Times New Roman"/>
          <w:noProof/>
          <w:color w:val="000000" w:themeColor="text1"/>
          <w:sz w:val="20"/>
          <w:szCs w:val="20"/>
          <w:lang w:eastAsia="ru-RU"/>
        </w:rPr>
        <mc:AlternateContent>
          <mc:Choice Requires="wps">
            <w:drawing>
              <wp:anchor distT="0" distB="0" distL="114300" distR="114300" simplePos="0" relativeHeight="251711488" behindDoc="0" locked="0" layoutInCell="1" allowOverlap="1">
                <wp:simplePos x="0" y="0"/>
                <wp:positionH relativeFrom="column">
                  <wp:posOffset>3318508</wp:posOffset>
                </wp:positionH>
                <wp:positionV relativeFrom="paragraph">
                  <wp:posOffset>120648</wp:posOffset>
                </wp:positionV>
                <wp:extent cx="1295398" cy="908048"/>
                <wp:effectExtent l="0" t="0" r="19048" b="25398"/>
                <wp:wrapNone/>
                <wp:docPr id="85" name="Прямоугольник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908050"/>
                        </a:xfrm>
                        <a:prstGeom prst="rect">
                          <a:avLst/>
                        </a:prstGeom>
                        <a:solidFill>
                          <a:srgbClr val="FFFFFF"/>
                        </a:solidFill>
                        <a:ln w="9525">
                          <a:solidFill>
                            <a:srgbClr val="000000"/>
                          </a:solidFill>
                          <a:miter lim="800000"/>
                          <a:headEnd/>
                          <a:tailEnd/>
                        </a:ln>
                      </wps:spPr>
                      <wps:txbx>
                        <w:txbxContent>
                          <w:p w:rsidR="00306ED2" w:rsidRDefault="00306ED2">
                            <w:pPr>
                              <w:jc w:val="center"/>
                              <w:rPr>
                                <w:rFonts w:ascii="Times New Roman" w:hAnsi="Times New Roman"/>
                                <w:sz w:val="18"/>
                                <w:szCs w:val="16"/>
                              </w:rPr>
                            </w:pPr>
                            <w:r>
                              <w:rPr>
                                <w:rFonts w:ascii="Times New Roman" w:hAnsi="Times New Roman"/>
                                <w:sz w:val="18"/>
                                <w:szCs w:val="16"/>
                              </w:rPr>
                              <w:t>Металлические емкости (бочки) емкость 0,18 куб.м. на твердой поверхности</w:t>
                            </w:r>
                          </w:p>
                          <w:p w:rsidR="00306ED2" w:rsidRDefault="00306ED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0" o:spid="_x0000_s1109" style="position:absolute;left:0;text-align:left;margin-left:261.3pt;margin-top:9.5pt;width:102pt;height:71.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">
                <v:textbox>
                  <w:txbxContent>
                    <w:p w:rsidR="00306ED2" w:rsidRDefault="00306ED2">
                      <w:pPr>
                        <w:jc w:val="center"/>
                        <w:rPr>
                          <w:rFonts w:ascii="Times New Roman" w:hAnsi="Times New Roman"/>
                          <w:sz w:val="18"/>
                          <w:szCs w:val="16"/>
                        </w:rPr>
                      </w:pPr>
                      <w:r>
                        <w:rPr>
                          <w:rFonts w:ascii="Times New Roman" w:hAnsi="Times New Roman"/>
                          <w:sz w:val="18"/>
                          <w:szCs w:val="16"/>
                        </w:rPr>
                        <w:t>Металлические емкости (бочки) емкость 0,18 куб.м. на твердой поверхности</w:t>
                      </w:r>
                    </w:p>
                    <w:p w:rsidR="00306ED2" w:rsidRDefault="00306ED2"/>
                  </w:txbxContent>
                </v:textbox>
              </v:rect>
            </w:pict>
          </mc:Fallback>
        </mc:AlternateContent>
      </w:r>
      <w:r>
        <w:rPr>
          <w:rFonts w:ascii="Times New Roman" w:hAnsi="Times New Roman" w:cs="Times New Roman"/>
          <w:noProof/>
          <w:color w:val="000000" w:themeColor="text1"/>
          <w:sz w:val="20"/>
          <w:szCs w:val="20"/>
          <w:lang w:eastAsia="ru-RU"/>
        </w:rPr>
        <mc:AlternateContent>
          <mc:Choice Requires="wps">
            <w:drawing>
              <wp:anchor distT="0" distB="0" distL="114300" distR="114300" simplePos="0" relativeHeight="251712512" behindDoc="0" locked="0" layoutInCell="1" allowOverlap="1">
                <wp:simplePos x="0" y="0"/>
                <wp:positionH relativeFrom="column">
                  <wp:posOffset>4880610</wp:posOffset>
                </wp:positionH>
                <wp:positionV relativeFrom="paragraph">
                  <wp:posOffset>120648</wp:posOffset>
                </wp:positionV>
                <wp:extent cx="1028700" cy="908048"/>
                <wp:effectExtent l="0" t="0" r="19048" b="25398"/>
                <wp:wrapNone/>
                <wp:docPr id="86" name="Прямоугольник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028700" cy="908050"/>
                        </a:xfrm>
                        <a:prstGeom prst="rect">
                          <a:avLst/>
                        </a:prstGeom>
                        <a:solidFill>
                          <a:srgbClr val="FFFFFF"/>
                        </a:solidFill>
                        <a:ln w="9525">
                          <a:solidFill>
                            <a:srgbClr val="000000"/>
                          </a:solidFill>
                          <a:miter lim="800000"/>
                          <a:headEnd/>
                          <a:tailEnd/>
                        </a:ln>
                      </wps:spPr>
                      <wps:txbx>
                        <w:txbxContent>
                          <w:p w:rsidR="00306ED2" w:rsidRDefault="00306ED2">
                            <w:pPr>
                              <w:jc w:val="center"/>
                              <w:rPr>
                                <w:rFonts w:ascii="Times New Roman" w:hAnsi="Times New Roman"/>
                                <w:sz w:val="18"/>
                                <w:szCs w:val="16"/>
                              </w:rPr>
                            </w:pPr>
                            <w:r>
                              <w:rPr>
                                <w:rFonts w:ascii="Times New Roman" w:hAnsi="Times New Roman"/>
                                <w:sz w:val="18"/>
                                <w:szCs w:val="16"/>
                              </w:rPr>
                              <w:t xml:space="preserve">Передача на обезвреживание ООО «ЭкоСтар Технолоджи» </w:t>
                            </w:r>
                          </w:p>
                          <w:p w:rsidR="00306ED2" w:rsidRDefault="00306ED2">
                            <w:pPr>
                              <w:rPr>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1" o:spid="_x0000_s1110" style="position:absolute;left:0;text-align:left;margin-left:384.3pt;margin-top:9.5pt;width:81pt;height:71.5pt;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">
                <v:textbox>
                  <w:txbxContent>
                    <w:p w:rsidR="00306ED2" w:rsidRDefault="00306ED2">
                      <w:pPr>
                        <w:jc w:val="center"/>
                        <w:rPr>
                          <w:rFonts w:ascii="Times New Roman" w:hAnsi="Times New Roman"/>
                          <w:sz w:val="18"/>
                          <w:szCs w:val="16"/>
                        </w:rPr>
                      </w:pPr>
                      <w:r>
                        <w:rPr>
                          <w:rFonts w:ascii="Times New Roman" w:hAnsi="Times New Roman"/>
                          <w:sz w:val="18"/>
                          <w:szCs w:val="16"/>
                        </w:rPr>
                        <w:t xml:space="preserve">Передача на обезвреживание ООО «ЭкоСтар Технолоджи» </w:t>
                      </w:r>
                    </w:p>
                    <w:p w:rsidR="00306ED2" w:rsidRDefault="00306ED2">
                      <w:pPr>
                        <w:rPr>
                          <w:szCs w:val="16"/>
                        </w:rPr>
                      </w:pPr>
                    </w:p>
                  </w:txbxContent>
                </v:textbox>
              </v:rect>
            </w:pict>
          </mc:Fallback>
        </mc:AlternateContent>
      </w:r>
      <w:r>
        <w:rPr>
          <w:rFonts w:ascii="Times New Roman" w:hAnsi="Times New Roman" w:cs="Times New Roman"/>
          <w:noProof/>
          <w:color w:val="000000" w:themeColor="text1"/>
          <w:sz w:val="20"/>
          <w:szCs w:val="20"/>
          <w:lang w:eastAsia="ru-RU"/>
        </w:rPr>
        <mc:AlternateContent>
          <mc:Choice Requires="wps">
            <w:drawing>
              <wp:anchor distT="0" distB="773094111" distL="114300" distR="114300" simplePos="0" relativeHeight="251713536" behindDoc="0" locked="0" layoutInCell="1" allowOverlap="1">
                <wp:simplePos x="0" y="0"/>
                <wp:positionH relativeFrom="column">
                  <wp:posOffset>4613908</wp:posOffset>
                </wp:positionH>
                <wp:positionV relativeFrom="paragraph">
                  <wp:posOffset>463547</wp:posOffset>
                </wp:positionV>
                <wp:extent cx="266698" cy="0"/>
                <wp:effectExtent l="0" t="76198" r="19048" b="95248"/>
                <wp:wrapNone/>
                <wp:docPr id="87" name="Прямая соединительная линия 42"/>
                <wp:cNvGraphicFramePr/>
                <a:graphic xmlns:a="http://schemas.openxmlformats.org/drawingml/2006/main">
                  <a:graphicData uri="http://schemas.microsoft.com/office/word/2010/wordprocessingShape">
                    <wps:wsp>
                      <wps:cNvCnPr/>
                      <wps:spPr bwMode="auto">
                        <a:xfrm>
                          <a:off x="0" y="0"/>
                          <a:ext cx="266700" cy="0"/>
                        </a:xfrm>
                        <a:prstGeom prst="line">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6B74BAD7" id="Прямая соединительная линия 42" o:spid="_x0000_s1026" style="position:absolute;z-index:251713536;visibility:visible;mso-wrap-style:square;mso-width-percent:0;mso-height-percent:0;mso-wrap-distance-left:9pt;mso-wrap-distance-top:0;mso-wrap-distance-right:9pt;mso-wrap-distance-bottom:21474.83642mm;mso-position-horizontal:absolute;mso-position-horizontal-relative:text;mso-position-vertical:absolute;mso-position-vertical-relative:text;mso-width-percent:0;mso-height-percent:0;mso-width-relative:page;mso-height-relative:page" from="363.3pt,36.5pt" to="384.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">
                <v:stroke endarrow="block"/>
              </v:line>
            </w:pict>
          </mc:Fallback>
        </mc:AlternateContent>
      </w:r>
    </w:p>
    <w:p w:rsidR="00517711" w:rsidRDefault="00517711">
      <w:pPr>
        <w:spacing w:after="0" w:line="240" w:lineRule="auto"/>
        <w:ind w:firstLine="709"/>
        <w:jc w:val="both"/>
        <w:rPr>
          <w:rFonts w:ascii="Times New Roman" w:hAnsi="Times New Roman" w:cs="Times New Roman"/>
          <w:color w:val="000000"/>
          <w:sz w:val="20"/>
          <w:szCs w:val="20"/>
        </w:rPr>
      </w:pPr>
    </w:p>
    <w:p w:rsidR="00517711" w:rsidRDefault="00517711">
      <w:pPr>
        <w:spacing w:after="0" w:line="240" w:lineRule="auto"/>
        <w:ind w:firstLine="709"/>
        <w:jc w:val="both"/>
        <w:rPr>
          <w:rFonts w:ascii="Times New Roman" w:hAnsi="Times New Roman" w:cs="Times New Roman"/>
          <w:color w:val="000000"/>
          <w:sz w:val="20"/>
          <w:szCs w:val="20"/>
        </w:rPr>
      </w:pPr>
    </w:p>
    <w:p w:rsidR="00517711" w:rsidRDefault="00517711">
      <w:pPr>
        <w:spacing w:after="0" w:line="240" w:lineRule="auto"/>
        <w:ind w:firstLine="709"/>
        <w:jc w:val="both"/>
        <w:rPr>
          <w:rFonts w:ascii="Times New Roman" w:hAnsi="Times New Roman" w:cs="Times New Roman"/>
          <w:color w:val="000000"/>
          <w:sz w:val="20"/>
          <w:szCs w:val="20"/>
        </w:rPr>
      </w:pPr>
    </w:p>
    <w:p w:rsidR="00517711" w:rsidRDefault="00517711">
      <w:pPr>
        <w:spacing w:after="0" w:line="240" w:lineRule="auto"/>
        <w:ind w:firstLine="709"/>
        <w:jc w:val="both"/>
        <w:rPr>
          <w:rFonts w:ascii="Times New Roman" w:hAnsi="Times New Roman" w:cs="Times New Roman"/>
          <w:color w:val="000000"/>
          <w:sz w:val="20"/>
          <w:szCs w:val="20"/>
        </w:rPr>
      </w:pPr>
    </w:p>
    <w:p w:rsidR="00517711" w:rsidRDefault="00517711">
      <w:pPr>
        <w:spacing w:after="0" w:line="240" w:lineRule="auto"/>
        <w:ind w:firstLine="709"/>
        <w:jc w:val="both"/>
        <w:rPr>
          <w:rFonts w:ascii="Times New Roman" w:hAnsi="Times New Roman" w:cs="Times New Roman"/>
          <w:color w:val="000000"/>
          <w:sz w:val="20"/>
          <w:szCs w:val="20"/>
        </w:rPr>
      </w:pPr>
    </w:p>
    <w:p w:rsidR="00517711" w:rsidRDefault="00517711">
      <w:pPr>
        <w:spacing w:after="0" w:line="240" w:lineRule="auto"/>
        <w:ind w:firstLine="709"/>
        <w:jc w:val="both"/>
        <w:rPr>
          <w:rFonts w:ascii="Times New Roman" w:hAnsi="Times New Roman" w:cs="Times New Roman"/>
          <w:color w:val="000000"/>
          <w:sz w:val="20"/>
          <w:szCs w:val="20"/>
        </w:rPr>
      </w:pPr>
    </w:p>
    <w:p w:rsidR="00517711" w:rsidRDefault="00517711">
      <w:pPr>
        <w:spacing w:after="0" w:line="240" w:lineRule="auto"/>
        <w:jc w:val="both"/>
        <w:rPr>
          <w:rFonts w:ascii="Times New Roman" w:hAnsi="Times New Roman" w:cs="Times New Roman"/>
          <w:color w:val="000000"/>
          <w:sz w:val="20"/>
          <w:szCs w:val="20"/>
        </w:rPr>
      </w:pPr>
    </w:p>
    <w:p w:rsidR="00517711" w:rsidRDefault="00517711">
      <w:pPr>
        <w:spacing w:line="240" w:lineRule="auto"/>
        <w:ind w:firstLine="709"/>
        <w:jc w:val="center"/>
        <w:rPr>
          <w:rFonts w:ascii="Times New Roman" w:hAnsi="Times New Roman" w:cs="Times New Roman"/>
          <w:color w:val="000000"/>
          <w:sz w:val="20"/>
          <w:szCs w:val="20"/>
        </w:rPr>
      </w:pPr>
    </w:p>
    <w:p w:rsidR="00517711" w:rsidRDefault="00F815BE">
      <w:pPr>
        <w:spacing w:line="240" w:lineRule="auto"/>
        <w:ind w:firstLine="709"/>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Рис. Схема движения отходов на производственной площадке при эксплуатации очистных сооружений</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На данном предприятии образуются отходы всех классов опасности.</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По состоянию на 2017 год при инвентаризации установлено, что в результате деятельности предприятия образуется 39 видов отходов в количестве 409,373 т/год в том числе:1 класс опасности – 0.048 т/год;2 класс опасности – 0.489 т/год;3 класс опасности – 36.2 т/год;4 класс опасности – 294.767 т/год;5 класс опасности – 77.869 т/год.</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К отходам 1-го класса опасности относятся: лампы ртутные, ртутно-кварцевые, люминесцентные в количестве 170 штук. К отходам 2-го класса опасности относятся: аккумуляторы свинцовые отработанные неповрежденные с электролитом - 10 штук и источники бесперебойного питания - 26 штук. К отходам 3-го класса относятся: обтирочный материал, загрязненные нефтью или нефтепродуктами; отходы минеральных масел моторных, трансмиссионных, гидравлических, не содержащих галогены, компрессорных, индустриальных; фильтры очистки масла и топлива автотранспортных средств; песок загрязненный нефтью; фильтрующая загрузка из разнородных полимерных материалов. К отходам 4-го класса опасности относятся: покрышки пневматических шин с тканевым кордом; фильтры воздушные автотранспортных средств; мусор от </w:t>
      </w:r>
      <w:r>
        <w:rPr>
          <w:rFonts w:ascii="Times New Roman" w:hAnsi="Times New Roman" w:cs="Times New Roman"/>
          <w:color w:val="000000" w:themeColor="text1"/>
          <w:sz w:val="20"/>
          <w:szCs w:val="20"/>
        </w:rPr>
        <w:lastRenderedPageBreak/>
        <w:t>офисных и бытовых помещений; смет с территории предприятий; отходы от уборки причальных сооружений и прочих береговых объектов порта; смет с территории гаража, автостоянки; спецодежда из хлопчатобумажного и смешанных волокон; обувь кожаная рабочая; офисная оргтехника 119 штук; отходы от окрасочных работ; мусор от строительных работ; светодиодные лампы 98 штук. К отходам 5-го класса опасности относятся: лом и отходы, содержащие незагрязненные черные металлы; стружка черных металлов; остатки и огарки стальных сварочных электродов; абразивные круги и лом от абразивных кругов; отходы бумаги и картона от канцелярской деятельности и делопроизводства; защитные каски пластмассовые 125 штук; конвейерные ленты, приводные ремни; фильтрующие текстильные респираторы.</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На территории предприятия организованы места временного накопления отходов в количестве 12 штук. Из них на открытых площадках 2 и в закрытых помещениях 10 штук. Объектов размещения (хранения и захоронения) отходов – нет. Деятельности по использованию и обезвреживанию отходов на объектах рассматриваемого предприятия не выявлено.Все виды отходов предприятия идут на утилизацию и обезвреживание организациям, с которыми заключены договоры.</w:t>
      </w:r>
    </w:p>
    <w:p w:rsidR="00517711" w:rsidRDefault="00F815BE">
      <w:pPr>
        <w:spacing w:after="0" w:line="240" w:lineRule="auto"/>
        <w:ind w:firstLine="709"/>
        <w:rPr>
          <w:rFonts w:ascii="Times New Roman" w:hAnsi="Times New Roman" w:cs="Times New Roman"/>
          <w:color w:val="000000"/>
          <w:sz w:val="20"/>
          <w:szCs w:val="20"/>
        </w:rPr>
      </w:pPr>
      <w:r>
        <w:rPr>
          <w:rFonts w:ascii="Times New Roman" w:hAnsi="Times New Roman" w:cs="Times New Roman"/>
          <w:color w:val="000000" w:themeColor="text1"/>
          <w:sz w:val="20"/>
          <w:szCs w:val="20"/>
        </w:rPr>
        <w:t>На предприятии планируется проводить следующие мероприятия по выполнению требований природоохранного законодательства в области обращения с отходами и предотвращению загрязнения окружающей среды:</w:t>
      </w:r>
    </w:p>
    <w:p w:rsidR="00517711" w:rsidRDefault="00F815BE">
      <w:pPr>
        <w:numPr>
          <w:ilvl w:val="0"/>
          <w:numId w:val="23"/>
        </w:numPr>
        <w:spacing w:after="0" w:line="240" w:lineRule="auto"/>
        <w:ind w:left="714" w:hanging="355"/>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Ежегодно (в срок до 1 февраля, следующего за отчетным годом) представлять в Управление Росприроднадзора по Приморскому краю Отчет по форме федерального статистического наблюдения №2-ТП (отходы) «Сведения об образовании использовании, обезвреживании, транспортировании и размещении отходов производства и потребления» (ст. 19 п. 2 Федерального закона от 24.06.1998 №89-ФЗ «</w:t>
      </w:r>
      <w:r>
        <w:rPr>
          <w:rFonts w:ascii="Times New Roman" w:hAnsi="Times New Roman" w:cs="Times New Roman"/>
          <w:bCs/>
          <w:color w:val="000000" w:themeColor="text1"/>
          <w:sz w:val="20"/>
          <w:szCs w:val="20"/>
        </w:rPr>
        <w:t>Об отходах производства и потребления»)[2].</w:t>
      </w:r>
    </w:p>
    <w:p w:rsidR="00517711" w:rsidRDefault="00F815BE">
      <w:pPr>
        <w:numPr>
          <w:ilvl w:val="0"/>
          <w:numId w:val="23"/>
        </w:numPr>
        <w:spacing w:after="0" w:line="240" w:lineRule="auto"/>
        <w:ind w:left="714" w:hanging="355"/>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При накоплении отходов соблюдать экологические, санитарные и иные требования, установленные законодательством Российской Федерации в области охраны окружающей среды и здоровья человека: мониторинг состояния объектов накопления отходов, организация раздельного накопления отходов по видам и классам опасности отходов (ст. 11 Федерального закона от 24.06.1998 №89-ФЗ «</w:t>
      </w:r>
      <w:r>
        <w:rPr>
          <w:rFonts w:ascii="Times New Roman" w:hAnsi="Times New Roman" w:cs="Times New Roman"/>
          <w:bCs/>
          <w:color w:val="000000" w:themeColor="text1"/>
          <w:sz w:val="20"/>
          <w:szCs w:val="20"/>
        </w:rPr>
        <w:t>Об отходах производства и потребления»)[2].</w:t>
      </w:r>
    </w:p>
    <w:p w:rsidR="00517711" w:rsidRDefault="00517711">
      <w:pPr>
        <w:pBdr>
          <w:bottom w:val="single" w:sz="4" w:space="1" w:color="auto"/>
        </w:pBdr>
        <w:ind w:firstLine="709"/>
        <w:rPr>
          <w:rFonts w:ascii="Times New Roman" w:hAnsi="Times New Roman" w:cs="Times New Roman"/>
          <w:color w:val="000000"/>
          <w:sz w:val="20"/>
          <w:szCs w:val="20"/>
        </w:rPr>
      </w:pP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1. Об охране окружающей среды: федеральный закон от 10.01.2002 г. №7-Ф3 </w:t>
      </w:r>
      <w:hyperlink r:id="rId124" w:history="1">
        <w:r>
          <w:rPr>
            <w:rStyle w:val="aa"/>
            <w:rFonts w:ascii="Times New Roman" w:hAnsi="Times New Roman" w:cs="Times New Roman"/>
            <w:color w:val="000000" w:themeColor="text1"/>
            <w:sz w:val="20"/>
            <w:szCs w:val="20"/>
          </w:rPr>
          <w:t>(ред. от 29.07.2017)</w:t>
        </w:r>
      </w:hyperlink>
      <w:r>
        <w:rPr>
          <w:rFonts w:ascii="Times New Roman" w:hAnsi="Times New Roman" w:cs="Times New Roman"/>
          <w:color w:val="000000" w:themeColor="text1"/>
          <w:sz w:val="20"/>
          <w:szCs w:val="20"/>
        </w:rPr>
        <w:t xml:space="preserve"> [Электронный ресурс] // СПС «КонсультантПлюс». – Режим доступа: </w:t>
      </w:r>
      <w:hyperlink r:id="rId125" w:history="1">
        <w:r>
          <w:rPr>
            <w:rStyle w:val="aa"/>
            <w:rFonts w:ascii="Times New Roman" w:hAnsi="Times New Roman" w:cs="Times New Roman"/>
            <w:color w:val="000000" w:themeColor="text1"/>
            <w:sz w:val="20"/>
            <w:szCs w:val="20"/>
          </w:rPr>
          <w:t>http://www.consultant.ru/document/cons_doc_LAW_34823/</w:t>
        </w:r>
      </w:hyperlink>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2. Об отходах производства и потребления: федеральный закон от 24.06.1998г. №89-ФЗ </w:t>
      </w:r>
      <w:hyperlink r:id="rId126" w:history="1">
        <w:r>
          <w:rPr>
            <w:rStyle w:val="aa"/>
            <w:rFonts w:ascii="Times New Roman" w:hAnsi="Times New Roman" w:cs="Times New Roman"/>
            <w:color w:val="000000" w:themeColor="text1"/>
            <w:sz w:val="20"/>
            <w:szCs w:val="20"/>
          </w:rPr>
          <w:t>(ред. от 28.12.2016)</w:t>
        </w:r>
      </w:hyperlink>
      <w:r>
        <w:rPr>
          <w:rFonts w:ascii="Times New Roman" w:hAnsi="Times New Roman" w:cs="Times New Roman"/>
          <w:color w:val="000000" w:themeColor="text1"/>
          <w:sz w:val="20"/>
          <w:szCs w:val="20"/>
        </w:rPr>
        <w:t xml:space="preserve"> [Электронный ресурс] // СПС «КонсультантПлюс». – Режим доступа: </w:t>
      </w:r>
      <w:hyperlink r:id="rId127" w:history="1">
        <w:r>
          <w:rPr>
            <w:rStyle w:val="aa"/>
            <w:rFonts w:ascii="Times New Roman" w:hAnsi="Times New Roman" w:cs="Times New Roman"/>
            <w:color w:val="000000" w:themeColor="text1"/>
            <w:sz w:val="20"/>
            <w:szCs w:val="20"/>
          </w:rPr>
          <w:t>http://www.consultant.ru/document/cons_doc_LAW_19109/</w:t>
        </w:r>
      </w:hyperlink>
      <w:r>
        <w:rPr>
          <w:noProof/>
          <w:lang w:eastAsia="ru-RU"/>
        </w:rPr>
        <mc:AlternateContent>
          <mc:Choice Requires="wps">
            <w:drawing>
              <wp:anchor distT="0" distB="0" distL="114296" distR="114296" simplePos="0" relativeHeight="251706368" behindDoc="0" locked="0" layoutInCell="1" allowOverlap="1">
                <wp:simplePos x="0" y="0"/>
                <wp:positionH relativeFrom="column">
                  <wp:posOffset>4120512</wp:posOffset>
                </wp:positionH>
                <wp:positionV relativeFrom="paragraph">
                  <wp:posOffset>9550398</wp:posOffset>
                </wp:positionV>
                <wp:extent cx="0" cy="104773"/>
                <wp:effectExtent l="76198" t="0" r="76198" b="47623"/>
                <wp:wrapNone/>
                <wp:docPr id="88" name="Прямая со стрелкой 43"/>
                <wp:cNvGraphicFramePr/>
                <a:graphic xmlns:a="http://schemas.openxmlformats.org/drawingml/2006/main">
                  <a:graphicData uri="http://schemas.microsoft.com/office/word/2010/wordprocessingShape">
                    <wps:wsp>
                      <wps:cNvCnPr/>
                      <wps:spPr bwMode="auto">
                        <a:xfrm>
                          <a:off x="0" y="0"/>
                          <a:ext cx="0" cy="104775"/>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type w14:anchorId="055DF4F6" id="_x0000_t32" coordsize="21600,21600" o:spt="32" o:oned="t" path="m,l21600,21600e" filled="f">
                <v:path arrowok="t" fillok="f" o:connecttype="none"/>
                <o:lock v:ext="edit" shapetype="t"/>
              </v:shapetype>
              <v:shape id="Прямая со стрелкой 43" o:spid="_x0000_s1026" type="#_x0000_t32" style="position:absolute;margin-left:324.45pt;margin-top:752pt;width:0;height:8.25pt;z-index:251706368;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">
                <v:stroke endarrow="block"/>
              </v:shape>
            </w:pict>
          </mc:Fallback>
        </mc:AlternateContent>
      </w:r>
    </w:p>
    <w:p w:rsidR="00517711" w:rsidRDefault="00517711">
      <w:pPr>
        <w:spacing w:after="0" w:line="240" w:lineRule="auto"/>
        <w:rPr>
          <w:rFonts w:ascii="Times New Roman" w:hAnsi="Times New Roman"/>
          <w:b/>
          <w:sz w:val="20"/>
          <w:szCs w:val="24"/>
        </w:rPr>
      </w:pPr>
    </w:p>
    <w:p w:rsidR="00517711" w:rsidRDefault="00517711">
      <w:pPr>
        <w:spacing w:after="0" w:line="240" w:lineRule="auto"/>
        <w:ind w:firstLine="709"/>
        <w:jc w:val="both"/>
        <w:rPr>
          <w:rFonts w:ascii="Times New Roman" w:hAnsi="Times New Roman"/>
          <w:sz w:val="24"/>
          <w:szCs w:val="24"/>
        </w:rPr>
      </w:pPr>
    </w:p>
    <w:p w:rsidR="00B15924" w:rsidRDefault="00B15924">
      <w:pPr>
        <w:spacing w:after="0" w:line="240" w:lineRule="auto"/>
        <w:ind w:firstLine="709"/>
        <w:jc w:val="both"/>
        <w:rPr>
          <w:rFonts w:ascii="Times New Roman" w:hAnsi="Times New Roman"/>
          <w:sz w:val="24"/>
          <w:szCs w:val="24"/>
        </w:rPr>
      </w:pPr>
    </w:p>
    <w:p w:rsidR="00B15924" w:rsidRDefault="00B15924">
      <w:pPr>
        <w:spacing w:after="0" w:line="240" w:lineRule="auto"/>
        <w:ind w:firstLine="709"/>
        <w:jc w:val="both"/>
        <w:rPr>
          <w:rFonts w:ascii="Times New Roman" w:hAnsi="Times New Roman"/>
          <w:sz w:val="24"/>
          <w:szCs w:val="24"/>
        </w:rPr>
      </w:pPr>
    </w:p>
    <w:p w:rsidR="000D1C8F" w:rsidRDefault="000D1C8F">
      <w:pPr>
        <w:spacing w:after="0" w:line="240" w:lineRule="auto"/>
        <w:ind w:firstLine="709"/>
        <w:jc w:val="both"/>
        <w:rPr>
          <w:rFonts w:ascii="Times New Roman" w:hAnsi="Times New Roman"/>
          <w:sz w:val="24"/>
          <w:szCs w:val="24"/>
        </w:rPr>
      </w:pPr>
    </w:p>
    <w:p w:rsidR="000D1C8F" w:rsidRDefault="000D1C8F">
      <w:pPr>
        <w:spacing w:after="0" w:line="240" w:lineRule="auto"/>
        <w:ind w:firstLine="709"/>
        <w:jc w:val="both"/>
        <w:rPr>
          <w:rFonts w:ascii="Times New Roman" w:hAnsi="Times New Roman"/>
          <w:sz w:val="24"/>
          <w:szCs w:val="24"/>
        </w:rPr>
      </w:pPr>
    </w:p>
    <w:p w:rsidR="000D1C8F" w:rsidRDefault="000D1C8F">
      <w:pPr>
        <w:spacing w:after="0" w:line="240" w:lineRule="auto"/>
        <w:ind w:firstLine="709"/>
        <w:jc w:val="both"/>
        <w:rPr>
          <w:rFonts w:ascii="Times New Roman" w:hAnsi="Times New Roman"/>
          <w:sz w:val="24"/>
          <w:szCs w:val="24"/>
        </w:rPr>
      </w:pPr>
    </w:p>
    <w:p w:rsidR="000D1C8F" w:rsidRDefault="000D1C8F">
      <w:pPr>
        <w:spacing w:after="0" w:line="240" w:lineRule="auto"/>
        <w:ind w:firstLine="709"/>
        <w:jc w:val="both"/>
        <w:rPr>
          <w:rFonts w:ascii="Times New Roman" w:hAnsi="Times New Roman"/>
          <w:sz w:val="24"/>
          <w:szCs w:val="24"/>
        </w:rPr>
      </w:pPr>
    </w:p>
    <w:p w:rsidR="000D1C8F" w:rsidRDefault="000D1C8F">
      <w:pPr>
        <w:spacing w:after="0" w:line="240" w:lineRule="auto"/>
        <w:ind w:firstLine="709"/>
        <w:jc w:val="both"/>
        <w:rPr>
          <w:rFonts w:ascii="Times New Roman" w:hAnsi="Times New Roman"/>
          <w:sz w:val="24"/>
          <w:szCs w:val="24"/>
        </w:rPr>
      </w:pPr>
    </w:p>
    <w:p w:rsidR="000D1C8F" w:rsidRDefault="000D1C8F">
      <w:pPr>
        <w:spacing w:after="0" w:line="240" w:lineRule="auto"/>
        <w:ind w:firstLine="709"/>
        <w:jc w:val="both"/>
        <w:rPr>
          <w:rFonts w:ascii="Times New Roman" w:hAnsi="Times New Roman"/>
          <w:sz w:val="24"/>
          <w:szCs w:val="24"/>
        </w:rPr>
      </w:pPr>
    </w:p>
    <w:p w:rsidR="000D1C8F" w:rsidRDefault="000D1C8F">
      <w:pPr>
        <w:spacing w:after="0" w:line="240" w:lineRule="auto"/>
        <w:ind w:firstLine="709"/>
        <w:jc w:val="both"/>
        <w:rPr>
          <w:rFonts w:ascii="Times New Roman" w:hAnsi="Times New Roman"/>
          <w:sz w:val="24"/>
          <w:szCs w:val="24"/>
        </w:rPr>
      </w:pPr>
    </w:p>
    <w:p w:rsidR="000D1C8F" w:rsidRDefault="000D1C8F">
      <w:pPr>
        <w:spacing w:after="0" w:line="240" w:lineRule="auto"/>
        <w:ind w:firstLine="709"/>
        <w:jc w:val="both"/>
        <w:rPr>
          <w:rFonts w:ascii="Times New Roman" w:hAnsi="Times New Roman"/>
          <w:sz w:val="24"/>
          <w:szCs w:val="24"/>
        </w:rPr>
      </w:pPr>
    </w:p>
    <w:p w:rsidR="000D1C8F" w:rsidRDefault="000D1C8F">
      <w:pPr>
        <w:spacing w:after="0" w:line="240" w:lineRule="auto"/>
        <w:ind w:firstLine="709"/>
        <w:jc w:val="both"/>
        <w:rPr>
          <w:rFonts w:ascii="Times New Roman" w:hAnsi="Times New Roman"/>
          <w:sz w:val="24"/>
          <w:szCs w:val="24"/>
        </w:rPr>
      </w:pPr>
    </w:p>
    <w:p w:rsidR="000D1C8F" w:rsidRDefault="000D1C8F">
      <w:pPr>
        <w:spacing w:after="0" w:line="240" w:lineRule="auto"/>
        <w:ind w:firstLine="709"/>
        <w:jc w:val="both"/>
        <w:rPr>
          <w:rFonts w:ascii="Times New Roman" w:hAnsi="Times New Roman"/>
          <w:sz w:val="24"/>
          <w:szCs w:val="24"/>
        </w:rPr>
      </w:pPr>
    </w:p>
    <w:p w:rsidR="000D1C8F" w:rsidRDefault="000D1C8F">
      <w:pPr>
        <w:spacing w:after="0" w:line="240" w:lineRule="auto"/>
        <w:ind w:firstLine="709"/>
        <w:jc w:val="both"/>
        <w:rPr>
          <w:rFonts w:ascii="Times New Roman" w:hAnsi="Times New Roman"/>
          <w:sz w:val="24"/>
          <w:szCs w:val="24"/>
        </w:rPr>
      </w:pPr>
    </w:p>
    <w:p w:rsidR="000D1C8F" w:rsidRDefault="000D1C8F">
      <w:pPr>
        <w:spacing w:after="0" w:line="240" w:lineRule="auto"/>
        <w:ind w:firstLine="709"/>
        <w:jc w:val="both"/>
        <w:rPr>
          <w:rFonts w:ascii="Times New Roman" w:hAnsi="Times New Roman"/>
          <w:sz w:val="24"/>
          <w:szCs w:val="24"/>
        </w:rPr>
      </w:pPr>
    </w:p>
    <w:p w:rsidR="000D1C8F" w:rsidRDefault="000D1C8F">
      <w:pPr>
        <w:spacing w:after="0" w:line="240" w:lineRule="auto"/>
        <w:ind w:firstLine="709"/>
        <w:jc w:val="both"/>
        <w:rPr>
          <w:rFonts w:ascii="Times New Roman" w:hAnsi="Times New Roman"/>
          <w:sz w:val="24"/>
          <w:szCs w:val="24"/>
        </w:rPr>
      </w:pPr>
    </w:p>
    <w:p w:rsidR="000D1C8F" w:rsidRDefault="000D1C8F">
      <w:pPr>
        <w:spacing w:after="0" w:line="240" w:lineRule="auto"/>
        <w:ind w:firstLine="709"/>
        <w:jc w:val="both"/>
        <w:rPr>
          <w:rFonts w:ascii="Times New Roman" w:hAnsi="Times New Roman"/>
          <w:sz w:val="24"/>
          <w:szCs w:val="24"/>
        </w:rPr>
      </w:pPr>
    </w:p>
    <w:p w:rsidR="000D1C8F" w:rsidRDefault="000D1C8F">
      <w:pPr>
        <w:spacing w:after="0" w:line="240" w:lineRule="auto"/>
        <w:ind w:firstLine="709"/>
        <w:jc w:val="both"/>
        <w:rPr>
          <w:rFonts w:ascii="Times New Roman" w:hAnsi="Times New Roman"/>
          <w:sz w:val="24"/>
          <w:szCs w:val="24"/>
        </w:rPr>
      </w:pPr>
      <w:bookmarkStart w:id="15" w:name="_GoBack"/>
      <w:bookmarkEnd w:id="15"/>
    </w:p>
    <w:p w:rsidR="000D1C8F" w:rsidRDefault="000D1C8F">
      <w:pPr>
        <w:spacing w:after="0" w:line="240" w:lineRule="auto"/>
        <w:ind w:firstLine="709"/>
        <w:jc w:val="both"/>
        <w:rPr>
          <w:rFonts w:ascii="Times New Roman" w:hAnsi="Times New Roman"/>
          <w:sz w:val="24"/>
          <w:szCs w:val="24"/>
        </w:rPr>
      </w:pPr>
    </w:p>
    <w:p w:rsidR="000D1C8F" w:rsidRDefault="000D1C8F">
      <w:pPr>
        <w:spacing w:after="0" w:line="240" w:lineRule="auto"/>
        <w:ind w:firstLine="709"/>
        <w:jc w:val="both"/>
        <w:rPr>
          <w:rFonts w:ascii="Times New Roman" w:hAnsi="Times New Roman"/>
          <w:sz w:val="24"/>
          <w:szCs w:val="24"/>
        </w:rPr>
      </w:pPr>
    </w:p>
    <w:p w:rsidR="000D1C8F" w:rsidRDefault="000D1C8F">
      <w:pPr>
        <w:spacing w:after="0" w:line="240" w:lineRule="auto"/>
        <w:ind w:firstLine="709"/>
        <w:jc w:val="both"/>
        <w:rPr>
          <w:rFonts w:ascii="Times New Roman" w:hAnsi="Times New Roman"/>
          <w:sz w:val="24"/>
          <w:szCs w:val="24"/>
        </w:rPr>
      </w:pPr>
    </w:p>
    <w:p w:rsidR="000D1C8F" w:rsidRDefault="000D1C8F">
      <w:pPr>
        <w:spacing w:after="0" w:line="240" w:lineRule="auto"/>
        <w:ind w:firstLine="709"/>
        <w:jc w:val="both"/>
        <w:rPr>
          <w:rFonts w:ascii="Times New Roman" w:hAnsi="Times New Roman"/>
          <w:sz w:val="24"/>
          <w:szCs w:val="24"/>
        </w:rPr>
      </w:pPr>
    </w:p>
    <w:p w:rsidR="00517711" w:rsidRDefault="00517711">
      <w:pPr>
        <w:spacing w:after="0" w:line="240" w:lineRule="auto"/>
        <w:rPr>
          <w:rFonts w:ascii="Times New Roman" w:hAnsi="Times New Roman"/>
          <w:b/>
          <w:sz w:val="20"/>
          <w:szCs w:val="24"/>
        </w:rPr>
      </w:pPr>
    </w:p>
    <w:p w:rsidR="00517711" w:rsidRDefault="00517711">
      <w:pPr>
        <w:spacing w:after="0" w:line="240" w:lineRule="auto"/>
        <w:rPr>
          <w:rFonts w:ascii="Times New Roman" w:hAnsi="Times New Roman"/>
          <w:b/>
          <w:sz w:val="20"/>
          <w:szCs w:val="24"/>
        </w:rPr>
      </w:pPr>
    </w:p>
    <w:p w:rsidR="00517711" w:rsidRDefault="00F815BE">
      <w:pPr>
        <w:spacing w:after="0" w:line="240" w:lineRule="auto"/>
        <w:rPr>
          <w:rFonts w:ascii="Times New Roman" w:hAnsi="Times New Roman"/>
          <w:b/>
          <w:sz w:val="20"/>
          <w:szCs w:val="24"/>
        </w:rPr>
      </w:pPr>
      <w:r>
        <w:rPr>
          <w:rFonts w:ascii="Times New Roman" w:hAnsi="Times New Roman"/>
          <w:b/>
          <w:sz w:val="20"/>
          <w:szCs w:val="24"/>
        </w:rPr>
        <w:lastRenderedPageBreak/>
        <w:t xml:space="preserve">Рубрика: Растительный мир и его охрана </w:t>
      </w:r>
    </w:p>
    <w:p w:rsidR="00517711" w:rsidRDefault="00517711">
      <w:pPr>
        <w:spacing w:after="0" w:line="240" w:lineRule="auto"/>
        <w:rPr>
          <w:rFonts w:ascii="Times New Roman" w:hAnsi="Times New Roman"/>
          <w:sz w:val="20"/>
          <w:szCs w:val="24"/>
        </w:rPr>
      </w:pPr>
    </w:p>
    <w:p w:rsidR="00517711" w:rsidRDefault="00F815BE">
      <w:pPr>
        <w:spacing w:after="0" w:line="240" w:lineRule="auto"/>
        <w:rPr>
          <w:rFonts w:ascii="Times New Roman" w:hAnsi="Times New Roman"/>
          <w:sz w:val="20"/>
          <w:szCs w:val="24"/>
        </w:rPr>
      </w:pPr>
      <w:r>
        <w:rPr>
          <w:rFonts w:ascii="Times New Roman" w:hAnsi="Times New Roman"/>
          <w:sz w:val="20"/>
          <w:szCs w:val="24"/>
        </w:rPr>
        <w:t>УДК 502.75</w:t>
      </w:r>
    </w:p>
    <w:p w:rsidR="00517711" w:rsidRDefault="00517711">
      <w:pPr>
        <w:spacing w:after="0" w:line="240" w:lineRule="auto"/>
        <w:rPr>
          <w:rFonts w:ascii="Times New Roman" w:hAnsi="Times New Roman"/>
          <w:sz w:val="24"/>
          <w:szCs w:val="24"/>
        </w:rPr>
      </w:pPr>
    </w:p>
    <w:p w:rsidR="00517711" w:rsidRDefault="00F815BE">
      <w:pPr>
        <w:spacing w:after="0" w:line="240" w:lineRule="auto"/>
        <w:rPr>
          <w:rFonts w:ascii="Times New Roman" w:hAnsi="Times New Roman"/>
          <w:b/>
          <w:sz w:val="20"/>
          <w:szCs w:val="24"/>
        </w:rPr>
      </w:pPr>
      <w:r>
        <w:rPr>
          <w:rFonts w:ascii="Times New Roman" w:hAnsi="Times New Roman"/>
          <w:b/>
          <w:sz w:val="20"/>
          <w:szCs w:val="24"/>
        </w:rPr>
        <w:t>Рубрика: Природоведение. Изучение и наблюдение компонентов природы</w:t>
      </w:r>
    </w:p>
    <w:p w:rsidR="00517711" w:rsidRDefault="00517711">
      <w:pPr>
        <w:spacing w:after="0" w:line="240" w:lineRule="auto"/>
        <w:rPr>
          <w:rFonts w:ascii="Times New Roman" w:hAnsi="Times New Roman"/>
          <w:sz w:val="20"/>
          <w:szCs w:val="24"/>
        </w:rPr>
      </w:pPr>
    </w:p>
    <w:p w:rsidR="00517711" w:rsidRDefault="00F815BE">
      <w:pPr>
        <w:spacing w:after="0" w:line="240" w:lineRule="auto"/>
        <w:rPr>
          <w:rFonts w:ascii="Times New Roman" w:hAnsi="Times New Roman"/>
          <w:sz w:val="20"/>
          <w:szCs w:val="24"/>
        </w:rPr>
      </w:pPr>
      <w:r>
        <w:rPr>
          <w:rFonts w:ascii="Times New Roman" w:hAnsi="Times New Roman"/>
          <w:sz w:val="20"/>
          <w:szCs w:val="24"/>
        </w:rPr>
        <w:t>УДК 502.2</w:t>
      </w:r>
    </w:p>
    <w:p w:rsidR="00517711" w:rsidRDefault="00517711">
      <w:pPr>
        <w:spacing w:after="0" w:line="240" w:lineRule="auto"/>
        <w:rPr>
          <w:rFonts w:ascii="Times New Roman" w:hAnsi="Times New Roman"/>
          <w:sz w:val="24"/>
          <w:szCs w:val="24"/>
        </w:rPr>
      </w:pPr>
    </w:p>
    <w:p w:rsidR="00517711" w:rsidRDefault="00F815BE">
      <w:pPr>
        <w:spacing w:after="0" w:line="240" w:lineRule="auto"/>
        <w:jc w:val="center"/>
        <w:rPr>
          <w:rFonts w:ascii="Book Antiqua" w:hAnsi="Book Antiqua"/>
          <w:b/>
          <w:color w:val="000000"/>
          <w:sz w:val="26"/>
          <w:szCs w:val="26"/>
        </w:rPr>
      </w:pPr>
      <w:r>
        <w:rPr>
          <w:rFonts w:ascii="Book Antiqua" w:hAnsi="Book Antiqua"/>
          <w:b/>
          <w:color w:val="000000"/>
          <w:sz w:val="26"/>
          <w:szCs w:val="26"/>
        </w:rPr>
        <w:t>ЭКОЛОГИЧЕСКИЙ ПАСПОРТ ДЕНДРОПАРКА ВЛАДИВОСТОКСКОГО ГОСУДАРСТВЕННОГО УНИВЕРСИТЕТА ЭКОНОМИКИ И СЕРВИСА</w:t>
      </w:r>
    </w:p>
    <w:p w:rsidR="00517711" w:rsidRDefault="00517711">
      <w:pPr>
        <w:spacing w:after="0" w:line="240" w:lineRule="auto"/>
        <w:jc w:val="center"/>
        <w:rPr>
          <w:rFonts w:ascii="Times New Roman" w:hAnsi="Times New Roman"/>
          <w:sz w:val="24"/>
          <w:szCs w:val="24"/>
        </w:rPr>
      </w:pPr>
    </w:p>
    <w:p w:rsidR="00517711" w:rsidRDefault="00F815BE">
      <w:pPr>
        <w:spacing w:after="0" w:line="240" w:lineRule="auto"/>
        <w:jc w:val="center"/>
        <w:rPr>
          <w:rFonts w:ascii="Arial" w:hAnsi="Arial" w:cs="Arial"/>
          <w:b/>
          <w:sz w:val="24"/>
          <w:szCs w:val="24"/>
        </w:rPr>
      </w:pPr>
      <w:r>
        <w:rPr>
          <w:rFonts w:ascii="Arial" w:hAnsi="Arial" w:cs="Arial"/>
          <w:b/>
          <w:sz w:val="24"/>
          <w:szCs w:val="24"/>
        </w:rPr>
        <w:t xml:space="preserve">Колотурин Петр Витальевич, </w:t>
      </w:r>
    </w:p>
    <w:p w:rsidR="00517711" w:rsidRDefault="00F815BE">
      <w:pPr>
        <w:spacing w:after="0" w:line="240" w:lineRule="auto"/>
        <w:jc w:val="center"/>
        <w:rPr>
          <w:rFonts w:ascii="Arial" w:hAnsi="Arial" w:cs="Arial"/>
          <w:sz w:val="24"/>
          <w:szCs w:val="24"/>
        </w:rPr>
      </w:pPr>
      <w:r>
        <w:rPr>
          <w:rFonts w:ascii="Arial" w:hAnsi="Arial" w:cs="Arial"/>
          <w:sz w:val="24"/>
          <w:szCs w:val="24"/>
        </w:rPr>
        <w:t>бакалавр 4 курса, кафедра туризма и экологии,</w:t>
      </w:r>
    </w:p>
    <w:p w:rsidR="00517711" w:rsidRDefault="00517711">
      <w:pPr>
        <w:spacing w:after="0" w:line="240" w:lineRule="auto"/>
        <w:jc w:val="center"/>
        <w:rPr>
          <w:rFonts w:ascii="Times New Roman" w:hAnsi="Times New Roman"/>
          <w:i/>
          <w:sz w:val="24"/>
          <w:szCs w:val="24"/>
        </w:rPr>
      </w:pPr>
    </w:p>
    <w:p w:rsidR="00517711" w:rsidRDefault="00F815BE">
      <w:pPr>
        <w:spacing w:after="0" w:line="240" w:lineRule="auto"/>
        <w:jc w:val="center"/>
        <w:rPr>
          <w:rFonts w:ascii="Times New Roman" w:hAnsi="Times New Roman"/>
          <w:i/>
          <w:szCs w:val="24"/>
        </w:rPr>
      </w:pPr>
      <w:r>
        <w:rPr>
          <w:rFonts w:ascii="Times New Roman" w:hAnsi="Times New Roman"/>
          <w:i/>
          <w:szCs w:val="24"/>
        </w:rPr>
        <w:t>Владивостокский государственный университет экономики и сервиса</w:t>
      </w:r>
    </w:p>
    <w:p w:rsidR="00517711" w:rsidRDefault="00F815BE">
      <w:pPr>
        <w:spacing w:after="0" w:line="240" w:lineRule="auto"/>
        <w:jc w:val="center"/>
        <w:rPr>
          <w:rFonts w:ascii="Times New Roman" w:hAnsi="Times New Roman"/>
          <w:i/>
          <w:szCs w:val="24"/>
        </w:rPr>
      </w:pPr>
      <w:r>
        <w:rPr>
          <w:rFonts w:ascii="Times New Roman" w:hAnsi="Times New Roman"/>
          <w:i/>
          <w:szCs w:val="24"/>
        </w:rPr>
        <w:t>г. Владивосток. Россия.</w:t>
      </w:r>
    </w:p>
    <w:p w:rsidR="00517711" w:rsidRDefault="00517711">
      <w:pPr>
        <w:spacing w:after="0" w:line="240" w:lineRule="auto"/>
        <w:jc w:val="center"/>
        <w:rPr>
          <w:rFonts w:ascii="Times New Roman" w:hAnsi="Times New Roman"/>
          <w:i/>
          <w:sz w:val="24"/>
          <w:szCs w:val="24"/>
        </w:rPr>
      </w:pPr>
    </w:p>
    <w:p w:rsidR="00517711" w:rsidRDefault="00F815BE">
      <w:pPr>
        <w:spacing w:after="0" w:line="240" w:lineRule="auto"/>
        <w:jc w:val="center"/>
        <w:rPr>
          <w:rFonts w:ascii="Times New Roman" w:hAnsi="Times New Roman"/>
          <w:sz w:val="20"/>
          <w:szCs w:val="24"/>
        </w:rPr>
      </w:pPr>
      <w:r>
        <w:rPr>
          <w:rFonts w:ascii="Times New Roman" w:hAnsi="Times New Roman"/>
          <w:i/>
          <w:sz w:val="20"/>
          <w:szCs w:val="24"/>
          <w:lang w:val="en-US"/>
        </w:rPr>
        <w:t>E</w:t>
      </w:r>
      <w:r>
        <w:rPr>
          <w:rFonts w:ascii="Times New Roman" w:hAnsi="Times New Roman"/>
          <w:i/>
          <w:sz w:val="20"/>
          <w:szCs w:val="24"/>
        </w:rPr>
        <w:t>-</w:t>
      </w:r>
      <w:r>
        <w:rPr>
          <w:rFonts w:ascii="Times New Roman" w:hAnsi="Times New Roman"/>
          <w:sz w:val="20"/>
          <w:szCs w:val="24"/>
          <w:lang w:val="en-US"/>
        </w:rPr>
        <w:t>mail</w:t>
      </w:r>
      <w:r>
        <w:rPr>
          <w:rFonts w:ascii="Times New Roman" w:hAnsi="Times New Roman"/>
          <w:sz w:val="20"/>
          <w:szCs w:val="24"/>
        </w:rPr>
        <w:t xml:space="preserve">: </w:t>
      </w:r>
      <w:r>
        <w:rPr>
          <w:rFonts w:ascii="Times New Roman" w:hAnsi="Times New Roman"/>
          <w:sz w:val="20"/>
          <w:szCs w:val="24"/>
          <w:lang w:val="en-US"/>
        </w:rPr>
        <w:t>koloturin</w:t>
      </w:r>
      <w:r>
        <w:rPr>
          <w:rFonts w:ascii="Times New Roman" w:hAnsi="Times New Roman"/>
          <w:sz w:val="20"/>
          <w:szCs w:val="24"/>
        </w:rPr>
        <w:t>@</w:t>
      </w:r>
      <w:r>
        <w:rPr>
          <w:rFonts w:ascii="Times New Roman" w:hAnsi="Times New Roman"/>
          <w:sz w:val="20"/>
          <w:szCs w:val="24"/>
          <w:lang w:val="en-US"/>
        </w:rPr>
        <w:t>list</w:t>
      </w:r>
      <w:r>
        <w:rPr>
          <w:rFonts w:ascii="Times New Roman" w:hAnsi="Times New Roman"/>
          <w:sz w:val="20"/>
          <w:szCs w:val="24"/>
        </w:rPr>
        <w:t>.</w:t>
      </w:r>
      <w:r>
        <w:rPr>
          <w:rFonts w:ascii="Times New Roman" w:hAnsi="Times New Roman"/>
          <w:sz w:val="20"/>
          <w:szCs w:val="24"/>
          <w:lang w:val="en-US"/>
        </w:rPr>
        <w:t>ru</w:t>
      </w:r>
    </w:p>
    <w:p w:rsidR="00517711" w:rsidRDefault="00F815BE">
      <w:pPr>
        <w:spacing w:after="0" w:line="240" w:lineRule="auto"/>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517711">
      <w:pPr>
        <w:spacing w:after="0" w:line="240" w:lineRule="auto"/>
        <w:jc w:val="center"/>
        <w:rPr>
          <w:rFonts w:ascii="Times New Roman" w:hAnsi="Times New Roman"/>
          <w:sz w:val="24"/>
          <w:szCs w:val="24"/>
        </w:rPr>
      </w:pPr>
    </w:p>
    <w:p w:rsidR="00517711" w:rsidRDefault="00F815BE">
      <w:pPr>
        <w:spacing w:after="0" w:line="240" w:lineRule="auto"/>
        <w:jc w:val="center"/>
        <w:rPr>
          <w:rFonts w:ascii="Arial" w:hAnsi="Arial" w:cs="Arial"/>
          <w:b/>
          <w:sz w:val="24"/>
          <w:szCs w:val="24"/>
        </w:rPr>
      </w:pPr>
      <w:r>
        <w:rPr>
          <w:rFonts w:ascii="Arial" w:hAnsi="Arial" w:cs="Arial"/>
          <w:b/>
          <w:sz w:val="24"/>
          <w:szCs w:val="24"/>
        </w:rPr>
        <w:t>Иваненко Наталья Владимировна</w:t>
      </w:r>
    </w:p>
    <w:p w:rsidR="00517711" w:rsidRDefault="00F815BE">
      <w:pPr>
        <w:spacing w:after="0" w:line="240" w:lineRule="auto"/>
        <w:jc w:val="center"/>
        <w:rPr>
          <w:rFonts w:ascii="Arial" w:hAnsi="Arial" w:cs="Arial"/>
          <w:sz w:val="24"/>
          <w:szCs w:val="24"/>
        </w:rPr>
      </w:pPr>
      <w:r>
        <w:rPr>
          <w:rFonts w:ascii="Arial" w:hAnsi="Arial" w:cs="Arial"/>
          <w:sz w:val="24"/>
          <w:szCs w:val="24"/>
        </w:rPr>
        <w:t>научный руководитель, канд. биол. наук, доцент кафедры туризма и экологии,</w:t>
      </w:r>
    </w:p>
    <w:p w:rsidR="00517711" w:rsidRDefault="00517711">
      <w:pPr>
        <w:spacing w:after="0" w:line="240" w:lineRule="auto"/>
        <w:jc w:val="center"/>
        <w:rPr>
          <w:rFonts w:ascii="Times New Roman" w:hAnsi="Times New Roman"/>
          <w:i/>
          <w:sz w:val="24"/>
          <w:szCs w:val="24"/>
        </w:rPr>
      </w:pPr>
    </w:p>
    <w:p w:rsidR="00517711" w:rsidRDefault="00F815BE">
      <w:pPr>
        <w:spacing w:after="0" w:line="240" w:lineRule="auto"/>
        <w:jc w:val="center"/>
        <w:rPr>
          <w:rFonts w:ascii="Times New Roman" w:hAnsi="Times New Roman"/>
          <w:i/>
          <w:szCs w:val="24"/>
        </w:rPr>
      </w:pPr>
      <w:r>
        <w:rPr>
          <w:rFonts w:ascii="Times New Roman" w:hAnsi="Times New Roman"/>
          <w:i/>
          <w:szCs w:val="24"/>
        </w:rPr>
        <w:t>Владивостокский государственный университет экономики и сервиса,</w:t>
      </w:r>
    </w:p>
    <w:p w:rsidR="00517711" w:rsidRDefault="00F815BE">
      <w:pPr>
        <w:spacing w:after="0" w:line="240" w:lineRule="auto"/>
        <w:jc w:val="center"/>
        <w:rPr>
          <w:rFonts w:ascii="Times New Roman" w:hAnsi="Times New Roman"/>
          <w:i/>
          <w:szCs w:val="24"/>
        </w:rPr>
      </w:pPr>
      <w:r>
        <w:rPr>
          <w:rFonts w:ascii="Times New Roman" w:hAnsi="Times New Roman"/>
          <w:i/>
          <w:szCs w:val="24"/>
        </w:rPr>
        <w:t>г. Владивосток, Россия</w:t>
      </w:r>
    </w:p>
    <w:p w:rsidR="00517711" w:rsidRDefault="00517711">
      <w:pPr>
        <w:spacing w:after="0" w:line="240" w:lineRule="auto"/>
        <w:jc w:val="center"/>
        <w:rPr>
          <w:rFonts w:ascii="Times New Roman" w:hAnsi="Times New Roman"/>
          <w:i/>
          <w:sz w:val="24"/>
          <w:szCs w:val="24"/>
        </w:rPr>
      </w:pPr>
    </w:p>
    <w:p w:rsidR="00517711" w:rsidRDefault="00F815BE">
      <w:pPr>
        <w:spacing w:after="0" w:line="240" w:lineRule="auto"/>
        <w:jc w:val="center"/>
        <w:rPr>
          <w:rFonts w:ascii="Times New Roman" w:hAnsi="Times New Roman" w:cs="Times New Roman"/>
          <w:color w:val="000000"/>
          <w:sz w:val="20"/>
          <w:szCs w:val="20"/>
          <w:u w:val="single"/>
        </w:rPr>
      </w:pPr>
      <w:r>
        <w:rPr>
          <w:rFonts w:ascii="Times New Roman" w:hAnsi="Times New Roman" w:cs="Times New Roman"/>
          <w:i/>
          <w:color w:val="000000" w:themeColor="text1"/>
          <w:sz w:val="20"/>
          <w:szCs w:val="20"/>
          <w:lang w:val="en-US"/>
        </w:rPr>
        <w:t>E</w:t>
      </w:r>
      <w:r>
        <w:rPr>
          <w:rFonts w:ascii="Times New Roman" w:hAnsi="Times New Roman" w:cs="Times New Roman"/>
          <w:i/>
          <w:color w:val="000000" w:themeColor="text1"/>
          <w:sz w:val="20"/>
          <w:szCs w:val="20"/>
        </w:rPr>
        <w:t>-</w:t>
      </w:r>
      <w:r>
        <w:rPr>
          <w:rFonts w:ascii="Times New Roman" w:hAnsi="Times New Roman" w:cs="Times New Roman"/>
          <w:color w:val="000000" w:themeColor="text1"/>
          <w:sz w:val="20"/>
          <w:szCs w:val="20"/>
          <w:lang w:val="en-US"/>
        </w:rPr>
        <w:t>mail</w:t>
      </w:r>
      <w:r>
        <w:rPr>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rPr>
        <w:t xml:space="preserve"> </w:t>
      </w:r>
      <w:hyperlink r:id="rId128" w:history="1">
        <w:r>
          <w:rPr>
            <w:rStyle w:val="aa"/>
            <w:rFonts w:ascii="Times New Roman" w:hAnsi="Times New Roman" w:cs="Times New Roman"/>
            <w:color w:val="000000" w:themeColor="text1"/>
            <w:sz w:val="20"/>
            <w:szCs w:val="20"/>
            <w:lang w:val="en-US"/>
          </w:rPr>
          <w:t>Natalya</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ivanenko</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vvsu</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ru</w:t>
        </w:r>
      </w:hyperlink>
    </w:p>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Ул. Гоголя, 41, г. Владивосток, Приморский край, Россия, 690014</w:t>
      </w:r>
    </w:p>
    <w:p w:rsidR="00517711" w:rsidRDefault="00517711">
      <w:pPr>
        <w:spacing w:line="240" w:lineRule="auto"/>
        <w:jc w:val="center"/>
        <w:rPr>
          <w:rFonts w:ascii="Times New Roman" w:hAnsi="Times New Roman"/>
          <w:sz w:val="24"/>
          <w:szCs w:val="24"/>
        </w:rPr>
      </w:pPr>
    </w:p>
    <w:p w:rsidR="00517711" w:rsidRDefault="00F815BE">
      <w:pPr>
        <w:shd w:val="clear" w:color="auto" w:fill="FFFFFF"/>
        <w:spacing w:after="0" w:line="240" w:lineRule="auto"/>
        <w:ind w:firstLine="709"/>
        <w:jc w:val="both"/>
        <w:rPr>
          <w:rFonts w:ascii="Times New Roman" w:hAnsi="Times New Roman"/>
          <w:i/>
          <w:szCs w:val="24"/>
        </w:rPr>
      </w:pPr>
      <w:r>
        <w:rPr>
          <w:rFonts w:ascii="Times New Roman" w:hAnsi="Times New Roman"/>
          <w:i/>
          <w:szCs w:val="24"/>
        </w:rPr>
        <w:t>Представлена краткая характеристика экологического паспорта дендропарка Владивостокского государственного университета экономики и сервиса. Рассмотрены основные элементы экологического паспорта – общие сведения о дендропарке, физико-географическая характеристика природных условий территории, флористический состав, образовательные ресурсы дендропарка. Показано, что для пополнения коллекции видов дендропарка необходимо сотрудничество с профильными научными организациями. Определены основные направления эколого-просветительской деятельности дендропарка – создание виртуальных экскурсий по дендропарку, расширение возможностей посещения дендропарка инвалидами (контактные экскурсии, аудиоэкскурсии, специальные маршруты для маломобильных граждан)</w:t>
      </w:r>
    </w:p>
    <w:p w:rsidR="00517711" w:rsidRDefault="00F815BE">
      <w:pPr>
        <w:spacing w:after="0" w:line="240" w:lineRule="auto"/>
        <w:ind w:firstLine="709"/>
        <w:jc w:val="both"/>
        <w:rPr>
          <w:rFonts w:ascii="Times New Roman" w:hAnsi="Times New Roman"/>
          <w:i/>
          <w:szCs w:val="24"/>
        </w:rPr>
      </w:pPr>
      <w:r>
        <w:rPr>
          <w:rFonts w:ascii="Times New Roman" w:hAnsi="Times New Roman"/>
          <w:b/>
          <w:i/>
          <w:szCs w:val="24"/>
        </w:rPr>
        <w:t xml:space="preserve">Ключевые слова и словосочетания: </w:t>
      </w:r>
      <w:r>
        <w:rPr>
          <w:rFonts w:ascii="Times New Roman" w:hAnsi="Times New Roman"/>
          <w:i/>
          <w:szCs w:val="24"/>
        </w:rPr>
        <w:t>экологический паспорт дендропарка, дендропарк Владивостокского государственного университета экономики и сервиса, экологическое просвещение</w:t>
      </w:r>
    </w:p>
    <w:p w:rsidR="00517711" w:rsidRDefault="00517711">
      <w:pPr>
        <w:spacing w:line="240" w:lineRule="auto"/>
        <w:rPr>
          <w:rFonts w:ascii="Times New Roman" w:hAnsi="Times New Roman"/>
          <w:sz w:val="24"/>
          <w:szCs w:val="24"/>
        </w:rPr>
      </w:pPr>
    </w:p>
    <w:p w:rsidR="00517711" w:rsidRDefault="00F815BE">
      <w:pPr>
        <w:spacing w:after="0" w:line="240" w:lineRule="auto"/>
        <w:jc w:val="center"/>
        <w:rPr>
          <w:rFonts w:ascii="Book Antiqua" w:hAnsi="Book Antiqua"/>
          <w:b/>
          <w:sz w:val="26"/>
          <w:szCs w:val="26"/>
          <w:lang w:val="en-US"/>
        </w:rPr>
      </w:pPr>
      <w:r>
        <w:rPr>
          <w:rFonts w:ascii="Book Antiqua" w:hAnsi="Book Antiqua"/>
          <w:b/>
          <w:sz w:val="26"/>
          <w:szCs w:val="26"/>
          <w:lang w:val="en-US"/>
        </w:rPr>
        <w:t>ECOLOGICAL PASSPORT OF THE ARBORETUM OF VLADIVOSTOK STATE UNIVERSITY OF ECONOMICS AND SERVICE</w:t>
      </w:r>
    </w:p>
    <w:p w:rsidR="00517711" w:rsidRDefault="00517711">
      <w:pPr>
        <w:spacing w:after="0" w:line="240" w:lineRule="auto"/>
        <w:ind w:firstLine="709"/>
        <w:jc w:val="both"/>
        <w:rPr>
          <w:rFonts w:ascii="Times New Roman" w:hAnsi="Times New Roman"/>
          <w:i/>
          <w:sz w:val="24"/>
          <w:szCs w:val="24"/>
          <w:lang w:val="en-US"/>
        </w:rPr>
      </w:pP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i/>
          <w:szCs w:val="24"/>
          <w:lang w:val="en-US"/>
        </w:rPr>
        <w:t>A brief description of the ecological passport of the arboretum of Vladivostok state University of Economics and service is presented. The main elements of the ecological passport – General information about the arboretum, physical and geographical characteristics of the natural conditions of the territory, floristic composition, educational resources of the arboretum. It is shown that to replenish the collection of arboretum species it is necessary to cooperate with specialized scientific organizations. Defines the main directions of ecological-educational activities of the arboretum – the creation of virtual tours of the arboretum, expansion of opportunities of visiting the arboretum with disabilities (contact tours, audio tours, special routes for people with limited mobility)</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b/>
          <w:i/>
          <w:szCs w:val="24"/>
          <w:lang w:val="en-US"/>
        </w:rPr>
        <w:t>Keywords:</w:t>
      </w:r>
      <w:r>
        <w:rPr>
          <w:rFonts w:ascii="Times New Roman" w:hAnsi="Times New Roman"/>
          <w:i/>
          <w:szCs w:val="24"/>
          <w:lang w:val="en-US"/>
        </w:rPr>
        <w:t xml:space="preserve"> ecological passport of the arboretum, arboretum of Vladivostok State University and service, ecological education</w:t>
      </w:r>
    </w:p>
    <w:p w:rsidR="00517711" w:rsidRDefault="00517711">
      <w:pPr>
        <w:spacing w:after="0" w:line="240" w:lineRule="auto"/>
        <w:ind w:firstLine="709"/>
        <w:jc w:val="both"/>
        <w:rPr>
          <w:rFonts w:ascii="Times New Roman" w:hAnsi="Times New Roman"/>
          <w:i/>
          <w:sz w:val="24"/>
          <w:szCs w:val="24"/>
          <w:lang w:val="en-US"/>
        </w:rPr>
      </w:pP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Дендропарк Владивостокского государственного университета экономики и сервиса является образцом уникальной коллекции древесных растений, представленной на небольшой площади (около трех гектаров). В дендропарке представлено более 50 % видового разнообразия древесных растений селитебной части города. В 2005 году на территории дендропарка была обустроена экологическая тропа. В течение 10-ти лет проведена масштабная работа по описанию систематической принадлежности видов, ежегодно список видов увеличивался за счет пополнения коллекции древесных растений. Были разработаны ботанические экскурсии для разных категорий посетителей – для студентов, обучающихся естественнонаучным направлениям подготовки, а также для студентов неэкологических специальностей, а также для школьников и посетителей дендропарка. За более чем 10 лет существования экологической тропы был собран и проанализирован материал по флористическому составу дендропарка, систематической принадлежности видов и географическому распространению, биологии и экологии видов. Для обобщения и систематизации накопленного материала возникла необходимость создания экологического паспорта дендропарка Владивостоксого государственного университета экономики и сервиса. Документ позволит формализовать дендропарк как объект рекреации, проведения образовательной и научно-просветительской работы в области ботаники, экологии и охраны растительного мира. При создании экологического паспорта дендропарка руководствовались Федеральным законом «Об особо охраняемых природных территориях», ГОСТ Р 17.0.0.06-2000. Охрана природы. Экологический паспорт природопользователя. Основные положения. Типовые формы (принят и введен в действие Постановлением Госстандарта РФ от 11.09.2001 N 218-ст) [1-3]. В работе использованы ресурсы официального сайта Ботанического сада-института ДВО РАН, а также специальная литература – брошюра авторов Берсенева Ю.И., Цой Б.В., Явновой Н.В. «Особо охраняемые природные территории Приморского края», статья Литвенковой И.А. Экология городской среды: урбоэкология, книга Свинухова Г.В. Климат Владивостока. За основу экологического паспорта дендропарка взят Паспорт особо охраняемой природной территории регионального значения «Железногорский дендрологический парк» (Курская область) [4].</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i/>
          <w:color w:val="000000" w:themeColor="text1"/>
          <w:sz w:val="20"/>
          <w:szCs w:val="20"/>
        </w:rPr>
        <w:t>Физико-географическая характеристика природных условий территории</w:t>
      </w:r>
      <w:r>
        <w:rPr>
          <w:rFonts w:ascii="Times New Roman" w:hAnsi="Times New Roman" w:cs="Times New Roman"/>
          <w:color w:val="000000" w:themeColor="text1"/>
          <w:sz w:val="20"/>
          <w:szCs w:val="20"/>
        </w:rPr>
        <w:t xml:space="preserve">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i/>
          <w:color w:val="000000" w:themeColor="text1"/>
          <w:sz w:val="20"/>
          <w:szCs w:val="20"/>
        </w:rPr>
        <w:t>Почвы.</w:t>
      </w:r>
      <w:r>
        <w:rPr>
          <w:rFonts w:ascii="Times New Roman" w:hAnsi="Times New Roman" w:cs="Times New Roman"/>
          <w:color w:val="000000" w:themeColor="text1"/>
          <w:sz w:val="20"/>
          <w:szCs w:val="20"/>
        </w:rPr>
        <w:t xml:space="preserve"> Почвы дендропарка представлены урбаноземом, для него характерны следующие свойства: отсутствие конкретных горизонтов, мозаичный тип окраски, повышенная плотность и малая пористость, часто происходит нарушение или отсутствие структуры [5]. В дендропарке ВГУЭС ежегодно отбираются пробы почв для оценки физико-химических параметров, кислотности, щелочности, содержания гумуса, проводится анализ засолённости почвы. Почвы дендропарка имеют разное сложение – плотное и рыхлое. Выявлены неоднородные участки в пределах одного газона. Переуплотнение почвы отсутствует. Уплотненные почвы требуют регулярного рыхления, полива, внесения органических удобрений, извести. Почвы дендропарка ВГУЭС, преимущественно, характеризуются комковато-зернистой структурой. Такая структура почвы наиболее благоприятна для роста растений. В нее хорошо проникает влага и воздух, хорошо укореняются растения. По гранулометрическому составу почвы дендропарка легко- и среднесуглинистые. Почва имеет приятный запах земли и травы, что свидетельствует о ее хорошем состоянии. Бурая окраска почвы свидетельствует о достаточном количестве органического вещества, обеспечивающего плодородие почвы. Таким образом, морфологическое описание почвенных образцов позволило сделать предварительные выводы об удовлетворительном состоянии почвы на территории дендропарка ВГУЭС. Тем не менее, существует высокая вероятность загрязнения почв бенз(а)пиреном, тяжелыми металлами, поскольку для г. Владивостока характерен высокий уровень загрязнения атмосферного воздуха. С атмосферными осадками загрязняющие вещества попадают в сопредельные среды – почву, растительность, поверхностные воды, таким образом, формируя зоны загрязнения. Для понимания общей картины загрязнения необходим регулярный экологический мониторинг городских почв. Масштабная эколого-геохимическая оценка степени загрязнения почв Владивостока была проведена 25 лет назад – в 1985-1992 гг. геохимической партией ПГО «Приморгеология» и «Экоцентром». В результате проведенных исследований было установлено, что почвы Владивостока загрязнены тяжелыми металлами, в основном их подвижными формами, представляющими опасность для организма человека.</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i/>
          <w:color w:val="000000" w:themeColor="text1"/>
          <w:sz w:val="20"/>
          <w:szCs w:val="20"/>
        </w:rPr>
        <w:t xml:space="preserve">Климат. </w:t>
      </w:r>
      <w:r>
        <w:rPr>
          <w:rFonts w:ascii="Times New Roman" w:hAnsi="Times New Roman" w:cs="Times New Roman"/>
          <w:color w:val="000000" w:themeColor="text1"/>
          <w:sz w:val="20"/>
          <w:szCs w:val="20"/>
        </w:rPr>
        <w:t>При определении сезонов во Владивостоке использовались показатели, предложенные Главной геофизической обсерваторией им. Александра Ивановича Воейкова. За границу сезонов принималось начало или конец тех месяцев, где происходит переход средней суточной температуры воздуха через соответствующие пределы.</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Погода зимних месяцев формируется воздействием азиатского антициклона, который в январе доходит до своего пика. По сравнению с другими городами, расположенными на той же широте, Владивосток характеризуется наиболее холодной зимой. Дата устойчивого перехода средней суточной температуры воздуха через 0 градусов осенью (12 ноября) берется за начало зимнего сезона.</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Весна в городе характеризуется в начале теплой безоблачной погодой, в конце — прохладной, с частыми туманами. С увеличением светлого времени суток из-за туманов и пасмурной погоды не наблюдается роста продолжительности солнечного сияния, а наоборот, заметно ее уменьшение: с 206 ч в марте вплоть до 178 ч в мае. В это время происходит увеличение относительной влажности воздуха (с 64 % в марте до 75 % в мае) и осадков (от 25 мм в марте до 65 мм в мае). Редко в городе отмечаются сильные осадки.</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Лето наступает обычно 23 мая, когда осуществляется переход средней суточной температуры воздуха через 10°С и кончаются заморозки. В воздухе заморозки заканчиваются в среднем 17-18 апреля, земля прогревается – 6-8 мая. Средняя длительность лета составляет 142 дня. Самое длинное фиксировалось в 1967 г. </w:t>
      </w:r>
      <w:r>
        <w:rPr>
          <w:rFonts w:ascii="Times New Roman" w:hAnsi="Times New Roman" w:cs="Times New Roman"/>
          <w:color w:val="000000" w:themeColor="text1"/>
          <w:sz w:val="20"/>
          <w:szCs w:val="20"/>
        </w:rPr>
        <w:lastRenderedPageBreak/>
        <w:t>(174 дня), самое непродолжительное – в 1969 г. (116 дней). Характерной особенностью данного периода является непостоянность погоды. Существенная облачность и туманы, наблюдающиеся в первую половину лета, снижают поступление солнечной радиации и сокращают продолжительность часов солнечного сияния. Вследствие снижения поступления солнечной радиации в первую половину лета происходит медленный рост воздуха. Следовательно, средние суточные температуры в летний период наблюдаются в интервале от 5 до 30 градусов.</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Осень во Владивостоке начинается обычно 12 октября. Началом осени считается устойчивая дата перехода средней суточной температуры воздуха через 10 °С в сторону понижения. Другой признак наступления осени — первые заморозки. На поверхности почвы они наблюдаются в среднем 9-13 октября, а в атмосфере – спустя 13-15 дней. В годы с аномально холодной погодой заморозки могут отмечаться на почве 2-5 октября, а в воздухе 9-15 октября. Закапчивается осенний сезон в среднем 11 ноября, когда осуществляется переход средней суточной температуры через 0 градусов в сторону понижения. Длительность сезона по сравнению с другими наименьшая (31 день). Осень в городе теплая, сухая, ясная [6].</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i/>
          <w:color w:val="000000" w:themeColor="text1"/>
          <w:sz w:val="20"/>
          <w:szCs w:val="20"/>
        </w:rPr>
        <w:t xml:space="preserve">Флористический состав. </w:t>
      </w:r>
      <w:r>
        <w:rPr>
          <w:rFonts w:ascii="Times New Roman" w:hAnsi="Times New Roman" w:cs="Times New Roman"/>
          <w:color w:val="000000" w:themeColor="text1"/>
          <w:sz w:val="20"/>
          <w:szCs w:val="20"/>
        </w:rPr>
        <w:t>Растений в дендропарке ВГУЭС представлено более чем 80 видов. Ядро дендропарка составляют виды, произрастающие преимущественно на дальнем востоке и в Азии. Среди них такие виды как Липа амурская (</w:t>
      </w:r>
      <w:r>
        <w:rPr>
          <w:rFonts w:ascii="Times New Roman" w:hAnsi="Times New Roman" w:cs="Times New Roman"/>
          <w:i/>
          <w:color w:val="000000" w:themeColor="text1"/>
          <w:sz w:val="20"/>
          <w:szCs w:val="20"/>
        </w:rPr>
        <w:t>Tilia amurensis Rupr</w:t>
      </w:r>
      <w:r>
        <w:rPr>
          <w:rFonts w:ascii="Times New Roman" w:hAnsi="Times New Roman" w:cs="Times New Roman"/>
          <w:color w:val="000000" w:themeColor="text1"/>
          <w:sz w:val="20"/>
          <w:szCs w:val="20"/>
        </w:rPr>
        <w:t>), Свидина белая (</w:t>
      </w:r>
      <w:r>
        <w:rPr>
          <w:rFonts w:ascii="Times New Roman" w:hAnsi="Times New Roman" w:cs="Times New Roman"/>
          <w:i/>
          <w:color w:val="000000" w:themeColor="text1"/>
          <w:sz w:val="20"/>
          <w:szCs w:val="20"/>
        </w:rPr>
        <w:t>Swida alba (L.) Opiz</w:t>
      </w:r>
      <w:r>
        <w:rPr>
          <w:rFonts w:ascii="Times New Roman" w:hAnsi="Times New Roman" w:cs="Times New Roman"/>
          <w:color w:val="000000" w:themeColor="text1"/>
          <w:sz w:val="20"/>
          <w:szCs w:val="20"/>
        </w:rPr>
        <w:t>), Рябина Амурская (</w:t>
      </w:r>
      <w:r>
        <w:rPr>
          <w:rFonts w:ascii="Times New Roman" w:hAnsi="Times New Roman" w:cs="Times New Roman"/>
          <w:i/>
          <w:color w:val="000000" w:themeColor="text1"/>
          <w:sz w:val="20"/>
          <w:szCs w:val="20"/>
        </w:rPr>
        <w:t>Sorbus amurensis Koehne</w:t>
      </w:r>
      <w:r>
        <w:rPr>
          <w:rFonts w:ascii="Times New Roman" w:hAnsi="Times New Roman" w:cs="Times New Roman"/>
          <w:color w:val="000000" w:themeColor="text1"/>
          <w:sz w:val="20"/>
          <w:szCs w:val="20"/>
        </w:rPr>
        <w:t>), Принсепия Китайская (</w:t>
      </w:r>
      <w:r>
        <w:rPr>
          <w:rFonts w:ascii="Times New Roman" w:hAnsi="Times New Roman" w:cs="Times New Roman"/>
          <w:i/>
          <w:color w:val="000000" w:themeColor="text1"/>
          <w:sz w:val="20"/>
          <w:szCs w:val="20"/>
        </w:rPr>
        <w:t>Prinsepia sinensis</w:t>
      </w:r>
      <w:r>
        <w:rPr>
          <w:rFonts w:ascii="Times New Roman" w:hAnsi="Times New Roman" w:cs="Times New Roman"/>
          <w:color w:val="000000" w:themeColor="text1"/>
          <w:sz w:val="20"/>
          <w:szCs w:val="20"/>
        </w:rPr>
        <w:t>), Виноград Амурский</w:t>
      </w:r>
      <w:r>
        <w:rPr>
          <w:rFonts w:ascii="Times New Roman" w:hAnsi="Times New Roman" w:cs="Times New Roman"/>
          <w:i/>
          <w:color w:val="000000" w:themeColor="text1"/>
          <w:sz w:val="20"/>
          <w:szCs w:val="20"/>
        </w:rPr>
        <w:t xml:space="preserve"> (</w:t>
      </w:r>
      <w:r>
        <w:rPr>
          <w:rFonts w:ascii="Times New Roman" w:hAnsi="Times New Roman" w:cs="Times New Roman"/>
          <w:i/>
          <w:color w:val="000000" w:themeColor="text1"/>
          <w:sz w:val="20"/>
          <w:szCs w:val="20"/>
          <w:lang w:val="en-US"/>
        </w:rPr>
        <w:t>Vitis</w:t>
      </w:r>
      <w:r>
        <w:rPr>
          <w:rFonts w:ascii="Times New Roman" w:hAnsi="Times New Roman" w:cs="Times New Roman"/>
          <w:i/>
          <w:color w:val="000000" w:themeColor="text1"/>
          <w:sz w:val="20"/>
          <w:szCs w:val="20"/>
        </w:rPr>
        <w:t xml:space="preserve"> </w:t>
      </w:r>
      <w:r>
        <w:rPr>
          <w:rFonts w:ascii="Times New Roman" w:hAnsi="Times New Roman" w:cs="Times New Roman"/>
          <w:i/>
          <w:color w:val="000000" w:themeColor="text1"/>
          <w:sz w:val="20"/>
          <w:szCs w:val="20"/>
          <w:lang w:val="en-US"/>
        </w:rPr>
        <w:t>amurensis</w:t>
      </w:r>
      <w:r>
        <w:rPr>
          <w:rFonts w:ascii="Times New Roman" w:hAnsi="Times New Roman" w:cs="Times New Roman"/>
          <w:i/>
          <w:color w:val="000000" w:themeColor="text1"/>
          <w:sz w:val="20"/>
          <w:szCs w:val="20"/>
        </w:rPr>
        <w:t xml:space="preserve">) </w:t>
      </w:r>
      <w:r>
        <w:rPr>
          <w:rFonts w:ascii="Times New Roman" w:hAnsi="Times New Roman" w:cs="Times New Roman"/>
          <w:color w:val="000000" w:themeColor="text1"/>
          <w:sz w:val="20"/>
          <w:szCs w:val="20"/>
        </w:rPr>
        <w:t>и другие. Конечно есть и виды с других материков, например, Пузырепло́дник калиноли́стный (</w:t>
      </w:r>
      <w:r>
        <w:rPr>
          <w:rFonts w:ascii="Times New Roman" w:hAnsi="Times New Roman" w:cs="Times New Roman"/>
          <w:i/>
          <w:color w:val="000000" w:themeColor="text1"/>
          <w:sz w:val="20"/>
          <w:szCs w:val="20"/>
        </w:rPr>
        <w:t>Physocarpus opulifolius)</w:t>
      </w:r>
      <w:r>
        <w:rPr>
          <w:rFonts w:ascii="Times New Roman" w:hAnsi="Times New Roman" w:cs="Times New Roman"/>
          <w:color w:val="000000" w:themeColor="text1"/>
          <w:sz w:val="20"/>
          <w:szCs w:val="20"/>
        </w:rPr>
        <w:t xml:space="preserve"> который распространен преимущественно в Северной Америке.</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Массовое представлены в дендропарке Пихта цельнолистная (</w:t>
      </w:r>
      <w:r>
        <w:rPr>
          <w:rFonts w:ascii="Times New Roman" w:hAnsi="Times New Roman" w:cs="Times New Roman"/>
          <w:i/>
          <w:color w:val="000000" w:themeColor="text1"/>
          <w:sz w:val="20"/>
          <w:szCs w:val="20"/>
        </w:rPr>
        <w:t>Ábies holophýlla</w:t>
      </w:r>
      <w:r>
        <w:rPr>
          <w:rFonts w:ascii="Times New Roman" w:hAnsi="Times New Roman" w:cs="Times New Roman"/>
          <w:color w:val="000000" w:themeColor="text1"/>
          <w:sz w:val="20"/>
          <w:szCs w:val="20"/>
        </w:rPr>
        <w:t>), Береза плосколистная (</w:t>
      </w:r>
      <w:r>
        <w:rPr>
          <w:rFonts w:ascii="Times New Roman" w:hAnsi="Times New Roman" w:cs="Times New Roman"/>
          <w:i/>
          <w:color w:val="000000" w:themeColor="text1"/>
          <w:sz w:val="20"/>
          <w:szCs w:val="20"/>
        </w:rPr>
        <w:t>Bétula platyphýlla</w:t>
      </w:r>
      <w:r>
        <w:rPr>
          <w:rFonts w:ascii="Times New Roman" w:hAnsi="Times New Roman" w:cs="Times New Roman"/>
          <w:color w:val="000000" w:themeColor="text1"/>
          <w:sz w:val="20"/>
          <w:szCs w:val="20"/>
        </w:rPr>
        <w:t>) и Сосна Корейская (</w:t>
      </w:r>
      <w:r>
        <w:rPr>
          <w:rFonts w:ascii="Times New Roman" w:hAnsi="Times New Roman" w:cs="Times New Roman"/>
          <w:i/>
          <w:color w:val="000000" w:themeColor="text1"/>
          <w:sz w:val="20"/>
          <w:szCs w:val="20"/>
        </w:rPr>
        <w:t>Pinus koraiensis Sieboldi et Zucc).</w:t>
      </w:r>
      <w:r>
        <w:rPr>
          <w:rFonts w:ascii="Times New Roman" w:hAnsi="Times New Roman" w:cs="Times New Roman"/>
          <w:color w:val="000000" w:themeColor="text1"/>
          <w:sz w:val="20"/>
          <w:szCs w:val="20"/>
        </w:rPr>
        <w:t xml:space="preserve"> Большинство деревьев находятся в молодом и средневозврастном генеративном состоянии. Наиболее древним представителем в дендропарке считается Тис остроконечный (</w:t>
      </w:r>
      <w:r>
        <w:rPr>
          <w:rFonts w:ascii="Times New Roman" w:hAnsi="Times New Roman" w:cs="Times New Roman"/>
          <w:i/>
          <w:color w:val="000000" w:themeColor="text1"/>
          <w:sz w:val="20"/>
          <w:szCs w:val="20"/>
        </w:rPr>
        <w:t>Taxus cuspidata</w:t>
      </w:r>
      <w:r>
        <w:rPr>
          <w:rFonts w:ascii="Times New Roman" w:hAnsi="Times New Roman" w:cs="Times New Roman"/>
          <w:color w:val="000000" w:themeColor="text1"/>
          <w:sz w:val="20"/>
          <w:szCs w:val="20"/>
        </w:rPr>
        <w:t>)</w:t>
      </w:r>
    </w:p>
    <w:p w:rsidR="00517711" w:rsidRDefault="00F815BE">
      <w:pPr>
        <w:spacing w:after="0" w:line="240" w:lineRule="auto"/>
        <w:ind w:firstLine="709"/>
        <w:jc w:val="both"/>
        <w:rPr>
          <w:rFonts w:ascii="Times New Roman" w:hAnsi="Times New Roman" w:cs="Times New Roman"/>
          <w:color w:val="000000"/>
          <w:spacing w:val="-3"/>
          <w:sz w:val="20"/>
          <w:szCs w:val="20"/>
        </w:rPr>
      </w:pPr>
      <w:r>
        <w:rPr>
          <w:rFonts w:ascii="Times New Roman" w:hAnsi="Times New Roman" w:cs="Times New Roman"/>
          <w:i/>
          <w:color w:val="000000" w:themeColor="text1"/>
          <w:sz w:val="20"/>
          <w:szCs w:val="20"/>
        </w:rPr>
        <w:t>Образовательные ресурсы дендропарка.</w:t>
      </w:r>
      <w:r>
        <w:rPr>
          <w:rFonts w:ascii="Times New Roman" w:hAnsi="Times New Roman" w:cs="Times New Roman"/>
          <w:color w:val="000000" w:themeColor="text1"/>
          <w:sz w:val="20"/>
          <w:szCs w:val="20"/>
        </w:rPr>
        <w:t xml:space="preserve"> Для </w:t>
      </w:r>
      <w:r>
        <w:rPr>
          <w:rFonts w:ascii="Times New Roman" w:hAnsi="Times New Roman" w:cs="Times New Roman"/>
          <w:color w:val="000000" w:themeColor="text1"/>
          <w:spacing w:val="-3"/>
          <w:sz w:val="20"/>
          <w:szCs w:val="20"/>
        </w:rPr>
        <w:t>студентов, обучающихся естественнонаучным направлениям подготовки, а также для студентов неэкологических специальностей, а также для школьников и посетителей дендропарка разработан ряд экскурсий —Ботанические и Исторические.</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pacing w:val="-3"/>
          <w:sz w:val="20"/>
          <w:szCs w:val="20"/>
        </w:rPr>
        <w:t xml:space="preserve">Ботанические экскурсии позволяют ознакомиться с видовым составом и их географическим происхождением. На тропе можно встретить редкие для Дальнего востока виды растений, в том числе включенные в Красную книгу, например, Абрикос маньчжурский </w:t>
      </w:r>
      <w:r>
        <w:rPr>
          <w:rFonts w:ascii="Times New Roman" w:hAnsi="Times New Roman" w:cs="Times New Roman"/>
          <w:i/>
          <w:color w:val="000000" w:themeColor="text1"/>
          <w:spacing w:val="-3"/>
          <w:sz w:val="20"/>
          <w:szCs w:val="20"/>
        </w:rPr>
        <w:t>(</w:t>
      </w:r>
      <w:r>
        <w:rPr>
          <w:rFonts w:ascii="Times New Roman" w:hAnsi="Times New Roman" w:cs="Times New Roman"/>
          <w:i/>
          <w:iCs/>
          <w:color w:val="000000" w:themeColor="text1"/>
          <w:sz w:val="20"/>
          <w:szCs w:val="20"/>
          <w:shd w:val="clear" w:color="auto" w:fill="FFFFFF"/>
        </w:rPr>
        <w:t>Prúnus mandschúrica)</w:t>
      </w:r>
      <w:r>
        <w:rPr>
          <w:rFonts w:ascii="Times New Roman" w:hAnsi="Times New Roman" w:cs="Times New Roman"/>
          <w:iCs/>
          <w:color w:val="000000" w:themeColor="text1"/>
          <w:sz w:val="20"/>
          <w:szCs w:val="20"/>
          <w:shd w:val="clear" w:color="auto" w:fill="FFFFFF"/>
        </w:rPr>
        <w:t xml:space="preserve">, Вейгела Раняя </w:t>
      </w:r>
      <w:r>
        <w:rPr>
          <w:rFonts w:ascii="Times New Roman" w:hAnsi="Times New Roman" w:cs="Times New Roman"/>
          <w:i/>
          <w:iCs/>
          <w:color w:val="000000" w:themeColor="text1"/>
          <w:sz w:val="20"/>
          <w:szCs w:val="20"/>
          <w:shd w:val="clear" w:color="auto" w:fill="FFFFFF"/>
        </w:rPr>
        <w:t>(</w:t>
      </w:r>
      <w:r>
        <w:rPr>
          <w:rFonts w:ascii="Times New Roman" w:hAnsi="Times New Roman" w:cs="Times New Roman"/>
          <w:i/>
          <w:color w:val="000000" w:themeColor="text1"/>
          <w:sz w:val="20"/>
          <w:szCs w:val="20"/>
          <w:lang w:val="en-US"/>
        </w:rPr>
        <w:t>Weigela</w:t>
      </w:r>
      <w:r>
        <w:rPr>
          <w:rFonts w:ascii="Times New Roman" w:hAnsi="Times New Roman" w:cs="Times New Roman"/>
          <w:i/>
          <w:color w:val="000000" w:themeColor="text1"/>
          <w:sz w:val="20"/>
          <w:szCs w:val="20"/>
        </w:rPr>
        <w:t xml:space="preserve"> </w:t>
      </w:r>
      <w:r>
        <w:rPr>
          <w:rFonts w:ascii="Times New Roman" w:hAnsi="Times New Roman" w:cs="Times New Roman"/>
          <w:i/>
          <w:color w:val="000000" w:themeColor="text1"/>
          <w:sz w:val="20"/>
          <w:szCs w:val="20"/>
          <w:lang w:val="en-US"/>
        </w:rPr>
        <w:t>praecox</w:t>
      </w:r>
      <w:r>
        <w:rPr>
          <w:rFonts w:ascii="Times New Roman" w:hAnsi="Times New Roman" w:cs="Times New Roman"/>
          <w:i/>
          <w:color w:val="000000" w:themeColor="text1"/>
          <w:sz w:val="20"/>
          <w:szCs w:val="20"/>
        </w:rPr>
        <w:t xml:space="preserve">) </w:t>
      </w:r>
      <w:r>
        <w:rPr>
          <w:rFonts w:ascii="Times New Roman" w:hAnsi="Times New Roman" w:cs="Times New Roman"/>
          <w:color w:val="000000" w:themeColor="text1"/>
          <w:sz w:val="20"/>
          <w:szCs w:val="20"/>
        </w:rPr>
        <w:t>и тд. На данной территории также разбит японский «Сад камней». Своеобразный кусочек Японии, излюбленное место отдыха горожан и гостей города. Сад камней выполненный по всем канонам японской ландшафтной архитектуры, он был создан по подобию загадочных садов в дзэн-буддийских монастырях и открыт в честь дружбы Японии и Владивостока. Материалы, сформировавшие основу композиции, добыты и завезены из окрестной бухты Лазурная. Галька и гравий доставлены из Японии. Деревья и кустарники, высаженные в саду камней, отобраны в Ботаническом саду Владивостока.</w:t>
      </w:r>
    </w:p>
    <w:p w:rsidR="00517711" w:rsidRDefault="00F815BE">
      <w:pPr>
        <w:spacing w:after="0" w:line="240" w:lineRule="auto"/>
        <w:ind w:firstLine="709"/>
        <w:jc w:val="both"/>
        <w:rPr>
          <w:rFonts w:ascii="Times New Roman" w:hAnsi="Times New Roman" w:cs="Times New Roman"/>
          <w:i/>
          <w:color w:val="000000"/>
          <w:sz w:val="20"/>
          <w:szCs w:val="20"/>
        </w:rPr>
      </w:pPr>
      <w:r>
        <w:rPr>
          <w:rFonts w:ascii="Times New Roman" w:hAnsi="Times New Roman" w:cs="Times New Roman"/>
          <w:color w:val="000000" w:themeColor="text1"/>
          <w:sz w:val="20"/>
          <w:szCs w:val="20"/>
        </w:rPr>
        <w:t>Исторические экскурсии, составленны по гороскопу друидов, такие экскурсии помогут привлечь людей, которым интересна данная культура.</w:t>
      </w:r>
      <w:r>
        <w:rPr>
          <w:rFonts w:ascii="Times New Roman" w:hAnsi="Times New Roman" w:cs="Times New Roman"/>
          <w:i/>
          <w:color w:val="000000" w:themeColor="text1"/>
          <w:sz w:val="20"/>
          <w:szCs w:val="20"/>
        </w:rPr>
        <w:t xml:space="preserve"> </w:t>
      </w:r>
      <w:r>
        <w:rPr>
          <w:rFonts w:ascii="Times New Roman" w:hAnsi="Times New Roman" w:cs="Times New Roman"/>
          <w:color w:val="000000" w:themeColor="text1"/>
          <w:sz w:val="20"/>
          <w:szCs w:val="20"/>
        </w:rPr>
        <w:t>Информация о флоре Приморского края преподносится в различной форме, в том числе посетители дендропарка знакомятся с растениями через легенды, поверья и пословицы. Научные данные чередуются со сказаниями, преданиями, взятыми из древних культур и греческой мифологии.</w:t>
      </w:r>
    </w:p>
    <w:p w:rsidR="00517711" w:rsidRDefault="00F815BE">
      <w:pPr>
        <w:shd w:val="clear" w:color="auto" w:fill="FFFFFF"/>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Одним из актуальных направлений для расширения экскурсионного потенциала дендропарка является – создание виртуальных экскурсий по дендропарку, расширение возможностей посещения дендропарка инвалидами (контактные экскурсии, аудиоэкскурсии, специализированные маршруты для маломобильных граждан). Это позволит формировать у большего количества людей экологическое воспитание и просвещение, ведь в современных условиях экологическое просвещение – важнейшая из основ процесса взаимодействия общества и природой. Экологическое просвещение должно привить человеку в первую очередь знания и навыки общения с природой, совершенствовать способы участия в охране природы и рациональном природопользовании.</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i/>
          <w:color w:val="000000" w:themeColor="text1"/>
          <w:sz w:val="20"/>
          <w:szCs w:val="20"/>
        </w:rPr>
        <w:t xml:space="preserve">Выводы. </w:t>
      </w:r>
      <w:r>
        <w:rPr>
          <w:rFonts w:ascii="Times New Roman" w:hAnsi="Times New Roman" w:cs="Times New Roman"/>
          <w:color w:val="000000" w:themeColor="text1"/>
          <w:sz w:val="20"/>
          <w:szCs w:val="20"/>
        </w:rPr>
        <w:t>Экологический паспорт дендропарка позволит формализовать дендропарк как объект рекреации, проведения образовательной и научно-просветительской работы в области ботаники, экологии и охраны растительного мира. Почва благоприятна для роста растений. Флористического состава дендропарка достаточно чтобы организовывать разнообразные экскурсии для разных категорий людей практически в любой сезон года.</w:t>
      </w:r>
    </w:p>
    <w:p w:rsidR="00517711" w:rsidRDefault="00517711">
      <w:pPr>
        <w:pStyle w:val="af4"/>
        <w:spacing w:line="240" w:lineRule="auto"/>
        <w:ind w:left="0"/>
        <w:rPr>
          <w:rFonts w:ascii="Times New Roman" w:hAnsi="Times New Roman"/>
          <w:color w:val="000000"/>
          <w:sz w:val="20"/>
          <w:szCs w:val="20"/>
        </w:rPr>
      </w:pPr>
    </w:p>
    <w:p w:rsidR="00517711" w:rsidRDefault="00F815BE">
      <w:pPr>
        <w:pStyle w:val="af4"/>
        <w:spacing w:line="240" w:lineRule="auto"/>
        <w:ind w:left="0"/>
        <w:rPr>
          <w:rFonts w:ascii="Times New Roman" w:hAnsi="Times New Roman"/>
          <w:color w:val="000000"/>
          <w:sz w:val="20"/>
          <w:szCs w:val="20"/>
        </w:rPr>
      </w:pPr>
      <w:r>
        <w:rPr>
          <w:rFonts w:ascii="Times New Roman" w:hAnsi="Times New Roman"/>
          <w:color w:val="000000" w:themeColor="text1"/>
          <w:sz w:val="20"/>
          <w:szCs w:val="20"/>
          <w:lang w:val="en-US"/>
        </w:rPr>
        <w:t>_________________________</w:t>
      </w:r>
    </w:p>
    <w:p w:rsidR="00517711" w:rsidRDefault="00517711">
      <w:pPr>
        <w:pStyle w:val="af4"/>
        <w:spacing w:line="240" w:lineRule="auto"/>
        <w:ind w:left="0"/>
        <w:rPr>
          <w:rFonts w:ascii="Times New Roman" w:hAnsi="Times New Roman"/>
          <w:color w:val="000000"/>
          <w:sz w:val="20"/>
          <w:szCs w:val="20"/>
          <w:lang w:val="en-US"/>
        </w:rPr>
      </w:pPr>
    </w:p>
    <w:p w:rsidR="00517711" w:rsidRDefault="00F815BE">
      <w:pPr>
        <w:pStyle w:val="af4"/>
        <w:numPr>
          <w:ilvl w:val="0"/>
          <w:numId w:val="24"/>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 xml:space="preserve">Об особо охраняемых природных территориях Федеральный закон от 14.03.1995 №33-Ф3 (Последняя редакция) [Электронный ресурс] // СПС «КонсультантПлюс». – Режим доступа: </w:t>
      </w:r>
      <w:hyperlink r:id="rId129" w:history="1">
        <w:r>
          <w:rPr>
            <w:rStyle w:val="aa"/>
            <w:rFonts w:ascii="Times New Roman" w:hAnsi="Times New Roman"/>
            <w:color w:val="000000" w:themeColor="text1"/>
            <w:sz w:val="20"/>
            <w:szCs w:val="20"/>
          </w:rPr>
          <w:t>http://www.consultant.ru/document/cons_doc_LAW_6072/</w:t>
        </w:r>
      </w:hyperlink>
      <w:r>
        <w:rPr>
          <w:rFonts w:ascii="Times New Roman" w:hAnsi="Times New Roman"/>
          <w:color w:val="000000" w:themeColor="text1"/>
          <w:sz w:val="20"/>
          <w:szCs w:val="20"/>
        </w:rPr>
        <w:t>.</w:t>
      </w:r>
    </w:p>
    <w:p w:rsidR="00517711" w:rsidRDefault="00F815BE">
      <w:pPr>
        <w:pStyle w:val="af4"/>
        <w:numPr>
          <w:ilvl w:val="0"/>
          <w:numId w:val="24"/>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lastRenderedPageBreak/>
        <w:t>ГОСТ Р 17.0.0.06-2000 Охрана природы (ССОП). Экологический паспорт природопользователя. Основные положения. Типовые формы. Введ. 01.07.2001</w:t>
      </w:r>
    </w:p>
    <w:p w:rsidR="00517711" w:rsidRDefault="00F815BE">
      <w:pPr>
        <w:pStyle w:val="af4"/>
        <w:numPr>
          <w:ilvl w:val="0"/>
          <w:numId w:val="24"/>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 xml:space="preserve">Ботанический сад-институт ДВО РАН [Электронный ресурс]//Ботанический сад ДВО РАН: официал. сайт. - Режим доступа: </w:t>
      </w:r>
      <w:hyperlink r:id="rId130" w:history="1">
        <w:r>
          <w:rPr>
            <w:rStyle w:val="aa"/>
            <w:rFonts w:ascii="Times New Roman" w:hAnsi="Times New Roman"/>
            <w:color w:val="000000" w:themeColor="text1"/>
            <w:sz w:val="20"/>
            <w:szCs w:val="20"/>
          </w:rPr>
          <w:t>http://botsad.ru/</w:t>
        </w:r>
      </w:hyperlink>
    </w:p>
    <w:p w:rsidR="00517711" w:rsidRDefault="00F815BE">
      <w:pPr>
        <w:pStyle w:val="af4"/>
        <w:numPr>
          <w:ilvl w:val="0"/>
          <w:numId w:val="24"/>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shd w:val="clear" w:color="auto" w:fill="FFFFFF"/>
        </w:rPr>
        <w:t xml:space="preserve">Берсенев Ю.И., особо охраняемые природные территории приморского края / Ю.И. Берсенев, Б.В. Цой, Н.В. Явнова. – В.: </w:t>
      </w:r>
      <w:r>
        <w:rPr>
          <w:rFonts w:ascii="Times New Roman" w:hAnsi="Times New Roman"/>
          <w:color w:val="000000" w:themeColor="text1"/>
          <w:sz w:val="20"/>
          <w:szCs w:val="20"/>
          <w:shd w:val="clear" w:color="auto" w:fill="FFFFFF"/>
          <w:lang w:val="en-US"/>
        </w:rPr>
        <w:t>WWF</w:t>
      </w:r>
      <w:r>
        <w:rPr>
          <w:rFonts w:ascii="Times New Roman" w:hAnsi="Times New Roman"/>
          <w:color w:val="000000" w:themeColor="text1"/>
          <w:sz w:val="20"/>
          <w:szCs w:val="20"/>
          <w:shd w:val="clear" w:color="auto" w:fill="FFFFFF"/>
        </w:rPr>
        <w:t>, 2006. – 58 с.</w:t>
      </w:r>
    </w:p>
    <w:p w:rsidR="00517711" w:rsidRDefault="00F815BE">
      <w:pPr>
        <w:pStyle w:val="af4"/>
        <w:numPr>
          <w:ilvl w:val="0"/>
          <w:numId w:val="24"/>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Литвенкова И.А. Экология городской среды: Урбоэкология: Курс лекций / И.А.Литвенкова. – Витебск: Изд-во УО «ВГУ им. П.М.Машерова», 2005 – 163 с.</w:t>
      </w:r>
    </w:p>
    <w:p w:rsidR="00517711" w:rsidRDefault="00F815BE">
      <w:pPr>
        <w:pStyle w:val="af4"/>
        <w:numPr>
          <w:ilvl w:val="0"/>
          <w:numId w:val="24"/>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Свиноухов Г.В., Климат Владивостока / Г.В. Свиноухов. – Л.: Изд-во Гидрометеоиздат, 1983. – 248 с.</w:t>
      </w:r>
    </w:p>
    <w:p w:rsidR="00517711" w:rsidRDefault="00517711">
      <w:pPr>
        <w:spacing w:line="240" w:lineRule="auto"/>
        <w:rPr>
          <w:rFonts w:ascii="Times New Roman" w:hAnsi="Times New Roman"/>
          <w:sz w:val="24"/>
          <w:szCs w:val="24"/>
        </w:rPr>
      </w:pPr>
    </w:p>
    <w:p w:rsidR="00517711" w:rsidRDefault="00F815BE">
      <w:pPr>
        <w:spacing w:before="120" w:after="120" w:line="240" w:lineRule="auto"/>
        <w:rPr>
          <w:rFonts w:ascii="Times New Roman" w:hAnsi="Times New Roman"/>
          <w:b/>
          <w:sz w:val="20"/>
          <w:szCs w:val="24"/>
        </w:rPr>
      </w:pPr>
      <w:r>
        <w:rPr>
          <w:rFonts w:ascii="Times New Roman" w:hAnsi="Times New Roman"/>
          <w:b/>
          <w:sz w:val="20"/>
          <w:szCs w:val="24"/>
        </w:rPr>
        <w:t>Рубрика: экология (по отраслям)</w:t>
      </w:r>
    </w:p>
    <w:p w:rsidR="00517711" w:rsidRDefault="00F815BE">
      <w:pPr>
        <w:spacing w:before="120" w:after="120" w:line="240" w:lineRule="auto"/>
        <w:rPr>
          <w:rFonts w:ascii="Times New Roman" w:hAnsi="Times New Roman"/>
          <w:sz w:val="20"/>
          <w:szCs w:val="24"/>
        </w:rPr>
      </w:pPr>
      <w:r>
        <w:rPr>
          <w:rFonts w:ascii="Times New Roman" w:hAnsi="Times New Roman"/>
          <w:sz w:val="20"/>
          <w:szCs w:val="24"/>
        </w:rPr>
        <w:t>УДК 504.05</w:t>
      </w:r>
    </w:p>
    <w:p w:rsidR="00517711" w:rsidRDefault="00F815BE">
      <w:pPr>
        <w:spacing w:before="120" w:after="120" w:line="240" w:lineRule="auto"/>
        <w:jc w:val="center"/>
        <w:rPr>
          <w:rFonts w:ascii="Book Antiqua" w:hAnsi="Book Antiqua"/>
          <w:b/>
          <w:sz w:val="26"/>
          <w:szCs w:val="26"/>
        </w:rPr>
      </w:pPr>
      <w:r>
        <w:rPr>
          <w:rFonts w:ascii="Book Antiqua" w:hAnsi="Book Antiqua"/>
          <w:b/>
          <w:sz w:val="26"/>
          <w:szCs w:val="26"/>
        </w:rPr>
        <w:t>УПРАВЛЕНИЕ ОТХОДАМИ НА АО «ВОСТОЧНАЯ ВЕРФЬ»</w:t>
      </w:r>
    </w:p>
    <w:p w:rsidR="00517711" w:rsidRDefault="00517711">
      <w:pPr>
        <w:spacing w:after="0" w:line="240" w:lineRule="auto"/>
        <w:jc w:val="center"/>
        <w:rPr>
          <w:rFonts w:ascii="Arial" w:hAnsi="Arial" w:cs="Arial"/>
          <w:sz w:val="24"/>
          <w:szCs w:val="24"/>
        </w:rPr>
      </w:pPr>
    </w:p>
    <w:p w:rsidR="00517711" w:rsidRDefault="00F815BE">
      <w:pPr>
        <w:spacing w:after="0" w:line="240" w:lineRule="auto"/>
        <w:jc w:val="center"/>
        <w:rPr>
          <w:rFonts w:ascii="Arial" w:hAnsi="Arial" w:cs="Arial"/>
          <w:b/>
          <w:sz w:val="24"/>
          <w:szCs w:val="24"/>
        </w:rPr>
      </w:pPr>
      <w:r>
        <w:rPr>
          <w:rFonts w:ascii="Arial" w:hAnsi="Arial" w:cs="Arial"/>
          <w:b/>
          <w:sz w:val="24"/>
          <w:szCs w:val="24"/>
        </w:rPr>
        <w:t xml:space="preserve">Кравец Данила Дмитриевич, </w:t>
      </w:r>
    </w:p>
    <w:p w:rsidR="00517711" w:rsidRDefault="00F815BE">
      <w:pPr>
        <w:spacing w:after="0" w:line="240" w:lineRule="auto"/>
        <w:jc w:val="center"/>
        <w:rPr>
          <w:rFonts w:ascii="Arial" w:hAnsi="Arial" w:cs="Arial"/>
          <w:sz w:val="24"/>
          <w:szCs w:val="24"/>
        </w:rPr>
      </w:pPr>
      <w:r>
        <w:rPr>
          <w:rFonts w:ascii="Arial" w:hAnsi="Arial" w:cs="Arial"/>
          <w:sz w:val="24"/>
          <w:szCs w:val="24"/>
        </w:rPr>
        <w:t xml:space="preserve">бакалавр </w:t>
      </w:r>
    </w:p>
    <w:p w:rsidR="00517711" w:rsidRDefault="00517711">
      <w:pPr>
        <w:spacing w:line="240" w:lineRule="auto"/>
        <w:jc w:val="center"/>
        <w:rPr>
          <w:rFonts w:ascii="Times New Roman" w:hAnsi="Times New Roman"/>
          <w:i/>
          <w:sz w:val="24"/>
          <w:szCs w:val="24"/>
        </w:rPr>
      </w:pPr>
    </w:p>
    <w:p w:rsidR="00517711" w:rsidRDefault="00F815BE">
      <w:pPr>
        <w:spacing w:after="0" w:line="240" w:lineRule="auto"/>
        <w:jc w:val="center"/>
        <w:rPr>
          <w:rFonts w:ascii="Times New Roman" w:hAnsi="Times New Roman"/>
          <w:i/>
          <w:szCs w:val="24"/>
        </w:rPr>
      </w:pPr>
      <w:r>
        <w:rPr>
          <w:rFonts w:ascii="Times New Roman" w:hAnsi="Times New Roman"/>
          <w:i/>
          <w:szCs w:val="24"/>
        </w:rPr>
        <w:t>Владивостокский государственный университет экономики и сервиса</w:t>
      </w:r>
    </w:p>
    <w:p w:rsidR="00517711" w:rsidRDefault="00F815BE">
      <w:pPr>
        <w:spacing w:after="0" w:line="240" w:lineRule="auto"/>
        <w:jc w:val="center"/>
        <w:rPr>
          <w:rFonts w:ascii="Times New Roman" w:hAnsi="Times New Roman"/>
          <w:i/>
          <w:szCs w:val="24"/>
        </w:rPr>
      </w:pPr>
      <w:r>
        <w:rPr>
          <w:rFonts w:ascii="Times New Roman" w:hAnsi="Times New Roman"/>
          <w:i/>
          <w:szCs w:val="24"/>
        </w:rPr>
        <w:t>Россия. Владивосток</w:t>
      </w:r>
    </w:p>
    <w:p w:rsidR="00517711" w:rsidRDefault="00517711">
      <w:pPr>
        <w:spacing w:after="0" w:line="240" w:lineRule="auto"/>
        <w:jc w:val="center"/>
        <w:rPr>
          <w:rFonts w:ascii="Times New Roman" w:hAnsi="Times New Roman"/>
          <w:i/>
          <w:szCs w:val="24"/>
        </w:rPr>
      </w:pPr>
    </w:p>
    <w:p w:rsidR="00517711" w:rsidRDefault="00F815BE">
      <w:pPr>
        <w:spacing w:after="0" w:line="240" w:lineRule="auto"/>
        <w:jc w:val="center"/>
        <w:rPr>
          <w:rFonts w:ascii="Times New Roman" w:hAnsi="Times New Roman"/>
          <w:sz w:val="20"/>
          <w:szCs w:val="24"/>
        </w:rPr>
      </w:pPr>
      <w:r>
        <w:rPr>
          <w:rFonts w:ascii="Times New Roman" w:hAnsi="Times New Roman"/>
          <w:sz w:val="20"/>
          <w:szCs w:val="24"/>
          <w:lang w:val="en-US"/>
        </w:rPr>
        <w:t>E</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 xml:space="preserve">: </w:t>
      </w:r>
      <w:r>
        <w:rPr>
          <w:rFonts w:ascii="Times New Roman" w:hAnsi="Times New Roman"/>
          <w:sz w:val="20"/>
          <w:szCs w:val="24"/>
          <w:lang w:val="en-US"/>
        </w:rPr>
        <w:t>danil</w:t>
      </w:r>
      <w:r>
        <w:rPr>
          <w:rFonts w:ascii="Times New Roman" w:hAnsi="Times New Roman"/>
          <w:sz w:val="20"/>
          <w:szCs w:val="24"/>
        </w:rPr>
        <w:t>1996.2011@</w:t>
      </w:r>
      <w:r>
        <w:rPr>
          <w:rFonts w:ascii="Times New Roman" w:hAnsi="Times New Roman"/>
          <w:sz w:val="20"/>
          <w:szCs w:val="24"/>
          <w:lang w:val="en-US"/>
        </w:rPr>
        <w:t>mail</w:t>
      </w:r>
      <w:r>
        <w:rPr>
          <w:rFonts w:ascii="Times New Roman" w:hAnsi="Times New Roman"/>
          <w:sz w:val="20"/>
          <w:szCs w:val="24"/>
        </w:rPr>
        <w:t>.</w:t>
      </w:r>
      <w:r>
        <w:rPr>
          <w:rFonts w:ascii="Times New Roman" w:hAnsi="Times New Roman"/>
          <w:sz w:val="20"/>
          <w:szCs w:val="24"/>
          <w:lang w:val="en-US"/>
        </w:rPr>
        <w:t>ru</w:t>
      </w:r>
      <w:r>
        <w:rPr>
          <w:rFonts w:ascii="Times New Roman" w:hAnsi="Times New Roman"/>
          <w:sz w:val="20"/>
          <w:szCs w:val="24"/>
        </w:rPr>
        <w:t>; тел.: +79679584715</w:t>
      </w:r>
    </w:p>
    <w:p w:rsidR="00517711" w:rsidRDefault="00F815BE">
      <w:pPr>
        <w:spacing w:after="0" w:line="240" w:lineRule="auto"/>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517711">
      <w:pPr>
        <w:spacing w:after="0" w:line="240" w:lineRule="auto"/>
        <w:ind w:firstLine="709"/>
        <w:jc w:val="both"/>
        <w:rPr>
          <w:rFonts w:ascii="Times New Roman" w:hAnsi="Times New Roman"/>
          <w:i/>
          <w:szCs w:val="24"/>
        </w:rPr>
      </w:pPr>
    </w:p>
    <w:p w:rsidR="00517711" w:rsidRDefault="00F815BE">
      <w:pPr>
        <w:spacing w:after="0" w:line="240" w:lineRule="auto"/>
        <w:ind w:firstLine="709"/>
        <w:jc w:val="both"/>
        <w:rPr>
          <w:rFonts w:ascii="Times New Roman" w:hAnsi="Times New Roman"/>
          <w:i/>
          <w:szCs w:val="24"/>
        </w:rPr>
      </w:pPr>
      <w:r>
        <w:rPr>
          <w:rFonts w:ascii="Times New Roman" w:hAnsi="Times New Roman"/>
          <w:i/>
          <w:szCs w:val="24"/>
        </w:rPr>
        <w:t>Социально-экономическое развитие человечества сопутствуется усилением антропогенного воздействия на окружающую природную среду. В данных обстоятельствах особую важность обретает природоохранная деятельность предприятий. Мероприятия в сфере охраны природы, в том числе по управлению отходами, необходимо осуществлять напрямую на предприятиях, которые выступают и как основными элементами производства, так и основными источниками экологической угрозы.</w:t>
      </w:r>
    </w:p>
    <w:p w:rsidR="00517711" w:rsidRDefault="00F815BE">
      <w:pPr>
        <w:spacing w:after="0" w:line="240" w:lineRule="auto"/>
        <w:ind w:firstLine="709"/>
        <w:jc w:val="both"/>
        <w:rPr>
          <w:rFonts w:ascii="Times New Roman" w:hAnsi="Times New Roman"/>
          <w:i/>
          <w:szCs w:val="24"/>
        </w:rPr>
      </w:pPr>
      <w:r>
        <w:rPr>
          <w:rFonts w:ascii="Times New Roman" w:hAnsi="Times New Roman"/>
          <w:b/>
          <w:i/>
          <w:szCs w:val="24"/>
        </w:rPr>
        <w:t>Ключевые слова:</w:t>
      </w:r>
      <w:r>
        <w:rPr>
          <w:rFonts w:ascii="Times New Roman" w:hAnsi="Times New Roman"/>
          <w:i/>
          <w:szCs w:val="24"/>
        </w:rPr>
        <w:t xml:space="preserve"> судостроение, отходы, класс опасности, места временного накопления отходов, раздельный сбор отходов.</w:t>
      </w:r>
    </w:p>
    <w:p w:rsidR="00517711" w:rsidRDefault="00517711">
      <w:pPr>
        <w:spacing w:before="120" w:after="120" w:line="240" w:lineRule="auto"/>
        <w:ind w:firstLine="709"/>
        <w:jc w:val="center"/>
        <w:rPr>
          <w:rFonts w:ascii="Book Antiqua" w:hAnsi="Book Antiqua"/>
          <w:b/>
          <w:sz w:val="26"/>
          <w:szCs w:val="26"/>
        </w:rPr>
      </w:pPr>
    </w:p>
    <w:p w:rsidR="00517711" w:rsidRDefault="00F815BE">
      <w:pPr>
        <w:spacing w:before="120" w:after="120" w:line="240" w:lineRule="auto"/>
        <w:ind w:firstLine="709"/>
        <w:jc w:val="center"/>
        <w:rPr>
          <w:rFonts w:ascii="Book Antiqua" w:hAnsi="Book Antiqua"/>
          <w:b/>
          <w:sz w:val="26"/>
          <w:szCs w:val="26"/>
          <w:lang w:val="en-US"/>
        </w:rPr>
      </w:pPr>
      <w:r>
        <w:rPr>
          <w:rFonts w:ascii="Book Antiqua" w:hAnsi="Book Antiqua"/>
          <w:b/>
          <w:sz w:val="26"/>
          <w:szCs w:val="26"/>
          <w:lang w:val="en-US"/>
        </w:rPr>
        <w:t>WASTE MANAGEMENT AT JSC «VOSTOCHNAYA VERF»</w:t>
      </w:r>
    </w:p>
    <w:p w:rsidR="00517711" w:rsidRDefault="00517711">
      <w:pPr>
        <w:spacing w:before="120" w:after="120" w:line="240" w:lineRule="auto"/>
        <w:ind w:firstLine="709"/>
        <w:jc w:val="both"/>
        <w:rPr>
          <w:rFonts w:ascii="Times New Roman" w:hAnsi="Times New Roman"/>
          <w:sz w:val="24"/>
          <w:szCs w:val="24"/>
          <w:lang w:val="en-US"/>
        </w:rPr>
      </w:pP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i/>
          <w:szCs w:val="24"/>
          <w:lang w:val="en-US"/>
        </w:rPr>
        <w:t>The socio-economic development of mankind is accompanied by the intensification of anthropogenic impact on the environment. In these circumstances, the environmental protection of enterprises is of particular importance. Activities in the field of nature protection, including waste management, should be carried out directly at enterprises that act as both the main elements of production and the main sources of environmental threats.</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b/>
          <w:i/>
          <w:szCs w:val="24"/>
          <w:lang w:val="en-US"/>
        </w:rPr>
        <w:t>Keywords</w:t>
      </w:r>
      <w:r>
        <w:rPr>
          <w:rFonts w:ascii="Times New Roman" w:hAnsi="Times New Roman"/>
          <w:i/>
          <w:szCs w:val="24"/>
          <w:lang w:val="en-US"/>
        </w:rPr>
        <w:t>: shipbuilding, waste, hazard class, places of temporary accumulation of waste, separate waste collection.</w:t>
      </w:r>
    </w:p>
    <w:p w:rsidR="00517711" w:rsidRDefault="00517711">
      <w:pPr>
        <w:spacing w:after="0" w:line="240" w:lineRule="auto"/>
        <w:ind w:firstLine="709"/>
        <w:jc w:val="both"/>
        <w:rPr>
          <w:rFonts w:ascii="Times New Roman" w:hAnsi="Times New Roman"/>
          <w:sz w:val="24"/>
          <w:szCs w:val="24"/>
          <w:lang w:val="en-US"/>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Верфь образована в 1952 году как Владивостокский судостроительный завод на базе судоремонтных мастерских и расположена в черте города Владивосток на берегу бухты Малый Улисс залива Петра Великого.</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Общая площадь территории верфи составляет 23,27 га. Общая площадь зданий и сооружений со служебно-бытовой площадью составляет 101,6 тыс. м</w:t>
      </w:r>
      <w:r>
        <w:rPr>
          <w:rFonts w:ascii="Times New Roman" w:hAnsi="Times New Roman" w:cs="Times New Roman"/>
          <w:sz w:val="20"/>
          <w:szCs w:val="20"/>
          <w:vertAlign w:val="superscript"/>
        </w:rPr>
        <w:t>2</w:t>
      </w:r>
      <w:r>
        <w:rPr>
          <w:rFonts w:ascii="Times New Roman" w:hAnsi="Times New Roman" w:cs="Times New Roman"/>
          <w:sz w:val="20"/>
          <w:szCs w:val="20"/>
        </w:rPr>
        <w:t xml:space="preserve"> (закрытая 77,3 тыс. м</w:t>
      </w:r>
      <w:r>
        <w:rPr>
          <w:rFonts w:ascii="Times New Roman" w:hAnsi="Times New Roman" w:cs="Times New Roman"/>
          <w:sz w:val="20"/>
          <w:szCs w:val="20"/>
          <w:vertAlign w:val="superscript"/>
        </w:rPr>
        <w:t>2</w:t>
      </w:r>
      <w:r>
        <w:rPr>
          <w:rFonts w:ascii="Times New Roman" w:hAnsi="Times New Roman" w:cs="Times New Roman"/>
          <w:sz w:val="20"/>
          <w:szCs w:val="20"/>
        </w:rPr>
        <w:t>).</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Бухта Малый Улисс обеспечивает выход судов от причальной стенки завода в любое время года без ограничений. Вследствие мягкой непродолжительной зимы, ледяной покров на акватории бухты имеет толщины не более 0,4 м, а в отдельные теплые зимы лед практически отсутствует.</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На территории верфи имеются собственные подъездные пути, связанные с центральной железнодорожной магистралью и автомобильной дорогой. Общая протяженность железной дороги предприятия, проходящей по территории, составляет 1,7 км. Схема предприятия показана на рисунке 1.</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lastRenderedPageBreak/>
        <w:t>Основное направление деятельности предприятия:</w:t>
      </w:r>
    </w:p>
    <w:p w:rsidR="00517711" w:rsidRDefault="00F815BE">
      <w:pPr>
        <w:pStyle w:val="af4"/>
        <w:numPr>
          <w:ilvl w:val="0"/>
          <w:numId w:val="26"/>
        </w:numPr>
        <w:spacing w:after="0" w:line="240" w:lineRule="auto"/>
        <w:jc w:val="both"/>
        <w:rPr>
          <w:rFonts w:ascii="Times New Roman" w:hAnsi="Times New Roman"/>
          <w:sz w:val="20"/>
          <w:szCs w:val="20"/>
        </w:rPr>
      </w:pPr>
      <w:r>
        <w:rPr>
          <w:rFonts w:ascii="Times New Roman" w:hAnsi="Times New Roman"/>
          <w:sz w:val="20"/>
          <w:szCs w:val="20"/>
        </w:rPr>
        <w:t>строительство кораблей для Тихоокеанского флота, Морских пограничных сил ФСБ России и на экспорт;</w:t>
      </w:r>
    </w:p>
    <w:p w:rsidR="00517711" w:rsidRDefault="00F815BE">
      <w:pPr>
        <w:pStyle w:val="af4"/>
        <w:numPr>
          <w:ilvl w:val="0"/>
          <w:numId w:val="26"/>
        </w:numPr>
        <w:spacing w:after="0" w:line="240" w:lineRule="auto"/>
        <w:jc w:val="both"/>
        <w:rPr>
          <w:rFonts w:ascii="Times New Roman" w:hAnsi="Times New Roman"/>
          <w:sz w:val="20"/>
          <w:szCs w:val="20"/>
        </w:rPr>
      </w:pPr>
      <w:r>
        <w:rPr>
          <w:rFonts w:ascii="Times New Roman" w:hAnsi="Times New Roman"/>
          <w:sz w:val="20"/>
          <w:szCs w:val="20"/>
        </w:rPr>
        <w:t>строительство рыбопромысловых, транспортных и вспомогательных судов;</w:t>
      </w:r>
    </w:p>
    <w:p w:rsidR="00517711" w:rsidRDefault="00F815BE">
      <w:pPr>
        <w:pStyle w:val="af4"/>
        <w:numPr>
          <w:ilvl w:val="0"/>
          <w:numId w:val="26"/>
        </w:numPr>
        <w:spacing w:after="0" w:line="240" w:lineRule="auto"/>
        <w:jc w:val="both"/>
        <w:rPr>
          <w:rFonts w:ascii="Times New Roman" w:hAnsi="Times New Roman"/>
          <w:sz w:val="20"/>
          <w:szCs w:val="20"/>
        </w:rPr>
      </w:pPr>
      <w:r>
        <w:rPr>
          <w:rFonts w:ascii="Times New Roman" w:hAnsi="Times New Roman"/>
          <w:sz w:val="20"/>
          <w:szCs w:val="20"/>
        </w:rPr>
        <w:t>ремонт кораблей Тихоокеанского флота и морских пограничных сил ФСБ России;</w:t>
      </w:r>
    </w:p>
    <w:p w:rsidR="00517711" w:rsidRDefault="00F815BE">
      <w:pPr>
        <w:pStyle w:val="af4"/>
        <w:numPr>
          <w:ilvl w:val="0"/>
          <w:numId w:val="26"/>
        </w:numPr>
        <w:spacing w:after="0" w:line="240" w:lineRule="auto"/>
        <w:jc w:val="both"/>
        <w:rPr>
          <w:rFonts w:ascii="Times New Roman" w:hAnsi="Times New Roman"/>
          <w:sz w:val="20"/>
          <w:szCs w:val="20"/>
        </w:rPr>
      </w:pPr>
      <w:r>
        <w:rPr>
          <w:rFonts w:ascii="Times New Roman" w:hAnsi="Times New Roman"/>
          <w:sz w:val="20"/>
          <w:szCs w:val="20"/>
        </w:rPr>
        <w:t>ремонт рыбопромысловых и вспомогательных судов.</w:t>
      </w:r>
    </w:p>
    <w:p w:rsidR="00517711" w:rsidRDefault="00517711">
      <w:pPr>
        <w:spacing w:after="0" w:line="240" w:lineRule="auto"/>
        <w:ind w:firstLine="709"/>
        <w:jc w:val="both"/>
        <w:rPr>
          <w:rFonts w:ascii="Times New Roman" w:hAnsi="Times New Roman" w:cs="Times New Roman"/>
          <w:sz w:val="20"/>
          <w:szCs w:val="20"/>
        </w:rPr>
      </w:pP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noProof/>
          <w:sz w:val="20"/>
          <w:szCs w:val="20"/>
          <w:lang w:eastAsia="ru-RU"/>
        </w:rPr>
        <w:drawing>
          <wp:inline distT="0" distB="0" distL="0" distR="0">
            <wp:extent cx="6086475" cy="1952623"/>
            <wp:effectExtent l="0" t="0" r="0" b="0"/>
            <wp:docPr id="89" name="Рисунок 0" descr="14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Рисунок 0" descr="1411.png"/>
                    <pic:cNvPicPr>
                      <a:picLocks noChangeAspect="1"/>
                    </pic:cNvPicPr>
                  </pic:nvPicPr>
                  <pic:blipFill>
                    <a:blip r:embed="rId131"/>
                    <a:stretch/>
                  </pic:blipFill>
                  <pic:spPr bwMode="auto">
                    <a:xfrm>
                      <a:off x="0" y="0"/>
                      <a:ext cx="6086475" cy="1952625"/>
                    </a:xfrm>
                    <a:prstGeom prst="rect">
                      <a:avLst/>
                    </a:prstGeom>
                    <a:noFill/>
                    <a:ln>
                      <a:noFill/>
                    </a:ln>
                  </pic:spPr>
                </pic:pic>
              </a:graphicData>
            </a:graphic>
          </wp:inline>
        </w:drawing>
      </w:r>
    </w:p>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Рис.1. Схема предприятия АО «Восточная верфь»</w:t>
      </w:r>
    </w:p>
    <w:p w:rsidR="00517711" w:rsidRDefault="00517711">
      <w:pPr>
        <w:spacing w:after="0" w:line="240" w:lineRule="auto"/>
        <w:jc w:val="both"/>
        <w:rPr>
          <w:rFonts w:ascii="Times New Roman" w:hAnsi="Times New Roman" w:cs="Times New Roman"/>
          <w:sz w:val="20"/>
          <w:szCs w:val="20"/>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результате технологических процессов на предприятии образуются отходы:</w:t>
      </w:r>
    </w:p>
    <w:p w:rsidR="00517711" w:rsidRDefault="00F815BE">
      <w:pPr>
        <w:pStyle w:val="af4"/>
        <w:numPr>
          <w:ilvl w:val="0"/>
          <w:numId w:val="26"/>
        </w:numPr>
        <w:spacing w:after="0" w:line="240" w:lineRule="auto"/>
        <w:jc w:val="both"/>
        <w:rPr>
          <w:rFonts w:ascii="Times New Roman" w:hAnsi="Times New Roman"/>
          <w:sz w:val="20"/>
          <w:szCs w:val="20"/>
        </w:rPr>
      </w:pPr>
      <w:r>
        <w:rPr>
          <w:rFonts w:ascii="Times New Roman" w:hAnsi="Times New Roman"/>
          <w:sz w:val="20"/>
          <w:szCs w:val="20"/>
        </w:rPr>
        <w:t>изготовление деталей машиностроительной части и корпусодостроечной номенклатуры для заказов всех проектов по судостроению и судоремонту;</w:t>
      </w:r>
    </w:p>
    <w:p w:rsidR="00517711" w:rsidRDefault="00F815BE">
      <w:pPr>
        <w:pStyle w:val="af4"/>
        <w:numPr>
          <w:ilvl w:val="0"/>
          <w:numId w:val="26"/>
        </w:numPr>
        <w:spacing w:after="0" w:line="240" w:lineRule="auto"/>
        <w:jc w:val="both"/>
        <w:rPr>
          <w:rFonts w:ascii="Times New Roman" w:hAnsi="Times New Roman"/>
          <w:sz w:val="20"/>
          <w:szCs w:val="20"/>
        </w:rPr>
      </w:pPr>
      <w:r>
        <w:rPr>
          <w:rFonts w:ascii="Times New Roman" w:hAnsi="Times New Roman"/>
          <w:sz w:val="20"/>
          <w:szCs w:val="20"/>
        </w:rPr>
        <w:t>изготовление и формирование корпусов судов;</w:t>
      </w:r>
    </w:p>
    <w:p w:rsidR="00517711" w:rsidRDefault="00F815BE">
      <w:pPr>
        <w:pStyle w:val="af4"/>
        <w:numPr>
          <w:ilvl w:val="0"/>
          <w:numId w:val="26"/>
        </w:numPr>
        <w:spacing w:after="0" w:line="240" w:lineRule="auto"/>
        <w:jc w:val="both"/>
        <w:rPr>
          <w:rFonts w:ascii="Times New Roman" w:hAnsi="Times New Roman"/>
          <w:sz w:val="20"/>
          <w:szCs w:val="20"/>
        </w:rPr>
      </w:pPr>
      <w:r>
        <w:rPr>
          <w:rFonts w:ascii="Times New Roman" w:hAnsi="Times New Roman"/>
          <w:sz w:val="20"/>
          <w:szCs w:val="20"/>
        </w:rPr>
        <w:t>изготовление и установка фундаментов, насыщение, изготовление и установка надстроек;</w:t>
      </w:r>
    </w:p>
    <w:p w:rsidR="00517711" w:rsidRDefault="00F815BE">
      <w:pPr>
        <w:pStyle w:val="af4"/>
        <w:numPr>
          <w:ilvl w:val="0"/>
          <w:numId w:val="26"/>
        </w:numPr>
        <w:spacing w:after="0" w:line="240" w:lineRule="auto"/>
        <w:jc w:val="both"/>
        <w:rPr>
          <w:rFonts w:ascii="Times New Roman" w:hAnsi="Times New Roman"/>
          <w:sz w:val="20"/>
          <w:szCs w:val="20"/>
        </w:rPr>
      </w:pPr>
      <w:r>
        <w:rPr>
          <w:rFonts w:ascii="Times New Roman" w:hAnsi="Times New Roman"/>
          <w:sz w:val="20"/>
          <w:szCs w:val="20"/>
        </w:rPr>
        <w:t>испытания корпусных конструкций и корпусов на водонепроницаемость;</w:t>
      </w:r>
    </w:p>
    <w:p w:rsidR="00517711" w:rsidRDefault="00F815BE">
      <w:pPr>
        <w:pStyle w:val="af4"/>
        <w:numPr>
          <w:ilvl w:val="0"/>
          <w:numId w:val="26"/>
        </w:numPr>
        <w:spacing w:after="0" w:line="240" w:lineRule="auto"/>
        <w:jc w:val="both"/>
        <w:rPr>
          <w:rFonts w:ascii="Times New Roman" w:hAnsi="Times New Roman"/>
          <w:sz w:val="20"/>
          <w:szCs w:val="20"/>
        </w:rPr>
      </w:pPr>
      <w:r>
        <w:rPr>
          <w:rFonts w:ascii="Times New Roman" w:hAnsi="Times New Roman"/>
          <w:sz w:val="20"/>
          <w:szCs w:val="20"/>
        </w:rPr>
        <w:t>работ по монтажу устройств, механизмов, электроаппаратуры, спецустановок;</w:t>
      </w:r>
    </w:p>
    <w:p w:rsidR="00517711" w:rsidRDefault="00F815BE">
      <w:pPr>
        <w:pStyle w:val="af4"/>
        <w:numPr>
          <w:ilvl w:val="0"/>
          <w:numId w:val="26"/>
        </w:numPr>
        <w:spacing w:after="0" w:line="240" w:lineRule="auto"/>
        <w:jc w:val="both"/>
        <w:rPr>
          <w:rFonts w:ascii="Times New Roman" w:hAnsi="Times New Roman"/>
          <w:sz w:val="20"/>
          <w:szCs w:val="20"/>
        </w:rPr>
      </w:pPr>
      <w:r>
        <w:rPr>
          <w:rFonts w:ascii="Times New Roman" w:hAnsi="Times New Roman"/>
          <w:sz w:val="20"/>
          <w:szCs w:val="20"/>
        </w:rPr>
        <w:t>малярно-изолировачные работы;</w:t>
      </w:r>
    </w:p>
    <w:p w:rsidR="00517711" w:rsidRDefault="00F815BE">
      <w:pPr>
        <w:pStyle w:val="af4"/>
        <w:numPr>
          <w:ilvl w:val="0"/>
          <w:numId w:val="26"/>
        </w:numPr>
        <w:spacing w:after="0" w:line="240" w:lineRule="auto"/>
        <w:jc w:val="both"/>
        <w:rPr>
          <w:rFonts w:ascii="Times New Roman" w:hAnsi="Times New Roman"/>
          <w:sz w:val="20"/>
          <w:szCs w:val="20"/>
        </w:rPr>
      </w:pPr>
      <w:r>
        <w:rPr>
          <w:rFonts w:ascii="Times New Roman" w:hAnsi="Times New Roman"/>
          <w:sz w:val="20"/>
          <w:szCs w:val="20"/>
        </w:rPr>
        <w:t>работы по оборудованию помещений, достройке, испытаниям и сдачи заказов;</w:t>
      </w:r>
    </w:p>
    <w:p w:rsidR="00517711" w:rsidRDefault="00F815BE">
      <w:pPr>
        <w:pStyle w:val="af4"/>
        <w:numPr>
          <w:ilvl w:val="0"/>
          <w:numId w:val="26"/>
        </w:numPr>
        <w:spacing w:after="0" w:line="240" w:lineRule="auto"/>
        <w:jc w:val="both"/>
        <w:rPr>
          <w:rFonts w:ascii="Times New Roman" w:hAnsi="Times New Roman"/>
          <w:sz w:val="20"/>
          <w:szCs w:val="20"/>
        </w:rPr>
      </w:pPr>
      <w:r>
        <w:rPr>
          <w:rFonts w:ascii="Times New Roman" w:hAnsi="Times New Roman"/>
          <w:sz w:val="20"/>
          <w:szCs w:val="20"/>
        </w:rPr>
        <w:t>изготовление и монтаж систем трубопроводов на всех заказах;</w:t>
      </w:r>
    </w:p>
    <w:p w:rsidR="00517711" w:rsidRDefault="00F815BE">
      <w:pPr>
        <w:pStyle w:val="af4"/>
        <w:numPr>
          <w:ilvl w:val="0"/>
          <w:numId w:val="26"/>
        </w:numPr>
        <w:spacing w:after="0" w:line="240" w:lineRule="auto"/>
        <w:jc w:val="both"/>
        <w:rPr>
          <w:rFonts w:ascii="Times New Roman" w:hAnsi="Times New Roman"/>
          <w:sz w:val="20"/>
          <w:szCs w:val="20"/>
        </w:rPr>
      </w:pPr>
      <w:r>
        <w:rPr>
          <w:rFonts w:ascii="Times New Roman" w:hAnsi="Times New Roman"/>
          <w:sz w:val="20"/>
          <w:szCs w:val="20"/>
        </w:rPr>
        <w:t>изготовление мебели и деревянных заготовок для судостроения;</w:t>
      </w:r>
    </w:p>
    <w:p w:rsidR="00517711" w:rsidRDefault="00F815BE">
      <w:pPr>
        <w:pStyle w:val="af4"/>
        <w:numPr>
          <w:ilvl w:val="0"/>
          <w:numId w:val="26"/>
        </w:numPr>
        <w:spacing w:after="0" w:line="240" w:lineRule="auto"/>
        <w:jc w:val="both"/>
        <w:rPr>
          <w:rFonts w:ascii="Times New Roman" w:hAnsi="Times New Roman"/>
          <w:sz w:val="20"/>
          <w:szCs w:val="20"/>
        </w:rPr>
      </w:pPr>
      <w:r>
        <w:rPr>
          <w:rFonts w:ascii="Times New Roman" w:hAnsi="Times New Roman"/>
          <w:sz w:val="20"/>
          <w:szCs w:val="20"/>
        </w:rPr>
        <w:t>изготовление запасных частей для запасного и вспомогательного оборудования.</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На территории промплощадки предприятия имеются 10 объектов временного хранения отходов сроком до 3-х лет. Период накопления отходов не превышает 6 месяцев.</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Предприятие не осуществляет деятельность по использованию и обезвреживанию отходов.</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Отходы, образующиеся у предприятия, при своевременном вывозе не представляют экологической опасности для окружающей среды.</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Отходы образующиеся на предприятии находятся в твёрдой, жидкой и пастообразной формах.</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Ряд отходов обладают опасными свойствами: токсичность, пожароопасность. Токсичные вещества, содержащиеся в отходах, в случае попадания в окружающую среду, представляют или могут немедленно или со временем представлять угрозу для окружающей среды в результате биоаккумулирования и/или оказывать токсическое воздействие на биотические системы, а проникая в организм человека через органы дыхания, кожу, могут вызвать острое отравление.</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Процесс обращения с отходами производства и потребления в АО «Восточная верфь» включает в себя следующие этапы:</w:t>
      </w:r>
    </w:p>
    <w:p w:rsidR="00517711" w:rsidRDefault="00F815BE">
      <w:pPr>
        <w:pStyle w:val="af4"/>
        <w:numPr>
          <w:ilvl w:val="0"/>
          <w:numId w:val="27"/>
        </w:numPr>
        <w:spacing w:after="0" w:line="240" w:lineRule="auto"/>
        <w:jc w:val="both"/>
        <w:rPr>
          <w:rFonts w:ascii="Times New Roman" w:hAnsi="Times New Roman"/>
          <w:sz w:val="20"/>
          <w:szCs w:val="20"/>
        </w:rPr>
      </w:pPr>
      <w:r>
        <w:rPr>
          <w:rFonts w:ascii="Times New Roman" w:hAnsi="Times New Roman"/>
          <w:sz w:val="20"/>
          <w:szCs w:val="20"/>
        </w:rPr>
        <w:t>образование;</w:t>
      </w:r>
    </w:p>
    <w:p w:rsidR="00517711" w:rsidRDefault="00F815BE">
      <w:pPr>
        <w:pStyle w:val="af4"/>
        <w:numPr>
          <w:ilvl w:val="0"/>
          <w:numId w:val="27"/>
        </w:numPr>
        <w:spacing w:after="0" w:line="240" w:lineRule="auto"/>
        <w:jc w:val="both"/>
        <w:rPr>
          <w:rFonts w:ascii="Times New Roman" w:hAnsi="Times New Roman"/>
          <w:sz w:val="20"/>
          <w:szCs w:val="20"/>
        </w:rPr>
      </w:pPr>
      <w:r>
        <w:rPr>
          <w:rFonts w:ascii="Times New Roman" w:hAnsi="Times New Roman"/>
          <w:sz w:val="20"/>
          <w:szCs w:val="20"/>
        </w:rPr>
        <w:t>временное накопление;</w:t>
      </w:r>
    </w:p>
    <w:p w:rsidR="00517711" w:rsidRDefault="00F815BE">
      <w:pPr>
        <w:pStyle w:val="af4"/>
        <w:numPr>
          <w:ilvl w:val="0"/>
          <w:numId w:val="27"/>
        </w:numPr>
        <w:spacing w:after="0" w:line="240" w:lineRule="auto"/>
        <w:jc w:val="both"/>
        <w:rPr>
          <w:rFonts w:ascii="Times New Roman" w:hAnsi="Times New Roman"/>
          <w:sz w:val="20"/>
          <w:szCs w:val="20"/>
        </w:rPr>
      </w:pPr>
      <w:r>
        <w:rPr>
          <w:rFonts w:ascii="Times New Roman" w:hAnsi="Times New Roman"/>
          <w:sz w:val="20"/>
          <w:szCs w:val="20"/>
        </w:rPr>
        <w:t>передача сторонним организациям, имеющим лицензию на осуществление деятельности по сбору, использованию, обезвреживанию, размещению отходов для транспортировки, размещения, использования или обезвреживания.</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Порядок проведения мероприятий по инспекционному контролю, в соответствии с установленным локальным нормативным актом «Порядком осуществления производственного контроля в области обращения с отходами».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Контролируемые показатели при визуальном контроле объектов временного накопления отходов производства и потребления:</w:t>
      </w:r>
    </w:p>
    <w:p w:rsidR="00517711" w:rsidRDefault="00F815BE">
      <w:pPr>
        <w:pStyle w:val="af4"/>
        <w:numPr>
          <w:ilvl w:val="0"/>
          <w:numId w:val="25"/>
        </w:numPr>
        <w:spacing w:after="0" w:line="240" w:lineRule="auto"/>
        <w:jc w:val="both"/>
        <w:rPr>
          <w:rFonts w:ascii="Times New Roman" w:hAnsi="Times New Roman"/>
          <w:sz w:val="20"/>
          <w:szCs w:val="20"/>
        </w:rPr>
      </w:pPr>
      <w:r>
        <w:rPr>
          <w:rFonts w:ascii="Times New Roman" w:hAnsi="Times New Roman"/>
          <w:sz w:val="20"/>
          <w:szCs w:val="20"/>
        </w:rPr>
        <w:t>количество накопленных отходов;</w:t>
      </w:r>
    </w:p>
    <w:p w:rsidR="00517711" w:rsidRDefault="00F815BE">
      <w:pPr>
        <w:pStyle w:val="af4"/>
        <w:numPr>
          <w:ilvl w:val="0"/>
          <w:numId w:val="25"/>
        </w:numPr>
        <w:spacing w:after="0" w:line="240" w:lineRule="auto"/>
        <w:jc w:val="both"/>
        <w:rPr>
          <w:rFonts w:ascii="Times New Roman" w:hAnsi="Times New Roman"/>
          <w:sz w:val="20"/>
          <w:szCs w:val="20"/>
        </w:rPr>
      </w:pPr>
      <w:r>
        <w:rPr>
          <w:rFonts w:ascii="Times New Roman" w:hAnsi="Times New Roman"/>
          <w:sz w:val="20"/>
          <w:szCs w:val="20"/>
        </w:rPr>
        <w:t>периодичность вывоза отходов;</w:t>
      </w:r>
    </w:p>
    <w:p w:rsidR="00517711" w:rsidRDefault="00F815BE">
      <w:pPr>
        <w:pStyle w:val="af4"/>
        <w:numPr>
          <w:ilvl w:val="0"/>
          <w:numId w:val="25"/>
        </w:numPr>
        <w:spacing w:after="0" w:line="240" w:lineRule="auto"/>
        <w:jc w:val="both"/>
        <w:rPr>
          <w:rFonts w:ascii="Times New Roman" w:hAnsi="Times New Roman"/>
          <w:sz w:val="20"/>
          <w:szCs w:val="20"/>
        </w:rPr>
      </w:pPr>
      <w:r>
        <w:rPr>
          <w:rFonts w:ascii="Times New Roman" w:hAnsi="Times New Roman"/>
          <w:sz w:val="20"/>
          <w:szCs w:val="20"/>
        </w:rPr>
        <w:t>герметичность тары накопления;</w:t>
      </w:r>
    </w:p>
    <w:p w:rsidR="00517711" w:rsidRDefault="00F815BE">
      <w:pPr>
        <w:pStyle w:val="af4"/>
        <w:numPr>
          <w:ilvl w:val="0"/>
          <w:numId w:val="25"/>
        </w:numPr>
        <w:spacing w:after="0" w:line="240" w:lineRule="auto"/>
        <w:jc w:val="both"/>
        <w:rPr>
          <w:rFonts w:ascii="Times New Roman" w:hAnsi="Times New Roman"/>
          <w:sz w:val="20"/>
          <w:szCs w:val="20"/>
        </w:rPr>
      </w:pPr>
      <w:r>
        <w:rPr>
          <w:rFonts w:ascii="Times New Roman" w:hAnsi="Times New Roman"/>
          <w:sz w:val="20"/>
          <w:szCs w:val="20"/>
        </w:rPr>
        <w:t>целостность некоторых видов отходов (а именно ламп и аккумуляторов);</w:t>
      </w:r>
    </w:p>
    <w:p w:rsidR="00517711" w:rsidRDefault="00F815BE">
      <w:pPr>
        <w:pStyle w:val="af4"/>
        <w:numPr>
          <w:ilvl w:val="0"/>
          <w:numId w:val="25"/>
        </w:numPr>
        <w:spacing w:after="0" w:line="240" w:lineRule="auto"/>
        <w:jc w:val="both"/>
        <w:rPr>
          <w:rFonts w:ascii="Times New Roman" w:hAnsi="Times New Roman"/>
          <w:sz w:val="20"/>
          <w:szCs w:val="20"/>
        </w:rPr>
      </w:pPr>
      <w:r>
        <w:rPr>
          <w:rFonts w:ascii="Times New Roman" w:hAnsi="Times New Roman"/>
          <w:sz w:val="20"/>
          <w:szCs w:val="20"/>
        </w:rPr>
        <w:lastRenderedPageBreak/>
        <w:t>соблюдение противопожарных мер;</w:t>
      </w:r>
    </w:p>
    <w:p w:rsidR="00517711" w:rsidRDefault="00F815BE">
      <w:pPr>
        <w:pStyle w:val="af4"/>
        <w:numPr>
          <w:ilvl w:val="0"/>
          <w:numId w:val="25"/>
        </w:numPr>
        <w:spacing w:after="0" w:line="240" w:lineRule="auto"/>
        <w:jc w:val="both"/>
        <w:rPr>
          <w:rFonts w:ascii="Times New Roman" w:hAnsi="Times New Roman"/>
          <w:sz w:val="20"/>
          <w:szCs w:val="20"/>
        </w:rPr>
      </w:pPr>
      <w:r>
        <w:rPr>
          <w:rFonts w:ascii="Times New Roman" w:hAnsi="Times New Roman"/>
          <w:sz w:val="20"/>
          <w:szCs w:val="20"/>
        </w:rPr>
        <w:t>количество используемых отходов.</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Согласно СанПиН 2.1.7.1322-03 Гигиенические требования к размещению и обезвреживанию отходов производства и потребления [1, стр.4] вывоз твердых бытовых отходов производится 1 раз в день в теплый период года и 1 раз в 3 дня - в холодный период года, а также согласно федеральному закону «Об отходах производства и потребления» № 89-ФЗ от 24.06.98 г. накопление производственных отходов допускается на срок не более чем одиннадцать месяцев [2, стр.4].</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Отходы в зависимости от степени негативного воздействия на окружающую среду подразделяются в соответствии с критериями, установленными федеральным органом исполнительной власти, осуществляющим государственное регулирование в области охраны окружающей среды, на пять классов опасности [2, стр.4]:</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I класс - чрезвычайно опасные отходы;</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II класс - высокоопасные отходы;</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III класс - умеренно опасные отходы;</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IV класс - малоопасные отходы;</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V класс - практически неопасные отходы.</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результате производственной деятельности ОАО «Восточная верфь» образуется 49 видов отходов общим весом 1333,98738 тон в год, из них:</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1 класса опасности – 0,13438 тонн;</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2 класса опасности – 0,102 тонн;</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 класса опасности – 3,73 тонн;</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4 класса опасности – 606,266 тонн;</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5 класса опасности – 723,755 тонн.</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Для большей наглядности, данные о распределении видов отходов по классам опасности представлены на рисунке 2.</w:t>
      </w:r>
    </w:p>
    <w:p w:rsidR="00517711" w:rsidRDefault="00F815BE">
      <w:pPr>
        <w:spacing w:after="0" w:line="240" w:lineRule="auto"/>
        <w:ind w:firstLine="709"/>
        <w:jc w:val="center"/>
        <w:rPr>
          <w:rFonts w:ascii="Times New Roman" w:hAnsi="Times New Roman" w:cs="Times New Roman"/>
          <w:sz w:val="20"/>
          <w:szCs w:val="20"/>
        </w:rPr>
      </w:pPr>
      <w:r>
        <w:rPr>
          <w:rFonts w:ascii="Times New Roman" w:hAnsi="Times New Roman" w:cs="Times New Roman"/>
          <w:noProof/>
          <w:sz w:val="20"/>
          <w:szCs w:val="20"/>
          <w:lang w:eastAsia="ru-RU"/>
        </w:rPr>
        <w:drawing>
          <wp:inline distT="0" distB="0" distL="0" distR="0">
            <wp:extent cx="4572633" cy="2441574"/>
            <wp:effectExtent l="0" t="0" r="0" b="0"/>
            <wp:docPr id="90"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2"/>
              </a:graphicData>
            </a:graphic>
          </wp:inline>
        </w:drawing>
      </w:r>
    </w:p>
    <w:p w:rsidR="00517711" w:rsidRDefault="00F815BE">
      <w:pPr>
        <w:spacing w:after="0" w:line="240" w:lineRule="auto"/>
        <w:ind w:firstLine="709"/>
        <w:jc w:val="center"/>
        <w:rPr>
          <w:rFonts w:ascii="Times New Roman" w:hAnsi="Times New Roman" w:cs="Times New Roman"/>
          <w:sz w:val="20"/>
          <w:szCs w:val="20"/>
        </w:rPr>
      </w:pPr>
      <w:r>
        <w:rPr>
          <w:rFonts w:ascii="Times New Roman" w:hAnsi="Times New Roman" w:cs="Times New Roman"/>
          <w:sz w:val="20"/>
          <w:szCs w:val="20"/>
        </w:rPr>
        <w:t>Рисунок 2. Долевое участие каждого класса опасности, %</w:t>
      </w:r>
    </w:p>
    <w:p w:rsidR="00517711" w:rsidRDefault="00517711">
      <w:pPr>
        <w:spacing w:after="0" w:line="240" w:lineRule="auto"/>
        <w:ind w:firstLine="709"/>
        <w:jc w:val="center"/>
        <w:rPr>
          <w:rFonts w:ascii="Times New Roman" w:hAnsi="Times New Roman" w:cs="Times New Roman"/>
          <w:sz w:val="20"/>
          <w:szCs w:val="20"/>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Отходы образующиеся на предприятии при возникновение размещают в местах временного накопления отходов отвечающие требованиям статьи 13.4. требования к местам (площадкам) накопления отходов </w:t>
      </w:r>
      <w:hyperlink r:id="rId133" w:history="1">
        <w:r>
          <w:rPr>
            <w:rFonts w:ascii="Times New Roman" w:hAnsi="Times New Roman" w:cs="Times New Roman"/>
            <w:sz w:val="20"/>
            <w:szCs w:val="20"/>
          </w:rPr>
          <w:t>ФЗ от 24.06.1998 N 89-ФЗ (ред. от 31.12.2017) "Об отходах производства и потребления" (с изм. и доп., вступ. в силу с 01.01.2018)</w:t>
        </w:r>
      </w:hyperlink>
      <w:bookmarkStart w:id="16" w:name="dst535"/>
      <w:bookmarkEnd w:id="16"/>
      <w:r>
        <w:rPr>
          <w:rFonts w:ascii="Times New Roman" w:hAnsi="Times New Roman" w:cs="Times New Roman"/>
          <w:sz w:val="20"/>
          <w:szCs w:val="20"/>
        </w:rPr>
        <w:t xml:space="preserve"> [2, стр.4].</w:t>
      </w:r>
    </w:p>
    <w:p w:rsidR="00517711" w:rsidRDefault="00F815BE">
      <w:pPr>
        <w:spacing w:after="0" w:line="240" w:lineRule="auto"/>
        <w:ind w:firstLine="709"/>
        <w:jc w:val="both"/>
        <w:rPr>
          <w:rFonts w:ascii="Times New Roman" w:hAnsi="Times New Roman" w:cs="Times New Roman"/>
          <w:sz w:val="20"/>
          <w:szCs w:val="20"/>
        </w:rPr>
      </w:pPr>
      <w:bookmarkStart w:id="17" w:name="297"/>
      <w:bookmarkEnd w:id="17"/>
      <w:r>
        <w:rPr>
          <w:rFonts w:ascii="Times New Roman" w:hAnsi="Times New Roman" w:cs="Times New Roman"/>
          <w:sz w:val="20"/>
          <w:szCs w:val="20"/>
        </w:rPr>
        <w:t>При разделении отходов по местам накопления используют следующие методы хранения:</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отходы I - III классов опасности хранятся в местах, физически разделенных от мест хранения отходов IV - V классов опасности и прочих материалов (например, в закрытых контейнерах) и в закрытых, недоступных для посторонних лиц емкостях;</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отходы, подлежащие вторичному использованию и переработке отделены от остальных видов отходов (например, отработанные масла);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несовместимые виды отходов разделены физическими средствами разделения (барьерами либо свободным пространством).</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Если отход содержит компоненты, относящиеся к разным классам опасности, при выборе метода хранения исходят из более высокого класса опасности.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Вывоз отходов осуществляется:</w:t>
      </w:r>
    </w:p>
    <w:p w:rsidR="00517711" w:rsidRDefault="00F815BE">
      <w:pPr>
        <w:pStyle w:val="af4"/>
        <w:numPr>
          <w:ilvl w:val="0"/>
          <w:numId w:val="28"/>
        </w:numPr>
        <w:spacing w:after="0" w:line="240" w:lineRule="auto"/>
        <w:ind w:left="0" w:firstLine="709"/>
        <w:jc w:val="both"/>
        <w:rPr>
          <w:rFonts w:ascii="Times New Roman" w:hAnsi="Times New Roman"/>
          <w:sz w:val="20"/>
          <w:szCs w:val="20"/>
        </w:rPr>
      </w:pPr>
      <w:r>
        <w:rPr>
          <w:rFonts w:ascii="Times New Roman" w:hAnsi="Times New Roman"/>
          <w:sz w:val="20"/>
          <w:szCs w:val="20"/>
        </w:rPr>
        <w:t>ТБО - не реже 1 раза в трое суток (при температуре минус 14 С° и ниже) и ежедневно в теплое время (при температуре выше 14 С°);</w:t>
      </w:r>
    </w:p>
    <w:p w:rsidR="00517711" w:rsidRDefault="00F815BE">
      <w:pPr>
        <w:pStyle w:val="af4"/>
        <w:numPr>
          <w:ilvl w:val="0"/>
          <w:numId w:val="28"/>
        </w:numPr>
        <w:spacing w:after="0" w:line="240" w:lineRule="auto"/>
        <w:ind w:left="0" w:firstLine="709"/>
        <w:jc w:val="both"/>
        <w:rPr>
          <w:rFonts w:ascii="Times New Roman" w:hAnsi="Times New Roman"/>
          <w:sz w:val="20"/>
          <w:szCs w:val="20"/>
        </w:rPr>
      </w:pPr>
      <w:r>
        <w:rPr>
          <w:rFonts w:ascii="Times New Roman" w:hAnsi="Times New Roman"/>
          <w:sz w:val="20"/>
          <w:szCs w:val="20"/>
        </w:rPr>
        <w:t>отходы производства вывозятся по мере формирования транспортной партии;</w:t>
      </w:r>
    </w:p>
    <w:p w:rsidR="00517711" w:rsidRDefault="00F815BE">
      <w:pPr>
        <w:pStyle w:val="af4"/>
        <w:numPr>
          <w:ilvl w:val="0"/>
          <w:numId w:val="28"/>
        </w:numPr>
        <w:spacing w:after="0" w:line="240" w:lineRule="auto"/>
        <w:ind w:left="0" w:firstLine="709"/>
        <w:jc w:val="both"/>
        <w:rPr>
          <w:rFonts w:ascii="Times New Roman" w:hAnsi="Times New Roman"/>
          <w:sz w:val="20"/>
          <w:szCs w:val="20"/>
        </w:rPr>
      </w:pPr>
      <w:r>
        <w:rPr>
          <w:rFonts w:ascii="Times New Roman" w:hAnsi="Times New Roman"/>
          <w:sz w:val="20"/>
          <w:szCs w:val="20"/>
        </w:rPr>
        <w:t>отработанные люминесцентные лампы вывозятся по мере достижения лимита накопления;</w:t>
      </w:r>
    </w:p>
    <w:p w:rsidR="00517711" w:rsidRDefault="00F815BE">
      <w:pPr>
        <w:pStyle w:val="af4"/>
        <w:numPr>
          <w:ilvl w:val="0"/>
          <w:numId w:val="28"/>
        </w:numPr>
        <w:spacing w:after="0" w:line="240" w:lineRule="auto"/>
        <w:ind w:left="0" w:firstLine="709"/>
        <w:jc w:val="both"/>
        <w:rPr>
          <w:rFonts w:ascii="Times New Roman" w:hAnsi="Times New Roman"/>
          <w:sz w:val="20"/>
          <w:szCs w:val="20"/>
        </w:rPr>
      </w:pPr>
      <w:r>
        <w:rPr>
          <w:rFonts w:ascii="Times New Roman" w:hAnsi="Times New Roman"/>
          <w:sz w:val="20"/>
          <w:szCs w:val="20"/>
        </w:rPr>
        <w:lastRenderedPageBreak/>
        <w:t>отработанные масла, покрышки, аккумуляторы, отходы ЛОС вывозятся по мере накопления товарной партии (но не более установленных лимитов).</w:t>
      </w:r>
    </w:p>
    <w:p w:rsidR="00517711" w:rsidRDefault="00F815BE">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Все отходы образующиеся на АО «Восточная верфь» передаются сторонним организациям, имеющим лицензию на осуществление деятельности по сбору, использованию, обезвреживанию, размещению отходов для транспортировки, размещения, использования или обезвреживания.</w:t>
      </w:r>
    </w:p>
    <w:p w:rsidR="00517711" w:rsidRDefault="00F815BE">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Все предприятия обязаны рассчитывать и вносить в 2018 году плату за негативное воздействие на окружающую среду [3].</w:t>
      </w:r>
    </w:p>
    <w:p w:rsidR="00517711" w:rsidRDefault="00F815BE">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Предварительно нужны данные для расчета:</w:t>
      </w:r>
    </w:p>
    <w:p w:rsidR="00517711" w:rsidRDefault="00F815BE">
      <w:pPr>
        <w:pStyle w:val="af4"/>
        <w:numPr>
          <w:ilvl w:val="0"/>
          <w:numId w:val="28"/>
        </w:numPr>
        <w:spacing w:after="0" w:line="240" w:lineRule="auto"/>
        <w:ind w:left="426"/>
        <w:jc w:val="both"/>
        <w:rPr>
          <w:rFonts w:ascii="Times New Roman" w:hAnsi="Times New Roman"/>
          <w:sz w:val="20"/>
          <w:szCs w:val="20"/>
        </w:rPr>
      </w:pPr>
      <w:r>
        <w:rPr>
          <w:rFonts w:ascii="Times New Roman" w:hAnsi="Times New Roman"/>
          <w:sz w:val="20"/>
          <w:szCs w:val="20"/>
        </w:rPr>
        <w:t>количество фактических выбросов и сбросов за 2018 год - данные можно получить от инженерной службы на предприятии в форме служебной записки;</w:t>
      </w:r>
    </w:p>
    <w:p w:rsidR="00517711" w:rsidRDefault="00F815BE">
      <w:pPr>
        <w:pStyle w:val="af4"/>
        <w:numPr>
          <w:ilvl w:val="0"/>
          <w:numId w:val="28"/>
        </w:numPr>
        <w:spacing w:after="0" w:line="240" w:lineRule="auto"/>
        <w:ind w:left="426"/>
        <w:jc w:val="both"/>
        <w:rPr>
          <w:rFonts w:ascii="Times New Roman" w:hAnsi="Times New Roman"/>
          <w:sz w:val="20"/>
          <w:szCs w:val="20"/>
        </w:rPr>
      </w:pPr>
      <w:r>
        <w:rPr>
          <w:rFonts w:ascii="Times New Roman" w:hAnsi="Times New Roman"/>
          <w:sz w:val="20"/>
          <w:szCs w:val="20"/>
        </w:rPr>
        <w:t>нормативы и лимиты по каждому виду - берем из полученных в Росприроднадзоре разрешений;</w:t>
      </w:r>
    </w:p>
    <w:p w:rsidR="00517711" w:rsidRDefault="00F815BE">
      <w:pPr>
        <w:pStyle w:val="af4"/>
        <w:numPr>
          <w:ilvl w:val="0"/>
          <w:numId w:val="28"/>
        </w:numPr>
        <w:spacing w:after="0" w:line="240" w:lineRule="auto"/>
        <w:ind w:left="426"/>
        <w:jc w:val="both"/>
        <w:rPr>
          <w:rFonts w:ascii="Times New Roman" w:hAnsi="Times New Roman"/>
          <w:sz w:val="20"/>
          <w:szCs w:val="20"/>
        </w:rPr>
      </w:pPr>
      <w:r>
        <w:rPr>
          <w:rFonts w:ascii="Times New Roman" w:hAnsi="Times New Roman"/>
          <w:sz w:val="20"/>
          <w:szCs w:val="20"/>
        </w:rPr>
        <w:t>ставки платы загрязняющих веществ (постановление № 913) в рублях из расчета за 1 тонну [4].</w:t>
      </w:r>
    </w:p>
    <w:p w:rsidR="00517711" w:rsidRDefault="00F815BE">
      <w:pPr>
        <w:spacing w:after="0" w:line="240" w:lineRule="auto"/>
        <w:ind w:left="426" w:firstLine="567"/>
        <w:jc w:val="both"/>
        <w:rPr>
          <w:rFonts w:ascii="Times New Roman" w:hAnsi="Times New Roman" w:cs="Times New Roman"/>
          <w:sz w:val="20"/>
          <w:szCs w:val="20"/>
        </w:rPr>
      </w:pPr>
      <w:r>
        <w:rPr>
          <w:rFonts w:ascii="Times New Roman" w:hAnsi="Times New Roman" w:cs="Times New Roman"/>
          <w:sz w:val="20"/>
          <w:szCs w:val="20"/>
        </w:rPr>
        <w:t>Рассчитывать плату за негативное воздействие необходимо один раз в год. Ежеквартальные расчеты для квартальных авансов не нужны. Плату считают единожды и вносят 1/4 каждые три месяца.</w:t>
      </w:r>
    </w:p>
    <w:p w:rsidR="00517711" w:rsidRDefault="00F815BE">
      <w:pPr>
        <w:spacing w:after="0" w:line="240" w:lineRule="auto"/>
        <w:ind w:left="426" w:firstLine="567"/>
        <w:jc w:val="both"/>
        <w:rPr>
          <w:rFonts w:ascii="Times New Roman" w:hAnsi="Times New Roman" w:cs="Times New Roman"/>
          <w:sz w:val="20"/>
          <w:szCs w:val="20"/>
        </w:rPr>
      </w:pPr>
      <w:r>
        <w:rPr>
          <w:rFonts w:ascii="Times New Roman" w:hAnsi="Times New Roman" w:cs="Times New Roman"/>
          <w:sz w:val="20"/>
          <w:szCs w:val="20"/>
        </w:rPr>
        <w:t xml:space="preserve">Формула расчета платы за негативное воздействие на окружающую среду: </w:t>
      </w:r>
    </w:p>
    <w:p w:rsidR="00517711" w:rsidRDefault="00F815BE">
      <w:pPr>
        <w:pStyle w:val="af4"/>
        <w:numPr>
          <w:ilvl w:val="0"/>
          <w:numId w:val="28"/>
        </w:numPr>
        <w:spacing w:after="0" w:line="240" w:lineRule="auto"/>
        <w:jc w:val="both"/>
        <w:rPr>
          <w:rFonts w:ascii="Times New Roman" w:hAnsi="Times New Roman"/>
          <w:sz w:val="20"/>
          <w:szCs w:val="20"/>
        </w:rPr>
      </w:pPr>
      <w:r>
        <w:rPr>
          <w:rFonts w:ascii="Times New Roman" w:hAnsi="Times New Roman"/>
          <w:sz w:val="20"/>
          <w:szCs w:val="20"/>
        </w:rPr>
        <w:t>Плата за негативное воздействие на окружающую среду = Вес загрязняющего вещества х Ставка</w:t>
      </w:r>
    </w:p>
    <w:p w:rsidR="00517711" w:rsidRDefault="00F815BE">
      <w:pPr>
        <w:spacing w:after="0" w:line="240" w:lineRule="auto"/>
        <w:ind w:left="426" w:firstLine="567"/>
        <w:jc w:val="both"/>
        <w:rPr>
          <w:rFonts w:ascii="Times New Roman" w:hAnsi="Times New Roman" w:cs="Times New Roman"/>
          <w:sz w:val="20"/>
          <w:szCs w:val="20"/>
        </w:rPr>
      </w:pPr>
      <w:r>
        <w:rPr>
          <w:rFonts w:ascii="Times New Roman" w:hAnsi="Times New Roman" w:cs="Times New Roman"/>
          <w:sz w:val="20"/>
          <w:szCs w:val="20"/>
        </w:rPr>
        <w:t>Используя приведённые данные мы можем рассчитать плату за негативное воздействие (Таблица 1)</w:t>
      </w:r>
    </w:p>
    <w:p w:rsidR="00517711" w:rsidRDefault="00517711">
      <w:pPr>
        <w:spacing w:after="0" w:line="240" w:lineRule="auto"/>
        <w:ind w:left="426" w:firstLine="567"/>
        <w:jc w:val="right"/>
        <w:rPr>
          <w:rFonts w:ascii="Times New Roman" w:hAnsi="Times New Roman" w:cs="Times New Roman"/>
          <w:i/>
          <w:sz w:val="20"/>
          <w:szCs w:val="20"/>
        </w:rPr>
      </w:pPr>
    </w:p>
    <w:p w:rsidR="00517711" w:rsidRDefault="00F815BE">
      <w:pPr>
        <w:spacing w:after="0" w:line="240" w:lineRule="auto"/>
        <w:ind w:left="426" w:firstLine="567"/>
        <w:jc w:val="right"/>
        <w:rPr>
          <w:rFonts w:ascii="Times New Roman" w:hAnsi="Times New Roman" w:cs="Times New Roman"/>
          <w:i/>
          <w:sz w:val="20"/>
          <w:szCs w:val="20"/>
        </w:rPr>
      </w:pPr>
      <w:r>
        <w:rPr>
          <w:rFonts w:ascii="Times New Roman" w:hAnsi="Times New Roman" w:cs="Times New Roman"/>
          <w:i/>
          <w:sz w:val="20"/>
          <w:szCs w:val="20"/>
        </w:rPr>
        <w:t>Таблица 1</w:t>
      </w:r>
    </w:p>
    <w:p w:rsidR="00517711" w:rsidRDefault="00F815BE">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Рассчёт платы за негативное воздействие на АО «Восточная верфь»</w:t>
      </w:r>
    </w:p>
    <w:p w:rsidR="00517711" w:rsidRDefault="00517711">
      <w:pPr>
        <w:spacing w:after="0" w:line="240" w:lineRule="auto"/>
        <w:jc w:val="center"/>
        <w:rPr>
          <w:rFonts w:ascii="Times New Roman" w:hAnsi="Times New Roman" w:cs="Times New Roman"/>
          <w:b/>
          <w:sz w:val="20"/>
          <w:szCs w:val="20"/>
        </w:rPr>
      </w:pPr>
    </w:p>
    <w:tbl>
      <w:tblPr>
        <w:tblW w:w="9320" w:type="dxa"/>
        <w:jc w:val="right"/>
        <w:tblLook w:val="04A0" w:firstRow="1" w:lastRow="0" w:firstColumn="1" w:lastColumn="0" w:noHBand="0" w:noVBand="1"/>
      </w:tblPr>
      <w:tblGrid>
        <w:gridCol w:w="2409"/>
        <w:gridCol w:w="2127"/>
        <w:gridCol w:w="2268"/>
        <w:gridCol w:w="2516"/>
      </w:tblGrid>
      <w:tr w:rsidR="00517711">
        <w:trPr>
          <w:trHeight w:val="300"/>
          <w:jc w:val="right"/>
        </w:trPr>
        <w:tc>
          <w:tcPr>
            <w:tcW w:w="2409" w:type="dxa"/>
            <w:tcBorders>
              <w:top w:val="single" w:sz="4" w:space="0" w:color="auto"/>
              <w:left w:val="single" w:sz="4" w:space="0" w:color="auto"/>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Класс</w:t>
            </w:r>
          </w:p>
        </w:tc>
        <w:tc>
          <w:tcPr>
            <w:tcW w:w="2127" w:type="dxa"/>
            <w:tcBorders>
              <w:top w:val="single" w:sz="4" w:space="0" w:color="auto"/>
              <w:left w:val="none" w:sz="4" w:space="0" w:color="000000"/>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Ставка</w:t>
            </w:r>
          </w:p>
        </w:tc>
        <w:tc>
          <w:tcPr>
            <w:tcW w:w="2268" w:type="dxa"/>
            <w:tcBorders>
              <w:top w:val="single" w:sz="4" w:space="0" w:color="auto"/>
              <w:left w:val="none" w:sz="4" w:space="0" w:color="000000"/>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Кол-во</w:t>
            </w:r>
          </w:p>
        </w:tc>
        <w:tc>
          <w:tcPr>
            <w:tcW w:w="2516" w:type="dxa"/>
            <w:tcBorders>
              <w:top w:val="single" w:sz="4" w:space="0" w:color="auto"/>
              <w:left w:val="none" w:sz="4" w:space="0" w:color="000000"/>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Сумма</w:t>
            </w:r>
          </w:p>
        </w:tc>
      </w:tr>
      <w:tr w:rsidR="00517711">
        <w:trPr>
          <w:trHeight w:val="300"/>
          <w:jc w:val="right"/>
        </w:trPr>
        <w:tc>
          <w:tcPr>
            <w:tcW w:w="2409" w:type="dxa"/>
            <w:tcBorders>
              <w:top w:val="none" w:sz="4" w:space="0" w:color="000000"/>
              <w:left w:val="single" w:sz="4" w:space="0" w:color="auto"/>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1 класс</w:t>
            </w:r>
          </w:p>
        </w:tc>
        <w:tc>
          <w:tcPr>
            <w:tcW w:w="2127" w:type="dxa"/>
            <w:tcBorders>
              <w:top w:val="none" w:sz="4" w:space="0" w:color="000000"/>
              <w:left w:val="none" w:sz="4" w:space="0" w:color="000000"/>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4 643,7 ₽</w:t>
            </w:r>
          </w:p>
        </w:tc>
        <w:tc>
          <w:tcPr>
            <w:tcW w:w="2268" w:type="dxa"/>
            <w:tcBorders>
              <w:top w:val="none" w:sz="4" w:space="0" w:color="000000"/>
              <w:left w:val="none" w:sz="4" w:space="0" w:color="000000"/>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0,13438</w:t>
            </w:r>
          </w:p>
        </w:tc>
        <w:tc>
          <w:tcPr>
            <w:tcW w:w="2516" w:type="dxa"/>
            <w:tcBorders>
              <w:top w:val="none" w:sz="4" w:space="0" w:color="000000"/>
              <w:left w:val="none" w:sz="4" w:space="0" w:color="000000"/>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624,02р.</w:t>
            </w:r>
          </w:p>
        </w:tc>
      </w:tr>
      <w:tr w:rsidR="00517711">
        <w:trPr>
          <w:trHeight w:val="300"/>
          <w:jc w:val="right"/>
        </w:trPr>
        <w:tc>
          <w:tcPr>
            <w:tcW w:w="2409" w:type="dxa"/>
            <w:tcBorders>
              <w:top w:val="none" w:sz="4" w:space="0" w:color="000000"/>
              <w:left w:val="single" w:sz="4" w:space="0" w:color="auto"/>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2 класс</w:t>
            </w:r>
          </w:p>
        </w:tc>
        <w:tc>
          <w:tcPr>
            <w:tcW w:w="2127" w:type="dxa"/>
            <w:tcBorders>
              <w:top w:val="none" w:sz="4" w:space="0" w:color="000000"/>
              <w:left w:val="none" w:sz="4" w:space="0" w:color="000000"/>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1 990,2 ₽</w:t>
            </w:r>
          </w:p>
        </w:tc>
        <w:tc>
          <w:tcPr>
            <w:tcW w:w="2268" w:type="dxa"/>
            <w:tcBorders>
              <w:top w:val="none" w:sz="4" w:space="0" w:color="000000"/>
              <w:left w:val="none" w:sz="4" w:space="0" w:color="000000"/>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0,102</w:t>
            </w:r>
          </w:p>
        </w:tc>
        <w:tc>
          <w:tcPr>
            <w:tcW w:w="2516" w:type="dxa"/>
            <w:tcBorders>
              <w:top w:val="none" w:sz="4" w:space="0" w:color="000000"/>
              <w:left w:val="none" w:sz="4" w:space="0" w:color="000000"/>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203,00р.</w:t>
            </w:r>
          </w:p>
        </w:tc>
      </w:tr>
      <w:tr w:rsidR="00517711">
        <w:trPr>
          <w:trHeight w:val="300"/>
          <w:jc w:val="right"/>
        </w:trPr>
        <w:tc>
          <w:tcPr>
            <w:tcW w:w="2409" w:type="dxa"/>
            <w:tcBorders>
              <w:top w:val="none" w:sz="4" w:space="0" w:color="000000"/>
              <w:left w:val="single" w:sz="4" w:space="0" w:color="auto"/>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3 класс</w:t>
            </w:r>
          </w:p>
        </w:tc>
        <w:tc>
          <w:tcPr>
            <w:tcW w:w="2127" w:type="dxa"/>
            <w:tcBorders>
              <w:top w:val="none" w:sz="4" w:space="0" w:color="000000"/>
              <w:left w:val="none" w:sz="4" w:space="0" w:color="000000"/>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1 272,3 ₽</w:t>
            </w:r>
          </w:p>
        </w:tc>
        <w:tc>
          <w:tcPr>
            <w:tcW w:w="2268" w:type="dxa"/>
            <w:tcBorders>
              <w:top w:val="none" w:sz="4" w:space="0" w:color="000000"/>
              <w:left w:val="none" w:sz="4" w:space="0" w:color="000000"/>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3,73</w:t>
            </w:r>
          </w:p>
        </w:tc>
        <w:tc>
          <w:tcPr>
            <w:tcW w:w="2516" w:type="dxa"/>
            <w:tcBorders>
              <w:top w:val="none" w:sz="4" w:space="0" w:color="000000"/>
              <w:left w:val="none" w:sz="4" w:space="0" w:color="000000"/>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4 745,68р.</w:t>
            </w:r>
          </w:p>
        </w:tc>
      </w:tr>
      <w:tr w:rsidR="00517711">
        <w:trPr>
          <w:trHeight w:val="300"/>
          <w:jc w:val="right"/>
        </w:trPr>
        <w:tc>
          <w:tcPr>
            <w:tcW w:w="2409" w:type="dxa"/>
            <w:tcBorders>
              <w:top w:val="none" w:sz="4" w:space="0" w:color="000000"/>
              <w:left w:val="single" w:sz="4" w:space="0" w:color="auto"/>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4 класс</w:t>
            </w:r>
          </w:p>
        </w:tc>
        <w:tc>
          <w:tcPr>
            <w:tcW w:w="2127" w:type="dxa"/>
            <w:tcBorders>
              <w:top w:val="none" w:sz="4" w:space="0" w:color="000000"/>
              <w:left w:val="none" w:sz="4" w:space="0" w:color="000000"/>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635,9 ₽</w:t>
            </w:r>
          </w:p>
        </w:tc>
        <w:tc>
          <w:tcPr>
            <w:tcW w:w="2268" w:type="dxa"/>
            <w:tcBorders>
              <w:top w:val="none" w:sz="4" w:space="0" w:color="000000"/>
              <w:left w:val="none" w:sz="4" w:space="0" w:color="000000"/>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606,266</w:t>
            </w:r>
          </w:p>
        </w:tc>
        <w:tc>
          <w:tcPr>
            <w:tcW w:w="2516" w:type="dxa"/>
            <w:tcBorders>
              <w:top w:val="none" w:sz="4" w:space="0" w:color="000000"/>
              <w:left w:val="none" w:sz="4" w:space="0" w:color="000000"/>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385 524,55р.</w:t>
            </w:r>
          </w:p>
        </w:tc>
      </w:tr>
      <w:tr w:rsidR="00517711">
        <w:trPr>
          <w:trHeight w:val="300"/>
          <w:jc w:val="right"/>
        </w:trPr>
        <w:tc>
          <w:tcPr>
            <w:tcW w:w="2409" w:type="dxa"/>
            <w:tcBorders>
              <w:top w:val="none" w:sz="4" w:space="0" w:color="000000"/>
              <w:left w:val="single" w:sz="4" w:space="0" w:color="auto"/>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5 класс</w:t>
            </w:r>
          </w:p>
        </w:tc>
        <w:tc>
          <w:tcPr>
            <w:tcW w:w="2127" w:type="dxa"/>
            <w:tcBorders>
              <w:top w:val="none" w:sz="4" w:space="0" w:color="000000"/>
              <w:left w:val="none" w:sz="4" w:space="0" w:color="000000"/>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17,3 ₽</w:t>
            </w:r>
          </w:p>
        </w:tc>
        <w:tc>
          <w:tcPr>
            <w:tcW w:w="2268" w:type="dxa"/>
            <w:tcBorders>
              <w:top w:val="none" w:sz="4" w:space="0" w:color="000000"/>
              <w:left w:val="none" w:sz="4" w:space="0" w:color="000000"/>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723,755</w:t>
            </w:r>
          </w:p>
        </w:tc>
        <w:tc>
          <w:tcPr>
            <w:tcW w:w="2516" w:type="dxa"/>
            <w:tcBorders>
              <w:top w:val="none" w:sz="4" w:space="0" w:color="000000"/>
              <w:left w:val="none" w:sz="4" w:space="0" w:color="000000"/>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12 520,96р.</w:t>
            </w:r>
          </w:p>
        </w:tc>
      </w:tr>
    </w:tbl>
    <w:p w:rsidR="00517711" w:rsidRDefault="00517711">
      <w:pPr>
        <w:pBdr>
          <w:bottom w:val="single" w:sz="6" w:space="1" w:color="auto"/>
        </w:pBdr>
        <w:spacing w:after="0" w:line="240" w:lineRule="auto"/>
        <w:ind w:firstLine="709"/>
        <w:jc w:val="both"/>
        <w:rPr>
          <w:rFonts w:ascii="Times New Roman" w:hAnsi="Times New Roman" w:cs="Times New Roman"/>
          <w:sz w:val="20"/>
          <w:szCs w:val="20"/>
        </w:rPr>
      </w:pPr>
    </w:p>
    <w:p w:rsidR="00517711" w:rsidRDefault="00F815BE">
      <w:pPr>
        <w:pBdr>
          <w:bottom w:val="single" w:sz="6" w:space="1" w:color="auto"/>
        </w:pBd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Концепция формирования системы управления отходами должна учитывать разработку комплекса связанных в одно целое организационно-административных, правовых, нормативно-методических, инженерных и экономических средств по обращению с отходами, ведение мониторинга отходов, реализацию перспективных научных исследований, нацеленных равно как на увеличение технологического уровня переработки отходов, так и на формирование и введение малоотходных технологий.</w:t>
      </w:r>
    </w:p>
    <w:p w:rsidR="00517711" w:rsidRDefault="00517711">
      <w:pPr>
        <w:pBdr>
          <w:bottom w:val="single" w:sz="6" w:space="1" w:color="auto"/>
        </w:pBdr>
        <w:spacing w:after="0" w:line="240" w:lineRule="auto"/>
        <w:ind w:firstLine="709"/>
        <w:jc w:val="both"/>
        <w:rPr>
          <w:rFonts w:ascii="Times New Roman" w:hAnsi="Times New Roman" w:cs="Times New Roman"/>
          <w:sz w:val="20"/>
          <w:szCs w:val="20"/>
        </w:rPr>
      </w:pPr>
    </w:p>
    <w:p w:rsidR="00517711" w:rsidRDefault="00F815BE">
      <w:pPr>
        <w:pStyle w:val="af4"/>
        <w:numPr>
          <w:ilvl w:val="0"/>
          <w:numId w:val="21"/>
        </w:numPr>
        <w:spacing w:after="0" w:line="240" w:lineRule="auto"/>
        <w:ind w:left="0" w:firstLine="709"/>
        <w:jc w:val="both"/>
        <w:rPr>
          <w:rFonts w:ascii="Times New Roman" w:hAnsi="Times New Roman"/>
          <w:sz w:val="20"/>
          <w:szCs w:val="20"/>
        </w:rPr>
      </w:pPr>
      <w:r>
        <w:rPr>
          <w:rFonts w:ascii="Times New Roman" w:hAnsi="Times New Roman"/>
          <w:sz w:val="20"/>
          <w:szCs w:val="20"/>
        </w:rPr>
        <w:t>СанПиН 2.1.7.1322-03 Гигиенические требования к размещению и обезвреживанию отходов производства и потребления [Электронный ресурс]. – Режим доступа: http://docs.cntd.ru/document/901862232</w:t>
      </w:r>
    </w:p>
    <w:p w:rsidR="00517711" w:rsidRDefault="00F815BE">
      <w:pPr>
        <w:pStyle w:val="af4"/>
        <w:numPr>
          <w:ilvl w:val="0"/>
          <w:numId w:val="21"/>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Федеральный закон "Об отходах производства и потребления" от 24.06.1998 N 89-ФЗ (последняя редакция) [Электронный ресурс]. – Режим доступа: </w:t>
      </w:r>
      <w:hyperlink r:id="rId134" w:history="1">
        <w:r>
          <w:rPr>
            <w:rFonts w:ascii="Times New Roman" w:hAnsi="Times New Roman"/>
            <w:sz w:val="20"/>
            <w:szCs w:val="20"/>
          </w:rPr>
          <w:t>http://www.consultant.ru/document/cons_doc_LAW_19109/</w:t>
        </w:r>
      </w:hyperlink>
    </w:p>
    <w:p w:rsidR="00517711" w:rsidRDefault="00F815BE">
      <w:pPr>
        <w:pStyle w:val="af4"/>
        <w:numPr>
          <w:ilvl w:val="0"/>
          <w:numId w:val="21"/>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Плата за негативное воздействие на окружающую среду в 2018 году [Электронный ресурс]. – Режим доступа: </w:t>
      </w:r>
      <w:hyperlink r:id="rId135" w:history="1">
        <w:r>
          <w:rPr>
            <w:rFonts w:ascii="Times New Roman" w:hAnsi="Times New Roman"/>
            <w:sz w:val="20"/>
            <w:szCs w:val="20"/>
          </w:rPr>
          <w:t>https://www.gazeta-unp.ru/articles/51806-plata-za-negativnoe-vozdeystvie-na-okrujayushchuyu-sredu-v-2018-godu</w:t>
        </w:r>
      </w:hyperlink>
    </w:p>
    <w:p w:rsidR="00517711" w:rsidRDefault="00F815BE">
      <w:pPr>
        <w:pStyle w:val="af4"/>
        <w:numPr>
          <w:ilvl w:val="0"/>
          <w:numId w:val="21"/>
        </w:numPr>
        <w:spacing w:after="0" w:line="240" w:lineRule="auto"/>
        <w:ind w:left="0" w:firstLine="709"/>
        <w:jc w:val="both"/>
        <w:rPr>
          <w:rFonts w:ascii="Times New Roman" w:hAnsi="Times New Roman"/>
          <w:sz w:val="20"/>
          <w:szCs w:val="20"/>
        </w:rPr>
      </w:pPr>
      <w:r>
        <w:rPr>
          <w:rFonts w:ascii="Times New Roman" w:hAnsi="Times New Roman"/>
          <w:sz w:val="20"/>
          <w:szCs w:val="20"/>
        </w:rPr>
        <w:t>Постановление Правительства РФ от 13.09.2016 N 913 (ред. от 09.12.2017) "О ставках платы за негативное воздействие на окружающую среду и дополнительных коэффициентах" [Электронный ресурс]. – Режим доступа: http://legalacts.ru/doc/postanovlenie-pravitelstva-rf-ot-13092016-n-913/</w:t>
      </w:r>
    </w:p>
    <w:p w:rsidR="00517711" w:rsidRDefault="00517711">
      <w:pPr>
        <w:pStyle w:val="af4"/>
        <w:spacing w:after="0" w:line="240" w:lineRule="auto"/>
        <w:ind w:left="1069"/>
        <w:jc w:val="both"/>
        <w:rPr>
          <w:rFonts w:ascii="Times New Roman" w:hAnsi="Times New Roman"/>
          <w:sz w:val="24"/>
          <w:szCs w:val="24"/>
        </w:rPr>
      </w:pPr>
    </w:p>
    <w:p w:rsidR="00517711" w:rsidRDefault="00F815BE">
      <w:pPr>
        <w:spacing w:before="80" w:line="240" w:lineRule="auto"/>
        <w:rPr>
          <w:rFonts w:ascii="Times New Roman" w:hAnsi="Times New Roman"/>
          <w:b/>
          <w:sz w:val="20"/>
          <w:szCs w:val="24"/>
        </w:rPr>
      </w:pPr>
      <w:r>
        <w:rPr>
          <w:rFonts w:ascii="Times New Roman" w:hAnsi="Times New Roman"/>
          <w:b/>
          <w:sz w:val="20"/>
          <w:szCs w:val="24"/>
        </w:rPr>
        <w:t>Рубрика: Экология (по отраслям)</w:t>
      </w:r>
    </w:p>
    <w:p w:rsidR="00517711" w:rsidRDefault="00F815BE">
      <w:pPr>
        <w:spacing w:before="120" w:line="240" w:lineRule="auto"/>
        <w:rPr>
          <w:rFonts w:ascii="Times New Roman" w:hAnsi="Times New Roman"/>
          <w:sz w:val="20"/>
          <w:szCs w:val="24"/>
        </w:rPr>
      </w:pPr>
      <w:r>
        <w:rPr>
          <w:rFonts w:ascii="Times New Roman" w:hAnsi="Times New Roman"/>
          <w:sz w:val="20"/>
          <w:szCs w:val="24"/>
        </w:rPr>
        <w:t>УДК 502.4</w:t>
      </w:r>
    </w:p>
    <w:p w:rsidR="00517711" w:rsidRDefault="00F815BE">
      <w:pPr>
        <w:spacing w:before="120" w:after="120" w:line="240" w:lineRule="auto"/>
        <w:jc w:val="center"/>
        <w:rPr>
          <w:rFonts w:ascii="Book Antiqua" w:hAnsi="Book Antiqua"/>
          <w:b/>
          <w:sz w:val="26"/>
          <w:szCs w:val="26"/>
        </w:rPr>
      </w:pPr>
      <w:r>
        <w:rPr>
          <w:rFonts w:ascii="Book Antiqua" w:hAnsi="Book Antiqua"/>
          <w:b/>
          <w:sz w:val="26"/>
          <w:szCs w:val="26"/>
        </w:rPr>
        <w:t>РЕКРЕАЦИОННАЯ НАГРУЗКА НА НАЦИОНАЛЬНЫЙ ПАРК «ЗЕМЛЯ ЛЕОПАРДА»</w:t>
      </w:r>
    </w:p>
    <w:p w:rsidR="00517711" w:rsidRDefault="00517711">
      <w:pPr>
        <w:spacing w:after="0" w:line="240" w:lineRule="auto"/>
        <w:jc w:val="center"/>
        <w:rPr>
          <w:rFonts w:ascii="Times New Roman" w:hAnsi="Times New Roman"/>
          <w:sz w:val="24"/>
          <w:szCs w:val="24"/>
        </w:rPr>
      </w:pPr>
    </w:p>
    <w:p w:rsidR="00517711" w:rsidRDefault="00F815BE">
      <w:pPr>
        <w:spacing w:after="0" w:line="240" w:lineRule="auto"/>
        <w:jc w:val="center"/>
        <w:rPr>
          <w:rFonts w:ascii="Arial" w:hAnsi="Arial" w:cs="Arial"/>
          <w:b/>
          <w:sz w:val="24"/>
          <w:szCs w:val="24"/>
        </w:rPr>
      </w:pPr>
      <w:r>
        <w:rPr>
          <w:rFonts w:ascii="Arial" w:hAnsi="Arial" w:cs="Arial"/>
          <w:b/>
          <w:sz w:val="24"/>
          <w:szCs w:val="24"/>
        </w:rPr>
        <w:t xml:space="preserve">Кравец Полина Александровна, </w:t>
      </w:r>
    </w:p>
    <w:p w:rsidR="00517711" w:rsidRDefault="00F815BE">
      <w:pPr>
        <w:spacing w:after="0" w:line="240" w:lineRule="auto"/>
        <w:jc w:val="center"/>
        <w:rPr>
          <w:rFonts w:ascii="Arial" w:hAnsi="Arial" w:cs="Arial"/>
          <w:sz w:val="24"/>
          <w:szCs w:val="24"/>
        </w:rPr>
      </w:pPr>
      <w:r>
        <w:rPr>
          <w:rFonts w:ascii="Arial" w:hAnsi="Arial" w:cs="Arial"/>
          <w:sz w:val="24"/>
          <w:szCs w:val="24"/>
        </w:rPr>
        <w:t xml:space="preserve">бакалавр </w:t>
      </w:r>
    </w:p>
    <w:p w:rsidR="00517711" w:rsidRDefault="00517711">
      <w:pPr>
        <w:spacing w:before="120" w:after="120" w:line="240" w:lineRule="auto"/>
        <w:jc w:val="center"/>
        <w:rPr>
          <w:rFonts w:ascii="Times New Roman" w:hAnsi="Times New Roman"/>
          <w:i/>
          <w:sz w:val="24"/>
          <w:szCs w:val="24"/>
        </w:rPr>
      </w:pPr>
    </w:p>
    <w:p w:rsidR="00517711" w:rsidRDefault="00F815BE">
      <w:pPr>
        <w:spacing w:after="0" w:line="240" w:lineRule="auto"/>
        <w:jc w:val="center"/>
        <w:rPr>
          <w:rFonts w:ascii="Times New Roman" w:hAnsi="Times New Roman"/>
          <w:i/>
          <w:szCs w:val="24"/>
        </w:rPr>
      </w:pPr>
      <w:r>
        <w:rPr>
          <w:rFonts w:ascii="Times New Roman" w:hAnsi="Times New Roman"/>
          <w:i/>
          <w:szCs w:val="24"/>
        </w:rPr>
        <w:lastRenderedPageBreak/>
        <w:t>Владивостокский государственный университет экономики и сервиса</w:t>
      </w:r>
    </w:p>
    <w:p w:rsidR="00517711" w:rsidRDefault="00F815BE">
      <w:pPr>
        <w:spacing w:after="0" w:line="240" w:lineRule="auto"/>
        <w:jc w:val="center"/>
        <w:rPr>
          <w:rFonts w:ascii="Times New Roman" w:hAnsi="Times New Roman"/>
          <w:i/>
          <w:szCs w:val="24"/>
        </w:rPr>
      </w:pPr>
      <w:r>
        <w:rPr>
          <w:rFonts w:ascii="Times New Roman" w:hAnsi="Times New Roman"/>
          <w:i/>
          <w:szCs w:val="24"/>
        </w:rPr>
        <w:t>Россия. Владивосток</w:t>
      </w:r>
    </w:p>
    <w:p w:rsidR="00517711" w:rsidRDefault="00517711">
      <w:pPr>
        <w:spacing w:before="120" w:after="120" w:line="240" w:lineRule="auto"/>
        <w:jc w:val="center"/>
        <w:rPr>
          <w:rFonts w:ascii="Times New Roman" w:hAnsi="Times New Roman"/>
          <w:sz w:val="24"/>
          <w:szCs w:val="24"/>
        </w:rPr>
      </w:pPr>
    </w:p>
    <w:p w:rsidR="00517711" w:rsidRDefault="00F815BE">
      <w:pPr>
        <w:spacing w:after="0" w:line="240" w:lineRule="auto"/>
        <w:jc w:val="center"/>
        <w:rPr>
          <w:rFonts w:ascii="Times New Roman" w:hAnsi="Times New Roman"/>
          <w:sz w:val="20"/>
          <w:szCs w:val="24"/>
        </w:rPr>
      </w:pPr>
      <w:r>
        <w:rPr>
          <w:rFonts w:ascii="Times New Roman" w:hAnsi="Times New Roman"/>
          <w:sz w:val="20"/>
          <w:szCs w:val="24"/>
          <w:lang w:val="en-US"/>
        </w:rPr>
        <w:t>E</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 xml:space="preserve">: </w:t>
      </w:r>
      <w:r>
        <w:rPr>
          <w:rFonts w:ascii="Times New Roman" w:hAnsi="Times New Roman"/>
          <w:sz w:val="20"/>
          <w:szCs w:val="24"/>
          <w:lang w:val="en-US"/>
        </w:rPr>
        <w:t>polinka</w:t>
      </w:r>
      <w:r>
        <w:rPr>
          <w:rFonts w:ascii="Times New Roman" w:hAnsi="Times New Roman"/>
          <w:sz w:val="20"/>
          <w:szCs w:val="24"/>
        </w:rPr>
        <w:t>_3_1996@</w:t>
      </w:r>
      <w:r>
        <w:rPr>
          <w:rFonts w:ascii="Times New Roman" w:hAnsi="Times New Roman"/>
          <w:sz w:val="20"/>
          <w:szCs w:val="24"/>
          <w:lang w:val="en-US"/>
        </w:rPr>
        <w:t>mail</w:t>
      </w:r>
      <w:r>
        <w:rPr>
          <w:rFonts w:ascii="Times New Roman" w:hAnsi="Times New Roman"/>
          <w:sz w:val="20"/>
          <w:szCs w:val="24"/>
        </w:rPr>
        <w:t>.</w:t>
      </w:r>
      <w:r>
        <w:rPr>
          <w:rFonts w:ascii="Times New Roman" w:hAnsi="Times New Roman"/>
          <w:sz w:val="20"/>
          <w:szCs w:val="24"/>
          <w:lang w:val="en-US"/>
        </w:rPr>
        <w:t>ru</w:t>
      </w:r>
      <w:r>
        <w:rPr>
          <w:rFonts w:ascii="Times New Roman" w:hAnsi="Times New Roman"/>
          <w:sz w:val="20"/>
          <w:szCs w:val="24"/>
        </w:rPr>
        <w:t>; тел.: +798414500380</w:t>
      </w:r>
    </w:p>
    <w:p w:rsidR="00517711" w:rsidRDefault="00F815BE">
      <w:pPr>
        <w:spacing w:after="0" w:line="240" w:lineRule="auto"/>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517711">
      <w:pPr>
        <w:pStyle w:val="3"/>
        <w:keepNext w:val="0"/>
        <w:keepLines w:val="0"/>
        <w:shd w:val="clear" w:color="auto" w:fill="FFFFFF"/>
        <w:spacing w:before="120" w:after="120" w:line="240" w:lineRule="auto"/>
        <w:ind w:firstLine="709"/>
        <w:jc w:val="both"/>
        <w:rPr>
          <w:rFonts w:ascii="Times New Roman" w:eastAsia="Times New Roman" w:hAnsi="Times New Roman" w:cs="Times New Roman"/>
          <w:b w:val="0"/>
          <w:bCs w:val="0"/>
          <w:color w:val="auto"/>
          <w:spacing w:val="2"/>
          <w:sz w:val="24"/>
          <w:szCs w:val="24"/>
        </w:rPr>
      </w:pP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i/>
          <w:color w:val="auto"/>
          <w:spacing w:val="2"/>
          <w:szCs w:val="24"/>
        </w:rPr>
      </w:pPr>
      <w:r>
        <w:rPr>
          <w:rFonts w:ascii="Times New Roman" w:eastAsia="Times New Roman" w:hAnsi="Times New Roman" w:cs="Times New Roman"/>
          <w:b w:val="0"/>
          <w:bCs w:val="0"/>
          <w:i/>
          <w:color w:val="auto"/>
          <w:spacing w:val="2"/>
          <w:szCs w:val="24"/>
        </w:rPr>
        <w:t>Национальный парк «Земля леопарда» является одной из наиболее перспективных территорий для развития экологического туризма. Несмотря на все имеющиеся предпосылки к его развитию, этот процесс находится на стадии становления. В работе рассматриваются некоторые причины, ограничивающие развитие экотуризма, среди которых выделяются: отсутствие четкой стратегии развития экологического туризма и отсутствие взаимодействия между заинтересованными сторонами.</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i/>
          <w:color w:val="auto"/>
          <w:spacing w:val="2"/>
          <w:szCs w:val="24"/>
        </w:rPr>
      </w:pPr>
      <w:r>
        <w:rPr>
          <w:rFonts w:ascii="Times New Roman" w:eastAsia="Times New Roman" w:hAnsi="Times New Roman" w:cs="Times New Roman"/>
          <w:bCs w:val="0"/>
          <w:i/>
          <w:color w:val="auto"/>
          <w:spacing w:val="2"/>
          <w:szCs w:val="24"/>
        </w:rPr>
        <w:t>Ключевые слова:</w:t>
      </w:r>
      <w:r>
        <w:rPr>
          <w:rFonts w:ascii="Times New Roman" w:eastAsia="Times New Roman" w:hAnsi="Times New Roman" w:cs="Times New Roman"/>
          <w:b w:val="0"/>
          <w:bCs w:val="0"/>
          <w:i/>
          <w:color w:val="auto"/>
          <w:spacing w:val="2"/>
          <w:szCs w:val="24"/>
        </w:rPr>
        <w:t xml:space="preserve"> экологический туризм, посещаемость, национальный парк, рекреационная нагрузка, Приморский край, ООПТ.</w:t>
      </w:r>
    </w:p>
    <w:p w:rsidR="00517711" w:rsidRDefault="00517711">
      <w:pPr>
        <w:pStyle w:val="3"/>
        <w:keepNext w:val="0"/>
        <w:keepLines w:val="0"/>
        <w:shd w:val="clear" w:color="auto" w:fill="FFFFFF"/>
        <w:spacing w:before="120" w:after="120" w:line="240" w:lineRule="auto"/>
        <w:ind w:firstLine="709"/>
        <w:jc w:val="center"/>
        <w:rPr>
          <w:rFonts w:ascii="Book Antiqua" w:eastAsia="Times New Roman" w:hAnsi="Book Antiqua" w:cs="Times New Roman"/>
          <w:bCs w:val="0"/>
          <w:color w:val="auto"/>
          <w:spacing w:val="2"/>
          <w:sz w:val="26"/>
          <w:szCs w:val="26"/>
        </w:rPr>
      </w:pPr>
    </w:p>
    <w:p w:rsidR="00517711" w:rsidRDefault="00F815BE">
      <w:pPr>
        <w:pStyle w:val="3"/>
        <w:keepNext w:val="0"/>
        <w:keepLines w:val="0"/>
        <w:shd w:val="clear" w:color="auto" w:fill="FFFFFF"/>
        <w:spacing w:before="120" w:after="120" w:line="240" w:lineRule="auto"/>
        <w:ind w:firstLine="709"/>
        <w:jc w:val="center"/>
        <w:rPr>
          <w:rFonts w:ascii="Book Antiqua" w:eastAsia="Times New Roman" w:hAnsi="Book Antiqua" w:cs="Times New Roman"/>
          <w:bCs w:val="0"/>
          <w:color w:val="auto"/>
          <w:spacing w:val="2"/>
          <w:sz w:val="26"/>
          <w:szCs w:val="26"/>
          <w:lang w:val="en-US"/>
        </w:rPr>
      </w:pPr>
      <w:r>
        <w:rPr>
          <w:rFonts w:ascii="Book Antiqua" w:eastAsia="Times New Roman" w:hAnsi="Book Antiqua" w:cs="Times New Roman"/>
          <w:bCs w:val="0"/>
          <w:color w:val="auto"/>
          <w:spacing w:val="2"/>
          <w:sz w:val="26"/>
          <w:szCs w:val="26"/>
          <w:lang w:val="en-US"/>
        </w:rPr>
        <w:t>RECREATIONAL LOAD ON THE NATIONAL PARK "LAND OF THE LEOPARD".</w:t>
      </w:r>
    </w:p>
    <w:p w:rsidR="00517711" w:rsidRDefault="00517711">
      <w:pPr>
        <w:rPr>
          <w:lang w:val="en-US" w:eastAsia="ru-RU"/>
        </w:rPr>
      </w:pP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i/>
          <w:color w:val="auto"/>
          <w:spacing w:val="2"/>
          <w:szCs w:val="24"/>
          <w:lang w:val="en-US"/>
        </w:rPr>
      </w:pPr>
      <w:r>
        <w:rPr>
          <w:rFonts w:ascii="Times New Roman" w:eastAsia="Times New Roman" w:hAnsi="Times New Roman" w:cs="Times New Roman"/>
          <w:b w:val="0"/>
          <w:bCs w:val="0"/>
          <w:i/>
          <w:color w:val="auto"/>
          <w:spacing w:val="2"/>
          <w:szCs w:val="24"/>
          <w:lang w:val="en-US"/>
        </w:rPr>
        <w:t>The National Park "Leopard Land" is one of the most promising areas for the development of ecological tourism. Despite all the prerequisites for its development, this process is in the making. The paper discusses some of the reasons that limit the development of ecotourism, among which are: lack of a clear strategy for the development of ecological tourism and lack of interaction between stakeholders.</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i/>
          <w:color w:val="auto"/>
          <w:spacing w:val="2"/>
          <w:szCs w:val="24"/>
          <w:lang w:val="en-US"/>
        </w:rPr>
      </w:pPr>
      <w:r>
        <w:rPr>
          <w:rFonts w:ascii="Times New Roman" w:eastAsia="Times New Roman" w:hAnsi="Times New Roman" w:cs="Times New Roman"/>
          <w:bCs w:val="0"/>
          <w:i/>
          <w:color w:val="auto"/>
          <w:spacing w:val="2"/>
          <w:szCs w:val="24"/>
          <w:lang w:val="en-US"/>
        </w:rPr>
        <w:t>Keywords:</w:t>
      </w:r>
      <w:r>
        <w:rPr>
          <w:rFonts w:ascii="Times New Roman" w:eastAsia="Times New Roman" w:hAnsi="Times New Roman" w:cs="Times New Roman"/>
          <w:b w:val="0"/>
          <w:bCs w:val="0"/>
          <w:i/>
          <w:color w:val="auto"/>
          <w:spacing w:val="2"/>
          <w:szCs w:val="24"/>
          <w:lang w:val="en-US"/>
        </w:rPr>
        <w:t xml:space="preserve"> ecological tourism, attendance, national park, recreational load, Primorsky Krai, PAs.</w:t>
      </w:r>
    </w:p>
    <w:p w:rsidR="00517711" w:rsidRDefault="00517711">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auto"/>
          <w:spacing w:val="2"/>
          <w:sz w:val="24"/>
          <w:szCs w:val="24"/>
          <w:lang w:val="en-US"/>
        </w:rPr>
      </w:pP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5 апреля 2012 г. создан Национальный парк «Земля леопарда» с целью сохранения и восстановления численности единственной в мире дикой популяции дальневосточного леопарда (т.о. государственный природный заказник «Леопардовый» был реорганизован в национальный парк «Земля леопарда»).</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 xml:space="preserve">Национальный парк расположен на территории Хасанского и Надеждинского муниципальных районов, Уссурийского городского округа Приморского края и Фрунзенского района города Владивостока [1,стр. 4]. </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 xml:space="preserve">Площадь – 261868,84 гектара </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На территории национального парка установлен дифференцированный режим особой охраны с учетом природных, историко-культурных и иных особенностей, согласно которому выделено 5 зон:</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Заповедная зона предназначена для сохранения природной среды в естественном состоянии (введён пропускной режим). Поэтому в ее границах допускаются  научно-исследовательская деятельность, проведение природоохранных мероприятий, а осуществление любой хозяйственной деятельности запрещается.</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Особо охраняемая зона предназначена для сохранения природной среды в естественном состоянии. В ее границах обеспечено взаимодействие сотрудников национального парка и пограничных служб.</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Рекреационная зона предназначена для осуществления рекреационной деятельности, развитие физической культуры и спорта, а также размещения объектов туристской индустрии, музеев и информационных центров.</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Зона хозяйственного назначения допускает как деятельность, направленную на обеспечение функционирования национального парка, так и жизнедеятельность граждан, проживающих в границах его территории.</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Охранная зона создана без изъятия земельных участков у владельцев и пользователей. Но ее режим накладывает ограничения на ведение охотничьего хозяйства и создает наиболее благоприятные условия для обитания леопарда.</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Работу национального парка обеспечивают несколько его административных отделов отделов:</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Отдел охраны территории обеспечивает патрулирование территории, выполняет работу по выявлению и тушению пожаров, осуществляет борьбу с браконьерством. На территории постоянно работают пять оперативные группы.</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Научный отдел осуществляет изучение и контроль популяций животных находящихся на территории, проводит полевые работы, участвует на международных конференциях позволяющие внедрять новые методы и технологии по изучению животных.</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lastRenderedPageBreak/>
        <w:t>Отдел экологического просвещения и туризма занимается проведением культурно-массовых мероприятий, а так же популяризацией национального парка.</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 xml:space="preserve">Экологическое просвещение - </w:t>
      </w:r>
      <w:hyperlink r:id="rId136" w:history="1">
        <w:r>
          <w:rPr>
            <w:rFonts w:ascii="Times New Roman" w:eastAsia="Times New Roman" w:hAnsi="Times New Roman" w:cs="Times New Roman"/>
            <w:b w:val="0"/>
            <w:bCs w:val="0"/>
            <w:color w:val="000000" w:themeColor="text1"/>
            <w:spacing w:val="2"/>
            <w:sz w:val="20"/>
            <w:szCs w:val="20"/>
          </w:rPr>
          <w:t>распространение экологических знаний</w:t>
        </w:r>
      </w:hyperlink>
      <w:r>
        <w:rPr>
          <w:rFonts w:ascii="Times New Roman" w:eastAsia="Times New Roman" w:hAnsi="Times New Roman" w:cs="Times New Roman"/>
          <w:b w:val="0"/>
          <w:bCs w:val="0"/>
          <w:color w:val="000000" w:themeColor="text1"/>
          <w:spacing w:val="2"/>
          <w:sz w:val="20"/>
          <w:szCs w:val="20"/>
        </w:rPr>
        <w:t xml:space="preserve"> об экологической безопасности, информации о состоянии окружающей среды и об использовании природных ресурсов; осуществляется в целях формирования экологической культуры в обществе, воспитания бережного отношения к природе, рационального использования природных ресурсов, в том числе информирование населения о законодательстве в области охраны окружающей среды и законодательстве в области экологической безопасности, осуществляется органами государственной власти РФ, органами государственной власти субъектов РФ, органами местного самоуправления, общественными объединениями, средствами массовой информации, а также образовательными учреждениями, учреждениями культуры, музеями, библиотеками, природоохранными учреждениями, организациями спорта и туризма и др.</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В настоящее время процесс создания и деятельность национальных парков строго определена нормативно-правовыми актами. Данные акты направлены на сохранение редчайших видов животных с сохранением их ареала обитания. Так же в нормативно правовых актах оговорён процесс проведения экологического просвещения населения с минимальным воздействием на жизнедеятельность обитателей национального парка.</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Деятельность национального парка «Земля леопарда» регламентируется рядом нормативно-правовых актов, а именно:</w:t>
      </w:r>
    </w:p>
    <w:p w:rsidR="00517711" w:rsidRDefault="00F815BE">
      <w:pPr>
        <w:pStyle w:val="3"/>
        <w:keepNext w:val="0"/>
        <w:keepLines w:val="0"/>
        <w:numPr>
          <w:ilvl w:val="0"/>
          <w:numId w:val="29"/>
        </w:numPr>
        <w:shd w:val="clear" w:color="auto" w:fill="FFFFFF"/>
        <w:spacing w:before="0" w:line="240" w:lineRule="auto"/>
        <w:ind w:left="0"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Федеральный закон «Об особо охраняемых природных территориях» от 14.03.1995 N 33-ФЗ (ред. от 28.12.2016) [2,стр. 4];</w:t>
      </w:r>
    </w:p>
    <w:p w:rsidR="00517711" w:rsidRDefault="00F815BE">
      <w:pPr>
        <w:pStyle w:val="3"/>
        <w:keepNext w:val="0"/>
        <w:keepLines w:val="0"/>
        <w:numPr>
          <w:ilvl w:val="0"/>
          <w:numId w:val="29"/>
        </w:numPr>
        <w:shd w:val="clear" w:color="auto" w:fill="FFFFFF"/>
        <w:spacing w:before="0" w:line="240" w:lineRule="auto"/>
        <w:ind w:left="0"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ГОСТ Р 56642-2015 Туристские услуги. Экологический туризм. Общие требования [3,стр. 4];</w:t>
      </w:r>
    </w:p>
    <w:p w:rsidR="00517711" w:rsidRDefault="00F815BE">
      <w:pPr>
        <w:pStyle w:val="3"/>
        <w:keepNext w:val="0"/>
        <w:keepLines w:val="0"/>
        <w:numPr>
          <w:ilvl w:val="0"/>
          <w:numId w:val="29"/>
        </w:numPr>
        <w:shd w:val="clear" w:color="auto" w:fill="FFFFFF"/>
        <w:spacing w:before="0" w:line="240" w:lineRule="auto"/>
        <w:ind w:left="0" w:firstLine="709"/>
        <w:jc w:val="both"/>
        <w:rPr>
          <w:rFonts w:ascii="Times New Roman" w:hAnsi="Times New Roman" w:cs="Times New Roman"/>
          <w:b w:val="0"/>
          <w:bCs w:val="0"/>
          <w:color w:val="000000"/>
          <w:spacing w:val="2"/>
          <w:sz w:val="20"/>
          <w:szCs w:val="20"/>
        </w:rPr>
      </w:pPr>
      <w:r>
        <w:rPr>
          <w:rFonts w:ascii="Times New Roman" w:hAnsi="Times New Roman" w:cs="Times New Roman"/>
          <w:b w:val="0"/>
          <w:bCs w:val="0"/>
          <w:color w:val="000000" w:themeColor="text1"/>
          <w:spacing w:val="2"/>
          <w:sz w:val="20"/>
          <w:szCs w:val="20"/>
        </w:rPr>
        <w:t>Постановление от 10 августа 1993 года N 769 положение о национальных природных парках Российской Федерации (с изменениями на 1 ноября 2012 года) [4,стр. 4].</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Согласно статье 13 ФЗ «Об особо охраняемых природных территориях» от 14.03.1995 №33 – ФЗ на национальный парк «Земля леопарда» возлагаются следующие основные задачи:</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а) сохранение природных комплексов, уникальных и эталонных природных участков и объектов;</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б) сохранение историко-культурных объектов;</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в) экологическое просвещение населения;</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г) создание условий для регулируемого туризма и отдыха;</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д) разработка и внедрение научных методов охраны природы и экологического просвещения;</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е) осуществление государственного экологического мониторинга (государственного мониторинга окружающей среды);</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ж) восстановление нарушенных природных и историко-культурных комплексов и объектов.</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Строгость и соблюдение данных законов остаётся без сомнений так как, деятельность данной ООПТ постоянно курируется, и в случае несоблюдения вышеперечисленных нормативно-правовых актов нарушитель несёт не только материальную, но и уголовную ответственность.</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Особо охраняемые природные территории (ООПТ) — участки земли, водной поверхности и воздушного пространства над ними, где располагаются природные комплексы и объекты, которые имеют особое природоохранное, научное, культурное, эстетическое, рекреационное и оздоровительное значение, которые изъяты решениями органов государственной власти полностью или частично из хозяйственного использования и для которых установлен режим особой охраны.</w:t>
      </w:r>
    </w:p>
    <w:p w:rsidR="00517711" w:rsidRDefault="00F815BE">
      <w:pPr>
        <w:spacing w:after="0" w:line="240" w:lineRule="auto"/>
        <w:ind w:firstLine="709"/>
        <w:jc w:val="both"/>
        <w:rPr>
          <w:rFonts w:ascii="Times New Roman" w:hAnsi="Times New Roman" w:cs="Times New Roman"/>
          <w:color w:val="000000"/>
          <w:spacing w:val="2"/>
          <w:sz w:val="20"/>
          <w:szCs w:val="20"/>
        </w:rPr>
      </w:pPr>
      <w:r>
        <w:rPr>
          <w:rFonts w:ascii="Times New Roman" w:hAnsi="Times New Roman" w:cs="Times New Roman"/>
          <w:color w:val="000000" w:themeColor="text1"/>
          <w:spacing w:val="2"/>
          <w:sz w:val="20"/>
          <w:szCs w:val="20"/>
        </w:rPr>
        <w:t>Уровень экологического просвещения в России, а в частности в Приморском крае, заметно вырос за последние годы. Это обуславливается тем, что любовь к природе и правила поведения формируются у населения ещё в школьном возрасте благодаря экологическим экскурсиям и внеклассным занятиям. Данный факт положительно сказывается на посещаемости национального парка «Земля леопарда». На рисунке 1 приведены данные о посещаемости данной ООПТ за последние 5 лет.</w:t>
      </w:r>
    </w:p>
    <w:p w:rsidR="00517711" w:rsidRDefault="00F815BE">
      <w:pPr>
        <w:spacing w:after="0" w:line="240" w:lineRule="auto"/>
        <w:ind w:firstLine="709"/>
        <w:jc w:val="center"/>
        <w:rPr>
          <w:rFonts w:ascii="Times New Roman" w:hAnsi="Times New Roman" w:cs="Times New Roman"/>
          <w:color w:val="000000"/>
          <w:spacing w:val="2"/>
          <w:sz w:val="20"/>
          <w:szCs w:val="20"/>
        </w:rPr>
      </w:pPr>
      <w:r>
        <w:rPr>
          <w:rFonts w:ascii="Times New Roman" w:hAnsi="Times New Roman" w:cs="Times New Roman"/>
          <w:noProof/>
          <w:color w:val="000000" w:themeColor="text1"/>
          <w:spacing w:val="2"/>
          <w:sz w:val="20"/>
          <w:szCs w:val="20"/>
          <w:lang w:eastAsia="ru-RU"/>
        </w:rPr>
        <w:lastRenderedPageBreak/>
        <w:drawing>
          <wp:inline distT="0" distB="0" distL="0" distR="0">
            <wp:extent cx="4581523" cy="2819398"/>
            <wp:effectExtent l="0" t="0" r="9523" b="19048"/>
            <wp:docPr id="91" name="Диаграмма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7"/>
              </a:graphicData>
            </a:graphic>
          </wp:inline>
        </w:drawing>
      </w:r>
    </w:p>
    <w:p w:rsidR="00517711" w:rsidRDefault="00F815BE">
      <w:pPr>
        <w:spacing w:line="240" w:lineRule="auto"/>
        <w:ind w:firstLine="709"/>
        <w:jc w:val="center"/>
        <w:rPr>
          <w:rFonts w:ascii="Times New Roman" w:hAnsi="Times New Roman" w:cs="Times New Roman"/>
          <w:color w:val="000000"/>
          <w:spacing w:val="2"/>
          <w:sz w:val="20"/>
          <w:szCs w:val="20"/>
        </w:rPr>
      </w:pPr>
      <w:r>
        <w:rPr>
          <w:rFonts w:ascii="Times New Roman" w:hAnsi="Times New Roman" w:cs="Times New Roman"/>
          <w:color w:val="000000" w:themeColor="text1"/>
          <w:spacing w:val="2"/>
          <w:sz w:val="20"/>
          <w:szCs w:val="20"/>
        </w:rPr>
        <w:t>Рис.1. Динамика посещаемости национального парка</w:t>
      </w:r>
    </w:p>
    <w:p w:rsidR="00517711" w:rsidRDefault="00F815BE">
      <w:pPr>
        <w:spacing w:after="0" w:line="240" w:lineRule="auto"/>
        <w:ind w:firstLine="709"/>
        <w:jc w:val="both"/>
        <w:rPr>
          <w:rFonts w:ascii="Times New Roman" w:hAnsi="Times New Roman" w:cs="Times New Roman"/>
          <w:color w:val="000000"/>
          <w:spacing w:val="2"/>
          <w:sz w:val="20"/>
          <w:szCs w:val="20"/>
        </w:rPr>
      </w:pPr>
      <w:r>
        <w:rPr>
          <w:rFonts w:ascii="Times New Roman" w:hAnsi="Times New Roman" w:cs="Times New Roman"/>
          <w:color w:val="000000" w:themeColor="text1"/>
          <w:spacing w:val="2"/>
          <w:sz w:val="20"/>
          <w:szCs w:val="20"/>
        </w:rPr>
        <w:t>Такая динамика обуславливается рядом факторов, таких как:</w:t>
      </w:r>
    </w:p>
    <w:p w:rsidR="00517711" w:rsidRDefault="00F815BE">
      <w:pPr>
        <w:pStyle w:val="af4"/>
        <w:numPr>
          <w:ilvl w:val="0"/>
          <w:numId w:val="30"/>
        </w:numPr>
        <w:spacing w:after="0" w:line="240" w:lineRule="auto"/>
        <w:jc w:val="both"/>
        <w:rPr>
          <w:rFonts w:ascii="Times New Roman" w:hAnsi="Times New Roman"/>
          <w:color w:val="000000"/>
          <w:spacing w:val="2"/>
          <w:sz w:val="20"/>
          <w:szCs w:val="20"/>
        </w:rPr>
      </w:pPr>
      <w:r>
        <w:rPr>
          <w:rFonts w:ascii="Times New Roman" w:hAnsi="Times New Roman"/>
          <w:color w:val="000000" w:themeColor="text1"/>
          <w:spacing w:val="2"/>
          <w:sz w:val="20"/>
          <w:szCs w:val="20"/>
        </w:rPr>
        <w:t>Повышение уровня экологического просвещения населения;</w:t>
      </w:r>
    </w:p>
    <w:p w:rsidR="00517711" w:rsidRDefault="00F815BE">
      <w:pPr>
        <w:pStyle w:val="af4"/>
        <w:numPr>
          <w:ilvl w:val="0"/>
          <w:numId w:val="30"/>
        </w:numPr>
        <w:spacing w:after="0" w:line="240" w:lineRule="auto"/>
        <w:jc w:val="both"/>
        <w:rPr>
          <w:rFonts w:ascii="Times New Roman" w:hAnsi="Times New Roman"/>
          <w:color w:val="000000"/>
          <w:spacing w:val="2"/>
          <w:sz w:val="20"/>
          <w:szCs w:val="20"/>
        </w:rPr>
      </w:pPr>
      <w:r>
        <w:rPr>
          <w:rFonts w:ascii="Times New Roman" w:hAnsi="Times New Roman"/>
          <w:color w:val="000000" w:themeColor="text1"/>
          <w:spacing w:val="2"/>
          <w:sz w:val="20"/>
          <w:szCs w:val="20"/>
        </w:rPr>
        <w:t>Рекламная деятельность национального парка;</w:t>
      </w:r>
    </w:p>
    <w:p w:rsidR="00517711" w:rsidRDefault="00F815BE">
      <w:pPr>
        <w:pStyle w:val="af4"/>
        <w:numPr>
          <w:ilvl w:val="0"/>
          <w:numId w:val="30"/>
        </w:numPr>
        <w:spacing w:after="0" w:line="240" w:lineRule="auto"/>
        <w:jc w:val="both"/>
        <w:rPr>
          <w:rFonts w:ascii="Times New Roman" w:hAnsi="Times New Roman"/>
          <w:color w:val="000000"/>
          <w:spacing w:val="2"/>
          <w:sz w:val="20"/>
          <w:szCs w:val="20"/>
        </w:rPr>
      </w:pPr>
      <w:r>
        <w:rPr>
          <w:rFonts w:ascii="Times New Roman" w:hAnsi="Times New Roman"/>
          <w:color w:val="000000" w:themeColor="text1"/>
          <w:spacing w:val="2"/>
          <w:sz w:val="20"/>
          <w:szCs w:val="20"/>
        </w:rPr>
        <w:t>Увеличение притока туристов в Приморский край;</w:t>
      </w:r>
    </w:p>
    <w:p w:rsidR="00517711" w:rsidRDefault="00F815BE">
      <w:pPr>
        <w:pStyle w:val="af4"/>
        <w:numPr>
          <w:ilvl w:val="0"/>
          <w:numId w:val="30"/>
        </w:numPr>
        <w:spacing w:after="0" w:line="240" w:lineRule="auto"/>
        <w:jc w:val="both"/>
        <w:rPr>
          <w:rFonts w:ascii="Times New Roman" w:hAnsi="Times New Roman"/>
          <w:color w:val="000000"/>
          <w:spacing w:val="2"/>
          <w:sz w:val="20"/>
          <w:szCs w:val="20"/>
        </w:rPr>
      </w:pPr>
      <w:r>
        <w:rPr>
          <w:rFonts w:ascii="Times New Roman" w:hAnsi="Times New Roman"/>
          <w:color w:val="000000" w:themeColor="text1"/>
          <w:spacing w:val="2"/>
          <w:sz w:val="20"/>
          <w:szCs w:val="20"/>
        </w:rPr>
        <w:t>Увеличение субсидий на обустройство национального парка;</w:t>
      </w:r>
    </w:p>
    <w:p w:rsidR="00517711" w:rsidRDefault="00F815BE">
      <w:pPr>
        <w:pStyle w:val="af4"/>
        <w:numPr>
          <w:ilvl w:val="0"/>
          <w:numId w:val="30"/>
        </w:numPr>
        <w:spacing w:after="0" w:line="240" w:lineRule="auto"/>
        <w:jc w:val="both"/>
        <w:rPr>
          <w:rFonts w:ascii="Times New Roman" w:hAnsi="Times New Roman"/>
          <w:color w:val="000000"/>
          <w:spacing w:val="2"/>
          <w:sz w:val="20"/>
          <w:szCs w:val="20"/>
        </w:rPr>
      </w:pPr>
      <w:r>
        <w:rPr>
          <w:rFonts w:ascii="Times New Roman" w:hAnsi="Times New Roman"/>
          <w:color w:val="000000" w:themeColor="text1"/>
          <w:spacing w:val="2"/>
          <w:sz w:val="20"/>
          <w:szCs w:val="20"/>
        </w:rPr>
        <w:t>Объявление 2017 года, годом экологии.</w:t>
      </w:r>
    </w:p>
    <w:p w:rsidR="00517711" w:rsidRDefault="00F815BE">
      <w:pPr>
        <w:spacing w:after="0" w:line="240" w:lineRule="auto"/>
        <w:ind w:firstLine="709"/>
        <w:jc w:val="both"/>
        <w:rPr>
          <w:rFonts w:ascii="Times New Roman" w:hAnsi="Times New Roman" w:cs="Times New Roman"/>
          <w:color w:val="000000"/>
          <w:spacing w:val="2"/>
          <w:sz w:val="20"/>
          <w:szCs w:val="20"/>
        </w:rPr>
      </w:pPr>
      <w:r>
        <w:rPr>
          <w:rFonts w:ascii="Times New Roman" w:hAnsi="Times New Roman" w:cs="Times New Roman"/>
          <w:color w:val="000000" w:themeColor="text1"/>
          <w:spacing w:val="2"/>
          <w:sz w:val="20"/>
          <w:szCs w:val="20"/>
        </w:rPr>
        <w:t>Предварительный прогноз на 2018 не может не радовать, ожидается повышение посещаемости, несмотря на периодические кратковременные приостановки деятельности в связи с более частым техническим обслуживанием (из-за повышения притока туристов). На популярность национального парка так же положительно сказывается строительство музейного центра на территории национального парка.</w:t>
      </w:r>
    </w:p>
    <w:p w:rsidR="00517711" w:rsidRDefault="00F815BE">
      <w:pPr>
        <w:pBdr>
          <w:bottom w:val="single" w:sz="12" w:space="1" w:color="auto"/>
        </w:pBdr>
        <w:spacing w:after="0" w:line="240" w:lineRule="auto"/>
        <w:ind w:firstLine="709"/>
        <w:jc w:val="both"/>
        <w:rPr>
          <w:rFonts w:ascii="Times New Roman" w:hAnsi="Times New Roman" w:cs="Times New Roman"/>
          <w:color w:val="000000"/>
          <w:spacing w:val="2"/>
          <w:sz w:val="20"/>
          <w:szCs w:val="20"/>
        </w:rPr>
      </w:pPr>
      <w:r>
        <w:rPr>
          <w:rFonts w:ascii="Times New Roman" w:hAnsi="Times New Roman" w:cs="Times New Roman"/>
          <w:color w:val="000000" w:themeColor="text1"/>
          <w:spacing w:val="2"/>
          <w:sz w:val="20"/>
          <w:szCs w:val="20"/>
        </w:rPr>
        <w:t>В 2017 году национальный парк посетило 1,473 тыс.человек среди которых не только граждане России, но и зарубежные гости. В действительности, в связи с отсутствием четко определенных методик учета посетителей, а также с объективными трудностями подсчета неорганизованных туристов, особенно с учётом того, что территория, имеет много подъездных путей, доступные данные не позволяют достоверно оценить реальное количество посетителей национального парка, как это делается в ряде зарубежных стран. Предположительно, в действительности реальное количество посетителей, а, следовательно, и рекреационная нагрузка на природный комплекс национального парка в несколько раз больше данных, получаемых по ежегодным отчетам.</w:t>
      </w:r>
    </w:p>
    <w:p w:rsidR="00517711" w:rsidRDefault="00F815BE">
      <w:pPr>
        <w:pStyle w:val="af4"/>
        <w:numPr>
          <w:ilvl w:val="0"/>
          <w:numId w:val="31"/>
        </w:numPr>
        <w:spacing w:after="0" w:line="240" w:lineRule="auto"/>
        <w:ind w:left="0" w:firstLine="709"/>
        <w:jc w:val="both"/>
        <w:rPr>
          <w:rFonts w:ascii="Times New Roman" w:hAnsi="Times New Roman"/>
          <w:color w:val="000000"/>
          <w:spacing w:val="2"/>
          <w:sz w:val="20"/>
          <w:szCs w:val="20"/>
        </w:rPr>
      </w:pPr>
      <w:r>
        <w:rPr>
          <w:rFonts w:ascii="Times New Roman" w:hAnsi="Times New Roman"/>
          <w:color w:val="000000" w:themeColor="text1"/>
          <w:spacing w:val="2"/>
          <w:sz w:val="20"/>
          <w:szCs w:val="20"/>
        </w:rPr>
        <w:t xml:space="preserve">В Приморском крае появился национальный парк «Земля леопарда» </w:t>
      </w:r>
      <w:r>
        <w:rPr>
          <w:rFonts w:ascii="Times New Roman" w:hAnsi="Times New Roman"/>
          <w:color w:val="000000" w:themeColor="text1"/>
          <w:sz w:val="20"/>
          <w:szCs w:val="20"/>
        </w:rPr>
        <w:t xml:space="preserve">[Электронный ресурс]. – Режим доступа: </w:t>
      </w:r>
      <w:r>
        <w:rPr>
          <w:rFonts w:ascii="Times New Roman" w:hAnsi="Times New Roman"/>
          <w:color w:val="000000" w:themeColor="text1"/>
          <w:spacing w:val="2"/>
          <w:sz w:val="20"/>
          <w:szCs w:val="20"/>
        </w:rPr>
        <w:t>http://ecoreporter.ru/node/714.</w:t>
      </w:r>
    </w:p>
    <w:p w:rsidR="00517711" w:rsidRDefault="00F815BE">
      <w:pPr>
        <w:pStyle w:val="af4"/>
        <w:numPr>
          <w:ilvl w:val="0"/>
          <w:numId w:val="31"/>
        </w:numPr>
        <w:spacing w:after="0" w:line="240" w:lineRule="auto"/>
        <w:ind w:left="0" w:firstLine="709"/>
        <w:jc w:val="both"/>
        <w:rPr>
          <w:rFonts w:ascii="Times New Roman" w:hAnsi="Times New Roman"/>
          <w:color w:val="000000"/>
          <w:spacing w:val="2"/>
          <w:sz w:val="20"/>
          <w:szCs w:val="20"/>
        </w:rPr>
      </w:pPr>
      <w:r>
        <w:rPr>
          <w:rFonts w:ascii="Times New Roman" w:hAnsi="Times New Roman"/>
          <w:color w:val="000000" w:themeColor="text1"/>
          <w:spacing w:val="2"/>
          <w:sz w:val="20"/>
          <w:szCs w:val="20"/>
        </w:rPr>
        <w:t xml:space="preserve">Федеральный закон «Об особо охраняемых природных территориях» от 14.03.1995 N 33-ФЗ ст. 13 (ред. от 28.12.2016) [Электронный ресурс]. – Режим доступа: </w:t>
      </w:r>
      <w:hyperlink r:id="rId138" w:history="1">
        <w:r>
          <w:rPr>
            <w:rStyle w:val="aa"/>
            <w:rFonts w:ascii="Times New Roman" w:hAnsi="Times New Roman"/>
            <w:color w:val="000000" w:themeColor="text1"/>
            <w:spacing w:val="2"/>
            <w:sz w:val="20"/>
            <w:szCs w:val="20"/>
          </w:rPr>
          <w:t>http://fzrf.su/zakon/ob-osobo-ohranyaemyh-prirodnyh-territoriyah-33-fz/st-13.php</w:t>
        </w:r>
      </w:hyperlink>
      <w:r>
        <w:rPr>
          <w:rFonts w:ascii="Times New Roman" w:hAnsi="Times New Roman"/>
          <w:color w:val="000000" w:themeColor="text1"/>
          <w:spacing w:val="2"/>
          <w:sz w:val="20"/>
          <w:szCs w:val="20"/>
        </w:rPr>
        <w:t>.</w:t>
      </w:r>
    </w:p>
    <w:p w:rsidR="00517711" w:rsidRDefault="00F815BE">
      <w:pPr>
        <w:pStyle w:val="af4"/>
        <w:numPr>
          <w:ilvl w:val="0"/>
          <w:numId w:val="31"/>
        </w:numPr>
        <w:spacing w:after="0" w:line="240" w:lineRule="auto"/>
        <w:ind w:left="0" w:firstLine="709"/>
        <w:jc w:val="both"/>
        <w:rPr>
          <w:rFonts w:ascii="Times New Roman" w:hAnsi="Times New Roman"/>
          <w:bCs/>
          <w:color w:val="000000"/>
          <w:spacing w:val="2"/>
          <w:sz w:val="20"/>
          <w:szCs w:val="20"/>
        </w:rPr>
      </w:pPr>
      <w:r>
        <w:rPr>
          <w:rFonts w:ascii="Times New Roman" w:hAnsi="Times New Roman"/>
          <w:bCs/>
          <w:color w:val="000000" w:themeColor="text1"/>
          <w:spacing w:val="2"/>
          <w:sz w:val="20"/>
          <w:szCs w:val="20"/>
        </w:rPr>
        <w:t xml:space="preserve">ГОСТ Р 56642-2015 Туристские услуги. Экологический туризм. Общие требования </w:t>
      </w:r>
      <w:r>
        <w:rPr>
          <w:rFonts w:ascii="Times New Roman" w:hAnsi="Times New Roman"/>
          <w:color w:val="000000" w:themeColor="text1"/>
          <w:spacing w:val="2"/>
          <w:sz w:val="20"/>
          <w:szCs w:val="20"/>
        </w:rPr>
        <w:t xml:space="preserve">[Электронный ресурс]. – Режим доступа: </w:t>
      </w:r>
      <w:hyperlink r:id="rId139" w:history="1">
        <w:r>
          <w:rPr>
            <w:rStyle w:val="aa"/>
            <w:rFonts w:ascii="Times New Roman" w:hAnsi="Times New Roman"/>
            <w:bCs/>
            <w:color w:val="000000" w:themeColor="text1"/>
            <w:spacing w:val="2"/>
            <w:sz w:val="20"/>
            <w:szCs w:val="20"/>
          </w:rPr>
          <w:t>http://docs.cntd.ru/document/1200124943</w:t>
        </w:r>
      </w:hyperlink>
    </w:p>
    <w:p w:rsidR="00517711" w:rsidRDefault="00F815BE">
      <w:pPr>
        <w:pStyle w:val="af4"/>
        <w:numPr>
          <w:ilvl w:val="0"/>
          <w:numId w:val="31"/>
        </w:numPr>
        <w:spacing w:after="0" w:line="240" w:lineRule="auto"/>
        <w:ind w:left="0" w:firstLine="709"/>
        <w:jc w:val="both"/>
        <w:rPr>
          <w:rFonts w:ascii="Times New Roman" w:hAnsi="Times New Roman"/>
          <w:bCs/>
          <w:color w:val="000000"/>
          <w:spacing w:val="2"/>
          <w:sz w:val="20"/>
          <w:szCs w:val="20"/>
        </w:rPr>
      </w:pPr>
      <w:r>
        <w:rPr>
          <w:rFonts w:ascii="Times New Roman" w:hAnsi="Times New Roman"/>
          <w:color w:val="000000" w:themeColor="text1"/>
          <w:spacing w:val="2"/>
          <w:sz w:val="20"/>
          <w:szCs w:val="20"/>
        </w:rPr>
        <w:t>Об утверждении Положения о национальных природных парках Российской Федерации (с изменениями на 1 ноября 2012 года)</w:t>
      </w:r>
      <w:r>
        <w:rPr>
          <w:rFonts w:ascii="Times New Roman" w:hAnsi="Times New Roman"/>
          <w:bCs/>
          <w:color w:val="000000" w:themeColor="text1"/>
          <w:spacing w:val="2"/>
          <w:sz w:val="20"/>
          <w:szCs w:val="20"/>
        </w:rPr>
        <w:t xml:space="preserve"> </w:t>
      </w:r>
      <w:r>
        <w:rPr>
          <w:rFonts w:ascii="Times New Roman" w:hAnsi="Times New Roman"/>
          <w:color w:val="000000" w:themeColor="text1"/>
          <w:spacing w:val="2"/>
          <w:sz w:val="20"/>
          <w:szCs w:val="20"/>
        </w:rPr>
        <w:t>[Электронный ресурс]. – Режим доступа: http://docs.cntd.ru/document/9020230</w:t>
      </w:r>
    </w:p>
    <w:p w:rsidR="00517711" w:rsidRDefault="00517711"/>
    <w:p w:rsidR="00517711" w:rsidRDefault="00F815BE">
      <w:pPr>
        <w:spacing w:line="240" w:lineRule="auto"/>
        <w:rPr>
          <w:b/>
          <w:sz w:val="18"/>
        </w:rPr>
      </w:pPr>
      <w:r>
        <w:rPr>
          <w:rFonts w:ascii="Times New Roman" w:hAnsi="Times New Roman"/>
          <w:b/>
          <w:sz w:val="20"/>
          <w:szCs w:val="24"/>
        </w:rPr>
        <w:t>Рубрика:</w:t>
      </w:r>
      <w:r>
        <w:rPr>
          <w:b/>
          <w:sz w:val="18"/>
        </w:rPr>
        <w:t xml:space="preserve"> </w:t>
      </w:r>
      <w:r>
        <w:rPr>
          <w:rFonts w:ascii="Times New Roman" w:hAnsi="Times New Roman"/>
          <w:b/>
          <w:sz w:val="20"/>
        </w:rPr>
        <w:t xml:space="preserve">Загрязнение атмосферного воздуха  </w:t>
      </w:r>
    </w:p>
    <w:p w:rsidR="00517711" w:rsidRDefault="00F815BE">
      <w:pPr>
        <w:spacing w:line="240" w:lineRule="auto"/>
        <w:rPr>
          <w:sz w:val="18"/>
          <w:szCs w:val="24"/>
        </w:rPr>
      </w:pPr>
      <w:r>
        <w:rPr>
          <w:rFonts w:ascii="Times New Roman" w:hAnsi="Times New Roman"/>
          <w:sz w:val="20"/>
          <w:szCs w:val="24"/>
        </w:rPr>
        <w:t>УДК 504.3.054</w:t>
      </w:r>
    </w:p>
    <w:p w:rsidR="00517711" w:rsidRDefault="00F815BE">
      <w:pPr>
        <w:spacing w:line="240" w:lineRule="auto"/>
        <w:jc w:val="center"/>
        <w:rPr>
          <w:rFonts w:ascii="Book Antiqua" w:hAnsi="Book Antiqua"/>
          <w:sz w:val="26"/>
          <w:szCs w:val="26"/>
        </w:rPr>
      </w:pPr>
      <w:r>
        <w:rPr>
          <w:rFonts w:ascii="Book Antiqua" w:hAnsi="Book Antiqua"/>
          <w:b/>
          <w:sz w:val="26"/>
          <w:szCs w:val="26"/>
        </w:rPr>
        <w:t>ГОСУДАРСТВЕННЫЙ УЧЕТ ВРЕДНЫХ ВОЗДЕЙСТВИЙ НА АТМОСФЕРНЫЙ ВОЗДУХ</w:t>
      </w:r>
      <w:r>
        <w:rPr>
          <w:rFonts w:ascii="Times New Roman" w:hAnsi="Times New Roman"/>
          <w:b/>
          <w:sz w:val="24"/>
          <w:szCs w:val="24"/>
        </w:rPr>
        <w:t xml:space="preserve"> </w:t>
      </w:r>
    </w:p>
    <w:p w:rsidR="00517711" w:rsidRDefault="00F815BE">
      <w:pPr>
        <w:spacing w:after="0" w:line="240" w:lineRule="auto"/>
        <w:jc w:val="center"/>
        <w:rPr>
          <w:rFonts w:ascii="Arial" w:hAnsi="Arial" w:cs="Arial"/>
          <w:b/>
          <w:szCs w:val="24"/>
        </w:rPr>
      </w:pPr>
      <w:r>
        <w:rPr>
          <w:rFonts w:ascii="Arial" w:hAnsi="Arial" w:cs="Arial"/>
          <w:b/>
          <w:sz w:val="24"/>
          <w:szCs w:val="24"/>
        </w:rPr>
        <w:t>Пидяш Виктория Викторовна</w:t>
      </w:r>
    </w:p>
    <w:p w:rsidR="00517711" w:rsidRDefault="00F815BE">
      <w:pPr>
        <w:spacing w:after="0" w:line="240" w:lineRule="auto"/>
        <w:jc w:val="center"/>
        <w:rPr>
          <w:rFonts w:ascii="Arial" w:hAnsi="Arial" w:cs="Arial"/>
          <w:szCs w:val="24"/>
        </w:rPr>
      </w:pPr>
      <w:r>
        <w:rPr>
          <w:rFonts w:ascii="Arial" w:hAnsi="Arial" w:cs="Arial"/>
          <w:sz w:val="24"/>
          <w:szCs w:val="24"/>
        </w:rPr>
        <w:t>кафедра туризма и экологии,</w:t>
      </w:r>
    </w:p>
    <w:p w:rsidR="00517711" w:rsidRDefault="00F815BE">
      <w:pPr>
        <w:spacing w:line="240" w:lineRule="auto"/>
        <w:jc w:val="center"/>
        <w:rPr>
          <w:rFonts w:ascii="Times New Roman" w:hAnsi="Times New Roman" w:cs="Times New Roman"/>
          <w:sz w:val="20"/>
          <w:szCs w:val="20"/>
          <w:lang w:val="en-US"/>
        </w:rPr>
      </w:pPr>
      <w:r>
        <w:rPr>
          <w:rFonts w:ascii="Times New Roman" w:hAnsi="Times New Roman" w:cs="Times New Roman"/>
          <w:color w:val="000000"/>
          <w:sz w:val="20"/>
          <w:szCs w:val="20"/>
          <w:lang w:val="en-US"/>
        </w:rPr>
        <w:t xml:space="preserve">E-mail: </w:t>
      </w:r>
      <w:hyperlink r:id="rId140" w:history="1">
        <w:r>
          <w:rPr>
            <w:rStyle w:val="aa"/>
            <w:rFonts w:ascii="Times New Roman" w:hAnsi="Times New Roman" w:cs="Times New Roman"/>
            <w:color w:val="00000A"/>
            <w:sz w:val="20"/>
            <w:szCs w:val="20"/>
            <w:lang w:val="en-US"/>
          </w:rPr>
          <w:t>vika8994@gmai.com</w:t>
        </w:r>
      </w:hyperlink>
      <w:r>
        <w:rPr>
          <w:rFonts w:ascii="Times New Roman" w:hAnsi="Times New Roman" w:cs="Times New Roman"/>
          <w:sz w:val="20"/>
          <w:szCs w:val="20"/>
          <w:lang w:val="en-US"/>
        </w:rPr>
        <w:t xml:space="preserve">; </w:t>
      </w:r>
      <w:r>
        <w:rPr>
          <w:rFonts w:ascii="Times New Roman" w:hAnsi="Times New Roman" w:cs="Times New Roman"/>
          <w:sz w:val="20"/>
          <w:szCs w:val="20"/>
        </w:rPr>
        <w:t>тел</w:t>
      </w:r>
      <w:r>
        <w:rPr>
          <w:rFonts w:ascii="Times New Roman" w:hAnsi="Times New Roman" w:cs="Times New Roman"/>
          <w:sz w:val="20"/>
          <w:szCs w:val="20"/>
          <w:lang w:val="en-US"/>
        </w:rPr>
        <w:t>.: 89644516558</w:t>
      </w:r>
    </w:p>
    <w:p w:rsidR="00517711" w:rsidRDefault="00517711">
      <w:pPr>
        <w:spacing w:line="240" w:lineRule="auto"/>
        <w:jc w:val="center"/>
        <w:rPr>
          <w:rFonts w:ascii="Times New Roman" w:hAnsi="Times New Roman" w:cs="Times New Roman"/>
          <w:sz w:val="20"/>
          <w:szCs w:val="20"/>
          <w:lang w:val="en-US"/>
        </w:rPr>
      </w:pPr>
    </w:p>
    <w:p w:rsidR="00517711" w:rsidRDefault="00F815BE">
      <w:pPr>
        <w:spacing w:after="0" w:line="240" w:lineRule="auto"/>
        <w:jc w:val="center"/>
        <w:rPr>
          <w:rFonts w:ascii="Arial" w:hAnsi="Arial" w:cs="Arial"/>
          <w:b/>
          <w:szCs w:val="24"/>
        </w:rPr>
      </w:pPr>
      <w:r>
        <w:rPr>
          <w:rFonts w:ascii="Arial" w:hAnsi="Arial" w:cs="Arial"/>
          <w:b/>
          <w:sz w:val="24"/>
          <w:szCs w:val="24"/>
        </w:rPr>
        <w:t>Якименко Людмила Владимировна</w:t>
      </w:r>
    </w:p>
    <w:p w:rsidR="00517711" w:rsidRDefault="00F815BE">
      <w:pPr>
        <w:spacing w:after="0" w:line="240" w:lineRule="auto"/>
        <w:ind w:firstLine="709"/>
        <w:jc w:val="center"/>
        <w:rPr>
          <w:rFonts w:ascii="Arial" w:hAnsi="Arial" w:cs="Arial"/>
          <w:szCs w:val="24"/>
        </w:rPr>
      </w:pPr>
      <w:r>
        <w:rPr>
          <w:rFonts w:ascii="Arial" w:hAnsi="Arial" w:cs="Arial"/>
          <w:sz w:val="24"/>
          <w:szCs w:val="24"/>
        </w:rPr>
        <w:t xml:space="preserve">Научный руководитель, профессор кафедры туризма и экологии, </w:t>
      </w:r>
    </w:p>
    <w:p w:rsidR="00517711" w:rsidRDefault="00517711">
      <w:pPr>
        <w:spacing w:after="0" w:line="240" w:lineRule="auto"/>
        <w:ind w:firstLine="709"/>
        <w:jc w:val="center"/>
        <w:rPr>
          <w:rFonts w:ascii="Times New Roman" w:hAnsi="Times New Roman"/>
          <w:sz w:val="20"/>
          <w:szCs w:val="24"/>
        </w:rPr>
      </w:pPr>
    </w:p>
    <w:p w:rsidR="00517711" w:rsidRDefault="00F815BE">
      <w:pPr>
        <w:spacing w:after="0" w:line="240" w:lineRule="auto"/>
        <w:ind w:firstLine="709"/>
        <w:jc w:val="center"/>
        <w:rPr>
          <w:sz w:val="18"/>
          <w:szCs w:val="24"/>
        </w:rPr>
      </w:pPr>
      <w:r>
        <w:rPr>
          <w:rFonts w:ascii="Times New Roman" w:hAnsi="Times New Roman"/>
          <w:sz w:val="20"/>
          <w:szCs w:val="24"/>
          <w:lang w:val="en-US"/>
        </w:rPr>
        <w:t xml:space="preserve">E-mail: Lyudmila.Yakimenko@vvsu.ru </w:t>
      </w:r>
      <w:r>
        <w:rPr>
          <w:rFonts w:ascii="Times New Roman" w:hAnsi="Times New Roman"/>
          <w:sz w:val="20"/>
          <w:szCs w:val="24"/>
        </w:rPr>
        <w:t>Тел</w:t>
      </w:r>
      <w:r>
        <w:rPr>
          <w:rFonts w:ascii="Times New Roman" w:hAnsi="Times New Roman"/>
          <w:sz w:val="20"/>
          <w:szCs w:val="24"/>
          <w:lang w:val="en-US"/>
        </w:rPr>
        <w:t xml:space="preserve">. </w:t>
      </w:r>
      <w:r>
        <w:rPr>
          <w:rFonts w:ascii="Times New Roman" w:hAnsi="Times New Roman"/>
          <w:sz w:val="20"/>
          <w:szCs w:val="24"/>
        </w:rPr>
        <w:t>+7(423)240-41-22</w:t>
      </w:r>
    </w:p>
    <w:p w:rsidR="00517711" w:rsidRDefault="00517711">
      <w:pPr>
        <w:spacing w:after="0" w:line="240" w:lineRule="auto"/>
        <w:ind w:firstLine="709"/>
        <w:jc w:val="center"/>
        <w:rPr>
          <w:sz w:val="18"/>
          <w:szCs w:val="24"/>
        </w:rPr>
      </w:pPr>
    </w:p>
    <w:p w:rsidR="00517711" w:rsidRDefault="00F815BE">
      <w:pPr>
        <w:spacing w:after="0" w:line="240" w:lineRule="auto"/>
        <w:ind w:firstLine="709"/>
        <w:jc w:val="center"/>
        <w:rPr>
          <w:sz w:val="20"/>
          <w:szCs w:val="24"/>
        </w:rPr>
      </w:pPr>
      <w:r>
        <w:rPr>
          <w:rFonts w:ascii="Times New Roman" w:hAnsi="Times New Roman"/>
          <w:i/>
          <w:color w:val="000000"/>
          <w:szCs w:val="24"/>
        </w:rPr>
        <w:t xml:space="preserve">Владивостокский государственный университет экономики и сервиса </w:t>
      </w:r>
    </w:p>
    <w:p w:rsidR="00517711" w:rsidRDefault="00F815BE">
      <w:pPr>
        <w:spacing w:after="0" w:line="240" w:lineRule="auto"/>
        <w:ind w:firstLine="709"/>
        <w:jc w:val="center"/>
        <w:rPr>
          <w:sz w:val="20"/>
          <w:szCs w:val="24"/>
        </w:rPr>
      </w:pPr>
      <w:r>
        <w:rPr>
          <w:rFonts w:ascii="Times New Roman" w:hAnsi="Times New Roman"/>
          <w:i/>
          <w:color w:val="000000"/>
          <w:szCs w:val="24"/>
        </w:rPr>
        <w:t>Россия, Владивосток</w:t>
      </w:r>
      <w:r>
        <w:rPr>
          <w:rFonts w:ascii="Times New Roman" w:hAnsi="Times New Roman"/>
          <w:szCs w:val="24"/>
        </w:rPr>
        <w:t xml:space="preserve"> </w:t>
      </w:r>
    </w:p>
    <w:p w:rsidR="00517711" w:rsidRDefault="00517711">
      <w:pPr>
        <w:spacing w:after="0" w:line="240" w:lineRule="auto"/>
        <w:ind w:firstLine="709"/>
        <w:jc w:val="center"/>
        <w:rPr>
          <w:sz w:val="20"/>
          <w:szCs w:val="24"/>
        </w:rPr>
      </w:pPr>
    </w:p>
    <w:p w:rsidR="00517711" w:rsidRDefault="00F815BE">
      <w:pPr>
        <w:spacing w:line="240" w:lineRule="auto"/>
        <w:jc w:val="center"/>
        <w:rPr>
          <w:szCs w:val="24"/>
        </w:rPr>
      </w:pPr>
      <w:r>
        <w:rPr>
          <w:rFonts w:ascii="Times New Roman" w:hAnsi="Times New Roman"/>
          <w:sz w:val="20"/>
          <w:szCs w:val="24"/>
        </w:rPr>
        <w:t>Ул. Гоголя, 41, г. Владивосток, Приморский край, Россия, 690014</w:t>
      </w:r>
    </w:p>
    <w:p w:rsidR="00517711" w:rsidRDefault="00F815BE">
      <w:pPr>
        <w:spacing w:after="0" w:line="240" w:lineRule="auto"/>
        <w:ind w:firstLine="709"/>
        <w:jc w:val="both"/>
        <w:rPr>
          <w:sz w:val="20"/>
          <w:szCs w:val="24"/>
        </w:rPr>
      </w:pPr>
      <w:r>
        <w:rPr>
          <w:rFonts w:ascii="Times New Roman" w:hAnsi="Times New Roman"/>
          <w:i/>
          <w:szCs w:val="24"/>
        </w:rPr>
        <w:t>Загрязнение атмосферного воздуха создает риск для здоровья людей и, в целом, для окружающей природной среды. В связи с этим велика роль государственного экологического надзора, осуществляющего учет и контроль вредных воздействий на атмосферный воздух, а также их источников. В настоящее время функция по осуществлению государственного экологического надзора на федеральном уровне возложена на Федеральную службу по надзору в сфере природопользования, а на региональном уровне (в Приморском крае, в частности) эту деятельность выполняют Департамент природных ресурсов и охраны окружающей среды по Приморскому краю, а также органы местного самоуправления. В нашей работе мы рассмотрели вопросы, касающиеся организации государственного экологического надзора за качеством атмосферного воздуха на федеральном (Росприроднадзор) и региональном уровнях.</w:t>
      </w:r>
    </w:p>
    <w:p w:rsidR="00517711" w:rsidRDefault="00F815BE">
      <w:pPr>
        <w:spacing w:line="240" w:lineRule="auto"/>
        <w:ind w:firstLine="709"/>
        <w:jc w:val="both"/>
        <w:rPr>
          <w:sz w:val="20"/>
          <w:szCs w:val="24"/>
        </w:rPr>
      </w:pPr>
      <w:r>
        <w:rPr>
          <w:rFonts w:ascii="Times New Roman" w:hAnsi="Times New Roman"/>
          <w:b/>
          <w:i/>
          <w:szCs w:val="24"/>
        </w:rPr>
        <w:t>Ключевые слова и словосочетания:</w:t>
      </w:r>
      <w:r>
        <w:rPr>
          <w:rFonts w:ascii="Times New Roman" w:hAnsi="Times New Roman"/>
          <w:szCs w:val="24"/>
        </w:rPr>
        <w:t xml:space="preserve"> </w:t>
      </w:r>
      <w:r>
        <w:rPr>
          <w:rFonts w:ascii="Times New Roman" w:hAnsi="Times New Roman"/>
          <w:i/>
          <w:szCs w:val="24"/>
        </w:rPr>
        <w:t>экология</w:t>
      </w:r>
      <w:r>
        <w:rPr>
          <w:rFonts w:ascii="Times New Roman" w:hAnsi="Times New Roman"/>
          <w:szCs w:val="24"/>
        </w:rPr>
        <w:t xml:space="preserve">, </w:t>
      </w:r>
      <w:r>
        <w:rPr>
          <w:rFonts w:ascii="Times New Roman" w:hAnsi="Times New Roman"/>
          <w:i/>
          <w:szCs w:val="24"/>
        </w:rPr>
        <w:t xml:space="preserve">охрана окружающей среды, загрязнение атмосферного воздуха, государственный экологический надзор </w:t>
      </w:r>
    </w:p>
    <w:p w:rsidR="00517711" w:rsidRDefault="00517711">
      <w:pPr>
        <w:spacing w:line="240" w:lineRule="auto"/>
        <w:jc w:val="center"/>
        <w:rPr>
          <w:rFonts w:ascii="Times New Roman" w:hAnsi="Times New Roman"/>
          <w:sz w:val="24"/>
          <w:szCs w:val="24"/>
        </w:rPr>
      </w:pPr>
    </w:p>
    <w:p w:rsidR="00517711" w:rsidRDefault="00F815BE">
      <w:pPr>
        <w:spacing w:line="240" w:lineRule="auto"/>
        <w:jc w:val="center"/>
        <w:rPr>
          <w:rFonts w:ascii="Book Antiqua" w:hAnsi="Book Antiqua"/>
          <w:sz w:val="26"/>
          <w:szCs w:val="26"/>
          <w:lang w:val="en-US"/>
        </w:rPr>
      </w:pPr>
      <w:r>
        <w:rPr>
          <w:rFonts w:ascii="Book Antiqua" w:hAnsi="Book Antiqua"/>
          <w:b/>
          <w:sz w:val="26"/>
          <w:szCs w:val="26"/>
          <w:lang w:val="en-US"/>
        </w:rPr>
        <w:t>STATE RECORD OF HARMFUL EFFECTS ON THE ATMOSPHERIC AIR</w:t>
      </w:r>
    </w:p>
    <w:p w:rsidR="00517711" w:rsidRDefault="00F815BE">
      <w:pPr>
        <w:spacing w:after="0" w:line="240" w:lineRule="auto"/>
        <w:ind w:firstLine="709"/>
        <w:jc w:val="center"/>
        <w:rPr>
          <w:rFonts w:ascii="Arial" w:hAnsi="Arial" w:cs="Arial"/>
          <w:b/>
          <w:szCs w:val="24"/>
          <w:lang w:val="en-US"/>
        </w:rPr>
      </w:pPr>
      <w:r>
        <w:rPr>
          <w:rFonts w:ascii="Arial" w:hAnsi="Arial" w:cs="Arial"/>
          <w:b/>
          <w:color w:val="000000"/>
          <w:sz w:val="24"/>
          <w:szCs w:val="24"/>
          <w:shd w:val="clear" w:color="auto" w:fill="FFFFFF"/>
          <w:lang w:val="en-US"/>
        </w:rPr>
        <w:t>Victoria Pidyash</w:t>
      </w:r>
    </w:p>
    <w:p w:rsidR="00517711" w:rsidRDefault="00F815BE">
      <w:pPr>
        <w:spacing w:line="240" w:lineRule="auto"/>
        <w:jc w:val="center"/>
        <w:rPr>
          <w:rFonts w:ascii="Times New Roman" w:hAnsi="Times New Roman" w:cs="Times New Roman"/>
          <w:sz w:val="20"/>
          <w:szCs w:val="20"/>
          <w:lang w:val="en-US"/>
        </w:rPr>
      </w:pPr>
      <w:r>
        <w:rPr>
          <w:rFonts w:ascii="Times New Roman" w:hAnsi="Times New Roman" w:cs="Times New Roman"/>
          <w:color w:val="000000"/>
          <w:sz w:val="20"/>
          <w:szCs w:val="20"/>
          <w:lang w:val="en-US"/>
        </w:rPr>
        <w:t xml:space="preserve">E-mail: </w:t>
      </w:r>
      <w:hyperlink r:id="rId141" w:history="1">
        <w:r>
          <w:rPr>
            <w:rStyle w:val="aa"/>
            <w:rFonts w:ascii="Times New Roman" w:hAnsi="Times New Roman" w:cs="Times New Roman"/>
            <w:color w:val="00000A"/>
            <w:sz w:val="20"/>
            <w:szCs w:val="20"/>
            <w:lang w:val="en-US"/>
          </w:rPr>
          <w:t>vika8994@gmai.com</w:t>
        </w:r>
      </w:hyperlink>
      <w:r>
        <w:rPr>
          <w:rFonts w:ascii="Times New Roman" w:hAnsi="Times New Roman" w:cs="Times New Roman"/>
          <w:sz w:val="20"/>
          <w:szCs w:val="20"/>
          <w:lang w:val="en-US"/>
        </w:rPr>
        <w:t>; Ph.: +79644516558</w:t>
      </w:r>
    </w:p>
    <w:p w:rsidR="00517711" w:rsidRDefault="00517711">
      <w:pPr>
        <w:spacing w:after="0" w:line="240" w:lineRule="auto"/>
        <w:ind w:firstLine="709"/>
        <w:jc w:val="center"/>
        <w:rPr>
          <w:rFonts w:ascii="Times New Roman" w:hAnsi="Times New Roman"/>
          <w:color w:val="000000"/>
          <w:sz w:val="24"/>
          <w:szCs w:val="24"/>
          <w:shd w:val="clear" w:color="auto" w:fill="FFFFFF"/>
          <w:lang w:val="en-US"/>
        </w:rPr>
      </w:pPr>
    </w:p>
    <w:p w:rsidR="00517711" w:rsidRDefault="00F815BE">
      <w:pPr>
        <w:spacing w:after="0" w:line="240" w:lineRule="auto"/>
        <w:ind w:firstLine="709"/>
        <w:jc w:val="center"/>
        <w:rPr>
          <w:rFonts w:ascii="Arial" w:hAnsi="Arial" w:cs="Arial"/>
          <w:b/>
          <w:szCs w:val="24"/>
          <w:lang w:val="en-US"/>
        </w:rPr>
      </w:pPr>
      <w:r>
        <w:rPr>
          <w:rFonts w:ascii="Arial" w:hAnsi="Arial" w:cs="Arial"/>
          <w:b/>
          <w:color w:val="000000"/>
          <w:sz w:val="24"/>
          <w:szCs w:val="24"/>
          <w:shd w:val="clear" w:color="auto" w:fill="FFFFFF"/>
          <w:lang w:val="en-US"/>
        </w:rPr>
        <w:t>Prof. Lyudmila Yakimenko</w:t>
      </w:r>
    </w:p>
    <w:p w:rsidR="00517711" w:rsidRDefault="00F815BE">
      <w:pPr>
        <w:spacing w:after="0" w:line="240" w:lineRule="auto"/>
        <w:ind w:firstLine="709"/>
        <w:jc w:val="center"/>
        <w:rPr>
          <w:color w:val="000000"/>
          <w:sz w:val="18"/>
          <w:szCs w:val="24"/>
          <w:lang w:val="en-US"/>
        </w:rPr>
      </w:pPr>
      <w:r>
        <w:rPr>
          <w:rFonts w:ascii="Times New Roman" w:hAnsi="Times New Roman"/>
          <w:color w:val="000000" w:themeColor="text1"/>
          <w:sz w:val="20"/>
          <w:szCs w:val="24"/>
          <w:shd w:val="clear" w:color="auto" w:fill="FFFFFF"/>
          <w:lang w:val="en-US"/>
        </w:rPr>
        <w:t>E-mail: Lyudmila.Yakimenko@vvsu.ru Ph.:</w:t>
      </w:r>
      <w:r>
        <w:rPr>
          <w:rStyle w:val="apple-converted-space"/>
          <w:rFonts w:ascii="Times New Roman" w:hAnsi="Times New Roman"/>
          <w:color w:val="000000" w:themeColor="text1"/>
          <w:sz w:val="20"/>
          <w:szCs w:val="24"/>
          <w:shd w:val="clear" w:color="auto" w:fill="FFFFFF"/>
          <w:lang w:val="en-US"/>
        </w:rPr>
        <w:t> </w:t>
      </w:r>
      <w:r>
        <w:rPr>
          <w:rStyle w:val="js-phone-number"/>
          <w:color w:val="000000" w:themeColor="text1"/>
          <w:sz w:val="20"/>
          <w:szCs w:val="24"/>
          <w:shd w:val="clear" w:color="auto" w:fill="FFFFFF"/>
          <w:lang w:val="en-US"/>
        </w:rPr>
        <w:t>+7(423)240-41-22</w:t>
      </w:r>
    </w:p>
    <w:p w:rsidR="00517711" w:rsidRDefault="00517711">
      <w:pPr>
        <w:spacing w:after="0" w:line="240" w:lineRule="auto"/>
        <w:ind w:firstLine="709"/>
        <w:jc w:val="center"/>
        <w:rPr>
          <w:rFonts w:ascii="Times New Roman" w:hAnsi="Times New Roman"/>
          <w:color w:val="000000"/>
          <w:sz w:val="24"/>
          <w:szCs w:val="24"/>
          <w:lang w:val="en-US"/>
        </w:rPr>
      </w:pPr>
    </w:p>
    <w:p w:rsidR="00517711" w:rsidRDefault="00F815BE">
      <w:pPr>
        <w:spacing w:after="0" w:line="240" w:lineRule="auto"/>
        <w:ind w:firstLine="709"/>
        <w:jc w:val="center"/>
        <w:rPr>
          <w:sz w:val="20"/>
          <w:szCs w:val="24"/>
          <w:lang w:val="en-US"/>
        </w:rPr>
      </w:pPr>
      <w:r>
        <w:rPr>
          <w:rFonts w:ascii="Times New Roman" w:hAnsi="Times New Roman"/>
          <w:i/>
          <w:color w:val="000000"/>
          <w:szCs w:val="24"/>
          <w:lang w:val="en-US"/>
        </w:rPr>
        <w:t>Vladivostok State University Economics and Service, Russia, Vladivostok</w:t>
      </w:r>
    </w:p>
    <w:p w:rsidR="00517711" w:rsidRDefault="00517711">
      <w:pPr>
        <w:spacing w:after="0" w:line="240" w:lineRule="auto"/>
        <w:ind w:firstLine="709"/>
        <w:jc w:val="center"/>
        <w:rPr>
          <w:sz w:val="20"/>
          <w:szCs w:val="24"/>
          <w:lang w:val="en-US"/>
        </w:rPr>
      </w:pPr>
    </w:p>
    <w:p w:rsidR="00517711" w:rsidRDefault="00F815BE">
      <w:pPr>
        <w:spacing w:after="0" w:line="240" w:lineRule="auto"/>
        <w:ind w:firstLine="709"/>
        <w:jc w:val="both"/>
        <w:rPr>
          <w:i/>
          <w:sz w:val="20"/>
          <w:szCs w:val="24"/>
          <w:lang w:val="en-US"/>
        </w:rPr>
      </w:pPr>
      <w:r>
        <w:rPr>
          <w:rFonts w:ascii="Times New Roman" w:hAnsi="Times New Roman"/>
          <w:i/>
          <w:szCs w:val="24"/>
          <w:lang w:val="en-US"/>
        </w:rPr>
        <w:t xml:space="preserve">Pollution of atmospheric air poses a risk to human health and, in general, to the environment. In this regard, the role of state environmental supervision, which takes into account and control harmful effects on the atmospheric air, as well as their sources, is great. Currently, the Federal Environmental Oversight Service is responsible for the implementation of state environmental oversight at the federal level, and at the regional level (Primorsky Krai, in particular), this is carried out by the Department of Natural Resources and Environmental Protection in Primorsky Krai, and bodies of local self-government. In our work, we discussed issues related to the organization of state environmental supervision over the quality of atmospheric air at the federal (Rosprirodnadzor) and regional levels. </w:t>
      </w:r>
    </w:p>
    <w:p w:rsidR="00517711" w:rsidRDefault="00F815BE">
      <w:pPr>
        <w:spacing w:after="0" w:line="240" w:lineRule="auto"/>
        <w:ind w:firstLine="709"/>
        <w:jc w:val="both"/>
        <w:rPr>
          <w:i/>
          <w:sz w:val="20"/>
          <w:szCs w:val="24"/>
          <w:lang w:val="en-US"/>
        </w:rPr>
      </w:pPr>
      <w:r>
        <w:rPr>
          <w:rFonts w:ascii="Times New Roman" w:hAnsi="Times New Roman"/>
          <w:b/>
          <w:i/>
          <w:color w:val="000000"/>
          <w:szCs w:val="24"/>
          <w:shd w:val="clear" w:color="auto" w:fill="FFFFFF"/>
          <w:lang w:val="en-US"/>
        </w:rPr>
        <w:t>Key words:</w:t>
      </w:r>
      <w:r>
        <w:rPr>
          <w:rFonts w:ascii="Times New Roman" w:hAnsi="Times New Roman"/>
          <w:i/>
          <w:color w:val="000000"/>
          <w:szCs w:val="24"/>
          <w:shd w:val="clear" w:color="auto" w:fill="FFFFFF"/>
          <w:lang w:val="en-US"/>
        </w:rPr>
        <w:t xml:space="preserve"> ecology, government environmental protection, air pollutions </w:t>
      </w:r>
    </w:p>
    <w:p w:rsidR="00517711" w:rsidRDefault="00517711">
      <w:pPr>
        <w:spacing w:line="240" w:lineRule="auto"/>
        <w:rPr>
          <w:rFonts w:ascii="Times New Roman" w:hAnsi="Times New Roman"/>
          <w:color w:val="000000"/>
          <w:sz w:val="24"/>
          <w:szCs w:val="24"/>
          <w:lang w:val="en-US"/>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Атмосферный воздух является жизненно важным компонентом окружающей среды, неотъемлемой частью среды обитания человека, растений и животных. Содержание загрязняющих веществ в атмосферном воздухе пагубно влияет не только на организм человека, но и на окружающую среду. Главные принципы охраны окружающей среды допускают воздействие предприятий на природную среду, исходя из требований в области охраны окружающей среды.</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Вследствие быстрого экономического роста, в ходе осуществления хозяйственной деятельности окружающая среда подвергается негативному воздействию, что приводит к ухудшению экологической ситуации в целом. Государство с помощью законодательных норм обязано обеспечить надлежащее качество окружающей среды. Необходима разработка и внедрение ряда мероприятий, способствующих предотвращению экологического кризиса. В связи с этим возрастает роль экологического надзора как одной из мер по </w:t>
      </w:r>
      <w:r>
        <w:rPr>
          <w:rFonts w:ascii="Times New Roman" w:hAnsi="Times New Roman" w:cs="Times New Roman"/>
          <w:sz w:val="20"/>
          <w:szCs w:val="20"/>
        </w:rPr>
        <w:lastRenderedPageBreak/>
        <w:t>улучшению качества окружающей среды. Экологический надзор как правовая мера выполняет ряд функций - предупредительную, информационную и карательную.</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Предупредительная функция заключается в том, что субъекты экологического надзора, зная о предстоящей проверке выполнения ими правовых экологических требований, самостоятельно проявляют активность в исполнении требований законодательства и предупреждении нарушений. Роль информационной функции состоит в том, что соответствующие органы и лица в процессе проведения проверки собирают разнообразную информацию о природоохранительной деятельности подконтрольных и поднадзорных объектов. Карательная функция заключается в применении к нарушителям экологических норм предусмотренных законодательством санкций.</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настоящее время функция по осуществлению государственного экологического надзора на федеральном уровне возложена на Федеральную службу по надзору в сфере природопользования (Росприроднадзор), подведомственную Министерству природных ресурсов и экологии Российской Федерации. Роль Росприроднадзора заключается в осуществлении функции государственного экологического надзора за обеспечением всеми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индивидуальными предпринимателями, юридическими и физическими лицами (в том числе должностными лицами, гражданами, лицами, не имеющими гражданства и иностранными лицами) исполнения законодательства в области охраны окружающей среды, соблюдения требований в области охраны окружающей среды, а также обеспечения экологической безопасности [1].</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На региональном уровне надзорную деятельность выполняет Департамент природных ресурсов и охраны окружающей среды по Приморскому краю (далее – Департамент). Деятельность Департамента осуществляется на объектах, не подлежащих федеральному государственному экологическому надзору согласно утвержденным критериям в Постановлении РФ № 903 от 28.08.2015 "Об утверждении критериев определения объектов, подлежащих федеральному государственному экологическому надзору", а также на объектах не входящих в перечень объектов, подлежащих федеральному государственному экологическому контролю согласно Приказу Минприроды России от 10 ноября 2010 г. N 492 «Перечень объектов, оказывающих негативное воздействие на окружающую среду при осуществлении хозяйственной и иной деятельности на территории Приморского края и подлежащих федеральному государственному экологическому надзору».</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Согласно Постановлению, государственный экологический надзор в сфере природопользования включает в себя:</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государственный надзор за геологическим изучением, рациональным использованием и охраной недр;</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государственный земельный надзор;</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государственный надзор в области обращения с отходами;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государственный надзор в области охраны атмосферного воздуха;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государственный надзор в области использования и охраны водных объектов;</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государственный экологический надзор на континентальном шельфе Российской Федерации;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государственный экологический надзор во внутренних морских водах и в территориальном море Российской Федерации;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государственный экологический надзор в исключительной экономической зоне Российской Федерации;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государственный экологический надзор в области охраны озера Байкал;</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федеральный государственный лесной надзор;</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федеральный государственный надзор в области охраны, воспроизводства и использования объектов животного мира и среды их обитания;</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федеральный государственный контроль (надзор) в области рыболовства и сохранения водных биоресурсов;</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федеральный государственный охотничий надзор;</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государственный надзор в области охраны и использования особо охраняемых природных территорий.</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Таким образом, надзорная деятельность в Российской Федерации в сфере природопользования охватывает все области деятельности, связанные с использованием, воспроизводством и охраной природных ресурсов.</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color w:val="000000"/>
          <w:spacing w:val="1"/>
          <w:sz w:val="20"/>
          <w:szCs w:val="20"/>
        </w:rPr>
        <w:t>Росприроднадзор имеет множество функций, но наиболее важной является предупредительная. Она позволяет федеральным органам исполнительной власти, перед тем как наложить материальное взыскание на предприятие за нарушение ФЗ</w:t>
      </w:r>
      <w:r>
        <w:rPr>
          <w:rFonts w:ascii="Times New Roman" w:hAnsi="Times New Roman" w:cs="Times New Roman"/>
          <w:sz w:val="20"/>
          <w:szCs w:val="20"/>
        </w:rPr>
        <w:t xml:space="preserve"> </w:t>
      </w:r>
      <w:r>
        <w:rPr>
          <w:rFonts w:ascii="Times New Roman" w:hAnsi="Times New Roman" w:cs="Times New Roman"/>
          <w:color w:val="000000"/>
          <w:spacing w:val="1"/>
          <w:sz w:val="20"/>
          <w:szCs w:val="20"/>
        </w:rPr>
        <w:t xml:space="preserve">от 10 января 2002 </w:t>
      </w:r>
      <w:r>
        <w:rPr>
          <w:rFonts w:ascii="Times New Roman" w:hAnsi="Times New Roman" w:cs="Times New Roman"/>
          <w:sz w:val="20"/>
          <w:szCs w:val="20"/>
        </w:rPr>
        <w:t>«</w:t>
      </w:r>
      <w:r>
        <w:rPr>
          <w:rFonts w:ascii="Times New Roman" w:hAnsi="Times New Roman" w:cs="Times New Roman"/>
          <w:color w:val="000000"/>
          <w:spacing w:val="1"/>
          <w:sz w:val="20"/>
          <w:szCs w:val="20"/>
        </w:rPr>
        <w:t xml:space="preserve">Об охране окружающей среды», на начальном этапе предотвратить негативное воздействие на окружающую среду. </w:t>
      </w:r>
      <w:r>
        <w:rPr>
          <w:rFonts w:ascii="Times New Roman" w:hAnsi="Times New Roman" w:cs="Times New Roman"/>
          <w:sz w:val="20"/>
          <w:szCs w:val="20"/>
        </w:rPr>
        <w:t xml:space="preserve">В статье Н.Е. Акулиной «Современные условия реализации экологического надзора и контроля в Российской Федерации» [2] рассматривается достаточно полно роль предупредительной функции экологического надзора и контроля. Цель предупредительной функции заключается в том, чтобы субъекты экологического надзора, зная, что их деятельность по соблюдению экологических требований будет проверяться и контролироваться, самостоятельно исполняли бы требования законодательства и не допускали экологические правонарушения. Однако современная система экологического </w:t>
      </w:r>
      <w:r>
        <w:rPr>
          <w:rFonts w:ascii="Times New Roman" w:hAnsi="Times New Roman" w:cs="Times New Roman"/>
          <w:sz w:val="20"/>
          <w:szCs w:val="20"/>
        </w:rPr>
        <w:lastRenderedPageBreak/>
        <w:t>контроля (надзора) на практике преследует цель скорее пополнения бюджета, чем недопущения негативного воздействия на окружающую среду. Современные очистные сооружения имеют высокую стоимость, поэтому предприятиям зачастую проще и дешевле заплатить штрафы, которые невелики по стоимости в сравнении с дорогостоящим новейшим очистным оборудованием [2].</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Главные принципы охраны окружающей среды допускают воздействие предприятий на природную среду, исходя из требований в области охраны окружающей среды. При этом снижение негативного воздействия на окружающую среду должно достигаться на основе использования новейших и эффективных существующих технологий, с учетом экономических и социальных факторов. Общие требования в области охраны окружающей среды при эксплуатации предприятий установлены в главе 8 Федерального закона «Об охране окружающей среды». Законом определено, что эксплуатация предприятий и иных объектов, оказывающих прямое или косвенное негативное воздействие на окружающую среду, осуществляется в соответствии с требованиями в области охраны окружающей среды. При этом должны предусматриваться мероприятия по охране окружающей среды, рациональному использованию и воспроизводству природных ресурсов, обеспечению экологической безопасности [3].</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Важнейшей задачей в области охраны окружающей среды является охрана атмосферного воздуха. По данным статистики несколько сотен миллионов тонн загрязнителей ежегодно поступает в атмосферу. Концентрация токсичных веществ в воздухе больших городов превышает ПДК на порядок и более. Среднегодовые, то есть постоянные концентрации токсичных веществ, превышающие ПДК, наблюдаются более чем в 200 городах России. Основным источником загрязнения многих городов (Владивостока, например) является автотранспорт, но выбросы от автомобилей не нормируются, так как отдельный автомобиль сам по себе не приносит значительного вреда для окружающей среды. Вместе с тем, сосредоточение автотранспорта на локальной территории, особенно в мегаполисах, приводит к большому скоплению выбросов загрязняющих веществ, чем и обуславливается высокий уровень загрязненности атмосферного воздуха городов.</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Каждое предприятие, деятельность которого связана с загрязнением окружающей среды (вредные выбросы в атмосферу, сброс вод, образование и хранение/размещение отходов и проч.) при проверке обязано предоставить задокументированную информацию не только о разрешении на выбросы и отходы, но и о производственном экологическом контроле процессов, связанных с воздействием на окружающую среду. Одним из обязательных к предъявлению документов является ежегодный отчёт по форме 2–ТП (вода, отходы, воздух). Отчёт является формальным актом исполнения закона «Об охране окружающей среды», который предписывает ведение статистики по предприятиям, являющимися источниками загрязнения природы [4]. </w:t>
      </w:r>
    </w:p>
    <w:p w:rsidR="00517711" w:rsidRDefault="00F815BE">
      <w:pPr>
        <w:pStyle w:val="af4"/>
        <w:spacing w:after="240" w:line="240" w:lineRule="auto"/>
        <w:ind w:left="0" w:firstLine="709"/>
        <w:jc w:val="both"/>
        <w:rPr>
          <w:rFonts w:ascii="Times New Roman" w:hAnsi="Times New Roman"/>
          <w:sz w:val="20"/>
          <w:szCs w:val="20"/>
        </w:rPr>
      </w:pPr>
      <w:r>
        <w:rPr>
          <w:rFonts w:ascii="Times New Roman" w:hAnsi="Times New Roman"/>
          <w:sz w:val="20"/>
          <w:szCs w:val="20"/>
        </w:rPr>
        <w:t>Таким образом, требования в области охраны атмосферного воздуха и других компонентов окружающей природной среды на законодательном уровне направлены на снижение загрязняющих выбросов и мотивацию предприятий к проведению соответствующих мероприятий по снижению негативного воздействия на окружающую среду и здоровье людей. Однако при реализации природоохранных законов предприятию не всегда удается достичь целей, которые поставило законодательство. Возникают различные трудности, чаще связанные с экономическими сложностями, когда предприниматель не может купить лицензию на выброс загрязняющих веществ. В результате деятельность этого предприятия приостанавливается или прекращается. Либо у предприятия отсутствуют средства на приобретение и установку очистных сооружений, которые зачастую являются дорогостоящими, и тогда предприятие выплачивает штрафы за превышение уровня показателей ПДВ (ПДС, ПДК, ПДУ) [5].</w:t>
      </w:r>
    </w:p>
    <w:p w:rsidR="00517711" w:rsidRDefault="00F815BE">
      <w:pPr>
        <w:pStyle w:val="af4"/>
        <w:spacing w:after="240" w:line="240" w:lineRule="auto"/>
        <w:ind w:left="0" w:firstLine="709"/>
        <w:jc w:val="both"/>
        <w:rPr>
          <w:rFonts w:ascii="Times New Roman" w:hAnsi="Times New Roman"/>
          <w:sz w:val="20"/>
          <w:szCs w:val="20"/>
        </w:rPr>
      </w:pPr>
      <w:r>
        <w:rPr>
          <w:rFonts w:ascii="Times New Roman" w:hAnsi="Times New Roman"/>
          <w:sz w:val="20"/>
          <w:szCs w:val="20"/>
        </w:rPr>
        <w:t xml:space="preserve">Итак, для того чтобы система экологического контроля отлажено и правильно функционировала, нужно многое: бороться с правовой неграмотностью населения, способствовать развитию экологической культуры, пересмотреть экологическое законодательство и систему экологического надзора, внести нормы по усилению контроля и надзора за окружающей средой, пересмотреть ответственность за нарушения, внести изменения в экономическую политику. Таким образом, нужны качественные, а не только количественные изменения, которые смогут привести к реальному улучшению качества окружающей среды. </w:t>
      </w:r>
    </w:p>
    <w:p w:rsidR="00517711" w:rsidRDefault="00F815BE">
      <w:pPr>
        <w:tabs>
          <w:tab w:val="left" w:pos="1128"/>
        </w:tabs>
        <w:spacing w:after="0" w:line="240" w:lineRule="auto"/>
        <w:jc w:val="both"/>
        <w:rPr>
          <w:rFonts w:ascii="Times New Roman" w:hAnsi="Times New Roman" w:cs="Times New Roman"/>
          <w:sz w:val="20"/>
          <w:szCs w:val="20"/>
        </w:rPr>
      </w:pPr>
      <w:r>
        <w:rPr>
          <w:rFonts w:ascii="Times New Roman" w:hAnsi="Times New Roman" w:cs="Times New Roman"/>
          <w:noProof/>
          <w:sz w:val="20"/>
          <w:szCs w:val="20"/>
          <w:lang w:eastAsia="ru-RU"/>
        </w:rPr>
        <mc:AlternateContent>
          <mc:Choice Requires="wps">
            <w:drawing>
              <wp:anchor distT="0" distB="0" distL="114300" distR="114300" simplePos="0" relativeHeight="251714560" behindDoc="0" locked="0" layoutInCell="0" allowOverlap="1">
                <wp:simplePos x="0" y="0"/>
                <wp:positionH relativeFrom="character">
                  <wp:posOffset>-3808</wp:posOffset>
                </wp:positionH>
                <wp:positionV relativeFrom="paragraph">
                  <wp:posOffset>8888</wp:posOffset>
                </wp:positionV>
                <wp:extent cx="6097905" cy="25398"/>
                <wp:effectExtent l="5715" t="8888" r="11430" b="13333"/>
                <wp:wrapNone/>
                <wp:docPr id="92" name="Прямая соединительная линия 44"/>
                <wp:cNvGraphicFramePr/>
                <a:graphic xmlns:a="http://schemas.openxmlformats.org/drawingml/2006/main">
                  <a:graphicData uri="http://schemas.microsoft.com/office/word/2010/wordprocessingShape">
                    <wps:wsp>
                      <wps:cNvCnPr/>
                      <wps:spPr bwMode="auto">
                        <a:xfrm flipH="1">
                          <a:off x="0" y="0"/>
                          <a:ext cx="6097905" cy="2540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1B14805" id="Прямая соединительная линия 44" o:spid="_x0000_s1026" style="position:absolute;flip:x;z-index:251714560;visibility:visible;mso-wrap-style:square;mso-width-percent:0;mso-height-percent:0;mso-wrap-distance-left:9pt;mso-wrap-distance-top:0;mso-wrap-distance-right:9pt;mso-wrap-distance-bottom:0;mso-position-horizontal:absolute;mso-position-horizontal-relative:char;mso-position-vertical:absolute;mso-position-vertical-relative:text;mso-width-percent:0;mso-height-percent:0;mso-width-relative:page;mso-height-relative:page" from="-.3pt,.7pt" to="479.8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" o:allowincell="f"/>
            </w:pict>
          </mc:Fallback>
        </mc:AlternateContent>
      </w:r>
      <w:r>
        <w:rPr>
          <w:rFonts w:ascii="Times New Roman" w:hAnsi="Times New Roman" w:cs="Times New Roman"/>
          <w:sz w:val="20"/>
          <w:szCs w:val="20"/>
        </w:rPr>
        <w:tab/>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 xml:space="preserve">1 Сведения об осуществлении государственного контроля (надзора) и муниципального контроля [Электронный ресурс]// Управление Федеральной службы по надзору в сфере природопользования по Приморскому краю (Росприроднадзор). – Режим доступа: </w:t>
      </w:r>
      <w:hyperlink r:id="rId142" w:history="1">
        <w:r>
          <w:rPr>
            <w:rFonts w:ascii="Times New Roman" w:hAnsi="Times New Roman"/>
            <w:sz w:val="20"/>
            <w:szCs w:val="20"/>
          </w:rPr>
          <w:t>http://rpn.gov.ru/opendata/7703381225–control</w:t>
        </w:r>
      </w:hyperlink>
      <w:r>
        <w:rPr>
          <w:rFonts w:ascii="Times New Roman" w:hAnsi="Times New Roman"/>
          <w:sz w:val="20"/>
          <w:szCs w:val="20"/>
        </w:rPr>
        <w:t>.</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2 Акулина Н.Е. Современные условия реализации экологического надзора и контроля в Российской Федерации/ Акулина Н.Е.// Материалы ежегодной международной заочной научно-практической конференции. – 2015. – С. 267-271.</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3 Об охране окружающей среды: федеральный закон от 10 января.2002 № 7–ФЗ (в ред. от 25.06.2012) // Российская газета. – 2002. – № 6.</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4 Об охране атмосферного воздуха: федеральный закон от 4 мая 1999 года N 96–ФЗ (ред. От 04.05.1999) [Электронный ресурс]// СПС «КонсультантПлюс». – Режим доступа: http://www.consultant.ru /document/cons_doc_LAW_22971/.</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 xml:space="preserve">5 Общество с ограниченной ответственность «ЭКОС». Общие требования в области охраны окружающей среды при эксплуатации предприятия [Электронный ресурс]//ООО «ЭКОС»: официальный сайт организации – Режим доступа: </w:t>
      </w:r>
      <w:hyperlink r:id="rId143" w:history="1">
        <w:r>
          <w:rPr>
            <w:rStyle w:val="aa"/>
            <w:rFonts w:ascii="Times New Roman" w:hAnsi="Times New Roman"/>
            <w:color w:val="00000A"/>
            <w:sz w:val="20"/>
            <w:szCs w:val="20"/>
          </w:rPr>
          <w:t>http://ecosar.ru/ooo–ekos</w:t>
        </w:r>
      </w:hyperlink>
      <w:r>
        <w:rPr>
          <w:rFonts w:ascii="Times New Roman" w:hAnsi="Times New Roman"/>
          <w:sz w:val="20"/>
          <w:szCs w:val="20"/>
        </w:rPr>
        <w:t>.</w:t>
      </w:r>
    </w:p>
    <w:p w:rsidR="00517711" w:rsidRDefault="00517711">
      <w:pPr>
        <w:pStyle w:val="af4"/>
        <w:spacing w:after="0" w:line="240" w:lineRule="auto"/>
        <w:ind w:left="0" w:firstLine="709"/>
        <w:jc w:val="both"/>
        <w:rPr>
          <w:rFonts w:ascii="Times New Roman" w:hAnsi="Times New Roman"/>
          <w:sz w:val="20"/>
          <w:szCs w:val="20"/>
        </w:rPr>
      </w:pPr>
    </w:p>
    <w:p w:rsidR="00517711" w:rsidRDefault="00F815BE">
      <w:pPr>
        <w:pStyle w:val="af4"/>
        <w:spacing w:after="0" w:line="240" w:lineRule="auto"/>
        <w:ind w:left="0" w:firstLine="709"/>
        <w:jc w:val="both"/>
        <w:rPr>
          <w:rFonts w:ascii="Times New Roman" w:hAnsi="Times New Roman"/>
          <w:sz w:val="20"/>
          <w:szCs w:val="20"/>
          <w:lang w:val="en-US"/>
        </w:rPr>
      </w:pPr>
      <w:r>
        <w:rPr>
          <w:rFonts w:ascii="Times New Roman" w:hAnsi="Times New Roman"/>
          <w:sz w:val="20"/>
          <w:szCs w:val="20"/>
          <w:lang w:val="en-US"/>
        </w:rPr>
        <w:t xml:space="preserve">1 Information on the implementation of state control (supervision) and municipal control [Electronic resource] // Administration of the Federal Service for Supervision of Nature Management in Primorsky Krai (Rosprirodnadzor) – URL: </w:t>
      </w:r>
      <w:hyperlink r:id="rId144" w:history="1">
        <w:r>
          <w:rPr>
            <w:rStyle w:val="aa"/>
            <w:rFonts w:ascii="Times New Roman" w:hAnsi="Times New Roman"/>
            <w:color w:val="00000A"/>
            <w:sz w:val="20"/>
            <w:szCs w:val="20"/>
            <w:lang w:val="en-US"/>
          </w:rPr>
          <w:t>http://rpn.gov.ru/opendata/7703381225–control</w:t>
        </w:r>
      </w:hyperlink>
      <w:r>
        <w:rPr>
          <w:rFonts w:ascii="Times New Roman" w:hAnsi="Times New Roman"/>
          <w:color w:val="00000A"/>
          <w:sz w:val="20"/>
          <w:szCs w:val="20"/>
          <w:lang w:val="en-US"/>
        </w:rPr>
        <w:t>.</w:t>
      </w:r>
    </w:p>
    <w:p w:rsidR="00517711" w:rsidRDefault="00F815BE">
      <w:pPr>
        <w:pStyle w:val="af4"/>
        <w:spacing w:after="0" w:line="240" w:lineRule="auto"/>
        <w:ind w:left="0" w:firstLine="709"/>
        <w:jc w:val="both"/>
        <w:rPr>
          <w:rFonts w:ascii="Times New Roman" w:hAnsi="Times New Roman"/>
          <w:sz w:val="20"/>
          <w:szCs w:val="20"/>
          <w:lang w:val="en-US"/>
        </w:rPr>
      </w:pPr>
      <w:r>
        <w:rPr>
          <w:rFonts w:ascii="Times New Roman" w:hAnsi="Times New Roman"/>
          <w:color w:val="00000A"/>
          <w:sz w:val="20"/>
          <w:szCs w:val="20"/>
          <w:lang w:val="en-US"/>
        </w:rPr>
        <w:t>2 Akulina Natalia E. Modern conditions for the implementation of environmental supervision and control in the Russian Federation / N.E. Akulina. –</w:t>
      </w:r>
      <w:r>
        <w:rPr>
          <w:rFonts w:ascii="Times New Roman" w:hAnsi="Times New Roman"/>
          <w:sz w:val="20"/>
          <w:szCs w:val="20"/>
          <w:lang w:val="en-US"/>
        </w:rPr>
        <w:t xml:space="preserve"> Materials of the annual international correspondence scientific-practical conference, 2015, pp. 267-271.</w:t>
      </w:r>
    </w:p>
    <w:p w:rsidR="00517711" w:rsidRDefault="00F815BE">
      <w:pPr>
        <w:pStyle w:val="af4"/>
        <w:spacing w:after="0" w:line="240" w:lineRule="auto"/>
        <w:ind w:left="0" w:firstLine="709"/>
        <w:jc w:val="both"/>
        <w:rPr>
          <w:rFonts w:ascii="Times New Roman" w:hAnsi="Times New Roman"/>
          <w:sz w:val="20"/>
          <w:szCs w:val="20"/>
          <w:lang w:val="en-US"/>
        </w:rPr>
      </w:pPr>
      <w:r>
        <w:rPr>
          <w:rFonts w:ascii="Times New Roman" w:hAnsi="Times New Roman"/>
          <w:sz w:val="20"/>
          <w:szCs w:val="20"/>
          <w:lang w:val="en-US"/>
        </w:rPr>
        <w:t>3 On the protection of the environment: the federal law of January 10, 2002 No. 7-FZ (as amended on 25.06.2012) // Russian newspaper, no. 6.</w:t>
      </w:r>
    </w:p>
    <w:p w:rsidR="00517711" w:rsidRDefault="00F815BE">
      <w:pPr>
        <w:pStyle w:val="af4"/>
        <w:spacing w:after="0" w:line="240" w:lineRule="auto"/>
        <w:ind w:left="0" w:firstLine="709"/>
        <w:jc w:val="both"/>
        <w:rPr>
          <w:rFonts w:ascii="Times New Roman" w:hAnsi="Times New Roman"/>
          <w:sz w:val="20"/>
          <w:szCs w:val="20"/>
          <w:lang w:val="en-US"/>
        </w:rPr>
      </w:pPr>
      <w:r>
        <w:rPr>
          <w:rFonts w:ascii="Times New Roman" w:hAnsi="Times New Roman"/>
          <w:sz w:val="20"/>
          <w:szCs w:val="20"/>
          <w:lang w:val="en-US"/>
        </w:rPr>
        <w:t>4 On the protection of atmospheric air: the federal law of May 4, 1999 N 96-FZ (as of 04.05.1999) [Electronic resource] // ATP «ConsultantPlus». – URL: http://www.consultant.ru /document/cons_doc_LAW_22971/.</w:t>
      </w:r>
    </w:p>
    <w:p w:rsidR="00517711" w:rsidRDefault="00F815BE">
      <w:pPr>
        <w:pStyle w:val="af4"/>
        <w:spacing w:after="0" w:line="240" w:lineRule="auto"/>
        <w:ind w:left="0" w:firstLine="709"/>
        <w:jc w:val="both"/>
        <w:rPr>
          <w:rFonts w:ascii="Times New Roman" w:hAnsi="Times New Roman"/>
          <w:sz w:val="20"/>
          <w:szCs w:val="20"/>
          <w:lang w:val="en-US"/>
        </w:rPr>
      </w:pPr>
      <w:r>
        <w:rPr>
          <w:rFonts w:ascii="Times New Roman" w:hAnsi="Times New Roman"/>
          <w:sz w:val="20"/>
          <w:szCs w:val="20"/>
          <w:lang w:val="en-US"/>
        </w:rPr>
        <w:t xml:space="preserve">5 Limited liability company "ECOS". General requirements in the field of environmental protection in the operation of the enterprise [Electronic resource] // LLC "ECOS": official website of the organization. – URL: </w:t>
      </w:r>
      <w:hyperlink r:id="rId145" w:history="1">
        <w:r>
          <w:rPr>
            <w:rStyle w:val="aa"/>
            <w:rFonts w:ascii="Times New Roman" w:hAnsi="Times New Roman"/>
            <w:color w:val="00000A"/>
            <w:sz w:val="20"/>
            <w:szCs w:val="20"/>
            <w:lang w:val="en-US"/>
          </w:rPr>
          <w:t>http://ecosar.ru/ooo–ekos</w:t>
        </w:r>
      </w:hyperlink>
      <w:r>
        <w:rPr>
          <w:rFonts w:ascii="Times New Roman" w:hAnsi="Times New Roman"/>
          <w:sz w:val="20"/>
          <w:szCs w:val="20"/>
          <w:lang w:val="en-US"/>
        </w:rPr>
        <w:t>.</w:t>
      </w:r>
    </w:p>
    <w:p w:rsidR="00517711" w:rsidRDefault="00517711">
      <w:pPr>
        <w:pStyle w:val="af4"/>
        <w:spacing w:after="0" w:line="240" w:lineRule="auto"/>
        <w:ind w:left="0" w:firstLine="709"/>
        <w:jc w:val="both"/>
        <w:rPr>
          <w:rFonts w:ascii="Times New Roman" w:hAnsi="Times New Roman"/>
          <w:sz w:val="20"/>
          <w:szCs w:val="20"/>
          <w:lang w:val="en-US"/>
        </w:rPr>
      </w:pPr>
    </w:p>
    <w:p w:rsidR="00517711" w:rsidRDefault="00F815BE">
      <w:pPr>
        <w:spacing w:after="0" w:line="240" w:lineRule="auto"/>
        <w:rPr>
          <w:rFonts w:ascii="Times New Roman" w:hAnsi="Times New Roman"/>
          <w:b/>
          <w:sz w:val="20"/>
          <w:szCs w:val="24"/>
        </w:rPr>
      </w:pPr>
      <w:r>
        <w:rPr>
          <w:rFonts w:ascii="Times New Roman" w:hAnsi="Times New Roman"/>
          <w:b/>
          <w:sz w:val="20"/>
          <w:szCs w:val="24"/>
        </w:rPr>
        <w:t>Рубрика: Общая экология.</w:t>
      </w:r>
    </w:p>
    <w:p w:rsidR="00517711" w:rsidRDefault="00F815BE">
      <w:pPr>
        <w:tabs>
          <w:tab w:val="left" w:pos="2835"/>
        </w:tabs>
        <w:spacing w:after="0" w:line="240" w:lineRule="auto"/>
        <w:rPr>
          <w:rFonts w:ascii="Times New Roman" w:hAnsi="Times New Roman"/>
          <w:sz w:val="20"/>
          <w:szCs w:val="24"/>
        </w:rPr>
      </w:pPr>
      <w:r>
        <w:rPr>
          <w:rFonts w:ascii="Times New Roman" w:hAnsi="Times New Roman"/>
          <w:sz w:val="20"/>
          <w:szCs w:val="24"/>
        </w:rPr>
        <w:tab/>
      </w:r>
    </w:p>
    <w:p w:rsidR="00517711" w:rsidRDefault="00F815BE">
      <w:pPr>
        <w:spacing w:after="0" w:line="240" w:lineRule="auto"/>
        <w:rPr>
          <w:rFonts w:ascii="Times New Roman" w:hAnsi="Times New Roman"/>
          <w:sz w:val="20"/>
          <w:szCs w:val="24"/>
        </w:rPr>
      </w:pPr>
      <w:r>
        <w:rPr>
          <w:rFonts w:ascii="Times New Roman" w:hAnsi="Times New Roman"/>
          <w:sz w:val="20"/>
          <w:szCs w:val="24"/>
        </w:rPr>
        <w:t>УДК – 574.22</w:t>
      </w:r>
    </w:p>
    <w:p w:rsidR="00517711" w:rsidRDefault="00517711">
      <w:pPr>
        <w:spacing w:after="0" w:line="240" w:lineRule="auto"/>
        <w:rPr>
          <w:rFonts w:ascii="Times New Roman" w:hAnsi="Times New Roman"/>
          <w:sz w:val="24"/>
          <w:szCs w:val="24"/>
        </w:rPr>
      </w:pPr>
    </w:p>
    <w:p w:rsidR="00517711" w:rsidRDefault="00F815BE">
      <w:pPr>
        <w:spacing w:after="0" w:line="240" w:lineRule="auto"/>
        <w:jc w:val="center"/>
        <w:rPr>
          <w:rFonts w:ascii="Book Antiqua" w:hAnsi="Book Antiqua"/>
          <w:b/>
          <w:sz w:val="26"/>
          <w:szCs w:val="26"/>
        </w:rPr>
      </w:pPr>
      <w:r>
        <w:rPr>
          <w:rFonts w:ascii="Book Antiqua" w:hAnsi="Book Antiqua"/>
          <w:b/>
          <w:sz w:val="26"/>
          <w:szCs w:val="26"/>
        </w:rPr>
        <w:t xml:space="preserve">СЕЛЕКТИВНЫЙ СБОР ОТХОДОВ В ЭКОЛОГИЧЕСКОМ ПРОСВЕЩЕНИИ НАСЕЛЕНИЯ </w:t>
      </w:r>
    </w:p>
    <w:p w:rsidR="00517711" w:rsidRDefault="00F815BE">
      <w:pPr>
        <w:spacing w:after="0" w:line="240" w:lineRule="auto"/>
        <w:jc w:val="center"/>
        <w:rPr>
          <w:rFonts w:ascii="Book Antiqua" w:hAnsi="Book Antiqua"/>
          <w:b/>
          <w:sz w:val="26"/>
          <w:szCs w:val="26"/>
        </w:rPr>
      </w:pPr>
      <w:r>
        <w:rPr>
          <w:rFonts w:ascii="Book Antiqua" w:hAnsi="Book Antiqua"/>
          <w:b/>
          <w:sz w:val="26"/>
          <w:szCs w:val="26"/>
        </w:rPr>
        <w:t>(НА ПРИМЕРЕ Г. ВЛАДИВОСТОКА).</w:t>
      </w:r>
    </w:p>
    <w:p w:rsidR="00517711" w:rsidRDefault="00F815BE">
      <w:pPr>
        <w:spacing w:before="240" w:after="0" w:line="240" w:lineRule="auto"/>
        <w:jc w:val="center"/>
        <w:rPr>
          <w:rFonts w:ascii="Arial" w:hAnsi="Arial" w:cs="Arial"/>
          <w:b/>
          <w:sz w:val="24"/>
          <w:szCs w:val="24"/>
        </w:rPr>
      </w:pPr>
      <w:r>
        <w:rPr>
          <w:rFonts w:ascii="Arial" w:hAnsi="Arial" w:cs="Arial"/>
          <w:b/>
          <w:sz w:val="24"/>
          <w:szCs w:val="24"/>
        </w:rPr>
        <w:t>Пономаренко Роман Вячеславович</w:t>
      </w:r>
    </w:p>
    <w:p w:rsidR="00517711" w:rsidRDefault="00F815BE">
      <w:pPr>
        <w:spacing w:after="0" w:line="240" w:lineRule="auto"/>
        <w:jc w:val="center"/>
        <w:rPr>
          <w:rFonts w:ascii="Arial" w:hAnsi="Arial" w:cs="Arial"/>
          <w:sz w:val="24"/>
          <w:szCs w:val="24"/>
        </w:rPr>
      </w:pPr>
      <w:r>
        <w:rPr>
          <w:rFonts w:ascii="Arial" w:hAnsi="Arial" w:cs="Arial"/>
          <w:sz w:val="24"/>
          <w:szCs w:val="24"/>
        </w:rPr>
        <w:t>Бакалавр</w:t>
      </w:r>
    </w:p>
    <w:p w:rsidR="00517711" w:rsidRDefault="00517711">
      <w:pPr>
        <w:spacing w:after="0" w:line="360" w:lineRule="auto"/>
        <w:jc w:val="center"/>
        <w:rPr>
          <w:rFonts w:ascii="Times New Roman" w:hAnsi="Times New Roman"/>
          <w:i/>
          <w:sz w:val="24"/>
          <w:szCs w:val="24"/>
        </w:rPr>
      </w:pPr>
    </w:p>
    <w:p w:rsidR="00517711" w:rsidRDefault="00F815BE">
      <w:pPr>
        <w:spacing w:after="0" w:line="240" w:lineRule="auto"/>
        <w:jc w:val="center"/>
        <w:rPr>
          <w:rFonts w:ascii="Times New Roman" w:hAnsi="Times New Roman"/>
          <w:i/>
          <w:szCs w:val="24"/>
        </w:rPr>
      </w:pPr>
      <w:r>
        <w:rPr>
          <w:rFonts w:ascii="Times New Roman" w:hAnsi="Times New Roman"/>
          <w:i/>
          <w:szCs w:val="24"/>
        </w:rPr>
        <w:t>Владивостокский государственный университет экономики и сервиса</w:t>
      </w:r>
    </w:p>
    <w:p w:rsidR="00517711" w:rsidRDefault="00F815BE">
      <w:pPr>
        <w:spacing w:after="0" w:line="240" w:lineRule="auto"/>
        <w:jc w:val="center"/>
        <w:rPr>
          <w:rFonts w:ascii="Times New Roman" w:hAnsi="Times New Roman"/>
          <w:i/>
          <w:szCs w:val="24"/>
        </w:rPr>
      </w:pPr>
      <w:r>
        <w:rPr>
          <w:rFonts w:ascii="Times New Roman" w:hAnsi="Times New Roman"/>
          <w:i/>
          <w:szCs w:val="24"/>
        </w:rPr>
        <w:t>Россия. Владивосток</w:t>
      </w:r>
    </w:p>
    <w:p w:rsidR="00517711" w:rsidRDefault="00517711">
      <w:pPr>
        <w:spacing w:after="0" w:line="360" w:lineRule="auto"/>
        <w:jc w:val="center"/>
        <w:rPr>
          <w:rFonts w:ascii="Times New Roman" w:hAnsi="Times New Roman"/>
          <w:sz w:val="24"/>
          <w:szCs w:val="24"/>
        </w:rPr>
      </w:pPr>
    </w:p>
    <w:p w:rsidR="00517711" w:rsidRDefault="00F815BE">
      <w:pPr>
        <w:spacing w:after="0" w:line="240" w:lineRule="auto"/>
        <w:jc w:val="center"/>
        <w:rPr>
          <w:rFonts w:ascii="Times New Roman" w:hAnsi="Times New Roman"/>
          <w:color w:val="000000"/>
          <w:sz w:val="20"/>
          <w:szCs w:val="24"/>
        </w:rPr>
      </w:pPr>
      <w:r>
        <w:rPr>
          <w:rFonts w:ascii="Times New Roman" w:hAnsi="Times New Roman"/>
          <w:color w:val="000000" w:themeColor="text1"/>
          <w:sz w:val="20"/>
          <w:szCs w:val="24"/>
          <w:lang w:val="en-US"/>
        </w:rPr>
        <w:t>E</w:t>
      </w:r>
      <w:r>
        <w:rPr>
          <w:rFonts w:ascii="Times New Roman" w:hAnsi="Times New Roman"/>
          <w:color w:val="000000" w:themeColor="text1"/>
          <w:sz w:val="20"/>
          <w:szCs w:val="24"/>
        </w:rPr>
        <w:t>-</w:t>
      </w:r>
      <w:r>
        <w:rPr>
          <w:rFonts w:ascii="Times New Roman" w:hAnsi="Times New Roman"/>
          <w:color w:val="000000" w:themeColor="text1"/>
          <w:sz w:val="20"/>
          <w:szCs w:val="24"/>
          <w:lang w:val="en-US"/>
        </w:rPr>
        <w:t>mail</w:t>
      </w:r>
      <w:r>
        <w:rPr>
          <w:rFonts w:ascii="Times New Roman" w:hAnsi="Times New Roman"/>
          <w:color w:val="000000" w:themeColor="text1"/>
          <w:sz w:val="20"/>
          <w:szCs w:val="24"/>
        </w:rPr>
        <w:t xml:space="preserve">: </w:t>
      </w:r>
      <w:hyperlink r:id="rId146" w:history="1">
        <w:r>
          <w:rPr>
            <w:rStyle w:val="aa"/>
            <w:rFonts w:ascii="Times New Roman" w:hAnsi="Times New Roman"/>
            <w:color w:val="000000" w:themeColor="text1"/>
            <w:sz w:val="20"/>
            <w:szCs w:val="24"/>
            <w:lang w:val="en-US"/>
          </w:rPr>
          <w:t>Roma</w:t>
        </w:r>
        <w:r>
          <w:rPr>
            <w:rStyle w:val="aa"/>
            <w:rFonts w:ascii="Times New Roman" w:hAnsi="Times New Roman"/>
            <w:color w:val="000000" w:themeColor="text1"/>
            <w:sz w:val="20"/>
            <w:szCs w:val="24"/>
          </w:rPr>
          <w:t>-</w:t>
        </w:r>
        <w:r>
          <w:rPr>
            <w:rStyle w:val="aa"/>
            <w:rFonts w:ascii="Times New Roman" w:hAnsi="Times New Roman"/>
            <w:color w:val="000000" w:themeColor="text1"/>
            <w:sz w:val="20"/>
            <w:szCs w:val="24"/>
            <w:lang w:val="en-US"/>
          </w:rPr>
          <w:t>vlad</w:t>
        </w:r>
        <w:r>
          <w:rPr>
            <w:rStyle w:val="aa"/>
            <w:rFonts w:ascii="Times New Roman" w:hAnsi="Times New Roman"/>
            <w:color w:val="000000" w:themeColor="text1"/>
            <w:sz w:val="20"/>
            <w:szCs w:val="24"/>
          </w:rPr>
          <w:t>96@</w:t>
        </w:r>
        <w:r>
          <w:rPr>
            <w:rStyle w:val="aa"/>
            <w:rFonts w:ascii="Times New Roman" w:hAnsi="Times New Roman"/>
            <w:color w:val="000000" w:themeColor="text1"/>
            <w:sz w:val="20"/>
            <w:szCs w:val="24"/>
            <w:lang w:val="en-US"/>
          </w:rPr>
          <w:t>mail</w:t>
        </w:r>
        <w:r>
          <w:rPr>
            <w:rStyle w:val="aa"/>
            <w:rFonts w:ascii="Times New Roman" w:hAnsi="Times New Roman"/>
            <w:color w:val="000000" w:themeColor="text1"/>
            <w:sz w:val="20"/>
            <w:szCs w:val="24"/>
          </w:rPr>
          <w:t>.</w:t>
        </w:r>
        <w:r>
          <w:rPr>
            <w:rStyle w:val="aa"/>
            <w:rFonts w:ascii="Times New Roman" w:hAnsi="Times New Roman"/>
            <w:color w:val="000000" w:themeColor="text1"/>
            <w:sz w:val="20"/>
            <w:szCs w:val="24"/>
            <w:lang w:val="en-US"/>
          </w:rPr>
          <w:t>ru</w:t>
        </w:r>
      </w:hyperlink>
      <w:r>
        <w:rPr>
          <w:rFonts w:ascii="Times New Roman" w:hAnsi="Times New Roman"/>
          <w:color w:val="000000" w:themeColor="text1"/>
          <w:sz w:val="20"/>
          <w:szCs w:val="24"/>
        </w:rPr>
        <w:t>, тел: 89677516076</w:t>
      </w:r>
    </w:p>
    <w:p w:rsidR="00517711" w:rsidRDefault="00F815BE">
      <w:pPr>
        <w:spacing w:after="0" w:line="240" w:lineRule="auto"/>
        <w:jc w:val="center"/>
        <w:rPr>
          <w:rFonts w:ascii="Times New Roman" w:hAnsi="Times New Roman"/>
          <w:color w:val="000000"/>
          <w:sz w:val="20"/>
          <w:szCs w:val="24"/>
        </w:rPr>
      </w:pPr>
      <w:r>
        <w:rPr>
          <w:rFonts w:ascii="Times New Roman" w:hAnsi="Times New Roman"/>
          <w:color w:val="000000" w:themeColor="text1"/>
          <w:sz w:val="20"/>
          <w:szCs w:val="24"/>
        </w:rPr>
        <w:t>Ул. Гоголя, 41, г. Владивосток, Приморский край, Россия, 690014</w:t>
      </w:r>
    </w:p>
    <w:p w:rsidR="00517711" w:rsidRDefault="00517711">
      <w:pPr>
        <w:spacing w:after="0" w:line="240" w:lineRule="auto"/>
        <w:ind w:firstLine="709"/>
        <w:jc w:val="both"/>
        <w:rPr>
          <w:rFonts w:ascii="Times New Roman" w:hAnsi="Times New Roman"/>
          <w:i/>
          <w:sz w:val="24"/>
          <w:szCs w:val="24"/>
        </w:rPr>
      </w:pPr>
    </w:p>
    <w:p w:rsidR="00517711" w:rsidRDefault="00F815BE">
      <w:pPr>
        <w:spacing w:after="0" w:line="240" w:lineRule="auto"/>
        <w:ind w:firstLine="709"/>
        <w:jc w:val="both"/>
        <w:rPr>
          <w:rFonts w:ascii="Times New Roman" w:hAnsi="Times New Roman"/>
          <w:i/>
          <w:szCs w:val="24"/>
        </w:rPr>
      </w:pPr>
      <w:r>
        <w:rPr>
          <w:rFonts w:ascii="Times New Roman" w:hAnsi="Times New Roman"/>
          <w:i/>
          <w:szCs w:val="24"/>
        </w:rPr>
        <w:t>Проблема организации системы экологического воспитания, образования и просвещения – это проблема государственная, межведомственная и общественная. В формировании экологической культуры населения должны принимать участие учреждения образования, средства массовой информации, музеи, библиотеки и иные учреждения культуры, природоохранные учреждения, организации спорта и туризма, общественные организации. Одним из аспектов образования может стать культура обращения и система управления с отходами.</w:t>
      </w:r>
    </w:p>
    <w:p w:rsidR="00517711" w:rsidRDefault="00F815BE">
      <w:pPr>
        <w:spacing w:after="0" w:line="240" w:lineRule="auto"/>
        <w:ind w:firstLine="709"/>
        <w:jc w:val="both"/>
        <w:rPr>
          <w:rFonts w:ascii="Times New Roman" w:hAnsi="Times New Roman"/>
          <w:i/>
          <w:szCs w:val="24"/>
        </w:rPr>
      </w:pPr>
      <w:r>
        <w:rPr>
          <w:rFonts w:ascii="Times New Roman" w:hAnsi="Times New Roman"/>
          <w:b/>
          <w:i/>
          <w:szCs w:val="24"/>
        </w:rPr>
        <w:t xml:space="preserve">Ключевые слова и словосочетания: </w:t>
      </w:r>
      <w:r>
        <w:rPr>
          <w:rFonts w:ascii="Times New Roman" w:hAnsi="Times New Roman"/>
          <w:i/>
          <w:szCs w:val="24"/>
        </w:rPr>
        <w:t>Селективный сбор, Экологическое просвещение,</w:t>
      </w:r>
      <w:r>
        <w:rPr>
          <w:rFonts w:ascii="Times New Roman" w:hAnsi="Times New Roman"/>
          <w:color w:val="000000"/>
          <w:szCs w:val="24"/>
          <w:shd w:val="clear" w:color="auto" w:fill="FFFFFF"/>
        </w:rPr>
        <w:t xml:space="preserve"> </w:t>
      </w:r>
      <w:r>
        <w:rPr>
          <w:rFonts w:ascii="Times New Roman" w:hAnsi="Times New Roman"/>
          <w:i/>
          <w:szCs w:val="24"/>
        </w:rPr>
        <w:t>твердые бытовые отходы, Город Владивосток, население.</w:t>
      </w:r>
    </w:p>
    <w:p w:rsidR="00517711" w:rsidRDefault="00517711">
      <w:pPr>
        <w:spacing w:after="0"/>
        <w:ind w:firstLine="709"/>
        <w:jc w:val="both"/>
        <w:rPr>
          <w:i/>
        </w:rPr>
      </w:pPr>
    </w:p>
    <w:p w:rsidR="00517711" w:rsidRDefault="00F815BE">
      <w:pPr>
        <w:spacing w:after="0"/>
        <w:ind w:firstLine="709"/>
        <w:jc w:val="center"/>
        <w:rPr>
          <w:rFonts w:ascii="Book Antiqua" w:hAnsi="Book Antiqua"/>
          <w:b/>
          <w:sz w:val="26"/>
          <w:szCs w:val="26"/>
          <w:lang w:val="en-US"/>
        </w:rPr>
      </w:pPr>
      <w:r>
        <w:rPr>
          <w:rFonts w:ascii="Book Antiqua" w:hAnsi="Book Antiqua"/>
          <w:b/>
          <w:sz w:val="26"/>
          <w:szCs w:val="26"/>
          <w:lang w:val="en-US"/>
        </w:rPr>
        <w:t>SELECTIVE WASTE COLLECTION IN ENVIRONMENTAL EDUCATION OF THE POPULATION (BY THE EXAMPLE OF VLADIVOSTOK).</w:t>
      </w:r>
    </w:p>
    <w:p w:rsidR="00517711" w:rsidRDefault="00517711">
      <w:pPr>
        <w:spacing w:after="0"/>
        <w:ind w:firstLine="709"/>
        <w:jc w:val="both"/>
        <w:rPr>
          <w:rFonts w:ascii="Times New Roman" w:hAnsi="Times New Roman"/>
          <w:i/>
          <w:sz w:val="24"/>
          <w:lang w:val="en-US"/>
        </w:rPr>
      </w:pPr>
    </w:p>
    <w:p w:rsidR="00517711" w:rsidRDefault="00F815BE">
      <w:pPr>
        <w:spacing w:after="0" w:line="240" w:lineRule="auto"/>
        <w:ind w:firstLine="709"/>
        <w:jc w:val="both"/>
        <w:rPr>
          <w:rFonts w:ascii="Times New Roman" w:hAnsi="Times New Roman"/>
          <w:i/>
          <w:lang w:val="en-US"/>
        </w:rPr>
      </w:pPr>
      <w:r>
        <w:rPr>
          <w:rFonts w:ascii="Times New Roman" w:hAnsi="Times New Roman"/>
          <w:i/>
          <w:lang w:val="en-US"/>
        </w:rPr>
        <w:t>The problem of organizing the system of ecological education, education and education is a problem of the state, interdepartmental and public. Educational institutions, mass media, museums, libraries and other cultural institutions, environmental institutions, sports and tourism organizations, and public organizations should take part in shaping the ecological culture of the population. One of the aspects of education can be a culture of treatment and a management system with waste.</w:t>
      </w:r>
    </w:p>
    <w:p w:rsidR="00517711" w:rsidRDefault="00F815BE">
      <w:pPr>
        <w:spacing w:after="0" w:line="240" w:lineRule="auto"/>
        <w:ind w:firstLine="709"/>
        <w:jc w:val="both"/>
        <w:rPr>
          <w:rFonts w:ascii="Times New Roman" w:hAnsi="Times New Roman"/>
          <w:i/>
          <w:lang w:val="en-US"/>
        </w:rPr>
      </w:pPr>
      <w:r>
        <w:rPr>
          <w:rFonts w:ascii="Times New Roman" w:hAnsi="Times New Roman"/>
          <w:b/>
          <w:i/>
          <w:lang w:val="en-US"/>
        </w:rPr>
        <w:t>Key words and phrases:</w:t>
      </w:r>
      <w:r>
        <w:rPr>
          <w:rFonts w:ascii="Times New Roman" w:hAnsi="Times New Roman"/>
          <w:i/>
          <w:lang w:val="en-US"/>
        </w:rPr>
        <w:t xml:space="preserve"> Selective collection, Ecological education, solid household waste, City of Vladivostok, population.</w:t>
      </w:r>
    </w:p>
    <w:p w:rsidR="00517711" w:rsidRDefault="00517711">
      <w:pPr>
        <w:spacing w:after="0"/>
        <w:ind w:firstLine="709"/>
        <w:jc w:val="both"/>
        <w:rPr>
          <w:rFonts w:ascii="Times New Roman" w:hAnsi="Times New Roman"/>
          <w:b/>
          <w:i/>
          <w:sz w:val="24"/>
          <w:lang w:val="en-US"/>
        </w:rPr>
      </w:pP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Город – это экологическая система, созданная людьми. Основным представителем биоты города является человек. Человек доминирует над другими организмами – растениями, животными, птицами, </w:t>
      </w:r>
      <w:r>
        <w:rPr>
          <w:rFonts w:ascii="Times New Roman" w:hAnsi="Times New Roman" w:cs="Times New Roman"/>
          <w:color w:val="000000" w:themeColor="text1"/>
          <w:sz w:val="20"/>
          <w:szCs w:val="20"/>
        </w:rPr>
        <w:lastRenderedPageBreak/>
        <w:t>насекомыми, микроорганизмами, которые также обитают на городской территории. Здоровье человека зависит от состояния окружающей среды.[1 с 15]</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На сегодняшний день вывоз и переработка мусора в РФ — огромная проблема. Мусорные кучи и целые свалки стали объектом ландшафта города, зон отдыха и даже отдаленных сел. Полигоны и захоронения ТБО, как правило, организовываются нелегально, что существенно ухудшает экологическую ситуацию в России.[2 с 5]</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Помимо засорения окружающего ландшафта, вывоз мусора на захоронение отличается своей материальной невыгодностью. Дело в том, что этот способ нуждается в значительном количестве бюджетных средств, которые расходуются безвозвратно.</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 противовес этому методу можно поставить избирательную сортировку отходов. Отсутствие сортировки мусора — одна из наиболее важных проблем. При вывозе ТБО на полигоны навсегда теряется большое количество товаров, пригодных к использованию: стекло, пластиковые бутылки, макулатура и т.д. Если отдать предпочтение долгосрочному развитию этого вопроса, то со временем утилизация отходов начнет приносить плоды.[3]</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Целью настоящей работы является ознакомление с мероприятиями, проводимыми администрацией города Владивостока по продвижению идеи селективного сбора мусора и задействовании в этой программе населения города Владивостока.</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Селективный сбор отходов - </w:t>
      </w:r>
      <w:r>
        <w:rPr>
          <w:rFonts w:ascii="Times New Roman" w:hAnsi="Times New Roman" w:cs="Times New Roman"/>
          <w:color w:val="000000" w:themeColor="text1"/>
          <w:sz w:val="20"/>
          <w:szCs w:val="20"/>
          <w:shd w:val="clear" w:color="auto" w:fill="FFFFFF"/>
        </w:rPr>
        <w:t> Разделение мусора делается в целях избежание смешения разных типов мусора и загрязнения </w:t>
      </w:r>
      <w:hyperlink r:id="rId147" w:tooltip="Окружающая среда" w:history="1">
        <w:r>
          <w:rPr>
            <w:rStyle w:val="aa"/>
            <w:rFonts w:ascii="Times New Roman" w:hAnsi="Times New Roman" w:cs="Times New Roman"/>
            <w:color w:val="000000" w:themeColor="text1"/>
            <w:sz w:val="20"/>
            <w:szCs w:val="20"/>
            <w:shd w:val="clear" w:color="auto" w:fill="FFFFFF"/>
          </w:rPr>
          <w:t>окружающей среды</w:t>
        </w:r>
      </w:hyperlink>
      <w:r>
        <w:rPr>
          <w:rFonts w:ascii="Times New Roman" w:hAnsi="Times New Roman" w:cs="Times New Roman"/>
          <w:color w:val="000000" w:themeColor="text1"/>
          <w:sz w:val="20"/>
          <w:szCs w:val="20"/>
          <w:shd w:val="clear" w:color="auto" w:fill="FFFFFF"/>
        </w:rPr>
        <w:t>. Данный процесс позволяет подарить отходам «вторую жизнь», в большинстве случаев благодаря </w:t>
      </w:r>
      <w:hyperlink r:id="rId148" w:tooltip="Вторичное использование" w:history="1">
        <w:r>
          <w:rPr>
            <w:rStyle w:val="aa"/>
            <w:rFonts w:ascii="Times New Roman" w:hAnsi="Times New Roman" w:cs="Times New Roman"/>
            <w:color w:val="000000" w:themeColor="text1"/>
            <w:sz w:val="20"/>
            <w:szCs w:val="20"/>
            <w:shd w:val="clear" w:color="auto" w:fill="FFFFFF"/>
          </w:rPr>
          <w:t>вторичному его использованию</w:t>
        </w:r>
      </w:hyperlink>
      <w:r>
        <w:rPr>
          <w:rFonts w:ascii="Times New Roman" w:hAnsi="Times New Roman" w:cs="Times New Roman"/>
          <w:color w:val="000000" w:themeColor="text1"/>
          <w:sz w:val="20"/>
          <w:szCs w:val="20"/>
          <w:shd w:val="clear" w:color="auto" w:fill="FFFFFF"/>
        </w:rPr>
        <w:t> и </w:t>
      </w:r>
      <w:hyperlink r:id="rId149" w:tooltip="Переработка отходов" w:history="1">
        <w:r>
          <w:rPr>
            <w:rStyle w:val="aa"/>
            <w:rFonts w:ascii="Times New Roman" w:hAnsi="Times New Roman" w:cs="Times New Roman"/>
            <w:color w:val="000000" w:themeColor="text1"/>
            <w:sz w:val="20"/>
            <w:szCs w:val="20"/>
            <w:shd w:val="clear" w:color="auto" w:fill="FFFFFF"/>
          </w:rPr>
          <w:t>переработке</w:t>
        </w:r>
      </w:hyperlink>
      <w:r>
        <w:rPr>
          <w:rFonts w:ascii="Times New Roman" w:hAnsi="Times New Roman" w:cs="Times New Roman"/>
          <w:color w:val="000000" w:themeColor="text1"/>
          <w:sz w:val="20"/>
          <w:szCs w:val="20"/>
          <w:shd w:val="clear" w:color="auto" w:fill="FFFFFF"/>
        </w:rPr>
        <w:t>. Разделение мусора помогает предотвратить разложение мусора, его гниение и горение на </w:t>
      </w:r>
      <w:hyperlink r:id="rId150" w:tooltip="Свалка" w:history="1">
        <w:r>
          <w:rPr>
            <w:rStyle w:val="aa"/>
            <w:rFonts w:ascii="Times New Roman" w:hAnsi="Times New Roman" w:cs="Times New Roman"/>
            <w:color w:val="000000" w:themeColor="text1"/>
            <w:sz w:val="20"/>
            <w:szCs w:val="20"/>
            <w:shd w:val="clear" w:color="auto" w:fill="FFFFFF"/>
          </w:rPr>
          <w:t>свалках</w:t>
        </w:r>
      </w:hyperlink>
      <w:r>
        <w:rPr>
          <w:rFonts w:ascii="Times New Roman" w:hAnsi="Times New Roman" w:cs="Times New Roman"/>
          <w:color w:val="000000" w:themeColor="text1"/>
          <w:sz w:val="20"/>
          <w:szCs w:val="20"/>
          <w:shd w:val="clear" w:color="auto" w:fill="FFFFFF"/>
        </w:rPr>
        <w:t>. Следовательно, уменьшается вредное влияние на окружающую среду.[4]</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Актуальность исследования определяется тем что, ежегодно происходит увеличение объемов образования отходов, в том числе твердых бытовых отходов (ТБО). Ввиду того, что на протяжении многих лет отходы рассматривались только с точки зрения ненужных веществ, подлежащих утилизации проблема обращения с ТБО стала стоять остро во всех регионах Российской Федерации. В связи с этим, стала возникать потребность использования современных технологий для использования твердых бытовых отходов в хозяйственной деятельности. Необходимо отметить, что существует множество определений твердых бытовых отходов. К твердым бытовым отходам (ТБО) относятся отходы, образующиеся в жилых и общественных зданиях, торговых, зрелищных, спортивных и других предприятиях (включая отходы от текущего ремонта квартир), отходы от отопительных устройств местного отопления, смет, опавшие листья, собираемые с дворовых территорий, и крупногабаритные отходы. В различных муниципальных образованиях объемы образования ТБО отличаются друг от друга.[5]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Распространение системы экологического просвещения в настоящее время является одной из самых актуальных задач для всех цивилизованных государств. Ведь ее решение представляет собой важнейшее условие в устранении проблем нестабильности природной среды. Кроме этого, экологическое воспитание, образование и просвещение населения способно обеспечить устойчивое развитие общества в целом [6].</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Экологическое просвещение - это распространение экологических знаний об экологической безопасности, здоровом образе жизни человека, информации о состоянии окружающей среды и об использовании природных ресурсов в целях формирования экологической культуры в обществе [7].</w:t>
      </w:r>
    </w:p>
    <w:p w:rsidR="00517711" w:rsidRDefault="00517711">
      <w:pPr>
        <w:spacing w:after="0" w:line="240" w:lineRule="auto"/>
        <w:ind w:firstLine="709"/>
        <w:jc w:val="both"/>
        <w:rPr>
          <w:rFonts w:ascii="Times New Roman" w:hAnsi="Times New Roman" w:cs="Times New Roman"/>
          <w:color w:val="000000"/>
          <w:sz w:val="20"/>
          <w:szCs w:val="20"/>
        </w:rPr>
      </w:pP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Рост городов и возрастающий при этом объем хозяйственной и иной деятельности ведет к интенсивному накоплению отходов производства и потребления. Возникающие вокруг городов свалки отходов, часто плохо организованные или просто «стихийные», являются источниками загрязнения атмосферного воздуха, почвы, поверхностных и грунтовых вод. Охрана городской среды от негативного влияния отходов является наиболее острой экологической проблемой. Первостепенной задачей в решении этой проблемы является удаление и переработка твердых бытовых отходов (ТБО) от населения.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Твёрдые бытовые отходы — предметы или товары, потерявшие потребительские свойства, наибольшая часть отходов потребления. ТБО делятся также на отбросы (биологические ТО) и собственно бытовой мусор (небиологические ТО искусственного или естественного происхождения), а последний часто на бытовом уровне именуются просто мусором [8]</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Твёрдые бытовые отходы представляют собой сложную гетерогенную смесь.</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По морфологическому признаку ТБО в настоящее время состоит из следующих компонентов[9]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    Биологические отходы:</w:t>
      </w:r>
    </w:p>
    <w:p w:rsidR="00517711" w:rsidRDefault="00F815BE">
      <w:pPr>
        <w:pStyle w:val="af4"/>
        <w:numPr>
          <w:ilvl w:val="0"/>
          <w:numId w:val="55"/>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Кости</w:t>
      </w:r>
    </w:p>
    <w:p w:rsidR="00517711" w:rsidRDefault="00F815BE">
      <w:pPr>
        <w:pStyle w:val="af4"/>
        <w:numPr>
          <w:ilvl w:val="0"/>
          <w:numId w:val="55"/>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Пищевые и растительные отходы (помои, отбросы)</w:t>
      </w:r>
    </w:p>
    <w:p w:rsidR="00517711" w:rsidRDefault="00F815BE">
      <w:pPr>
        <w:pStyle w:val="af4"/>
        <w:numPr>
          <w:ilvl w:val="0"/>
          <w:numId w:val="55"/>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Синтетические отходы:</w:t>
      </w:r>
    </w:p>
    <w:p w:rsidR="00517711" w:rsidRDefault="00F815BE">
      <w:pPr>
        <w:pStyle w:val="af4"/>
        <w:numPr>
          <w:ilvl w:val="0"/>
          <w:numId w:val="55"/>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Целлюлозной переработки:</w:t>
      </w:r>
    </w:p>
    <w:p w:rsidR="00517711" w:rsidRDefault="00F815BE">
      <w:pPr>
        <w:pStyle w:val="af4"/>
        <w:numPr>
          <w:ilvl w:val="0"/>
          <w:numId w:val="55"/>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Бумага — газеты, журналы, упаковочные материалы</w:t>
      </w:r>
    </w:p>
    <w:p w:rsidR="00517711" w:rsidRDefault="00F815BE">
      <w:pPr>
        <w:pStyle w:val="af4"/>
        <w:numPr>
          <w:ilvl w:val="0"/>
          <w:numId w:val="55"/>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Древесина</w:t>
      </w:r>
    </w:p>
    <w:p w:rsidR="00517711" w:rsidRDefault="00F815BE">
      <w:pPr>
        <w:pStyle w:val="af4"/>
        <w:numPr>
          <w:ilvl w:val="0"/>
          <w:numId w:val="55"/>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Нефтепродукты:</w:t>
      </w:r>
    </w:p>
    <w:p w:rsidR="00517711" w:rsidRDefault="00F815BE">
      <w:pPr>
        <w:pStyle w:val="af4"/>
        <w:numPr>
          <w:ilvl w:val="0"/>
          <w:numId w:val="55"/>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Пластмассы</w:t>
      </w:r>
    </w:p>
    <w:p w:rsidR="00517711" w:rsidRDefault="00F815BE">
      <w:pPr>
        <w:pStyle w:val="af4"/>
        <w:numPr>
          <w:ilvl w:val="0"/>
          <w:numId w:val="55"/>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lastRenderedPageBreak/>
        <w:t>Текстиль</w:t>
      </w:r>
    </w:p>
    <w:p w:rsidR="00517711" w:rsidRDefault="00F815BE">
      <w:pPr>
        <w:pStyle w:val="af4"/>
        <w:numPr>
          <w:ilvl w:val="0"/>
          <w:numId w:val="55"/>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Кожа, резина</w:t>
      </w:r>
    </w:p>
    <w:p w:rsidR="00517711" w:rsidRDefault="00F815BE">
      <w:pPr>
        <w:pStyle w:val="af4"/>
        <w:numPr>
          <w:ilvl w:val="0"/>
          <w:numId w:val="55"/>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Различные металлы (цветные и чёрные)</w:t>
      </w:r>
    </w:p>
    <w:p w:rsidR="00517711" w:rsidRDefault="00F815BE">
      <w:pPr>
        <w:pStyle w:val="af4"/>
        <w:numPr>
          <w:ilvl w:val="0"/>
          <w:numId w:val="55"/>
        </w:numPr>
        <w:tabs>
          <w:tab w:val="left" w:pos="2850"/>
        </w:tabs>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Стекло</w:t>
      </w:r>
      <w:r>
        <w:rPr>
          <w:rFonts w:ascii="Times New Roman" w:hAnsi="Times New Roman"/>
          <w:color w:val="000000" w:themeColor="text1"/>
          <w:sz w:val="20"/>
          <w:szCs w:val="20"/>
        </w:rPr>
        <w:tab/>
      </w:r>
    </w:p>
    <w:p w:rsidR="00517711" w:rsidRDefault="00F815BE">
      <w:pPr>
        <w:pStyle w:val="af4"/>
        <w:numPr>
          <w:ilvl w:val="0"/>
          <w:numId w:val="55"/>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Смёт</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Фракционный состав ТБО (массовое содержание компонентов, проходящих через сита с ячейками разного размера) сказывается как на сборе и транспортировке отходов, так и на технологии их последующей переработки, сортировки.</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Химический состав ТБО необходим для определения качества получаемого при переработке ТБО компоста или биогаза.</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Состав ТБО отличается в разных странах, городах. Он зависит от многих факторов, включая благосостояние населения, климат и благоустройство. На состав мусора существенно влияет система сбора в городе стеклотары, макулатуры и т. д. Он может меняться в зависимости от сезона, погодных условий. Так на осень приходится увеличение количества пищевых отходов, что связано с большим употреблением овощей и фруктов в рационе питания. А зимой и весной сокращается содержание мелкого отсева (уличного смета).</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Нормы накопления отходов – это количество отходов, накопленное за определенный период времени (сутки, год) и отнесенное к расчетной единице (для жилого сектора - один человек, для гостиницы – одно место, для магазинов и складов – 1 м2 торговой площади и т.д.) В учебном пособии по экологии городской среды в таблице 4.24 приведены ориентировочные нормы накопления отходов для жилых зданий и объектов общественного назначения крупного города [1 с 201].</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 соответствии с СНиП 2.07.01-89 норма накопления общего количества бытовых отходов по городу с учетом общественных зданий составляет 0,28…0,30 т (1,4…1,5 м</w:t>
      </w:r>
      <w:r>
        <w:rPr>
          <w:rFonts w:ascii="Times New Roman" w:hAnsi="Times New Roman" w:cs="Times New Roman"/>
          <w:color w:val="000000" w:themeColor="text1"/>
          <w:sz w:val="20"/>
          <w:szCs w:val="20"/>
          <w:vertAlign w:val="superscript"/>
        </w:rPr>
        <w:t>3</w:t>
      </w:r>
      <w:r>
        <w:rPr>
          <w:rFonts w:ascii="Times New Roman" w:hAnsi="Times New Roman" w:cs="Times New Roman"/>
          <w:color w:val="000000" w:themeColor="text1"/>
          <w:sz w:val="20"/>
          <w:szCs w:val="20"/>
        </w:rPr>
        <w:t>) на человека [10].</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На количество накопления ТБО влияют уровень благосостояния населения, степень благоустройства жилья, культура торговли, ассортимент товаров, степень развития общественного питания и прочее.</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Морфологический состав ТБО зависит от экономического состояния страны, времени года, климатической зоны, в которой расположен город. Ориентировочный морфологический состав ТБО городов России представлен в учебном пособии по экологии городской среды в таблице 4.25 [1 с 202]. ТБО содержат до 30% пищевых отходов и, как следствие, имеют высокий процент влажности (35…60%). Отходы содержат до 68…80% органической (горючей, биоразлагаемой) фракции. [1 с 202]</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 соответствии со ст.13 Закона</w:t>
      </w:r>
      <w:r>
        <w:rPr>
          <w:rFonts w:ascii="Times New Roman" w:hAnsi="Times New Roman" w:cs="Times New Roman"/>
          <w:color w:val="000000" w:themeColor="text1"/>
          <w:spacing w:val="2"/>
          <w:sz w:val="20"/>
          <w:szCs w:val="20"/>
          <w:shd w:val="clear" w:color="auto" w:fill="FFFFFF"/>
        </w:rPr>
        <w:t xml:space="preserve"> «</w:t>
      </w:r>
      <w:r>
        <w:rPr>
          <w:rFonts w:ascii="Times New Roman" w:hAnsi="Times New Roman" w:cs="Times New Roman"/>
          <w:color w:val="000000" w:themeColor="text1"/>
          <w:sz w:val="20"/>
          <w:szCs w:val="20"/>
        </w:rPr>
        <w:t>Об утверждении Правил по обращению с отходами» [11] порядок сбора отходов на территории города предусматривает их разделение на виды – пищевые отходы, металлические банки, текстиль, макулатура, стекло, полиэтиленовая (ПЭТ) упаковка и др. В нашей стране система раздельного сбора отходов только внедряется. Однако, в странах Западной Европы она активно используется. Само население сортирует отходы в отдельные контейнеры. В некоторых странах для этого используются специальные саморазрушающиеся мешки.</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Методы сортировки используются для механизированного извлечения отдельных составляющих ТБО. Они включают магнитную, электродинамическую, аэродинамическую сепарации [1 с 203].</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Социальная эффективность экологического просвещения и образования представляется очевидной. Экологическая ответственность напрямую связана с экологическим воспитанием и с такими качествами личности, как самоконтроль, умение предвидеть ближайшие и отдаленные последствия своих действий в природной среде, критическое отношение к себе и другим. Соблюдение моральных требований, связанных с отношением к природе, предполагает развитую убежденность, а не страх за возможное наказание и осуждение со стороны окружающих. Участие в мероприятиях экологической направленности помогает выработать у детей и подростков ответственное и сознательное отношение к окружающей природе.</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С 2005 по 2013 год в 20 раз возросло количество участников мероприятий экологического просвещения и образования населения: с 500 до более чем 10000 человек.</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Значительно увеличилась социальная активность населения в природоохранной сфере: ежегодно по инициативе коллективов предприятий и организаций, учебных заведений и общественных объединений граждан при организационной и информационной поддержке со стороны администрации города Владивостока проводится не менее 10 экологических акций различной направленности, включающих санитарную уборку морских побережий и озелененных территорий, расчистку родников, высадку деревьев и кустарников и т.п.[12]</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Администрация города Владивостока в 2017 году проводила ряд программ по экологическому просвещению населения города. </w:t>
      </w:r>
    </w:p>
    <w:p w:rsidR="00517711" w:rsidRDefault="00F815BE">
      <w:pPr>
        <w:tabs>
          <w:tab w:val="left" w:pos="5820"/>
        </w:tabs>
        <w:spacing w:after="0" w:line="240" w:lineRule="auto"/>
        <w:ind w:left="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 них входило 9 различных мероприятий:</w:t>
      </w:r>
    </w:p>
    <w:p w:rsidR="00517711" w:rsidRDefault="00F815BE">
      <w:pPr>
        <w:pStyle w:val="af4"/>
        <w:numPr>
          <w:ilvl w:val="0"/>
          <w:numId w:val="53"/>
        </w:numPr>
        <w:tabs>
          <w:tab w:val="left" w:pos="5820"/>
        </w:tabs>
        <w:spacing w:after="0" w:line="240" w:lineRule="auto"/>
        <w:ind w:hanging="355"/>
        <w:jc w:val="both"/>
        <w:rPr>
          <w:rFonts w:ascii="Times New Roman" w:hAnsi="Times New Roman"/>
          <w:color w:val="000000"/>
          <w:sz w:val="20"/>
          <w:szCs w:val="20"/>
        </w:rPr>
      </w:pPr>
      <w:r>
        <w:rPr>
          <w:rFonts w:ascii="Times New Roman" w:hAnsi="Times New Roman"/>
          <w:color w:val="000000" w:themeColor="text1"/>
          <w:sz w:val="20"/>
          <w:szCs w:val="20"/>
        </w:rPr>
        <w:t>Экологический турнир «Что? Где? Когда?».</w:t>
      </w:r>
      <w:r>
        <w:rPr>
          <w:rFonts w:ascii="Times New Roman" w:hAnsi="Times New Roman"/>
          <w:color w:val="000000" w:themeColor="text1"/>
          <w:sz w:val="20"/>
          <w:szCs w:val="20"/>
        </w:rPr>
        <w:tab/>
      </w:r>
    </w:p>
    <w:p w:rsidR="00517711" w:rsidRDefault="00F815BE">
      <w:pPr>
        <w:pStyle w:val="af4"/>
        <w:numPr>
          <w:ilvl w:val="0"/>
          <w:numId w:val="53"/>
        </w:numPr>
        <w:spacing w:after="0" w:line="240" w:lineRule="auto"/>
        <w:ind w:hanging="355"/>
        <w:jc w:val="both"/>
        <w:rPr>
          <w:rFonts w:ascii="Times New Roman" w:hAnsi="Times New Roman"/>
          <w:color w:val="000000"/>
          <w:sz w:val="20"/>
          <w:szCs w:val="20"/>
        </w:rPr>
      </w:pPr>
      <w:r>
        <w:rPr>
          <w:rFonts w:ascii="Times New Roman" w:hAnsi="Times New Roman"/>
          <w:color w:val="000000" w:themeColor="text1"/>
          <w:sz w:val="20"/>
          <w:szCs w:val="20"/>
        </w:rPr>
        <w:t>Экологические уроки на тему «Отходы сырье третьего тысячелетия» и «Долой полиэтиленовые пакеты!».</w:t>
      </w:r>
    </w:p>
    <w:p w:rsidR="00517711" w:rsidRDefault="00F815BE">
      <w:pPr>
        <w:pStyle w:val="af4"/>
        <w:numPr>
          <w:ilvl w:val="0"/>
          <w:numId w:val="53"/>
        </w:numPr>
        <w:spacing w:after="0" w:line="240" w:lineRule="auto"/>
        <w:ind w:hanging="355"/>
        <w:jc w:val="both"/>
        <w:rPr>
          <w:rFonts w:ascii="Times New Roman" w:hAnsi="Times New Roman"/>
          <w:color w:val="000000"/>
          <w:sz w:val="20"/>
          <w:szCs w:val="20"/>
        </w:rPr>
      </w:pPr>
      <w:r>
        <w:rPr>
          <w:rFonts w:ascii="Times New Roman" w:hAnsi="Times New Roman"/>
          <w:color w:val="000000" w:themeColor="text1"/>
          <w:sz w:val="20"/>
          <w:szCs w:val="20"/>
        </w:rPr>
        <w:t>Экологические игры «Мир вокруг нас».</w:t>
      </w:r>
    </w:p>
    <w:p w:rsidR="00517711" w:rsidRDefault="00F815BE">
      <w:pPr>
        <w:pStyle w:val="af4"/>
        <w:numPr>
          <w:ilvl w:val="0"/>
          <w:numId w:val="53"/>
        </w:numPr>
        <w:spacing w:after="0" w:line="240" w:lineRule="auto"/>
        <w:ind w:hanging="355"/>
        <w:jc w:val="both"/>
        <w:rPr>
          <w:rFonts w:ascii="Times New Roman" w:hAnsi="Times New Roman"/>
          <w:color w:val="000000"/>
          <w:sz w:val="20"/>
          <w:szCs w:val="20"/>
        </w:rPr>
      </w:pPr>
      <w:r>
        <w:rPr>
          <w:rFonts w:ascii="Times New Roman" w:hAnsi="Times New Roman"/>
          <w:color w:val="000000" w:themeColor="text1"/>
          <w:sz w:val="20"/>
          <w:szCs w:val="20"/>
        </w:rPr>
        <w:t>Акции по санитарной очистке территории города «Чистый город - отличное настроение».</w:t>
      </w:r>
    </w:p>
    <w:p w:rsidR="00517711" w:rsidRDefault="00F815BE">
      <w:pPr>
        <w:pStyle w:val="af4"/>
        <w:numPr>
          <w:ilvl w:val="0"/>
          <w:numId w:val="53"/>
        </w:numPr>
        <w:spacing w:after="0" w:line="240" w:lineRule="auto"/>
        <w:ind w:hanging="355"/>
        <w:jc w:val="both"/>
        <w:rPr>
          <w:rFonts w:ascii="Times New Roman" w:hAnsi="Times New Roman"/>
          <w:bCs/>
          <w:color w:val="000000"/>
          <w:sz w:val="20"/>
          <w:szCs w:val="20"/>
        </w:rPr>
      </w:pPr>
      <w:r>
        <w:rPr>
          <w:rFonts w:ascii="Times New Roman" w:hAnsi="Times New Roman"/>
          <w:bCs/>
          <w:color w:val="000000" w:themeColor="text1"/>
          <w:sz w:val="20"/>
          <w:szCs w:val="20"/>
        </w:rPr>
        <w:t>Молодежная тематическая конференция «Охрана окружающей среды и рациональное использование природных ресурсов – новый взгляд!».</w:t>
      </w:r>
    </w:p>
    <w:p w:rsidR="00517711" w:rsidRDefault="00F815BE">
      <w:pPr>
        <w:pStyle w:val="af4"/>
        <w:numPr>
          <w:ilvl w:val="0"/>
          <w:numId w:val="53"/>
        </w:numPr>
        <w:spacing w:after="0" w:line="240" w:lineRule="auto"/>
        <w:ind w:hanging="355"/>
        <w:jc w:val="both"/>
        <w:rPr>
          <w:rFonts w:ascii="Times New Roman" w:hAnsi="Times New Roman"/>
          <w:bCs/>
          <w:color w:val="000000"/>
          <w:sz w:val="20"/>
          <w:szCs w:val="20"/>
        </w:rPr>
      </w:pPr>
      <w:r>
        <w:rPr>
          <w:rFonts w:ascii="Times New Roman" w:hAnsi="Times New Roman"/>
          <w:bCs/>
          <w:color w:val="000000" w:themeColor="text1"/>
          <w:sz w:val="20"/>
          <w:szCs w:val="20"/>
        </w:rPr>
        <w:t>Конкурс творческих работ с использованием отходных материалов «Вторая жизнь отходов».</w:t>
      </w:r>
    </w:p>
    <w:p w:rsidR="00517711" w:rsidRDefault="00F815BE">
      <w:pPr>
        <w:pStyle w:val="af4"/>
        <w:numPr>
          <w:ilvl w:val="0"/>
          <w:numId w:val="53"/>
        </w:numPr>
        <w:spacing w:after="0" w:line="240" w:lineRule="auto"/>
        <w:ind w:hanging="355"/>
        <w:jc w:val="both"/>
        <w:rPr>
          <w:rFonts w:ascii="Times New Roman" w:hAnsi="Times New Roman"/>
          <w:bCs/>
          <w:color w:val="000000"/>
          <w:sz w:val="20"/>
          <w:szCs w:val="20"/>
        </w:rPr>
      </w:pPr>
      <w:r>
        <w:rPr>
          <w:rFonts w:ascii="Times New Roman" w:hAnsi="Times New Roman"/>
          <w:bCs/>
          <w:color w:val="000000" w:themeColor="text1"/>
          <w:sz w:val="20"/>
          <w:szCs w:val="20"/>
        </w:rPr>
        <w:t>Акция «Ненужную бумагу, пластик – на нужное дело!».</w:t>
      </w:r>
    </w:p>
    <w:p w:rsidR="00517711" w:rsidRDefault="00F815BE">
      <w:pPr>
        <w:pStyle w:val="af4"/>
        <w:numPr>
          <w:ilvl w:val="0"/>
          <w:numId w:val="53"/>
        </w:numPr>
        <w:spacing w:after="0" w:line="240" w:lineRule="auto"/>
        <w:ind w:hanging="355"/>
        <w:jc w:val="both"/>
        <w:rPr>
          <w:rFonts w:ascii="Times New Roman" w:hAnsi="Times New Roman"/>
          <w:bCs/>
          <w:color w:val="000000"/>
          <w:sz w:val="20"/>
          <w:szCs w:val="20"/>
        </w:rPr>
      </w:pPr>
      <w:r>
        <w:rPr>
          <w:rFonts w:ascii="Times New Roman" w:hAnsi="Times New Roman"/>
          <w:bCs/>
          <w:color w:val="000000" w:themeColor="text1"/>
          <w:sz w:val="20"/>
          <w:szCs w:val="20"/>
        </w:rPr>
        <w:lastRenderedPageBreak/>
        <w:t>Тематические экскурсии на предприятия города Владивостока:</w:t>
      </w:r>
    </w:p>
    <w:p w:rsidR="00517711" w:rsidRDefault="00F815BE">
      <w:pPr>
        <w:pStyle w:val="af4"/>
        <w:numPr>
          <w:ilvl w:val="0"/>
          <w:numId w:val="54"/>
        </w:numPr>
        <w:spacing w:after="0" w:line="240" w:lineRule="auto"/>
        <w:ind w:hanging="355"/>
        <w:jc w:val="both"/>
        <w:rPr>
          <w:rFonts w:ascii="Times New Roman" w:hAnsi="Times New Roman"/>
          <w:bCs/>
          <w:color w:val="000000"/>
          <w:sz w:val="20"/>
          <w:szCs w:val="20"/>
        </w:rPr>
      </w:pPr>
      <w:r>
        <w:rPr>
          <w:rFonts w:ascii="Times New Roman" w:hAnsi="Times New Roman"/>
          <w:bCs/>
          <w:color w:val="000000" w:themeColor="text1"/>
          <w:sz w:val="20"/>
          <w:szCs w:val="20"/>
        </w:rPr>
        <w:t>МУПВ «Спецзавод № 1» (ул. Холмистая, 1.)</w:t>
      </w:r>
    </w:p>
    <w:p w:rsidR="00517711" w:rsidRDefault="00F815BE">
      <w:pPr>
        <w:pStyle w:val="af4"/>
        <w:numPr>
          <w:ilvl w:val="0"/>
          <w:numId w:val="54"/>
        </w:numPr>
        <w:spacing w:after="0" w:line="240" w:lineRule="auto"/>
        <w:ind w:hanging="355"/>
        <w:jc w:val="both"/>
        <w:rPr>
          <w:rFonts w:ascii="Times New Roman" w:hAnsi="Times New Roman"/>
          <w:bCs/>
          <w:color w:val="000000"/>
          <w:sz w:val="20"/>
          <w:szCs w:val="20"/>
        </w:rPr>
      </w:pPr>
      <w:r>
        <w:rPr>
          <w:rFonts w:ascii="Times New Roman" w:hAnsi="Times New Roman"/>
          <w:bCs/>
          <w:color w:val="000000" w:themeColor="text1"/>
          <w:sz w:val="20"/>
          <w:szCs w:val="20"/>
        </w:rPr>
        <w:t>ООО «Кока-Кола ЭйчБиСи Евразия», филиал в г. Владивостоке. (ул. 2-я Шоссейная, 1).</w:t>
      </w:r>
    </w:p>
    <w:p w:rsidR="00517711" w:rsidRDefault="00F815BE">
      <w:pPr>
        <w:pStyle w:val="af4"/>
        <w:numPr>
          <w:ilvl w:val="0"/>
          <w:numId w:val="54"/>
        </w:numPr>
        <w:spacing w:after="0" w:line="240" w:lineRule="auto"/>
        <w:ind w:hanging="355"/>
        <w:jc w:val="both"/>
        <w:rPr>
          <w:rFonts w:ascii="Times New Roman" w:hAnsi="Times New Roman"/>
          <w:bCs/>
          <w:color w:val="000000"/>
          <w:sz w:val="20"/>
          <w:szCs w:val="20"/>
        </w:rPr>
      </w:pPr>
      <w:r>
        <w:rPr>
          <w:rFonts w:ascii="Times New Roman" w:hAnsi="Times New Roman"/>
          <w:bCs/>
          <w:color w:val="000000" w:themeColor="text1"/>
          <w:sz w:val="20"/>
          <w:szCs w:val="20"/>
        </w:rPr>
        <w:t xml:space="preserve">КГУП «Приморский водоканал» (комплекс очистных сооружений «Северный». (п. ДЕ-фриз); очистные сооружения о. Русский (п. Аякс). </w:t>
      </w:r>
    </w:p>
    <w:p w:rsidR="00517711" w:rsidRDefault="00F815BE">
      <w:pPr>
        <w:pStyle w:val="af4"/>
        <w:numPr>
          <w:ilvl w:val="0"/>
          <w:numId w:val="53"/>
        </w:numPr>
        <w:spacing w:after="0" w:line="240" w:lineRule="auto"/>
        <w:ind w:hanging="355"/>
        <w:jc w:val="both"/>
        <w:rPr>
          <w:rFonts w:ascii="Times New Roman" w:hAnsi="Times New Roman"/>
          <w:bCs/>
          <w:color w:val="000000"/>
          <w:sz w:val="20"/>
          <w:szCs w:val="20"/>
        </w:rPr>
      </w:pPr>
      <w:r>
        <w:rPr>
          <w:rFonts w:ascii="Times New Roman" w:hAnsi="Times New Roman"/>
          <w:bCs/>
          <w:color w:val="000000" w:themeColor="text1"/>
          <w:sz w:val="20"/>
          <w:szCs w:val="20"/>
        </w:rPr>
        <w:t>Экологический праздник.</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Эти мероприятия нацелены на ознакомление с проблемами окружающей среды и побуждения участия населения в решении этих проблем.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Данные программы были направлены по большей части на учащихся высших учебных заведений и школ.</w:t>
      </w:r>
    </w:p>
    <w:p w:rsidR="00517711" w:rsidRDefault="00517711">
      <w:pPr>
        <w:spacing w:after="0" w:line="240" w:lineRule="auto"/>
        <w:ind w:firstLine="709"/>
        <w:jc w:val="both"/>
        <w:rPr>
          <w:rFonts w:ascii="Times New Roman" w:hAnsi="Times New Roman" w:cs="Times New Roman"/>
          <w:color w:val="000000"/>
          <w:sz w:val="20"/>
          <w:szCs w:val="20"/>
        </w:rPr>
      </w:pPr>
    </w:p>
    <w:p w:rsidR="00517711" w:rsidRDefault="00F815BE">
      <w:pPr>
        <w:spacing w:after="0" w:line="240" w:lineRule="auto"/>
        <w:ind w:firstLine="709"/>
        <w:jc w:val="both"/>
        <w:rPr>
          <w:rFonts w:ascii="Times New Roman" w:hAnsi="Times New Roman" w:cs="Times New Roman"/>
          <w:bCs/>
          <w:color w:val="000000"/>
          <w:sz w:val="20"/>
          <w:szCs w:val="20"/>
        </w:rPr>
      </w:pPr>
      <w:r>
        <w:rPr>
          <w:rFonts w:ascii="Times New Roman" w:hAnsi="Times New Roman" w:cs="Times New Roman"/>
          <w:bCs/>
          <w:color w:val="000000" w:themeColor="text1"/>
          <w:sz w:val="20"/>
          <w:szCs w:val="20"/>
        </w:rPr>
        <w:t>Был проведен опрос населения, в ходе которого, были заданы такие вопросы:</w:t>
      </w:r>
    </w:p>
    <w:p w:rsidR="00517711" w:rsidRDefault="00F815BE">
      <w:pPr>
        <w:numPr>
          <w:ilvl w:val="0"/>
          <w:numId w:val="51"/>
        </w:numPr>
        <w:spacing w:after="0" w:line="240" w:lineRule="auto"/>
        <w:ind w:left="0" w:firstLine="709"/>
        <w:jc w:val="both"/>
        <w:rPr>
          <w:rFonts w:ascii="Times New Roman" w:hAnsi="Times New Roman" w:cs="Times New Roman"/>
          <w:bCs/>
          <w:color w:val="000000"/>
          <w:sz w:val="20"/>
          <w:szCs w:val="20"/>
        </w:rPr>
      </w:pPr>
      <w:r>
        <w:rPr>
          <w:rFonts w:ascii="Times New Roman" w:hAnsi="Times New Roman" w:cs="Times New Roman"/>
          <w:bCs/>
          <w:color w:val="000000" w:themeColor="text1"/>
          <w:sz w:val="20"/>
          <w:szCs w:val="20"/>
        </w:rPr>
        <w:t xml:space="preserve">Как вы относитесь к повсеместной установке баков для селективного сбора мусора в городе Владивостоке? </w:t>
      </w:r>
    </w:p>
    <w:p w:rsidR="00517711" w:rsidRDefault="00F815BE">
      <w:pPr>
        <w:numPr>
          <w:ilvl w:val="0"/>
          <w:numId w:val="51"/>
        </w:numPr>
        <w:spacing w:after="0" w:line="240" w:lineRule="auto"/>
        <w:ind w:left="0" w:firstLine="709"/>
        <w:jc w:val="both"/>
        <w:rPr>
          <w:rFonts w:ascii="Times New Roman" w:hAnsi="Times New Roman" w:cs="Times New Roman"/>
          <w:bCs/>
          <w:color w:val="000000"/>
          <w:sz w:val="20"/>
          <w:szCs w:val="20"/>
        </w:rPr>
      </w:pPr>
      <w:r>
        <w:rPr>
          <w:rFonts w:ascii="Times New Roman" w:hAnsi="Times New Roman" w:cs="Times New Roman"/>
          <w:bCs/>
          <w:color w:val="000000" w:themeColor="text1"/>
          <w:sz w:val="20"/>
          <w:szCs w:val="20"/>
        </w:rPr>
        <w:t xml:space="preserve">Поможет ли установка баков для селективного сбора мусора, решению экологических проблем города Владивостока? </w:t>
      </w:r>
    </w:p>
    <w:p w:rsidR="00517711" w:rsidRDefault="00F815BE">
      <w:pPr>
        <w:pStyle w:val="af4"/>
        <w:numPr>
          <w:ilvl w:val="0"/>
          <w:numId w:val="51"/>
        </w:numPr>
        <w:spacing w:after="0" w:line="240" w:lineRule="auto"/>
        <w:ind w:left="0" w:firstLine="709"/>
        <w:jc w:val="both"/>
        <w:rPr>
          <w:rFonts w:ascii="Times New Roman" w:hAnsi="Times New Roman"/>
          <w:color w:val="000000"/>
          <w:sz w:val="20"/>
          <w:szCs w:val="20"/>
        </w:rPr>
      </w:pPr>
      <w:r>
        <w:rPr>
          <w:rFonts w:ascii="Times New Roman" w:hAnsi="Times New Roman"/>
          <w:bCs/>
          <w:color w:val="000000" w:themeColor="text1"/>
          <w:sz w:val="20"/>
          <w:szCs w:val="20"/>
        </w:rPr>
        <w:t xml:space="preserve">Нужно ли развивать программы «экологического просвещения» и побуждать участвовать в них населения еще со школьной программы? </w:t>
      </w:r>
    </w:p>
    <w:p w:rsidR="00517711" w:rsidRDefault="00F815BE">
      <w:pPr>
        <w:spacing w:after="0" w:line="240" w:lineRule="auto"/>
        <w:ind w:firstLine="709"/>
        <w:jc w:val="both"/>
        <w:rPr>
          <w:rFonts w:ascii="Times New Roman" w:hAnsi="Times New Roman" w:cs="Times New Roman"/>
          <w:bCs/>
          <w:color w:val="000000"/>
          <w:sz w:val="20"/>
          <w:szCs w:val="20"/>
        </w:rPr>
      </w:pPr>
      <w:r>
        <w:rPr>
          <w:rFonts w:ascii="Times New Roman" w:hAnsi="Times New Roman" w:cs="Times New Roman"/>
          <w:color w:val="000000" w:themeColor="text1"/>
          <w:sz w:val="20"/>
          <w:szCs w:val="20"/>
        </w:rPr>
        <w:t>По проведенному опросу было выявлено, что население города Владивостока, готово участвовать в программах «</w:t>
      </w:r>
      <w:r>
        <w:rPr>
          <w:rFonts w:ascii="Times New Roman" w:hAnsi="Times New Roman" w:cs="Times New Roman"/>
          <w:bCs/>
          <w:color w:val="000000" w:themeColor="text1"/>
          <w:sz w:val="20"/>
          <w:szCs w:val="20"/>
        </w:rPr>
        <w:t>экологического просвещения»</w:t>
      </w:r>
      <w:r>
        <w:rPr>
          <w:rFonts w:ascii="Times New Roman" w:hAnsi="Times New Roman" w:cs="Times New Roman"/>
          <w:color w:val="000000" w:themeColor="text1"/>
          <w:sz w:val="20"/>
          <w:szCs w:val="20"/>
        </w:rPr>
        <w:t xml:space="preserve">, так 96% опрашиваемых согласились, что следует и дальше развивать программы экологического просвещения. Также население положительно отнеслось к идее </w:t>
      </w:r>
      <w:r>
        <w:rPr>
          <w:rFonts w:ascii="Times New Roman" w:hAnsi="Times New Roman" w:cs="Times New Roman"/>
          <w:bCs/>
          <w:color w:val="000000" w:themeColor="text1"/>
          <w:sz w:val="20"/>
          <w:szCs w:val="20"/>
        </w:rPr>
        <w:t xml:space="preserve">повсеместной установке баков для селективного сбора отходов в городе Владивостоке </w:t>
      </w:r>
      <w:r>
        <w:rPr>
          <w:rFonts w:ascii="Times New Roman" w:hAnsi="Times New Roman" w:cs="Times New Roman"/>
          <w:color w:val="000000" w:themeColor="text1"/>
          <w:sz w:val="20"/>
          <w:szCs w:val="20"/>
        </w:rPr>
        <w:t>(в ходе опроса об этой идее положительно высказалось 80% опрашиваемых). Н</w:t>
      </w:r>
      <w:r>
        <w:rPr>
          <w:rFonts w:ascii="Times New Roman" w:hAnsi="Times New Roman" w:cs="Times New Roman"/>
          <w:bCs/>
          <w:color w:val="000000" w:themeColor="text1"/>
          <w:sz w:val="20"/>
          <w:szCs w:val="20"/>
        </w:rPr>
        <w:t xml:space="preserve">о большинство людей считают, что программа по селективному сбору отходов, никакого положительного эффекта для окружающей среды города не принесёт, с этим согласились 70% опрашиваемого населения. </w:t>
      </w:r>
    </w:p>
    <w:p w:rsidR="00517711" w:rsidRDefault="00517711">
      <w:pPr>
        <w:spacing w:after="0" w:line="240" w:lineRule="auto"/>
        <w:ind w:firstLine="709"/>
        <w:jc w:val="both"/>
        <w:rPr>
          <w:rFonts w:ascii="Times New Roman" w:hAnsi="Times New Roman" w:cs="Times New Roman"/>
          <w:bCs/>
          <w:color w:val="000000"/>
          <w:sz w:val="20"/>
          <w:szCs w:val="20"/>
        </w:rPr>
      </w:pPr>
    </w:p>
    <w:p w:rsidR="00517711" w:rsidRDefault="00F815BE">
      <w:pPr>
        <w:spacing w:line="240" w:lineRule="auto"/>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Подводя итог всему вышесказанному: </w:t>
      </w:r>
      <w:r>
        <w:rPr>
          <w:rFonts w:ascii="Times New Roman" w:hAnsi="Times New Roman" w:cs="Times New Roman"/>
          <w:color w:val="000000" w:themeColor="text1"/>
          <w:sz w:val="20"/>
          <w:szCs w:val="20"/>
        </w:rPr>
        <w:tab/>
      </w:r>
    </w:p>
    <w:p w:rsidR="00517711" w:rsidRDefault="00F815BE">
      <w:pPr>
        <w:pStyle w:val="af4"/>
        <w:numPr>
          <w:ilvl w:val="0"/>
          <w:numId w:val="52"/>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Ежегодно происходит увеличение объемов образования отходов, в том числе твердых бытовых отходов.</w:t>
      </w:r>
    </w:p>
    <w:p w:rsidR="00517711" w:rsidRDefault="00F815BE">
      <w:pPr>
        <w:pStyle w:val="af4"/>
        <w:numPr>
          <w:ilvl w:val="0"/>
          <w:numId w:val="52"/>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Рост городов и возрастающий при этом объем хозяйственной и иной деятельности ведет к интенсивному накоплению отходов производства и потребления.</w:t>
      </w:r>
    </w:p>
    <w:p w:rsidR="00517711" w:rsidRDefault="00F815BE">
      <w:pPr>
        <w:pStyle w:val="af4"/>
        <w:numPr>
          <w:ilvl w:val="0"/>
          <w:numId w:val="52"/>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В нашей стране система раздельного сбора отходов только внедряется.</w:t>
      </w:r>
    </w:p>
    <w:p w:rsidR="00517711" w:rsidRDefault="00F815BE">
      <w:pPr>
        <w:pStyle w:val="af4"/>
        <w:numPr>
          <w:ilvl w:val="0"/>
          <w:numId w:val="52"/>
        </w:numPr>
        <w:pBdr>
          <w:bottom w:val="single" w:sz="12" w:space="1" w:color="auto"/>
        </w:pBd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Несмотря на то, что администрация города, каждый год разрабатывает новые программы, направленные на экологическое просвещение, население города относиться к их результатам скептически.</w:t>
      </w:r>
    </w:p>
    <w:p w:rsidR="00517711" w:rsidRDefault="00517711">
      <w:pPr>
        <w:pBdr>
          <w:bottom w:val="single" w:sz="12" w:space="1" w:color="auto"/>
        </w:pBdr>
        <w:spacing w:after="0" w:line="240" w:lineRule="auto"/>
        <w:jc w:val="both"/>
        <w:rPr>
          <w:rFonts w:ascii="Times New Roman" w:hAnsi="Times New Roman" w:cs="Times New Roman"/>
          <w:color w:val="000000"/>
          <w:sz w:val="20"/>
          <w:szCs w:val="20"/>
        </w:rPr>
      </w:pPr>
    </w:p>
    <w:p w:rsidR="00517711" w:rsidRDefault="00517711">
      <w:pPr>
        <w:pBdr>
          <w:bottom w:val="single" w:sz="12" w:space="1" w:color="auto"/>
        </w:pBdr>
        <w:spacing w:after="0" w:line="240" w:lineRule="auto"/>
        <w:jc w:val="both"/>
        <w:rPr>
          <w:rFonts w:ascii="Times New Roman" w:hAnsi="Times New Roman" w:cs="Times New Roman"/>
          <w:color w:val="000000"/>
          <w:sz w:val="20"/>
          <w:szCs w:val="20"/>
        </w:rPr>
      </w:pPr>
    </w:p>
    <w:p w:rsidR="00517711" w:rsidRDefault="00517711">
      <w:pPr>
        <w:pBdr>
          <w:bottom w:val="single" w:sz="12" w:space="1" w:color="auto"/>
        </w:pBdr>
        <w:spacing w:after="0" w:line="240" w:lineRule="auto"/>
        <w:jc w:val="both"/>
        <w:rPr>
          <w:rFonts w:ascii="Times New Roman" w:hAnsi="Times New Roman" w:cs="Times New Roman"/>
          <w:color w:val="000000"/>
          <w:sz w:val="20"/>
          <w:szCs w:val="20"/>
        </w:rPr>
      </w:pPr>
    </w:p>
    <w:p w:rsidR="00517711" w:rsidRDefault="00517711">
      <w:pPr>
        <w:pBdr>
          <w:bottom w:val="single" w:sz="12" w:space="1" w:color="auto"/>
        </w:pBdr>
        <w:spacing w:after="0" w:line="240" w:lineRule="auto"/>
        <w:jc w:val="both"/>
        <w:rPr>
          <w:rFonts w:ascii="Times New Roman" w:hAnsi="Times New Roman" w:cs="Times New Roman"/>
          <w:color w:val="000000"/>
          <w:sz w:val="20"/>
          <w:szCs w:val="20"/>
        </w:rPr>
      </w:pPr>
    </w:p>
    <w:p w:rsidR="00517711" w:rsidRDefault="00517711">
      <w:pPr>
        <w:pBdr>
          <w:bottom w:val="single" w:sz="12" w:space="1" w:color="auto"/>
        </w:pBdr>
        <w:spacing w:after="0" w:line="240" w:lineRule="auto"/>
        <w:jc w:val="both"/>
        <w:rPr>
          <w:rFonts w:ascii="Times New Roman" w:hAnsi="Times New Roman" w:cs="Times New Roman"/>
          <w:color w:val="000000"/>
          <w:sz w:val="20"/>
          <w:szCs w:val="20"/>
        </w:rPr>
      </w:pPr>
    </w:p>
    <w:p w:rsidR="00517711" w:rsidRDefault="00517711">
      <w:pPr>
        <w:pBdr>
          <w:bottom w:val="single" w:sz="12" w:space="1" w:color="auto"/>
        </w:pBdr>
        <w:spacing w:after="0" w:line="240" w:lineRule="auto"/>
        <w:jc w:val="both"/>
        <w:rPr>
          <w:rFonts w:ascii="Times New Roman" w:hAnsi="Times New Roman" w:cs="Times New Roman"/>
          <w:color w:val="000000"/>
          <w:sz w:val="20"/>
          <w:szCs w:val="20"/>
        </w:rPr>
      </w:pPr>
    </w:p>
    <w:p w:rsidR="00517711" w:rsidRDefault="00517711">
      <w:pPr>
        <w:pBdr>
          <w:bottom w:val="single" w:sz="12" w:space="1" w:color="auto"/>
        </w:pBdr>
        <w:spacing w:after="0" w:line="240" w:lineRule="auto"/>
        <w:jc w:val="both"/>
        <w:rPr>
          <w:rFonts w:ascii="Times New Roman" w:hAnsi="Times New Roman" w:cs="Times New Roman"/>
          <w:color w:val="000000"/>
          <w:sz w:val="20"/>
          <w:szCs w:val="20"/>
        </w:rPr>
      </w:pPr>
    </w:p>
    <w:p w:rsidR="00517711" w:rsidRDefault="00517711">
      <w:pPr>
        <w:pStyle w:val="af4"/>
        <w:spacing w:after="0" w:line="240" w:lineRule="auto"/>
        <w:ind w:left="709"/>
        <w:jc w:val="both"/>
        <w:rPr>
          <w:rFonts w:ascii="Times New Roman" w:hAnsi="Times New Roman"/>
          <w:color w:val="000000"/>
          <w:sz w:val="20"/>
          <w:szCs w:val="20"/>
        </w:rPr>
      </w:pPr>
    </w:p>
    <w:p w:rsidR="00517711" w:rsidRDefault="00F815BE">
      <w:pPr>
        <w:pStyle w:val="af4"/>
        <w:numPr>
          <w:ilvl w:val="0"/>
          <w:numId w:val="56"/>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Хомич, В.А. Экология городской среды: учеб. Пособие для вузов / В.А. Хомич – Омск: Изд-во СибАДИ, 2002. – 267 с.</w:t>
      </w:r>
    </w:p>
    <w:p w:rsidR="00517711" w:rsidRDefault="00F815BE">
      <w:pPr>
        <w:pStyle w:val="af4"/>
        <w:numPr>
          <w:ilvl w:val="0"/>
          <w:numId w:val="56"/>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Экологическое просвещение: учебно-методическое пособие / сост. И.М. Зарубина – Киров: ООО «Типография «Старая Вятка», 2012. – 95 с</w:t>
      </w:r>
    </w:p>
    <w:p w:rsidR="00517711" w:rsidRDefault="00F815BE">
      <w:pPr>
        <w:pStyle w:val="af4"/>
        <w:numPr>
          <w:ilvl w:val="0"/>
          <w:numId w:val="56"/>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 xml:space="preserve">Селективный сбор отходов: что это такое и как проводиться [Электронный ресурс] – режим доступа : </w:t>
      </w:r>
      <w:hyperlink r:id="rId151" w:history="1">
        <w:r>
          <w:rPr>
            <w:rStyle w:val="aa"/>
            <w:rFonts w:ascii="Times New Roman" w:hAnsi="Times New Roman"/>
            <w:color w:val="000000" w:themeColor="text1"/>
            <w:sz w:val="20"/>
            <w:szCs w:val="20"/>
          </w:rPr>
          <w:t>http://bigpicture.ru/?p=945033</w:t>
        </w:r>
      </w:hyperlink>
      <w:r>
        <w:rPr>
          <w:rFonts w:ascii="Times New Roman" w:hAnsi="Times New Roman"/>
          <w:color w:val="000000" w:themeColor="text1"/>
          <w:sz w:val="20"/>
          <w:szCs w:val="20"/>
        </w:rPr>
        <w:t>.</w:t>
      </w:r>
    </w:p>
    <w:p w:rsidR="00517711" w:rsidRDefault="00F815BE">
      <w:pPr>
        <w:pStyle w:val="af4"/>
        <w:numPr>
          <w:ilvl w:val="0"/>
          <w:numId w:val="56"/>
        </w:numPr>
        <w:spacing w:after="0" w:line="240" w:lineRule="auto"/>
        <w:jc w:val="both"/>
        <w:rPr>
          <w:rStyle w:val="aa"/>
          <w:rFonts w:ascii="Times New Roman" w:hAnsi="Times New Roman"/>
          <w:color w:val="000000"/>
          <w:sz w:val="20"/>
          <w:szCs w:val="20"/>
        </w:rPr>
      </w:pPr>
      <w:r>
        <w:rPr>
          <w:rStyle w:val="aa"/>
          <w:rFonts w:ascii="Times New Roman" w:hAnsi="Times New Roman"/>
          <w:color w:val="000000" w:themeColor="text1"/>
          <w:sz w:val="20"/>
          <w:szCs w:val="20"/>
        </w:rPr>
        <w:t>Твердые бытовые отходы. Экономика, Экология. Предпринимательство: Монография / Коробко В.И., Бычкова В.А. - М.:ЮНИТИ-ДАНА, 2015. - 131 с.</w:t>
      </w:r>
    </w:p>
    <w:p w:rsidR="00517711" w:rsidRDefault="00F815BE">
      <w:pPr>
        <w:pStyle w:val="af4"/>
        <w:numPr>
          <w:ilvl w:val="0"/>
          <w:numId w:val="56"/>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 xml:space="preserve">Разработка концептуальных решений проблемы обращения твердых бытовых отходов [Электронный ресурс] – режим доступа: </w:t>
      </w:r>
      <w:hyperlink r:id="rId152" w:history="1">
        <w:r>
          <w:rPr>
            <w:rStyle w:val="aa"/>
            <w:rFonts w:ascii="Times New Roman" w:hAnsi="Times New Roman"/>
            <w:color w:val="000000" w:themeColor="text1"/>
            <w:sz w:val="20"/>
            <w:szCs w:val="20"/>
            <w:lang w:val="en-US"/>
          </w:rPr>
          <w:t>h</w:t>
        </w:r>
        <w:r>
          <w:rPr>
            <w:rStyle w:val="aa"/>
            <w:rFonts w:ascii="Times New Roman" w:hAnsi="Times New Roman"/>
            <w:color w:val="000000" w:themeColor="text1"/>
            <w:sz w:val="20"/>
            <w:szCs w:val="20"/>
          </w:rPr>
          <w:t>ttp://uecs.ru/ekonomika-prirodopolzovaniyz/item/3398-2015-03-11-11-45-31</w:t>
        </w:r>
      </w:hyperlink>
      <w:r>
        <w:rPr>
          <w:rFonts w:ascii="Times New Roman" w:hAnsi="Times New Roman"/>
          <w:color w:val="000000" w:themeColor="text1"/>
          <w:sz w:val="20"/>
          <w:szCs w:val="20"/>
        </w:rPr>
        <w:t>.</w:t>
      </w:r>
    </w:p>
    <w:p w:rsidR="00517711" w:rsidRDefault="00F815BE">
      <w:pPr>
        <w:pStyle w:val="af4"/>
        <w:numPr>
          <w:ilvl w:val="0"/>
          <w:numId w:val="56"/>
        </w:numPr>
        <w:spacing w:after="0" w:line="240" w:lineRule="auto"/>
        <w:jc w:val="both"/>
        <w:rPr>
          <w:rStyle w:val="aa"/>
          <w:rFonts w:ascii="Times New Roman" w:hAnsi="Times New Roman"/>
          <w:color w:val="000000"/>
          <w:sz w:val="20"/>
          <w:szCs w:val="20"/>
        </w:rPr>
      </w:pPr>
      <w:r>
        <w:rPr>
          <w:rFonts w:ascii="Times New Roman" w:hAnsi="Times New Roman"/>
          <w:color w:val="000000" w:themeColor="text1"/>
          <w:sz w:val="20"/>
          <w:szCs w:val="20"/>
        </w:rPr>
        <w:t xml:space="preserve">Экологическое просвещение и образование [Электронный ресурс] – режим доступа: </w:t>
      </w:r>
      <w:hyperlink r:id="rId153" w:history="1">
        <w:r>
          <w:rPr>
            <w:rStyle w:val="aa"/>
            <w:rFonts w:ascii="Times New Roman" w:hAnsi="Times New Roman"/>
            <w:color w:val="000000" w:themeColor="text1"/>
            <w:sz w:val="20"/>
            <w:szCs w:val="20"/>
          </w:rPr>
          <w:t>https://vuzlit.ru/1268606/ekologicheskoe_prosveschenie_obrazovanie</w:t>
        </w:r>
      </w:hyperlink>
    </w:p>
    <w:p w:rsidR="00517711" w:rsidRDefault="00F815BE">
      <w:pPr>
        <w:pStyle w:val="af4"/>
        <w:numPr>
          <w:ilvl w:val="0"/>
          <w:numId w:val="56"/>
        </w:numPr>
        <w:spacing w:after="0" w:line="240" w:lineRule="auto"/>
        <w:jc w:val="both"/>
        <w:rPr>
          <w:rStyle w:val="aa"/>
          <w:rFonts w:ascii="Times New Roman" w:hAnsi="Times New Roman"/>
          <w:color w:val="000000"/>
          <w:sz w:val="20"/>
          <w:szCs w:val="20"/>
        </w:rPr>
      </w:pPr>
      <w:r>
        <w:rPr>
          <w:rFonts w:ascii="Times New Roman" w:hAnsi="Times New Roman"/>
          <w:color w:val="000000" w:themeColor="text1"/>
          <w:sz w:val="20"/>
          <w:szCs w:val="20"/>
        </w:rPr>
        <w:t xml:space="preserve">Экологическое просвещение населения // </w:t>
      </w:r>
      <w:r>
        <w:rPr>
          <w:rFonts w:ascii="Times New Roman" w:hAnsi="Times New Roman"/>
          <w:color w:val="000000" w:themeColor="text1"/>
          <w:sz w:val="20"/>
          <w:szCs w:val="20"/>
          <w:lang w:val="en-US"/>
        </w:rPr>
        <w:t>BusinessMan</w:t>
      </w:r>
      <w:r>
        <w:rPr>
          <w:rFonts w:ascii="Times New Roman" w:hAnsi="Times New Roman"/>
          <w:color w:val="000000" w:themeColor="text1"/>
          <w:sz w:val="20"/>
          <w:szCs w:val="20"/>
        </w:rPr>
        <w:t>.</w:t>
      </w:r>
      <w:r>
        <w:rPr>
          <w:rFonts w:ascii="Times New Roman" w:hAnsi="Times New Roman"/>
          <w:color w:val="000000" w:themeColor="text1"/>
          <w:sz w:val="20"/>
          <w:szCs w:val="20"/>
          <w:lang w:val="en-US"/>
        </w:rPr>
        <w:t>ru</w:t>
      </w:r>
      <w:r>
        <w:rPr>
          <w:rFonts w:ascii="Times New Roman" w:hAnsi="Times New Roman"/>
          <w:color w:val="000000" w:themeColor="text1"/>
          <w:sz w:val="20"/>
          <w:szCs w:val="20"/>
        </w:rPr>
        <w:t xml:space="preserve">: [Электронный ресурс] – режим доступа: </w:t>
      </w:r>
      <w:hyperlink r:id="rId154" w:history="1">
        <w:r>
          <w:rPr>
            <w:rStyle w:val="aa"/>
            <w:rFonts w:ascii="Times New Roman" w:hAnsi="Times New Roman"/>
            <w:color w:val="000000" w:themeColor="text1"/>
            <w:sz w:val="20"/>
            <w:szCs w:val="20"/>
            <w:lang w:val="en-US"/>
          </w:rPr>
          <w:t>https</w:t>
        </w:r>
        <w:r>
          <w:rPr>
            <w:rStyle w:val="aa"/>
            <w:rFonts w:ascii="Times New Roman" w:hAnsi="Times New Roman"/>
            <w:color w:val="000000" w:themeColor="text1"/>
            <w:sz w:val="20"/>
            <w:szCs w:val="20"/>
          </w:rPr>
          <w:t>://</w:t>
        </w:r>
        <w:r>
          <w:rPr>
            <w:rStyle w:val="aa"/>
            <w:rFonts w:ascii="Times New Roman" w:hAnsi="Times New Roman"/>
            <w:color w:val="000000" w:themeColor="text1"/>
            <w:sz w:val="20"/>
            <w:szCs w:val="20"/>
            <w:lang w:val="en-US"/>
          </w:rPr>
          <w:t>businessman</w:t>
        </w:r>
        <w:r>
          <w:rPr>
            <w:rStyle w:val="aa"/>
            <w:rFonts w:ascii="Times New Roman" w:hAnsi="Times New Roman"/>
            <w:color w:val="000000" w:themeColor="text1"/>
            <w:sz w:val="20"/>
            <w:szCs w:val="20"/>
          </w:rPr>
          <w:t>.</w:t>
        </w:r>
        <w:r>
          <w:rPr>
            <w:rStyle w:val="aa"/>
            <w:rFonts w:ascii="Times New Roman" w:hAnsi="Times New Roman"/>
            <w:color w:val="000000" w:themeColor="text1"/>
            <w:sz w:val="20"/>
            <w:szCs w:val="20"/>
            <w:lang w:val="en-US"/>
          </w:rPr>
          <w:t>ru</w:t>
        </w:r>
        <w:r>
          <w:rPr>
            <w:rStyle w:val="aa"/>
            <w:rFonts w:ascii="Times New Roman" w:hAnsi="Times New Roman"/>
            <w:color w:val="000000" w:themeColor="text1"/>
            <w:sz w:val="20"/>
            <w:szCs w:val="20"/>
          </w:rPr>
          <w:t>/</w:t>
        </w:r>
        <w:r>
          <w:rPr>
            <w:rStyle w:val="aa"/>
            <w:rFonts w:ascii="Times New Roman" w:hAnsi="Times New Roman"/>
            <w:color w:val="000000" w:themeColor="text1"/>
            <w:sz w:val="20"/>
            <w:szCs w:val="20"/>
            <w:lang w:val="en-US"/>
          </w:rPr>
          <w:t>ekologicheskoe</w:t>
        </w:r>
        <w:r>
          <w:rPr>
            <w:rStyle w:val="aa"/>
            <w:rFonts w:ascii="Times New Roman" w:hAnsi="Times New Roman"/>
            <w:color w:val="000000" w:themeColor="text1"/>
            <w:sz w:val="20"/>
            <w:szCs w:val="20"/>
          </w:rPr>
          <w:t>-</w:t>
        </w:r>
        <w:r>
          <w:rPr>
            <w:rStyle w:val="aa"/>
            <w:rFonts w:ascii="Times New Roman" w:hAnsi="Times New Roman"/>
            <w:color w:val="000000" w:themeColor="text1"/>
            <w:sz w:val="20"/>
            <w:szCs w:val="20"/>
            <w:lang w:val="en-US"/>
          </w:rPr>
          <w:t>prosveschenie</w:t>
        </w:r>
        <w:r>
          <w:rPr>
            <w:rStyle w:val="aa"/>
            <w:rFonts w:ascii="Times New Roman" w:hAnsi="Times New Roman"/>
            <w:color w:val="000000" w:themeColor="text1"/>
            <w:sz w:val="20"/>
            <w:szCs w:val="20"/>
          </w:rPr>
          <w:t>-</w:t>
        </w:r>
        <w:r>
          <w:rPr>
            <w:rStyle w:val="aa"/>
            <w:rFonts w:ascii="Times New Roman" w:hAnsi="Times New Roman"/>
            <w:color w:val="000000" w:themeColor="text1"/>
            <w:sz w:val="20"/>
            <w:szCs w:val="20"/>
            <w:lang w:val="en-US"/>
          </w:rPr>
          <w:t>naseleniya</w:t>
        </w:r>
        <w:r>
          <w:rPr>
            <w:rStyle w:val="aa"/>
            <w:rFonts w:ascii="Times New Roman" w:hAnsi="Times New Roman"/>
            <w:color w:val="000000" w:themeColor="text1"/>
            <w:sz w:val="20"/>
            <w:szCs w:val="20"/>
          </w:rPr>
          <w:t>.</w:t>
        </w:r>
        <w:r>
          <w:rPr>
            <w:rStyle w:val="aa"/>
            <w:rFonts w:ascii="Times New Roman" w:hAnsi="Times New Roman"/>
            <w:color w:val="000000" w:themeColor="text1"/>
            <w:sz w:val="20"/>
            <w:szCs w:val="20"/>
            <w:lang w:val="en-US"/>
          </w:rPr>
          <w:t>html</w:t>
        </w:r>
      </w:hyperlink>
    </w:p>
    <w:p w:rsidR="00517711" w:rsidRDefault="00F815BE">
      <w:pPr>
        <w:pStyle w:val="af4"/>
        <w:numPr>
          <w:ilvl w:val="0"/>
          <w:numId w:val="56"/>
        </w:numPr>
        <w:spacing w:after="0" w:line="240" w:lineRule="auto"/>
        <w:jc w:val="both"/>
        <w:rPr>
          <w:rStyle w:val="aa"/>
          <w:rFonts w:ascii="Times New Roman" w:hAnsi="Times New Roman"/>
          <w:color w:val="000000"/>
          <w:sz w:val="20"/>
          <w:szCs w:val="20"/>
        </w:rPr>
      </w:pPr>
      <w:r>
        <w:rPr>
          <w:rFonts w:ascii="Times New Roman" w:hAnsi="Times New Roman"/>
          <w:color w:val="000000" w:themeColor="text1"/>
          <w:sz w:val="20"/>
          <w:szCs w:val="20"/>
        </w:rPr>
        <w:t xml:space="preserve">Боровский Е. Э. Отходы, мусор, отбросы… // Химия. — № 10. — 2001. [Электронный ресурс] – режим доступа: </w:t>
      </w:r>
      <w:hyperlink r:id="rId155" w:history="1">
        <w:r>
          <w:rPr>
            <w:rStyle w:val="aa"/>
            <w:rFonts w:ascii="Times New Roman" w:hAnsi="Times New Roman"/>
            <w:color w:val="000000" w:themeColor="text1"/>
            <w:sz w:val="20"/>
            <w:szCs w:val="20"/>
          </w:rPr>
          <w:t>http://him.1september.ru/article.php?ID=200101001</w:t>
        </w:r>
      </w:hyperlink>
    </w:p>
    <w:p w:rsidR="00517711" w:rsidRDefault="00F815BE">
      <w:pPr>
        <w:pStyle w:val="af4"/>
        <w:numPr>
          <w:ilvl w:val="0"/>
          <w:numId w:val="56"/>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 xml:space="preserve">Состав ТБО [Электронный ресурс] – режим доступа: </w:t>
      </w:r>
      <w:hyperlink r:id="rId156" w:history="1">
        <w:r>
          <w:rPr>
            <w:rStyle w:val="aa"/>
            <w:rFonts w:ascii="Times New Roman" w:hAnsi="Times New Roman"/>
            <w:color w:val="000000" w:themeColor="text1"/>
            <w:sz w:val="20"/>
            <w:szCs w:val="20"/>
          </w:rPr>
          <w:t>http://www.ecosibir.ru/utilizaciya-othodov/page121/</w:t>
        </w:r>
      </w:hyperlink>
    </w:p>
    <w:p w:rsidR="00517711" w:rsidRDefault="00F815BE">
      <w:pPr>
        <w:pStyle w:val="af4"/>
        <w:numPr>
          <w:ilvl w:val="0"/>
          <w:numId w:val="56"/>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 xml:space="preserve">СНиП 2.07.01-89 Градостроительство. Планировка и застройка городских и сельских поселений [Электронный ресурс] – режим доступа: </w:t>
      </w:r>
      <w:hyperlink r:id="rId157" w:history="1">
        <w:r>
          <w:rPr>
            <w:rStyle w:val="aa"/>
            <w:rFonts w:ascii="Times New Roman" w:hAnsi="Times New Roman"/>
            <w:color w:val="000000" w:themeColor="text1"/>
            <w:sz w:val="20"/>
            <w:szCs w:val="20"/>
          </w:rPr>
          <w:t>http://base.garant.ru/2305985</w:t>
        </w:r>
      </w:hyperlink>
      <w:r>
        <w:rPr>
          <w:rFonts w:ascii="Times New Roman" w:hAnsi="Times New Roman"/>
          <w:color w:val="000000" w:themeColor="text1"/>
          <w:sz w:val="20"/>
          <w:szCs w:val="20"/>
        </w:rPr>
        <w:t>.</w:t>
      </w:r>
    </w:p>
    <w:p w:rsidR="00517711" w:rsidRDefault="00F815BE">
      <w:pPr>
        <w:pStyle w:val="af4"/>
        <w:numPr>
          <w:ilvl w:val="0"/>
          <w:numId w:val="56"/>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Закон</w:t>
      </w:r>
      <w:r>
        <w:rPr>
          <w:rFonts w:ascii="Times New Roman" w:hAnsi="Times New Roman"/>
          <w:color w:val="000000" w:themeColor="text1"/>
          <w:spacing w:val="2"/>
          <w:sz w:val="20"/>
          <w:szCs w:val="20"/>
          <w:shd w:val="clear" w:color="auto" w:fill="FFFFFF"/>
        </w:rPr>
        <w:t xml:space="preserve"> «</w:t>
      </w:r>
      <w:r>
        <w:rPr>
          <w:rFonts w:ascii="Times New Roman" w:hAnsi="Times New Roman"/>
          <w:color w:val="000000" w:themeColor="text1"/>
          <w:sz w:val="20"/>
          <w:szCs w:val="20"/>
        </w:rPr>
        <w:t>Об утверждении правил по обращению с отходами» </w:t>
      </w:r>
    </w:p>
    <w:p w:rsidR="00517711" w:rsidRDefault="00F815BE">
      <w:pPr>
        <w:pStyle w:val="af4"/>
        <w:numPr>
          <w:ilvl w:val="0"/>
          <w:numId w:val="56"/>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lastRenderedPageBreak/>
        <w:t>Экологическое просвещение и образование населения города Владивостока [Электронный ресурс] – режим доступа: http://mag.e-gorod.ru/lib/20446/</w:t>
      </w:r>
    </w:p>
    <w:p w:rsidR="00517711" w:rsidRDefault="00517711">
      <w:pPr>
        <w:pStyle w:val="af4"/>
        <w:spacing w:after="0" w:line="240" w:lineRule="auto"/>
        <w:ind w:left="0"/>
        <w:jc w:val="both"/>
        <w:rPr>
          <w:rFonts w:ascii="Times New Roman" w:hAnsi="Times New Roman"/>
          <w:b/>
          <w:sz w:val="20"/>
          <w:szCs w:val="20"/>
        </w:rPr>
      </w:pPr>
    </w:p>
    <w:p w:rsidR="00517711" w:rsidRDefault="00F815BE">
      <w:pPr>
        <w:rPr>
          <w:rFonts w:ascii="Times New Roman" w:hAnsi="Times New Roman" w:cs="Times New Roman"/>
          <w:b/>
          <w:color w:val="000000"/>
          <w:sz w:val="20"/>
          <w:szCs w:val="28"/>
        </w:rPr>
      </w:pPr>
      <w:r>
        <w:rPr>
          <w:rFonts w:ascii="Times New Roman" w:hAnsi="Times New Roman" w:cs="Times New Roman"/>
          <w:b/>
          <w:color w:val="000000"/>
          <w:sz w:val="20"/>
          <w:szCs w:val="28"/>
        </w:rPr>
        <w:t>Рубрика: Экология</w:t>
      </w:r>
    </w:p>
    <w:p w:rsidR="00517711" w:rsidRDefault="00F815BE">
      <w:pPr>
        <w:rPr>
          <w:rFonts w:ascii="Times New Roman" w:hAnsi="Times New Roman" w:cs="Times New Roman"/>
          <w:color w:val="000000"/>
          <w:sz w:val="20"/>
          <w:szCs w:val="28"/>
        </w:rPr>
      </w:pPr>
      <w:r>
        <w:rPr>
          <w:rFonts w:ascii="Times New Roman" w:hAnsi="Times New Roman" w:cs="Times New Roman"/>
          <w:color w:val="000000"/>
          <w:sz w:val="20"/>
          <w:szCs w:val="28"/>
        </w:rPr>
        <w:t>УДК 54.057</w:t>
      </w:r>
    </w:p>
    <w:p w:rsidR="00517711" w:rsidRDefault="00F815BE">
      <w:pPr>
        <w:jc w:val="center"/>
        <w:rPr>
          <w:rFonts w:ascii="Book Antiqua" w:hAnsi="Book Antiqua"/>
          <w:b/>
          <w:color w:val="000000"/>
          <w:sz w:val="26"/>
          <w:szCs w:val="26"/>
        </w:rPr>
      </w:pPr>
      <w:r>
        <w:rPr>
          <w:rFonts w:ascii="Book Antiqua" w:hAnsi="Book Antiqua"/>
          <w:b/>
          <w:color w:val="000000"/>
          <w:sz w:val="26"/>
          <w:szCs w:val="26"/>
        </w:rPr>
        <w:t>ВЛИЯНИЕ УСЛОВИЙ СИНТЕЗА НА ОСОБЕННОСТИ ФОРМИРОВАНИЯ СИЛИКАТОВ КАЛЬЦИЯ</w:t>
      </w:r>
    </w:p>
    <w:p w:rsidR="00517711" w:rsidRDefault="00F815BE">
      <w:pPr>
        <w:spacing w:after="0" w:line="240" w:lineRule="auto"/>
        <w:jc w:val="center"/>
        <w:rPr>
          <w:rFonts w:ascii="Arial" w:hAnsi="Arial" w:cs="Arial"/>
          <w:b/>
          <w:color w:val="000000"/>
          <w:sz w:val="24"/>
        </w:rPr>
      </w:pPr>
      <w:r>
        <w:rPr>
          <w:rFonts w:ascii="Arial" w:hAnsi="Arial" w:cs="Arial"/>
          <w:b/>
          <w:color w:val="000000"/>
          <w:sz w:val="24"/>
        </w:rPr>
        <w:t>Ушкова Вероника Олеговна,</w:t>
      </w:r>
    </w:p>
    <w:p w:rsidR="00517711" w:rsidRDefault="00F815BE">
      <w:pPr>
        <w:spacing w:after="0" w:line="240" w:lineRule="auto"/>
        <w:jc w:val="center"/>
        <w:rPr>
          <w:rFonts w:ascii="Arial" w:hAnsi="Arial" w:cs="Arial"/>
          <w:color w:val="000000"/>
          <w:sz w:val="24"/>
        </w:rPr>
      </w:pPr>
      <w:r>
        <w:rPr>
          <w:rFonts w:ascii="Arial" w:hAnsi="Arial" w:cs="Arial"/>
          <w:color w:val="000000"/>
          <w:sz w:val="24"/>
        </w:rPr>
        <w:t>Бакалавр</w:t>
      </w:r>
    </w:p>
    <w:p w:rsidR="00517711" w:rsidRDefault="00517711">
      <w:pPr>
        <w:spacing w:after="0" w:line="240" w:lineRule="auto"/>
        <w:jc w:val="center"/>
        <w:rPr>
          <w:rFonts w:ascii="Arial" w:hAnsi="Arial" w:cs="Arial"/>
          <w:color w:val="000000"/>
          <w:sz w:val="24"/>
        </w:rPr>
      </w:pPr>
    </w:p>
    <w:p w:rsidR="00517711" w:rsidRDefault="00F815BE">
      <w:pPr>
        <w:spacing w:after="0" w:line="240" w:lineRule="auto"/>
        <w:jc w:val="center"/>
        <w:rPr>
          <w:rFonts w:ascii="Arial" w:hAnsi="Arial" w:cs="Arial"/>
          <w:b/>
          <w:sz w:val="24"/>
        </w:rPr>
      </w:pPr>
      <w:r>
        <w:rPr>
          <w:rFonts w:ascii="Arial" w:hAnsi="Arial" w:cs="Arial"/>
          <w:b/>
          <w:sz w:val="24"/>
        </w:rPr>
        <w:t>Ярусова Софья Борисовна,</w:t>
      </w:r>
    </w:p>
    <w:p w:rsidR="00517711" w:rsidRDefault="00F815BE">
      <w:pPr>
        <w:spacing w:after="0" w:line="240" w:lineRule="auto"/>
        <w:jc w:val="center"/>
        <w:rPr>
          <w:rFonts w:ascii="Arial" w:hAnsi="Arial" w:cs="Arial"/>
          <w:sz w:val="24"/>
        </w:rPr>
      </w:pPr>
      <w:r>
        <w:rPr>
          <w:rFonts w:ascii="Arial" w:hAnsi="Arial" w:cs="Arial"/>
          <w:sz w:val="24"/>
        </w:rPr>
        <w:t>преподаватель</w:t>
      </w:r>
    </w:p>
    <w:p w:rsidR="00517711" w:rsidRDefault="00517711">
      <w:pPr>
        <w:jc w:val="center"/>
      </w:pPr>
    </w:p>
    <w:p w:rsidR="00517711" w:rsidRDefault="00F815BE">
      <w:pPr>
        <w:spacing w:after="0" w:line="240" w:lineRule="auto"/>
        <w:jc w:val="center"/>
        <w:rPr>
          <w:rFonts w:ascii="Arial" w:hAnsi="Arial" w:cs="Arial"/>
          <w:b/>
          <w:sz w:val="24"/>
          <w:szCs w:val="24"/>
        </w:rPr>
      </w:pPr>
      <w:r>
        <w:rPr>
          <w:rFonts w:ascii="Arial" w:hAnsi="Arial" w:cs="Arial"/>
          <w:b/>
          <w:sz w:val="24"/>
          <w:szCs w:val="24"/>
        </w:rPr>
        <w:t xml:space="preserve">Гордиенко Павел Сергеевич, </w:t>
      </w:r>
    </w:p>
    <w:p w:rsidR="00517711" w:rsidRDefault="00F815BE">
      <w:pPr>
        <w:spacing w:after="0" w:line="240" w:lineRule="auto"/>
        <w:jc w:val="center"/>
        <w:rPr>
          <w:rFonts w:ascii="Arial" w:hAnsi="Arial" w:cs="Arial"/>
          <w:sz w:val="24"/>
          <w:szCs w:val="24"/>
        </w:rPr>
      </w:pPr>
      <w:r>
        <w:rPr>
          <w:rFonts w:ascii="Arial" w:hAnsi="Arial" w:cs="Arial"/>
          <w:sz w:val="24"/>
          <w:szCs w:val="24"/>
        </w:rPr>
        <w:t>преподаватель</w:t>
      </w:r>
    </w:p>
    <w:p w:rsidR="00517711" w:rsidRDefault="00517711">
      <w:pPr>
        <w:jc w:val="center"/>
      </w:pPr>
    </w:p>
    <w:p w:rsidR="00517711" w:rsidRDefault="00F815BE">
      <w:pPr>
        <w:spacing w:after="0" w:line="240" w:lineRule="auto"/>
        <w:jc w:val="center"/>
        <w:rPr>
          <w:rFonts w:ascii="Arial" w:hAnsi="Arial" w:cs="Arial"/>
          <w:b/>
          <w:sz w:val="24"/>
          <w:szCs w:val="24"/>
        </w:rPr>
      </w:pPr>
      <w:r>
        <w:rPr>
          <w:rFonts w:ascii="Arial" w:hAnsi="Arial" w:cs="Arial"/>
          <w:b/>
          <w:sz w:val="24"/>
          <w:szCs w:val="24"/>
        </w:rPr>
        <w:t>Пашнина Елена Владимировна,</w:t>
      </w:r>
    </w:p>
    <w:p w:rsidR="00517711" w:rsidRDefault="00F815BE">
      <w:pPr>
        <w:spacing w:after="0" w:line="240" w:lineRule="auto"/>
        <w:jc w:val="center"/>
        <w:rPr>
          <w:rFonts w:ascii="Arial" w:hAnsi="Arial" w:cs="Arial"/>
          <w:sz w:val="24"/>
          <w:szCs w:val="24"/>
        </w:rPr>
      </w:pPr>
      <w:r>
        <w:rPr>
          <w:rFonts w:ascii="Arial" w:hAnsi="Arial" w:cs="Arial"/>
          <w:sz w:val="24"/>
          <w:szCs w:val="24"/>
        </w:rPr>
        <w:t xml:space="preserve"> преподаватель</w:t>
      </w:r>
    </w:p>
    <w:p w:rsidR="00517711" w:rsidRDefault="00F815BE">
      <w:pPr>
        <w:tabs>
          <w:tab w:val="left" w:pos="5805"/>
        </w:tabs>
        <w:rPr>
          <w:b/>
        </w:rPr>
      </w:pPr>
      <w:r>
        <w:rPr>
          <w:b/>
        </w:rPr>
        <w:tab/>
      </w:r>
    </w:p>
    <w:p w:rsidR="00517711" w:rsidRDefault="00F815BE">
      <w:pPr>
        <w:spacing w:after="0" w:line="240" w:lineRule="auto"/>
        <w:jc w:val="center"/>
        <w:rPr>
          <w:rFonts w:ascii="Arial" w:hAnsi="Arial" w:cs="Arial"/>
          <w:b/>
          <w:sz w:val="24"/>
        </w:rPr>
      </w:pPr>
      <w:r>
        <w:rPr>
          <w:rFonts w:ascii="Arial" w:hAnsi="Arial" w:cs="Arial"/>
          <w:b/>
          <w:sz w:val="24"/>
        </w:rPr>
        <w:t xml:space="preserve">Степанова Валентина Андреевна, </w:t>
      </w:r>
    </w:p>
    <w:p w:rsidR="00517711" w:rsidRDefault="00F815BE">
      <w:pPr>
        <w:spacing w:after="0" w:line="240" w:lineRule="auto"/>
        <w:jc w:val="center"/>
        <w:rPr>
          <w:rFonts w:ascii="Arial" w:hAnsi="Arial" w:cs="Arial"/>
          <w:sz w:val="24"/>
        </w:rPr>
      </w:pPr>
      <w:r>
        <w:rPr>
          <w:rFonts w:ascii="Arial" w:hAnsi="Arial" w:cs="Arial"/>
          <w:sz w:val="24"/>
        </w:rPr>
        <w:t>преподаватель</w:t>
      </w:r>
    </w:p>
    <w:p w:rsidR="00517711" w:rsidRDefault="00517711">
      <w:pPr>
        <w:jc w:val="center"/>
        <w:rPr>
          <w:i/>
        </w:rPr>
      </w:pPr>
    </w:p>
    <w:p w:rsidR="00517711" w:rsidRDefault="00F815BE">
      <w:pPr>
        <w:spacing w:after="0" w:line="240" w:lineRule="auto"/>
        <w:jc w:val="center"/>
        <w:rPr>
          <w:rFonts w:ascii="Times New Roman" w:hAnsi="Times New Roman" w:cs="Times New Roman"/>
          <w:i/>
        </w:rPr>
      </w:pPr>
      <w:r>
        <w:rPr>
          <w:rFonts w:ascii="Times New Roman" w:hAnsi="Times New Roman" w:cs="Times New Roman"/>
          <w:i/>
        </w:rPr>
        <w:t xml:space="preserve">Федеральное государственное бюджетное учреждение науки Институт химии Дальневосточного отделения Российской академии наук </w:t>
      </w:r>
    </w:p>
    <w:p w:rsidR="00517711" w:rsidRDefault="00F815BE">
      <w:pPr>
        <w:spacing w:after="0" w:line="240" w:lineRule="auto"/>
        <w:jc w:val="center"/>
        <w:rPr>
          <w:rFonts w:ascii="Times New Roman" w:hAnsi="Times New Roman" w:cs="Times New Roman"/>
          <w:i/>
        </w:rPr>
      </w:pPr>
      <w:r>
        <w:rPr>
          <w:rFonts w:ascii="Times New Roman" w:hAnsi="Times New Roman" w:cs="Times New Roman"/>
          <w:i/>
        </w:rPr>
        <w:t>Россия. Владивосток</w:t>
      </w:r>
    </w:p>
    <w:p w:rsidR="00517711" w:rsidRDefault="00517711">
      <w:pPr>
        <w:pStyle w:val="52"/>
        <w:spacing w:line="240" w:lineRule="auto"/>
        <w:jc w:val="center"/>
        <w:outlineLvl w:val="4"/>
        <w:rPr>
          <w:i/>
          <w:iCs/>
          <w:sz w:val="24"/>
        </w:rPr>
      </w:pPr>
    </w:p>
    <w:p w:rsidR="00517711" w:rsidRDefault="00F815BE">
      <w:pPr>
        <w:pStyle w:val="52"/>
        <w:spacing w:line="240" w:lineRule="auto"/>
        <w:jc w:val="center"/>
        <w:outlineLvl w:val="4"/>
        <w:rPr>
          <w:i/>
          <w:iCs/>
          <w:sz w:val="22"/>
        </w:rPr>
      </w:pPr>
      <w:r>
        <w:rPr>
          <w:i/>
          <w:iCs/>
          <w:sz w:val="22"/>
        </w:rPr>
        <w:t xml:space="preserve">пр. 100-летия Владивостока, 159, </w:t>
      </w:r>
      <w:r>
        <w:rPr>
          <w:i/>
          <w:sz w:val="22"/>
        </w:rPr>
        <w:t>г. Владивосток, Приморский край, Россия, 690022</w:t>
      </w:r>
    </w:p>
    <w:p w:rsidR="00517711" w:rsidRDefault="00517711">
      <w:pPr>
        <w:spacing w:after="0" w:line="240" w:lineRule="auto"/>
        <w:ind w:left="709"/>
        <w:jc w:val="center"/>
        <w:rPr>
          <w:i/>
          <w:color w:val="000000"/>
          <w:shd w:val="clear" w:color="auto" w:fill="FFFFFF"/>
        </w:rPr>
      </w:pP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Владивостокский государственный университет экономики и сервиса</w:t>
      </w: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Россия. Владивосток</w:t>
      </w:r>
    </w:p>
    <w:p w:rsidR="00517711" w:rsidRDefault="00F815BE">
      <w:pPr>
        <w:spacing w:after="0" w:line="240" w:lineRule="auto"/>
        <w:ind w:left="709"/>
        <w:jc w:val="center"/>
        <w:rPr>
          <w:i/>
          <w:color w:val="000000"/>
          <w:shd w:val="clear" w:color="auto" w:fill="FFFFFF"/>
        </w:rPr>
      </w:pPr>
      <w:r>
        <w:rPr>
          <w:i/>
          <w:color w:val="000000"/>
          <w:shd w:val="clear" w:color="auto" w:fill="FFFFFF"/>
        </w:rPr>
        <w:t>ул. Гоголя, 41, г. Владивосток, Приморский край, Россия, 690014</w:t>
      </w:r>
    </w:p>
    <w:p w:rsidR="00517711" w:rsidRDefault="00517711">
      <w:pPr>
        <w:ind w:left="709"/>
        <w:jc w:val="center"/>
        <w:rPr>
          <w:i/>
          <w:color w:val="000000"/>
          <w:shd w:val="clear" w:color="auto" w:fill="FFFFFF"/>
        </w:rPr>
      </w:pPr>
    </w:p>
    <w:p w:rsidR="00517711" w:rsidRDefault="00F815BE">
      <w:pPr>
        <w:ind w:left="709"/>
        <w:jc w:val="center"/>
        <w:rPr>
          <w:rFonts w:ascii="Times New Roman" w:hAnsi="Times New Roman" w:cs="Times New Roman"/>
          <w:color w:val="000000"/>
          <w:sz w:val="20"/>
          <w:shd w:val="clear" w:color="auto" w:fill="FFFFFF"/>
          <w:lang w:val="en-US"/>
        </w:rPr>
      </w:pPr>
      <w:r>
        <w:rPr>
          <w:rFonts w:ascii="Times New Roman" w:hAnsi="Times New Roman" w:cs="Times New Roman"/>
          <w:color w:val="000000"/>
          <w:sz w:val="20"/>
          <w:shd w:val="clear" w:color="auto" w:fill="FFFFFF"/>
          <w:lang w:val="en-US"/>
        </w:rPr>
        <w:t>E-mail:</w:t>
      </w:r>
      <w:r>
        <w:rPr>
          <w:rFonts w:ascii="Times New Roman" w:hAnsi="Times New Roman" w:cs="Times New Roman"/>
          <w:sz w:val="20"/>
          <w:lang w:val="en-US"/>
        </w:rPr>
        <w:t xml:space="preserve"> </w:t>
      </w:r>
      <w:r>
        <w:rPr>
          <w:rFonts w:ascii="Times New Roman" w:hAnsi="Times New Roman" w:cs="Times New Roman"/>
          <w:color w:val="000000"/>
          <w:sz w:val="20"/>
          <w:shd w:val="clear" w:color="auto" w:fill="FFFFFF"/>
          <w:lang w:val="en-US"/>
        </w:rPr>
        <w:t xml:space="preserve">yarusova_10@mail.ru; </w:t>
      </w:r>
      <w:r>
        <w:rPr>
          <w:rFonts w:ascii="Times New Roman" w:hAnsi="Times New Roman" w:cs="Times New Roman"/>
          <w:color w:val="000000"/>
          <w:sz w:val="20"/>
          <w:shd w:val="clear" w:color="auto" w:fill="FFFFFF"/>
        </w:rPr>
        <w:t>тел</w:t>
      </w:r>
      <w:r>
        <w:rPr>
          <w:rFonts w:ascii="Times New Roman" w:hAnsi="Times New Roman" w:cs="Times New Roman"/>
          <w:color w:val="000000"/>
          <w:sz w:val="20"/>
          <w:shd w:val="clear" w:color="auto" w:fill="FFFFFF"/>
          <w:lang w:val="en-US"/>
        </w:rPr>
        <w:t>.: +79242393539</w:t>
      </w:r>
    </w:p>
    <w:p w:rsidR="00517711" w:rsidRDefault="00F815BE">
      <w:pPr>
        <w:spacing w:after="0" w:line="240" w:lineRule="auto"/>
        <w:ind w:firstLine="709"/>
        <w:jc w:val="both"/>
        <w:rPr>
          <w:rFonts w:ascii="Times New Roman" w:hAnsi="Times New Roman" w:cs="Times New Roman"/>
          <w:i/>
        </w:rPr>
      </w:pPr>
      <w:r>
        <w:rPr>
          <w:rFonts w:ascii="Times New Roman" w:hAnsi="Times New Roman" w:cs="Times New Roman"/>
          <w:i/>
        </w:rPr>
        <w:t>В работе изучено влияние условий синтеза на особенности формирования силикатов кальция. Изучен фазовый состав и термическое поведение полученных образцов.</w:t>
      </w:r>
    </w:p>
    <w:p w:rsidR="00517711" w:rsidRDefault="00F815BE">
      <w:pPr>
        <w:spacing w:after="0" w:line="240" w:lineRule="auto"/>
        <w:ind w:firstLine="709"/>
        <w:jc w:val="both"/>
        <w:rPr>
          <w:rFonts w:ascii="Times New Roman" w:hAnsi="Times New Roman" w:cs="Times New Roman"/>
          <w:i/>
        </w:rPr>
      </w:pPr>
      <w:r>
        <w:rPr>
          <w:rFonts w:ascii="Times New Roman" w:hAnsi="Times New Roman" w:cs="Times New Roman"/>
          <w:b/>
          <w:i/>
        </w:rPr>
        <w:t>Ключевые слова и словосочетания:</w:t>
      </w:r>
      <w:r>
        <w:rPr>
          <w:rFonts w:ascii="Times New Roman" w:hAnsi="Times New Roman" w:cs="Times New Roman"/>
          <w:i/>
        </w:rPr>
        <w:t xml:space="preserve"> гидросиликаты кальция, волластонит,  условия синтеза, фазовый состав, термическое поведение.</w:t>
      </w:r>
    </w:p>
    <w:p w:rsidR="00517711" w:rsidRDefault="00F815BE">
      <w:pPr>
        <w:keepNext/>
        <w:spacing w:before="240" w:after="240" w:line="240" w:lineRule="auto"/>
        <w:jc w:val="center"/>
        <w:outlineLvl w:val="0"/>
        <w:rPr>
          <w:rFonts w:ascii="Book Antiqua" w:hAnsi="Book Antiqua" w:cs="Times New Roman"/>
          <w:b/>
          <w:bCs/>
          <w:caps/>
          <w:sz w:val="26"/>
          <w:szCs w:val="26"/>
          <w:lang w:val="en-US"/>
        </w:rPr>
      </w:pPr>
      <w:r>
        <w:rPr>
          <w:rFonts w:ascii="Book Antiqua" w:hAnsi="Book Antiqua" w:cs="Times New Roman"/>
          <w:b/>
          <w:bCs/>
          <w:caps/>
          <w:sz w:val="26"/>
          <w:szCs w:val="26"/>
          <w:lang w:val="en-US"/>
        </w:rPr>
        <w:t>EFFECT OF SYNTHESIS CONDITIONS ON THE FORMATION OF CALCIUM SILICATES</w:t>
      </w:r>
    </w:p>
    <w:p w:rsidR="00517711" w:rsidRDefault="00F815BE">
      <w:pPr>
        <w:pStyle w:val="HTML"/>
        <w:shd w:val="clear" w:color="auto" w:fill="FFFFFF"/>
        <w:ind w:firstLine="720"/>
        <w:jc w:val="both"/>
        <w:rPr>
          <w:rFonts w:ascii="Times New Roman" w:hAnsi="Times New Roman" w:cs="Times New Roman"/>
          <w:i/>
          <w:sz w:val="22"/>
          <w:szCs w:val="24"/>
          <w:lang w:val="en-US"/>
        </w:rPr>
      </w:pPr>
      <w:r>
        <w:rPr>
          <w:rFonts w:ascii="Times New Roman" w:hAnsi="Times New Roman" w:cs="Times New Roman"/>
          <w:i/>
          <w:sz w:val="22"/>
          <w:szCs w:val="24"/>
          <w:lang w:val="en-US"/>
        </w:rPr>
        <w:t>In article we present the research results of t</w:t>
      </w:r>
      <w:r>
        <w:rPr>
          <w:rFonts w:ascii="Times New Roman" w:hAnsi="Times New Roman" w:cs="Times New Roman"/>
          <w:i/>
          <w:sz w:val="22"/>
          <w:szCs w:val="24"/>
          <w:lang w:val="en"/>
        </w:rPr>
        <w:t>he effect of synthesis conditions on the calcium silicates formation. The phase composition and thermal behavior of the obtained samples were studied.</w:t>
      </w:r>
    </w:p>
    <w:p w:rsidR="00517711" w:rsidRDefault="00F815BE">
      <w:pPr>
        <w:pStyle w:val="HTML"/>
        <w:shd w:val="clear" w:color="auto" w:fill="FFFFFF"/>
        <w:ind w:firstLine="709"/>
        <w:jc w:val="both"/>
        <w:rPr>
          <w:rFonts w:ascii="Times New Roman" w:hAnsi="Times New Roman" w:cs="Times New Roman"/>
          <w:i/>
          <w:sz w:val="22"/>
          <w:szCs w:val="24"/>
          <w:lang w:val="en-US"/>
        </w:rPr>
      </w:pPr>
      <w:r>
        <w:rPr>
          <w:rFonts w:ascii="Times New Roman" w:hAnsi="Times New Roman" w:cs="Times New Roman"/>
          <w:b/>
          <w:i/>
          <w:sz w:val="22"/>
          <w:szCs w:val="24"/>
          <w:lang w:val="en-US"/>
        </w:rPr>
        <w:t xml:space="preserve">Keywords: </w:t>
      </w:r>
      <w:r>
        <w:rPr>
          <w:rFonts w:ascii="Times New Roman" w:hAnsi="Times New Roman" w:cs="Times New Roman"/>
          <w:i/>
          <w:sz w:val="22"/>
          <w:szCs w:val="24"/>
          <w:lang w:val="en"/>
        </w:rPr>
        <w:t>calcium hydrosilicates, wollastonite, synthesis conditions, phase composition, thermal behavior.</w:t>
      </w:r>
    </w:p>
    <w:p w:rsidR="00517711" w:rsidRDefault="00517711">
      <w:pPr>
        <w:pStyle w:val="HTML"/>
        <w:shd w:val="clear" w:color="auto" w:fill="FFFFFF"/>
        <w:ind w:firstLine="709"/>
        <w:jc w:val="both"/>
        <w:rPr>
          <w:rFonts w:ascii="Times New Roman" w:hAnsi="Times New Roman" w:cs="Times New Roman"/>
          <w:i/>
          <w:sz w:val="22"/>
          <w:szCs w:val="24"/>
          <w:lang w:val="en-US"/>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Силикаты кальция различного состава и структуры нашли широкое применение при производстве строительных материалов, бумаги, красок, пластмасс, композиционных полимерных и металлокерамических </w:t>
      </w:r>
      <w:r>
        <w:rPr>
          <w:rFonts w:ascii="Times New Roman" w:hAnsi="Times New Roman" w:cs="Times New Roman"/>
          <w:sz w:val="20"/>
          <w:szCs w:val="20"/>
        </w:rPr>
        <w:lastRenderedPageBreak/>
        <w:t xml:space="preserve">материалов, сорбентов для очистки вод. В ряде случаев они являются высококачественными заменителями талька, каолина, мела, диоксида титана [2,3].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Среди всего многообразия силикатов наибольший практический интерес представляют силикаты </w:t>
      </w:r>
      <w:r>
        <w:rPr>
          <w:rFonts w:ascii="Times New Roman" w:hAnsi="Times New Roman" w:cs="Times New Roman"/>
          <w:sz w:val="20"/>
          <w:szCs w:val="20"/>
          <w:lang w:val="en-US"/>
        </w:rPr>
        <w:t>nCaO</w:t>
      </w:r>
      <w:r>
        <w:rPr>
          <w:rFonts w:ascii="Times New Roman" w:hAnsi="Times New Roman" w:cs="Times New Roman"/>
          <w:sz w:val="20"/>
          <w:szCs w:val="20"/>
        </w:rPr>
        <w:t>∙</w:t>
      </w:r>
      <w:r>
        <w:rPr>
          <w:rFonts w:ascii="Times New Roman" w:hAnsi="Times New Roman" w:cs="Times New Roman"/>
          <w:sz w:val="20"/>
          <w:szCs w:val="20"/>
          <w:lang w:val="en-US"/>
        </w:rPr>
        <w:t>mSiO</w:t>
      </w:r>
      <w:r>
        <w:rPr>
          <w:rFonts w:ascii="Times New Roman" w:hAnsi="Times New Roman" w:cs="Times New Roman"/>
          <w:sz w:val="20"/>
          <w:szCs w:val="20"/>
          <w:vertAlign w:val="subscript"/>
        </w:rPr>
        <w:t>2</w:t>
      </w:r>
      <w:r>
        <w:rPr>
          <w:rFonts w:ascii="Times New Roman" w:hAnsi="Times New Roman" w:cs="Times New Roman"/>
          <w:sz w:val="20"/>
          <w:szCs w:val="20"/>
        </w:rPr>
        <w:t xml:space="preserve"> и гидросиликаты </w:t>
      </w:r>
      <w:r>
        <w:rPr>
          <w:rFonts w:ascii="Times New Roman" w:hAnsi="Times New Roman" w:cs="Times New Roman"/>
          <w:sz w:val="20"/>
          <w:szCs w:val="20"/>
          <w:lang w:val="en-US"/>
        </w:rPr>
        <w:t>nCaO</w:t>
      </w:r>
      <w:r>
        <w:rPr>
          <w:rFonts w:ascii="Times New Roman" w:hAnsi="Times New Roman" w:cs="Times New Roman"/>
          <w:sz w:val="20"/>
          <w:szCs w:val="20"/>
        </w:rPr>
        <w:t>∙</w:t>
      </w:r>
      <w:r>
        <w:rPr>
          <w:rFonts w:ascii="Times New Roman" w:hAnsi="Times New Roman" w:cs="Times New Roman"/>
          <w:sz w:val="20"/>
          <w:szCs w:val="20"/>
          <w:lang w:val="en-US"/>
        </w:rPr>
        <w:t>mSiO</w:t>
      </w:r>
      <w:r>
        <w:rPr>
          <w:rFonts w:ascii="Times New Roman" w:hAnsi="Times New Roman" w:cs="Times New Roman"/>
          <w:sz w:val="20"/>
          <w:szCs w:val="20"/>
          <w:vertAlign w:val="subscript"/>
        </w:rPr>
        <w:t>2</w:t>
      </w:r>
      <w:r>
        <w:rPr>
          <w:rFonts w:ascii="Times New Roman" w:hAnsi="Times New Roman" w:cs="Times New Roman"/>
          <w:sz w:val="20"/>
          <w:szCs w:val="20"/>
        </w:rPr>
        <w:t>∙</w:t>
      </w:r>
      <w:r>
        <w:rPr>
          <w:rFonts w:ascii="Times New Roman" w:hAnsi="Times New Roman" w:cs="Times New Roman"/>
          <w:sz w:val="20"/>
          <w:szCs w:val="20"/>
          <w:lang w:val="en-US"/>
        </w:rPr>
        <w:t>pH</w:t>
      </w:r>
      <w:r>
        <w:rPr>
          <w:rFonts w:ascii="Times New Roman" w:hAnsi="Times New Roman" w:cs="Times New Roman"/>
          <w:sz w:val="20"/>
          <w:szCs w:val="20"/>
          <w:vertAlign w:val="subscript"/>
        </w:rPr>
        <w:t>2</w:t>
      </w:r>
      <w:r>
        <w:rPr>
          <w:rFonts w:ascii="Times New Roman" w:hAnsi="Times New Roman" w:cs="Times New Roman"/>
          <w:sz w:val="20"/>
          <w:szCs w:val="20"/>
          <w:lang w:val="en-US"/>
        </w:rPr>
        <w:t>O</w:t>
      </w:r>
      <w:r>
        <w:rPr>
          <w:rFonts w:ascii="Times New Roman" w:hAnsi="Times New Roman" w:cs="Times New Roman"/>
          <w:sz w:val="20"/>
          <w:szCs w:val="20"/>
        </w:rPr>
        <w:t xml:space="preserve"> кальция. Если рассматривать данные соединения в аспекте их применения в природоохранных технологиях, то представляет интерес исследование их сорбционных свойств по отношению к ионам тяжелых металлов, о чем свидетельствуют данные, полученные ранее авторами данной работы, и исследования других авторов [4,5,7–10,12–16].</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Целью данной работы является изучение особенностей формирования силикатов кальция в зависимости от условий синтеза (синтез при обычных условиях, автоклавный синтез). Полученные данные позволят на последующих этапах исследований установить взаимосвязь условий получения и сорбционных свойств изучаемых соединений.</w:t>
      </w:r>
    </w:p>
    <w:p w:rsidR="00517711" w:rsidRDefault="00F815BE">
      <w:pPr>
        <w:tabs>
          <w:tab w:val="left" w:pos="9354"/>
        </w:tabs>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Синтез гидросиликатов кальция проводили при различных условиях – гидрохимический синтез при обычных условиях (</w:t>
      </w:r>
      <w:r>
        <w:rPr>
          <w:rFonts w:ascii="Times New Roman" w:hAnsi="Times New Roman" w:cs="Times New Roman"/>
          <w:sz w:val="20"/>
          <w:szCs w:val="20"/>
          <w:lang w:val="en-US"/>
        </w:rPr>
        <w:t>t</w:t>
      </w:r>
      <w:r>
        <w:rPr>
          <w:rFonts w:ascii="Times New Roman" w:hAnsi="Times New Roman" w:cs="Times New Roman"/>
          <w:sz w:val="20"/>
          <w:szCs w:val="20"/>
        </w:rPr>
        <w:t>=20 °С)  и синтез в условиях повышенной температуры и давления – автоклавный синтез (</w:t>
      </w:r>
      <w:r>
        <w:rPr>
          <w:rFonts w:ascii="Times New Roman" w:hAnsi="Times New Roman" w:cs="Times New Roman"/>
          <w:sz w:val="20"/>
          <w:szCs w:val="20"/>
          <w:lang w:val="en-US"/>
        </w:rPr>
        <w:t>t</w:t>
      </w:r>
      <w:r>
        <w:rPr>
          <w:rFonts w:ascii="Times New Roman" w:hAnsi="Times New Roman" w:cs="Times New Roman"/>
          <w:sz w:val="20"/>
          <w:szCs w:val="20"/>
        </w:rPr>
        <w:t xml:space="preserve">=220 °С). Исследовали следующие многокомпонентные системы: </w:t>
      </w:r>
      <w:r>
        <w:rPr>
          <w:rFonts w:ascii="Times New Roman" w:hAnsi="Times New Roman" w:cs="Times New Roman"/>
          <w:sz w:val="20"/>
          <w:szCs w:val="20"/>
          <w:lang w:val="en-US"/>
        </w:rPr>
        <w:t>CaCl</w:t>
      </w:r>
      <w:r>
        <w:rPr>
          <w:rFonts w:ascii="Times New Roman" w:hAnsi="Times New Roman" w:cs="Times New Roman"/>
          <w:sz w:val="20"/>
          <w:szCs w:val="20"/>
          <w:vertAlign w:val="subscript"/>
        </w:rPr>
        <w:t>2</w:t>
      </w:r>
      <w:r>
        <w:rPr>
          <w:rFonts w:ascii="Times New Roman" w:hAnsi="Times New Roman" w:cs="Times New Roman"/>
          <w:sz w:val="20"/>
          <w:szCs w:val="20"/>
        </w:rPr>
        <w:t>–</w:t>
      </w:r>
      <w:r>
        <w:rPr>
          <w:rFonts w:ascii="Times New Roman" w:hAnsi="Times New Roman" w:cs="Times New Roman"/>
          <w:sz w:val="20"/>
          <w:szCs w:val="20"/>
          <w:lang w:val="en-US"/>
        </w:rPr>
        <w:t>Na</w:t>
      </w:r>
      <w:r>
        <w:rPr>
          <w:rFonts w:ascii="Times New Roman" w:hAnsi="Times New Roman" w:cs="Times New Roman"/>
          <w:sz w:val="20"/>
          <w:szCs w:val="20"/>
          <w:vertAlign w:val="subscript"/>
        </w:rPr>
        <w:t>2</w:t>
      </w:r>
      <w:r>
        <w:rPr>
          <w:rFonts w:ascii="Times New Roman" w:hAnsi="Times New Roman" w:cs="Times New Roman"/>
          <w:sz w:val="20"/>
          <w:szCs w:val="20"/>
          <w:lang w:val="en-US"/>
        </w:rPr>
        <w:t>SiO</w:t>
      </w:r>
      <w:r>
        <w:rPr>
          <w:rFonts w:ascii="Times New Roman" w:hAnsi="Times New Roman" w:cs="Times New Roman"/>
          <w:sz w:val="20"/>
          <w:szCs w:val="20"/>
          <w:vertAlign w:val="subscript"/>
        </w:rPr>
        <w:t>3</w:t>
      </w:r>
      <w:r>
        <w:rPr>
          <w:rFonts w:ascii="Times New Roman" w:hAnsi="Times New Roman" w:cs="Times New Roman"/>
          <w:sz w:val="20"/>
          <w:szCs w:val="20"/>
        </w:rPr>
        <w:t>–</w:t>
      </w:r>
      <w:r>
        <w:rPr>
          <w:rFonts w:ascii="Times New Roman" w:hAnsi="Times New Roman" w:cs="Times New Roman"/>
          <w:sz w:val="20"/>
          <w:szCs w:val="20"/>
          <w:lang w:val="en-US"/>
        </w:rPr>
        <w:t>H</w:t>
      </w:r>
      <w:r>
        <w:rPr>
          <w:rFonts w:ascii="Times New Roman" w:hAnsi="Times New Roman" w:cs="Times New Roman"/>
          <w:sz w:val="20"/>
          <w:szCs w:val="20"/>
          <w:vertAlign w:val="subscript"/>
        </w:rPr>
        <w:t>2</w:t>
      </w:r>
      <w:r>
        <w:rPr>
          <w:rFonts w:ascii="Times New Roman" w:hAnsi="Times New Roman" w:cs="Times New Roman"/>
          <w:sz w:val="20"/>
          <w:szCs w:val="20"/>
          <w:lang w:val="en-US"/>
        </w:rPr>
        <w:t>O</w:t>
      </w:r>
      <w:r>
        <w:rPr>
          <w:rFonts w:ascii="Times New Roman" w:hAnsi="Times New Roman" w:cs="Times New Roman"/>
          <w:sz w:val="20"/>
          <w:szCs w:val="20"/>
        </w:rPr>
        <w:t xml:space="preserve">; </w:t>
      </w:r>
      <w:r>
        <w:rPr>
          <w:rFonts w:ascii="Times New Roman" w:hAnsi="Times New Roman" w:cs="Times New Roman"/>
          <w:sz w:val="20"/>
          <w:szCs w:val="20"/>
          <w:lang w:val="pt-BR"/>
        </w:rPr>
        <w:t>CaCl</w:t>
      </w:r>
      <w:r>
        <w:rPr>
          <w:rFonts w:ascii="Times New Roman" w:hAnsi="Times New Roman" w:cs="Times New Roman"/>
          <w:sz w:val="20"/>
          <w:szCs w:val="20"/>
          <w:vertAlign w:val="subscript"/>
        </w:rPr>
        <w:t>2</w:t>
      </w:r>
      <w:r>
        <w:rPr>
          <w:rFonts w:ascii="Times New Roman" w:hAnsi="Times New Roman" w:cs="Times New Roman"/>
          <w:sz w:val="20"/>
          <w:szCs w:val="20"/>
        </w:rPr>
        <w:t>–</w:t>
      </w:r>
      <w:r>
        <w:rPr>
          <w:rFonts w:ascii="Times New Roman" w:hAnsi="Times New Roman" w:cs="Times New Roman"/>
          <w:sz w:val="20"/>
          <w:szCs w:val="20"/>
          <w:lang w:val="pt-BR"/>
        </w:rPr>
        <w:t>SiO</w:t>
      </w:r>
      <w:r>
        <w:rPr>
          <w:rFonts w:ascii="Times New Roman" w:hAnsi="Times New Roman" w:cs="Times New Roman"/>
          <w:sz w:val="20"/>
          <w:szCs w:val="20"/>
          <w:vertAlign w:val="subscript"/>
        </w:rPr>
        <w:t>2</w:t>
      </w:r>
      <w:r>
        <w:rPr>
          <w:rFonts w:ascii="Times New Roman" w:hAnsi="Times New Roman" w:cs="Times New Roman"/>
          <w:sz w:val="20"/>
          <w:szCs w:val="20"/>
        </w:rPr>
        <w:t>·</w:t>
      </w:r>
      <w:r>
        <w:rPr>
          <w:rFonts w:ascii="Times New Roman" w:hAnsi="Times New Roman" w:cs="Times New Roman"/>
          <w:sz w:val="20"/>
          <w:szCs w:val="20"/>
          <w:lang w:val="pt-BR"/>
        </w:rPr>
        <w:t>nH</w:t>
      </w:r>
      <w:r>
        <w:rPr>
          <w:rFonts w:ascii="Times New Roman" w:hAnsi="Times New Roman" w:cs="Times New Roman"/>
          <w:sz w:val="20"/>
          <w:szCs w:val="20"/>
          <w:vertAlign w:val="subscript"/>
        </w:rPr>
        <w:t>2</w:t>
      </w:r>
      <w:r>
        <w:rPr>
          <w:rFonts w:ascii="Times New Roman" w:hAnsi="Times New Roman" w:cs="Times New Roman"/>
          <w:sz w:val="20"/>
          <w:szCs w:val="20"/>
          <w:lang w:val="pt-BR"/>
        </w:rPr>
        <w:t>O</w:t>
      </w:r>
      <w:r>
        <w:rPr>
          <w:rFonts w:ascii="Times New Roman" w:hAnsi="Times New Roman" w:cs="Times New Roman"/>
          <w:sz w:val="20"/>
          <w:szCs w:val="20"/>
        </w:rPr>
        <w:t>–</w:t>
      </w:r>
      <w:r>
        <w:rPr>
          <w:rFonts w:ascii="Times New Roman" w:hAnsi="Times New Roman" w:cs="Times New Roman"/>
          <w:sz w:val="20"/>
          <w:szCs w:val="20"/>
          <w:lang w:val="pt-BR"/>
        </w:rPr>
        <w:t>KOH</w:t>
      </w:r>
      <w:r>
        <w:rPr>
          <w:rFonts w:ascii="Times New Roman" w:hAnsi="Times New Roman" w:cs="Times New Roman"/>
          <w:sz w:val="20"/>
          <w:szCs w:val="20"/>
        </w:rPr>
        <w:t>–</w:t>
      </w:r>
      <w:r>
        <w:rPr>
          <w:rFonts w:ascii="Times New Roman" w:hAnsi="Times New Roman" w:cs="Times New Roman"/>
          <w:sz w:val="20"/>
          <w:szCs w:val="20"/>
          <w:lang w:val="pt-BR"/>
        </w:rPr>
        <w:t>H</w:t>
      </w:r>
      <w:r>
        <w:rPr>
          <w:rFonts w:ascii="Times New Roman" w:hAnsi="Times New Roman" w:cs="Times New Roman"/>
          <w:sz w:val="20"/>
          <w:szCs w:val="20"/>
          <w:vertAlign w:val="subscript"/>
        </w:rPr>
        <w:t>2</w:t>
      </w:r>
      <w:r>
        <w:rPr>
          <w:rFonts w:ascii="Times New Roman" w:hAnsi="Times New Roman" w:cs="Times New Roman"/>
          <w:sz w:val="20"/>
          <w:szCs w:val="20"/>
          <w:lang w:val="pt-BR"/>
        </w:rPr>
        <w:t>O</w:t>
      </w:r>
      <w:r>
        <w:rPr>
          <w:rFonts w:ascii="Times New Roman" w:hAnsi="Times New Roman" w:cs="Times New Roman"/>
          <w:sz w:val="20"/>
          <w:szCs w:val="20"/>
        </w:rPr>
        <w:t xml:space="preserve">; </w:t>
      </w:r>
      <w:r>
        <w:rPr>
          <w:rFonts w:ascii="Times New Roman" w:hAnsi="Times New Roman" w:cs="Times New Roman"/>
          <w:sz w:val="20"/>
          <w:szCs w:val="20"/>
          <w:lang w:val="pt-BR"/>
        </w:rPr>
        <w:t>CaSO</w:t>
      </w:r>
      <w:r>
        <w:rPr>
          <w:rFonts w:ascii="Times New Roman" w:hAnsi="Times New Roman" w:cs="Times New Roman"/>
          <w:sz w:val="20"/>
          <w:szCs w:val="20"/>
          <w:vertAlign w:val="subscript"/>
        </w:rPr>
        <w:t>4</w:t>
      </w:r>
      <w:r>
        <w:rPr>
          <w:rFonts w:ascii="Times New Roman" w:hAnsi="Times New Roman" w:cs="Times New Roman"/>
          <w:sz w:val="20"/>
          <w:szCs w:val="20"/>
        </w:rPr>
        <w:t>·2</w:t>
      </w:r>
      <w:r>
        <w:rPr>
          <w:rFonts w:ascii="Times New Roman" w:hAnsi="Times New Roman" w:cs="Times New Roman"/>
          <w:sz w:val="20"/>
          <w:szCs w:val="20"/>
          <w:lang w:val="pt-BR"/>
        </w:rPr>
        <w:t>H</w:t>
      </w:r>
      <w:r>
        <w:rPr>
          <w:rFonts w:ascii="Times New Roman" w:hAnsi="Times New Roman" w:cs="Times New Roman"/>
          <w:sz w:val="20"/>
          <w:szCs w:val="20"/>
          <w:vertAlign w:val="subscript"/>
        </w:rPr>
        <w:t>2</w:t>
      </w:r>
      <w:r>
        <w:rPr>
          <w:rFonts w:ascii="Times New Roman" w:hAnsi="Times New Roman" w:cs="Times New Roman"/>
          <w:sz w:val="20"/>
          <w:szCs w:val="20"/>
          <w:lang w:val="pt-BR"/>
        </w:rPr>
        <w:t>O</w:t>
      </w:r>
      <w:r>
        <w:rPr>
          <w:rFonts w:ascii="Times New Roman" w:hAnsi="Times New Roman" w:cs="Times New Roman"/>
          <w:sz w:val="20"/>
          <w:szCs w:val="20"/>
        </w:rPr>
        <w:t>–</w:t>
      </w:r>
      <w:r>
        <w:rPr>
          <w:rFonts w:ascii="Times New Roman" w:hAnsi="Times New Roman" w:cs="Times New Roman"/>
          <w:sz w:val="20"/>
          <w:szCs w:val="20"/>
          <w:lang w:val="pt-BR"/>
        </w:rPr>
        <w:t>SiO</w:t>
      </w:r>
      <w:r>
        <w:rPr>
          <w:rFonts w:ascii="Times New Roman" w:hAnsi="Times New Roman" w:cs="Times New Roman"/>
          <w:sz w:val="20"/>
          <w:szCs w:val="20"/>
          <w:vertAlign w:val="subscript"/>
        </w:rPr>
        <w:t>2</w:t>
      </w:r>
      <w:r>
        <w:rPr>
          <w:rFonts w:ascii="Times New Roman" w:hAnsi="Times New Roman" w:cs="Times New Roman"/>
          <w:sz w:val="20"/>
          <w:szCs w:val="20"/>
        </w:rPr>
        <w:t>·</w:t>
      </w:r>
      <w:r>
        <w:rPr>
          <w:rFonts w:ascii="Times New Roman" w:hAnsi="Times New Roman" w:cs="Times New Roman"/>
          <w:sz w:val="20"/>
          <w:szCs w:val="20"/>
          <w:lang w:val="pt-BR"/>
        </w:rPr>
        <w:t>nH</w:t>
      </w:r>
      <w:r>
        <w:rPr>
          <w:rFonts w:ascii="Times New Roman" w:hAnsi="Times New Roman" w:cs="Times New Roman"/>
          <w:sz w:val="20"/>
          <w:szCs w:val="20"/>
          <w:vertAlign w:val="subscript"/>
        </w:rPr>
        <w:t>2</w:t>
      </w:r>
      <w:r>
        <w:rPr>
          <w:rFonts w:ascii="Times New Roman" w:hAnsi="Times New Roman" w:cs="Times New Roman"/>
          <w:sz w:val="20"/>
          <w:szCs w:val="20"/>
          <w:lang w:val="pt-BR"/>
        </w:rPr>
        <w:t>O</w:t>
      </w:r>
      <w:r>
        <w:rPr>
          <w:rFonts w:ascii="Times New Roman" w:hAnsi="Times New Roman" w:cs="Times New Roman"/>
          <w:sz w:val="20"/>
          <w:szCs w:val="20"/>
        </w:rPr>
        <w:t>–</w:t>
      </w:r>
      <w:r>
        <w:rPr>
          <w:rFonts w:ascii="Times New Roman" w:hAnsi="Times New Roman" w:cs="Times New Roman"/>
          <w:sz w:val="20"/>
          <w:szCs w:val="20"/>
          <w:lang w:val="pt-BR"/>
        </w:rPr>
        <w:t>KOH</w:t>
      </w:r>
      <w:r>
        <w:rPr>
          <w:rFonts w:ascii="Times New Roman" w:hAnsi="Times New Roman" w:cs="Times New Roman"/>
          <w:sz w:val="20"/>
          <w:szCs w:val="20"/>
        </w:rPr>
        <w:t>–</w:t>
      </w:r>
      <w:r>
        <w:rPr>
          <w:rFonts w:ascii="Times New Roman" w:hAnsi="Times New Roman" w:cs="Times New Roman"/>
          <w:sz w:val="20"/>
          <w:szCs w:val="20"/>
          <w:lang w:val="pt-BR"/>
        </w:rPr>
        <w:t>H</w:t>
      </w:r>
      <w:r>
        <w:rPr>
          <w:rFonts w:ascii="Times New Roman" w:hAnsi="Times New Roman" w:cs="Times New Roman"/>
          <w:sz w:val="20"/>
          <w:szCs w:val="20"/>
          <w:vertAlign w:val="subscript"/>
        </w:rPr>
        <w:t>2</w:t>
      </w:r>
      <w:r>
        <w:rPr>
          <w:rFonts w:ascii="Times New Roman" w:hAnsi="Times New Roman" w:cs="Times New Roman"/>
          <w:sz w:val="20"/>
          <w:szCs w:val="20"/>
          <w:lang w:val="pt-BR"/>
        </w:rPr>
        <w:t>O</w:t>
      </w:r>
      <w:r>
        <w:rPr>
          <w:rFonts w:ascii="Times New Roman" w:hAnsi="Times New Roman" w:cs="Times New Roman"/>
          <w:sz w:val="20"/>
          <w:szCs w:val="20"/>
        </w:rPr>
        <w:t xml:space="preserve">. Для получения волластонита </w:t>
      </w:r>
      <w:r>
        <w:rPr>
          <w:rFonts w:ascii="Times New Roman" w:hAnsi="Times New Roman" w:cs="Times New Roman"/>
          <w:sz w:val="20"/>
          <w:szCs w:val="20"/>
          <w:lang w:val="en-US"/>
        </w:rPr>
        <w:t>CaSiO</w:t>
      </w:r>
      <w:r>
        <w:rPr>
          <w:rFonts w:ascii="Times New Roman" w:hAnsi="Times New Roman" w:cs="Times New Roman"/>
          <w:sz w:val="20"/>
          <w:szCs w:val="20"/>
          <w:vertAlign w:val="subscript"/>
        </w:rPr>
        <w:t xml:space="preserve">3 </w:t>
      </w:r>
      <w:r>
        <w:rPr>
          <w:rFonts w:ascii="Times New Roman" w:hAnsi="Times New Roman" w:cs="Times New Roman"/>
          <w:sz w:val="20"/>
          <w:szCs w:val="20"/>
        </w:rPr>
        <w:t xml:space="preserve">осадки после синтеза обжигали в интервале температур 900–1000 °С в течение 1 ч. </w:t>
      </w:r>
    </w:p>
    <w:p w:rsidR="00517711" w:rsidRDefault="00517711">
      <w:pPr>
        <w:spacing w:after="0" w:line="240" w:lineRule="auto"/>
        <w:ind w:firstLine="709"/>
        <w:jc w:val="both"/>
        <w:rPr>
          <w:rFonts w:ascii="Times New Roman" w:hAnsi="Times New Roman" w:cs="Times New Roman"/>
          <w:i/>
          <w:sz w:val="20"/>
          <w:szCs w:val="20"/>
        </w:rPr>
      </w:pPr>
    </w:p>
    <w:p w:rsidR="00517711" w:rsidRDefault="00F815BE">
      <w:pPr>
        <w:spacing w:after="0" w:line="240" w:lineRule="auto"/>
        <w:ind w:firstLine="709"/>
        <w:jc w:val="both"/>
        <w:rPr>
          <w:rFonts w:ascii="Times New Roman" w:hAnsi="Times New Roman" w:cs="Times New Roman"/>
          <w:i/>
          <w:sz w:val="20"/>
          <w:szCs w:val="20"/>
          <w:lang w:val="pt-BR"/>
        </w:rPr>
      </w:pPr>
      <w:r>
        <w:rPr>
          <w:rFonts w:ascii="Times New Roman" w:hAnsi="Times New Roman" w:cs="Times New Roman"/>
          <w:i/>
          <w:sz w:val="20"/>
          <w:szCs w:val="20"/>
        </w:rPr>
        <w:t>Синтез</w:t>
      </w:r>
      <w:r>
        <w:rPr>
          <w:rFonts w:ascii="Times New Roman" w:hAnsi="Times New Roman" w:cs="Times New Roman"/>
          <w:i/>
          <w:sz w:val="20"/>
          <w:szCs w:val="20"/>
          <w:lang w:val="pt-BR"/>
        </w:rPr>
        <w:t xml:space="preserve"> </w:t>
      </w:r>
      <w:r>
        <w:rPr>
          <w:rFonts w:ascii="Times New Roman" w:hAnsi="Times New Roman" w:cs="Times New Roman"/>
          <w:i/>
          <w:sz w:val="20"/>
          <w:szCs w:val="20"/>
        </w:rPr>
        <w:t>в</w:t>
      </w:r>
      <w:r>
        <w:rPr>
          <w:rFonts w:ascii="Times New Roman" w:hAnsi="Times New Roman" w:cs="Times New Roman"/>
          <w:i/>
          <w:sz w:val="20"/>
          <w:szCs w:val="20"/>
          <w:lang w:val="pt-BR"/>
        </w:rPr>
        <w:t xml:space="preserve"> </w:t>
      </w:r>
      <w:r>
        <w:rPr>
          <w:rFonts w:ascii="Times New Roman" w:hAnsi="Times New Roman" w:cs="Times New Roman"/>
          <w:i/>
          <w:sz w:val="20"/>
          <w:szCs w:val="20"/>
        </w:rPr>
        <w:t>системе</w:t>
      </w:r>
      <w:r>
        <w:rPr>
          <w:rFonts w:ascii="Times New Roman" w:hAnsi="Times New Roman" w:cs="Times New Roman"/>
          <w:i/>
          <w:sz w:val="20"/>
          <w:szCs w:val="20"/>
          <w:lang w:val="pt-BR"/>
        </w:rPr>
        <w:t xml:space="preserve"> CaCl</w:t>
      </w:r>
      <w:r>
        <w:rPr>
          <w:rFonts w:ascii="Times New Roman" w:hAnsi="Times New Roman" w:cs="Times New Roman"/>
          <w:i/>
          <w:sz w:val="20"/>
          <w:szCs w:val="20"/>
          <w:vertAlign w:val="subscript"/>
          <w:lang w:val="pt-BR"/>
        </w:rPr>
        <w:t>2</w:t>
      </w:r>
      <w:r>
        <w:rPr>
          <w:rFonts w:ascii="Times New Roman" w:hAnsi="Times New Roman" w:cs="Times New Roman"/>
          <w:i/>
          <w:sz w:val="20"/>
          <w:szCs w:val="20"/>
          <w:lang w:val="pt-BR"/>
        </w:rPr>
        <w:t>–Na</w:t>
      </w:r>
      <w:r>
        <w:rPr>
          <w:rFonts w:ascii="Times New Roman" w:hAnsi="Times New Roman" w:cs="Times New Roman"/>
          <w:i/>
          <w:sz w:val="20"/>
          <w:szCs w:val="20"/>
          <w:vertAlign w:val="subscript"/>
          <w:lang w:val="pt-BR"/>
        </w:rPr>
        <w:t>2</w:t>
      </w:r>
      <w:r>
        <w:rPr>
          <w:rFonts w:ascii="Times New Roman" w:hAnsi="Times New Roman" w:cs="Times New Roman"/>
          <w:i/>
          <w:sz w:val="20"/>
          <w:szCs w:val="20"/>
          <w:lang w:val="pt-BR"/>
        </w:rPr>
        <w:t>SiO</w:t>
      </w:r>
      <w:r>
        <w:rPr>
          <w:rFonts w:ascii="Times New Roman" w:hAnsi="Times New Roman" w:cs="Times New Roman"/>
          <w:i/>
          <w:sz w:val="20"/>
          <w:szCs w:val="20"/>
          <w:vertAlign w:val="subscript"/>
          <w:lang w:val="pt-BR"/>
        </w:rPr>
        <w:t>3</w:t>
      </w:r>
      <w:r>
        <w:rPr>
          <w:rFonts w:ascii="Times New Roman" w:hAnsi="Times New Roman" w:cs="Times New Roman"/>
          <w:i/>
          <w:sz w:val="20"/>
          <w:szCs w:val="20"/>
          <w:lang w:val="pt-BR"/>
        </w:rPr>
        <w:t>–H</w:t>
      </w:r>
      <w:r>
        <w:rPr>
          <w:rFonts w:ascii="Times New Roman" w:hAnsi="Times New Roman" w:cs="Times New Roman"/>
          <w:i/>
          <w:sz w:val="20"/>
          <w:szCs w:val="20"/>
          <w:vertAlign w:val="subscript"/>
          <w:lang w:val="pt-BR"/>
        </w:rPr>
        <w:t>2</w:t>
      </w:r>
      <w:r>
        <w:rPr>
          <w:rFonts w:ascii="Times New Roman" w:hAnsi="Times New Roman" w:cs="Times New Roman"/>
          <w:i/>
          <w:sz w:val="20"/>
          <w:szCs w:val="20"/>
          <w:lang w:val="pt-BR"/>
        </w:rPr>
        <w:t>O</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Для синтеза силикатов кальция использовали 20 % раствор хлористого кальция в 1,1–1,5-кратном избытке от стехиометрически необходимого. Также для синтеза использовали силикат натрия (марки «х.ч.»), содержание кремния в котором составляет 22,4 % (определение кремния выполнено методом атомно-эмиссионной спектроскопии с индуктивно связанной плазмой). Синтез проводили при комнатной температуре (</w:t>
      </w:r>
      <w:r>
        <w:rPr>
          <w:rFonts w:ascii="Times New Roman" w:hAnsi="Times New Roman" w:cs="Times New Roman"/>
          <w:sz w:val="20"/>
          <w:szCs w:val="20"/>
          <w:lang w:val="en-US"/>
        </w:rPr>
        <w:t>t</w:t>
      </w:r>
      <w:r>
        <w:rPr>
          <w:rFonts w:ascii="Times New Roman" w:hAnsi="Times New Roman" w:cs="Times New Roman"/>
          <w:sz w:val="20"/>
          <w:szCs w:val="20"/>
        </w:rPr>
        <w:t xml:space="preserve">=20 °С). К предварительно разбавленному раствору жидкого стекла при активном перемешивании приливали раствор </w:t>
      </w:r>
      <w:r>
        <w:rPr>
          <w:rFonts w:ascii="Times New Roman" w:hAnsi="Times New Roman" w:cs="Times New Roman"/>
          <w:sz w:val="20"/>
          <w:szCs w:val="20"/>
          <w:lang w:val="en-US"/>
        </w:rPr>
        <w:t>CaCl</w:t>
      </w:r>
      <w:r>
        <w:rPr>
          <w:rFonts w:ascii="Times New Roman" w:hAnsi="Times New Roman" w:cs="Times New Roman"/>
          <w:sz w:val="20"/>
          <w:szCs w:val="20"/>
          <w:vertAlign w:val="subscript"/>
        </w:rPr>
        <w:t>2</w:t>
      </w:r>
      <w:r>
        <w:rPr>
          <w:rFonts w:ascii="Times New Roman" w:hAnsi="Times New Roman" w:cs="Times New Roman"/>
          <w:sz w:val="20"/>
          <w:szCs w:val="20"/>
        </w:rPr>
        <w:t>. Полученный объемный осадок белого цвета тщательно отмывали от растворимых солей, отфильтровывали и сушили при температуре 85 °С.</w:t>
      </w:r>
    </w:p>
    <w:p w:rsidR="00517711" w:rsidRDefault="00517711">
      <w:pPr>
        <w:spacing w:after="0" w:line="240" w:lineRule="auto"/>
        <w:ind w:firstLine="709"/>
        <w:jc w:val="both"/>
        <w:rPr>
          <w:rFonts w:ascii="Times New Roman" w:hAnsi="Times New Roman" w:cs="Times New Roman"/>
          <w:i/>
          <w:sz w:val="20"/>
          <w:szCs w:val="20"/>
        </w:rPr>
      </w:pPr>
    </w:p>
    <w:p w:rsidR="00517711" w:rsidRDefault="00F815BE">
      <w:pPr>
        <w:spacing w:after="0" w:line="240" w:lineRule="auto"/>
        <w:ind w:firstLine="709"/>
        <w:jc w:val="both"/>
        <w:rPr>
          <w:rFonts w:ascii="Times New Roman" w:hAnsi="Times New Roman" w:cs="Times New Roman"/>
          <w:i/>
          <w:sz w:val="20"/>
          <w:szCs w:val="20"/>
          <w:lang w:val="pt-BR"/>
        </w:rPr>
      </w:pPr>
      <w:r>
        <w:rPr>
          <w:rFonts w:ascii="Times New Roman" w:hAnsi="Times New Roman" w:cs="Times New Roman"/>
          <w:i/>
          <w:sz w:val="20"/>
          <w:szCs w:val="20"/>
        </w:rPr>
        <w:t>Автоклавный</w:t>
      </w:r>
      <w:r>
        <w:rPr>
          <w:rFonts w:ascii="Times New Roman" w:hAnsi="Times New Roman" w:cs="Times New Roman"/>
          <w:i/>
          <w:sz w:val="20"/>
          <w:szCs w:val="20"/>
          <w:lang w:val="pt-BR"/>
        </w:rPr>
        <w:t xml:space="preserve"> </w:t>
      </w:r>
      <w:r>
        <w:rPr>
          <w:rFonts w:ascii="Times New Roman" w:hAnsi="Times New Roman" w:cs="Times New Roman"/>
          <w:i/>
          <w:sz w:val="20"/>
          <w:szCs w:val="20"/>
        </w:rPr>
        <w:t>синтез</w:t>
      </w:r>
      <w:r>
        <w:rPr>
          <w:rFonts w:ascii="Times New Roman" w:hAnsi="Times New Roman" w:cs="Times New Roman"/>
          <w:i/>
          <w:sz w:val="20"/>
          <w:szCs w:val="20"/>
          <w:lang w:val="pt-BR"/>
        </w:rPr>
        <w:t xml:space="preserve"> </w:t>
      </w:r>
      <w:r>
        <w:rPr>
          <w:rFonts w:ascii="Times New Roman" w:hAnsi="Times New Roman" w:cs="Times New Roman"/>
          <w:i/>
          <w:sz w:val="20"/>
          <w:szCs w:val="20"/>
        </w:rPr>
        <w:t>в</w:t>
      </w:r>
      <w:r>
        <w:rPr>
          <w:rFonts w:ascii="Times New Roman" w:hAnsi="Times New Roman" w:cs="Times New Roman"/>
          <w:i/>
          <w:sz w:val="20"/>
          <w:szCs w:val="20"/>
          <w:lang w:val="pt-BR"/>
        </w:rPr>
        <w:t xml:space="preserve"> </w:t>
      </w:r>
      <w:r>
        <w:rPr>
          <w:rFonts w:ascii="Times New Roman" w:hAnsi="Times New Roman" w:cs="Times New Roman"/>
          <w:i/>
          <w:sz w:val="20"/>
          <w:szCs w:val="20"/>
        </w:rPr>
        <w:t>системах</w:t>
      </w:r>
      <w:r>
        <w:rPr>
          <w:rFonts w:ascii="Times New Roman" w:hAnsi="Times New Roman" w:cs="Times New Roman"/>
          <w:i/>
          <w:sz w:val="20"/>
          <w:szCs w:val="20"/>
          <w:lang w:val="pt-BR"/>
        </w:rPr>
        <w:t xml:space="preserve"> CaCl</w:t>
      </w:r>
      <w:r>
        <w:rPr>
          <w:rFonts w:ascii="Times New Roman" w:hAnsi="Times New Roman" w:cs="Times New Roman"/>
          <w:i/>
          <w:sz w:val="20"/>
          <w:szCs w:val="20"/>
          <w:vertAlign w:val="subscript"/>
          <w:lang w:val="pt-BR"/>
        </w:rPr>
        <w:t>2</w:t>
      </w:r>
      <w:r>
        <w:rPr>
          <w:rFonts w:ascii="Times New Roman" w:hAnsi="Times New Roman" w:cs="Times New Roman"/>
          <w:i/>
          <w:sz w:val="20"/>
          <w:szCs w:val="20"/>
          <w:lang w:val="pt-BR"/>
        </w:rPr>
        <w:t>–SiO</w:t>
      </w:r>
      <w:r>
        <w:rPr>
          <w:rFonts w:ascii="Times New Roman" w:hAnsi="Times New Roman" w:cs="Times New Roman"/>
          <w:i/>
          <w:sz w:val="20"/>
          <w:szCs w:val="20"/>
          <w:vertAlign w:val="subscript"/>
          <w:lang w:val="pt-BR"/>
        </w:rPr>
        <w:t>2</w:t>
      </w:r>
      <w:r>
        <w:rPr>
          <w:rFonts w:ascii="Times New Roman" w:hAnsi="Times New Roman" w:cs="Times New Roman"/>
          <w:i/>
          <w:sz w:val="20"/>
          <w:szCs w:val="20"/>
          <w:lang w:val="pt-BR"/>
        </w:rPr>
        <w:t>·nH</w:t>
      </w:r>
      <w:r>
        <w:rPr>
          <w:rFonts w:ascii="Times New Roman" w:hAnsi="Times New Roman" w:cs="Times New Roman"/>
          <w:i/>
          <w:sz w:val="20"/>
          <w:szCs w:val="20"/>
          <w:vertAlign w:val="subscript"/>
          <w:lang w:val="pt-BR"/>
        </w:rPr>
        <w:t>2</w:t>
      </w:r>
      <w:r>
        <w:rPr>
          <w:rFonts w:ascii="Times New Roman" w:hAnsi="Times New Roman" w:cs="Times New Roman"/>
          <w:i/>
          <w:sz w:val="20"/>
          <w:szCs w:val="20"/>
          <w:lang w:val="pt-BR"/>
        </w:rPr>
        <w:t>O–KOH–H</w:t>
      </w:r>
      <w:r>
        <w:rPr>
          <w:rFonts w:ascii="Times New Roman" w:hAnsi="Times New Roman" w:cs="Times New Roman"/>
          <w:i/>
          <w:sz w:val="20"/>
          <w:szCs w:val="20"/>
          <w:vertAlign w:val="subscript"/>
          <w:lang w:val="pt-BR"/>
        </w:rPr>
        <w:t>2</w:t>
      </w:r>
      <w:r>
        <w:rPr>
          <w:rFonts w:ascii="Times New Roman" w:hAnsi="Times New Roman" w:cs="Times New Roman"/>
          <w:i/>
          <w:sz w:val="20"/>
          <w:szCs w:val="20"/>
          <w:lang w:val="pt-BR"/>
        </w:rPr>
        <w:t xml:space="preserve">O </w:t>
      </w:r>
      <w:r>
        <w:rPr>
          <w:rFonts w:ascii="Times New Roman" w:hAnsi="Times New Roman" w:cs="Times New Roman"/>
          <w:i/>
          <w:sz w:val="20"/>
          <w:szCs w:val="20"/>
        </w:rPr>
        <w:t>и</w:t>
      </w:r>
      <w:r>
        <w:rPr>
          <w:rFonts w:ascii="Times New Roman" w:hAnsi="Times New Roman" w:cs="Times New Roman"/>
          <w:i/>
          <w:sz w:val="20"/>
          <w:szCs w:val="20"/>
          <w:lang w:val="pt-BR"/>
        </w:rPr>
        <w:t xml:space="preserve"> CaSO</w:t>
      </w:r>
      <w:r>
        <w:rPr>
          <w:rFonts w:ascii="Times New Roman" w:hAnsi="Times New Roman" w:cs="Times New Roman"/>
          <w:i/>
          <w:sz w:val="20"/>
          <w:szCs w:val="20"/>
          <w:vertAlign w:val="subscript"/>
          <w:lang w:val="pt-BR"/>
        </w:rPr>
        <w:t>4</w:t>
      </w:r>
      <w:r>
        <w:rPr>
          <w:rFonts w:ascii="Times New Roman" w:hAnsi="Times New Roman" w:cs="Times New Roman"/>
          <w:i/>
          <w:sz w:val="20"/>
          <w:szCs w:val="20"/>
          <w:lang w:val="pt-BR"/>
        </w:rPr>
        <w:t>·2H</w:t>
      </w:r>
      <w:r>
        <w:rPr>
          <w:rFonts w:ascii="Times New Roman" w:hAnsi="Times New Roman" w:cs="Times New Roman"/>
          <w:i/>
          <w:sz w:val="20"/>
          <w:szCs w:val="20"/>
          <w:vertAlign w:val="subscript"/>
          <w:lang w:val="pt-BR"/>
        </w:rPr>
        <w:t>2</w:t>
      </w:r>
      <w:r>
        <w:rPr>
          <w:rFonts w:ascii="Times New Roman" w:hAnsi="Times New Roman" w:cs="Times New Roman"/>
          <w:i/>
          <w:sz w:val="20"/>
          <w:szCs w:val="20"/>
          <w:lang w:val="pt-BR"/>
        </w:rPr>
        <w:t>O–SiO</w:t>
      </w:r>
      <w:r>
        <w:rPr>
          <w:rFonts w:ascii="Times New Roman" w:hAnsi="Times New Roman" w:cs="Times New Roman"/>
          <w:i/>
          <w:sz w:val="20"/>
          <w:szCs w:val="20"/>
          <w:vertAlign w:val="subscript"/>
          <w:lang w:val="pt-BR"/>
        </w:rPr>
        <w:t>2</w:t>
      </w:r>
      <w:r>
        <w:rPr>
          <w:rFonts w:ascii="Times New Roman" w:hAnsi="Times New Roman" w:cs="Times New Roman"/>
          <w:i/>
          <w:sz w:val="20"/>
          <w:szCs w:val="20"/>
          <w:lang w:val="pt-BR"/>
        </w:rPr>
        <w:t>·nH</w:t>
      </w:r>
      <w:r>
        <w:rPr>
          <w:rFonts w:ascii="Times New Roman" w:hAnsi="Times New Roman" w:cs="Times New Roman"/>
          <w:i/>
          <w:sz w:val="20"/>
          <w:szCs w:val="20"/>
          <w:vertAlign w:val="subscript"/>
          <w:lang w:val="pt-BR"/>
        </w:rPr>
        <w:t>2</w:t>
      </w:r>
      <w:r>
        <w:rPr>
          <w:rFonts w:ascii="Times New Roman" w:hAnsi="Times New Roman" w:cs="Times New Roman"/>
          <w:i/>
          <w:sz w:val="20"/>
          <w:szCs w:val="20"/>
          <w:lang w:val="pt-BR"/>
        </w:rPr>
        <w:t>O–KOH–H</w:t>
      </w:r>
      <w:r>
        <w:rPr>
          <w:rFonts w:ascii="Times New Roman" w:hAnsi="Times New Roman" w:cs="Times New Roman"/>
          <w:i/>
          <w:sz w:val="20"/>
          <w:szCs w:val="20"/>
          <w:vertAlign w:val="subscript"/>
          <w:lang w:val="pt-BR"/>
        </w:rPr>
        <w:t>2</w:t>
      </w:r>
      <w:r>
        <w:rPr>
          <w:rFonts w:ascii="Times New Roman" w:hAnsi="Times New Roman" w:cs="Times New Roman"/>
          <w:i/>
          <w:sz w:val="20"/>
          <w:szCs w:val="20"/>
          <w:lang w:val="pt-BR"/>
        </w:rPr>
        <w:t>O</w:t>
      </w:r>
    </w:p>
    <w:p w:rsidR="00517711" w:rsidRDefault="00F815BE">
      <w:pPr>
        <w:tabs>
          <w:tab w:val="left" w:pos="9354"/>
        </w:tabs>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При автоклавном синтезе исходные компоненты в соответствующих многокомпонентных системах смешивали в стехиометрическом соотношении. Синтез проводили в автоклаве при температуре 220 °С в течение 3 ч. После окончания заданного интервала времени полученную смесь извлекали из автоклава. Осадок отделяли от раствора фильтрованием через бумажный фильтр «синяя лента», промывали дистиллированной водой, нагретой до 60–70 °С, и сушили при температуре 85 °С в течение 5 ч. Скорость реакции контролировали по остаточной концентрации гидроксида калия в растворе. </w:t>
      </w:r>
    </w:p>
    <w:p w:rsidR="00517711" w:rsidRDefault="00F815BE">
      <w:pPr>
        <w:tabs>
          <w:tab w:val="left" w:pos="9354"/>
        </w:tabs>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Рентгенограммы образцов снимали на автоматическом дифрактометре </w:t>
      </w:r>
      <w:r>
        <w:rPr>
          <w:rFonts w:ascii="Times New Roman" w:hAnsi="Times New Roman" w:cs="Times New Roman"/>
          <w:color w:val="000000"/>
          <w:sz w:val="20"/>
          <w:szCs w:val="20"/>
          <w:lang w:val="en-US"/>
        </w:rPr>
        <w:t>D</w:t>
      </w:r>
      <w:r>
        <w:rPr>
          <w:rFonts w:ascii="Times New Roman" w:hAnsi="Times New Roman" w:cs="Times New Roman"/>
          <w:color w:val="000000"/>
          <w:sz w:val="20"/>
          <w:szCs w:val="20"/>
        </w:rPr>
        <w:t xml:space="preserve">8 </w:t>
      </w:r>
      <w:r>
        <w:rPr>
          <w:rFonts w:ascii="Times New Roman" w:hAnsi="Times New Roman" w:cs="Times New Roman"/>
          <w:color w:val="000000"/>
          <w:sz w:val="20"/>
          <w:szCs w:val="20"/>
          <w:lang w:val="en-US"/>
        </w:rPr>
        <w:t>ADVANCE</w:t>
      </w:r>
      <w:r>
        <w:rPr>
          <w:rFonts w:ascii="Times New Roman" w:hAnsi="Times New Roman" w:cs="Times New Roman"/>
          <w:color w:val="000000"/>
          <w:sz w:val="20"/>
          <w:szCs w:val="20"/>
        </w:rPr>
        <w:t xml:space="preserve"> с вращением образца в С</w:t>
      </w:r>
      <w:r>
        <w:rPr>
          <w:rFonts w:ascii="Times New Roman" w:hAnsi="Times New Roman" w:cs="Times New Roman"/>
          <w:color w:val="000000"/>
          <w:sz w:val="20"/>
          <w:szCs w:val="20"/>
          <w:lang w:val="en-US"/>
        </w:rPr>
        <w:t>u</w:t>
      </w:r>
      <w:r>
        <w:rPr>
          <w:rFonts w:ascii="Times New Roman" w:hAnsi="Times New Roman" w:cs="Times New Roman"/>
          <w:color w:val="000000"/>
          <w:sz w:val="20"/>
          <w:szCs w:val="20"/>
        </w:rPr>
        <w:t xml:space="preserve"> </w:t>
      </w:r>
      <w:r>
        <w:rPr>
          <w:rFonts w:ascii="Times New Roman" w:hAnsi="Times New Roman" w:cs="Times New Roman"/>
          <w:color w:val="000000"/>
          <w:sz w:val="20"/>
          <w:szCs w:val="20"/>
          <w:lang w:val="en-US"/>
        </w:rPr>
        <w:t>K</w:t>
      </w:r>
      <w:r>
        <w:rPr>
          <w:rFonts w:ascii="Times New Roman" w:hAnsi="Times New Roman" w:cs="Times New Roman"/>
          <w:color w:val="000000"/>
          <w:sz w:val="20"/>
          <w:szCs w:val="20"/>
          <w:vertAlign w:val="subscript"/>
          <w:lang w:val="en-US"/>
        </w:rPr>
        <w:t>α</w:t>
      </w:r>
      <w:r>
        <w:rPr>
          <w:rFonts w:ascii="Times New Roman" w:hAnsi="Times New Roman" w:cs="Times New Roman"/>
          <w:color w:val="000000"/>
          <w:sz w:val="20"/>
          <w:szCs w:val="20"/>
        </w:rPr>
        <w:t xml:space="preserve">-излучении. Рентгенофазовый анализ проводили с использованием программы поиска </w:t>
      </w:r>
      <w:r>
        <w:rPr>
          <w:rFonts w:ascii="Times New Roman" w:hAnsi="Times New Roman" w:cs="Times New Roman"/>
          <w:color w:val="000000"/>
          <w:sz w:val="20"/>
          <w:szCs w:val="20"/>
          <w:lang w:val="en-US"/>
        </w:rPr>
        <w:t>EVA</w:t>
      </w:r>
      <w:r>
        <w:rPr>
          <w:rFonts w:ascii="Times New Roman" w:hAnsi="Times New Roman" w:cs="Times New Roman"/>
          <w:color w:val="000000"/>
          <w:sz w:val="20"/>
          <w:szCs w:val="20"/>
        </w:rPr>
        <w:t xml:space="preserve"> с банком порошковых данных </w:t>
      </w:r>
      <w:r>
        <w:rPr>
          <w:rFonts w:ascii="Times New Roman" w:hAnsi="Times New Roman" w:cs="Times New Roman"/>
          <w:color w:val="000000"/>
          <w:sz w:val="20"/>
          <w:szCs w:val="20"/>
          <w:lang w:val="en-US"/>
        </w:rPr>
        <w:t>PDF</w:t>
      </w:r>
      <w:r>
        <w:rPr>
          <w:rFonts w:ascii="Times New Roman" w:hAnsi="Times New Roman" w:cs="Times New Roman"/>
          <w:color w:val="000000"/>
          <w:sz w:val="20"/>
          <w:szCs w:val="20"/>
        </w:rPr>
        <w:t>-2.</w:t>
      </w:r>
    </w:p>
    <w:p w:rsidR="00517711" w:rsidRDefault="00F815BE">
      <w:pPr>
        <w:tabs>
          <w:tab w:val="left" w:pos="9354"/>
        </w:tabs>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sz w:val="20"/>
          <w:szCs w:val="20"/>
        </w:rPr>
        <w:t>Удельную поверхность определяли методом низкотемпературной адсорбции азота с использованием прибора «Сорбтомер-М».</w:t>
      </w:r>
    </w:p>
    <w:p w:rsidR="00517711" w:rsidRDefault="00F815BE">
      <w:pPr>
        <w:tabs>
          <w:tab w:val="left" w:pos="9354"/>
        </w:tabs>
        <w:spacing w:after="0" w:line="240" w:lineRule="auto"/>
        <w:ind w:firstLine="709"/>
        <w:jc w:val="both"/>
        <w:rPr>
          <w:rFonts w:ascii="Times New Roman" w:hAnsi="Times New Roman" w:cs="Times New Roman"/>
          <w:spacing w:val="-2"/>
          <w:sz w:val="20"/>
          <w:szCs w:val="20"/>
        </w:rPr>
      </w:pPr>
      <w:r>
        <w:rPr>
          <w:rFonts w:ascii="Times New Roman" w:hAnsi="Times New Roman" w:cs="Times New Roman"/>
          <w:spacing w:val="-2"/>
          <w:sz w:val="20"/>
          <w:szCs w:val="20"/>
        </w:rPr>
        <w:t xml:space="preserve">Термическое поведение осадков изучали на дериватографе </w:t>
      </w:r>
      <w:r>
        <w:rPr>
          <w:rFonts w:ascii="Times New Roman" w:hAnsi="Times New Roman" w:cs="Times New Roman"/>
          <w:spacing w:val="-2"/>
          <w:sz w:val="20"/>
          <w:szCs w:val="20"/>
          <w:lang w:val="en-US"/>
        </w:rPr>
        <w:t>Q</w:t>
      </w:r>
      <w:r>
        <w:rPr>
          <w:rFonts w:ascii="Times New Roman" w:hAnsi="Times New Roman" w:cs="Times New Roman"/>
          <w:spacing w:val="-2"/>
          <w:sz w:val="20"/>
          <w:szCs w:val="20"/>
        </w:rPr>
        <w:t xml:space="preserve">-1500 </w:t>
      </w:r>
      <w:r>
        <w:rPr>
          <w:rFonts w:ascii="Times New Roman" w:hAnsi="Times New Roman" w:cs="Times New Roman"/>
          <w:spacing w:val="-2"/>
          <w:sz w:val="20"/>
          <w:szCs w:val="20"/>
          <w:lang w:val="en-US"/>
        </w:rPr>
        <w:t>D</w:t>
      </w:r>
      <w:r>
        <w:rPr>
          <w:rFonts w:ascii="Times New Roman" w:hAnsi="Times New Roman" w:cs="Times New Roman"/>
          <w:spacing w:val="-2"/>
          <w:sz w:val="20"/>
          <w:szCs w:val="20"/>
        </w:rPr>
        <w:t xml:space="preserve"> системы Ф. Паулик, П. Паулик, Л. Эрдеи фирмы «МОМ» (точность определения температуры ±5 °С).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табл. 1 приведены данные по фазовому составу и удельной поверхности продуктов синтеза при обычных условиях и автоклавного синтеза в исследуемых системах.</w:t>
      </w:r>
    </w:p>
    <w:p w:rsidR="00517711" w:rsidRDefault="00F815BE">
      <w:pPr>
        <w:spacing w:after="0" w:line="240" w:lineRule="auto"/>
        <w:ind w:firstLine="709"/>
        <w:jc w:val="right"/>
        <w:rPr>
          <w:rFonts w:ascii="Times New Roman" w:hAnsi="Times New Roman" w:cs="Times New Roman"/>
          <w:i/>
          <w:sz w:val="20"/>
          <w:szCs w:val="20"/>
        </w:rPr>
      </w:pPr>
      <w:r>
        <w:rPr>
          <w:rFonts w:ascii="Times New Roman" w:hAnsi="Times New Roman" w:cs="Times New Roman"/>
          <w:i/>
          <w:sz w:val="20"/>
          <w:szCs w:val="20"/>
        </w:rPr>
        <w:t>Таблица 1</w:t>
      </w:r>
    </w:p>
    <w:p w:rsidR="00517711" w:rsidRDefault="00F815BE">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Фазовый состав и удельная поверхность продуктов синтеза в различных системах и при различных условиях (образцы после сушки при температуре 85 °С)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
        <w:gridCol w:w="2716"/>
        <w:gridCol w:w="3850"/>
        <w:gridCol w:w="2061"/>
      </w:tblGrid>
      <w:tr w:rsidR="00517711">
        <w:trPr>
          <w:jc w:val="center"/>
        </w:trPr>
        <w:tc>
          <w:tcPr>
            <w:tcW w:w="759"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п/п</w:t>
            </w:r>
          </w:p>
        </w:tc>
        <w:tc>
          <w:tcPr>
            <w:tcW w:w="2716"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Система и условия синтеза</w:t>
            </w:r>
          </w:p>
        </w:tc>
        <w:tc>
          <w:tcPr>
            <w:tcW w:w="3850"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Фазовый состав</w:t>
            </w:r>
          </w:p>
        </w:tc>
        <w:tc>
          <w:tcPr>
            <w:tcW w:w="2061"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Удельная поверхность, м</w:t>
            </w:r>
            <w:r>
              <w:rPr>
                <w:rFonts w:ascii="Times New Roman" w:hAnsi="Times New Roman" w:cs="Times New Roman"/>
                <w:sz w:val="20"/>
                <w:szCs w:val="20"/>
                <w:vertAlign w:val="superscript"/>
              </w:rPr>
              <w:t>2</w:t>
            </w:r>
            <w:r>
              <w:rPr>
                <w:rFonts w:ascii="Times New Roman" w:hAnsi="Times New Roman" w:cs="Times New Roman"/>
                <w:sz w:val="20"/>
                <w:szCs w:val="20"/>
              </w:rPr>
              <w:t>/г</w:t>
            </w:r>
          </w:p>
        </w:tc>
      </w:tr>
      <w:tr w:rsidR="00517711">
        <w:trPr>
          <w:jc w:val="center"/>
        </w:trPr>
        <w:tc>
          <w:tcPr>
            <w:tcW w:w="759"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2716"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lang w:val="en-US"/>
              </w:rPr>
              <w:t>CaCl</w:t>
            </w:r>
            <w:r>
              <w:rPr>
                <w:rFonts w:ascii="Times New Roman" w:hAnsi="Times New Roman" w:cs="Times New Roman"/>
                <w:sz w:val="20"/>
                <w:szCs w:val="20"/>
                <w:vertAlign w:val="subscript"/>
              </w:rPr>
              <w:t>2</w:t>
            </w:r>
            <w:r>
              <w:rPr>
                <w:rFonts w:ascii="Times New Roman" w:hAnsi="Times New Roman" w:cs="Times New Roman"/>
                <w:sz w:val="20"/>
                <w:szCs w:val="20"/>
              </w:rPr>
              <w:t>–</w:t>
            </w:r>
            <w:r>
              <w:rPr>
                <w:rFonts w:ascii="Times New Roman" w:hAnsi="Times New Roman" w:cs="Times New Roman"/>
                <w:sz w:val="20"/>
                <w:szCs w:val="20"/>
                <w:lang w:val="en-US"/>
              </w:rPr>
              <w:t>Na</w:t>
            </w:r>
            <w:r>
              <w:rPr>
                <w:rFonts w:ascii="Times New Roman" w:hAnsi="Times New Roman" w:cs="Times New Roman"/>
                <w:sz w:val="20"/>
                <w:szCs w:val="20"/>
                <w:vertAlign w:val="subscript"/>
              </w:rPr>
              <w:t>2</w:t>
            </w:r>
            <w:r>
              <w:rPr>
                <w:rFonts w:ascii="Times New Roman" w:hAnsi="Times New Roman" w:cs="Times New Roman"/>
                <w:sz w:val="20"/>
                <w:szCs w:val="20"/>
                <w:lang w:val="en-US"/>
              </w:rPr>
              <w:t>SiO</w:t>
            </w:r>
            <w:r>
              <w:rPr>
                <w:rFonts w:ascii="Times New Roman" w:hAnsi="Times New Roman" w:cs="Times New Roman"/>
                <w:sz w:val="20"/>
                <w:szCs w:val="20"/>
                <w:vertAlign w:val="subscript"/>
              </w:rPr>
              <w:t>3</w:t>
            </w:r>
            <w:r>
              <w:rPr>
                <w:rFonts w:ascii="Times New Roman" w:hAnsi="Times New Roman" w:cs="Times New Roman"/>
                <w:sz w:val="20"/>
                <w:szCs w:val="20"/>
              </w:rPr>
              <w:t>–</w:t>
            </w:r>
            <w:r>
              <w:rPr>
                <w:rFonts w:ascii="Times New Roman" w:hAnsi="Times New Roman" w:cs="Times New Roman"/>
                <w:sz w:val="20"/>
                <w:szCs w:val="20"/>
                <w:lang w:val="en-US"/>
              </w:rPr>
              <w:t>H</w:t>
            </w:r>
            <w:r>
              <w:rPr>
                <w:rFonts w:ascii="Times New Roman" w:hAnsi="Times New Roman" w:cs="Times New Roman"/>
                <w:sz w:val="20"/>
                <w:szCs w:val="20"/>
                <w:vertAlign w:val="subscript"/>
              </w:rPr>
              <w:t>2</w:t>
            </w:r>
            <w:r>
              <w:rPr>
                <w:rFonts w:ascii="Times New Roman" w:hAnsi="Times New Roman" w:cs="Times New Roman"/>
                <w:sz w:val="20"/>
                <w:szCs w:val="20"/>
                <w:lang w:val="en-US"/>
              </w:rPr>
              <w:t>O</w:t>
            </w:r>
            <w:r>
              <w:rPr>
                <w:rFonts w:ascii="Times New Roman" w:hAnsi="Times New Roman" w:cs="Times New Roman"/>
                <w:sz w:val="20"/>
                <w:szCs w:val="20"/>
              </w:rPr>
              <w:t xml:space="preserve">, </w:t>
            </w:r>
          </w:p>
          <w:p w:rsidR="00517711" w:rsidRDefault="00F815BE">
            <w:pPr>
              <w:spacing w:after="0" w:line="240" w:lineRule="auto"/>
              <w:jc w:val="center"/>
              <w:rPr>
                <w:rFonts w:ascii="Times New Roman" w:hAnsi="Times New Roman" w:cs="Times New Roman"/>
                <w:i/>
                <w:sz w:val="20"/>
                <w:szCs w:val="20"/>
              </w:rPr>
            </w:pPr>
            <w:r>
              <w:rPr>
                <w:rFonts w:ascii="Times New Roman" w:hAnsi="Times New Roman" w:cs="Times New Roman"/>
                <w:sz w:val="20"/>
                <w:szCs w:val="20"/>
              </w:rPr>
              <w:t>20 °С</w:t>
            </w:r>
          </w:p>
        </w:tc>
        <w:tc>
          <w:tcPr>
            <w:tcW w:w="3850"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Аморфная фаза, кальцит</w:t>
            </w:r>
            <w:r>
              <w:rPr>
                <w:rFonts w:ascii="Times New Roman" w:hAnsi="Times New Roman" w:cs="Times New Roman"/>
                <w:sz w:val="20"/>
                <w:szCs w:val="20"/>
                <w:lang w:val="pt-BR"/>
              </w:rPr>
              <w:t xml:space="preserve"> CaCO</w:t>
            </w:r>
            <w:r>
              <w:rPr>
                <w:rFonts w:ascii="Times New Roman" w:hAnsi="Times New Roman" w:cs="Times New Roman"/>
                <w:sz w:val="20"/>
                <w:szCs w:val="20"/>
                <w:vertAlign w:val="subscript"/>
                <w:lang w:val="pt-BR"/>
              </w:rPr>
              <w:t>3</w:t>
            </w:r>
          </w:p>
        </w:tc>
        <w:tc>
          <w:tcPr>
            <w:tcW w:w="2061"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105.9</w:t>
            </w:r>
          </w:p>
        </w:tc>
      </w:tr>
      <w:tr w:rsidR="00517711">
        <w:trPr>
          <w:jc w:val="center"/>
        </w:trPr>
        <w:tc>
          <w:tcPr>
            <w:tcW w:w="759"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2716" w:type="dxa"/>
            <w:shd w:val="clear" w:color="auto" w:fill="auto"/>
          </w:tcPr>
          <w:p w:rsidR="00517711" w:rsidRDefault="00F815BE">
            <w:pPr>
              <w:spacing w:after="0" w:line="240" w:lineRule="auto"/>
              <w:jc w:val="center"/>
              <w:rPr>
                <w:rFonts w:ascii="Times New Roman" w:hAnsi="Times New Roman" w:cs="Times New Roman"/>
                <w:i/>
                <w:sz w:val="20"/>
                <w:szCs w:val="20"/>
                <w:lang w:val="pt-BR"/>
              </w:rPr>
            </w:pPr>
            <w:r>
              <w:rPr>
                <w:rFonts w:ascii="Times New Roman" w:hAnsi="Times New Roman" w:cs="Times New Roman"/>
                <w:sz w:val="20"/>
                <w:szCs w:val="20"/>
                <w:lang w:val="pt-BR"/>
              </w:rPr>
              <w:t>CaCl</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–SiO</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·nH</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O–KOH–H</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O, 220 °</w:t>
            </w:r>
            <w:r>
              <w:rPr>
                <w:rFonts w:ascii="Times New Roman" w:hAnsi="Times New Roman" w:cs="Times New Roman"/>
                <w:sz w:val="20"/>
                <w:szCs w:val="20"/>
              </w:rPr>
              <w:t>С</w:t>
            </w:r>
            <w:r>
              <w:rPr>
                <w:rFonts w:ascii="Times New Roman" w:hAnsi="Times New Roman" w:cs="Times New Roman"/>
                <w:sz w:val="20"/>
                <w:szCs w:val="20"/>
                <w:lang w:val="pt-BR"/>
              </w:rPr>
              <w:t xml:space="preserve"> (</w:t>
            </w:r>
            <w:r>
              <w:rPr>
                <w:rFonts w:ascii="Times New Roman" w:hAnsi="Times New Roman" w:cs="Times New Roman"/>
                <w:sz w:val="20"/>
                <w:szCs w:val="20"/>
              </w:rPr>
              <w:t>автоклав</w:t>
            </w:r>
            <w:r>
              <w:rPr>
                <w:rFonts w:ascii="Times New Roman" w:hAnsi="Times New Roman" w:cs="Times New Roman"/>
                <w:sz w:val="20"/>
                <w:szCs w:val="20"/>
                <w:lang w:val="pt-BR"/>
              </w:rPr>
              <w:t>)</w:t>
            </w:r>
          </w:p>
        </w:tc>
        <w:tc>
          <w:tcPr>
            <w:tcW w:w="3850" w:type="dxa"/>
            <w:shd w:val="clear" w:color="auto" w:fill="auto"/>
          </w:tcPr>
          <w:p w:rsidR="00517711" w:rsidRDefault="00F815BE">
            <w:pPr>
              <w:spacing w:after="0" w:line="240" w:lineRule="auto"/>
              <w:jc w:val="center"/>
              <w:rPr>
                <w:rFonts w:ascii="Times New Roman" w:hAnsi="Times New Roman" w:cs="Times New Roman"/>
                <w:sz w:val="20"/>
                <w:szCs w:val="20"/>
                <w:lang w:val="pt-BR"/>
              </w:rPr>
            </w:pPr>
            <w:r>
              <w:rPr>
                <w:rFonts w:ascii="Times New Roman" w:hAnsi="Times New Roman" w:cs="Times New Roman"/>
                <w:sz w:val="20"/>
                <w:szCs w:val="20"/>
              </w:rPr>
              <w:t>Аморфная</w:t>
            </w:r>
            <w:r>
              <w:rPr>
                <w:rFonts w:ascii="Times New Roman" w:hAnsi="Times New Roman" w:cs="Times New Roman"/>
                <w:sz w:val="20"/>
                <w:szCs w:val="20"/>
                <w:lang w:val="pt-BR"/>
              </w:rPr>
              <w:t xml:space="preserve"> </w:t>
            </w:r>
            <w:r>
              <w:rPr>
                <w:rFonts w:ascii="Times New Roman" w:hAnsi="Times New Roman" w:cs="Times New Roman"/>
                <w:sz w:val="20"/>
                <w:szCs w:val="20"/>
              </w:rPr>
              <w:t>фаза</w:t>
            </w:r>
            <w:r>
              <w:rPr>
                <w:rFonts w:ascii="Times New Roman" w:hAnsi="Times New Roman" w:cs="Times New Roman"/>
                <w:sz w:val="20"/>
                <w:szCs w:val="20"/>
                <w:lang w:val="pt-BR"/>
              </w:rPr>
              <w:t xml:space="preserve">, </w:t>
            </w:r>
            <w:r>
              <w:rPr>
                <w:rFonts w:ascii="Times New Roman" w:hAnsi="Times New Roman" w:cs="Times New Roman"/>
                <w:sz w:val="20"/>
                <w:szCs w:val="20"/>
              </w:rPr>
              <w:t>тоберморит</w:t>
            </w:r>
            <w:r>
              <w:rPr>
                <w:rFonts w:ascii="Times New Roman" w:hAnsi="Times New Roman" w:cs="Times New Roman"/>
                <w:sz w:val="20"/>
                <w:szCs w:val="20"/>
                <w:lang w:val="pt-BR"/>
              </w:rPr>
              <w:t xml:space="preserve"> 9 Å</w:t>
            </w:r>
          </w:p>
          <w:p w:rsidR="00517711" w:rsidRDefault="00F815BE">
            <w:pPr>
              <w:spacing w:after="0" w:line="240" w:lineRule="auto"/>
              <w:jc w:val="center"/>
              <w:rPr>
                <w:rFonts w:ascii="Times New Roman" w:hAnsi="Times New Roman" w:cs="Times New Roman"/>
                <w:sz w:val="20"/>
                <w:szCs w:val="20"/>
                <w:lang w:val="pt-BR"/>
              </w:rPr>
            </w:pPr>
            <w:r>
              <w:rPr>
                <w:rFonts w:ascii="Times New Roman" w:hAnsi="Times New Roman" w:cs="Times New Roman"/>
                <w:sz w:val="20"/>
                <w:szCs w:val="20"/>
                <w:lang w:val="pt-BR"/>
              </w:rPr>
              <w:t>Ca</w:t>
            </w:r>
            <w:r>
              <w:rPr>
                <w:rFonts w:ascii="Times New Roman" w:hAnsi="Times New Roman" w:cs="Times New Roman"/>
                <w:sz w:val="20"/>
                <w:szCs w:val="20"/>
                <w:vertAlign w:val="subscript"/>
                <w:lang w:val="pt-BR"/>
              </w:rPr>
              <w:t>4</w:t>
            </w:r>
            <w:r>
              <w:rPr>
                <w:rFonts w:ascii="Times New Roman" w:hAnsi="Times New Roman" w:cs="Times New Roman"/>
                <w:sz w:val="20"/>
                <w:szCs w:val="20"/>
                <w:lang w:val="pt-BR"/>
              </w:rPr>
              <w:t>(Si</w:t>
            </w:r>
            <w:r>
              <w:rPr>
                <w:rFonts w:ascii="Times New Roman" w:hAnsi="Times New Roman" w:cs="Times New Roman"/>
                <w:sz w:val="20"/>
                <w:szCs w:val="20"/>
                <w:vertAlign w:val="subscript"/>
                <w:lang w:val="pt-BR"/>
              </w:rPr>
              <w:t>6</w:t>
            </w:r>
            <w:r>
              <w:rPr>
                <w:rFonts w:ascii="Times New Roman" w:hAnsi="Times New Roman" w:cs="Times New Roman"/>
                <w:sz w:val="20"/>
                <w:szCs w:val="20"/>
                <w:lang w:val="pt-BR"/>
              </w:rPr>
              <w:t>O</w:t>
            </w:r>
            <w:r>
              <w:rPr>
                <w:rFonts w:ascii="Times New Roman" w:hAnsi="Times New Roman" w:cs="Times New Roman"/>
                <w:sz w:val="20"/>
                <w:szCs w:val="20"/>
                <w:vertAlign w:val="subscript"/>
                <w:lang w:val="pt-BR"/>
              </w:rPr>
              <w:t>15</w:t>
            </w:r>
            <w:r>
              <w:rPr>
                <w:rFonts w:ascii="Times New Roman" w:hAnsi="Times New Roman" w:cs="Times New Roman"/>
                <w:sz w:val="20"/>
                <w:szCs w:val="20"/>
                <w:lang w:val="pt-BR"/>
              </w:rPr>
              <w:t>)(OH)</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·5H</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O,</w:t>
            </w:r>
          </w:p>
          <w:p w:rsidR="00517711" w:rsidRDefault="00F815BE">
            <w:pPr>
              <w:spacing w:after="0" w:line="240" w:lineRule="auto"/>
              <w:jc w:val="center"/>
              <w:rPr>
                <w:rFonts w:ascii="Times New Roman" w:hAnsi="Times New Roman" w:cs="Times New Roman"/>
                <w:sz w:val="20"/>
                <w:szCs w:val="20"/>
                <w:lang w:val="pt-BR"/>
              </w:rPr>
            </w:pPr>
            <w:r>
              <w:rPr>
                <w:rFonts w:ascii="Times New Roman" w:hAnsi="Times New Roman" w:cs="Times New Roman"/>
                <w:sz w:val="20"/>
                <w:szCs w:val="20"/>
              </w:rPr>
              <w:t>ксонотлит</w:t>
            </w:r>
            <w:r>
              <w:rPr>
                <w:rFonts w:ascii="Times New Roman" w:hAnsi="Times New Roman" w:cs="Times New Roman"/>
                <w:sz w:val="20"/>
                <w:szCs w:val="20"/>
                <w:lang w:val="pt-BR"/>
              </w:rPr>
              <w:t xml:space="preserve"> Ca</w:t>
            </w:r>
            <w:r>
              <w:rPr>
                <w:rFonts w:ascii="Times New Roman" w:hAnsi="Times New Roman" w:cs="Times New Roman"/>
                <w:sz w:val="20"/>
                <w:szCs w:val="20"/>
                <w:vertAlign w:val="subscript"/>
                <w:lang w:val="pt-BR"/>
              </w:rPr>
              <w:t>6</w:t>
            </w:r>
            <w:r>
              <w:rPr>
                <w:rFonts w:ascii="Times New Roman" w:hAnsi="Times New Roman" w:cs="Times New Roman"/>
                <w:sz w:val="20"/>
                <w:szCs w:val="20"/>
                <w:lang w:val="pt-BR"/>
              </w:rPr>
              <w:t>Si</w:t>
            </w:r>
            <w:r>
              <w:rPr>
                <w:rFonts w:ascii="Times New Roman" w:hAnsi="Times New Roman" w:cs="Times New Roman"/>
                <w:sz w:val="20"/>
                <w:szCs w:val="20"/>
                <w:vertAlign w:val="subscript"/>
                <w:lang w:val="pt-BR"/>
              </w:rPr>
              <w:t>6</w:t>
            </w:r>
            <w:r>
              <w:rPr>
                <w:rFonts w:ascii="Times New Roman" w:hAnsi="Times New Roman" w:cs="Times New Roman"/>
                <w:sz w:val="20"/>
                <w:szCs w:val="20"/>
                <w:lang w:val="pt-BR"/>
              </w:rPr>
              <w:t>O</w:t>
            </w:r>
            <w:r>
              <w:rPr>
                <w:rFonts w:ascii="Times New Roman" w:hAnsi="Times New Roman" w:cs="Times New Roman"/>
                <w:sz w:val="20"/>
                <w:szCs w:val="20"/>
                <w:vertAlign w:val="subscript"/>
                <w:lang w:val="pt-BR"/>
              </w:rPr>
              <w:t>17</w:t>
            </w:r>
            <w:r>
              <w:rPr>
                <w:rFonts w:ascii="Times New Roman" w:hAnsi="Times New Roman" w:cs="Times New Roman"/>
                <w:sz w:val="20"/>
                <w:szCs w:val="20"/>
                <w:lang w:val="pt-BR"/>
              </w:rPr>
              <w:t>(OH)</w:t>
            </w:r>
            <w:r>
              <w:rPr>
                <w:rFonts w:ascii="Times New Roman" w:hAnsi="Times New Roman" w:cs="Times New Roman"/>
                <w:sz w:val="20"/>
                <w:szCs w:val="20"/>
                <w:vertAlign w:val="subscript"/>
                <w:lang w:val="pt-BR"/>
              </w:rPr>
              <w:t>2</w:t>
            </w:r>
          </w:p>
        </w:tc>
        <w:tc>
          <w:tcPr>
            <w:tcW w:w="2061"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123.7</w:t>
            </w:r>
          </w:p>
        </w:tc>
      </w:tr>
      <w:tr w:rsidR="00517711">
        <w:trPr>
          <w:jc w:val="center"/>
        </w:trPr>
        <w:tc>
          <w:tcPr>
            <w:tcW w:w="759"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2716" w:type="dxa"/>
            <w:shd w:val="clear" w:color="auto" w:fill="auto"/>
          </w:tcPr>
          <w:p w:rsidR="00517711" w:rsidRDefault="00F815BE">
            <w:pPr>
              <w:spacing w:after="0" w:line="240" w:lineRule="auto"/>
              <w:jc w:val="center"/>
              <w:rPr>
                <w:rFonts w:ascii="Times New Roman" w:hAnsi="Times New Roman" w:cs="Times New Roman"/>
                <w:sz w:val="20"/>
                <w:szCs w:val="20"/>
                <w:lang w:val="pt-BR"/>
              </w:rPr>
            </w:pPr>
            <w:r>
              <w:rPr>
                <w:rFonts w:ascii="Times New Roman" w:hAnsi="Times New Roman" w:cs="Times New Roman"/>
                <w:sz w:val="20"/>
                <w:szCs w:val="20"/>
                <w:lang w:val="pt-BR"/>
              </w:rPr>
              <w:t>CaSO</w:t>
            </w:r>
            <w:r>
              <w:rPr>
                <w:rFonts w:ascii="Times New Roman" w:hAnsi="Times New Roman" w:cs="Times New Roman"/>
                <w:sz w:val="20"/>
                <w:szCs w:val="20"/>
                <w:vertAlign w:val="subscript"/>
                <w:lang w:val="pt-BR"/>
              </w:rPr>
              <w:t>4</w:t>
            </w:r>
            <w:r>
              <w:rPr>
                <w:rFonts w:ascii="Times New Roman" w:hAnsi="Times New Roman" w:cs="Times New Roman"/>
                <w:sz w:val="20"/>
                <w:szCs w:val="20"/>
                <w:lang w:val="pt-BR"/>
              </w:rPr>
              <w:t>·2H</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O–SiO</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·nH</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O–KOH–H</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O, 220 °</w:t>
            </w:r>
            <w:r>
              <w:rPr>
                <w:rFonts w:ascii="Times New Roman" w:hAnsi="Times New Roman" w:cs="Times New Roman"/>
                <w:sz w:val="20"/>
                <w:szCs w:val="20"/>
              </w:rPr>
              <w:t>С</w:t>
            </w:r>
            <w:r>
              <w:rPr>
                <w:rFonts w:ascii="Times New Roman" w:hAnsi="Times New Roman" w:cs="Times New Roman"/>
                <w:sz w:val="20"/>
                <w:szCs w:val="20"/>
                <w:lang w:val="pt-BR"/>
              </w:rPr>
              <w:t xml:space="preserve"> (</w:t>
            </w:r>
            <w:r>
              <w:rPr>
                <w:rFonts w:ascii="Times New Roman" w:hAnsi="Times New Roman" w:cs="Times New Roman"/>
                <w:sz w:val="20"/>
                <w:szCs w:val="20"/>
              </w:rPr>
              <w:t>автоклав</w:t>
            </w:r>
            <w:r>
              <w:rPr>
                <w:rFonts w:ascii="Times New Roman" w:hAnsi="Times New Roman" w:cs="Times New Roman"/>
                <w:sz w:val="20"/>
                <w:szCs w:val="20"/>
                <w:lang w:val="pt-BR"/>
              </w:rPr>
              <w:t>)</w:t>
            </w:r>
          </w:p>
        </w:tc>
        <w:tc>
          <w:tcPr>
            <w:tcW w:w="3850" w:type="dxa"/>
            <w:shd w:val="clear" w:color="auto" w:fill="auto"/>
          </w:tcPr>
          <w:p w:rsidR="00517711" w:rsidRDefault="00F815BE">
            <w:pPr>
              <w:spacing w:after="0" w:line="240" w:lineRule="auto"/>
              <w:jc w:val="center"/>
              <w:rPr>
                <w:rFonts w:ascii="Times New Roman" w:hAnsi="Times New Roman" w:cs="Times New Roman"/>
                <w:sz w:val="20"/>
                <w:szCs w:val="20"/>
                <w:lang w:val="pt-BR"/>
              </w:rPr>
            </w:pPr>
            <w:r>
              <w:rPr>
                <w:rFonts w:ascii="Times New Roman" w:hAnsi="Times New Roman" w:cs="Times New Roman"/>
                <w:sz w:val="20"/>
                <w:szCs w:val="20"/>
              </w:rPr>
              <w:t>Аморфная</w:t>
            </w:r>
            <w:r>
              <w:rPr>
                <w:rFonts w:ascii="Times New Roman" w:hAnsi="Times New Roman" w:cs="Times New Roman"/>
                <w:sz w:val="20"/>
                <w:szCs w:val="20"/>
                <w:lang w:val="pt-BR"/>
              </w:rPr>
              <w:t xml:space="preserve"> </w:t>
            </w:r>
            <w:r>
              <w:rPr>
                <w:rFonts w:ascii="Times New Roman" w:hAnsi="Times New Roman" w:cs="Times New Roman"/>
                <w:sz w:val="20"/>
                <w:szCs w:val="20"/>
              </w:rPr>
              <w:t>фаза</w:t>
            </w:r>
            <w:r>
              <w:rPr>
                <w:rFonts w:ascii="Times New Roman" w:hAnsi="Times New Roman" w:cs="Times New Roman"/>
                <w:sz w:val="20"/>
                <w:szCs w:val="20"/>
                <w:lang w:val="pt-BR"/>
              </w:rPr>
              <w:t xml:space="preserve">, </w:t>
            </w:r>
            <w:r>
              <w:rPr>
                <w:rFonts w:ascii="Times New Roman" w:hAnsi="Times New Roman" w:cs="Times New Roman"/>
                <w:sz w:val="20"/>
                <w:szCs w:val="20"/>
              </w:rPr>
              <w:t>волластонит</w:t>
            </w:r>
            <w:r>
              <w:rPr>
                <w:rFonts w:ascii="Times New Roman" w:hAnsi="Times New Roman" w:cs="Times New Roman"/>
                <w:sz w:val="20"/>
                <w:szCs w:val="20"/>
                <w:lang w:val="pt-BR"/>
              </w:rPr>
              <w:t xml:space="preserve"> CaSiO</w:t>
            </w:r>
            <w:r>
              <w:rPr>
                <w:rFonts w:ascii="Times New Roman" w:hAnsi="Times New Roman" w:cs="Times New Roman"/>
                <w:sz w:val="20"/>
                <w:szCs w:val="20"/>
                <w:vertAlign w:val="subscript"/>
                <w:lang w:val="pt-BR"/>
              </w:rPr>
              <w:t>3</w:t>
            </w:r>
            <w:r>
              <w:rPr>
                <w:rFonts w:ascii="Times New Roman" w:hAnsi="Times New Roman" w:cs="Times New Roman"/>
                <w:sz w:val="20"/>
                <w:szCs w:val="20"/>
                <w:lang w:val="pt-BR"/>
              </w:rPr>
              <w:t xml:space="preserve">, </w:t>
            </w:r>
            <w:r>
              <w:rPr>
                <w:rFonts w:ascii="Times New Roman" w:hAnsi="Times New Roman" w:cs="Times New Roman"/>
                <w:sz w:val="20"/>
                <w:szCs w:val="20"/>
              </w:rPr>
              <w:t>гидросиликат</w:t>
            </w:r>
            <w:r>
              <w:rPr>
                <w:rFonts w:ascii="Times New Roman" w:hAnsi="Times New Roman" w:cs="Times New Roman"/>
                <w:sz w:val="20"/>
                <w:szCs w:val="20"/>
                <w:lang w:val="pt-BR"/>
              </w:rPr>
              <w:t xml:space="preserve"> </w:t>
            </w:r>
            <w:r>
              <w:rPr>
                <w:rFonts w:ascii="Times New Roman" w:hAnsi="Times New Roman" w:cs="Times New Roman"/>
                <w:sz w:val="20"/>
                <w:szCs w:val="20"/>
              </w:rPr>
              <w:t>кальция</w:t>
            </w:r>
            <w:r>
              <w:rPr>
                <w:rFonts w:ascii="Times New Roman" w:hAnsi="Times New Roman" w:cs="Times New Roman"/>
                <w:sz w:val="20"/>
                <w:szCs w:val="20"/>
                <w:lang w:val="pt-BR"/>
              </w:rPr>
              <w:t xml:space="preserve"> Ca</w:t>
            </w:r>
            <w:r>
              <w:rPr>
                <w:rFonts w:ascii="Times New Roman" w:hAnsi="Times New Roman" w:cs="Times New Roman"/>
                <w:sz w:val="20"/>
                <w:szCs w:val="20"/>
                <w:vertAlign w:val="subscript"/>
                <w:lang w:val="pt-BR"/>
              </w:rPr>
              <w:t>1.5</w:t>
            </w:r>
            <w:r>
              <w:rPr>
                <w:rFonts w:ascii="Times New Roman" w:hAnsi="Times New Roman" w:cs="Times New Roman"/>
                <w:sz w:val="20"/>
                <w:szCs w:val="20"/>
                <w:lang w:val="pt-BR"/>
              </w:rPr>
              <w:t>SiO</w:t>
            </w:r>
            <w:r>
              <w:rPr>
                <w:rFonts w:ascii="Times New Roman" w:hAnsi="Times New Roman" w:cs="Times New Roman"/>
                <w:sz w:val="20"/>
                <w:szCs w:val="20"/>
                <w:vertAlign w:val="subscript"/>
                <w:lang w:val="pt-BR"/>
              </w:rPr>
              <w:t>3.5</w:t>
            </w:r>
            <w:r>
              <w:rPr>
                <w:rFonts w:ascii="Times New Roman" w:hAnsi="Times New Roman" w:cs="Times New Roman"/>
                <w:sz w:val="20"/>
                <w:szCs w:val="20"/>
                <w:lang w:val="pt-BR"/>
              </w:rPr>
              <w:t>·xH</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O/1.5CaO·SiO</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·xH</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 xml:space="preserve">O, </w:t>
            </w:r>
            <w:r>
              <w:rPr>
                <w:rFonts w:ascii="Times New Roman" w:hAnsi="Times New Roman" w:cs="Times New Roman"/>
                <w:sz w:val="20"/>
                <w:szCs w:val="20"/>
              </w:rPr>
              <w:t>тоберморит</w:t>
            </w:r>
            <w:r>
              <w:rPr>
                <w:rFonts w:ascii="Times New Roman" w:hAnsi="Times New Roman" w:cs="Times New Roman"/>
                <w:sz w:val="20"/>
                <w:szCs w:val="20"/>
                <w:lang w:val="pt-BR"/>
              </w:rPr>
              <w:t xml:space="preserve"> 9 Å Ca</w:t>
            </w:r>
            <w:r>
              <w:rPr>
                <w:rFonts w:ascii="Times New Roman" w:hAnsi="Times New Roman" w:cs="Times New Roman"/>
                <w:sz w:val="20"/>
                <w:szCs w:val="20"/>
                <w:vertAlign w:val="subscript"/>
                <w:lang w:val="pt-BR"/>
              </w:rPr>
              <w:t>4</w:t>
            </w:r>
            <w:r>
              <w:rPr>
                <w:rFonts w:ascii="Times New Roman" w:hAnsi="Times New Roman" w:cs="Times New Roman"/>
                <w:sz w:val="20"/>
                <w:szCs w:val="20"/>
                <w:lang w:val="pt-BR"/>
              </w:rPr>
              <w:t>(Si</w:t>
            </w:r>
            <w:r>
              <w:rPr>
                <w:rFonts w:ascii="Times New Roman" w:hAnsi="Times New Roman" w:cs="Times New Roman"/>
                <w:sz w:val="20"/>
                <w:szCs w:val="20"/>
                <w:vertAlign w:val="subscript"/>
                <w:lang w:val="pt-BR"/>
              </w:rPr>
              <w:t>6</w:t>
            </w:r>
            <w:r>
              <w:rPr>
                <w:rFonts w:ascii="Times New Roman" w:hAnsi="Times New Roman" w:cs="Times New Roman"/>
                <w:sz w:val="20"/>
                <w:szCs w:val="20"/>
                <w:lang w:val="pt-BR"/>
              </w:rPr>
              <w:t>O</w:t>
            </w:r>
            <w:r>
              <w:rPr>
                <w:rFonts w:ascii="Times New Roman" w:hAnsi="Times New Roman" w:cs="Times New Roman"/>
                <w:sz w:val="20"/>
                <w:szCs w:val="20"/>
                <w:vertAlign w:val="subscript"/>
                <w:lang w:val="pt-BR"/>
              </w:rPr>
              <w:t>15</w:t>
            </w:r>
            <w:r>
              <w:rPr>
                <w:rFonts w:ascii="Times New Roman" w:hAnsi="Times New Roman" w:cs="Times New Roman"/>
                <w:sz w:val="20"/>
                <w:szCs w:val="20"/>
                <w:lang w:val="pt-BR"/>
              </w:rPr>
              <w:t>)(OH)</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·5H</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O</w:t>
            </w:r>
          </w:p>
        </w:tc>
        <w:tc>
          <w:tcPr>
            <w:tcW w:w="2061" w:type="dxa"/>
            <w:shd w:val="clear" w:color="auto" w:fill="auto"/>
          </w:tcPr>
          <w:p w:rsidR="00517711" w:rsidRDefault="00F815BE">
            <w:pPr>
              <w:spacing w:after="0" w:line="240" w:lineRule="auto"/>
              <w:jc w:val="center"/>
              <w:rPr>
                <w:rFonts w:ascii="Times New Roman" w:hAnsi="Times New Roman" w:cs="Times New Roman"/>
                <w:sz w:val="20"/>
                <w:szCs w:val="20"/>
                <w:lang w:val="pt-BR"/>
              </w:rPr>
            </w:pPr>
            <w:r>
              <w:rPr>
                <w:rFonts w:ascii="Times New Roman" w:hAnsi="Times New Roman" w:cs="Times New Roman"/>
                <w:sz w:val="20"/>
                <w:szCs w:val="20"/>
                <w:lang w:val="pt-BR"/>
              </w:rPr>
              <w:t>146.4</w:t>
            </w:r>
          </w:p>
        </w:tc>
      </w:tr>
    </w:tbl>
    <w:p w:rsidR="00517711" w:rsidRDefault="00517711">
      <w:pPr>
        <w:spacing w:after="0" w:line="240" w:lineRule="auto"/>
        <w:ind w:firstLine="709"/>
        <w:jc w:val="both"/>
        <w:rPr>
          <w:rFonts w:ascii="Times New Roman" w:hAnsi="Times New Roman" w:cs="Times New Roman"/>
          <w:sz w:val="20"/>
          <w:szCs w:val="20"/>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Как видно из представленной таблицы, для всех исследуемых многокомпонентных систем характерно наличие аморфной фазы.</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В многокомпонентной системе </w:t>
      </w:r>
      <w:r>
        <w:rPr>
          <w:rFonts w:ascii="Times New Roman" w:hAnsi="Times New Roman" w:cs="Times New Roman"/>
          <w:sz w:val="20"/>
          <w:szCs w:val="20"/>
          <w:lang w:val="pt-BR"/>
        </w:rPr>
        <w:t>CaCl</w:t>
      </w:r>
      <w:r>
        <w:rPr>
          <w:rFonts w:ascii="Times New Roman" w:hAnsi="Times New Roman" w:cs="Times New Roman"/>
          <w:sz w:val="20"/>
          <w:szCs w:val="20"/>
          <w:vertAlign w:val="subscript"/>
        </w:rPr>
        <w:t>2</w:t>
      </w:r>
      <w:r>
        <w:rPr>
          <w:rFonts w:ascii="Times New Roman" w:hAnsi="Times New Roman" w:cs="Times New Roman"/>
          <w:sz w:val="20"/>
          <w:szCs w:val="20"/>
        </w:rPr>
        <w:t>–</w:t>
      </w:r>
      <w:r>
        <w:rPr>
          <w:rFonts w:ascii="Times New Roman" w:hAnsi="Times New Roman" w:cs="Times New Roman"/>
          <w:sz w:val="20"/>
          <w:szCs w:val="20"/>
          <w:lang w:val="pt-BR"/>
        </w:rPr>
        <w:t>Na</w:t>
      </w:r>
      <w:r>
        <w:rPr>
          <w:rFonts w:ascii="Times New Roman" w:hAnsi="Times New Roman" w:cs="Times New Roman"/>
          <w:sz w:val="20"/>
          <w:szCs w:val="20"/>
          <w:vertAlign w:val="subscript"/>
        </w:rPr>
        <w:t>2</w:t>
      </w:r>
      <w:r>
        <w:rPr>
          <w:rFonts w:ascii="Times New Roman" w:hAnsi="Times New Roman" w:cs="Times New Roman"/>
          <w:sz w:val="20"/>
          <w:szCs w:val="20"/>
          <w:lang w:val="pt-BR"/>
        </w:rPr>
        <w:t>SiO</w:t>
      </w:r>
      <w:r>
        <w:rPr>
          <w:rFonts w:ascii="Times New Roman" w:hAnsi="Times New Roman" w:cs="Times New Roman"/>
          <w:sz w:val="20"/>
          <w:szCs w:val="20"/>
          <w:vertAlign w:val="subscript"/>
        </w:rPr>
        <w:t>3</w:t>
      </w:r>
      <w:r>
        <w:rPr>
          <w:rFonts w:ascii="Times New Roman" w:hAnsi="Times New Roman" w:cs="Times New Roman"/>
          <w:sz w:val="20"/>
          <w:szCs w:val="20"/>
        </w:rPr>
        <w:t>–</w:t>
      </w:r>
      <w:r>
        <w:rPr>
          <w:rFonts w:ascii="Times New Roman" w:hAnsi="Times New Roman" w:cs="Times New Roman"/>
          <w:sz w:val="20"/>
          <w:szCs w:val="20"/>
          <w:lang w:val="pt-BR"/>
        </w:rPr>
        <w:t>H</w:t>
      </w:r>
      <w:r>
        <w:rPr>
          <w:rFonts w:ascii="Times New Roman" w:hAnsi="Times New Roman" w:cs="Times New Roman"/>
          <w:sz w:val="20"/>
          <w:szCs w:val="20"/>
          <w:vertAlign w:val="subscript"/>
        </w:rPr>
        <w:t>2</w:t>
      </w:r>
      <w:r>
        <w:rPr>
          <w:rFonts w:ascii="Times New Roman" w:hAnsi="Times New Roman" w:cs="Times New Roman"/>
          <w:sz w:val="20"/>
          <w:szCs w:val="20"/>
          <w:lang w:val="pt-BR"/>
        </w:rPr>
        <w:t>O</w:t>
      </w:r>
      <w:r>
        <w:rPr>
          <w:rFonts w:ascii="Times New Roman" w:hAnsi="Times New Roman" w:cs="Times New Roman"/>
          <w:sz w:val="20"/>
          <w:szCs w:val="20"/>
        </w:rPr>
        <w:t xml:space="preserve"> (</w:t>
      </w:r>
      <w:r>
        <w:rPr>
          <w:rFonts w:ascii="Times New Roman" w:hAnsi="Times New Roman" w:cs="Times New Roman"/>
          <w:sz w:val="20"/>
          <w:szCs w:val="20"/>
          <w:lang w:val="en-US"/>
        </w:rPr>
        <w:t>t</w:t>
      </w:r>
      <w:r>
        <w:rPr>
          <w:rFonts w:ascii="Times New Roman" w:hAnsi="Times New Roman" w:cs="Times New Roman"/>
          <w:sz w:val="20"/>
          <w:szCs w:val="20"/>
        </w:rPr>
        <w:t xml:space="preserve">=20 °С) образуется кальцит </w:t>
      </w:r>
      <w:r>
        <w:rPr>
          <w:rFonts w:ascii="Times New Roman" w:hAnsi="Times New Roman" w:cs="Times New Roman"/>
          <w:sz w:val="20"/>
          <w:szCs w:val="20"/>
          <w:lang w:val="pt-BR"/>
        </w:rPr>
        <w:t>CaCO</w:t>
      </w:r>
      <w:r>
        <w:rPr>
          <w:rFonts w:ascii="Times New Roman" w:hAnsi="Times New Roman" w:cs="Times New Roman"/>
          <w:sz w:val="20"/>
          <w:szCs w:val="20"/>
          <w:vertAlign w:val="subscript"/>
        </w:rPr>
        <w:t>3</w:t>
      </w:r>
      <w:r>
        <w:rPr>
          <w:rFonts w:ascii="Times New Roman" w:hAnsi="Times New Roman" w:cs="Times New Roman"/>
          <w:sz w:val="20"/>
          <w:szCs w:val="20"/>
        </w:rPr>
        <w:t xml:space="preserve">, что связано с карбонизацией гидроксида кальция, который, в свою очередь, образуется при взаимодействии аморфного силиката кальция с водой и растворенным в ней углекислым газом: </w:t>
      </w:r>
      <w:r>
        <w:rPr>
          <w:rFonts w:ascii="Times New Roman" w:hAnsi="Times New Roman" w:cs="Times New Roman"/>
          <w:sz w:val="20"/>
          <w:szCs w:val="20"/>
          <w:lang w:val="en-US"/>
        </w:rPr>
        <w:t>CaO</w:t>
      </w:r>
      <w:r>
        <w:rPr>
          <w:rFonts w:ascii="Times New Roman" w:hAnsi="Times New Roman" w:cs="Times New Roman"/>
          <w:sz w:val="20"/>
          <w:szCs w:val="20"/>
        </w:rPr>
        <w:t>·</w:t>
      </w:r>
      <w:r>
        <w:rPr>
          <w:rFonts w:ascii="Times New Roman" w:hAnsi="Times New Roman" w:cs="Times New Roman"/>
          <w:sz w:val="20"/>
          <w:szCs w:val="20"/>
          <w:lang w:val="en-US"/>
        </w:rPr>
        <w:t>SiO</w:t>
      </w:r>
      <w:r>
        <w:rPr>
          <w:rFonts w:ascii="Times New Roman" w:hAnsi="Times New Roman" w:cs="Times New Roman"/>
          <w:sz w:val="20"/>
          <w:szCs w:val="20"/>
          <w:vertAlign w:val="subscript"/>
        </w:rPr>
        <w:t>2</w:t>
      </w:r>
      <w:r>
        <w:rPr>
          <w:rFonts w:ascii="Times New Roman" w:hAnsi="Times New Roman" w:cs="Times New Roman"/>
          <w:sz w:val="20"/>
          <w:szCs w:val="20"/>
        </w:rPr>
        <w:t>·</w:t>
      </w:r>
      <w:r>
        <w:rPr>
          <w:rFonts w:ascii="Times New Roman" w:hAnsi="Times New Roman" w:cs="Times New Roman"/>
          <w:sz w:val="20"/>
          <w:szCs w:val="20"/>
          <w:lang w:val="en-US"/>
        </w:rPr>
        <w:t>nH</w:t>
      </w:r>
      <w:r>
        <w:rPr>
          <w:rFonts w:ascii="Times New Roman" w:hAnsi="Times New Roman" w:cs="Times New Roman"/>
          <w:sz w:val="20"/>
          <w:szCs w:val="20"/>
          <w:vertAlign w:val="subscript"/>
        </w:rPr>
        <w:t>2</w:t>
      </w:r>
      <w:r>
        <w:rPr>
          <w:rFonts w:ascii="Times New Roman" w:hAnsi="Times New Roman" w:cs="Times New Roman"/>
          <w:sz w:val="20"/>
          <w:szCs w:val="20"/>
          <w:lang w:val="en-US"/>
        </w:rPr>
        <w:t>O</w:t>
      </w:r>
      <w:r>
        <w:rPr>
          <w:rFonts w:ascii="Times New Roman" w:hAnsi="Times New Roman" w:cs="Times New Roman"/>
          <w:sz w:val="20"/>
          <w:szCs w:val="20"/>
        </w:rPr>
        <w:t>+</w:t>
      </w:r>
      <w:r>
        <w:rPr>
          <w:rFonts w:ascii="Times New Roman" w:hAnsi="Times New Roman" w:cs="Times New Roman"/>
          <w:sz w:val="20"/>
          <w:szCs w:val="20"/>
          <w:lang w:val="en-US"/>
        </w:rPr>
        <w:t>CO</w:t>
      </w:r>
      <w:r>
        <w:rPr>
          <w:rFonts w:ascii="Times New Roman" w:hAnsi="Times New Roman" w:cs="Times New Roman"/>
          <w:sz w:val="20"/>
          <w:szCs w:val="20"/>
          <w:vertAlign w:val="subscript"/>
        </w:rPr>
        <w:t xml:space="preserve">2 </w:t>
      </w:r>
      <w:r>
        <w:rPr>
          <w:rFonts w:ascii="Times New Roman" w:hAnsi="Times New Roman" w:cs="Times New Roman"/>
          <w:sz w:val="20"/>
          <w:szCs w:val="20"/>
        </w:rPr>
        <w:t xml:space="preserve">→ </w:t>
      </w:r>
      <w:r>
        <w:rPr>
          <w:rFonts w:ascii="Times New Roman" w:hAnsi="Times New Roman" w:cs="Times New Roman"/>
          <w:sz w:val="20"/>
          <w:szCs w:val="20"/>
          <w:lang w:val="en-US"/>
        </w:rPr>
        <w:t>CaCO</w:t>
      </w:r>
      <w:r>
        <w:rPr>
          <w:rFonts w:ascii="Times New Roman" w:hAnsi="Times New Roman" w:cs="Times New Roman"/>
          <w:sz w:val="20"/>
          <w:szCs w:val="20"/>
          <w:vertAlign w:val="subscript"/>
        </w:rPr>
        <w:t xml:space="preserve">3 </w:t>
      </w:r>
      <w:r>
        <w:rPr>
          <w:rFonts w:ascii="Times New Roman" w:hAnsi="Times New Roman" w:cs="Times New Roman"/>
          <w:sz w:val="20"/>
          <w:szCs w:val="20"/>
        </w:rPr>
        <w:t xml:space="preserve">+ </w:t>
      </w:r>
      <w:r>
        <w:rPr>
          <w:rFonts w:ascii="Times New Roman" w:hAnsi="Times New Roman" w:cs="Times New Roman"/>
          <w:sz w:val="20"/>
          <w:szCs w:val="20"/>
          <w:lang w:val="en-US"/>
        </w:rPr>
        <w:t>SiO</w:t>
      </w:r>
      <w:r>
        <w:rPr>
          <w:rFonts w:ascii="Times New Roman" w:hAnsi="Times New Roman" w:cs="Times New Roman"/>
          <w:sz w:val="20"/>
          <w:szCs w:val="20"/>
          <w:vertAlign w:val="subscript"/>
        </w:rPr>
        <w:t>2</w:t>
      </w:r>
      <w:r>
        <w:rPr>
          <w:rFonts w:ascii="Times New Roman" w:hAnsi="Times New Roman" w:cs="Times New Roman"/>
          <w:sz w:val="20"/>
          <w:szCs w:val="20"/>
        </w:rPr>
        <w:t>·</w:t>
      </w:r>
      <w:r>
        <w:rPr>
          <w:rFonts w:ascii="Times New Roman" w:hAnsi="Times New Roman" w:cs="Times New Roman"/>
          <w:sz w:val="20"/>
          <w:szCs w:val="20"/>
          <w:lang w:val="en-US"/>
        </w:rPr>
        <w:t>nH</w:t>
      </w:r>
      <w:r>
        <w:rPr>
          <w:rFonts w:ascii="Times New Roman" w:hAnsi="Times New Roman" w:cs="Times New Roman"/>
          <w:sz w:val="20"/>
          <w:szCs w:val="20"/>
          <w:vertAlign w:val="subscript"/>
        </w:rPr>
        <w:t>2</w:t>
      </w:r>
      <w:r>
        <w:rPr>
          <w:rFonts w:ascii="Times New Roman" w:hAnsi="Times New Roman" w:cs="Times New Roman"/>
          <w:sz w:val="20"/>
          <w:szCs w:val="20"/>
          <w:lang w:val="en-US"/>
        </w:rPr>
        <w:t>O</w:t>
      </w:r>
      <w:r>
        <w:rPr>
          <w:rFonts w:ascii="Times New Roman" w:hAnsi="Times New Roman" w:cs="Times New Roman"/>
          <w:sz w:val="20"/>
          <w:szCs w:val="20"/>
        </w:rPr>
        <w:t>. Установлено, что</w:t>
      </w:r>
      <w:r>
        <w:rPr>
          <w:rFonts w:ascii="Times New Roman" w:hAnsi="Times New Roman" w:cs="Times New Roman"/>
          <w:sz w:val="20"/>
          <w:szCs w:val="20"/>
          <w:vertAlign w:val="subscript"/>
        </w:rPr>
        <w:t xml:space="preserve"> </w:t>
      </w:r>
      <w:r>
        <w:rPr>
          <w:rFonts w:ascii="Times New Roman" w:hAnsi="Times New Roman" w:cs="Times New Roman"/>
          <w:sz w:val="20"/>
          <w:szCs w:val="20"/>
        </w:rPr>
        <w:t>количество СаСО</w:t>
      </w:r>
      <w:r>
        <w:rPr>
          <w:rFonts w:ascii="Times New Roman" w:hAnsi="Times New Roman" w:cs="Times New Roman"/>
          <w:sz w:val="20"/>
          <w:szCs w:val="20"/>
          <w:vertAlign w:val="subscript"/>
        </w:rPr>
        <w:t>3</w:t>
      </w:r>
      <w:r>
        <w:rPr>
          <w:rFonts w:ascii="Times New Roman" w:hAnsi="Times New Roman" w:cs="Times New Roman"/>
          <w:sz w:val="20"/>
          <w:szCs w:val="20"/>
        </w:rPr>
        <w:t xml:space="preserve">, определенное по методике [1], достигает 30 %, т.е. изначально исходный </w:t>
      </w:r>
      <w:r>
        <w:rPr>
          <w:rFonts w:ascii="Times New Roman" w:hAnsi="Times New Roman" w:cs="Times New Roman"/>
          <w:sz w:val="20"/>
          <w:szCs w:val="20"/>
        </w:rPr>
        <w:lastRenderedPageBreak/>
        <w:t>образец представляет собой композицию, в состав которой входят силикат, карбонат кальция и аморфный кремнезем. Устойчивость такой композиции к внешним факторам (влажность, температура, СО</w:t>
      </w:r>
      <w:r>
        <w:rPr>
          <w:rFonts w:ascii="Times New Roman" w:hAnsi="Times New Roman" w:cs="Times New Roman"/>
          <w:sz w:val="20"/>
          <w:szCs w:val="20"/>
          <w:vertAlign w:val="subscript"/>
        </w:rPr>
        <w:t>2</w:t>
      </w:r>
      <w:r>
        <w:rPr>
          <w:rFonts w:ascii="Times New Roman" w:hAnsi="Times New Roman" w:cs="Times New Roman"/>
          <w:sz w:val="20"/>
          <w:szCs w:val="20"/>
        </w:rPr>
        <w:t xml:space="preserve"> воздуха) будет определять ее эксплуатационные характеристики и области применения [6].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Для систем </w:t>
      </w:r>
      <w:r>
        <w:rPr>
          <w:rFonts w:ascii="Times New Roman" w:hAnsi="Times New Roman" w:cs="Times New Roman"/>
          <w:sz w:val="20"/>
          <w:szCs w:val="20"/>
          <w:lang w:val="pt-BR"/>
        </w:rPr>
        <w:t>CaCl</w:t>
      </w:r>
      <w:r>
        <w:rPr>
          <w:rFonts w:ascii="Times New Roman" w:hAnsi="Times New Roman" w:cs="Times New Roman"/>
          <w:sz w:val="20"/>
          <w:szCs w:val="20"/>
          <w:vertAlign w:val="subscript"/>
        </w:rPr>
        <w:t>2</w:t>
      </w:r>
      <w:r>
        <w:rPr>
          <w:rFonts w:ascii="Times New Roman" w:hAnsi="Times New Roman" w:cs="Times New Roman"/>
          <w:sz w:val="20"/>
          <w:szCs w:val="20"/>
        </w:rPr>
        <w:t>–</w:t>
      </w:r>
      <w:r>
        <w:rPr>
          <w:rFonts w:ascii="Times New Roman" w:hAnsi="Times New Roman" w:cs="Times New Roman"/>
          <w:sz w:val="20"/>
          <w:szCs w:val="20"/>
          <w:lang w:val="pt-BR"/>
        </w:rPr>
        <w:t>SiO</w:t>
      </w:r>
      <w:r>
        <w:rPr>
          <w:rFonts w:ascii="Times New Roman" w:hAnsi="Times New Roman" w:cs="Times New Roman"/>
          <w:sz w:val="20"/>
          <w:szCs w:val="20"/>
          <w:vertAlign w:val="subscript"/>
        </w:rPr>
        <w:t>2</w:t>
      </w:r>
      <w:r>
        <w:rPr>
          <w:rFonts w:ascii="Times New Roman" w:hAnsi="Times New Roman" w:cs="Times New Roman"/>
          <w:sz w:val="20"/>
          <w:szCs w:val="20"/>
        </w:rPr>
        <w:t>·</w:t>
      </w:r>
      <w:r>
        <w:rPr>
          <w:rFonts w:ascii="Times New Roman" w:hAnsi="Times New Roman" w:cs="Times New Roman"/>
          <w:sz w:val="20"/>
          <w:szCs w:val="20"/>
          <w:lang w:val="pt-BR"/>
        </w:rPr>
        <w:t>nH</w:t>
      </w:r>
      <w:r>
        <w:rPr>
          <w:rFonts w:ascii="Times New Roman" w:hAnsi="Times New Roman" w:cs="Times New Roman"/>
          <w:sz w:val="20"/>
          <w:szCs w:val="20"/>
          <w:vertAlign w:val="subscript"/>
        </w:rPr>
        <w:t>2</w:t>
      </w:r>
      <w:r>
        <w:rPr>
          <w:rFonts w:ascii="Times New Roman" w:hAnsi="Times New Roman" w:cs="Times New Roman"/>
          <w:sz w:val="20"/>
          <w:szCs w:val="20"/>
          <w:lang w:val="pt-BR"/>
        </w:rPr>
        <w:t>O</w:t>
      </w:r>
      <w:r>
        <w:rPr>
          <w:rFonts w:ascii="Times New Roman" w:hAnsi="Times New Roman" w:cs="Times New Roman"/>
          <w:sz w:val="20"/>
          <w:szCs w:val="20"/>
        </w:rPr>
        <w:t>–</w:t>
      </w:r>
      <w:r>
        <w:rPr>
          <w:rFonts w:ascii="Times New Roman" w:hAnsi="Times New Roman" w:cs="Times New Roman"/>
          <w:sz w:val="20"/>
          <w:szCs w:val="20"/>
          <w:lang w:val="pt-BR"/>
        </w:rPr>
        <w:t>KOH</w:t>
      </w:r>
      <w:r>
        <w:rPr>
          <w:rFonts w:ascii="Times New Roman" w:hAnsi="Times New Roman" w:cs="Times New Roman"/>
          <w:sz w:val="20"/>
          <w:szCs w:val="20"/>
        </w:rPr>
        <w:t>–</w:t>
      </w:r>
      <w:r>
        <w:rPr>
          <w:rFonts w:ascii="Times New Roman" w:hAnsi="Times New Roman" w:cs="Times New Roman"/>
          <w:sz w:val="20"/>
          <w:szCs w:val="20"/>
          <w:lang w:val="pt-BR"/>
        </w:rPr>
        <w:t>H</w:t>
      </w:r>
      <w:r>
        <w:rPr>
          <w:rFonts w:ascii="Times New Roman" w:hAnsi="Times New Roman" w:cs="Times New Roman"/>
          <w:sz w:val="20"/>
          <w:szCs w:val="20"/>
          <w:vertAlign w:val="subscript"/>
        </w:rPr>
        <w:t>2</w:t>
      </w:r>
      <w:r>
        <w:rPr>
          <w:rFonts w:ascii="Times New Roman" w:hAnsi="Times New Roman" w:cs="Times New Roman"/>
          <w:sz w:val="20"/>
          <w:szCs w:val="20"/>
          <w:lang w:val="pt-BR"/>
        </w:rPr>
        <w:t>O</w:t>
      </w:r>
      <w:r>
        <w:rPr>
          <w:rFonts w:ascii="Times New Roman" w:hAnsi="Times New Roman" w:cs="Times New Roman"/>
          <w:sz w:val="20"/>
          <w:szCs w:val="20"/>
        </w:rPr>
        <w:t xml:space="preserve"> и </w:t>
      </w:r>
      <w:r>
        <w:rPr>
          <w:rFonts w:ascii="Times New Roman" w:hAnsi="Times New Roman" w:cs="Times New Roman"/>
          <w:sz w:val="20"/>
          <w:szCs w:val="20"/>
          <w:lang w:val="pt-BR"/>
        </w:rPr>
        <w:t>CaSO</w:t>
      </w:r>
      <w:r>
        <w:rPr>
          <w:rFonts w:ascii="Times New Roman" w:hAnsi="Times New Roman" w:cs="Times New Roman"/>
          <w:sz w:val="20"/>
          <w:szCs w:val="20"/>
          <w:vertAlign w:val="subscript"/>
        </w:rPr>
        <w:t>4</w:t>
      </w:r>
      <w:r>
        <w:rPr>
          <w:rFonts w:ascii="Times New Roman" w:hAnsi="Times New Roman" w:cs="Times New Roman"/>
          <w:sz w:val="20"/>
          <w:szCs w:val="20"/>
        </w:rPr>
        <w:t>·2</w:t>
      </w:r>
      <w:r>
        <w:rPr>
          <w:rFonts w:ascii="Times New Roman" w:hAnsi="Times New Roman" w:cs="Times New Roman"/>
          <w:sz w:val="20"/>
          <w:szCs w:val="20"/>
          <w:lang w:val="pt-BR"/>
        </w:rPr>
        <w:t>H</w:t>
      </w:r>
      <w:r>
        <w:rPr>
          <w:rFonts w:ascii="Times New Roman" w:hAnsi="Times New Roman" w:cs="Times New Roman"/>
          <w:sz w:val="20"/>
          <w:szCs w:val="20"/>
          <w:vertAlign w:val="subscript"/>
        </w:rPr>
        <w:t>2</w:t>
      </w:r>
      <w:r>
        <w:rPr>
          <w:rFonts w:ascii="Times New Roman" w:hAnsi="Times New Roman" w:cs="Times New Roman"/>
          <w:sz w:val="20"/>
          <w:szCs w:val="20"/>
          <w:lang w:val="pt-BR"/>
        </w:rPr>
        <w:t>O</w:t>
      </w:r>
      <w:r>
        <w:rPr>
          <w:rFonts w:ascii="Times New Roman" w:hAnsi="Times New Roman" w:cs="Times New Roman"/>
          <w:sz w:val="20"/>
          <w:szCs w:val="20"/>
        </w:rPr>
        <w:t>–</w:t>
      </w:r>
      <w:r>
        <w:rPr>
          <w:rFonts w:ascii="Times New Roman" w:hAnsi="Times New Roman" w:cs="Times New Roman"/>
          <w:sz w:val="20"/>
          <w:szCs w:val="20"/>
          <w:lang w:val="pt-BR"/>
        </w:rPr>
        <w:t>SiO</w:t>
      </w:r>
      <w:r>
        <w:rPr>
          <w:rFonts w:ascii="Times New Roman" w:hAnsi="Times New Roman" w:cs="Times New Roman"/>
          <w:sz w:val="20"/>
          <w:szCs w:val="20"/>
          <w:vertAlign w:val="subscript"/>
        </w:rPr>
        <w:t>2</w:t>
      </w:r>
      <w:r>
        <w:rPr>
          <w:rFonts w:ascii="Times New Roman" w:hAnsi="Times New Roman" w:cs="Times New Roman"/>
          <w:sz w:val="20"/>
          <w:szCs w:val="20"/>
        </w:rPr>
        <w:t>·</w:t>
      </w:r>
      <w:r>
        <w:rPr>
          <w:rFonts w:ascii="Times New Roman" w:hAnsi="Times New Roman" w:cs="Times New Roman"/>
          <w:sz w:val="20"/>
          <w:szCs w:val="20"/>
          <w:lang w:val="pt-BR"/>
        </w:rPr>
        <w:t>nH</w:t>
      </w:r>
      <w:r>
        <w:rPr>
          <w:rFonts w:ascii="Times New Roman" w:hAnsi="Times New Roman" w:cs="Times New Roman"/>
          <w:sz w:val="20"/>
          <w:szCs w:val="20"/>
          <w:vertAlign w:val="subscript"/>
        </w:rPr>
        <w:t>2</w:t>
      </w:r>
      <w:r>
        <w:rPr>
          <w:rFonts w:ascii="Times New Roman" w:hAnsi="Times New Roman" w:cs="Times New Roman"/>
          <w:sz w:val="20"/>
          <w:szCs w:val="20"/>
          <w:lang w:val="pt-BR"/>
        </w:rPr>
        <w:t>O</w:t>
      </w:r>
      <w:r>
        <w:rPr>
          <w:rFonts w:ascii="Times New Roman" w:hAnsi="Times New Roman" w:cs="Times New Roman"/>
          <w:sz w:val="20"/>
          <w:szCs w:val="20"/>
        </w:rPr>
        <w:t>–</w:t>
      </w:r>
      <w:r>
        <w:rPr>
          <w:rFonts w:ascii="Times New Roman" w:hAnsi="Times New Roman" w:cs="Times New Roman"/>
          <w:sz w:val="20"/>
          <w:szCs w:val="20"/>
          <w:lang w:val="pt-BR"/>
        </w:rPr>
        <w:t>KOH</w:t>
      </w:r>
      <w:r>
        <w:rPr>
          <w:rFonts w:ascii="Times New Roman" w:hAnsi="Times New Roman" w:cs="Times New Roman"/>
          <w:sz w:val="20"/>
          <w:szCs w:val="20"/>
        </w:rPr>
        <w:t>–</w:t>
      </w:r>
      <w:r>
        <w:rPr>
          <w:rFonts w:ascii="Times New Roman" w:hAnsi="Times New Roman" w:cs="Times New Roman"/>
          <w:sz w:val="20"/>
          <w:szCs w:val="20"/>
          <w:lang w:val="pt-BR"/>
        </w:rPr>
        <w:t>H</w:t>
      </w:r>
      <w:r>
        <w:rPr>
          <w:rFonts w:ascii="Times New Roman" w:hAnsi="Times New Roman" w:cs="Times New Roman"/>
          <w:sz w:val="20"/>
          <w:szCs w:val="20"/>
          <w:vertAlign w:val="subscript"/>
        </w:rPr>
        <w:t>2</w:t>
      </w:r>
      <w:r>
        <w:rPr>
          <w:rFonts w:ascii="Times New Roman" w:hAnsi="Times New Roman" w:cs="Times New Roman"/>
          <w:sz w:val="20"/>
          <w:szCs w:val="20"/>
          <w:lang w:val="pt-BR"/>
        </w:rPr>
        <w:t>O</w:t>
      </w:r>
      <w:r>
        <w:rPr>
          <w:rFonts w:ascii="Times New Roman" w:hAnsi="Times New Roman" w:cs="Times New Roman"/>
          <w:sz w:val="20"/>
          <w:szCs w:val="20"/>
        </w:rPr>
        <w:t xml:space="preserve">  в условиях автоклавного синтеза при температуре 220 °С происходит формирование кристаллических гидросиликатов кальция различного состава и структуры.</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Наибольшей величиной удельной поверхности характеризуется образец, полученный в многокомпонентной системе </w:t>
      </w:r>
      <w:r>
        <w:rPr>
          <w:rFonts w:ascii="Times New Roman" w:hAnsi="Times New Roman" w:cs="Times New Roman"/>
          <w:sz w:val="20"/>
          <w:szCs w:val="20"/>
          <w:lang w:val="pt-BR"/>
        </w:rPr>
        <w:t>CaSO</w:t>
      </w:r>
      <w:r>
        <w:rPr>
          <w:rFonts w:ascii="Times New Roman" w:hAnsi="Times New Roman" w:cs="Times New Roman"/>
          <w:sz w:val="20"/>
          <w:szCs w:val="20"/>
          <w:vertAlign w:val="subscript"/>
        </w:rPr>
        <w:t>4</w:t>
      </w:r>
      <w:r>
        <w:rPr>
          <w:rFonts w:ascii="Times New Roman" w:hAnsi="Times New Roman" w:cs="Times New Roman"/>
          <w:sz w:val="20"/>
          <w:szCs w:val="20"/>
        </w:rPr>
        <w:t>·2</w:t>
      </w:r>
      <w:r>
        <w:rPr>
          <w:rFonts w:ascii="Times New Roman" w:hAnsi="Times New Roman" w:cs="Times New Roman"/>
          <w:sz w:val="20"/>
          <w:szCs w:val="20"/>
          <w:lang w:val="pt-BR"/>
        </w:rPr>
        <w:t>H</w:t>
      </w:r>
      <w:r>
        <w:rPr>
          <w:rFonts w:ascii="Times New Roman" w:hAnsi="Times New Roman" w:cs="Times New Roman"/>
          <w:sz w:val="20"/>
          <w:szCs w:val="20"/>
          <w:vertAlign w:val="subscript"/>
        </w:rPr>
        <w:t>2</w:t>
      </w:r>
      <w:r>
        <w:rPr>
          <w:rFonts w:ascii="Times New Roman" w:hAnsi="Times New Roman" w:cs="Times New Roman"/>
          <w:sz w:val="20"/>
          <w:szCs w:val="20"/>
          <w:lang w:val="pt-BR"/>
        </w:rPr>
        <w:t>O</w:t>
      </w:r>
      <w:r>
        <w:rPr>
          <w:rFonts w:ascii="Times New Roman" w:hAnsi="Times New Roman" w:cs="Times New Roman"/>
          <w:sz w:val="20"/>
          <w:szCs w:val="20"/>
        </w:rPr>
        <w:t>–</w:t>
      </w:r>
      <w:r>
        <w:rPr>
          <w:rFonts w:ascii="Times New Roman" w:hAnsi="Times New Roman" w:cs="Times New Roman"/>
          <w:sz w:val="20"/>
          <w:szCs w:val="20"/>
          <w:lang w:val="pt-BR"/>
        </w:rPr>
        <w:t>SiO</w:t>
      </w:r>
      <w:r>
        <w:rPr>
          <w:rFonts w:ascii="Times New Roman" w:hAnsi="Times New Roman" w:cs="Times New Roman"/>
          <w:sz w:val="20"/>
          <w:szCs w:val="20"/>
          <w:vertAlign w:val="subscript"/>
        </w:rPr>
        <w:t>2</w:t>
      </w:r>
      <w:r>
        <w:rPr>
          <w:rFonts w:ascii="Times New Roman" w:hAnsi="Times New Roman" w:cs="Times New Roman"/>
          <w:sz w:val="20"/>
          <w:szCs w:val="20"/>
        </w:rPr>
        <w:t>·</w:t>
      </w:r>
      <w:r>
        <w:rPr>
          <w:rFonts w:ascii="Times New Roman" w:hAnsi="Times New Roman" w:cs="Times New Roman"/>
          <w:sz w:val="20"/>
          <w:szCs w:val="20"/>
          <w:lang w:val="pt-BR"/>
        </w:rPr>
        <w:t>nH</w:t>
      </w:r>
      <w:r>
        <w:rPr>
          <w:rFonts w:ascii="Times New Roman" w:hAnsi="Times New Roman" w:cs="Times New Roman"/>
          <w:sz w:val="20"/>
          <w:szCs w:val="20"/>
          <w:vertAlign w:val="subscript"/>
        </w:rPr>
        <w:t>2</w:t>
      </w:r>
      <w:r>
        <w:rPr>
          <w:rFonts w:ascii="Times New Roman" w:hAnsi="Times New Roman" w:cs="Times New Roman"/>
          <w:sz w:val="20"/>
          <w:szCs w:val="20"/>
          <w:lang w:val="pt-BR"/>
        </w:rPr>
        <w:t>O</w:t>
      </w:r>
      <w:r>
        <w:rPr>
          <w:rFonts w:ascii="Times New Roman" w:hAnsi="Times New Roman" w:cs="Times New Roman"/>
          <w:sz w:val="20"/>
          <w:szCs w:val="20"/>
        </w:rPr>
        <w:t>–</w:t>
      </w:r>
      <w:r>
        <w:rPr>
          <w:rFonts w:ascii="Times New Roman" w:hAnsi="Times New Roman" w:cs="Times New Roman"/>
          <w:sz w:val="20"/>
          <w:szCs w:val="20"/>
          <w:lang w:val="pt-BR"/>
        </w:rPr>
        <w:t>KOH</w:t>
      </w:r>
      <w:r>
        <w:rPr>
          <w:rFonts w:ascii="Times New Roman" w:hAnsi="Times New Roman" w:cs="Times New Roman"/>
          <w:sz w:val="20"/>
          <w:szCs w:val="20"/>
        </w:rPr>
        <w:t>–</w:t>
      </w:r>
      <w:r>
        <w:rPr>
          <w:rFonts w:ascii="Times New Roman" w:hAnsi="Times New Roman" w:cs="Times New Roman"/>
          <w:sz w:val="20"/>
          <w:szCs w:val="20"/>
          <w:lang w:val="pt-BR"/>
        </w:rPr>
        <w:t>H</w:t>
      </w:r>
      <w:r>
        <w:rPr>
          <w:rFonts w:ascii="Times New Roman" w:hAnsi="Times New Roman" w:cs="Times New Roman"/>
          <w:sz w:val="20"/>
          <w:szCs w:val="20"/>
          <w:vertAlign w:val="subscript"/>
        </w:rPr>
        <w:t>2</w:t>
      </w:r>
      <w:r>
        <w:rPr>
          <w:rFonts w:ascii="Times New Roman" w:hAnsi="Times New Roman" w:cs="Times New Roman"/>
          <w:sz w:val="20"/>
          <w:szCs w:val="20"/>
          <w:lang w:val="pt-BR"/>
        </w:rPr>
        <w:t>O</w:t>
      </w:r>
      <w:r>
        <w:rPr>
          <w:rFonts w:ascii="Times New Roman" w:hAnsi="Times New Roman" w:cs="Times New Roman"/>
          <w:sz w:val="20"/>
          <w:szCs w:val="20"/>
        </w:rPr>
        <w:t xml:space="preserve"> (146.4 м</w:t>
      </w:r>
      <w:r>
        <w:rPr>
          <w:rFonts w:ascii="Times New Roman" w:hAnsi="Times New Roman" w:cs="Times New Roman"/>
          <w:sz w:val="20"/>
          <w:szCs w:val="20"/>
          <w:vertAlign w:val="superscript"/>
        </w:rPr>
        <w:t>2</w:t>
      </w:r>
      <w:r>
        <w:rPr>
          <w:rFonts w:ascii="Times New Roman" w:hAnsi="Times New Roman" w:cs="Times New Roman"/>
          <w:sz w:val="20"/>
          <w:szCs w:val="20"/>
        </w:rPr>
        <w:t>/г).</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табл. 2 приведены данные по фазовому составу и удельной поверхности осадков, полученных в исследуемых системах, после обжига при температуре 900 °С в течение 1 ч.</w:t>
      </w:r>
    </w:p>
    <w:p w:rsidR="00517711" w:rsidRDefault="00F815BE">
      <w:pPr>
        <w:spacing w:after="0" w:line="240" w:lineRule="auto"/>
        <w:ind w:firstLine="709"/>
        <w:jc w:val="right"/>
        <w:rPr>
          <w:rFonts w:ascii="Times New Roman" w:hAnsi="Times New Roman" w:cs="Times New Roman"/>
          <w:i/>
          <w:sz w:val="20"/>
          <w:szCs w:val="20"/>
        </w:rPr>
      </w:pPr>
      <w:r>
        <w:rPr>
          <w:rFonts w:ascii="Times New Roman" w:hAnsi="Times New Roman" w:cs="Times New Roman"/>
          <w:i/>
          <w:sz w:val="20"/>
          <w:szCs w:val="20"/>
        </w:rPr>
        <w:t>Таблица 2</w:t>
      </w:r>
    </w:p>
    <w:p w:rsidR="00517711" w:rsidRDefault="00F815BE">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Фазовый состав и удельная поверхность продуктов синтеза после обжига при температуре 900 °С</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
        <w:gridCol w:w="3417"/>
        <w:gridCol w:w="2393"/>
        <w:gridCol w:w="2393"/>
      </w:tblGrid>
      <w:tr w:rsidR="00517711">
        <w:tc>
          <w:tcPr>
            <w:tcW w:w="900"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п/п</w:t>
            </w:r>
          </w:p>
        </w:tc>
        <w:tc>
          <w:tcPr>
            <w:tcW w:w="3417"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Система и условия синтеза</w:t>
            </w:r>
          </w:p>
        </w:tc>
        <w:tc>
          <w:tcPr>
            <w:tcW w:w="2393"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Фазовый состав</w:t>
            </w:r>
          </w:p>
        </w:tc>
        <w:tc>
          <w:tcPr>
            <w:tcW w:w="2393"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Удельная поверхность, м</w:t>
            </w:r>
            <w:r>
              <w:rPr>
                <w:rFonts w:ascii="Times New Roman" w:hAnsi="Times New Roman" w:cs="Times New Roman"/>
                <w:sz w:val="20"/>
                <w:szCs w:val="20"/>
                <w:vertAlign w:val="superscript"/>
              </w:rPr>
              <w:t>2</w:t>
            </w:r>
            <w:r>
              <w:rPr>
                <w:rFonts w:ascii="Times New Roman" w:hAnsi="Times New Roman" w:cs="Times New Roman"/>
                <w:sz w:val="20"/>
                <w:szCs w:val="20"/>
              </w:rPr>
              <w:t>/г</w:t>
            </w:r>
          </w:p>
        </w:tc>
      </w:tr>
      <w:tr w:rsidR="00517711">
        <w:tc>
          <w:tcPr>
            <w:tcW w:w="900"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3417" w:type="dxa"/>
            <w:shd w:val="clear" w:color="auto" w:fill="auto"/>
          </w:tcPr>
          <w:p w:rsidR="00517711" w:rsidRDefault="00F815BE">
            <w:pPr>
              <w:spacing w:after="0" w:line="240" w:lineRule="auto"/>
              <w:jc w:val="center"/>
              <w:rPr>
                <w:rFonts w:ascii="Times New Roman" w:hAnsi="Times New Roman" w:cs="Times New Roman"/>
                <w:i/>
                <w:sz w:val="20"/>
                <w:szCs w:val="20"/>
              </w:rPr>
            </w:pPr>
            <w:r>
              <w:rPr>
                <w:rFonts w:ascii="Times New Roman" w:hAnsi="Times New Roman" w:cs="Times New Roman"/>
                <w:sz w:val="20"/>
                <w:szCs w:val="20"/>
                <w:lang w:val="en-US"/>
              </w:rPr>
              <w:t>CaCl</w:t>
            </w:r>
            <w:r>
              <w:rPr>
                <w:rFonts w:ascii="Times New Roman" w:hAnsi="Times New Roman" w:cs="Times New Roman"/>
                <w:sz w:val="20"/>
                <w:szCs w:val="20"/>
                <w:vertAlign w:val="subscript"/>
              </w:rPr>
              <w:t>2</w:t>
            </w:r>
            <w:r>
              <w:rPr>
                <w:rFonts w:ascii="Times New Roman" w:hAnsi="Times New Roman" w:cs="Times New Roman"/>
                <w:sz w:val="20"/>
                <w:szCs w:val="20"/>
              </w:rPr>
              <w:t>–</w:t>
            </w:r>
            <w:r>
              <w:rPr>
                <w:rFonts w:ascii="Times New Roman" w:hAnsi="Times New Roman" w:cs="Times New Roman"/>
                <w:sz w:val="20"/>
                <w:szCs w:val="20"/>
                <w:lang w:val="en-US"/>
              </w:rPr>
              <w:t>Na</w:t>
            </w:r>
            <w:r>
              <w:rPr>
                <w:rFonts w:ascii="Times New Roman" w:hAnsi="Times New Roman" w:cs="Times New Roman"/>
                <w:sz w:val="20"/>
                <w:szCs w:val="20"/>
                <w:vertAlign w:val="subscript"/>
              </w:rPr>
              <w:t>2</w:t>
            </w:r>
            <w:r>
              <w:rPr>
                <w:rFonts w:ascii="Times New Roman" w:hAnsi="Times New Roman" w:cs="Times New Roman"/>
                <w:sz w:val="20"/>
                <w:szCs w:val="20"/>
                <w:lang w:val="en-US"/>
              </w:rPr>
              <w:t>SiO</w:t>
            </w:r>
            <w:r>
              <w:rPr>
                <w:rFonts w:ascii="Times New Roman" w:hAnsi="Times New Roman" w:cs="Times New Roman"/>
                <w:sz w:val="20"/>
                <w:szCs w:val="20"/>
                <w:vertAlign w:val="subscript"/>
              </w:rPr>
              <w:t>3</w:t>
            </w:r>
            <w:r>
              <w:rPr>
                <w:rFonts w:ascii="Times New Roman" w:hAnsi="Times New Roman" w:cs="Times New Roman"/>
                <w:sz w:val="20"/>
                <w:szCs w:val="20"/>
              </w:rPr>
              <w:t>–</w:t>
            </w:r>
            <w:r>
              <w:rPr>
                <w:rFonts w:ascii="Times New Roman" w:hAnsi="Times New Roman" w:cs="Times New Roman"/>
                <w:sz w:val="20"/>
                <w:szCs w:val="20"/>
                <w:lang w:val="en-US"/>
              </w:rPr>
              <w:t>H</w:t>
            </w:r>
            <w:r>
              <w:rPr>
                <w:rFonts w:ascii="Times New Roman" w:hAnsi="Times New Roman" w:cs="Times New Roman"/>
                <w:sz w:val="20"/>
                <w:szCs w:val="20"/>
                <w:vertAlign w:val="subscript"/>
              </w:rPr>
              <w:t>2</w:t>
            </w:r>
            <w:r>
              <w:rPr>
                <w:rFonts w:ascii="Times New Roman" w:hAnsi="Times New Roman" w:cs="Times New Roman"/>
                <w:sz w:val="20"/>
                <w:szCs w:val="20"/>
                <w:lang w:val="en-US"/>
              </w:rPr>
              <w:t>O</w:t>
            </w:r>
            <w:r>
              <w:rPr>
                <w:rFonts w:ascii="Times New Roman" w:hAnsi="Times New Roman" w:cs="Times New Roman"/>
                <w:sz w:val="20"/>
                <w:szCs w:val="20"/>
              </w:rPr>
              <w:t>, 20 °С</w:t>
            </w:r>
          </w:p>
        </w:tc>
        <w:tc>
          <w:tcPr>
            <w:tcW w:w="2393"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Волластонит </w:t>
            </w:r>
            <w:r>
              <w:rPr>
                <w:rFonts w:ascii="Times New Roman" w:hAnsi="Times New Roman" w:cs="Times New Roman"/>
                <w:sz w:val="20"/>
                <w:szCs w:val="20"/>
                <w:lang w:val="en-US"/>
              </w:rPr>
              <w:t>CaSiO</w:t>
            </w:r>
            <w:r>
              <w:rPr>
                <w:rFonts w:ascii="Times New Roman" w:hAnsi="Times New Roman" w:cs="Times New Roman"/>
                <w:sz w:val="20"/>
                <w:szCs w:val="20"/>
                <w:vertAlign w:val="subscript"/>
              </w:rPr>
              <w:t>3</w:t>
            </w:r>
            <w:r>
              <w:rPr>
                <w:rFonts w:ascii="Times New Roman" w:hAnsi="Times New Roman" w:cs="Times New Roman"/>
                <w:sz w:val="20"/>
                <w:szCs w:val="20"/>
              </w:rPr>
              <w:t xml:space="preserve">, оксид кальция </w:t>
            </w:r>
            <w:r>
              <w:rPr>
                <w:rFonts w:ascii="Times New Roman" w:hAnsi="Times New Roman" w:cs="Times New Roman"/>
                <w:sz w:val="20"/>
                <w:szCs w:val="20"/>
                <w:lang w:val="pt-BR"/>
              </w:rPr>
              <w:t>CaO</w:t>
            </w:r>
          </w:p>
        </w:tc>
        <w:tc>
          <w:tcPr>
            <w:tcW w:w="2393"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8.2</w:t>
            </w:r>
          </w:p>
        </w:tc>
      </w:tr>
      <w:tr w:rsidR="00517711">
        <w:tc>
          <w:tcPr>
            <w:tcW w:w="900"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3417" w:type="dxa"/>
            <w:shd w:val="clear" w:color="auto" w:fill="auto"/>
          </w:tcPr>
          <w:p w:rsidR="00517711" w:rsidRDefault="00F815BE">
            <w:pPr>
              <w:spacing w:after="0" w:line="240" w:lineRule="auto"/>
              <w:jc w:val="center"/>
              <w:rPr>
                <w:rFonts w:ascii="Times New Roman" w:hAnsi="Times New Roman" w:cs="Times New Roman"/>
                <w:i/>
                <w:sz w:val="20"/>
                <w:szCs w:val="20"/>
                <w:lang w:val="pt-BR"/>
              </w:rPr>
            </w:pPr>
            <w:r>
              <w:rPr>
                <w:rFonts w:ascii="Times New Roman" w:hAnsi="Times New Roman" w:cs="Times New Roman"/>
                <w:sz w:val="20"/>
                <w:szCs w:val="20"/>
                <w:lang w:val="pt-BR"/>
              </w:rPr>
              <w:t>CaCl</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–SiO</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·nH</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O–KOH–H</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O, 220 °</w:t>
            </w:r>
            <w:r>
              <w:rPr>
                <w:rFonts w:ascii="Times New Roman" w:hAnsi="Times New Roman" w:cs="Times New Roman"/>
                <w:sz w:val="20"/>
                <w:szCs w:val="20"/>
              </w:rPr>
              <w:t>С</w:t>
            </w:r>
            <w:r>
              <w:rPr>
                <w:rFonts w:ascii="Times New Roman" w:hAnsi="Times New Roman" w:cs="Times New Roman"/>
                <w:sz w:val="20"/>
                <w:szCs w:val="20"/>
                <w:lang w:val="pt-BR"/>
              </w:rPr>
              <w:t xml:space="preserve"> (</w:t>
            </w:r>
            <w:r>
              <w:rPr>
                <w:rFonts w:ascii="Times New Roman" w:hAnsi="Times New Roman" w:cs="Times New Roman"/>
                <w:sz w:val="20"/>
                <w:szCs w:val="20"/>
              </w:rPr>
              <w:t>автоклав</w:t>
            </w:r>
            <w:r>
              <w:rPr>
                <w:rFonts w:ascii="Times New Roman" w:hAnsi="Times New Roman" w:cs="Times New Roman"/>
                <w:sz w:val="20"/>
                <w:szCs w:val="20"/>
                <w:lang w:val="pt-BR"/>
              </w:rPr>
              <w:t>)</w:t>
            </w:r>
          </w:p>
        </w:tc>
        <w:tc>
          <w:tcPr>
            <w:tcW w:w="2393" w:type="dxa"/>
            <w:shd w:val="clear" w:color="auto" w:fill="auto"/>
          </w:tcPr>
          <w:p w:rsidR="00517711" w:rsidRDefault="00F815BE">
            <w:pPr>
              <w:spacing w:after="0" w:line="240" w:lineRule="auto"/>
              <w:jc w:val="center"/>
              <w:rPr>
                <w:rFonts w:ascii="Times New Roman" w:hAnsi="Times New Roman" w:cs="Times New Roman"/>
                <w:sz w:val="20"/>
                <w:szCs w:val="20"/>
                <w:lang w:val="pt-BR"/>
              </w:rPr>
            </w:pPr>
            <w:r>
              <w:rPr>
                <w:rFonts w:ascii="Times New Roman" w:hAnsi="Times New Roman" w:cs="Times New Roman"/>
                <w:sz w:val="20"/>
                <w:szCs w:val="20"/>
              </w:rPr>
              <w:t xml:space="preserve">Волластонит </w:t>
            </w:r>
            <w:r>
              <w:rPr>
                <w:rFonts w:ascii="Times New Roman" w:hAnsi="Times New Roman" w:cs="Times New Roman"/>
                <w:sz w:val="20"/>
                <w:szCs w:val="20"/>
                <w:lang w:val="en-US"/>
              </w:rPr>
              <w:t>CaSiO</w:t>
            </w:r>
            <w:r>
              <w:rPr>
                <w:rFonts w:ascii="Times New Roman" w:hAnsi="Times New Roman" w:cs="Times New Roman"/>
                <w:sz w:val="20"/>
                <w:szCs w:val="20"/>
                <w:vertAlign w:val="subscript"/>
              </w:rPr>
              <w:t>3</w:t>
            </w:r>
          </w:p>
        </w:tc>
        <w:tc>
          <w:tcPr>
            <w:tcW w:w="2393"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18.8</w:t>
            </w:r>
          </w:p>
        </w:tc>
      </w:tr>
      <w:tr w:rsidR="00517711">
        <w:tc>
          <w:tcPr>
            <w:tcW w:w="900"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3417" w:type="dxa"/>
            <w:shd w:val="clear" w:color="auto" w:fill="auto"/>
          </w:tcPr>
          <w:p w:rsidR="00517711" w:rsidRDefault="00F815BE">
            <w:pPr>
              <w:spacing w:after="0" w:line="240" w:lineRule="auto"/>
              <w:jc w:val="center"/>
              <w:rPr>
                <w:rFonts w:ascii="Times New Roman" w:hAnsi="Times New Roman" w:cs="Times New Roman"/>
                <w:sz w:val="20"/>
                <w:szCs w:val="20"/>
                <w:lang w:val="pt-BR"/>
              </w:rPr>
            </w:pPr>
            <w:r>
              <w:rPr>
                <w:rFonts w:ascii="Times New Roman" w:hAnsi="Times New Roman" w:cs="Times New Roman"/>
                <w:sz w:val="20"/>
                <w:szCs w:val="20"/>
                <w:lang w:val="pt-BR"/>
              </w:rPr>
              <w:t>CaSO</w:t>
            </w:r>
            <w:r>
              <w:rPr>
                <w:rFonts w:ascii="Times New Roman" w:hAnsi="Times New Roman" w:cs="Times New Roman"/>
                <w:sz w:val="20"/>
                <w:szCs w:val="20"/>
                <w:vertAlign w:val="subscript"/>
                <w:lang w:val="pt-BR"/>
              </w:rPr>
              <w:t>4</w:t>
            </w:r>
            <w:r>
              <w:rPr>
                <w:rFonts w:ascii="Times New Roman" w:hAnsi="Times New Roman" w:cs="Times New Roman"/>
                <w:sz w:val="20"/>
                <w:szCs w:val="20"/>
                <w:lang w:val="pt-BR"/>
              </w:rPr>
              <w:t>·2H</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O–SiO</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·nH</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O–KOH–H</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O, 220 °</w:t>
            </w:r>
            <w:r>
              <w:rPr>
                <w:rFonts w:ascii="Times New Roman" w:hAnsi="Times New Roman" w:cs="Times New Roman"/>
                <w:sz w:val="20"/>
                <w:szCs w:val="20"/>
              </w:rPr>
              <w:t>С</w:t>
            </w:r>
            <w:r>
              <w:rPr>
                <w:rFonts w:ascii="Times New Roman" w:hAnsi="Times New Roman" w:cs="Times New Roman"/>
                <w:sz w:val="20"/>
                <w:szCs w:val="20"/>
                <w:lang w:val="pt-BR"/>
              </w:rPr>
              <w:t xml:space="preserve"> (</w:t>
            </w:r>
            <w:r>
              <w:rPr>
                <w:rFonts w:ascii="Times New Roman" w:hAnsi="Times New Roman" w:cs="Times New Roman"/>
                <w:sz w:val="20"/>
                <w:szCs w:val="20"/>
              </w:rPr>
              <w:t>автоклав</w:t>
            </w:r>
            <w:r>
              <w:rPr>
                <w:rFonts w:ascii="Times New Roman" w:hAnsi="Times New Roman" w:cs="Times New Roman"/>
                <w:sz w:val="20"/>
                <w:szCs w:val="20"/>
                <w:lang w:val="pt-BR"/>
              </w:rPr>
              <w:t>)</w:t>
            </w:r>
          </w:p>
        </w:tc>
        <w:tc>
          <w:tcPr>
            <w:tcW w:w="2393" w:type="dxa"/>
            <w:shd w:val="clear" w:color="auto" w:fill="auto"/>
          </w:tcPr>
          <w:p w:rsidR="00517711" w:rsidRDefault="00F815BE">
            <w:pPr>
              <w:spacing w:after="0" w:line="240" w:lineRule="auto"/>
              <w:jc w:val="center"/>
              <w:rPr>
                <w:rFonts w:ascii="Times New Roman" w:hAnsi="Times New Roman" w:cs="Times New Roman"/>
                <w:sz w:val="20"/>
                <w:szCs w:val="20"/>
                <w:lang w:val="pt-BR"/>
              </w:rPr>
            </w:pPr>
            <w:r>
              <w:rPr>
                <w:rFonts w:ascii="Times New Roman" w:hAnsi="Times New Roman" w:cs="Times New Roman"/>
                <w:sz w:val="20"/>
                <w:szCs w:val="20"/>
              </w:rPr>
              <w:t>Волластонит</w:t>
            </w:r>
            <w:r>
              <w:rPr>
                <w:rFonts w:ascii="Times New Roman" w:hAnsi="Times New Roman" w:cs="Times New Roman"/>
                <w:sz w:val="20"/>
                <w:szCs w:val="20"/>
                <w:lang w:val="pt-BR"/>
              </w:rPr>
              <w:t xml:space="preserve"> CaSiO</w:t>
            </w:r>
            <w:r>
              <w:rPr>
                <w:rFonts w:ascii="Times New Roman" w:hAnsi="Times New Roman" w:cs="Times New Roman"/>
                <w:sz w:val="20"/>
                <w:szCs w:val="20"/>
                <w:vertAlign w:val="subscript"/>
                <w:lang w:val="pt-BR"/>
              </w:rPr>
              <w:t>3</w:t>
            </w:r>
          </w:p>
        </w:tc>
        <w:tc>
          <w:tcPr>
            <w:tcW w:w="2393" w:type="dxa"/>
            <w:shd w:val="clear" w:color="auto" w:fill="auto"/>
          </w:tcPr>
          <w:p w:rsidR="00517711" w:rsidRDefault="00F815BE">
            <w:pPr>
              <w:spacing w:after="0" w:line="240" w:lineRule="auto"/>
              <w:jc w:val="center"/>
              <w:rPr>
                <w:rFonts w:ascii="Times New Roman" w:hAnsi="Times New Roman" w:cs="Times New Roman"/>
                <w:sz w:val="20"/>
                <w:szCs w:val="20"/>
                <w:lang w:val="pt-BR"/>
              </w:rPr>
            </w:pPr>
            <w:r>
              <w:rPr>
                <w:rFonts w:ascii="Times New Roman" w:hAnsi="Times New Roman" w:cs="Times New Roman"/>
                <w:sz w:val="20"/>
                <w:szCs w:val="20"/>
                <w:lang w:val="pt-BR"/>
              </w:rPr>
              <w:t>26.4</w:t>
            </w:r>
          </w:p>
        </w:tc>
      </w:tr>
    </w:tbl>
    <w:p w:rsidR="00517711" w:rsidRDefault="00517711">
      <w:pPr>
        <w:tabs>
          <w:tab w:val="left" w:pos="9354"/>
        </w:tabs>
        <w:spacing w:after="0" w:line="240" w:lineRule="auto"/>
        <w:ind w:right="-4" w:firstLine="709"/>
        <w:jc w:val="both"/>
        <w:rPr>
          <w:rFonts w:ascii="Times New Roman" w:hAnsi="Times New Roman" w:cs="Times New Roman"/>
          <w:sz w:val="20"/>
          <w:szCs w:val="20"/>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Как видно из табл.2, фазовый состав осадков после обжига при температуре  характеризуется наличием волластонита </w:t>
      </w:r>
      <w:r>
        <w:rPr>
          <w:rFonts w:ascii="Times New Roman" w:hAnsi="Times New Roman" w:cs="Times New Roman"/>
          <w:sz w:val="20"/>
          <w:szCs w:val="20"/>
          <w:lang w:val="en-US"/>
        </w:rPr>
        <w:t>CaSiO</w:t>
      </w:r>
      <w:r>
        <w:rPr>
          <w:rFonts w:ascii="Times New Roman" w:hAnsi="Times New Roman" w:cs="Times New Roman"/>
          <w:sz w:val="20"/>
          <w:szCs w:val="20"/>
          <w:vertAlign w:val="subscript"/>
        </w:rPr>
        <w:t>3</w:t>
      </w:r>
      <w:r>
        <w:rPr>
          <w:rFonts w:ascii="Times New Roman" w:hAnsi="Times New Roman" w:cs="Times New Roman"/>
          <w:sz w:val="20"/>
          <w:szCs w:val="20"/>
        </w:rPr>
        <w:t xml:space="preserve">. В многокомпонентной системе                    </w:t>
      </w:r>
      <w:r>
        <w:rPr>
          <w:rFonts w:ascii="Times New Roman" w:hAnsi="Times New Roman" w:cs="Times New Roman"/>
          <w:sz w:val="20"/>
          <w:szCs w:val="20"/>
          <w:lang w:val="pt-BR"/>
        </w:rPr>
        <w:t>CaCl</w:t>
      </w:r>
      <w:r>
        <w:rPr>
          <w:rFonts w:ascii="Times New Roman" w:hAnsi="Times New Roman" w:cs="Times New Roman"/>
          <w:sz w:val="20"/>
          <w:szCs w:val="20"/>
          <w:vertAlign w:val="subscript"/>
        </w:rPr>
        <w:t>2</w:t>
      </w:r>
      <w:r>
        <w:rPr>
          <w:rFonts w:ascii="Times New Roman" w:hAnsi="Times New Roman" w:cs="Times New Roman"/>
          <w:sz w:val="20"/>
          <w:szCs w:val="20"/>
        </w:rPr>
        <w:t>–</w:t>
      </w:r>
      <w:r>
        <w:rPr>
          <w:rFonts w:ascii="Times New Roman" w:hAnsi="Times New Roman" w:cs="Times New Roman"/>
          <w:sz w:val="20"/>
          <w:szCs w:val="20"/>
          <w:lang w:val="pt-BR"/>
        </w:rPr>
        <w:t>Na</w:t>
      </w:r>
      <w:r>
        <w:rPr>
          <w:rFonts w:ascii="Times New Roman" w:hAnsi="Times New Roman" w:cs="Times New Roman"/>
          <w:sz w:val="20"/>
          <w:szCs w:val="20"/>
          <w:vertAlign w:val="subscript"/>
        </w:rPr>
        <w:t>2</w:t>
      </w:r>
      <w:r>
        <w:rPr>
          <w:rFonts w:ascii="Times New Roman" w:hAnsi="Times New Roman" w:cs="Times New Roman"/>
          <w:sz w:val="20"/>
          <w:szCs w:val="20"/>
          <w:lang w:val="pt-BR"/>
        </w:rPr>
        <w:t>SiO</w:t>
      </w:r>
      <w:r>
        <w:rPr>
          <w:rFonts w:ascii="Times New Roman" w:hAnsi="Times New Roman" w:cs="Times New Roman"/>
          <w:sz w:val="20"/>
          <w:szCs w:val="20"/>
          <w:vertAlign w:val="subscript"/>
        </w:rPr>
        <w:t>3</w:t>
      </w:r>
      <w:r>
        <w:rPr>
          <w:rFonts w:ascii="Times New Roman" w:hAnsi="Times New Roman" w:cs="Times New Roman"/>
          <w:sz w:val="20"/>
          <w:szCs w:val="20"/>
        </w:rPr>
        <w:t>–</w:t>
      </w:r>
      <w:r>
        <w:rPr>
          <w:rFonts w:ascii="Times New Roman" w:hAnsi="Times New Roman" w:cs="Times New Roman"/>
          <w:sz w:val="20"/>
          <w:szCs w:val="20"/>
          <w:lang w:val="pt-BR"/>
        </w:rPr>
        <w:t>H</w:t>
      </w:r>
      <w:r>
        <w:rPr>
          <w:rFonts w:ascii="Times New Roman" w:hAnsi="Times New Roman" w:cs="Times New Roman"/>
          <w:sz w:val="20"/>
          <w:szCs w:val="20"/>
          <w:vertAlign w:val="subscript"/>
        </w:rPr>
        <w:t>2</w:t>
      </w:r>
      <w:r>
        <w:rPr>
          <w:rFonts w:ascii="Times New Roman" w:hAnsi="Times New Roman" w:cs="Times New Roman"/>
          <w:sz w:val="20"/>
          <w:szCs w:val="20"/>
          <w:lang w:val="pt-BR"/>
        </w:rPr>
        <w:t>O</w:t>
      </w:r>
      <w:r>
        <w:rPr>
          <w:rFonts w:ascii="Times New Roman" w:hAnsi="Times New Roman" w:cs="Times New Roman"/>
          <w:sz w:val="20"/>
          <w:szCs w:val="20"/>
        </w:rPr>
        <w:t xml:space="preserve"> (</w:t>
      </w:r>
      <w:r>
        <w:rPr>
          <w:rFonts w:ascii="Times New Roman" w:hAnsi="Times New Roman" w:cs="Times New Roman"/>
          <w:sz w:val="20"/>
          <w:szCs w:val="20"/>
          <w:lang w:val="en-US"/>
        </w:rPr>
        <w:t>t</w:t>
      </w:r>
      <w:r>
        <w:rPr>
          <w:rFonts w:ascii="Times New Roman" w:hAnsi="Times New Roman" w:cs="Times New Roman"/>
          <w:sz w:val="20"/>
          <w:szCs w:val="20"/>
        </w:rPr>
        <w:t xml:space="preserve">=20 °С) также образуется оксид кальция </w:t>
      </w:r>
      <w:r>
        <w:rPr>
          <w:rFonts w:ascii="Times New Roman" w:hAnsi="Times New Roman" w:cs="Times New Roman"/>
          <w:sz w:val="20"/>
          <w:szCs w:val="20"/>
          <w:lang w:val="pt-BR"/>
        </w:rPr>
        <w:t>CaO</w:t>
      </w:r>
      <w:r>
        <w:rPr>
          <w:rFonts w:ascii="Times New Roman" w:hAnsi="Times New Roman" w:cs="Times New Roman"/>
          <w:sz w:val="20"/>
          <w:szCs w:val="20"/>
        </w:rPr>
        <w:t>, что связано с разложением карбоната кальция, присутствующего в исходном продукте синтеза.</w:t>
      </w:r>
    </w:p>
    <w:p w:rsidR="00517711" w:rsidRDefault="00F815BE">
      <w:pPr>
        <w:spacing w:after="0" w:line="240" w:lineRule="auto"/>
        <w:ind w:firstLine="720"/>
        <w:jc w:val="both"/>
        <w:rPr>
          <w:rFonts w:ascii="Times New Roman" w:hAnsi="Times New Roman" w:cs="Times New Roman"/>
          <w:sz w:val="20"/>
          <w:szCs w:val="20"/>
        </w:rPr>
      </w:pPr>
      <w:r>
        <w:rPr>
          <w:rFonts w:ascii="Times New Roman" w:hAnsi="Times New Roman" w:cs="Times New Roman"/>
          <w:sz w:val="20"/>
          <w:szCs w:val="20"/>
        </w:rPr>
        <w:t xml:space="preserve">На рис.1 представлена термогравиграмма образца, полученного в системе                </w:t>
      </w:r>
      <w:r>
        <w:rPr>
          <w:rFonts w:ascii="Times New Roman" w:hAnsi="Times New Roman" w:cs="Times New Roman"/>
          <w:sz w:val="20"/>
          <w:szCs w:val="20"/>
          <w:lang w:val="pt-BR"/>
        </w:rPr>
        <w:t>CaCl</w:t>
      </w:r>
      <w:r>
        <w:rPr>
          <w:rFonts w:ascii="Times New Roman" w:hAnsi="Times New Roman" w:cs="Times New Roman"/>
          <w:sz w:val="20"/>
          <w:szCs w:val="20"/>
          <w:vertAlign w:val="subscript"/>
        </w:rPr>
        <w:t>2</w:t>
      </w:r>
      <w:r>
        <w:rPr>
          <w:rFonts w:ascii="Times New Roman" w:hAnsi="Times New Roman" w:cs="Times New Roman"/>
          <w:sz w:val="20"/>
          <w:szCs w:val="20"/>
        </w:rPr>
        <w:t>–</w:t>
      </w:r>
      <w:r>
        <w:rPr>
          <w:rFonts w:ascii="Times New Roman" w:hAnsi="Times New Roman" w:cs="Times New Roman"/>
          <w:sz w:val="20"/>
          <w:szCs w:val="20"/>
          <w:lang w:val="pt-BR"/>
        </w:rPr>
        <w:t>SiO</w:t>
      </w:r>
      <w:r>
        <w:rPr>
          <w:rFonts w:ascii="Times New Roman" w:hAnsi="Times New Roman" w:cs="Times New Roman"/>
          <w:sz w:val="20"/>
          <w:szCs w:val="20"/>
          <w:vertAlign w:val="subscript"/>
        </w:rPr>
        <w:t>2</w:t>
      </w:r>
      <w:r>
        <w:rPr>
          <w:rFonts w:ascii="Times New Roman" w:hAnsi="Times New Roman" w:cs="Times New Roman"/>
          <w:sz w:val="20"/>
          <w:szCs w:val="20"/>
        </w:rPr>
        <w:t>·</w:t>
      </w:r>
      <w:r>
        <w:rPr>
          <w:rFonts w:ascii="Times New Roman" w:hAnsi="Times New Roman" w:cs="Times New Roman"/>
          <w:sz w:val="20"/>
          <w:szCs w:val="20"/>
          <w:lang w:val="pt-BR"/>
        </w:rPr>
        <w:t>nH</w:t>
      </w:r>
      <w:r>
        <w:rPr>
          <w:rFonts w:ascii="Times New Roman" w:hAnsi="Times New Roman" w:cs="Times New Roman"/>
          <w:sz w:val="20"/>
          <w:szCs w:val="20"/>
          <w:vertAlign w:val="subscript"/>
        </w:rPr>
        <w:t>2</w:t>
      </w:r>
      <w:r>
        <w:rPr>
          <w:rFonts w:ascii="Times New Roman" w:hAnsi="Times New Roman" w:cs="Times New Roman"/>
          <w:sz w:val="20"/>
          <w:szCs w:val="20"/>
          <w:lang w:val="pt-BR"/>
        </w:rPr>
        <w:t>O</w:t>
      </w:r>
      <w:r>
        <w:rPr>
          <w:rFonts w:ascii="Times New Roman" w:hAnsi="Times New Roman" w:cs="Times New Roman"/>
          <w:sz w:val="20"/>
          <w:szCs w:val="20"/>
        </w:rPr>
        <w:t>–</w:t>
      </w:r>
      <w:r>
        <w:rPr>
          <w:rFonts w:ascii="Times New Roman" w:hAnsi="Times New Roman" w:cs="Times New Roman"/>
          <w:sz w:val="20"/>
          <w:szCs w:val="20"/>
          <w:lang w:val="pt-BR"/>
        </w:rPr>
        <w:t>KOH</w:t>
      </w:r>
      <w:r>
        <w:rPr>
          <w:rFonts w:ascii="Times New Roman" w:hAnsi="Times New Roman" w:cs="Times New Roman"/>
          <w:sz w:val="20"/>
          <w:szCs w:val="20"/>
        </w:rPr>
        <w:t>–</w:t>
      </w:r>
      <w:r>
        <w:rPr>
          <w:rFonts w:ascii="Times New Roman" w:hAnsi="Times New Roman" w:cs="Times New Roman"/>
          <w:sz w:val="20"/>
          <w:szCs w:val="20"/>
          <w:lang w:val="pt-BR"/>
        </w:rPr>
        <w:t>H</w:t>
      </w:r>
      <w:r>
        <w:rPr>
          <w:rFonts w:ascii="Times New Roman" w:hAnsi="Times New Roman" w:cs="Times New Roman"/>
          <w:sz w:val="20"/>
          <w:szCs w:val="20"/>
          <w:vertAlign w:val="subscript"/>
        </w:rPr>
        <w:t>2</w:t>
      </w:r>
      <w:r>
        <w:rPr>
          <w:rFonts w:ascii="Times New Roman" w:hAnsi="Times New Roman" w:cs="Times New Roman"/>
          <w:sz w:val="20"/>
          <w:szCs w:val="20"/>
          <w:lang w:val="pt-BR"/>
        </w:rPr>
        <w:t>O</w:t>
      </w:r>
      <w:r>
        <w:rPr>
          <w:rFonts w:ascii="Times New Roman" w:hAnsi="Times New Roman" w:cs="Times New Roman"/>
          <w:sz w:val="20"/>
          <w:szCs w:val="20"/>
        </w:rPr>
        <w:t xml:space="preserve"> (</w:t>
      </w:r>
      <w:r>
        <w:rPr>
          <w:rFonts w:ascii="Times New Roman" w:hAnsi="Times New Roman" w:cs="Times New Roman"/>
          <w:sz w:val="20"/>
          <w:szCs w:val="20"/>
          <w:lang w:val="en-US"/>
        </w:rPr>
        <w:t>t</w:t>
      </w:r>
      <w:r>
        <w:rPr>
          <w:rFonts w:ascii="Times New Roman" w:hAnsi="Times New Roman" w:cs="Times New Roman"/>
          <w:sz w:val="20"/>
          <w:szCs w:val="20"/>
        </w:rPr>
        <w:t>=220 °С).</w:t>
      </w:r>
    </w:p>
    <w:p w:rsidR="00517711" w:rsidRDefault="00517711">
      <w:pPr>
        <w:spacing w:after="0" w:line="240" w:lineRule="auto"/>
        <w:ind w:firstLine="709"/>
        <w:jc w:val="both"/>
        <w:rPr>
          <w:rFonts w:ascii="Times New Roman" w:hAnsi="Times New Roman" w:cs="Times New Roman"/>
          <w:sz w:val="20"/>
          <w:szCs w:val="20"/>
        </w:rPr>
      </w:pPr>
    </w:p>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lang w:eastAsia="ru-RU"/>
        </w:rPr>
        <w:drawing>
          <wp:inline distT="0" distB="0" distL="0" distR="0">
            <wp:extent cx="3200400" cy="2571750"/>
            <wp:effectExtent l="0" t="0" r="0" b="0"/>
            <wp:docPr id="93"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5"/>
                    <pic:cNvPicPr>
                      <a:picLocks noChangeAspect="1"/>
                    </pic:cNvPicPr>
                  </pic:nvPicPr>
                  <pic:blipFill>
                    <a:blip r:embed="rId158"/>
                    <a:stretch/>
                  </pic:blipFill>
                  <pic:spPr bwMode="auto">
                    <a:xfrm>
                      <a:off x="0" y="0"/>
                      <a:ext cx="3200400" cy="2571750"/>
                    </a:xfrm>
                    <a:prstGeom prst="rect">
                      <a:avLst/>
                    </a:prstGeom>
                    <a:noFill/>
                    <a:ln>
                      <a:noFill/>
                    </a:ln>
                  </pic:spPr>
                </pic:pic>
              </a:graphicData>
            </a:graphic>
          </wp:inline>
        </w:drawing>
      </w:r>
    </w:p>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Рис. 1. </w:t>
      </w:r>
      <w:r>
        <w:rPr>
          <w:rFonts w:ascii="Times New Roman" w:hAnsi="Times New Roman" w:cs="Times New Roman"/>
          <w:spacing w:val="-2"/>
          <w:sz w:val="20"/>
          <w:szCs w:val="20"/>
        </w:rPr>
        <w:t>Термогравиграмма образца, полученного</w:t>
      </w:r>
      <w:r>
        <w:rPr>
          <w:rFonts w:ascii="Times New Roman" w:hAnsi="Times New Roman" w:cs="Times New Roman"/>
          <w:sz w:val="20"/>
          <w:szCs w:val="20"/>
        </w:rPr>
        <w:t xml:space="preserve"> системе </w:t>
      </w:r>
      <w:r>
        <w:rPr>
          <w:rFonts w:ascii="Times New Roman" w:hAnsi="Times New Roman" w:cs="Times New Roman"/>
          <w:sz w:val="20"/>
          <w:szCs w:val="20"/>
          <w:lang w:val="pt-BR"/>
        </w:rPr>
        <w:t>CaCl</w:t>
      </w:r>
      <w:r>
        <w:rPr>
          <w:rFonts w:ascii="Times New Roman" w:hAnsi="Times New Roman" w:cs="Times New Roman"/>
          <w:sz w:val="20"/>
          <w:szCs w:val="20"/>
          <w:vertAlign w:val="subscript"/>
        </w:rPr>
        <w:t>2</w:t>
      </w:r>
      <w:r>
        <w:rPr>
          <w:rFonts w:ascii="Times New Roman" w:hAnsi="Times New Roman" w:cs="Times New Roman"/>
          <w:sz w:val="20"/>
          <w:szCs w:val="20"/>
        </w:rPr>
        <w:t>–</w:t>
      </w:r>
      <w:r>
        <w:rPr>
          <w:rFonts w:ascii="Times New Roman" w:hAnsi="Times New Roman" w:cs="Times New Roman"/>
          <w:sz w:val="20"/>
          <w:szCs w:val="20"/>
          <w:lang w:val="pt-BR"/>
        </w:rPr>
        <w:t>SiO</w:t>
      </w:r>
      <w:r>
        <w:rPr>
          <w:rFonts w:ascii="Times New Roman" w:hAnsi="Times New Roman" w:cs="Times New Roman"/>
          <w:sz w:val="20"/>
          <w:szCs w:val="20"/>
          <w:vertAlign w:val="subscript"/>
        </w:rPr>
        <w:t>2</w:t>
      </w:r>
      <w:r>
        <w:rPr>
          <w:rFonts w:ascii="Times New Roman" w:hAnsi="Times New Roman" w:cs="Times New Roman"/>
          <w:sz w:val="20"/>
          <w:szCs w:val="20"/>
        </w:rPr>
        <w:t>·</w:t>
      </w:r>
      <w:r>
        <w:rPr>
          <w:rFonts w:ascii="Times New Roman" w:hAnsi="Times New Roman" w:cs="Times New Roman"/>
          <w:sz w:val="20"/>
          <w:szCs w:val="20"/>
          <w:lang w:val="pt-BR"/>
        </w:rPr>
        <w:t>nH</w:t>
      </w:r>
      <w:r>
        <w:rPr>
          <w:rFonts w:ascii="Times New Roman" w:hAnsi="Times New Roman" w:cs="Times New Roman"/>
          <w:sz w:val="20"/>
          <w:szCs w:val="20"/>
          <w:vertAlign w:val="subscript"/>
        </w:rPr>
        <w:t>2</w:t>
      </w:r>
      <w:r>
        <w:rPr>
          <w:rFonts w:ascii="Times New Roman" w:hAnsi="Times New Roman" w:cs="Times New Roman"/>
          <w:sz w:val="20"/>
          <w:szCs w:val="20"/>
          <w:lang w:val="pt-BR"/>
        </w:rPr>
        <w:t>O</w:t>
      </w:r>
      <w:r>
        <w:rPr>
          <w:rFonts w:ascii="Times New Roman" w:hAnsi="Times New Roman" w:cs="Times New Roman"/>
          <w:sz w:val="20"/>
          <w:szCs w:val="20"/>
        </w:rPr>
        <w:t>–</w:t>
      </w:r>
      <w:r>
        <w:rPr>
          <w:rFonts w:ascii="Times New Roman" w:hAnsi="Times New Roman" w:cs="Times New Roman"/>
          <w:sz w:val="20"/>
          <w:szCs w:val="20"/>
          <w:lang w:val="pt-BR"/>
        </w:rPr>
        <w:t>KOH</w:t>
      </w:r>
      <w:r>
        <w:rPr>
          <w:rFonts w:ascii="Times New Roman" w:hAnsi="Times New Roman" w:cs="Times New Roman"/>
          <w:sz w:val="20"/>
          <w:szCs w:val="20"/>
        </w:rPr>
        <w:t>–</w:t>
      </w:r>
      <w:r>
        <w:rPr>
          <w:rFonts w:ascii="Times New Roman" w:hAnsi="Times New Roman" w:cs="Times New Roman"/>
          <w:sz w:val="20"/>
          <w:szCs w:val="20"/>
          <w:lang w:val="pt-BR"/>
        </w:rPr>
        <w:t>H</w:t>
      </w:r>
      <w:r>
        <w:rPr>
          <w:rFonts w:ascii="Times New Roman" w:hAnsi="Times New Roman" w:cs="Times New Roman"/>
          <w:sz w:val="20"/>
          <w:szCs w:val="20"/>
          <w:vertAlign w:val="subscript"/>
        </w:rPr>
        <w:t>2</w:t>
      </w:r>
      <w:r>
        <w:rPr>
          <w:rFonts w:ascii="Times New Roman" w:hAnsi="Times New Roman" w:cs="Times New Roman"/>
          <w:sz w:val="20"/>
          <w:szCs w:val="20"/>
          <w:lang w:val="pt-BR"/>
        </w:rPr>
        <w:t>O</w:t>
      </w:r>
      <w:r>
        <w:rPr>
          <w:rFonts w:ascii="Times New Roman" w:hAnsi="Times New Roman" w:cs="Times New Roman"/>
          <w:sz w:val="20"/>
          <w:szCs w:val="20"/>
        </w:rPr>
        <w:t xml:space="preserve"> </w:t>
      </w:r>
    </w:p>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sz w:val="20"/>
          <w:szCs w:val="20"/>
          <w:lang w:val="en-US"/>
        </w:rPr>
        <w:t>t</w:t>
      </w:r>
      <w:r>
        <w:rPr>
          <w:rFonts w:ascii="Times New Roman" w:hAnsi="Times New Roman" w:cs="Times New Roman"/>
          <w:sz w:val="20"/>
          <w:szCs w:val="20"/>
        </w:rPr>
        <w:t>=220 °С)</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Термогравиметрический анализ, выполненный для образцов, полученных в  исследуемых системах (рис. 1), показал, что синтезированные  образцы содержат до 20 % воды, выделяющейся в интервале температур от 20 до 700 °С. В интервале температур 800–830 °С на термограммах всех образцов зарегистрирован экзоэффект, который относится к переходу аморфных гидратированнных форм силикатов кальция в кристаллическую фазу волластонита, что было подтверждено данными рентгенофазового анализа нелетучего остатка при обжиге до указанных температур. Следует отметить, что наиболее выраженный экзоэффект наблюдается для образца (при 818 °С), полученного при обычных условиях (</w:t>
      </w:r>
      <w:r>
        <w:rPr>
          <w:rFonts w:ascii="Times New Roman" w:hAnsi="Times New Roman" w:cs="Times New Roman"/>
          <w:sz w:val="20"/>
          <w:szCs w:val="20"/>
          <w:lang w:val="en-US"/>
        </w:rPr>
        <w:t>t</w:t>
      </w:r>
      <w:r>
        <w:rPr>
          <w:rFonts w:ascii="Times New Roman" w:hAnsi="Times New Roman" w:cs="Times New Roman"/>
          <w:sz w:val="20"/>
          <w:szCs w:val="20"/>
        </w:rPr>
        <w:t xml:space="preserve">=20 °С). </w:t>
      </w:r>
    </w:p>
    <w:p w:rsidR="00517711" w:rsidRDefault="00F815BE">
      <w:pPr>
        <w:spacing w:after="0" w:line="240" w:lineRule="auto"/>
        <w:ind w:firstLine="709"/>
        <w:jc w:val="both"/>
        <w:rPr>
          <w:rFonts w:ascii="Times New Roman" w:hAnsi="Times New Roman" w:cs="Times New Roman"/>
          <w:i/>
          <w:sz w:val="20"/>
          <w:szCs w:val="20"/>
        </w:rPr>
      </w:pPr>
      <w:r>
        <w:rPr>
          <w:rFonts w:ascii="Times New Roman" w:hAnsi="Times New Roman" w:cs="Times New Roman"/>
          <w:i/>
          <w:sz w:val="20"/>
          <w:szCs w:val="20"/>
        </w:rPr>
        <w:t>_____________________________</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1. Алексеевский Е.В., Гольц Р.К., Мусакин А.П. (1953) </w:t>
      </w:r>
      <w:r>
        <w:rPr>
          <w:rFonts w:ascii="Times New Roman" w:hAnsi="Times New Roman" w:cs="Times New Roman"/>
          <w:i/>
          <w:sz w:val="20"/>
          <w:szCs w:val="20"/>
        </w:rPr>
        <w:t xml:space="preserve">Количественный анализ. </w:t>
      </w:r>
      <w:r>
        <w:rPr>
          <w:rFonts w:ascii="Times New Roman" w:hAnsi="Times New Roman" w:cs="Times New Roman"/>
          <w:sz w:val="20"/>
          <w:szCs w:val="20"/>
        </w:rPr>
        <w:t>Л. : Госхимиздат, 1953. С. 574–575.</w:t>
      </w:r>
    </w:p>
    <w:p w:rsidR="00517711" w:rsidRDefault="00F815BE">
      <w:pPr>
        <w:pStyle w:val="affc"/>
        <w:spacing w:after="0" w:line="240" w:lineRule="auto"/>
        <w:rPr>
          <w:rFonts w:ascii="Times New Roman" w:hAnsi="Times New Roman" w:cs="Times New Roman"/>
          <w:sz w:val="20"/>
          <w:szCs w:val="20"/>
        </w:rPr>
      </w:pPr>
      <w:r>
        <w:rPr>
          <w:rFonts w:ascii="Times New Roman" w:hAnsi="Times New Roman" w:cs="Times New Roman"/>
          <w:sz w:val="20"/>
          <w:szCs w:val="20"/>
        </w:rPr>
        <w:t>2. Гладун В.Д., Акатьева Л.В., Андреева Н.Н., Холькин А.И. Получение ксонотлита и перспективы его применения // Химическая технология. – 2000. – № 11. – С. 2 – 9.</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 Гладун В.Д., Акатьева Л.В., Холькин А.И. Синтетические силикаты кальция. – М.: ИРИСБУК, 2011. 232 с.</w:t>
      </w:r>
    </w:p>
    <w:p w:rsidR="00517711" w:rsidRDefault="00F815BE">
      <w:pPr>
        <w:tabs>
          <w:tab w:val="left" w:pos="3675"/>
        </w:tabs>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lastRenderedPageBreak/>
        <w:t xml:space="preserve">4. Гордиенко П.С., Ярусова С.Б., Буланова С.Б., Супонина А.П., Зарубина Н.В., Майоров В.Ю. Сорбционные свойства материалов на основе силикатов кальция по отношению к ионам </w:t>
      </w:r>
      <w:r>
        <w:rPr>
          <w:rFonts w:ascii="Times New Roman" w:hAnsi="Times New Roman" w:cs="Times New Roman"/>
          <w:sz w:val="20"/>
          <w:szCs w:val="20"/>
          <w:lang w:val="en-US"/>
        </w:rPr>
        <w:t>Co</w:t>
      </w:r>
      <w:r>
        <w:rPr>
          <w:rFonts w:ascii="Times New Roman" w:hAnsi="Times New Roman" w:cs="Times New Roman"/>
          <w:sz w:val="20"/>
          <w:szCs w:val="20"/>
          <w:vertAlign w:val="superscript"/>
        </w:rPr>
        <w:t>2+</w:t>
      </w:r>
      <w:r>
        <w:rPr>
          <w:rFonts w:ascii="Times New Roman" w:hAnsi="Times New Roman" w:cs="Times New Roman"/>
          <w:sz w:val="20"/>
          <w:szCs w:val="20"/>
        </w:rPr>
        <w:t xml:space="preserve"> //  Химическая технология. 2011. Т. 12. № 5. С.282–290.</w:t>
      </w:r>
    </w:p>
    <w:p w:rsidR="00517711" w:rsidRDefault="00F815BE">
      <w:pPr>
        <w:tabs>
          <w:tab w:val="left" w:pos="3675"/>
        </w:tabs>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5. Гордиенко П.С., Ярусова С.Б., Супонина А.П., Крысенко Г.Ф., Якименко Л.В., Кайдалова Т.А. Сорбция ионов </w:t>
      </w:r>
      <w:r>
        <w:rPr>
          <w:rFonts w:ascii="Times New Roman" w:hAnsi="Times New Roman" w:cs="Times New Roman"/>
          <w:sz w:val="20"/>
          <w:szCs w:val="20"/>
          <w:lang w:val="en-US"/>
        </w:rPr>
        <w:t>Cd</w:t>
      </w:r>
      <w:r>
        <w:rPr>
          <w:rFonts w:ascii="Times New Roman" w:hAnsi="Times New Roman" w:cs="Times New Roman"/>
          <w:sz w:val="20"/>
          <w:szCs w:val="20"/>
          <w:vertAlign w:val="superscript"/>
        </w:rPr>
        <w:t>2+</w:t>
      </w:r>
      <w:r>
        <w:rPr>
          <w:rFonts w:ascii="Times New Roman" w:hAnsi="Times New Roman" w:cs="Times New Roman"/>
          <w:sz w:val="20"/>
          <w:szCs w:val="20"/>
        </w:rPr>
        <w:t xml:space="preserve"> продуктом щелочной обработки отходов борного производства // Журнал прикладной химии. 2014. Вып.87. № 1. С. 81–86.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iCs/>
          <w:sz w:val="20"/>
          <w:szCs w:val="20"/>
        </w:rPr>
        <w:t xml:space="preserve">6. </w:t>
      </w:r>
      <w:r>
        <w:rPr>
          <w:rFonts w:ascii="Times New Roman" w:hAnsi="Times New Roman" w:cs="Times New Roman"/>
          <w:sz w:val="20"/>
          <w:szCs w:val="20"/>
        </w:rPr>
        <w:t xml:space="preserve">Гордиенко П.С., Ярусова С.Б., Супонина А.П., Юдаков А.А., Жевтун И.Г. Влияние гидратации и атмосферного воздуха на сорбционные свойства и фазовый состав гидросиликата кальция // Экологическая химия. 2014. Т.23, № 2. С. 102–109. </w:t>
      </w:r>
    </w:p>
    <w:p w:rsidR="00517711" w:rsidRDefault="00F815BE">
      <w:pPr>
        <w:tabs>
          <w:tab w:val="left" w:pos="3675"/>
        </w:tabs>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7. Ярусова С.Б., Гордиенко П.С., Крысенко Г.Ф., Азарова Ю.А. Сорбция ионов </w:t>
      </w:r>
      <w:r>
        <w:rPr>
          <w:rFonts w:ascii="Times New Roman" w:hAnsi="Times New Roman" w:cs="Times New Roman"/>
          <w:sz w:val="20"/>
          <w:szCs w:val="20"/>
          <w:lang w:val="en-US"/>
        </w:rPr>
        <w:t>Sr</w:t>
      </w:r>
      <w:r>
        <w:rPr>
          <w:rFonts w:ascii="Times New Roman" w:hAnsi="Times New Roman" w:cs="Times New Roman"/>
          <w:sz w:val="20"/>
          <w:szCs w:val="20"/>
          <w:vertAlign w:val="superscript"/>
        </w:rPr>
        <w:t xml:space="preserve">2+ </w:t>
      </w:r>
      <w:r>
        <w:rPr>
          <w:rFonts w:ascii="Times New Roman" w:hAnsi="Times New Roman" w:cs="Times New Roman"/>
          <w:sz w:val="20"/>
          <w:szCs w:val="20"/>
        </w:rPr>
        <w:t xml:space="preserve">силикатными материалами синтетического и техногенного происхождения // Неорганические материалы. 2014. Т. 50. № 6. С. 1–7. </w:t>
      </w:r>
    </w:p>
    <w:p w:rsidR="00517711" w:rsidRDefault="00F815BE">
      <w:pPr>
        <w:tabs>
          <w:tab w:val="left" w:pos="3675"/>
        </w:tabs>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8. Ярусова С.Б., Гордиенко П.С., Мелконян Р.Г., Азарова Ю.А., Якименко Л.В., Крысь Ю.И. Сорбция ионов </w:t>
      </w:r>
      <w:r>
        <w:rPr>
          <w:rFonts w:ascii="Times New Roman" w:hAnsi="Times New Roman" w:cs="Times New Roman"/>
          <w:sz w:val="20"/>
          <w:szCs w:val="20"/>
          <w:lang w:val="en-US"/>
        </w:rPr>
        <w:t>Ni</w:t>
      </w:r>
      <w:r>
        <w:rPr>
          <w:rFonts w:ascii="Times New Roman" w:hAnsi="Times New Roman" w:cs="Times New Roman"/>
          <w:sz w:val="20"/>
          <w:szCs w:val="20"/>
          <w:vertAlign w:val="superscript"/>
        </w:rPr>
        <w:t>2+</w:t>
      </w:r>
      <w:r>
        <w:rPr>
          <w:rFonts w:ascii="Times New Roman" w:hAnsi="Times New Roman" w:cs="Times New Roman"/>
          <w:sz w:val="20"/>
          <w:szCs w:val="20"/>
        </w:rPr>
        <w:t xml:space="preserve"> силикатным сорбентом из отходов борного производства // Техника и технология силикатов. 2013. Т.20. № 3. С. 20–27. </w:t>
      </w:r>
    </w:p>
    <w:p w:rsidR="00517711" w:rsidRDefault="00F815BE">
      <w:pPr>
        <w:spacing w:after="0" w:line="240" w:lineRule="auto"/>
        <w:ind w:firstLine="709"/>
        <w:jc w:val="both"/>
        <w:rPr>
          <w:rFonts w:ascii="Times New Roman" w:hAnsi="Times New Roman" w:cs="Times New Roman"/>
          <w:sz w:val="20"/>
          <w:szCs w:val="20"/>
          <w:lang w:val="en-US"/>
        </w:rPr>
      </w:pPr>
      <w:r>
        <w:rPr>
          <w:rFonts w:ascii="Times New Roman" w:hAnsi="Times New Roman" w:cs="Times New Roman"/>
          <w:sz w:val="20"/>
          <w:szCs w:val="20"/>
        </w:rPr>
        <w:t xml:space="preserve">9. Ярусова С.Б., Гордиенко П.С., Юдаков А.А., Азарова Ю.А., Ящук Р.Д. Кинетика сорбции ионов тяжелых металлов сорбентом, полученным из отходов производства борной кислоты // Химическая  технология. </w:t>
      </w:r>
      <w:r>
        <w:rPr>
          <w:rFonts w:ascii="Times New Roman" w:hAnsi="Times New Roman" w:cs="Times New Roman"/>
          <w:sz w:val="20"/>
          <w:szCs w:val="20"/>
          <w:lang w:val="en-US"/>
        </w:rPr>
        <w:t xml:space="preserve">2015. </w:t>
      </w:r>
      <w:r>
        <w:rPr>
          <w:rFonts w:ascii="Times New Roman" w:hAnsi="Times New Roman" w:cs="Times New Roman"/>
          <w:sz w:val="20"/>
          <w:szCs w:val="20"/>
        </w:rPr>
        <w:t>Т</w:t>
      </w:r>
      <w:r>
        <w:rPr>
          <w:rFonts w:ascii="Times New Roman" w:hAnsi="Times New Roman" w:cs="Times New Roman"/>
          <w:sz w:val="20"/>
          <w:szCs w:val="20"/>
          <w:lang w:val="en-US"/>
        </w:rPr>
        <w:t xml:space="preserve">.16. № 10. </w:t>
      </w:r>
      <w:r>
        <w:rPr>
          <w:rFonts w:ascii="Times New Roman" w:hAnsi="Times New Roman" w:cs="Times New Roman"/>
          <w:sz w:val="20"/>
          <w:szCs w:val="20"/>
        </w:rPr>
        <w:t>С</w:t>
      </w:r>
      <w:r>
        <w:rPr>
          <w:rFonts w:ascii="Times New Roman" w:hAnsi="Times New Roman" w:cs="Times New Roman"/>
          <w:sz w:val="20"/>
          <w:szCs w:val="20"/>
          <w:lang w:val="en-US"/>
        </w:rPr>
        <w:t>. 620–624.</w:t>
      </w:r>
    </w:p>
    <w:p w:rsidR="00517711" w:rsidRDefault="00F815BE">
      <w:pPr>
        <w:spacing w:after="0" w:line="240" w:lineRule="auto"/>
        <w:ind w:firstLine="709"/>
        <w:jc w:val="both"/>
        <w:rPr>
          <w:rFonts w:ascii="Times New Roman" w:hAnsi="Times New Roman" w:cs="Times New Roman"/>
          <w:bCs/>
          <w:sz w:val="20"/>
          <w:szCs w:val="20"/>
          <w:lang w:val="en-US"/>
        </w:rPr>
      </w:pPr>
      <w:r>
        <w:rPr>
          <w:rFonts w:ascii="Times New Roman" w:eastAsia="AdvP4DF60E" w:hAnsi="Times New Roman" w:cs="Times New Roman"/>
          <w:sz w:val="20"/>
          <w:szCs w:val="20"/>
          <w:lang w:val="en-US"/>
        </w:rPr>
        <w:t>10.</w:t>
      </w:r>
      <w:r>
        <w:rPr>
          <w:rFonts w:ascii="Times New Roman" w:hAnsi="Times New Roman" w:cs="Times New Roman"/>
          <w:sz w:val="20"/>
          <w:szCs w:val="20"/>
          <w:lang w:val="en-US"/>
        </w:rPr>
        <w:t xml:space="preserve"> Iwaida T., Nagasaki S., Tanaka S. </w:t>
      </w:r>
      <w:r>
        <w:rPr>
          <w:rFonts w:ascii="Times New Roman" w:hAnsi="Times New Roman" w:cs="Times New Roman"/>
          <w:bCs/>
          <w:sz w:val="20"/>
          <w:szCs w:val="20"/>
          <w:lang w:val="en-US"/>
        </w:rPr>
        <w:t>Sorption behavior of strontium onto C-S-H (calcium silicate hydrated phases) // Studies in Surface Science and Catalysis. 2001. Vol. 132. P. 901–904.</w:t>
      </w:r>
    </w:p>
    <w:p w:rsidR="00517711" w:rsidRDefault="00F815BE">
      <w:pPr>
        <w:spacing w:after="0" w:line="240" w:lineRule="auto"/>
        <w:ind w:firstLine="709"/>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11. </w:t>
      </w:r>
      <w:r>
        <w:rPr>
          <w:rFonts w:ascii="Times New Roman" w:hAnsi="Times New Roman" w:cs="Times New Roman"/>
          <w:bCs/>
          <w:iCs/>
          <w:sz w:val="20"/>
          <w:szCs w:val="20"/>
          <w:lang w:val="en-US"/>
        </w:rPr>
        <w:t xml:space="preserve">Komarneni S. </w:t>
      </w:r>
      <w:r>
        <w:rPr>
          <w:rFonts w:ascii="Times New Roman" w:hAnsi="Times New Roman" w:cs="Times New Roman"/>
          <w:bCs/>
          <w:sz w:val="20"/>
          <w:szCs w:val="20"/>
          <w:lang w:val="en-US"/>
        </w:rPr>
        <w:t xml:space="preserve">Heavy metal removal from aqueous solutions by tobermorites and zeolites // </w:t>
      </w:r>
      <w:r>
        <w:rPr>
          <w:rFonts w:ascii="Times New Roman" w:hAnsi="Times New Roman" w:cs="Times New Roman"/>
          <w:sz w:val="20"/>
          <w:szCs w:val="20"/>
          <w:lang w:val="en-US"/>
        </w:rPr>
        <w:t xml:space="preserve">Nuclear </w:t>
      </w:r>
      <w:r>
        <w:rPr>
          <w:rFonts w:ascii="Times New Roman" w:hAnsi="Times New Roman" w:cs="Times New Roman"/>
          <w:bCs/>
          <w:sz w:val="20"/>
          <w:szCs w:val="20"/>
          <w:lang w:val="en-US"/>
        </w:rPr>
        <w:t xml:space="preserve">and chemical waste management. 1985. Vol.5.  </w:t>
      </w:r>
      <w:r>
        <w:rPr>
          <w:rFonts w:ascii="Times New Roman" w:hAnsi="Times New Roman" w:cs="Times New Roman"/>
          <w:sz w:val="20"/>
          <w:szCs w:val="20"/>
          <w:lang w:val="en-US"/>
        </w:rPr>
        <w:t>pp.</w:t>
      </w:r>
      <w:r>
        <w:rPr>
          <w:rFonts w:ascii="Times New Roman" w:hAnsi="Times New Roman" w:cs="Times New Roman"/>
          <w:bCs/>
          <w:sz w:val="20"/>
          <w:szCs w:val="20"/>
          <w:lang w:val="en-US"/>
        </w:rPr>
        <w:t>247–250.</w:t>
      </w:r>
    </w:p>
    <w:p w:rsidR="00517711" w:rsidRDefault="00F815BE">
      <w:pPr>
        <w:spacing w:after="0" w:line="240" w:lineRule="auto"/>
        <w:ind w:firstLine="709"/>
        <w:jc w:val="both"/>
        <w:rPr>
          <w:rFonts w:ascii="Times New Roman" w:eastAsia="AdvP4DF60E" w:hAnsi="Times New Roman" w:cs="Times New Roman"/>
          <w:sz w:val="20"/>
          <w:szCs w:val="20"/>
          <w:lang w:val="en-US"/>
        </w:rPr>
      </w:pPr>
      <w:r>
        <w:rPr>
          <w:rFonts w:ascii="Times New Roman" w:hAnsi="Times New Roman" w:cs="Times New Roman"/>
          <w:sz w:val="20"/>
          <w:szCs w:val="20"/>
          <w:lang w:val="en-US"/>
        </w:rPr>
        <w:t xml:space="preserve">12. </w:t>
      </w:r>
      <w:r>
        <w:rPr>
          <w:rFonts w:ascii="Times New Roman" w:eastAsia="AdvP4DF60E" w:hAnsi="Times New Roman" w:cs="Times New Roman"/>
          <w:sz w:val="20"/>
          <w:szCs w:val="20"/>
          <w:lang w:val="en-US"/>
        </w:rPr>
        <w:t>Parmar K., Bandyopadhya N.R., Chongder D., Bhattacharjee S. Detailed characterization of calcium silicate precipitation tube (CaSPT) as a multi-cation adsorbent in aqueous medium // Materials Research Bulletin. 2012. Vol. 47. pp.677–682.</w:t>
      </w:r>
    </w:p>
    <w:p w:rsidR="00517711" w:rsidRDefault="00F815BE">
      <w:pPr>
        <w:spacing w:after="0" w:line="240" w:lineRule="auto"/>
        <w:ind w:firstLine="709"/>
        <w:jc w:val="both"/>
        <w:rPr>
          <w:rFonts w:ascii="Times New Roman" w:hAnsi="Times New Roman" w:cs="Times New Roman"/>
          <w:sz w:val="20"/>
          <w:szCs w:val="20"/>
          <w:lang w:val="en-US"/>
        </w:rPr>
      </w:pPr>
      <w:r>
        <w:rPr>
          <w:rFonts w:ascii="Times New Roman" w:hAnsi="Times New Roman" w:cs="Times New Roman"/>
          <w:sz w:val="20"/>
          <w:szCs w:val="20"/>
          <w:lang w:val="en-US"/>
        </w:rPr>
        <w:t>13.</w:t>
      </w:r>
      <w:r>
        <w:rPr>
          <w:rFonts w:ascii="Times New Roman" w:hAnsi="Times New Roman" w:cs="Times New Roman"/>
          <w:bCs/>
          <w:sz w:val="20"/>
          <w:szCs w:val="20"/>
          <w:lang w:val="en-US"/>
        </w:rPr>
        <w:t xml:space="preserve"> Polyakov E.V., Tsvetokhin A.G., Barysheva N.M., Ovchinnikov N.A., Pashkeev</w:t>
      </w:r>
      <w:r>
        <w:rPr>
          <w:rFonts w:ascii="Times New Roman" w:hAnsi="Times New Roman" w:cs="Times New Roman"/>
          <w:bCs/>
          <w:iCs/>
          <w:sz w:val="20"/>
          <w:szCs w:val="20"/>
          <w:lang w:val="en-US"/>
        </w:rPr>
        <w:t xml:space="preserve"> </w:t>
      </w:r>
      <w:r>
        <w:rPr>
          <w:rFonts w:ascii="Times New Roman" w:hAnsi="Times New Roman" w:cs="Times New Roman"/>
          <w:bCs/>
          <w:sz w:val="20"/>
          <w:szCs w:val="20"/>
          <w:lang w:val="en-US"/>
        </w:rPr>
        <w:t>I.Yu., Mikhailov G.G., Volkov</w:t>
      </w:r>
      <w:r>
        <w:rPr>
          <w:rFonts w:ascii="Times New Roman" w:hAnsi="Times New Roman" w:cs="Times New Roman"/>
          <w:bCs/>
          <w:iCs/>
          <w:sz w:val="20"/>
          <w:szCs w:val="20"/>
          <w:lang w:val="en-US"/>
        </w:rPr>
        <w:t xml:space="preserve"> </w:t>
      </w:r>
      <w:r>
        <w:rPr>
          <w:rFonts w:ascii="Times New Roman" w:hAnsi="Times New Roman" w:cs="Times New Roman"/>
          <w:bCs/>
          <w:sz w:val="20"/>
          <w:szCs w:val="20"/>
          <w:lang w:val="en-US"/>
        </w:rPr>
        <w:t>I.V. Sorption Properties of Silicate Materials Based on Ca</w:t>
      </w:r>
      <w:r>
        <w:rPr>
          <w:rFonts w:ascii="Times New Roman" w:hAnsi="Times New Roman" w:cs="Times New Roman"/>
          <w:bCs/>
          <w:sz w:val="20"/>
          <w:szCs w:val="20"/>
          <w:vertAlign w:val="subscript"/>
          <w:lang w:val="en-US"/>
        </w:rPr>
        <w:t>2</w:t>
      </w:r>
      <w:r>
        <w:rPr>
          <w:rFonts w:ascii="Times New Roman" w:hAnsi="Times New Roman" w:cs="Times New Roman"/>
          <w:bCs/>
          <w:sz w:val="20"/>
          <w:szCs w:val="20"/>
          <w:lang w:val="en-US"/>
        </w:rPr>
        <w:t>SiO</w:t>
      </w:r>
      <w:r>
        <w:rPr>
          <w:rFonts w:ascii="Times New Roman" w:hAnsi="Times New Roman" w:cs="Times New Roman"/>
          <w:bCs/>
          <w:sz w:val="20"/>
          <w:szCs w:val="20"/>
          <w:vertAlign w:val="subscript"/>
          <w:lang w:val="en-US"/>
        </w:rPr>
        <w:t>4</w:t>
      </w:r>
      <w:r>
        <w:rPr>
          <w:rFonts w:ascii="Times New Roman" w:hAnsi="Times New Roman" w:cs="Times New Roman"/>
          <w:bCs/>
          <w:sz w:val="20"/>
          <w:szCs w:val="20"/>
          <w:lang w:val="en-US"/>
        </w:rPr>
        <w:t xml:space="preserve"> // </w:t>
      </w:r>
      <w:r>
        <w:rPr>
          <w:rFonts w:ascii="Times New Roman" w:hAnsi="Times New Roman" w:cs="Times New Roman"/>
          <w:iCs/>
          <w:sz w:val="20"/>
          <w:szCs w:val="20"/>
          <w:lang w:val="en-US"/>
        </w:rPr>
        <w:t>Radiochemistry. 2011. Vol. 53. № 5. pp. 498–503.</w:t>
      </w:r>
    </w:p>
    <w:p w:rsidR="00517711" w:rsidRDefault="00F815BE">
      <w:pPr>
        <w:spacing w:after="0" w:line="240" w:lineRule="auto"/>
        <w:ind w:firstLine="709"/>
        <w:jc w:val="both"/>
        <w:rPr>
          <w:rFonts w:ascii="Times New Roman" w:eastAsia="GulliverRM" w:hAnsi="Times New Roman" w:cs="Times New Roman"/>
          <w:sz w:val="20"/>
          <w:szCs w:val="20"/>
          <w:lang w:val="en-US"/>
        </w:rPr>
      </w:pPr>
      <w:r>
        <w:rPr>
          <w:rFonts w:ascii="Times New Roman" w:eastAsia="GulliverRM" w:hAnsi="Times New Roman" w:cs="Times New Roman"/>
          <w:sz w:val="20"/>
          <w:szCs w:val="20"/>
          <w:lang w:val="en-US"/>
        </w:rPr>
        <w:t>14. Tsutsumi T., Nishimoto S., Kameshima Y., Miyake M. Hydrothermal preparation of tobermorite from blast furnace slag for Cs</w:t>
      </w:r>
      <w:r>
        <w:rPr>
          <w:rFonts w:ascii="Times New Roman" w:eastAsia="GulliverRM" w:hAnsi="Times New Roman" w:cs="Times New Roman"/>
          <w:sz w:val="20"/>
          <w:szCs w:val="20"/>
          <w:vertAlign w:val="superscript"/>
          <w:lang w:val="en-US"/>
        </w:rPr>
        <w:t>+</w:t>
      </w:r>
      <w:r>
        <w:rPr>
          <w:rFonts w:ascii="Times New Roman" w:eastAsia="GulliverRM" w:hAnsi="Times New Roman" w:cs="Times New Roman"/>
          <w:sz w:val="20"/>
          <w:szCs w:val="20"/>
          <w:lang w:val="en-US"/>
        </w:rPr>
        <w:t xml:space="preserve"> and Sr</w:t>
      </w:r>
      <w:r>
        <w:rPr>
          <w:rFonts w:ascii="Times New Roman" w:eastAsia="GulliverRM" w:hAnsi="Times New Roman" w:cs="Times New Roman"/>
          <w:sz w:val="20"/>
          <w:szCs w:val="20"/>
          <w:vertAlign w:val="superscript"/>
          <w:lang w:val="en-US"/>
        </w:rPr>
        <w:t>2+</w:t>
      </w:r>
      <w:r>
        <w:rPr>
          <w:rFonts w:ascii="Times New Roman" w:eastAsia="GulliverRM" w:hAnsi="Times New Roman" w:cs="Times New Roman"/>
          <w:sz w:val="20"/>
          <w:szCs w:val="20"/>
          <w:lang w:val="en-US"/>
        </w:rPr>
        <w:t xml:space="preserve"> sorption // Journal of Hazardous Materials. 2014. Vol. 266. pp.174–181.</w:t>
      </w:r>
    </w:p>
    <w:p w:rsidR="00517711" w:rsidRDefault="00F815BE">
      <w:pPr>
        <w:spacing w:after="0" w:line="240" w:lineRule="auto"/>
        <w:ind w:firstLine="709"/>
        <w:jc w:val="both"/>
        <w:rPr>
          <w:rFonts w:ascii="Times New Roman" w:hAnsi="Times New Roman" w:cs="Times New Roman"/>
          <w:iCs/>
          <w:sz w:val="20"/>
          <w:szCs w:val="20"/>
          <w:lang w:val="en-US"/>
        </w:rPr>
      </w:pPr>
      <w:r>
        <w:rPr>
          <w:rFonts w:ascii="Times New Roman" w:hAnsi="Times New Roman" w:cs="Times New Roman"/>
          <w:sz w:val="20"/>
          <w:szCs w:val="20"/>
          <w:lang w:val="en-US"/>
        </w:rPr>
        <w:t>15. Yarusova S.B., Gordienko P.S., Krishna R., Azarova Yu.A., Suponina A.P., Perfilev A.V., Sharma Y.C.  Sorption characteristics of economically viable silicate sorbents for sequestration of lead ions from aqueous solutions // Resource-Efficient Technologies. 2017. Vol.3. pp. 213–221.</w:t>
      </w:r>
    </w:p>
    <w:p w:rsidR="00517711" w:rsidRDefault="00F815BE">
      <w:pPr>
        <w:spacing w:after="0" w:line="240" w:lineRule="auto"/>
        <w:ind w:firstLine="709"/>
        <w:jc w:val="both"/>
        <w:rPr>
          <w:rFonts w:ascii="Times New Roman" w:hAnsi="Times New Roman" w:cs="Times New Roman"/>
          <w:sz w:val="20"/>
          <w:szCs w:val="20"/>
        </w:rPr>
      </w:pPr>
      <w:r>
        <w:rPr>
          <w:rFonts w:ascii="Times New Roman" w:eastAsia="GulliverRM" w:hAnsi="Times New Roman" w:cs="Times New Roman"/>
          <w:sz w:val="20"/>
          <w:szCs w:val="20"/>
          <w:lang w:val="en-US"/>
        </w:rPr>
        <w:t>16.</w:t>
      </w:r>
      <w:r>
        <w:rPr>
          <w:rFonts w:ascii="Times New Roman" w:hAnsi="Times New Roman" w:cs="Times New Roman"/>
          <w:sz w:val="20"/>
          <w:szCs w:val="20"/>
          <w:lang w:val="en-US"/>
        </w:rPr>
        <w:t xml:space="preserve"> Zou J., Guo C., Zhou X., Sun Y., Yang Z. Sorption capacity and mechanism of Cr</w:t>
      </w:r>
      <w:r>
        <w:rPr>
          <w:rFonts w:ascii="Times New Roman" w:hAnsi="Times New Roman" w:cs="Times New Roman"/>
          <w:sz w:val="20"/>
          <w:szCs w:val="20"/>
          <w:vertAlign w:val="superscript"/>
          <w:lang w:val="en-US"/>
        </w:rPr>
        <w:t xml:space="preserve">3+ </w:t>
      </w:r>
      <w:r>
        <w:rPr>
          <w:rFonts w:ascii="Times New Roman" w:hAnsi="Times New Roman" w:cs="Times New Roman"/>
          <w:sz w:val="20"/>
          <w:szCs w:val="20"/>
          <w:lang w:val="en-US"/>
        </w:rPr>
        <w:t xml:space="preserve">on tobermorite derived from fly ash acid residue and carbide slag // Colloids and Surfaces A.  </w:t>
      </w:r>
      <w:r>
        <w:rPr>
          <w:rFonts w:ascii="Times New Roman" w:hAnsi="Times New Roman" w:cs="Times New Roman"/>
          <w:sz w:val="20"/>
          <w:szCs w:val="20"/>
        </w:rPr>
        <w:t xml:space="preserve">2018. </w:t>
      </w:r>
      <w:r>
        <w:rPr>
          <w:rFonts w:ascii="Times New Roman" w:hAnsi="Times New Roman" w:cs="Times New Roman"/>
          <w:sz w:val="20"/>
          <w:szCs w:val="20"/>
          <w:lang w:val="en-US"/>
        </w:rPr>
        <w:t>Vol</w:t>
      </w:r>
      <w:r>
        <w:rPr>
          <w:rFonts w:ascii="Times New Roman" w:hAnsi="Times New Roman" w:cs="Times New Roman"/>
          <w:sz w:val="20"/>
          <w:szCs w:val="20"/>
        </w:rPr>
        <w:t xml:space="preserve">. 538. </w:t>
      </w:r>
      <w:r>
        <w:rPr>
          <w:rFonts w:ascii="Times New Roman" w:hAnsi="Times New Roman" w:cs="Times New Roman"/>
          <w:sz w:val="20"/>
          <w:szCs w:val="20"/>
          <w:lang w:val="en-US"/>
        </w:rPr>
        <w:t>pp</w:t>
      </w:r>
      <w:r>
        <w:rPr>
          <w:rFonts w:ascii="Times New Roman" w:hAnsi="Times New Roman" w:cs="Times New Roman"/>
          <w:sz w:val="20"/>
          <w:szCs w:val="20"/>
        </w:rPr>
        <w:t>. 825–833.</w:t>
      </w:r>
    </w:p>
    <w:p w:rsidR="00517711" w:rsidRDefault="00517711">
      <w:pPr>
        <w:spacing w:after="0" w:line="240" w:lineRule="auto"/>
        <w:rPr>
          <w:rFonts w:ascii="Times New Roman" w:hAnsi="Times New Roman" w:cs="Times New Roman"/>
          <w:sz w:val="20"/>
          <w:szCs w:val="20"/>
        </w:rPr>
      </w:pPr>
    </w:p>
    <w:p w:rsidR="00517711" w:rsidRDefault="00517711">
      <w:pPr>
        <w:tabs>
          <w:tab w:val="left" w:pos="993"/>
        </w:tabs>
        <w:spacing w:after="0" w:line="240" w:lineRule="auto"/>
        <w:jc w:val="both"/>
        <w:rPr>
          <w:rFonts w:ascii="Times New Roman" w:hAnsi="Times New Roman" w:cs="Times New Roman"/>
          <w:sz w:val="20"/>
          <w:szCs w:val="20"/>
        </w:rPr>
      </w:pPr>
    </w:p>
    <w:p w:rsidR="00517711" w:rsidRDefault="00517711">
      <w:pPr>
        <w:tabs>
          <w:tab w:val="left" w:pos="993"/>
        </w:tabs>
        <w:spacing w:after="0" w:line="240" w:lineRule="auto"/>
        <w:jc w:val="both"/>
        <w:rPr>
          <w:rFonts w:ascii="Times New Roman" w:hAnsi="Times New Roman" w:cs="Times New Roman"/>
          <w:sz w:val="20"/>
          <w:szCs w:val="20"/>
        </w:rPr>
      </w:pPr>
    </w:p>
    <w:p w:rsidR="00517711" w:rsidRDefault="00517711">
      <w:pPr>
        <w:tabs>
          <w:tab w:val="left" w:pos="993"/>
        </w:tabs>
        <w:spacing w:after="0" w:line="240" w:lineRule="auto"/>
        <w:jc w:val="both"/>
        <w:rPr>
          <w:rFonts w:ascii="Times New Roman" w:hAnsi="Times New Roman" w:cs="Times New Roman"/>
          <w:sz w:val="20"/>
          <w:szCs w:val="20"/>
        </w:rPr>
      </w:pPr>
    </w:p>
    <w:p w:rsidR="00517711" w:rsidRDefault="00F815BE">
      <w:pPr>
        <w:rPr>
          <w:rFonts w:ascii="Book Antiqua" w:hAnsi="Book Antiqua"/>
          <w:b/>
          <w:bCs/>
          <w:caps/>
          <w:sz w:val="24"/>
          <w:szCs w:val="20"/>
          <w:lang w:eastAsia="ru-RU"/>
        </w:rPr>
      </w:pPr>
      <w:r>
        <w:rPr>
          <w:rFonts w:ascii="Book Antiqua" w:hAnsi="Book Antiqua"/>
          <w:b/>
          <w:bCs/>
          <w:caps/>
          <w:sz w:val="24"/>
          <w:szCs w:val="20"/>
          <w:lang w:eastAsia="ru-RU"/>
        </w:rPr>
        <w:br w:type="page"/>
      </w:r>
    </w:p>
    <w:p w:rsidR="00517711" w:rsidRDefault="00F815BE">
      <w:pPr>
        <w:keepNext/>
        <w:pageBreakBefore/>
        <w:spacing w:after="240" w:line="240" w:lineRule="auto"/>
        <w:jc w:val="center"/>
        <w:outlineLvl w:val="0"/>
        <w:rPr>
          <w:rFonts w:ascii="Book Antiqua" w:hAnsi="Book Antiqua"/>
          <w:b/>
          <w:bCs/>
          <w:caps/>
          <w:sz w:val="24"/>
          <w:szCs w:val="20"/>
          <w:lang w:eastAsia="ru-RU"/>
        </w:rPr>
      </w:pPr>
      <w:r>
        <w:rPr>
          <w:rFonts w:ascii="Book Antiqua" w:hAnsi="Book Antiqua"/>
          <w:b/>
          <w:bCs/>
          <w:caps/>
          <w:sz w:val="24"/>
          <w:szCs w:val="20"/>
          <w:lang w:eastAsia="ru-RU"/>
        </w:rPr>
        <w:lastRenderedPageBreak/>
        <w:t>С</w:t>
      </w:r>
      <w:r>
        <w:rPr>
          <w:rFonts w:ascii="Book Antiqua" w:hAnsi="Book Antiqua"/>
          <w:b/>
          <w:bCs/>
          <w:sz w:val="24"/>
          <w:szCs w:val="20"/>
          <w:lang w:eastAsia="ru-RU"/>
        </w:rPr>
        <w:t>екция</w:t>
      </w:r>
      <w:r>
        <w:rPr>
          <w:rFonts w:ascii="Book Antiqua" w:hAnsi="Book Antiqua"/>
          <w:b/>
          <w:bCs/>
          <w:caps/>
          <w:sz w:val="24"/>
          <w:szCs w:val="20"/>
          <w:lang w:eastAsia="ru-RU"/>
        </w:rPr>
        <w:t>. Туристско-рекреационный комплекс Дальнего Востока как перспективная модель развития территории</w:t>
      </w: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Туризм (по отраслям)</w:t>
      </w:r>
    </w:p>
    <w:p w:rsidR="00517711" w:rsidRDefault="00F815BE">
      <w:pPr>
        <w:spacing w:before="120" w:after="0" w:line="240" w:lineRule="auto"/>
        <w:jc w:val="both"/>
        <w:rPr>
          <w:rFonts w:ascii="Times New Roman" w:hAnsi="Times New Roman"/>
          <w:color w:val="000000"/>
          <w:sz w:val="20"/>
        </w:rPr>
      </w:pPr>
      <w:r>
        <w:rPr>
          <w:rFonts w:ascii="Times New Roman" w:hAnsi="Times New Roman"/>
          <w:color w:val="000000" w:themeColor="text1"/>
          <w:sz w:val="20"/>
        </w:rPr>
        <w:t>УДК 911.8</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Формирование реестра археологических ресурсов Приморского края в разрезе муниципальных образований: проблемы и возможности</w:t>
      </w:r>
    </w:p>
    <w:p w:rsidR="00517711" w:rsidRDefault="00F815BE">
      <w:pPr>
        <w:spacing w:after="0" w:line="240" w:lineRule="auto"/>
        <w:jc w:val="center"/>
        <w:rPr>
          <w:rFonts w:ascii="Arial" w:eastAsia="Calibri" w:hAnsi="Arial"/>
          <w:b/>
          <w:bCs/>
          <w:sz w:val="24"/>
          <w:szCs w:val="20"/>
          <w:lang w:eastAsia="ru-RU"/>
        </w:rPr>
      </w:pPr>
      <w:r>
        <w:rPr>
          <w:rFonts w:ascii="Arial" w:eastAsia="Calibri" w:hAnsi="Arial"/>
          <w:b/>
          <w:bCs/>
          <w:sz w:val="24"/>
          <w:szCs w:val="20"/>
          <w:lang w:eastAsia="ru-RU"/>
        </w:rPr>
        <w:t>Витрюк Елена Сергеевна,</w:t>
      </w:r>
    </w:p>
    <w:p w:rsidR="00517711" w:rsidRDefault="00F815BE">
      <w:pPr>
        <w:spacing w:line="240" w:lineRule="auto"/>
        <w:jc w:val="center"/>
        <w:rPr>
          <w:rFonts w:ascii="Arial" w:eastAsia="Calibri" w:hAnsi="Arial"/>
          <w:bCs/>
          <w:sz w:val="24"/>
          <w:szCs w:val="20"/>
          <w:lang w:eastAsia="ru-RU"/>
        </w:rPr>
      </w:pPr>
      <w:r>
        <w:rPr>
          <w:rFonts w:ascii="Arial" w:eastAsia="Calibri" w:hAnsi="Arial"/>
          <w:bCs/>
          <w:sz w:val="24"/>
          <w:szCs w:val="20"/>
          <w:lang w:eastAsia="ru-RU"/>
        </w:rPr>
        <w:t>бакалавр</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spacing w:after="0" w:line="240" w:lineRule="auto"/>
        <w:jc w:val="center"/>
        <w:rPr>
          <w:rFonts w:ascii="Times New Roman" w:hAnsi="Times New Roman"/>
          <w:sz w:val="20"/>
        </w:rPr>
      </w:pPr>
      <w:r>
        <w:rPr>
          <w:rFonts w:ascii="Times New Roman" w:hAnsi="Times New Roman"/>
          <w:sz w:val="20"/>
          <w:lang w:val="en-US"/>
        </w:rPr>
        <w:t>E</w:t>
      </w:r>
      <w:r>
        <w:rPr>
          <w:rFonts w:ascii="Times New Roman" w:hAnsi="Times New Roman"/>
          <w:sz w:val="20"/>
        </w:rPr>
        <w:t>-</w:t>
      </w:r>
      <w:r>
        <w:rPr>
          <w:rFonts w:ascii="Times New Roman" w:hAnsi="Times New Roman"/>
          <w:sz w:val="20"/>
          <w:lang w:val="en-US"/>
        </w:rPr>
        <w:t>mail</w:t>
      </w:r>
      <w:r>
        <w:rPr>
          <w:rFonts w:ascii="Times New Roman" w:hAnsi="Times New Roman"/>
          <w:sz w:val="20"/>
        </w:rPr>
        <w:t xml:space="preserve">: </w:t>
      </w:r>
      <w:r>
        <w:rPr>
          <w:rFonts w:ascii="Times New Roman" w:hAnsi="Times New Roman"/>
          <w:sz w:val="20"/>
          <w:lang w:val="en-US"/>
        </w:rPr>
        <w:t>lena</w:t>
      </w:r>
      <w:r>
        <w:rPr>
          <w:rFonts w:ascii="Times New Roman" w:hAnsi="Times New Roman"/>
          <w:sz w:val="20"/>
        </w:rPr>
        <w:t>-</w:t>
      </w:r>
      <w:r>
        <w:rPr>
          <w:rFonts w:ascii="Times New Roman" w:hAnsi="Times New Roman"/>
          <w:sz w:val="20"/>
          <w:lang w:val="en-US"/>
        </w:rPr>
        <w:t>vitr</w:t>
      </w:r>
      <w:r>
        <w:rPr>
          <w:rFonts w:ascii="Times New Roman" w:hAnsi="Times New Roman"/>
          <w:sz w:val="20"/>
        </w:rPr>
        <w:t>@</w:t>
      </w:r>
      <w:r>
        <w:rPr>
          <w:rFonts w:ascii="Times New Roman" w:hAnsi="Times New Roman"/>
          <w:sz w:val="20"/>
          <w:lang w:val="en-US"/>
        </w:rPr>
        <w:t>mail</w:t>
      </w:r>
      <w:r>
        <w:rPr>
          <w:rFonts w:ascii="Times New Roman" w:hAnsi="Times New Roman"/>
          <w:sz w:val="20"/>
        </w:rPr>
        <w:t>.</w:t>
      </w:r>
      <w:r>
        <w:rPr>
          <w:rFonts w:ascii="Times New Roman" w:hAnsi="Times New Roman"/>
          <w:sz w:val="20"/>
          <w:lang w:val="en-US"/>
        </w:rPr>
        <w:t>ru</w:t>
      </w:r>
      <w:r>
        <w:rPr>
          <w:rFonts w:ascii="Times New Roman" w:hAnsi="Times New Roman"/>
          <w:sz w:val="20"/>
        </w:rPr>
        <w:t>; тел.: +79146808096</w:t>
      </w:r>
    </w:p>
    <w:p w:rsidR="00517711" w:rsidRDefault="00F815BE">
      <w:pPr>
        <w:spacing w:after="0" w:line="240" w:lineRule="auto"/>
        <w:jc w:val="center"/>
        <w:rPr>
          <w:rFonts w:ascii="Times New Roman" w:hAnsi="Times New Roman"/>
          <w:sz w:val="20"/>
        </w:rPr>
      </w:pPr>
      <w:r>
        <w:rPr>
          <w:rFonts w:ascii="Times New Roman" w:hAnsi="Times New Roman"/>
          <w:sz w:val="20"/>
        </w:rPr>
        <w:t>ул. Гоголя, 41, г. Владивосток, Приморский край, Россия, 690014</w:t>
      </w:r>
    </w:p>
    <w:p w:rsidR="00517711" w:rsidRDefault="00F815BE">
      <w:pPr>
        <w:spacing w:after="0" w:line="240" w:lineRule="auto"/>
        <w:ind w:firstLine="709"/>
        <w:jc w:val="both"/>
        <w:rPr>
          <w:rFonts w:ascii="Times New Roman" w:hAnsi="Times New Roman"/>
          <w:i/>
          <w:color w:val="000000"/>
        </w:rPr>
      </w:pPr>
      <w:r>
        <w:rPr>
          <w:rFonts w:ascii="Times New Roman" w:hAnsi="Times New Roman"/>
          <w:i/>
          <w:color w:val="000000" w:themeColor="text1"/>
        </w:rPr>
        <w:t>В современном мире важно наличие актуальной и достоверной информации. Люди ищут ее в сети Интернет и сталкиваются с отсутствием источников или ресурсов. В связи с этим стоит вопрос формирования подобных ресурсов. В статье рассматриваются проблемы и возможности создания реестра археологических ресурсов Приморского края.</w:t>
      </w:r>
    </w:p>
    <w:p w:rsidR="00517711" w:rsidRDefault="00F815BE">
      <w:pPr>
        <w:spacing w:after="0" w:line="240" w:lineRule="auto"/>
        <w:ind w:firstLine="709"/>
        <w:jc w:val="both"/>
        <w:rPr>
          <w:rFonts w:ascii="Times New Roman" w:hAnsi="Times New Roman"/>
          <w:i/>
          <w:color w:val="000000"/>
        </w:rPr>
      </w:pPr>
      <w:r>
        <w:rPr>
          <w:rFonts w:ascii="Times New Roman" w:hAnsi="Times New Roman"/>
          <w:b/>
          <w:i/>
          <w:color w:val="000000" w:themeColor="text1"/>
        </w:rPr>
        <w:t>Ключевые слова и словосочетания</w:t>
      </w:r>
      <w:r>
        <w:rPr>
          <w:rFonts w:ascii="Times New Roman" w:hAnsi="Times New Roman"/>
          <w:i/>
          <w:color w:val="000000" w:themeColor="text1"/>
        </w:rPr>
        <w:t>:</w:t>
      </w:r>
      <w:r>
        <w:rPr>
          <w:rFonts w:ascii="Times New Roman" w:hAnsi="Times New Roman"/>
          <w:color w:val="000000" w:themeColor="text1"/>
        </w:rPr>
        <w:t xml:space="preserve"> </w:t>
      </w:r>
      <w:r>
        <w:rPr>
          <w:rFonts w:ascii="Times New Roman" w:hAnsi="Times New Roman"/>
          <w:i/>
          <w:color w:val="000000" w:themeColor="text1"/>
        </w:rPr>
        <w:t>внутренний туризм, археологические ресурсы, туристский реестр, перспективы развития туризма, археологический туризм.</w:t>
      </w:r>
    </w:p>
    <w:p w:rsidR="00517711" w:rsidRDefault="00F815BE">
      <w:pPr>
        <w:keepNext/>
        <w:spacing w:before="240" w:after="240" w:line="240" w:lineRule="auto"/>
        <w:jc w:val="center"/>
        <w:outlineLvl w:val="0"/>
        <w:rPr>
          <w:rFonts w:ascii="Book Antiqua" w:hAnsi="Book Antiqua"/>
          <w:b/>
          <w:bCs/>
          <w:caps/>
          <w:sz w:val="26"/>
          <w:szCs w:val="26"/>
          <w:lang w:val="en-US"/>
        </w:rPr>
      </w:pPr>
      <w:r>
        <w:rPr>
          <w:rFonts w:ascii="Book Antiqua" w:hAnsi="Book Antiqua"/>
          <w:b/>
          <w:bCs/>
          <w:caps/>
          <w:sz w:val="26"/>
          <w:szCs w:val="26"/>
          <w:lang w:val="en-US"/>
        </w:rPr>
        <w:t>Formation of the register of archaeological resources of Primorsky Krai in the context of municipalities: problems and opportunities</w:t>
      </w:r>
    </w:p>
    <w:p w:rsidR="00517711" w:rsidRDefault="00F815BE">
      <w:pPr>
        <w:spacing w:after="0" w:line="240" w:lineRule="auto"/>
        <w:ind w:firstLine="709"/>
        <w:jc w:val="both"/>
        <w:rPr>
          <w:rFonts w:ascii="Times New Roman" w:hAnsi="Times New Roman"/>
          <w:i/>
          <w:color w:val="000000"/>
          <w:lang w:val="en-US"/>
        </w:rPr>
      </w:pPr>
      <w:r>
        <w:rPr>
          <w:rFonts w:ascii="Times New Roman" w:hAnsi="Times New Roman"/>
          <w:i/>
          <w:color w:val="000000" w:themeColor="text1"/>
          <w:lang w:val="en-US"/>
        </w:rPr>
        <w:t xml:space="preserve">The availability of up-to-date and reliable information is important in the modern world. People search for it on the Internet and are faced with a lack of sources or resources. In connection with this, there is the question of the formation of such resources. The article examines the problems and possibilities for creating a register of archaeological resources of Primorsky Krai. </w:t>
      </w:r>
    </w:p>
    <w:p w:rsidR="00517711" w:rsidRDefault="00F815BE">
      <w:pPr>
        <w:spacing w:after="0" w:line="240" w:lineRule="auto"/>
        <w:ind w:firstLine="709"/>
        <w:jc w:val="both"/>
        <w:rPr>
          <w:rFonts w:ascii="Times New Roman" w:hAnsi="Times New Roman"/>
          <w:color w:val="000000"/>
          <w:lang w:val="en-US"/>
        </w:rPr>
      </w:pPr>
      <w:r>
        <w:rPr>
          <w:rFonts w:ascii="Times New Roman" w:hAnsi="Times New Roman"/>
          <w:b/>
          <w:i/>
          <w:color w:val="000000" w:themeColor="text1"/>
          <w:lang w:val="en-US"/>
        </w:rPr>
        <w:t>Keywords</w:t>
      </w:r>
      <w:r>
        <w:rPr>
          <w:rFonts w:ascii="Times New Roman" w:hAnsi="Times New Roman"/>
          <w:i/>
          <w:color w:val="000000" w:themeColor="text1"/>
          <w:lang w:val="en-US"/>
        </w:rPr>
        <w:t>:</w:t>
      </w:r>
      <w:r>
        <w:rPr>
          <w:rFonts w:ascii="Times New Roman" w:hAnsi="Times New Roman"/>
          <w:color w:val="000000" w:themeColor="text1"/>
          <w:lang w:val="en-US"/>
        </w:rPr>
        <w:t xml:space="preserve"> </w:t>
      </w:r>
      <w:r>
        <w:rPr>
          <w:rFonts w:ascii="Times New Roman" w:hAnsi="Times New Roman"/>
          <w:i/>
          <w:color w:val="000000" w:themeColor="text1"/>
          <w:lang w:val="en-US"/>
        </w:rPr>
        <w:t>internal tourism, archaeological resources, tourist register, tourism development prospects, archaeological tourism.</w:t>
      </w:r>
    </w:p>
    <w:p w:rsidR="00517711" w:rsidRDefault="00517711">
      <w:pPr>
        <w:spacing w:after="0" w:line="240" w:lineRule="auto"/>
        <w:ind w:firstLine="709"/>
        <w:jc w:val="both"/>
        <w:rPr>
          <w:rFonts w:ascii="Times New Roman" w:hAnsi="Times New Roman"/>
          <w:sz w:val="20"/>
          <w:lang w:val="en-US"/>
        </w:rPr>
      </w:pP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 xml:space="preserve">В Приморском крае активно развивается туристская сфера. Приморье посещает все больше иностранцев со всего мира, а грамотное продвижение внутри страны обеспечивает прирост гостей из других регионов России. </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 xml:space="preserve">Один из быстроразвивающихся видов туризма в крае – это культурно-исторический туризм. Туристы посещают различные страны, чтобы узнать о культуре и быте других народов. При этом большинство потребителей стараются заранее спланировать свое путешествие, используя для этого различные информационные ресурсы. Их основная цель – узнать обо всех достопримечательностях, которые можно посетить. В связи с этим, появляется необходимость разработки информационные ресурсов, которые могут удовлетворить интерес массового потребителя. </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Исходя из сказанного, целью статьи является выявление проблем и возможностей формирования реестра археологических ресурсов в разрезе муниципальных образований Приморского края. Задачами являются оценка ресурсного потенциала муниципальных образований Приморского края, проведение критического анализа существующего реестра туристских ресурсов Приморского края и выявление проблем и возможностей формирования реестра археологических ресурсов. При написании статьи используется анализ научной литературы и ресурсов сети интернет.</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На территории Приморского края сохранились памятники археологии, которые относятся к различным историческими периодам. На его территории в Средневековье проживали представители государств Бохай [5] и Восточное Ся [6]. Ко времени существования этих государств относятся городища, поселения, стоянки, колодцы и другие памятники археологии. Эти объекты будут положены в основу реестра археологических ресурсов.</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lastRenderedPageBreak/>
        <w:t>Общее количество археологических памятников на территории Приморского края точно подсчитать затруднительно. Анализ открытых источников говорит о более ста памятниках, которые относятся к государствам Бохай и Восточное Ся.</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 xml:space="preserve">Археологические ресурсы распределены в Приморском крае неравномерно. Среди муниципальных образований Приморского края по количеству памятников археологии лидируют Лазовский (45), Анучинский (36) и Красноармейский (25) районы. В остальных районах края памятников археологии значительно меньше: Партизанский (17), Кавалеровский (16), Ольгинский (14), Надежденский (13), Хасанский (12) и Яковлевский (10). Для Кировского, Октябрьского, Ханкайского, Чугуевского, Михайловского, Дальнегорского, Пограничного, Тернейского, Уссурийского, Черниговского и Шкотовского районов число памятников археологии не указано отдельно, так как в каждом из них содержится менее десяти памятников </w:t>
      </w:r>
      <w:r>
        <w:rPr>
          <w:rFonts w:ascii="Times New Roman" w:hAnsi="Times New Roman"/>
          <w:color w:val="000000" w:themeColor="text1"/>
          <w:sz w:val="20"/>
          <w:szCs w:val="24"/>
          <w:lang w:eastAsia="ru-RU"/>
        </w:rPr>
        <w:t>[1], [2]</w:t>
      </w:r>
      <w:r>
        <w:rPr>
          <w:rFonts w:ascii="Times New Roman" w:hAnsi="Times New Roman"/>
          <w:color w:val="000000" w:themeColor="text1"/>
          <w:sz w:val="20"/>
        </w:rPr>
        <w:t>.</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 xml:space="preserve">Важно отметить, что наличие ресурсного потенциала у муниципальных образований Приморского края недостаточно для успешного развития туризма. Помимо него необходима информационная база, которая удобна для различных категорий потребителей. Она может быть выполнена в виде веб-ресурса, на котором в тематических разделах представлена информация, или реестра, который, кроме предоставления информации, выполняет функции структуризации и учета памятников археологии. </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 xml:space="preserve">При участии туристско-информационного центра составлен реестр туристских ресурсов Приморского края, который содержит в себе три раздела: природные, культурно-исторические и социальные ресурсы [3]. Они составлены в разрезе муниципальных образований Приморья и содержат поля таблиц, которые отражают основные сведения, известные о памятниках. </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Среди проблем, которые содержит существующий реестр, можно перечислить отсутствие актуального количества археологических памятников на территории Приморского края, затруднение операций поиска и фильтрации данных из-за большого объема документа, необходимые критерии для характеристики и классификации археологических памятников не используются. Кроме того, в нем допущены орфографические, пунктуационные и фактические ошибки, что недопустимо для официальных и достоверных источников. В качестве примера, можно привести поселение Можаев Ключ. В реестре указанное поселение встречается дважды, а также указано с ошибкой в названии – «Моажев Ключ» [3].</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 xml:space="preserve">Указанные проблемы могут быть вызваны тем, что реестр туристских ресурсов Приморского края составляется не командой специалистов, а одним или несколькими людьми. В открытых источниках данных отсутствует информация о многих памятниках археологии и, как следствие, найти ее без помощи профессиональных археологов или историков невозможно. Литературные источники дают только общую информацию о периоде существования государств Бохай и Восточное Ся, не уделяя внимания отдельным памятникам археологии. </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На основе вышесказанного, можно сделать вывод, что основные проблемы формирования реестра археологических ресурсов Приморского края – разрозненные или неполные данные о существующих памятников археологии, отсутствие сотрудничества между работниками сферы туризма и учеными.</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Но решить названные проблемы можно только формированием реестра археологических ресурсов. Потому что это даст возможность систематизировать данные о памятниках археологии на территории Приморского края, предоставить туристским предприятиям актуальный перечень потенциальных объектов показа, а туристам, посещающих край, подобный ресурс будет полезен при планировании поездок. Подобный реестр может быть использован в учебных или научных целях.</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 xml:space="preserve">Так как основная задача, которую необходимо решить при формировании реестра археологических ресурсов – это информативность, то необходимо привлечение различных специалистов к работе. Это решит проблему поиска исходной информации, а также придаст ему статус компетентного и профессионального источника. </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Реестр должен быть составлен с учетом двух видов критериев. Первый вид – критерии, характерные только для археологических памятников, второй вид – критерии, характеризующие археологические памятники, как туристские ресусы. Такой подход открывает возможность создания единой системы связанных между собой документов, что позволит не перегружать реестр, а поделить его на связанные между собой части. Основными критериями могут быть:</w:t>
      </w:r>
    </w:p>
    <w:p w:rsidR="00517711" w:rsidRDefault="00F815BE">
      <w:pPr>
        <w:pStyle w:val="af4"/>
        <w:numPr>
          <w:ilvl w:val="0"/>
          <w:numId w:val="42"/>
        </w:numPr>
        <w:tabs>
          <w:tab w:val="left" w:pos="993"/>
        </w:tabs>
        <w:spacing w:after="0" w:line="240" w:lineRule="auto"/>
        <w:ind w:left="0" w:firstLine="709"/>
        <w:jc w:val="both"/>
        <w:rPr>
          <w:rFonts w:ascii="Times New Roman" w:eastAsia="Calibri" w:hAnsi="Times New Roman"/>
          <w:color w:val="000000"/>
          <w:sz w:val="20"/>
        </w:rPr>
      </w:pPr>
      <w:r>
        <w:rPr>
          <w:rFonts w:ascii="Times New Roman" w:eastAsia="Calibri" w:hAnsi="Times New Roman"/>
          <w:color w:val="000000" w:themeColor="text1"/>
          <w:sz w:val="20"/>
        </w:rPr>
        <w:t>номер по порядку (№ п/п) – позволяет вести подсчет точного количества археологических памятников на территории Приморского края. Выполняется сквозным методом по всей таблице;</w:t>
      </w:r>
    </w:p>
    <w:p w:rsidR="00517711" w:rsidRDefault="00F815BE">
      <w:pPr>
        <w:pStyle w:val="af4"/>
        <w:numPr>
          <w:ilvl w:val="0"/>
          <w:numId w:val="42"/>
        </w:numPr>
        <w:tabs>
          <w:tab w:val="left" w:pos="993"/>
        </w:tabs>
        <w:spacing w:after="0" w:line="240" w:lineRule="auto"/>
        <w:ind w:left="0" w:firstLine="709"/>
        <w:jc w:val="both"/>
        <w:rPr>
          <w:rFonts w:ascii="Times New Roman" w:eastAsia="Calibri" w:hAnsi="Times New Roman"/>
          <w:color w:val="000000"/>
          <w:sz w:val="20"/>
        </w:rPr>
      </w:pPr>
      <w:r>
        <w:rPr>
          <w:rFonts w:ascii="Times New Roman" w:eastAsia="Calibri" w:hAnsi="Times New Roman"/>
          <w:color w:val="000000" w:themeColor="text1"/>
          <w:sz w:val="20"/>
        </w:rPr>
        <w:t>наименование – название памятника или его условное обозначение, которое принято в науке;</w:t>
      </w:r>
    </w:p>
    <w:p w:rsidR="00517711" w:rsidRDefault="00F815BE">
      <w:pPr>
        <w:pStyle w:val="af4"/>
        <w:numPr>
          <w:ilvl w:val="0"/>
          <w:numId w:val="42"/>
        </w:numPr>
        <w:tabs>
          <w:tab w:val="left" w:pos="993"/>
        </w:tabs>
        <w:spacing w:after="0" w:line="240" w:lineRule="auto"/>
        <w:ind w:left="0" w:firstLine="709"/>
        <w:jc w:val="both"/>
        <w:rPr>
          <w:rFonts w:ascii="Times New Roman" w:eastAsia="Calibri" w:hAnsi="Times New Roman"/>
          <w:color w:val="000000"/>
          <w:sz w:val="20"/>
        </w:rPr>
      </w:pPr>
      <w:r>
        <w:rPr>
          <w:rFonts w:ascii="Times New Roman" w:eastAsia="Calibri" w:hAnsi="Times New Roman"/>
          <w:color w:val="000000" w:themeColor="text1"/>
          <w:sz w:val="20"/>
        </w:rPr>
        <w:t>характеристика – краткое описание памятника археологии, которое дает представление о нем;</w:t>
      </w:r>
    </w:p>
    <w:p w:rsidR="00517711" w:rsidRDefault="00F815BE">
      <w:pPr>
        <w:pStyle w:val="af4"/>
        <w:numPr>
          <w:ilvl w:val="0"/>
          <w:numId w:val="42"/>
        </w:numPr>
        <w:tabs>
          <w:tab w:val="left" w:pos="993"/>
        </w:tabs>
        <w:spacing w:after="0" w:line="240" w:lineRule="auto"/>
        <w:ind w:left="0" w:firstLine="709"/>
        <w:jc w:val="both"/>
        <w:rPr>
          <w:rFonts w:ascii="Times New Roman" w:eastAsia="Calibri" w:hAnsi="Times New Roman"/>
          <w:color w:val="000000"/>
          <w:sz w:val="20"/>
        </w:rPr>
      </w:pPr>
      <w:r>
        <w:rPr>
          <w:rFonts w:ascii="Times New Roman" w:eastAsia="Calibri" w:hAnsi="Times New Roman"/>
          <w:color w:val="000000" w:themeColor="text1"/>
          <w:sz w:val="20"/>
        </w:rPr>
        <w:t>вид памятника – указывает на вид памятника (городище, стоянка, поселение, колодец и так далее);</w:t>
      </w:r>
    </w:p>
    <w:p w:rsidR="00517711" w:rsidRDefault="00F815BE">
      <w:pPr>
        <w:pStyle w:val="af4"/>
        <w:numPr>
          <w:ilvl w:val="0"/>
          <w:numId w:val="42"/>
        </w:numPr>
        <w:tabs>
          <w:tab w:val="left" w:pos="993"/>
        </w:tabs>
        <w:spacing w:after="0" w:line="240" w:lineRule="auto"/>
        <w:ind w:left="0" w:firstLine="709"/>
        <w:jc w:val="both"/>
        <w:rPr>
          <w:rFonts w:ascii="Times New Roman" w:eastAsia="Calibri" w:hAnsi="Times New Roman"/>
          <w:color w:val="000000"/>
          <w:sz w:val="20"/>
        </w:rPr>
      </w:pPr>
      <w:r>
        <w:rPr>
          <w:rFonts w:ascii="Times New Roman" w:eastAsia="Calibri" w:hAnsi="Times New Roman"/>
          <w:color w:val="000000" w:themeColor="text1"/>
          <w:sz w:val="20"/>
        </w:rPr>
        <w:t xml:space="preserve">категория историко-культурного значения – характеризует уровень значимости памятника археологии: федеральный, местный или региональный; </w:t>
      </w:r>
    </w:p>
    <w:p w:rsidR="00517711" w:rsidRDefault="00F815BE">
      <w:pPr>
        <w:pStyle w:val="af4"/>
        <w:numPr>
          <w:ilvl w:val="0"/>
          <w:numId w:val="42"/>
        </w:numPr>
        <w:tabs>
          <w:tab w:val="left" w:pos="993"/>
        </w:tabs>
        <w:spacing w:after="0" w:line="240" w:lineRule="auto"/>
        <w:ind w:left="0" w:firstLine="709"/>
        <w:jc w:val="both"/>
        <w:rPr>
          <w:rFonts w:ascii="Times New Roman" w:eastAsia="Calibri" w:hAnsi="Times New Roman"/>
          <w:color w:val="000000"/>
          <w:sz w:val="20"/>
        </w:rPr>
      </w:pPr>
      <w:r>
        <w:rPr>
          <w:rFonts w:ascii="Times New Roman" w:eastAsia="Calibri" w:hAnsi="Times New Roman"/>
          <w:color w:val="000000" w:themeColor="text1"/>
          <w:sz w:val="20"/>
        </w:rPr>
        <w:t xml:space="preserve">изображение – поле, содержащие графическое изображение в формате .png и .jpeg, разрешение которого от 640x480, а размер не более 3 Мб. </w:t>
      </w:r>
    </w:p>
    <w:p w:rsidR="00517711" w:rsidRDefault="00F815BE">
      <w:pPr>
        <w:pStyle w:val="af4"/>
        <w:numPr>
          <w:ilvl w:val="0"/>
          <w:numId w:val="42"/>
        </w:numPr>
        <w:tabs>
          <w:tab w:val="left" w:pos="993"/>
        </w:tabs>
        <w:spacing w:after="0" w:line="240" w:lineRule="auto"/>
        <w:ind w:left="0" w:firstLine="709"/>
        <w:jc w:val="both"/>
        <w:rPr>
          <w:rFonts w:ascii="Times New Roman" w:eastAsia="Calibri" w:hAnsi="Times New Roman"/>
          <w:color w:val="000000"/>
          <w:sz w:val="20"/>
        </w:rPr>
      </w:pPr>
      <w:r>
        <w:rPr>
          <w:rFonts w:ascii="Times New Roman" w:eastAsia="Calibri" w:hAnsi="Times New Roman"/>
          <w:color w:val="000000" w:themeColor="text1"/>
          <w:sz w:val="20"/>
        </w:rPr>
        <w:t>местоположение – поле, отражающее месторасположение памятника (актуально для использования в онлайн-версии реестра).</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 xml:space="preserve">При использовании указанных критериев реализуется возможность подсчета общего количества памятников археологии, а также предоставления минимальной информации о памятниках археологии </w:t>
      </w:r>
      <w:r>
        <w:rPr>
          <w:rFonts w:ascii="Times New Roman" w:hAnsi="Times New Roman"/>
          <w:color w:val="000000" w:themeColor="text1"/>
          <w:sz w:val="20"/>
        </w:rPr>
        <w:lastRenderedPageBreak/>
        <w:t>потенциальным пользователям реестра. Выбранные критерии способствуют выполнению сразу нескольких задач: классификации, учету количества памятников в Приморском крае, а также отражению актуальной и достоверной информации.</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Возможность формирования нескольких связанных между собой документов, позволит в одном из них отразить информацию необходимую для составления новых туристских маршрутов. Критерии, введенные в реестре туристских ресурсов Приморского края, можно выделить и модернизировать в новом реестре, проверив информацию на актуальность и достоверность.</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В качестве дополнительных критериев можно использовать критерии:</w:t>
      </w:r>
    </w:p>
    <w:p w:rsidR="00517711" w:rsidRDefault="00F815BE">
      <w:pPr>
        <w:pStyle w:val="af4"/>
        <w:numPr>
          <w:ilvl w:val="0"/>
          <w:numId w:val="42"/>
        </w:numPr>
        <w:tabs>
          <w:tab w:val="left" w:pos="993"/>
        </w:tabs>
        <w:spacing w:after="0" w:line="240" w:lineRule="auto"/>
        <w:ind w:left="0" w:firstLine="709"/>
        <w:jc w:val="both"/>
        <w:rPr>
          <w:rFonts w:ascii="Times New Roman" w:eastAsia="Calibri" w:hAnsi="Times New Roman"/>
          <w:color w:val="000000"/>
          <w:sz w:val="20"/>
        </w:rPr>
      </w:pPr>
      <w:r>
        <w:rPr>
          <w:rFonts w:ascii="Times New Roman" w:eastAsia="Calibri" w:hAnsi="Times New Roman"/>
          <w:color w:val="000000" w:themeColor="text1"/>
          <w:sz w:val="20"/>
        </w:rPr>
        <w:t>транспортная доступность – наличие подъездных путей и дорог, пригодных для автобусов;</w:t>
      </w:r>
    </w:p>
    <w:p w:rsidR="00517711" w:rsidRDefault="00F815BE">
      <w:pPr>
        <w:pStyle w:val="af4"/>
        <w:numPr>
          <w:ilvl w:val="0"/>
          <w:numId w:val="42"/>
        </w:numPr>
        <w:tabs>
          <w:tab w:val="left" w:pos="993"/>
        </w:tabs>
        <w:spacing w:after="0" w:line="240" w:lineRule="auto"/>
        <w:ind w:left="0" w:firstLine="709"/>
        <w:jc w:val="both"/>
        <w:rPr>
          <w:rFonts w:ascii="Times New Roman" w:eastAsia="Calibri" w:hAnsi="Times New Roman"/>
          <w:color w:val="000000"/>
          <w:sz w:val="20"/>
        </w:rPr>
      </w:pPr>
      <w:r>
        <w:rPr>
          <w:rFonts w:ascii="Times New Roman" w:eastAsia="Calibri" w:hAnsi="Times New Roman"/>
          <w:color w:val="000000" w:themeColor="text1"/>
          <w:sz w:val="20"/>
        </w:rPr>
        <w:t>доступность для маломобильных категорий граждан – возможность посещения памятника археологии для людей с ограниченными возможностями;</w:t>
      </w:r>
    </w:p>
    <w:p w:rsidR="00517711" w:rsidRDefault="00F815BE">
      <w:pPr>
        <w:pStyle w:val="af4"/>
        <w:numPr>
          <w:ilvl w:val="0"/>
          <w:numId w:val="42"/>
        </w:numPr>
        <w:tabs>
          <w:tab w:val="left" w:pos="993"/>
        </w:tabs>
        <w:spacing w:after="0" w:line="240" w:lineRule="auto"/>
        <w:ind w:left="0" w:firstLine="709"/>
        <w:jc w:val="both"/>
        <w:rPr>
          <w:rFonts w:ascii="Times New Roman" w:eastAsia="Calibri" w:hAnsi="Times New Roman"/>
          <w:color w:val="000000"/>
          <w:sz w:val="20"/>
        </w:rPr>
      </w:pPr>
      <w:r>
        <w:rPr>
          <w:rFonts w:ascii="Times New Roman" w:eastAsia="Calibri" w:hAnsi="Times New Roman"/>
          <w:color w:val="000000" w:themeColor="text1"/>
          <w:sz w:val="20"/>
        </w:rPr>
        <w:t>сезонность посещения - указание времени года, в которое благоприятнее посещать памятник археологии (примеры обозначения: с сентября по октябрь или круглогодичное посещение);</w:t>
      </w:r>
    </w:p>
    <w:p w:rsidR="00517711" w:rsidRDefault="00F815BE">
      <w:pPr>
        <w:pStyle w:val="af4"/>
        <w:numPr>
          <w:ilvl w:val="0"/>
          <w:numId w:val="42"/>
        </w:numPr>
        <w:tabs>
          <w:tab w:val="left" w:pos="993"/>
        </w:tabs>
        <w:spacing w:after="0" w:line="240" w:lineRule="auto"/>
        <w:ind w:left="0" w:firstLine="709"/>
        <w:jc w:val="both"/>
        <w:rPr>
          <w:rFonts w:ascii="Times New Roman" w:eastAsia="Calibri" w:hAnsi="Times New Roman"/>
          <w:color w:val="000000"/>
          <w:sz w:val="20"/>
        </w:rPr>
      </w:pPr>
      <w:r>
        <w:rPr>
          <w:rFonts w:ascii="Times New Roman" w:eastAsia="Calibri" w:hAnsi="Times New Roman"/>
          <w:color w:val="000000" w:themeColor="text1"/>
          <w:sz w:val="20"/>
        </w:rPr>
        <w:t>организация (природопользователь), отвечающая за соблюдение режима охраны объекта (адрес, телефон организации) – информацию об организации, которая отвечает за охрану памятника археологии (указание наименования, адреса и контактных данных);</w:t>
      </w:r>
    </w:p>
    <w:p w:rsidR="00517711" w:rsidRDefault="00F815BE">
      <w:pPr>
        <w:pStyle w:val="af4"/>
        <w:numPr>
          <w:ilvl w:val="0"/>
          <w:numId w:val="42"/>
        </w:numPr>
        <w:tabs>
          <w:tab w:val="left" w:pos="993"/>
        </w:tabs>
        <w:spacing w:after="0" w:line="240" w:lineRule="auto"/>
        <w:ind w:left="0" w:firstLine="709"/>
        <w:jc w:val="both"/>
        <w:rPr>
          <w:rFonts w:ascii="Times New Roman" w:eastAsia="Calibri" w:hAnsi="Times New Roman"/>
          <w:color w:val="000000"/>
          <w:sz w:val="20"/>
        </w:rPr>
      </w:pPr>
      <w:r>
        <w:rPr>
          <w:rFonts w:ascii="Times New Roman" w:eastAsia="Calibri" w:hAnsi="Times New Roman"/>
          <w:color w:val="000000" w:themeColor="text1"/>
          <w:sz w:val="20"/>
        </w:rPr>
        <w:t>документы о постановке на охрану – документы, которые содержат информацию о присуждении памятнику археологии федерального, регионального или местного значения (наименование документа, дата принятия (указывается в формате дд/мм/гг) и регистрационный номер).</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 xml:space="preserve">Данные критерии могут помочь при разработки новых туристских маршрутов. Они указывают, в какой период времени лучше всего посещать памятник археологии, кто отвечает за поддержание сохранности памятника, а также насколько сложным может стать маршрут из-за транспортной доступности. </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 xml:space="preserve">Представленные выше критерии дадут возможность сформировать реестр археологических ресурсов Приморского края, который будет отражать актуальную и достоверную информацию о том, что можно посетить в Приморье и что можно использовать при формировании новых туристских продуктов. </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 xml:space="preserve">При этом есть проблема, как представлять и доносить информацию до потенциальных пользователей реестра. Это можно сделать через возможность загрузки файла на компьютер и удаленного доступа к нему или через размещения на специализированном ресурсе в сети интернет в табличном виде. </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Для решения указанной проблемы необходимо провести анализ современных программ, которые способны поддерживать работу ресурса в онлайн и оффлайн доступе. Это откроет возможность использования дополнительных ресурсов при формировании реестра. Например, онлайн доступ позволит использовать для указания местоположения памятника археологии сервис «Яндекс.Карты». Одной из программ, которые могли бы организовать работу реестра в онлайн и оффлайн доступе Microsoft Access, которая позволяет реализовать создание связанных между собой документов [4].</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В заключение необходимо отметить, что формирование реестра археологических ресурсов внесет вклад в развитие внутреннего туризма Приморского края. Но его разработка связана с проблемами предоставления информации в открытых источниках, ее разрозненности и противоречивости. Нельзя забывать о возможностях, которые открывает его формирование, в числе которых сотрудничество различных специалистов, систематизация данных о памятниках археологии, предоставление информации туристским предприятиям, которая необходима при составлении новых маршрутов, а также информировании туристах о расположенных в Приморье памятниках археологии.</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__________________________</w:t>
      </w:r>
    </w:p>
    <w:p w:rsidR="00517711" w:rsidRDefault="00F815BE">
      <w:pPr>
        <w:pStyle w:val="af4"/>
        <w:numPr>
          <w:ilvl w:val="0"/>
          <w:numId w:val="43"/>
        </w:numPr>
        <w:spacing w:after="0" w:line="240" w:lineRule="auto"/>
        <w:ind w:left="0" w:firstLine="709"/>
        <w:jc w:val="both"/>
        <w:rPr>
          <w:rFonts w:ascii="Times New Roman" w:eastAsia="Calibri" w:hAnsi="Times New Roman"/>
          <w:color w:val="000000"/>
          <w:sz w:val="20"/>
        </w:rPr>
      </w:pPr>
      <w:r>
        <w:rPr>
          <w:rFonts w:ascii="Times New Roman" w:eastAsia="Calibri" w:hAnsi="Times New Roman"/>
          <w:color w:val="000000" w:themeColor="text1"/>
          <w:sz w:val="20"/>
        </w:rPr>
        <w:t xml:space="preserve">Архив культурного наследия [Электронный ресурс] // Архив культурного наследия. – Режим доступа: http://nasledie-archive.ru/index.html </w:t>
      </w:r>
    </w:p>
    <w:p w:rsidR="00517711" w:rsidRDefault="00F815BE">
      <w:pPr>
        <w:pStyle w:val="af4"/>
        <w:numPr>
          <w:ilvl w:val="0"/>
          <w:numId w:val="43"/>
        </w:numPr>
        <w:spacing w:after="0" w:line="240" w:lineRule="auto"/>
        <w:ind w:left="0" w:firstLine="709"/>
        <w:jc w:val="both"/>
        <w:rPr>
          <w:rFonts w:ascii="Times New Roman" w:eastAsia="Calibri" w:hAnsi="Times New Roman"/>
          <w:color w:val="000000"/>
          <w:sz w:val="20"/>
        </w:rPr>
      </w:pPr>
      <w:r>
        <w:rPr>
          <w:rFonts w:ascii="Times New Roman" w:eastAsia="Calibri" w:hAnsi="Times New Roman"/>
          <w:color w:val="000000" w:themeColor="text1"/>
          <w:sz w:val="20"/>
        </w:rPr>
        <w:t xml:space="preserve">Единый государственный реестр объектов культурного наследия [Электронный ресурс] // Портал открытых данных министерства культуры Российской Федерации. – Режим доступа: http://opendata.mkrf.ru/opendata/7705851331-egrkn </w:t>
      </w:r>
    </w:p>
    <w:p w:rsidR="00517711" w:rsidRDefault="00F815BE">
      <w:pPr>
        <w:pStyle w:val="af4"/>
        <w:numPr>
          <w:ilvl w:val="0"/>
          <w:numId w:val="43"/>
        </w:numPr>
        <w:spacing w:after="0" w:line="240" w:lineRule="auto"/>
        <w:ind w:left="0" w:firstLine="709"/>
        <w:jc w:val="both"/>
        <w:rPr>
          <w:rFonts w:ascii="Times New Roman" w:eastAsia="Calibri" w:hAnsi="Times New Roman"/>
          <w:color w:val="000000"/>
          <w:sz w:val="20"/>
        </w:rPr>
      </w:pPr>
      <w:r>
        <w:rPr>
          <w:rFonts w:ascii="Times New Roman" w:eastAsia="Calibri" w:hAnsi="Times New Roman"/>
          <w:color w:val="000000" w:themeColor="text1"/>
          <w:sz w:val="20"/>
        </w:rPr>
        <w:t>Реестр туристских ресурсов Приморского края [Электронный ресурс] // Туристско-информационный центр Приморского края. – Режим доступа: http://tour.primorsky.ru/turizm/turistskie_resursyi/reestr_turistskih_resursov_primorskogo_kraya</w:t>
      </w:r>
    </w:p>
    <w:p w:rsidR="00517711" w:rsidRDefault="00F815BE">
      <w:pPr>
        <w:pStyle w:val="af4"/>
        <w:numPr>
          <w:ilvl w:val="0"/>
          <w:numId w:val="43"/>
        </w:numPr>
        <w:spacing w:after="0" w:line="240" w:lineRule="auto"/>
        <w:ind w:left="0" w:firstLine="709"/>
        <w:jc w:val="both"/>
        <w:rPr>
          <w:rFonts w:ascii="Times New Roman" w:eastAsia="Calibri" w:hAnsi="Times New Roman"/>
          <w:color w:val="000000"/>
          <w:sz w:val="20"/>
        </w:rPr>
      </w:pPr>
      <w:r>
        <w:rPr>
          <w:rFonts w:ascii="Times New Roman" w:eastAsia="Calibri" w:hAnsi="Times New Roman"/>
          <w:color w:val="000000" w:themeColor="text1"/>
          <w:sz w:val="20"/>
        </w:rPr>
        <w:t>Среда выполнения Microsoft Access 2010 [Электронный ресурс] // Microsoft. – Режим доступа: https://www.microsoft.com/ru-ru/download/details.aspx?id=10910</w:t>
      </w:r>
    </w:p>
    <w:p w:rsidR="00517711" w:rsidRDefault="00F815BE">
      <w:pPr>
        <w:pStyle w:val="af4"/>
        <w:numPr>
          <w:ilvl w:val="0"/>
          <w:numId w:val="43"/>
        </w:numPr>
        <w:spacing w:after="0" w:line="240" w:lineRule="auto"/>
        <w:ind w:left="0" w:firstLine="709"/>
        <w:jc w:val="both"/>
        <w:rPr>
          <w:rFonts w:ascii="Times New Roman" w:eastAsia="Calibri" w:hAnsi="Times New Roman"/>
          <w:color w:val="000000"/>
          <w:sz w:val="20"/>
        </w:rPr>
      </w:pPr>
      <w:r>
        <w:rPr>
          <w:rFonts w:ascii="Times New Roman" w:eastAsia="Calibri" w:hAnsi="Times New Roman"/>
          <w:color w:val="000000" w:themeColor="text1"/>
          <w:sz w:val="20"/>
        </w:rPr>
        <w:t>Сун Юйбинь Бохайские древности из Приморского края России / Сун Юйбинь, А.Л.Ивлиев, Е.И. Гельман – Пекин: Вэньу, 2013. – 278 с.</w:t>
      </w:r>
    </w:p>
    <w:p w:rsidR="00517711" w:rsidRDefault="00F815BE">
      <w:pPr>
        <w:numPr>
          <w:ilvl w:val="0"/>
          <w:numId w:val="43"/>
        </w:numPr>
        <w:spacing w:after="0" w:line="240" w:lineRule="auto"/>
        <w:ind w:left="0" w:firstLine="709"/>
        <w:jc w:val="both"/>
        <w:rPr>
          <w:rFonts w:ascii="Times New Roman" w:hAnsi="Times New Roman"/>
          <w:color w:val="000000"/>
          <w:sz w:val="20"/>
        </w:rPr>
      </w:pPr>
      <w:r>
        <w:rPr>
          <w:rFonts w:ascii="Times New Roman" w:hAnsi="Times New Roman"/>
          <w:color w:val="000000" w:themeColor="text1"/>
          <w:sz w:val="20"/>
        </w:rPr>
        <w:t>Сун Юйбинь Древности чжурчжэней из Приморского края России / Сун Юйбинь, Н.Г. Артемьева – Пекин: Вэньу, 2013. – 258 с.</w:t>
      </w: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Туристско-рекреационный комплекс Дальнего Востока как перспективная модель развития территории</w:t>
      </w:r>
    </w:p>
    <w:p w:rsidR="00517711" w:rsidRDefault="00F815BE">
      <w:pPr>
        <w:spacing w:after="0" w:line="240" w:lineRule="auto"/>
        <w:rPr>
          <w:rFonts w:ascii="Times New Roman" w:hAnsi="Times New Roman"/>
          <w:sz w:val="20"/>
          <w:szCs w:val="24"/>
        </w:rPr>
      </w:pPr>
      <w:r>
        <w:rPr>
          <w:rFonts w:ascii="Times New Roman" w:hAnsi="Times New Roman"/>
          <w:sz w:val="20"/>
          <w:szCs w:val="24"/>
        </w:rPr>
        <w:t xml:space="preserve">УДК: 379.85 </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lastRenderedPageBreak/>
        <w:t>Методологические аспекты исследования трудового потенциала сферы туризма и гостеприимства (на примере г.Владивосток)</w:t>
      </w:r>
    </w:p>
    <w:p w:rsidR="00517711" w:rsidRDefault="00F815BE">
      <w:pPr>
        <w:spacing w:after="0" w:line="240" w:lineRule="auto"/>
        <w:jc w:val="center"/>
        <w:rPr>
          <w:rFonts w:ascii="Arial" w:eastAsia="Calibri" w:hAnsi="Arial"/>
          <w:b/>
          <w:bCs/>
          <w:sz w:val="24"/>
          <w:szCs w:val="20"/>
          <w:lang w:eastAsia="ru-RU"/>
        </w:rPr>
      </w:pPr>
      <w:r>
        <w:rPr>
          <w:rFonts w:ascii="Arial" w:eastAsia="Calibri" w:hAnsi="Arial"/>
          <w:b/>
          <w:bCs/>
          <w:sz w:val="24"/>
          <w:szCs w:val="20"/>
          <w:lang w:eastAsia="ru-RU"/>
        </w:rPr>
        <w:t>Драчева Александра Алексеевна,</w:t>
      </w:r>
    </w:p>
    <w:p w:rsidR="00517711" w:rsidRDefault="00F815BE">
      <w:pPr>
        <w:spacing w:line="240" w:lineRule="auto"/>
        <w:jc w:val="center"/>
        <w:rPr>
          <w:rFonts w:ascii="Arial" w:eastAsia="Calibri" w:hAnsi="Arial"/>
          <w:bCs/>
          <w:sz w:val="24"/>
          <w:szCs w:val="20"/>
          <w:lang w:eastAsia="ru-RU"/>
        </w:rPr>
      </w:pPr>
      <w:r>
        <w:rPr>
          <w:rFonts w:ascii="Arial" w:eastAsia="Calibri" w:hAnsi="Arial"/>
          <w:bCs/>
          <w:sz w:val="24"/>
          <w:szCs w:val="20"/>
          <w:lang w:eastAsia="ru-RU"/>
        </w:rPr>
        <w:t>Бакалавр</w:t>
      </w:r>
    </w:p>
    <w:p w:rsidR="00517711" w:rsidRDefault="00F815BE">
      <w:pPr>
        <w:spacing w:after="0" w:line="240" w:lineRule="auto"/>
        <w:jc w:val="center"/>
        <w:rPr>
          <w:rFonts w:ascii="Arial" w:eastAsia="Calibri" w:hAnsi="Arial"/>
          <w:b/>
          <w:bCs/>
          <w:sz w:val="24"/>
          <w:szCs w:val="20"/>
          <w:lang w:eastAsia="ru-RU"/>
        </w:rPr>
      </w:pPr>
      <w:r>
        <w:rPr>
          <w:rFonts w:ascii="Arial" w:eastAsia="Calibri" w:hAnsi="Arial"/>
          <w:b/>
          <w:bCs/>
          <w:sz w:val="24"/>
          <w:szCs w:val="20"/>
          <w:lang w:eastAsia="ru-RU"/>
        </w:rPr>
        <w:t>Поветкина Анастасия Александровна</w:t>
      </w:r>
    </w:p>
    <w:p w:rsidR="00517711" w:rsidRDefault="00F815BE">
      <w:pPr>
        <w:spacing w:line="240" w:lineRule="auto"/>
        <w:jc w:val="center"/>
        <w:rPr>
          <w:rFonts w:ascii="Arial" w:eastAsia="Calibri" w:hAnsi="Arial"/>
          <w:bCs/>
          <w:sz w:val="24"/>
          <w:szCs w:val="20"/>
          <w:lang w:eastAsia="ru-RU"/>
        </w:rPr>
      </w:pPr>
      <w:r>
        <w:rPr>
          <w:rFonts w:ascii="Arial" w:eastAsia="Calibri" w:hAnsi="Arial"/>
          <w:bCs/>
          <w:sz w:val="24"/>
          <w:szCs w:val="20"/>
          <w:lang w:eastAsia="ru-RU"/>
        </w:rPr>
        <w:t>Магистрант</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spacing w:after="0" w:line="240" w:lineRule="auto"/>
        <w:jc w:val="center"/>
        <w:rPr>
          <w:rFonts w:ascii="Times New Roman" w:hAnsi="Times New Roman"/>
          <w:sz w:val="20"/>
          <w:szCs w:val="24"/>
        </w:rPr>
      </w:pPr>
      <w:r>
        <w:rPr>
          <w:rFonts w:ascii="Times New Roman" w:hAnsi="Times New Roman"/>
          <w:sz w:val="20"/>
          <w:szCs w:val="24"/>
          <w:lang w:val="en-US"/>
        </w:rPr>
        <w:t>E</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 xml:space="preserve">: </w:t>
      </w:r>
      <w:r>
        <w:rPr>
          <w:rFonts w:ascii="Times New Roman" w:hAnsi="Times New Roman"/>
          <w:sz w:val="20"/>
          <w:szCs w:val="24"/>
          <w:lang w:val="en-US"/>
        </w:rPr>
        <w:t>aleksandra</w:t>
      </w:r>
      <w:r>
        <w:rPr>
          <w:rFonts w:ascii="Times New Roman" w:hAnsi="Times New Roman"/>
          <w:sz w:val="20"/>
          <w:szCs w:val="24"/>
        </w:rPr>
        <w:t>.</w:t>
      </w:r>
      <w:r>
        <w:rPr>
          <w:rFonts w:ascii="Times New Roman" w:hAnsi="Times New Roman"/>
          <w:sz w:val="20"/>
          <w:szCs w:val="24"/>
          <w:lang w:val="en-US"/>
        </w:rPr>
        <w:t>dracheva</w:t>
      </w:r>
      <w:r>
        <w:rPr>
          <w:rFonts w:ascii="Times New Roman" w:hAnsi="Times New Roman"/>
          <w:sz w:val="20"/>
          <w:szCs w:val="24"/>
        </w:rPr>
        <w:t>1997@</w:t>
      </w:r>
      <w:r>
        <w:rPr>
          <w:rFonts w:ascii="Times New Roman" w:hAnsi="Times New Roman"/>
          <w:sz w:val="20"/>
          <w:szCs w:val="24"/>
          <w:lang w:val="en-US"/>
        </w:rPr>
        <w:t>gmail</w:t>
      </w:r>
      <w:r>
        <w:rPr>
          <w:rFonts w:ascii="Times New Roman" w:hAnsi="Times New Roman"/>
          <w:sz w:val="20"/>
          <w:szCs w:val="24"/>
        </w:rPr>
        <w:t>.</w:t>
      </w:r>
      <w:r>
        <w:rPr>
          <w:rFonts w:ascii="Times New Roman" w:hAnsi="Times New Roman"/>
          <w:sz w:val="20"/>
          <w:szCs w:val="24"/>
          <w:lang w:val="en-US"/>
        </w:rPr>
        <w:t>com</w:t>
      </w:r>
      <w:r>
        <w:rPr>
          <w:rFonts w:ascii="Times New Roman" w:hAnsi="Times New Roman"/>
          <w:sz w:val="20"/>
          <w:szCs w:val="24"/>
        </w:rPr>
        <w:t>; тел. : +79143400528</w:t>
      </w:r>
    </w:p>
    <w:p w:rsidR="00517711" w:rsidRDefault="00F815BE">
      <w:pPr>
        <w:spacing w:line="240" w:lineRule="auto"/>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F815BE">
      <w:pPr>
        <w:spacing w:after="0" w:line="240" w:lineRule="auto"/>
        <w:jc w:val="both"/>
        <w:rPr>
          <w:rFonts w:ascii="Times New Roman" w:hAnsi="Times New Roman"/>
          <w:i/>
          <w:szCs w:val="24"/>
        </w:rPr>
      </w:pPr>
      <w:r>
        <w:rPr>
          <w:rFonts w:ascii="Times New Roman" w:hAnsi="Times New Roman"/>
          <w:i/>
          <w:sz w:val="24"/>
          <w:szCs w:val="24"/>
        </w:rPr>
        <w:tab/>
      </w:r>
      <w:r>
        <w:rPr>
          <w:rFonts w:ascii="Times New Roman" w:hAnsi="Times New Roman"/>
          <w:i/>
          <w:szCs w:val="24"/>
        </w:rPr>
        <w:t xml:space="preserve">Особенностью современного социально-экономического развития является изучение условий развития региональной экономики, входящих в число актуальных проблем формирования методологии оценки экономического потенциала региона. К наиболее важным составляющим экономического потенциала региона относится его трудовой потенциал. Методы развития и анализа трудового потенциала являются прямыми путями повышения уровня трудового потенциала города и края.  </w:t>
      </w:r>
    </w:p>
    <w:p w:rsidR="00517711" w:rsidRDefault="00F815BE">
      <w:pPr>
        <w:spacing w:line="240" w:lineRule="auto"/>
        <w:jc w:val="both"/>
        <w:rPr>
          <w:rFonts w:ascii="Times New Roman" w:hAnsi="Times New Roman"/>
          <w:i/>
          <w:szCs w:val="24"/>
        </w:rPr>
      </w:pPr>
      <w:r>
        <w:rPr>
          <w:rFonts w:ascii="Times New Roman" w:hAnsi="Times New Roman"/>
          <w:i/>
          <w:szCs w:val="24"/>
        </w:rPr>
        <w:tab/>
      </w:r>
      <w:r>
        <w:rPr>
          <w:rFonts w:ascii="Times New Roman" w:hAnsi="Times New Roman"/>
          <w:b/>
          <w:i/>
          <w:szCs w:val="24"/>
        </w:rPr>
        <w:t xml:space="preserve">Ключевые слова и словосочетания: </w:t>
      </w:r>
      <w:r>
        <w:rPr>
          <w:rFonts w:ascii="Times New Roman" w:hAnsi="Times New Roman"/>
          <w:i/>
          <w:szCs w:val="24"/>
        </w:rPr>
        <w:t>трудовой потенциал, сфера туризма и гостеприимства, методы повышения трудового потенциала, Россия, Дальний Восток России.</w:t>
      </w:r>
    </w:p>
    <w:p w:rsidR="00517711" w:rsidRDefault="00F815BE">
      <w:pPr>
        <w:keepNext/>
        <w:spacing w:before="240" w:after="240" w:line="240" w:lineRule="auto"/>
        <w:jc w:val="center"/>
        <w:outlineLvl w:val="0"/>
        <w:rPr>
          <w:rFonts w:ascii="Book Antiqua" w:hAnsi="Book Antiqua"/>
          <w:b/>
          <w:bCs/>
          <w:caps/>
          <w:sz w:val="26"/>
          <w:szCs w:val="26"/>
          <w:lang w:val="en-US"/>
        </w:rPr>
      </w:pPr>
      <w:r>
        <w:rPr>
          <w:rFonts w:ascii="Book Antiqua" w:hAnsi="Book Antiqua"/>
          <w:b/>
          <w:bCs/>
          <w:caps/>
          <w:sz w:val="26"/>
          <w:szCs w:val="26"/>
          <w:lang w:val="en-US"/>
        </w:rPr>
        <w:t>Methodological aspects of researching the employees’ potential engaged in the tourism and hospitality sphere (on example of Vladivostok)</w:t>
      </w:r>
    </w:p>
    <w:p w:rsidR="00517711" w:rsidRDefault="00F815BE">
      <w:pPr>
        <w:spacing w:after="0"/>
        <w:jc w:val="both"/>
        <w:rPr>
          <w:rFonts w:ascii="Times New Roman" w:hAnsi="Times New Roman"/>
          <w:i/>
          <w:szCs w:val="24"/>
          <w:lang w:val="en-US"/>
        </w:rPr>
      </w:pPr>
      <w:r>
        <w:rPr>
          <w:rFonts w:ascii="Times New Roman" w:hAnsi="Times New Roman"/>
          <w:i/>
          <w:sz w:val="24"/>
          <w:szCs w:val="24"/>
          <w:lang w:val="en-US"/>
        </w:rPr>
        <w:tab/>
      </w:r>
      <w:r>
        <w:rPr>
          <w:rFonts w:ascii="Times New Roman" w:hAnsi="Times New Roman"/>
          <w:i/>
          <w:szCs w:val="24"/>
          <w:lang w:val="en-US"/>
        </w:rPr>
        <w:t>The peculiarity of modern socio-economic development is the study of the conditions for the development of the economy, which are among the topical problems of the formation of a methodology for assessing the economic potential of the region. The most important components of the region's economic potential are its labor potential of the city and region indeed.</w:t>
      </w:r>
    </w:p>
    <w:p w:rsidR="00517711" w:rsidRDefault="00F815BE">
      <w:pPr>
        <w:spacing w:after="0"/>
        <w:ind w:firstLine="708"/>
        <w:jc w:val="both"/>
        <w:rPr>
          <w:rFonts w:ascii="Times New Roman" w:hAnsi="Times New Roman"/>
          <w:i/>
          <w:szCs w:val="24"/>
          <w:lang w:val="en-US"/>
        </w:rPr>
      </w:pPr>
      <w:r>
        <w:rPr>
          <w:rFonts w:ascii="Times New Roman" w:hAnsi="Times New Roman"/>
          <w:b/>
          <w:i/>
          <w:szCs w:val="24"/>
          <w:lang w:val="en-US"/>
        </w:rPr>
        <w:t xml:space="preserve">Keywords: </w:t>
      </w:r>
      <w:r>
        <w:rPr>
          <w:rFonts w:ascii="Times New Roman" w:hAnsi="Times New Roman"/>
          <w:i/>
          <w:szCs w:val="24"/>
          <w:lang w:val="en-US"/>
        </w:rPr>
        <w:t xml:space="preserve">labor potential, sphere of tourism and hospitality, methods of increasing labor potential, </w:t>
      </w:r>
      <w:r>
        <w:rPr>
          <w:rFonts w:ascii="Times New Roman" w:eastAsia="Calibri" w:hAnsi="Times New Roman"/>
          <w:i/>
          <w:szCs w:val="24"/>
          <w:lang w:val="en-US" w:eastAsia="zh-CN"/>
        </w:rPr>
        <w:t>Russia, Russian Far East</w:t>
      </w:r>
      <w:r>
        <w:rPr>
          <w:rFonts w:ascii="Times New Roman" w:hAnsi="Times New Roman"/>
          <w:i/>
          <w:szCs w:val="24"/>
          <w:lang w:val="en-US"/>
        </w:rPr>
        <w:t>.</w:t>
      </w:r>
    </w:p>
    <w:p w:rsidR="00517711" w:rsidRDefault="00517711">
      <w:pPr>
        <w:spacing w:after="0"/>
        <w:ind w:firstLine="708"/>
        <w:jc w:val="both"/>
        <w:rPr>
          <w:rFonts w:ascii="Times New Roman" w:hAnsi="Times New Roman"/>
          <w:i/>
          <w:sz w:val="20"/>
          <w:szCs w:val="24"/>
          <w:lang w:val="en-US"/>
        </w:rPr>
      </w:pP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 Приморском крае система подготовки профессиональных кадров туристᴄкοй отрасли направлена в основном на подготовку менеджеров и турагентов для туристских организаций. Выпускники специальностей, связанных с туризмом, только окончившие учебные заведения часто сталкиваются с проблемами трудоустройства. Факторы могут быть как субъективными, например, отсутствие практического опыта работы на производстве, отсутствие необходимой квалификации, низкая оплата труда, так и объективными: условия найма на туристском рынке, не востребованность самой профессии, политическая ситуация и тому подобное [1]</w:t>
      </w:r>
      <w:r>
        <w:rPr>
          <w:rFonts w:ascii="Times New Roman" w:hAnsi="Times New Roman"/>
          <w:sz w:val="20"/>
          <w:szCs w:val="20"/>
        </w:rPr>
        <w:fldChar w:fldCharType="begin"/>
      </w:r>
      <w:r>
        <w:rPr>
          <w:rFonts w:ascii="Times New Roman" w:hAnsi="Times New Roman"/>
          <w:sz w:val="20"/>
          <w:szCs w:val="20"/>
        </w:rPr>
        <w:instrText xml:space="preserve"> REF Дивак_Анализ_кадрового_потенциала \h  \* MERGEFORMAT </w:instrText>
      </w:r>
      <w:r>
        <w:rPr>
          <w:rFonts w:ascii="Times New Roman" w:hAnsi="Times New Roman"/>
          <w:sz w:val="20"/>
          <w:szCs w:val="20"/>
        </w:rPr>
      </w:r>
      <w:r>
        <w:rPr>
          <w:rFonts w:ascii="Times New Roman" w:hAnsi="Times New Roman"/>
          <w:sz w:val="20"/>
          <w:szCs w:val="20"/>
        </w:rPr>
        <w:fldChar w:fldCharType="end"/>
      </w:r>
      <w:r>
        <w:rPr>
          <w:rFonts w:ascii="Times New Roman" w:hAnsi="Times New Roman"/>
          <w:sz w:val="20"/>
          <w:szCs w:val="20"/>
        </w:rPr>
        <w:fldChar w:fldCharType="begin"/>
      </w:r>
      <w:r>
        <w:rPr>
          <w:rFonts w:ascii="Times New Roman" w:hAnsi="Times New Roman"/>
          <w:sz w:val="20"/>
          <w:szCs w:val="20"/>
        </w:rPr>
        <w:instrText xml:space="preserve"> REF Дивак_Анализ_кадрового_потенциала \h  \* MERGEFORMAT </w:instrText>
      </w:r>
      <w:r>
        <w:rPr>
          <w:rFonts w:ascii="Times New Roman" w:hAnsi="Times New Roman"/>
          <w:sz w:val="20"/>
          <w:szCs w:val="20"/>
        </w:rPr>
      </w:r>
      <w:r>
        <w:rPr>
          <w:rFonts w:ascii="Times New Roman" w:hAnsi="Times New Roman"/>
          <w:sz w:val="20"/>
          <w:szCs w:val="20"/>
        </w:rPr>
        <w:fldChar w:fldCharType="end"/>
      </w:r>
      <w:r>
        <w:rPr>
          <w:rFonts w:ascii="Times New Roman" w:hAnsi="Times New Roman"/>
          <w:sz w:val="20"/>
          <w:szCs w:val="20"/>
        </w:rPr>
        <w:t xml:space="preserve">. Соответственно, конкуренция на место менеджера довольно высока. Иногда выпускникам предоставляется возможность трудоустроиться по месту практики или по знакомству, но в основном массе молодым специалистам приходится заниматься поиском самостоятельно, и проще найти работу тем, кто имеет какое-либо дополнительное образование: переводчик, экскурсовод и др. </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Не меньшего внимания стоит проблема не только подготовки квалифицированных кадров, но и мониторинга уже занятых в этой сфере долгие годы сотрудников, проверки профильности и уровня их образования, так как в общей массе именно они на данный момент составляют валовую долю трудового потенциала туристской отрасли Приморского края. Данная категория сотрудников согласно проведенному исследованию могут иметь разный профиль и уровень образования, что может повлечь за собой не только ухудшение качества и профессиональности оказываемых услуг в туризме, но и обесценивание важности образования для данной сферы профессиональной деятельности.</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Учитывая, что развитие туриндустрии Приморского края стоит в приоритете государственной политики, в подготовке будущих специалистов, а так же в переподготовке уже существующих кадров, следует сделать упор на специальности, которые востребованы в связи с экономической ситуацией на рынке. Сейчас следует уделить повышенное внимание подготовке не столько менеджеров, сколько кадров смежных отраслей. В сфере гостеприимства это, например, персонал среднего звена, в сфере внутреннего и въездного туризма – краеведы, экскурсоводы, инструкторы-проводники.</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lastRenderedPageBreak/>
        <w:t xml:space="preserve">Недооценка роли профессиональности персонала в качестве услуг, предоставляемых в сфере туризма и гостеприимства, а так же занижение важности профильного образования в работе турфирм и турагентств является актуальностью поставленной проблемы. </w:t>
      </w:r>
    </w:p>
    <w:p w:rsidR="00517711" w:rsidRDefault="00F815BE">
      <w:pPr>
        <w:spacing w:after="0" w:line="240" w:lineRule="auto"/>
        <w:ind w:firstLine="708"/>
        <w:jc w:val="both"/>
        <w:rPr>
          <w:rFonts w:ascii="Times New Roman" w:hAnsi="Times New Roman"/>
          <w:sz w:val="20"/>
          <w:szCs w:val="20"/>
        </w:rPr>
      </w:pPr>
      <w:r>
        <w:rPr>
          <w:rFonts w:ascii="Times New Roman" w:hAnsi="Times New Roman"/>
          <w:sz w:val="20"/>
          <w:szCs w:val="20"/>
        </w:rPr>
        <w:t>Цель исследования заключается в разработке рекомендаций по внедрению программ дополнительного образования, для работников сферы туризма, и поиску путей повышения трудового потенциала в данной сфере услуг. Достижение поставленной цели требует решения следующих задач:</w:t>
      </w:r>
    </w:p>
    <w:p w:rsidR="00517711" w:rsidRDefault="00F815BE">
      <w:pPr>
        <w:pStyle w:val="af4"/>
        <w:numPr>
          <w:ilvl w:val="0"/>
          <w:numId w:val="44"/>
        </w:numPr>
        <w:spacing w:after="0" w:line="240" w:lineRule="auto"/>
        <w:jc w:val="both"/>
        <w:rPr>
          <w:sz w:val="20"/>
          <w:szCs w:val="20"/>
        </w:rPr>
      </w:pPr>
      <w:r>
        <w:rPr>
          <w:sz w:val="20"/>
          <w:szCs w:val="20"/>
        </w:rPr>
        <w:t>исследовать профильность образования сотрудников сферы туризма г. Владивосток;</w:t>
      </w:r>
    </w:p>
    <w:p w:rsidR="00517711" w:rsidRDefault="00F815BE">
      <w:pPr>
        <w:pStyle w:val="af4"/>
        <w:numPr>
          <w:ilvl w:val="0"/>
          <w:numId w:val="44"/>
        </w:numPr>
        <w:spacing w:after="0" w:line="240" w:lineRule="auto"/>
        <w:jc w:val="both"/>
        <w:rPr>
          <w:sz w:val="20"/>
          <w:szCs w:val="20"/>
        </w:rPr>
      </w:pPr>
      <w:r>
        <w:rPr>
          <w:sz w:val="20"/>
          <w:szCs w:val="20"/>
        </w:rPr>
        <w:t>выявить пути повышения трудового потенциала сферы туризма на уровне г. Владивосток.</w:t>
      </w:r>
    </w:p>
    <w:p w:rsidR="00517711" w:rsidRDefault="00F815BE">
      <w:pPr>
        <w:spacing w:after="0" w:line="240" w:lineRule="auto"/>
        <w:ind w:firstLine="567"/>
        <w:jc w:val="both"/>
        <w:rPr>
          <w:rFonts w:ascii="Times New Roman" w:hAnsi="Times New Roman"/>
          <w:sz w:val="20"/>
          <w:szCs w:val="20"/>
        </w:rPr>
      </w:pPr>
      <w:r>
        <w:rPr>
          <w:rFonts w:ascii="Times New Roman" w:hAnsi="Times New Roman"/>
          <w:sz w:val="20"/>
          <w:szCs w:val="20"/>
        </w:rPr>
        <w:t>Новизна исследования заключается в том, что выпуск кадров сферы туризма и гостеприимства достаточно велик, но по разным причинам, таким как незаинтересованность, конкуренция и т.д., подготовленные специалисты не работают в этой сфере (рис.1). Основной процент трудового потенциала данной отрасли составляют люди, не имеющие профильного образования в туризме – экономисты, юристы [2].</w:t>
      </w:r>
    </w:p>
    <w:p w:rsidR="00517711" w:rsidRDefault="00F815BE">
      <w:pPr>
        <w:spacing w:after="0" w:line="240" w:lineRule="auto"/>
        <w:ind w:firstLine="567"/>
        <w:jc w:val="center"/>
        <w:rPr>
          <w:rFonts w:ascii="Times New Roman" w:hAnsi="Times New Roman"/>
          <w:sz w:val="20"/>
          <w:szCs w:val="20"/>
        </w:rPr>
      </w:pPr>
      <w:r>
        <w:rPr>
          <w:rFonts w:ascii="Times New Roman" w:hAnsi="Times New Roman"/>
          <w:noProof/>
          <w:sz w:val="20"/>
          <w:szCs w:val="20"/>
          <w:lang w:eastAsia="ru-RU"/>
        </w:rPr>
        <w:drawing>
          <wp:inline distT="0" distB="0" distL="0" distR="0">
            <wp:extent cx="5257800" cy="2733673"/>
            <wp:effectExtent l="0" t="0" r="0" b="0"/>
            <wp:docPr id="9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Рисунок 1"/>
                    <pic:cNvPicPr>
                      <a:picLocks noChangeAspect="1"/>
                    </pic:cNvPicPr>
                  </pic:nvPicPr>
                  <pic:blipFill>
                    <a:blip r:embed="rId159"/>
                    <a:stretch/>
                  </pic:blipFill>
                  <pic:spPr bwMode="auto">
                    <a:xfrm>
                      <a:off x="0" y="0"/>
                      <a:ext cx="5257800" cy="2733675"/>
                    </a:xfrm>
                    <a:prstGeom prst="rect">
                      <a:avLst/>
                    </a:prstGeom>
                    <a:noFill/>
                    <a:ln>
                      <a:noFill/>
                    </a:ln>
                  </pic:spPr>
                </pic:pic>
              </a:graphicData>
            </a:graphic>
          </wp:inline>
        </w:drawing>
      </w:r>
    </w:p>
    <w:p w:rsidR="00517711" w:rsidRDefault="00F815BE">
      <w:pPr>
        <w:spacing w:after="0" w:line="240" w:lineRule="auto"/>
        <w:ind w:firstLine="397"/>
        <w:jc w:val="center"/>
        <w:rPr>
          <w:rFonts w:ascii="Times New Roman" w:hAnsi="Times New Roman"/>
          <w:sz w:val="20"/>
          <w:szCs w:val="20"/>
          <w:lang w:eastAsia="ru-RU"/>
        </w:rPr>
      </w:pPr>
      <w:r>
        <w:rPr>
          <w:rFonts w:ascii="Times New Roman" w:hAnsi="Times New Roman"/>
          <w:sz w:val="20"/>
          <w:szCs w:val="20"/>
          <w:lang w:eastAsia="ru-RU"/>
        </w:rPr>
        <w:t>Рис.1. Спектр профилей образования работников сферы туризма г. Владивосток</w:t>
      </w:r>
    </w:p>
    <w:p w:rsidR="00517711" w:rsidRDefault="00517711">
      <w:pPr>
        <w:spacing w:after="0" w:line="240" w:lineRule="auto"/>
        <w:ind w:firstLine="397"/>
        <w:jc w:val="center"/>
        <w:rPr>
          <w:rFonts w:ascii="Times New Roman" w:hAnsi="Times New Roman"/>
          <w:sz w:val="20"/>
          <w:szCs w:val="20"/>
          <w:lang w:eastAsia="ru-RU"/>
        </w:rPr>
      </w:pPr>
    </w:p>
    <w:p w:rsidR="00517711" w:rsidRDefault="00F815BE">
      <w:pPr>
        <w:spacing w:after="0" w:line="240" w:lineRule="auto"/>
        <w:ind w:firstLine="567"/>
        <w:jc w:val="both"/>
        <w:rPr>
          <w:rFonts w:ascii="Times New Roman" w:hAnsi="Times New Roman"/>
          <w:sz w:val="20"/>
          <w:szCs w:val="20"/>
        </w:rPr>
      </w:pPr>
      <w:r>
        <w:rPr>
          <w:rFonts w:ascii="Times New Roman" w:hAnsi="Times New Roman"/>
          <w:sz w:val="20"/>
          <w:szCs w:val="20"/>
        </w:rPr>
        <w:t xml:space="preserve">Из этого следуют основные проблемы туристского рынка в Приморском крае: не высокое качество обслуживания туристов. Страдает уровень туризма и гостеприимства – именно в области стандартов оказания услуг. </w:t>
      </w:r>
    </w:p>
    <w:p w:rsidR="00517711" w:rsidRDefault="00F815BE">
      <w:pPr>
        <w:spacing w:after="0" w:line="240" w:lineRule="auto"/>
        <w:ind w:firstLine="567"/>
        <w:jc w:val="both"/>
        <w:rPr>
          <w:rFonts w:ascii="Times New Roman" w:hAnsi="Times New Roman"/>
          <w:sz w:val="20"/>
          <w:szCs w:val="20"/>
        </w:rPr>
      </w:pPr>
      <w:r>
        <w:rPr>
          <w:rFonts w:ascii="Times New Roman" w:hAnsi="Times New Roman"/>
          <w:sz w:val="20"/>
          <w:szCs w:val="20"/>
        </w:rPr>
        <w:t>Методологической основой проведенного исследования является системный и логический подходы в развитии трудового потенциала и способах его повышения. При решении конкретных задач в работе использовались следующие методы исследования: опрос (анкетирование и интервьюирование), наблюдение, классификация, группировка, сравнительный анализ. Документальной основой являются нормативно-правовые акты туристской деятельности предприятий в РФ.</w:t>
      </w:r>
    </w:p>
    <w:p w:rsidR="00517711" w:rsidRDefault="00F815BE">
      <w:pPr>
        <w:spacing w:after="0" w:line="240" w:lineRule="auto"/>
        <w:ind w:firstLine="567"/>
        <w:jc w:val="both"/>
        <w:rPr>
          <w:rFonts w:ascii="Times New Roman" w:hAnsi="Times New Roman"/>
          <w:sz w:val="20"/>
          <w:szCs w:val="20"/>
        </w:rPr>
      </w:pPr>
      <w:r>
        <w:rPr>
          <w:rFonts w:ascii="Times New Roman" w:hAnsi="Times New Roman"/>
          <w:sz w:val="20"/>
          <w:szCs w:val="20"/>
        </w:rPr>
        <w:t xml:space="preserve">В рамках исследования был проведен опрос, в котором участвовало 100 человек из турфирм г. Владивосток с занимающей должностью менеджера. Процент опрошенных имеющих профильное образование подходящее занимаемой должности составили 31%. Остальные являются представителями различных профессий: экономисты, юристы, лингвистика и т.д. (рис.1). Данный опрос доказывает, что актуальность введения программ дополнительного образования имеет место быть в данной сфере услуг. </w:t>
      </w:r>
    </w:p>
    <w:p w:rsidR="00517711" w:rsidRDefault="00F815BE">
      <w:pPr>
        <w:spacing w:after="0" w:line="240" w:lineRule="auto"/>
        <w:ind w:firstLine="567"/>
        <w:jc w:val="both"/>
        <w:rPr>
          <w:rFonts w:ascii="Times New Roman" w:hAnsi="Times New Roman"/>
          <w:sz w:val="20"/>
          <w:szCs w:val="20"/>
        </w:rPr>
      </w:pPr>
      <w:r>
        <w:rPr>
          <w:rFonts w:ascii="Times New Roman" w:hAnsi="Times New Roman"/>
          <w:sz w:val="20"/>
          <w:szCs w:val="20"/>
        </w:rPr>
        <w:t xml:space="preserve">Как нами было отмечено ранее, выпуск кадров с профильным образованием в туризме велик. За два года (с 2016 по 2017 год) на Кафедре туризма и экологии ВГУЭС  было выпущено более 100 студентов с профильным образованием в туризме. Однако, по итогам проведенного нами мониторинга уровня трудоустройства выпускников можно отметить следующие показатели. В опросе приняли участие 106 выпускников (таблица 1). Опрошенные, окончившие университет в 2016 году, успешно трудоустроившиеся, составляют 63%, из них только 37% работают по специальности связанной со сферой туризма. В 2017 году количество трудоустроенных выпускников 50% Из них 19 % это работающие по специальности. Данные показательны для нашего исследования, т.к. за два года выпускники лишь на половину смогли устроиться на работу, и еще меньший процент составляют рабочие по специальности. Смягчающим фактором можно считать короткий промежуток времени для поиска работы, а так же то, что половина выпускников продолжили обучение в магистратуре, ушли в армию, находятся в поиске работы. </w:t>
      </w:r>
    </w:p>
    <w:p w:rsidR="00517711" w:rsidRDefault="00517711">
      <w:pPr>
        <w:spacing w:after="0" w:line="240" w:lineRule="auto"/>
        <w:ind w:firstLine="567"/>
        <w:jc w:val="both"/>
        <w:rPr>
          <w:rFonts w:ascii="Times New Roman" w:hAnsi="Times New Roman"/>
          <w:sz w:val="20"/>
          <w:szCs w:val="20"/>
        </w:rPr>
      </w:pPr>
    </w:p>
    <w:p w:rsidR="00517711" w:rsidRDefault="00F815BE">
      <w:pPr>
        <w:spacing w:line="240" w:lineRule="auto"/>
        <w:jc w:val="center"/>
        <w:rPr>
          <w:rFonts w:ascii="Times New Roman" w:hAnsi="Times New Roman"/>
          <w:sz w:val="20"/>
          <w:szCs w:val="20"/>
        </w:rPr>
      </w:pPr>
      <w:r>
        <w:rPr>
          <w:rFonts w:ascii="Times New Roman" w:hAnsi="Times New Roman"/>
          <w:i/>
          <w:sz w:val="20"/>
          <w:szCs w:val="20"/>
        </w:rPr>
        <w:t>Таблица 1</w:t>
      </w:r>
      <w:r>
        <w:rPr>
          <w:rFonts w:ascii="Times New Roman" w:hAnsi="Times New Roman"/>
          <w:sz w:val="20"/>
          <w:szCs w:val="20"/>
        </w:rPr>
        <w:t xml:space="preserve"> - Мониторинг выпускников 2016-2017 г.</w:t>
      </w:r>
    </w:p>
    <w:tbl>
      <w:tblPr>
        <w:tblStyle w:val="af1"/>
        <w:tblW w:w="0" w:type="auto"/>
        <w:tblInd w:w="108" w:type="dxa"/>
        <w:tblLayout w:type="fixed"/>
        <w:tblLook w:val="04A0" w:firstRow="1" w:lastRow="0" w:firstColumn="1" w:lastColumn="0" w:noHBand="0" w:noVBand="1"/>
      </w:tblPr>
      <w:tblGrid>
        <w:gridCol w:w="861"/>
        <w:gridCol w:w="1496"/>
        <w:gridCol w:w="1474"/>
        <w:gridCol w:w="1659"/>
        <w:gridCol w:w="1314"/>
        <w:gridCol w:w="1134"/>
        <w:gridCol w:w="1701"/>
      </w:tblGrid>
      <w:tr w:rsidR="00517711">
        <w:trPr>
          <w:trHeight w:val="288"/>
        </w:trPr>
        <w:tc>
          <w:tcPr>
            <w:tcW w:w="861" w:type="dxa"/>
            <w:vMerge w:val="restart"/>
            <w:noWrap/>
          </w:tcPr>
          <w:p w:rsidR="00517711" w:rsidRDefault="00F815BE">
            <w:pPr>
              <w:pStyle w:val="13"/>
            </w:pPr>
            <w:r>
              <w:lastRenderedPageBreak/>
              <w:t>Год</w:t>
            </w:r>
          </w:p>
        </w:tc>
        <w:tc>
          <w:tcPr>
            <w:tcW w:w="1496" w:type="dxa"/>
            <w:vMerge w:val="restart"/>
            <w:noWrap/>
          </w:tcPr>
          <w:p w:rsidR="00517711" w:rsidRDefault="00F815BE">
            <w:pPr>
              <w:pStyle w:val="13"/>
            </w:pPr>
            <w:r>
              <w:t>Количество выпускников</w:t>
            </w:r>
          </w:p>
        </w:tc>
        <w:tc>
          <w:tcPr>
            <w:tcW w:w="3133" w:type="dxa"/>
            <w:gridSpan w:val="2"/>
            <w:noWrap/>
          </w:tcPr>
          <w:p w:rsidR="00517711" w:rsidRDefault="00F815BE">
            <w:pPr>
              <w:pStyle w:val="13"/>
            </w:pPr>
            <w:r>
              <w:t>Трудоустроены (%)</w:t>
            </w:r>
          </w:p>
        </w:tc>
        <w:tc>
          <w:tcPr>
            <w:tcW w:w="1314" w:type="dxa"/>
            <w:vMerge w:val="restart"/>
          </w:tcPr>
          <w:p w:rsidR="00517711" w:rsidRDefault="00F815BE">
            <w:pPr>
              <w:pStyle w:val="13"/>
            </w:pPr>
            <w:r>
              <w:t>По специальности</w:t>
            </w:r>
          </w:p>
        </w:tc>
        <w:tc>
          <w:tcPr>
            <w:tcW w:w="1134" w:type="dxa"/>
            <w:vMerge w:val="restart"/>
          </w:tcPr>
          <w:p w:rsidR="00517711" w:rsidRDefault="00F815BE">
            <w:pPr>
              <w:pStyle w:val="13"/>
            </w:pPr>
            <w:r>
              <w:t>Не по специальности</w:t>
            </w:r>
          </w:p>
        </w:tc>
        <w:tc>
          <w:tcPr>
            <w:tcW w:w="1701" w:type="dxa"/>
            <w:vMerge w:val="restart"/>
            <w:noWrap/>
          </w:tcPr>
          <w:p w:rsidR="00517711" w:rsidRDefault="00F815BE">
            <w:pPr>
              <w:pStyle w:val="13"/>
            </w:pPr>
            <w:r>
              <w:t>Нет данных (армия, учеба, нет связи)</w:t>
            </w:r>
          </w:p>
        </w:tc>
      </w:tr>
      <w:tr w:rsidR="00517711">
        <w:trPr>
          <w:trHeight w:val="288"/>
        </w:trPr>
        <w:tc>
          <w:tcPr>
            <w:tcW w:w="861" w:type="dxa"/>
            <w:vMerge/>
            <w:noWrap/>
          </w:tcPr>
          <w:p w:rsidR="00517711" w:rsidRDefault="00517711">
            <w:pPr>
              <w:spacing w:after="200"/>
              <w:jc w:val="both"/>
              <w:rPr>
                <w:rFonts w:ascii="Times New Roman" w:hAnsi="Times New Roman"/>
                <w:sz w:val="20"/>
                <w:szCs w:val="20"/>
              </w:rPr>
            </w:pPr>
          </w:p>
        </w:tc>
        <w:tc>
          <w:tcPr>
            <w:tcW w:w="1496" w:type="dxa"/>
            <w:vMerge/>
            <w:noWrap/>
          </w:tcPr>
          <w:p w:rsidR="00517711" w:rsidRDefault="00517711">
            <w:pPr>
              <w:spacing w:after="200"/>
              <w:jc w:val="both"/>
              <w:rPr>
                <w:rFonts w:ascii="Times New Roman" w:hAnsi="Times New Roman"/>
                <w:sz w:val="20"/>
                <w:szCs w:val="20"/>
              </w:rPr>
            </w:pPr>
          </w:p>
        </w:tc>
        <w:tc>
          <w:tcPr>
            <w:tcW w:w="1474" w:type="dxa"/>
            <w:noWrap/>
          </w:tcPr>
          <w:p w:rsidR="00517711" w:rsidRDefault="00F815BE">
            <w:pPr>
              <w:pStyle w:val="13"/>
            </w:pPr>
            <w:r>
              <w:t>Официально</w:t>
            </w:r>
          </w:p>
        </w:tc>
        <w:tc>
          <w:tcPr>
            <w:tcW w:w="1659" w:type="dxa"/>
            <w:noWrap/>
          </w:tcPr>
          <w:p w:rsidR="00517711" w:rsidRDefault="00F815BE">
            <w:pPr>
              <w:pStyle w:val="13"/>
            </w:pPr>
            <w:r>
              <w:t>Неофициально</w:t>
            </w:r>
          </w:p>
        </w:tc>
        <w:tc>
          <w:tcPr>
            <w:tcW w:w="1314" w:type="dxa"/>
            <w:vMerge/>
          </w:tcPr>
          <w:p w:rsidR="00517711" w:rsidRDefault="00517711">
            <w:pPr>
              <w:spacing w:after="200"/>
              <w:jc w:val="both"/>
              <w:rPr>
                <w:rFonts w:ascii="Times New Roman" w:hAnsi="Times New Roman"/>
                <w:sz w:val="20"/>
                <w:szCs w:val="20"/>
              </w:rPr>
            </w:pPr>
          </w:p>
        </w:tc>
        <w:tc>
          <w:tcPr>
            <w:tcW w:w="1134" w:type="dxa"/>
            <w:vMerge/>
          </w:tcPr>
          <w:p w:rsidR="00517711" w:rsidRDefault="00517711">
            <w:pPr>
              <w:spacing w:after="200"/>
              <w:jc w:val="both"/>
              <w:rPr>
                <w:rFonts w:ascii="Times New Roman" w:hAnsi="Times New Roman"/>
                <w:sz w:val="20"/>
                <w:szCs w:val="20"/>
              </w:rPr>
            </w:pPr>
          </w:p>
        </w:tc>
        <w:tc>
          <w:tcPr>
            <w:tcW w:w="1701" w:type="dxa"/>
            <w:vMerge/>
            <w:noWrap/>
          </w:tcPr>
          <w:p w:rsidR="00517711" w:rsidRDefault="00517711">
            <w:pPr>
              <w:spacing w:after="200"/>
              <w:jc w:val="both"/>
              <w:rPr>
                <w:rFonts w:ascii="Times New Roman" w:hAnsi="Times New Roman"/>
                <w:sz w:val="20"/>
                <w:szCs w:val="20"/>
              </w:rPr>
            </w:pPr>
          </w:p>
        </w:tc>
      </w:tr>
      <w:tr w:rsidR="00517711">
        <w:trPr>
          <w:trHeight w:val="288"/>
        </w:trPr>
        <w:tc>
          <w:tcPr>
            <w:tcW w:w="861" w:type="dxa"/>
            <w:noWrap/>
          </w:tcPr>
          <w:p w:rsidR="00517711" w:rsidRDefault="00F815BE">
            <w:pPr>
              <w:pStyle w:val="aff1"/>
            </w:pPr>
            <w:r>
              <w:t>2016</w:t>
            </w:r>
          </w:p>
        </w:tc>
        <w:tc>
          <w:tcPr>
            <w:tcW w:w="1496" w:type="dxa"/>
            <w:noWrap/>
          </w:tcPr>
          <w:p w:rsidR="00517711" w:rsidRDefault="00F815BE">
            <w:pPr>
              <w:pStyle w:val="aff1"/>
            </w:pPr>
            <w:r>
              <w:t>54 чел.</w:t>
            </w:r>
          </w:p>
        </w:tc>
        <w:tc>
          <w:tcPr>
            <w:tcW w:w="1474" w:type="dxa"/>
            <w:noWrap/>
          </w:tcPr>
          <w:p w:rsidR="00517711" w:rsidRDefault="00F815BE">
            <w:pPr>
              <w:pStyle w:val="aff1"/>
            </w:pPr>
            <w:r>
              <w:t>48%</w:t>
            </w:r>
          </w:p>
        </w:tc>
        <w:tc>
          <w:tcPr>
            <w:tcW w:w="1659" w:type="dxa"/>
            <w:noWrap/>
          </w:tcPr>
          <w:p w:rsidR="00517711" w:rsidRDefault="00F815BE">
            <w:pPr>
              <w:pStyle w:val="aff1"/>
            </w:pPr>
            <w:r>
              <w:t>15%</w:t>
            </w:r>
          </w:p>
        </w:tc>
        <w:tc>
          <w:tcPr>
            <w:tcW w:w="1314" w:type="dxa"/>
          </w:tcPr>
          <w:p w:rsidR="00517711" w:rsidRDefault="00F815BE">
            <w:pPr>
              <w:pStyle w:val="aff1"/>
            </w:pPr>
            <w:r>
              <w:t>37%</w:t>
            </w:r>
          </w:p>
        </w:tc>
        <w:tc>
          <w:tcPr>
            <w:tcW w:w="1134" w:type="dxa"/>
          </w:tcPr>
          <w:p w:rsidR="00517711" w:rsidRDefault="00F815BE">
            <w:pPr>
              <w:pStyle w:val="aff1"/>
            </w:pPr>
            <w:r>
              <w:t>5,5%</w:t>
            </w:r>
          </w:p>
        </w:tc>
        <w:tc>
          <w:tcPr>
            <w:tcW w:w="1701" w:type="dxa"/>
            <w:noWrap/>
          </w:tcPr>
          <w:p w:rsidR="00517711" w:rsidRDefault="00F815BE">
            <w:pPr>
              <w:pStyle w:val="aff1"/>
            </w:pPr>
            <w:r>
              <w:t>20 чел.</w:t>
            </w:r>
          </w:p>
        </w:tc>
      </w:tr>
      <w:tr w:rsidR="00517711">
        <w:trPr>
          <w:trHeight w:val="288"/>
        </w:trPr>
        <w:tc>
          <w:tcPr>
            <w:tcW w:w="861" w:type="dxa"/>
            <w:noWrap/>
          </w:tcPr>
          <w:p w:rsidR="00517711" w:rsidRDefault="00F815BE">
            <w:pPr>
              <w:pStyle w:val="aff1"/>
            </w:pPr>
            <w:r>
              <w:t>2017</w:t>
            </w:r>
          </w:p>
        </w:tc>
        <w:tc>
          <w:tcPr>
            <w:tcW w:w="1496" w:type="dxa"/>
            <w:noWrap/>
          </w:tcPr>
          <w:p w:rsidR="00517711" w:rsidRDefault="00F815BE">
            <w:pPr>
              <w:pStyle w:val="aff1"/>
            </w:pPr>
            <w:r>
              <w:t>52 чел.</w:t>
            </w:r>
          </w:p>
        </w:tc>
        <w:tc>
          <w:tcPr>
            <w:tcW w:w="1474" w:type="dxa"/>
            <w:noWrap/>
          </w:tcPr>
          <w:p w:rsidR="00517711" w:rsidRDefault="00F815BE">
            <w:pPr>
              <w:pStyle w:val="aff1"/>
            </w:pPr>
            <w:r>
              <w:t>42,3%</w:t>
            </w:r>
          </w:p>
        </w:tc>
        <w:tc>
          <w:tcPr>
            <w:tcW w:w="1659" w:type="dxa"/>
            <w:noWrap/>
          </w:tcPr>
          <w:p w:rsidR="00517711" w:rsidRDefault="00F815BE">
            <w:pPr>
              <w:pStyle w:val="aff1"/>
            </w:pPr>
            <w:r>
              <w:t>7,7%</w:t>
            </w:r>
          </w:p>
        </w:tc>
        <w:tc>
          <w:tcPr>
            <w:tcW w:w="1314" w:type="dxa"/>
          </w:tcPr>
          <w:p w:rsidR="00517711" w:rsidRDefault="00F815BE">
            <w:pPr>
              <w:pStyle w:val="aff1"/>
            </w:pPr>
            <w:r>
              <w:t>19,2%</w:t>
            </w:r>
          </w:p>
        </w:tc>
        <w:tc>
          <w:tcPr>
            <w:tcW w:w="1134" w:type="dxa"/>
          </w:tcPr>
          <w:p w:rsidR="00517711" w:rsidRDefault="00F815BE">
            <w:pPr>
              <w:pStyle w:val="aff1"/>
            </w:pPr>
            <w:r>
              <w:t>15,4%</w:t>
            </w:r>
          </w:p>
        </w:tc>
        <w:tc>
          <w:tcPr>
            <w:tcW w:w="1701" w:type="dxa"/>
            <w:noWrap/>
          </w:tcPr>
          <w:p w:rsidR="00517711" w:rsidRDefault="00F815BE">
            <w:pPr>
              <w:pStyle w:val="aff1"/>
            </w:pPr>
            <w:r>
              <w:t>26 чел.</w:t>
            </w:r>
          </w:p>
        </w:tc>
      </w:tr>
    </w:tbl>
    <w:p w:rsidR="00517711" w:rsidRDefault="00517711">
      <w:pPr>
        <w:spacing w:after="0" w:line="240" w:lineRule="auto"/>
        <w:ind w:firstLine="709"/>
        <w:jc w:val="both"/>
        <w:rPr>
          <w:rFonts w:ascii="Times New Roman" w:hAnsi="Times New Roman"/>
          <w:sz w:val="20"/>
          <w:szCs w:val="20"/>
        </w:rPr>
      </w:pP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Следующим не менее важным фактором, влияющим на важность и актуальность введения дополнительного образования в сфере туризма и гостеприимства, является начало введение Минтруда России профессиональных стандартов в виде приказов (с 2014 года). В сфере сервиса и туризма уже введены стандарты для гостиничного бизнеса – а именно для гостиничного дела, принятие таких же стандартов для туризма не за горами, поэтому необходимо решать эту проблему на опережение [3]. В качестве примера специальностей в сфере гостиничного бизнеса, для которых введены профессиональные стандарты, приведем таблицу 2. Из нее следует, что профстандартизация это дело времени – и скоро это коснется и области туризма непосредственно. </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Рассмотрим, к примеру, должность «Руководитель, управляющий гостиничного комплекса/сети гостиниц». Требования к образованию и обучению являются среднее профессиональное образование - программы подготовки квалифицированных рабочих (служащих), а также дополнительное профессиональное образование - программы повышения квалификации, программы профессиональной переподготовки по управлению отделами (службами) и предприятиями. Из этого следует факт того, что сотрудник, не обладающий профильными знаниями, а точнее образованием в данной области, не сможет занять рассматривающую должность. В таком случае, программы профессиональной переподготовки и дополнительного образования становятся объективным решением проблемы.  </w:t>
      </w:r>
    </w:p>
    <w:p w:rsidR="00517711" w:rsidRDefault="00517711">
      <w:pPr>
        <w:spacing w:after="0" w:line="240" w:lineRule="auto"/>
        <w:ind w:firstLine="709"/>
        <w:jc w:val="both"/>
        <w:rPr>
          <w:rFonts w:ascii="Times New Roman" w:hAnsi="Times New Roman"/>
          <w:sz w:val="20"/>
          <w:szCs w:val="20"/>
        </w:rPr>
      </w:pPr>
    </w:p>
    <w:p w:rsidR="00517711" w:rsidRDefault="00F815BE">
      <w:pPr>
        <w:spacing w:line="240" w:lineRule="auto"/>
        <w:jc w:val="center"/>
        <w:rPr>
          <w:rFonts w:ascii="Times New Roman" w:hAnsi="Times New Roman"/>
          <w:sz w:val="20"/>
          <w:szCs w:val="20"/>
        </w:rPr>
      </w:pPr>
      <w:r>
        <w:rPr>
          <w:rFonts w:ascii="Times New Roman" w:hAnsi="Times New Roman"/>
          <w:i/>
          <w:sz w:val="20"/>
          <w:szCs w:val="20"/>
        </w:rPr>
        <w:t>Таблица 2</w:t>
      </w:r>
      <w:r>
        <w:rPr>
          <w:rFonts w:ascii="Times New Roman" w:hAnsi="Times New Roman"/>
          <w:sz w:val="20"/>
          <w:szCs w:val="20"/>
        </w:rPr>
        <w:t xml:space="preserve"> - Список должностей с введенными профессиональными стандартами с 2015 г</w:t>
      </w:r>
    </w:p>
    <w:tbl>
      <w:tblPr>
        <w:tblW w:w="9260" w:type="dxa"/>
        <w:tblInd w:w="20" w:type="dxa"/>
        <w:tblCellMar>
          <w:left w:w="0" w:type="dxa"/>
          <w:right w:w="0" w:type="dxa"/>
        </w:tblCellMar>
        <w:tblLook w:val="04A0" w:firstRow="1" w:lastRow="0" w:firstColumn="1" w:lastColumn="0" w:noHBand="0" w:noVBand="1"/>
      </w:tblPr>
      <w:tblGrid>
        <w:gridCol w:w="4810"/>
        <w:gridCol w:w="4450"/>
      </w:tblGrid>
      <w:tr w:rsidR="00517711">
        <w:tc>
          <w:tcPr>
            <w:tcW w:w="9260" w:type="dxa"/>
            <w:gridSpan w:val="2"/>
            <w:tcBorders>
              <w:top w:val="single" w:sz="8" w:space="0" w:color="000000"/>
              <w:left w:val="single" w:sz="8" w:space="0" w:color="000000"/>
              <w:bottom w:val="single" w:sz="8" w:space="0" w:color="000000"/>
              <w:right w:val="single" w:sz="8" w:space="0" w:color="000000"/>
            </w:tcBorders>
          </w:tcPr>
          <w:p w:rsidR="00517711" w:rsidRDefault="00F815BE">
            <w:pPr>
              <w:pStyle w:val="13"/>
            </w:pPr>
            <w:r>
              <w:t>Сервис, оказание услуг населению (торговля, техническое обслуживание, ремонт, предоставление персональных услуг, услуги гостеприимства, общественное питание и пр.)</w:t>
            </w:r>
          </w:p>
        </w:tc>
      </w:tr>
      <w:tr w:rsidR="00517711">
        <w:tc>
          <w:tcPr>
            <w:tcW w:w="4810" w:type="dxa"/>
            <w:tcBorders>
              <w:top w:val="single" w:sz="8" w:space="0" w:color="000000"/>
              <w:left w:val="single" w:sz="8" w:space="0" w:color="000000"/>
              <w:bottom w:val="single" w:sz="8" w:space="0" w:color="000000"/>
              <w:right w:val="single" w:sz="8" w:space="0" w:color="000000"/>
            </w:tcBorders>
          </w:tcPr>
          <w:p w:rsidR="00517711" w:rsidRDefault="00F815BE">
            <w:pPr>
              <w:pStyle w:val="aff1"/>
              <w:outlineLvl w:val="9"/>
            </w:pPr>
            <w:r>
              <w:t>Руководитель/управляющий гостиничного комплекса/сети гостиниц</w:t>
            </w:r>
          </w:p>
        </w:tc>
        <w:tc>
          <w:tcPr>
            <w:tcW w:w="4450" w:type="dxa"/>
            <w:tcBorders>
              <w:top w:val="single" w:sz="8" w:space="0" w:color="000000"/>
              <w:left w:val="single" w:sz="8" w:space="0" w:color="000000"/>
              <w:bottom w:val="single" w:sz="8" w:space="0" w:color="000000"/>
              <w:right w:val="single" w:sz="8" w:space="0" w:color="000000"/>
            </w:tcBorders>
          </w:tcPr>
          <w:p w:rsidR="00517711" w:rsidRDefault="00F815BE">
            <w:pPr>
              <w:pStyle w:val="aff1"/>
              <w:outlineLvl w:val="9"/>
            </w:pPr>
            <w:r>
              <w:t>Приказ Минтруда России от 07.05.2015 N 282н</w:t>
            </w:r>
          </w:p>
        </w:tc>
      </w:tr>
      <w:tr w:rsidR="00517711">
        <w:tc>
          <w:tcPr>
            <w:tcW w:w="4810" w:type="dxa"/>
            <w:tcBorders>
              <w:top w:val="single" w:sz="8" w:space="0" w:color="000000"/>
              <w:left w:val="single" w:sz="8" w:space="0" w:color="000000"/>
              <w:bottom w:val="single" w:sz="8" w:space="0" w:color="000000"/>
              <w:right w:val="single" w:sz="8" w:space="0" w:color="000000"/>
            </w:tcBorders>
          </w:tcPr>
          <w:p w:rsidR="00517711" w:rsidRDefault="00F815BE">
            <w:pPr>
              <w:pStyle w:val="aff1"/>
              <w:outlineLvl w:val="9"/>
            </w:pPr>
            <w:r>
              <w:t>Руководитель предприятия питания</w:t>
            </w:r>
          </w:p>
        </w:tc>
        <w:tc>
          <w:tcPr>
            <w:tcW w:w="4450" w:type="dxa"/>
            <w:tcBorders>
              <w:top w:val="single" w:sz="8" w:space="0" w:color="000000"/>
              <w:left w:val="single" w:sz="8" w:space="0" w:color="000000"/>
              <w:bottom w:val="single" w:sz="8" w:space="0" w:color="000000"/>
              <w:right w:val="single" w:sz="8" w:space="0" w:color="000000"/>
            </w:tcBorders>
          </w:tcPr>
          <w:p w:rsidR="00517711" w:rsidRDefault="00F815BE">
            <w:pPr>
              <w:pStyle w:val="aff1"/>
              <w:outlineLvl w:val="9"/>
            </w:pPr>
            <w:r>
              <w:t>Приказ Минтруда России от 07.05.2015 N 281н</w:t>
            </w:r>
          </w:p>
        </w:tc>
      </w:tr>
      <w:tr w:rsidR="00517711">
        <w:tc>
          <w:tcPr>
            <w:tcW w:w="4810" w:type="dxa"/>
            <w:tcBorders>
              <w:top w:val="single" w:sz="8" w:space="0" w:color="000000"/>
              <w:left w:val="single" w:sz="8" w:space="0" w:color="000000"/>
              <w:bottom w:val="single" w:sz="8" w:space="0" w:color="000000"/>
              <w:right w:val="single" w:sz="8" w:space="0" w:color="000000"/>
            </w:tcBorders>
          </w:tcPr>
          <w:p w:rsidR="00517711" w:rsidRDefault="00F815BE">
            <w:pPr>
              <w:pStyle w:val="aff1"/>
              <w:outlineLvl w:val="9"/>
            </w:pPr>
            <w:r>
              <w:t>Специалист по подбору персонала (рекрутер)</w:t>
            </w:r>
          </w:p>
        </w:tc>
        <w:tc>
          <w:tcPr>
            <w:tcW w:w="4450" w:type="dxa"/>
            <w:tcBorders>
              <w:top w:val="single" w:sz="8" w:space="0" w:color="000000"/>
              <w:left w:val="single" w:sz="8" w:space="0" w:color="000000"/>
              <w:bottom w:val="single" w:sz="8" w:space="0" w:color="000000"/>
              <w:right w:val="single" w:sz="8" w:space="0" w:color="000000"/>
            </w:tcBorders>
          </w:tcPr>
          <w:p w:rsidR="00517711" w:rsidRDefault="00F815BE">
            <w:pPr>
              <w:pStyle w:val="aff1"/>
              <w:outlineLvl w:val="9"/>
            </w:pPr>
            <w:r>
              <w:t>Приказ Минтруда России от 09.10.2015 N 717н</w:t>
            </w:r>
          </w:p>
        </w:tc>
      </w:tr>
      <w:tr w:rsidR="00517711">
        <w:tc>
          <w:tcPr>
            <w:tcW w:w="4810" w:type="dxa"/>
            <w:tcBorders>
              <w:top w:val="single" w:sz="8" w:space="0" w:color="000000"/>
              <w:left w:val="single" w:sz="8" w:space="0" w:color="000000"/>
              <w:bottom w:val="single" w:sz="8" w:space="0" w:color="000000"/>
              <w:right w:val="single" w:sz="8" w:space="0" w:color="000000"/>
            </w:tcBorders>
          </w:tcPr>
          <w:p w:rsidR="00517711" w:rsidRDefault="00F815BE">
            <w:pPr>
              <w:pStyle w:val="aff1"/>
              <w:outlineLvl w:val="9"/>
            </w:pPr>
            <w:r>
              <w:t>Горничная</w:t>
            </w:r>
          </w:p>
        </w:tc>
        <w:tc>
          <w:tcPr>
            <w:tcW w:w="4450" w:type="dxa"/>
            <w:tcBorders>
              <w:top w:val="single" w:sz="8" w:space="0" w:color="000000"/>
              <w:left w:val="single" w:sz="8" w:space="0" w:color="000000"/>
              <w:bottom w:val="single" w:sz="8" w:space="0" w:color="000000"/>
              <w:right w:val="single" w:sz="8" w:space="0" w:color="000000"/>
            </w:tcBorders>
          </w:tcPr>
          <w:p w:rsidR="00517711" w:rsidRDefault="00F815BE">
            <w:pPr>
              <w:pStyle w:val="aff1"/>
              <w:outlineLvl w:val="9"/>
            </w:pPr>
            <w:r>
              <w:t>Приказ Минтруда России от 05.09.2017 N 657н</w:t>
            </w:r>
          </w:p>
        </w:tc>
      </w:tr>
      <w:tr w:rsidR="00517711">
        <w:tc>
          <w:tcPr>
            <w:tcW w:w="4810" w:type="dxa"/>
            <w:tcBorders>
              <w:top w:val="single" w:sz="8" w:space="0" w:color="000000"/>
              <w:left w:val="single" w:sz="8" w:space="0" w:color="000000"/>
              <w:bottom w:val="single" w:sz="8" w:space="0" w:color="000000"/>
              <w:right w:val="single" w:sz="8" w:space="0" w:color="000000"/>
            </w:tcBorders>
          </w:tcPr>
          <w:p w:rsidR="00517711" w:rsidRDefault="00F815BE">
            <w:pPr>
              <w:pStyle w:val="aff1"/>
              <w:outlineLvl w:val="9"/>
            </w:pPr>
            <w:r>
              <w:t>Работник по приему и размещению гостей</w:t>
            </w:r>
          </w:p>
        </w:tc>
        <w:tc>
          <w:tcPr>
            <w:tcW w:w="4450" w:type="dxa"/>
            <w:tcBorders>
              <w:top w:val="single" w:sz="8" w:space="0" w:color="000000"/>
              <w:left w:val="single" w:sz="8" w:space="0" w:color="000000"/>
              <w:bottom w:val="single" w:sz="8" w:space="0" w:color="000000"/>
              <w:right w:val="single" w:sz="8" w:space="0" w:color="000000"/>
            </w:tcBorders>
          </w:tcPr>
          <w:p w:rsidR="00517711" w:rsidRDefault="00F815BE">
            <w:pPr>
              <w:pStyle w:val="aff1"/>
              <w:outlineLvl w:val="9"/>
            </w:pPr>
            <w:r>
              <w:t>Приказ Минтруда России от 05.09.2017 N 659н</w:t>
            </w:r>
          </w:p>
        </w:tc>
      </w:tr>
    </w:tbl>
    <w:p w:rsidR="00517711" w:rsidRDefault="00517711">
      <w:pPr>
        <w:spacing w:after="0" w:line="240" w:lineRule="auto"/>
        <w:ind w:firstLine="708"/>
        <w:jc w:val="both"/>
        <w:rPr>
          <w:rFonts w:ascii="Times New Roman" w:hAnsi="Times New Roman"/>
          <w:sz w:val="20"/>
          <w:szCs w:val="20"/>
        </w:rPr>
      </w:pPr>
    </w:p>
    <w:p w:rsidR="00517711" w:rsidRDefault="00F815BE">
      <w:pPr>
        <w:spacing w:after="0" w:line="240" w:lineRule="auto"/>
        <w:ind w:firstLine="708"/>
        <w:jc w:val="both"/>
        <w:rPr>
          <w:rFonts w:ascii="Times New Roman" w:hAnsi="Times New Roman"/>
          <w:sz w:val="20"/>
          <w:szCs w:val="20"/>
        </w:rPr>
      </w:pPr>
      <w:r>
        <w:rPr>
          <w:rFonts w:ascii="Times New Roman" w:hAnsi="Times New Roman"/>
          <w:sz w:val="20"/>
          <w:szCs w:val="20"/>
        </w:rPr>
        <w:t xml:space="preserve">По итогам проведенного исследования выявлена проблема низкого уровня трудоустройства выпускников по выбранной специальности, а так же представлен факт того, что в сфере туризма заняты люди разных профессий, не соприкасающихся с данной сферой. Также стоит принять во внимание введение профессиональных стандартов для разных сфер занятости, реформы которых должны завершиться к 2022 г [3]. Основным путем решения поставленных проблем предлагается введение предложения о создании новой образовательной программы на базе кафедры туризма, что является удобной возможностью для получения всего необходимого материала и навыков без отрыва от работы и в короткие сроки. Программа дополнительного образования – это один из основных и наиболее эффективных путей повышения трудового потенциала в сфере туризма на уровне г. Владивосток и Приморского края.  </w:t>
      </w:r>
    </w:p>
    <w:p w:rsidR="00517711" w:rsidRDefault="00F815BE">
      <w:pPr>
        <w:spacing w:after="0" w:line="240" w:lineRule="auto"/>
        <w:rPr>
          <w:rFonts w:ascii="Times New Roman" w:hAnsi="Times New Roman"/>
          <w:sz w:val="20"/>
          <w:szCs w:val="20"/>
        </w:rPr>
      </w:pPr>
      <w:r>
        <w:rPr>
          <w:rFonts w:ascii="Times New Roman" w:hAnsi="Times New Roman"/>
          <w:sz w:val="20"/>
          <w:szCs w:val="20"/>
        </w:rPr>
        <w:t>________________________________________________________________________________</w:t>
      </w:r>
    </w:p>
    <w:p w:rsidR="00517711" w:rsidRDefault="00F815BE">
      <w:pPr>
        <w:jc w:val="both"/>
        <w:rPr>
          <w:rFonts w:ascii="Times New Roman" w:hAnsi="Times New Roman"/>
          <w:sz w:val="20"/>
          <w:szCs w:val="20"/>
        </w:rPr>
      </w:pPr>
      <w:r>
        <w:rPr>
          <w:rFonts w:ascii="Times New Roman" w:hAnsi="Times New Roman"/>
          <w:sz w:val="20"/>
          <w:szCs w:val="20"/>
        </w:rPr>
        <w:t>Список использованных источников:</w:t>
      </w:r>
    </w:p>
    <w:p w:rsidR="00517711" w:rsidRDefault="00F815BE">
      <w:pPr>
        <w:pStyle w:val="af4"/>
        <w:numPr>
          <w:ilvl w:val="0"/>
          <w:numId w:val="45"/>
        </w:numPr>
        <w:spacing w:after="0"/>
        <w:ind w:left="1429"/>
        <w:jc w:val="both"/>
        <w:rPr>
          <w:rFonts w:ascii="Times New Roman" w:eastAsia="Calibri" w:hAnsi="Times New Roman"/>
          <w:sz w:val="20"/>
          <w:szCs w:val="20"/>
        </w:rPr>
      </w:pPr>
      <w:r>
        <w:rPr>
          <w:rFonts w:ascii="Times New Roman" w:eastAsia="Calibri" w:hAnsi="Times New Roman"/>
          <w:sz w:val="20"/>
          <w:szCs w:val="20"/>
        </w:rPr>
        <w:t>Черкасова О.В. К вопросу о мотивации обучающихся к получению дополнительного профессионального образования / О.В. Черкасова // Концепт. – 2014. – №S25. – С. 1-4.</w:t>
      </w:r>
    </w:p>
    <w:p w:rsidR="00517711" w:rsidRDefault="00F815BE">
      <w:pPr>
        <w:pStyle w:val="af4"/>
        <w:numPr>
          <w:ilvl w:val="0"/>
          <w:numId w:val="45"/>
        </w:numPr>
        <w:spacing w:after="0"/>
        <w:ind w:left="1429"/>
        <w:jc w:val="both"/>
        <w:rPr>
          <w:rFonts w:ascii="Times New Roman" w:eastAsia="Calibri" w:hAnsi="Times New Roman"/>
          <w:sz w:val="20"/>
          <w:szCs w:val="20"/>
        </w:rPr>
      </w:pPr>
      <w:r>
        <w:rPr>
          <w:rFonts w:ascii="Times New Roman" w:eastAsia="Calibri" w:hAnsi="Times New Roman"/>
          <w:sz w:val="20"/>
          <w:szCs w:val="20"/>
        </w:rPr>
        <w:t>Понятие профессиональной деятельности. Разделение и специализация труда [Элект</w:t>
      </w:r>
      <w:bookmarkStart w:id="18" w:name="Berezaklim"/>
      <w:bookmarkEnd w:id="18"/>
      <w:r>
        <w:rPr>
          <w:rFonts w:ascii="Times New Roman" w:eastAsia="Calibri" w:hAnsi="Times New Roman"/>
          <w:sz w:val="20"/>
          <w:szCs w:val="20"/>
        </w:rPr>
        <w:t>ронный ресурс] // МБОУ Климова. – Режим доступа: http://berezaklim.ru/</w:t>
      </w:r>
    </w:p>
    <w:p w:rsidR="00517711" w:rsidRDefault="00F815BE">
      <w:pPr>
        <w:pStyle w:val="af4"/>
        <w:numPr>
          <w:ilvl w:val="0"/>
          <w:numId w:val="45"/>
        </w:numPr>
        <w:spacing w:after="0"/>
        <w:ind w:left="1429"/>
        <w:jc w:val="both"/>
        <w:rPr>
          <w:rFonts w:ascii="Times New Roman" w:eastAsia="Calibri" w:hAnsi="Times New Roman"/>
          <w:sz w:val="20"/>
          <w:szCs w:val="20"/>
        </w:rPr>
      </w:pPr>
      <w:r>
        <w:rPr>
          <w:rFonts w:ascii="Times New Roman" w:eastAsia="Calibri" w:hAnsi="Times New Roman"/>
          <w:sz w:val="20"/>
          <w:szCs w:val="20"/>
        </w:rPr>
        <w:t xml:space="preserve">Профессиональные стандарты Российской Федерации [Электронный ресурс]. – Режим доступа: </w:t>
      </w:r>
      <w:hyperlink r:id="rId160" w:history="1">
        <w:r>
          <w:rPr>
            <w:rFonts w:ascii="Times New Roman" w:eastAsia="Calibri" w:hAnsi="Times New Roman"/>
            <w:sz w:val="20"/>
            <w:szCs w:val="20"/>
          </w:rPr>
          <w:t>http://profstandart.rosmintrud.ru/</w:t>
        </w:r>
      </w:hyperlink>
    </w:p>
    <w:p w:rsidR="00517711" w:rsidRDefault="00F815BE">
      <w:pPr>
        <w:keepNext/>
        <w:spacing w:before="120" w:after="120" w:line="240" w:lineRule="auto"/>
        <w:outlineLvl w:val="3"/>
        <w:rPr>
          <w:rFonts w:ascii="Times New Roman" w:eastAsia="Calibri" w:hAnsi="Times New Roman" w:cs="Times New Roman"/>
          <w:b/>
          <w:bCs/>
          <w:sz w:val="20"/>
          <w:szCs w:val="28"/>
        </w:rPr>
      </w:pPr>
      <w:r>
        <w:rPr>
          <w:rFonts w:ascii="Times New Roman" w:eastAsia="Calibri" w:hAnsi="Times New Roman" w:cs="Times New Roman"/>
          <w:b/>
          <w:bCs/>
          <w:sz w:val="20"/>
          <w:szCs w:val="28"/>
        </w:rPr>
        <w:t>Рубрика: Туризм</w:t>
      </w:r>
    </w:p>
    <w:p w:rsidR="00517711" w:rsidRDefault="00F815BE">
      <w:pPr>
        <w:spacing w:after="0" w:line="240" w:lineRule="auto"/>
        <w:rPr>
          <w:rFonts w:ascii="Times New Roman" w:hAnsi="Times New Roman"/>
          <w:color w:val="000000"/>
          <w:sz w:val="20"/>
          <w:szCs w:val="24"/>
        </w:rPr>
      </w:pPr>
      <w:r>
        <w:rPr>
          <w:rFonts w:ascii="Times New Roman" w:hAnsi="Times New Roman"/>
          <w:color w:val="000000"/>
          <w:sz w:val="20"/>
          <w:szCs w:val="24"/>
        </w:rPr>
        <w:t>УДК 796.5</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lastRenderedPageBreak/>
        <w:t>Тенденции развития спортивно-оздоровительного туризма в Приморском крае</w:t>
      </w:r>
    </w:p>
    <w:p w:rsidR="00517711" w:rsidRDefault="00F815BE">
      <w:pPr>
        <w:spacing w:after="0"/>
        <w:ind w:left="360"/>
        <w:jc w:val="center"/>
        <w:rPr>
          <w:rFonts w:ascii="Arial" w:eastAsia="Calibri" w:hAnsi="Arial"/>
          <w:b/>
          <w:bCs/>
          <w:sz w:val="24"/>
          <w:szCs w:val="20"/>
          <w:lang w:eastAsia="ru-RU"/>
        </w:rPr>
      </w:pPr>
      <w:r>
        <w:rPr>
          <w:rFonts w:ascii="Arial" w:eastAsia="Calibri" w:hAnsi="Arial"/>
          <w:b/>
          <w:bCs/>
          <w:sz w:val="24"/>
          <w:szCs w:val="20"/>
          <w:lang w:eastAsia="ru-RU"/>
        </w:rPr>
        <w:t xml:space="preserve">Иванова Елизавета Андреевна, </w:t>
      </w:r>
    </w:p>
    <w:p w:rsidR="00517711" w:rsidRDefault="00F815BE">
      <w:pPr>
        <w:spacing w:line="240" w:lineRule="auto"/>
        <w:jc w:val="center"/>
        <w:rPr>
          <w:rFonts w:ascii="Arial" w:eastAsia="Calibri" w:hAnsi="Arial"/>
          <w:bCs/>
          <w:sz w:val="24"/>
          <w:szCs w:val="20"/>
          <w:lang w:eastAsia="ru-RU"/>
        </w:rPr>
      </w:pPr>
      <w:r>
        <w:rPr>
          <w:rFonts w:ascii="Arial" w:eastAsia="Calibri" w:hAnsi="Arial"/>
          <w:bCs/>
          <w:sz w:val="24"/>
          <w:szCs w:val="20"/>
          <w:lang w:eastAsia="ru-RU"/>
        </w:rPr>
        <w:t xml:space="preserve">студент 4 курса, кафедра туризма и экологии </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 xml:space="preserve">Владивостокский государственный университет экономики и сервиса </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 xml:space="preserve">Россия. Владивосток </w:t>
      </w:r>
    </w:p>
    <w:p w:rsidR="00517711" w:rsidRDefault="00F815BE">
      <w:pPr>
        <w:spacing w:after="0" w:line="240" w:lineRule="auto"/>
        <w:jc w:val="center"/>
        <w:rPr>
          <w:rFonts w:ascii="Times New Roman" w:hAnsi="Times New Roman"/>
          <w:sz w:val="20"/>
          <w:szCs w:val="24"/>
        </w:rPr>
      </w:pPr>
      <w:r>
        <w:rPr>
          <w:rFonts w:ascii="Times New Roman" w:hAnsi="Times New Roman"/>
          <w:sz w:val="20"/>
          <w:szCs w:val="24"/>
          <w:lang w:val="en-US"/>
        </w:rPr>
        <w:t>E</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 xml:space="preserve">: </w:t>
      </w:r>
      <w:r>
        <w:rPr>
          <w:rFonts w:ascii="Times New Roman" w:hAnsi="Times New Roman"/>
          <w:sz w:val="20"/>
          <w:szCs w:val="24"/>
          <w:lang w:val="en-US"/>
        </w:rPr>
        <w:t>lizusha</w:t>
      </w:r>
      <w:r>
        <w:rPr>
          <w:rFonts w:ascii="Times New Roman" w:hAnsi="Times New Roman"/>
          <w:sz w:val="20"/>
          <w:szCs w:val="24"/>
        </w:rPr>
        <w:t>1996_31@</w:t>
      </w:r>
      <w:r>
        <w:rPr>
          <w:rFonts w:ascii="Times New Roman" w:hAnsi="Times New Roman"/>
          <w:sz w:val="20"/>
          <w:szCs w:val="24"/>
          <w:lang w:val="en-US"/>
        </w:rPr>
        <w:t>mail</w:t>
      </w:r>
      <w:r>
        <w:rPr>
          <w:rFonts w:ascii="Times New Roman" w:hAnsi="Times New Roman"/>
          <w:sz w:val="20"/>
          <w:szCs w:val="24"/>
        </w:rPr>
        <w:t>.</w:t>
      </w:r>
      <w:r>
        <w:rPr>
          <w:rFonts w:ascii="Times New Roman" w:hAnsi="Times New Roman"/>
          <w:sz w:val="20"/>
          <w:szCs w:val="24"/>
          <w:lang w:val="en-US"/>
        </w:rPr>
        <w:t>ru</w:t>
      </w:r>
      <w:r>
        <w:rPr>
          <w:rFonts w:ascii="Times New Roman" w:hAnsi="Times New Roman"/>
          <w:sz w:val="20"/>
          <w:szCs w:val="24"/>
        </w:rPr>
        <w:t>; тел.: +79241269176</w:t>
      </w:r>
    </w:p>
    <w:p w:rsidR="00517711" w:rsidRDefault="00F815BE">
      <w:pPr>
        <w:spacing w:after="120" w:line="240" w:lineRule="auto"/>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F815BE">
      <w:pPr>
        <w:spacing w:after="0" w:line="240" w:lineRule="auto"/>
        <w:ind w:firstLine="709"/>
        <w:jc w:val="both"/>
        <w:rPr>
          <w:rFonts w:ascii="Times New Roman" w:hAnsi="Times New Roman"/>
          <w:i/>
          <w:szCs w:val="24"/>
        </w:rPr>
      </w:pPr>
      <w:r>
        <w:rPr>
          <w:rFonts w:ascii="Times New Roman" w:hAnsi="Times New Roman"/>
          <w:i/>
          <w:szCs w:val="24"/>
        </w:rPr>
        <w:t xml:space="preserve">Спортивно-оздоровительный туризм динамично развивается в Приморском крае и имеет большие перспективы развития.  В крае имеется достаточный большой потенциал для развития туристической отрасли. Этому послужило выгодное, географическое и геополитическое положения края в Азиатско-Тихоокеанском регионе. Огромное значение для развития туризма в Приморье имеют так же уникальные природные богатства района, рекреационные ресурсы и неповторимое сочетание множества различных культур, населяющих край.. </w:t>
      </w:r>
    </w:p>
    <w:p w:rsidR="00517711" w:rsidRDefault="00F815BE">
      <w:pPr>
        <w:spacing w:after="0" w:line="240" w:lineRule="auto"/>
        <w:ind w:firstLine="709"/>
        <w:jc w:val="both"/>
        <w:rPr>
          <w:rFonts w:ascii="Times New Roman" w:hAnsi="Times New Roman"/>
          <w:i/>
          <w:szCs w:val="24"/>
        </w:rPr>
      </w:pPr>
      <w:r>
        <w:rPr>
          <w:rFonts w:ascii="Times New Roman" w:hAnsi="Times New Roman"/>
          <w:b/>
          <w:i/>
          <w:szCs w:val="24"/>
        </w:rPr>
        <w:t>Ключевые слова и словосочетания:</w:t>
      </w:r>
      <w:r>
        <w:rPr>
          <w:rFonts w:ascii="Times New Roman" w:hAnsi="Times New Roman"/>
          <w:i/>
          <w:szCs w:val="24"/>
        </w:rPr>
        <w:t xml:space="preserve"> спортивно-оздоровительный туризм, тенденции развития, Приморский край.</w:t>
      </w:r>
    </w:p>
    <w:p w:rsidR="00517711" w:rsidRDefault="00F815BE">
      <w:pPr>
        <w:keepNext/>
        <w:spacing w:before="240" w:after="240" w:line="240" w:lineRule="auto"/>
        <w:jc w:val="center"/>
        <w:outlineLvl w:val="0"/>
        <w:rPr>
          <w:rFonts w:ascii="Book Antiqua" w:hAnsi="Book Antiqua"/>
          <w:b/>
          <w:bCs/>
          <w:caps/>
          <w:sz w:val="26"/>
          <w:szCs w:val="26"/>
          <w:lang w:val="en-US"/>
        </w:rPr>
      </w:pPr>
      <w:r>
        <w:rPr>
          <w:rFonts w:ascii="Book Antiqua" w:hAnsi="Book Antiqua"/>
          <w:b/>
          <w:bCs/>
          <w:caps/>
          <w:sz w:val="26"/>
          <w:szCs w:val="26"/>
          <w:lang w:val="en-US"/>
        </w:rPr>
        <w:t>Trends in the development of sports and health tourism in Primorsky Krai</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i/>
          <w:szCs w:val="24"/>
          <w:lang w:val="en-US"/>
        </w:rPr>
        <w:t>Sports and health tourism is dynamically developing in Primorsky Krai and has great development prospects. In the province there is enough great potential for the development of the tourism industry. This served as an advantageous, geographical and geopolitical position of the region in the Asia-Pacific region. The unique natural riches of the region, recreational resources and a unique combination of many different cultures inhabiting the region are of great importance for the development of tourism in Primorye.</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b/>
          <w:i/>
          <w:szCs w:val="24"/>
          <w:lang w:val="en-US"/>
        </w:rPr>
        <w:t>Keywords:</w:t>
      </w:r>
      <w:r>
        <w:rPr>
          <w:rFonts w:ascii="Times New Roman" w:hAnsi="Times New Roman"/>
          <w:i/>
          <w:szCs w:val="24"/>
          <w:lang w:val="en-US"/>
        </w:rPr>
        <w:t xml:space="preserve"> sports and health tourism, development trends, Primorsky Krai.</w:t>
      </w:r>
    </w:p>
    <w:p w:rsidR="00517711" w:rsidRDefault="00517711">
      <w:pPr>
        <w:spacing w:after="0" w:line="240" w:lineRule="auto"/>
        <w:ind w:firstLine="709"/>
        <w:jc w:val="both"/>
        <w:rPr>
          <w:rFonts w:ascii="Times New Roman" w:hAnsi="Times New Roman"/>
          <w:sz w:val="20"/>
          <w:szCs w:val="24"/>
          <w:lang w:val="en-US" w:eastAsia="ru-RU"/>
        </w:rPr>
      </w:pP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 xml:space="preserve">Современная индустрия туризма динамично развивается и усовершенствуется, и в настоящее время огромное внимание уделяется развитию спортивно-оздоровительному туризму.  Президент России В.В. Путин в октябре 2016 года на Заседании Совета по развитию физической культуры и спорта заявил, что в последние годы уделяется огромное внимание проблеме развития спортивного воспитания. Приоритетной задачей государства является создание условий для сохранения здоровья и благополучия его населения. За последние годы возрасло количество людей, занимающихся спортом и пропогандирующих здоровый образ жизни на 35%. Президент отметил, что любовь к спорту должна прививаться с раннего возраста. Поэтому главная задача государство создать материально-техническккую базу для занятий спортом[1]. </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Приморский край имеет огромный потенциал для развития спортивно-оздоровительного туризма. Приморские курорты известны с давних времен. Со всей России люди съезжались в Приморье, к океанским берегам, чтобы поправить здоровье. Во времена СССР в Приморье активно строились курорты, санатории, пансионаты. В настоящее время необходимо целенаправленное развитие санаторно-курортной базы региона. В современных условиях приморские санатории развиваются и приносят пользу тем, кто нуждается не только в отдыхе на берегу моря, но и в лечении. Курортная база Приморья обширна и разнообразна, и среди приморских курортов вполне можно найти места, подходящие и для отдыхающих эконом-класса, и для организации VIP-отдыха.</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 xml:space="preserve">Люди, приезжая на отдых в Приморье, стремятся оставить в памяти незабываемые и ни с чем не сравнимые впечатления о своем пребывании на территории региона. Досуг туристов — это важная часть отдыха. От организации досуга зависит, какое впечатление останется у туриста от поездки. </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 xml:space="preserve">Досуговые мероприятия, развлечения туристов зависят от многих критериев – возраста, здоровья, семейного положения, предпочтений туристов. Для досуга семейных пар с детьми больше подойдет культурно-познавательный туризм. Современная молодежь выбирает активный, экстремальный отдых, например, дайвинг, парашютный спорт, арапланеризм, спелеотуризм, скалолазание, катание на горных велосипедах летом, а зимой это горнолыжный спорт. Несмотря на условное деление видов спорта на зимние и летние, не будет преувеличением сказать, что Приморский край живет насыщенной спортивной жизнью круглый год. </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 xml:space="preserve">Так чем же интересен Приморский край для туристов? Хотя бы тем, что для европейцев он представляется настоящим «краем света». Это и не удивительно, ведь от нашей столицы Москвы до Владивостока больше 9 тыс. км, а разница во времени с центральной Европой – 10 часов. Этот уголок планеты также интересен великолепной природой, которая стала точкой встречи запада и востока, самого большого </w:t>
      </w:r>
      <w:r>
        <w:rPr>
          <w:rFonts w:ascii="Times New Roman" w:hAnsi="Times New Roman"/>
          <w:sz w:val="20"/>
          <w:szCs w:val="24"/>
          <w:lang w:eastAsia="ru-RU"/>
        </w:rPr>
        <w:lastRenderedPageBreak/>
        <w:t xml:space="preserve">материка планеты Земля – Евразия и огромного Тихого океана. Также край знаменит необычайностью климатический условий, ведь столица Приморского края- город Владивосток находится на одной полосе с городом Сочи[2]. </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 xml:space="preserve">В этом отдаленном от Центральной Европы месте можно найти все, что нужно туристу: море с песчаными пляжами, сказочные подводные ландшафты, акватории для прогулок на морских судах, таежные дебри, во многом сохранившие свой первозданный вид, горные речки, водопады. Пещеры, увитые плющом могучие деревья на крутых склонах, лечебные минеральные источники. Которые располагают для занятия спортивным туризмом. Естественно, что в морском городе чрезвычайно популярны морские виды спорта. В последние годы наряду с традиционными яхтингом и греблей на байдарках и каноэ растет интерес к гонкам на лодках класса «дракон». Традиционный кубок губернатора привлекает все больше туристов, в том числе и иностранных. </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 xml:space="preserve">Также активно растет интерес к таким видам морского спорта как дайвинг (где можно приехать пройти курс обучения подводному плаванью по одной из наиболее популярных в мире систем- </w:t>
      </w:r>
      <w:r>
        <w:rPr>
          <w:rFonts w:ascii="Times New Roman" w:hAnsi="Times New Roman"/>
          <w:sz w:val="20"/>
          <w:szCs w:val="24"/>
          <w:lang w:val="en-US" w:eastAsia="ru-RU"/>
        </w:rPr>
        <w:t>PADI</w:t>
      </w:r>
      <w:r>
        <w:rPr>
          <w:rFonts w:ascii="Times New Roman" w:hAnsi="Times New Roman"/>
          <w:sz w:val="20"/>
          <w:szCs w:val="24"/>
          <w:lang w:eastAsia="ru-RU"/>
        </w:rPr>
        <w:t xml:space="preserve">, и по окончанию обучения получить сертификат международного образца), аквабайк (ежегодно с 2003 года на пляжах бухты Патрокл проводятся поединки ранга чемпионата и Кубок России, а фестиваль «Лето на Русском», открываемый такими мероприятиями собирает большое количество туристов). </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Титул автомобильной столицы России обязывает Владивосток развивать соответствующие виды спорта. На данный момент в пригороде реализуется проект под названием «Примринг». Спортивно-технический комплекс «Приморское кольцо» создан для проведения мероприятий по автомобильному, мотоциклетному и другим техническим видам спорта. На базе комплекса проводятся международные соревнования по дрифту, в которых участвуют сильнейшие гонщики. Данные мероприятие проводятся с целью развития Приморского края как туристического центра и спортивной столицы Дальнего Востока.</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Несмотря на то что в Приморском крае среди туристов популярна прежде всего пляжная зона, ряд туристических баз предлагают отдых, который придется по душе любителям заснеженных вершин и скоростных спусков. Горнолыжные курорты Приморья соответствуют всем запросам потребителей и находятся в живописных районах предгорий Сихотэ-Алиня. Активно функционируют горнолыжные комплексы «Восток» в Арсеньеве и «Медвежья долина» в Светлогорье. Об этих горнолыжных курортах наслышен весь Дальний Восток, именно там отдыхают не только приморцы, но жители соседнего Хабаровского края. Горнолыжный комплекс «Восток» входит в 5 лучших горнолыжных курортов Дальнего Востока, его опережают  «Горный воздух» на Сахалине и ГЛК «Холдоми», который находится в г. Комсомольске-на-Амуре. Реализуются проекты, поддерживающие ледовые виды спорта. Нефтяная компания «Роснефть» потратит более 300млн рублей на строительство крытых ледовых арен в Приморье. Арены появятся в Находке, Уссурийске, Арсеньеве, Лесозаводске и Дальнегорске. Открытие ледовых дворцов даст толчок развитию хоккея и фигурного катания в Приморье[4].</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В мае 2017 года во г. Владивостоке на базе кампуса Дальневосточного Федерального Университета прошел Третий Тихоокеанский туристский форум. В рамках деловой программы представители туристской отрасли России и Республики Корея, Китая и Японии обсудили перспективы взаимовыгодного сотрудничества в сфере туризма регионов Дальнего Востока и Сибири со странами Северо-Восточной Азии. Одной из поднятых тем была тема развития спортивно-оздоровительного туризма[3].</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Одной из таких площадок стала тематическая сессия с представителями туристской отрасли Республики Корея. Как сообщили организаторы мероприятия, в центре внимания сторон окажутся вопросы развития транзитного туризма в Приморье, связанные с проведением в южнокорейском городе Пхёнчхан Зимних Олимпийских игр-2018. В своем докладе директор Владивостокского представительства Национальной организации туризма Кореи госпожа Чо Юмни отметила: «Учитывая месторасположение Приморского края и его туристский потенциал, Республика Корея рассматривает Приморье как одну из основных транзитных точек для путешественников – гостей Олимпиады. Это хороший стимул для туркомпаний и туроператоров заинтересовать туристов короткими двух- и трехдневными программами, для того чтобы проникнуться олимпийской атмосферой».</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 xml:space="preserve">Также в рамках сессии речь шла о перспективах развития транспортной доступности Приморья и регионов Дальнего Востока в целом, возможностях расширения российско-корейских туристских связей в области спортивных событийных мероприятий и спортивных обменов.  </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Одним из самых популярных видов спорта в России- хоккей- представлен местной сравнительно недавно созданной командой «Адмирал», который успел покорить сердца болельщиков и стабильно выступает в КХЛ (Континентальной Хоккейной Лиге). По словам заместителя генерального директора по развитию ХК «Адмирал» Е.О. Винокуровой: «Приморский клуб проводит большую работу по развитию спортивного туризма. В Приморье проходят международные хоккейные турниры с участием детей из России, Кореи и Китая. Работает круглогодичный тренировочный лагерь, где проводятся стажировки для иностранных спортсменов, выездные мастер-классы в Азии от профессиональных тренеров «Адмирала»». Прошлым летом в Приморье приезжала сборная Республики Корея по хоккею, которая сыграла предсезонный матч с «Адмиралом» на Фетисов Арене в г. Владивосток. Данное мероприятие дало большую перспективу для развития Российско-Корейских отношений в спортивном туризме.</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 xml:space="preserve">Великий древнегреческий ученый Аристотель сказал: «Движение-жизнь». Владивосток смело можно назвать беговой столицей Дальнего Востока. Депутат Законодательного собрания Приморского края, К.С. </w:t>
      </w:r>
      <w:r>
        <w:rPr>
          <w:rFonts w:ascii="Times New Roman" w:hAnsi="Times New Roman"/>
          <w:sz w:val="20"/>
          <w:szCs w:val="24"/>
          <w:lang w:eastAsia="ru-RU"/>
        </w:rPr>
        <w:lastRenderedPageBreak/>
        <w:t>Бонданенко отметил, что массовый спорт и масштабные спортивно-массовые мероприятия выступают как инструментом формирования современного туристического сообщества на примере Владивостокского международного марафона и Ледового полумарафона (Беговой клуб RUN DNS RUN) стали пользоваться большой популярностью не только среди российских спортсменов, но и иностранных гостей Приморского края, что Ледовый полумарафон, что Международный марафон, стали уже традиционными спортивными массовыми мероприятиями и с каждым годом возрастает количество участников данных событий не только с российской стороны, но и со стороны иностранных держав.</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Конечно же, существует ряд проблем, который мешает прогрессивно развиваться туризму в Приморском крае. Основными негативными факторами, повлиявшими на развитие и современное состояние туристского бизнеса в крае, являются следующие: позднее хозяйственное освоение и заселение; продолжительная ориентация на внутренний рынок; существовавший многие годы особый режим въезда и выезда; недостаток профессиональных кадров в туризме; ориентация на развитие добывающей промышленности и военно-промышленного комплекса; отдаленность и отставание в общем развитии от центральных регионов страны.</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Необходимо отметить, что до реформ 1992 года, туристская отрасль не получила должного развития и не приносили возможного экономического эффекта, ее ресурсы использовались лишь частично. Но, тем не менее, туризм в Приморье был развит лучше, чем в других районах Дальнего Востока.</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 xml:space="preserve">После того как экономика края стала открытой, быстрыми темпами начал развиваться туристский бизнес, особенно на субрынке туроператоров и турагентов. Развитие субрынка средств размещения сдерживалось кризисными явлениями и невозможностью быстрой адаптации к новым условиям вследствие относительно низкой эластичности предложения.  </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Для выравнивания ситуации на туристском рынке Приморья и улучшения условий для турбизнеса на современном этапе необходимы - формирование информационной базы туризма на основании регулярных исследований конъюнктуры рынка. В наиболее развитых туристских районах страны уже начали проводить исследования, которые дают возможность направлять и прогнозировать спрос, формировать ценовую политику.</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 xml:space="preserve">В основном все проблемы активного развития не только спортивного туризма, но и всего в целом туризма в Приморском крае связан с удаленностью района от основного центра, где сфокусированы все новейшие технологии и основная инфраструктура туризма, и плохо развитой транспортной сетью, особенно в северной части. С другими регионами России, как известно, район связан в основном воздушным и железнодорожным сообщением. </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 xml:space="preserve">По мнению главы Ростуризма О.П.Сафонова, все дальневосточные регионы должны изучить опыт Приморского края по части создания туристско-информационного центра. </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Как известно, 13 июля 2015 года президент РФ подписал закон «О свободном порте Владивосток». Теперь на части территорий Приморского края установлены меры господдержки предпринимательской деятельности с целью привлечения инвестиций в развитие транспортной инфраструктуры, создания и развития конкурентоспособных производств, повышения уровня жизни граждан и ускорения социально-экономического развития. Финансирование будет осуществляться за счет внебюджетных средств с применением государственно-частного партнерства[5].</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lang w:eastAsia="ru-RU"/>
        </w:rPr>
        <w:t>Таким образом, по подсчетам ряда экспертов, по Дальнему Востоку путешествует порядка двух миллионов человек в год. В основном, это жители других регионов России. При этом отмечается высокий туристический потенциал всего ДФО - в радиусе тысячи километров от него проживает порядка 400 миллионов человек. Так что, подводя итоги нашего исследования, можно сказать следующее: ресурсный потенциал Приморского края в сфере развития спортивно-оздоровительного туризма очень велик. Так что и отечественным, и иностранным инвесторам имеет смысл вкладывать серьезные инвестиции в развитие полноценной туристской инфраструктуры региона.</w:t>
      </w:r>
      <w:r>
        <w:rPr>
          <w:rFonts w:ascii="Times New Roman" w:hAnsi="Times New Roman"/>
          <w:sz w:val="20"/>
          <w:szCs w:val="24"/>
        </w:rPr>
        <w:t xml:space="preserve">                                                                                                                                                                           </w:t>
      </w:r>
    </w:p>
    <w:p w:rsidR="00517711" w:rsidRDefault="00F815BE">
      <w:pPr>
        <w:spacing w:after="0" w:line="240" w:lineRule="auto"/>
        <w:jc w:val="both"/>
        <w:rPr>
          <w:rFonts w:ascii="Times New Roman" w:hAnsi="Times New Roman"/>
          <w:sz w:val="20"/>
          <w:szCs w:val="24"/>
        </w:rPr>
      </w:pPr>
      <w:r>
        <w:rPr>
          <w:noProof/>
          <w:sz w:val="18"/>
          <w:lang w:eastAsia="ru-RU"/>
        </w:rPr>
        <mc:AlternateContent>
          <mc:Choice Requires="wps">
            <w:drawing>
              <wp:anchor distT="0" distB="0" distL="114300" distR="114300" simplePos="0" relativeHeight="251688960" behindDoc="0" locked="0" layoutInCell="1" allowOverlap="1">
                <wp:simplePos x="0" y="0"/>
                <wp:positionH relativeFrom="column">
                  <wp:posOffset>23493</wp:posOffset>
                </wp:positionH>
                <wp:positionV relativeFrom="paragraph">
                  <wp:posOffset>90803</wp:posOffset>
                </wp:positionV>
                <wp:extent cx="4373878" cy="0"/>
                <wp:effectExtent l="0" t="0" r="26668" b="19048"/>
                <wp:wrapNone/>
                <wp:docPr id="95" name="Прямая со стрелкой 51"/>
                <wp:cNvGraphicFramePr/>
                <a:graphic xmlns:a="http://schemas.openxmlformats.org/drawingml/2006/main">
                  <a:graphicData uri="http://schemas.microsoft.com/office/word/2010/wordprocessingShape">
                    <wps:wsp>
                      <wps:cNvCnPr/>
                      <wps:spPr bwMode="auto">
                        <a:xfrm>
                          <a:off x="0" y="0"/>
                          <a:ext cx="437388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30456148" id="Прямая со стрелкой 51" o:spid="_x0000_s1026" type="#_x0000_t32" style="position:absolute;margin-left:1.85pt;margin-top:7.15pt;width:344.4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"/>
            </w:pict>
          </mc:Fallback>
        </mc:AlternateConten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 1. http://www.kremlin.ru/events/president/news/17667-  Презедент России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 2.</w:t>
      </w:r>
      <w:r>
        <w:rPr>
          <w:sz w:val="18"/>
        </w:rPr>
        <w:t xml:space="preserve"> </w:t>
      </w:r>
      <w:r>
        <w:rPr>
          <w:rFonts w:ascii="Times New Roman" w:hAnsi="Times New Roman"/>
          <w:sz w:val="20"/>
          <w:szCs w:val="24"/>
        </w:rPr>
        <w:t>http://www.tssr.ru/-Спортивно-оздоровительный туризм в России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 3. http://www.otvprim.ru/- ОТВ-Прим, Общественное телевидение Приморья</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 4. Авченко, Агафонов, Безделева.  Приморье. Современный путеводитель М: </w:t>
      </w:r>
      <w:r>
        <w:rPr>
          <w:rFonts w:ascii="Times New Roman" w:hAnsi="Times New Roman"/>
          <w:sz w:val="20"/>
          <w:szCs w:val="24"/>
          <w:lang w:val="en-US"/>
        </w:rPr>
        <w:t>PressPass</w:t>
      </w:r>
      <w:r>
        <w:rPr>
          <w:rFonts w:ascii="Times New Roman" w:hAnsi="Times New Roman"/>
          <w:sz w:val="20"/>
          <w:szCs w:val="24"/>
        </w:rPr>
        <w:t>, 2015 – С. 74-75</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 5. http://www.consultant.ru/- О свободном порте Владивосток. Федеральный закон № 212 от 13.07.2015 г. в ред. 07.03.2012г </w:t>
      </w: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Туризм</w:t>
      </w:r>
    </w:p>
    <w:p w:rsidR="00517711" w:rsidRDefault="00F815BE">
      <w:pPr>
        <w:spacing w:after="0" w:line="240" w:lineRule="auto"/>
        <w:jc w:val="both"/>
        <w:rPr>
          <w:rFonts w:ascii="Times New Roman" w:hAnsi="Times New Roman"/>
          <w:color w:val="000000"/>
          <w:sz w:val="20"/>
          <w:szCs w:val="24"/>
          <w:lang w:eastAsia="ru-RU"/>
        </w:rPr>
      </w:pPr>
      <w:r>
        <w:rPr>
          <w:rFonts w:ascii="Times New Roman" w:hAnsi="Times New Roman"/>
          <w:color w:val="000000" w:themeColor="text1"/>
          <w:sz w:val="20"/>
          <w:szCs w:val="24"/>
          <w:lang w:eastAsia="ru-RU"/>
        </w:rPr>
        <w:t>УДК 379.85</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Методы повышения мотивации труда персонала в индустрии туризма</w:t>
      </w:r>
    </w:p>
    <w:p w:rsidR="00517711" w:rsidRDefault="00F815BE">
      <w:pPr>
        <w:spacing w:after="0" w:line="240" w:lineRule="auto"/>
        <w:jc w:val="center"/>
        <w:rPr>
          <w:rFonts w:ascii="Arial" w:eastAsia="Calibri" w:hAnsi="Arial"/>
          <w:b/>
          <w:bCs/>
          <w:sz w:val="24"/>
          <w:szCs w:val="20"/>
          <w:lang w:eastAsia="ru-RU"/>
        </w:rPr>
      </w:pPr>
      <w:r>
        <w:rPr>
          <w:rFonts w:ascii="Arial" w:eastAsia="Calibri" w:hAnsi="Arial"/>
          <w:b/>
          <w:bCs/>
          <w:sz w:val="24"/>
          <w:szCs w:val="20"/>
          <w:lang w:eastAsia="ru-RU"/>
        </w:rPr>
        <w:t xml:space="preserve">Мовсисян Карина Арцруновна, </w:t>
      </w:r>
    </w:p>
    <w:p w:rsidR="00517711" w:rsidRDefault="00F815BE">
      <w:pPr>
        <w:spacing w:line="240" w:lineRule="auto"/>
        <w:jc w:val="center"/>
        <w:rPr>
          <w:rFonts w:ascii="Arial" w:eastAsia="Calibri" w:hAnsi="Arial"/>
          <w:bCs/>
          <w:sz w:val="24"/>
          <w:szCs w:val="20"/>
          <w:lang w:eastAsia="ru-RU"/>
        </w:rPr>
      </w:pPr>
      <w:r>
        <w:rPr>
          <w:rFonts w:ascii="Arial" w:eastAsia="Calibri" w:hAnsi="Arial"/>
          <w:bCs/>
          <w:sz w:val="24"/>
          <w:szCs w:val="20"/>
          <w:lang w:eastAsia="ru-RU"/>
        </w:rPr>
        <w:t xml:space="preserve"> магистрант</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lastRenderedPageBreak/>
        <w:t xml:space="preserve">  Владивостокский государственный университет экономики и сервиса </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spacing w:after="0" w:line="240" w:lineRule="auto"/>
        <w:jc w:val="center"/>
        <w:rPr>
          <w:rFonts w:ascii="Times New Roman" w:hAnsi="Times New Roman"/>
          <w:sz w:val="20"/>
          <w:szCs w:val="24"/>
        </w:rPr>
      </w:pPr>
      <w:r>
        <w:rPr>
          <w:rFonts w:ascii="Times New Roman" w:hAnsi="Times New Roman"/>
          <w:sz w:val="20"/>
          <w:szCs w:val="24"/>
          <w:lang w:val="en-US"/>
        </w:rPr>
        <w:t>E</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 xml:space="preserve">: </w:t>
      </w:r>
      <w:r>
        <w:rPr>
          <w:rFonts w:ascii="Times New Roman" w:hAnsi="Times New Roman"/>
          <w:sz w:val="20"/>
          <w:szCs w:val="24"/>
          <w:lang w:val="en-US"/>
        </w:rPr>
        <w:t>movsijan</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w:t>
      </w:r>
      <w:r>
        <w:rPr>
          <w:rFonts w:ascii="Times New Roman" w:hAnsi="Times New Roman"/>
          <w:sz w:val="20"/>
          <w:szCs w:val="24"/>
          <w:lang w:val="en-US"/>
        </w:rPr>
        <w:t>ru</w:t>
      </w:r>
      <w:r>
        <w:rPr>
          <w:rFonts w:ascii="Times New Roman" w:hAnsi="Times New Roman"/>
          <w:sz w:val="20"/>
          <w:szCs w:val="24"/>
        </w:rPr>
        <w:t xml:space="preserve">; тел.: +79147184592 </w:t>
      </w:r>
    </w:p>
    <w:p w:rsidR="00517711" w:rsidRDefault="00F815BE">
      <w:pPr>
        <w:spacing w:line="240" w:lineRule="auto"/>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F815BE">
      <w:pPr>
        <w:spacing w:after="0" w:line="240" w:lineRule="auto"/>
        <w:jc w:val="center"/>
        <w:rPr>
          <w:rFonts w:ascii="Arial" w:eastAsia="Calibri" w:hAnsi="Arial"/>
          <w:b/>
          <w:bCs/>
          <w:sz w:val="24"/>
          <w:szCs w:val="20"/>
          <w:lang w:eastAsia="ru-RU"/>
        </w:rPr>
      </w:pPr>
      <w:r>
        <w:rPr>
          <w:rFonts w:ascii="Arial" w:eastAsia="Calibri" w:hAnsi="Arial"/>
          <w:b/>
          <w:bCs/>
          <w:sz w:val="24"/>
          <w:szCs w:val="20"/>
          <w:lang w:eastAsia="ru-RU"/>
        </w:rPr>
        <w:t>Толстых Ирина Николаевна,</w:t>
      </w:r>
    </w:p>
    <w:p w:rsidR="00517711" w:rsidRDefault="00F815BE">
      <w:pPr>
        <w:spacing w:line="240" w:lineRule="auto"/>
        <w:jc w:val="center"/>
        <w:rPr>
          <w:rFonts w:ascii="Arial" w:eastAsia="Calibri" w:hAnsi="Arial"/>
          <w:bCs/>
          <w:sz w:val="24"/>
          <w:szCs w:val="20"/>
          <w:lang w:eastAsia="ru-RU"/>
        </w:rPr>
      </w:pPr>
      <w:r>
        <w:rPr>
          <w:rFonts w:ascii="Arial" w:eastAsia="Calibri" w:hAnsi="Arial"/>
          <w:bCs/>
          <w:sz w:val="24"/>
          <w:szCs w:val="20"/>
          <w:lang w:eastAsia="ru-RU"/>
        </w:rPr>
        <w:t>Кандидат исторических наук, доцент кафедры туризма и экологии</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spacing w:line="240" w:lineRule="auto"/>
        <w:ind w:firstLine="709"/>
        <w:contextualSpacing/>
        <w:jc w:val="center"/>
        <w:rPr>
          <w:rFonts w:ascii="Times New Roman" w:hAnsi="Times New Roman"/>
          <w:sz w:val="20"/>
          <w:szCs w:val="24"/>
        </w:rPr>
      </w:pPr>
      <w:r>
        <w:rPr>
          <w:rFonts w:ascii="Times New Roman" w:hAnsi="Times New Roman"/>
          <w:sz w:val="20"/>
          <w:szCs w:val="24"/>
          <w:lang w:val="en-US"/>
        </w:rPr>
        <w:t>E</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 xml:space="preserve">: </w:t>
      </w:r>
      <w:r>
        <w:rPr>
          <w:rFonts w:ascii="Times New Roman" w:hAnsi="Times New Roman"/>
          <w:sz w:val="20"/>
          <w:szCs w:val="24"/>
          <w:lang w:val="en-US"/>
        </w:rPr>
        <w:t>improvis</w:t>
      </w:r>
      <w:r>
        <w:rPr>
          <w:rFonts w:ascii="Times New Roman" w:hAnsi="Times New Roman"/>
          <w:sz w:val="20"/>
          <w:szCs w:val="24"/>
        </w:rPr>
        <w:t>@</w:t>
      </w:r>
      <w:r>
        <w:rPr>
          <w:rFonts w:ascii="Times New Roman" w:hAnsi="Times New Roman"/>
          <w:sz w:val="20"/>
          <w:szCs w:val="24"/>
          <w:lang w:val="en-US"/>
        </w:rPr>
        <w:t>rambler</w:t>
      </w:r>
      <w:r>
        <w:rPr>
          <w:rFonts w:ascii="Times New Roman" w:hAnsi="Times New Roman"/>
          <w:sz w:val="20"/>
          <w:szCs w:val="24"/>
        </w:rPr>
        <w:t>.</w:t>
      </w:r>
      <w:r>
        <w:rPr>
          <w:rFonts w:ascii="Times New Roman" w:hAnsi="Times New Roman"/>
          <w:sz w:val="20"/>
          <w:szCs w:val="24"/>
          <w:lang w:val="en-US"/>
        </w:rPr>
        <w:t>ru</w:t>
      </w:r>
      <w:r>
        <w:rPr>
          <w:rFonts w:ascii="Times New Roman" w:hAnsi="Times New Roman"/>
          <w:sz w:val="20"/>
          <w:szCs w:val="24"/>
        </w:rPr>
        <w:t>; тел.: +74232404164</w:t>
      </w:r>
    </w:p>
    <w:p w:rsidR="00517711" w:rsidRDefault="00F815BE">
      <w:pPr>
        <w:spacing w:line="240" w:lineRule="auto"/>
        <w:ind w:firstLine="709"/>
        <w:contextualSpacing/>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F815BE">
      <w:pPr>
        <w:spacing w:after="0" w:line="240" w:lineRule="auto"/>
        <w:ind w:firstLine="709"/>
        <w:jc w:val="both"/>
        <w:rPr>
          <w:rFonts w:ascii="Times New Roman" w:hAnsi="Times New Roman"/>
          <w:i/>
          <w:szCs w:val="24"/>
        </w:rPr>
      </w:pPr>
      <w:r>
        <w:rPr>
          <w:rFonts w:ascii="Times New Roman" w:hAnsi="Times New Roman"/>
          <w:i/>
          <w:szCs w:val="24"/>
        </w:rPr>
        <w:t>В статье дана характеристика стимулирования и методов повышения мотивации труда, рассмотрены теоретические аспекты, а также рассмотрены отечественные опыты внедрения программ мотивации труда в индустрии туризма. Основная цель исследования – изучить теоретические аспекты по повышению мотивации труда в сфере туризма.</w:t>
      </w:r>
    </w:p>
    <w:p w:rsidR="00517711" w:rsidRDefault="00F815BE">
      <w:pPr>
        <w:spacing w:after="0"/>
        <w:ind w:firstLine="708"/>
        <w:rPr>
          <w:rFonts w:ascii="Times New Roman" w:hAnsi="Times New Roman"/>
          <w:i/>
          <w:szCs w:val="24"/>
        </w:rPr>
      </w:pPr>
      <w:r>
        <w:rPr>
          <w:rFonts w:ascii="Times New Roman" w:hAnsi="Times New Roman"/>
          <w:b/>
          <w:szCs w:val="24"/>
        </w:rPr>
        <w:t xml:space="preserve">Ключевые слова и словосочетания: </w:t>
      </w:r>
      <w:r>
        <w:rPr>
          <w:rFonts w:ascii="Times New Roman" w:hAnsi="Times New Roman"/>
          <w:i/>
          <w:szCs w:val="24"/>
        </w:rPr>
        <w:t>туризм, мотивация, потребность, метод, стимулирование, персонал.</w:t>
      </w:r>
    </w:p>
    <w:p w:rsidR="00517711" w:rsidRDefault="00F815BE">
      <w:pPr>
        <w:keepNext/>
        <w:spacing w:before="240" w:after="240" w:line="240" w:lineRule="auto"/>
        <w:jc w:val="center"/>
        <w:outlineLvl w:val="0"/>
        <w:rPr>
          <w:rFonts w:ascii="Book Antiqua" w:hAnsi="Book Antiqua"/>
          <w:b/>
          <w:bCs/>
          <w:caps/>
          <w:sz w:val="26"/>
          <w:szCs w:val="26"/>
          <w:lang w:val="en-US"/>
        </w:rPr>
      </w:pPr>
      <w:r>
        <w:rPr>
          <w:rFonts w:ascii="Book Antiqua" w:hAnsi="Book Antiqua"/>
          <w:b/>
          <w:bCs/>
          <w:caps/>
          <w:sz w:val="26"/>
          <w:szCs w:val="26"/>
          <w:lang w:val="en-US"/>
        </w:rPr>
        <w:t>Methods to increase the motivation of staff in the tourism industry</w:t>
      </w:r>
    </w:p>
    <w:p w:rsidR="00517711" w:rsidRDefault="00F815BE">
      <w:pPr>
        <w:spacing w:after="0" w:line="240" w:lineRule="auto"/>
        <w:ind w:firstLine="708"/>
        <w:jc w:val="both"/>
        <w:rPr>
          <w:rFonts w:ascii="Times New Roman" w:hAnsi="Times New Roman"/>
          <w:i/>
          <w:szCs w:val="24"/>
          <w:lang w:val="en-US"/>
        </w:rPr>
      </w:pPr>
      <w:r>
        <w:rPr>
          <w:rFonts w:ascii="Times New Roman" w:hAnsi="Times New Roman"/>
          <w:i/>
          <w:szCs w:val="24"/>
          <w:lang w:val="en-US"/>
        </w:rPr>
        <w:t>In the article the characteristic of stimulation and methods of motivation increase is given, theoretical aspects are considered and also domestic experience of introduction of labor motivation programs in the tourism industry is considered. The main goal of the study is to study theoretical aspects of motivation increase in the sphere of tourism.</w:t>
      </w:r>
    </w:p>
    <w:p w:rsidR="00517711" w:rsidRDefault="00F815BE">
      <w:pPr>
        <w:spacing w:after="0"/>
        <w:ind w:firstLine="708"/>
        <w:rPr>
          <w:rFonts w:ascii="Times New Roman" w:hAnsi="Times New Roman"/>
          <w:i/>
          <w:szCs w:val="24"/>
          <w:lang w:val="en-US"/>
        </w:rPr>
      </w:pPr>
      <w:r>
        <w:rPr>
          <w:rFonts w:ascii="Times New Roman" w:hAnsi="Times New Roman"/>
          <w:b/>
          <w:i/>
          <w:szCs w:val="24"/>
          <w:lang w:val="en-US"/>
        </w:rPr>
        <w:t xml:space="preserve">Keywords: </w:t>
      </w:r>
      <w:r>
        <w:rPr>
          <w:rFonts w:ascii="Times New Roman" w:hAnsi="Times New Roman"/>
          <w:i/>
          <w:szCs w:val="24"/>
          <w:lang w:val="en-US"/>
        </w:rPr>
        <w:t>tourism, motivation, need, stimulation, staff.</w:t>
      </w:r>
    </w:p>
    <w:p w:rsidR="00517711" w:rsidRDefault="00517711">
      <w:pPr>
        <w:spacing w:after="0"/>
        <w:ind w:firstLine="708"/>
        <w:rPr>
          <w:rFonts w:ascii="Times New Roman" w:hAnsi="Times New Roman"/>
          <w:b/>
          <w:i/>
          <w:sz w:val="20"/>
          <w:szCs w:val="24"/>
          <w:lang w:val="en-US"/>
        </w:rPr>
      </w:pPr>
    </w:p>
    <w:p w:rsidR="00517711" w:rsidRDefault="00F815BE">
      <w:pPr>
        <w:spacing w:after="0" w:line="240" w:lineRule="auto"/>
        <w:ind w:firstLine="708"/>
        <w:jc w:val="both"/>
        <w:rPr>
          <w:rFonts w:ascii="Times New Roman" w:hAnsi="Times New Roman"/>
          <w:sz w:val="20"/>
          <w:szCs w:val="20"/>
        </w:rPr>
      </w:pPr>
      <w:r>
        <w:rPr>
          <w:rFonts w:ascii="Times New Roman" w:hAnsi="Times New Roman"/>
          <w:sz w:val="20"/>
          <w:szCs w:val="20"/>
        </w:rPr>
        <w:t>На сегодняшний день туризм является одним из наиболее быстро развивающихся секторов мировой экономики. В индустрию туризма входят различные формы организаций, такие как предприятия гостеприимства,</w:t>
      </w:r>
      <w:r>
        <w:rPr>
          <w:sz w:val="20"/>
          <w:szCs w:val="20"/>
        </w:rPr>
        <w:t xml:space="preserve"> </w:t>
      </w:r>
      <w:r>
        <w:rPr>
          <w:rFonts w:ascii="Times New Roman" w:hAnsi="Times New Roman"/>
          <w:sz w:val="20"/>
          <w:szCs w:val="20"/>
        </w:rPr>
        <w:t>турфирмы, транспортные предприятия. Там задействовано довольно большая численность людей и именно они считаются главными трудовыми ресурсами туристских организаций. Поэтому следует принимать во внимание, что общественные факторы несут определяющее значение в продуманной и сбалансированной системе управления персоналом организации. Более того кадры организации считаются ведущими ресурсами в увеличении и эффективности работы и достижении лидирующего положения на рынке. Сфера социально-культурного сервиса и туризма в этом смысле отличается особо тем, что работа с людьми и для людей, которая определяет дополнительные запросы к качеству персонала.</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Актуальность исследования состоит в том, что от четкой разработки действенной системы мотивации находится в зависимости не только увеличение общественной и творческой активности конкретного сотрудника (менеджера, рабочего), но и итоги работы компаний индустрии туризма.</w:t>
      </w:r>
    </w:p>
    <w:p w:rsidR="00517711" w:rsidRDefault="00F815BE">
      <w:pPr>
        <w:spacing w:after="0" w:line="240" w:lineRule="auto"/>
        <w:ind w:firstLine="709"/>
        <w:jc w:val="both"/>
        <w:rPr>
          <w:rFonts w:ascii="Times New Roman" w:hAnsi="Times New Roman"/>
          <w:bCs/>
          <w:iCs/>
          <w:sz w:val="20"/>
          <w:szCs w:val="20"/>
        </w:rPr>
      </w:pPr>
      <w:r>
        <w:rPr>
          <w:rFonts w:ascii="Times New Roman" w:hAnsi="Times New Roman"/>
          <w:bCs/>
          <w:iCs/>
          <w:sz w:val="20"/>
          <w:szCs w:val="20"/>
        </w:rPr>
        <w:t>Задачи исследования:</w:t>
      </w:r>
    </w:p>
    <w:p w:rsidR="00517711" w:rsidRDefault="00F815BE">
      <w:pPr>
        <w:spacing w:after="0" w:line="240" w:lineRule="auto"/>
        <w:ind w:firstLine="709"/>
        <w:jc w:val="both"/>
        <w:rPr>
          <w:rFonts w:ascii="Times New Roman" w:hAnsi="Times New Roman"/>
          <w:bCs/>
          <w:iCs/>
          <w:sz w:val="20"/>
          <w:szCs w:val="20"/>
        </w:rPr>
      </w:pPr>
      <w:r>
        <w:rPr>
          <w:rFonts w:ascii="Times New Roman" w:hAnsi="Times New Roman"/>
          <w:bCs/>
          <w:iCs/>
          <w:sz w:val="20"/>
          <w:szCs w:val="20"/>
        </w:rPr>
        <w:t>1 Проанализировать основные методы стимулирования персонала.</w:t>
      </w:r>
    </w:p>
    <w:p w:rsidR="00517711" w:rsidRDefault="00F815BE">
      <w:pPr>
        <w:spacing w:after="0" w:line="240" w:lineRule="auto"/>
        <w:ind w:firstLine="709"/>
        <w:jc w:val="both"/>
        <w:rPr>
          <w:rFonts w:ascii="Times New Roman" w:hAnsi="Times New Roman"/>
          <w:bCs/>
          <w:iCs/>
          <w:sz w:val="20"/>
          <w:szCs w:val="20"/>
        </w:rPr>
      </w:pPr>
      <w:r>
        <w:rPr>
          <w:rFonts w:ascii="Times New Roman" w:hAnsi="Times New Roman"/>
          <w:bCs/>
          <w:iCs/>
          <w:sz w:val="20"/>
          <w:szCs w:val="20"/>
        </w:rPr>
        <w:t>2 Привести примеры опыта внедрения мотивационных программ в сфере туризма.</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 статье рассматривается мотивация труда как функция управления. То есть мотивация в системе менеджмента.</w:t>
      </w:r>
    </w:p>
    <w:p w:rsidR="00517711" w:rsidRDefault="00F815BE">
      <w:pPr>
        <w:spacing w:after="0" w:line="240" w:lineRule="auto"/>
        <w:ind w:firstLine="709"/>
        <w:jc w:val="both"/>
        <w:rPr>
          <w:rFonts w:ascii="Times New Roman" w:hAnsi="Times New Roman"/>
          <w:b/>
          <w:sz w:val="20"/>
          <w:szCs w:val="20"/>
        </w:rPr>
      </w:pPr>
      <w:r>
        <w:rPr>
          <w:rFonts w:ascii="Times New Roman" w:hAnsi="Times New Roman"/>
          <w:b/>
          <w:sz w:val="20"/>
          <w:szCs w:val="20"/>
        </w:rPr>
        <w:t>Состояние научной разработанности проблемы.</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 исследовательских работах российских ученых вопросы воздействия мотивационных систем на эффективность управления персоналом получили дальнейшее развитие с учетом особенностей социально-трудовых отношений страны. Однако анализ итогов иностранных и российских ученых показывает на систематическое появление новых проблем в области именно профессиональной мотивации. К таким проблемам можно отнести: планирование кадровой политической деятельности и ее ведущих направлений; обоснование важнейших функций системы управления персоналом; составление требований системы управления персоналом к кадровой политике; формирование мотивационных программ; создание системы стимулирования на предприятии. Решение аналогичных вопросов для организаций и фирм делается одним из важных факторов укрепления и конкурентоспособности на современном этапе экономического развития страны.</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Ф. Тейлор был первым основоположником классической школы управления, в которой были представлены попытки повышения мотивации работника. Он представил модель «экономического человека». В </w:t>
      </w:r>
      <w:r>
        <w:rPr>
          <w:rFonts w:ascii="Times New Roman" w:hAnsi="Times New Roman"/>
          <w:sz w:val="20"/>
          <w:szCs w:val="20"/>
        </w:rPr>
        <w:lastRenderedPageBreak/>
        <w:t>ней описано, что вознаграждение в виде денег является единственным стимулом для высокопроизводительного труда.</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Пирамиду иерархических потребностей создал А. Маслоу. Этим самым он внес свой вклад в проблему повышения мотивации труда. Благодаря его разработкам, научные выводы послужили отправной точкой для большинства разработок и концепций. Идеи Маслоу получили дальнейшее рассмотрение в трудах таких научных исследователей, как К. Альдерфер, Ф. Герцберг, Д. МакКлелланд.</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Необходимо подчеркнуть, что особый смысл для описания проблемы трудовой мотивации имели исследования зарубежных ученых, среди которых: Д. Аткинсон, Д. Маккиллен, С. Адаме, Б. Скиннер, Э. Локк, JI. Портер, Э. Лоулер и др. Их концепции основаны на рассмотрении непосредственного процесса трудовой деятельности.</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Между российских теорий большое внимание дает концепция «устойчивого мотивационного ядра», которую представили В.А. Ядов и А.Г. Здравомыслов; В.А. Ядову принадлежит еще диспозиционная теория саморегуляции социального поведения личности. В.Г. Подмарков, И.Ф. Беляева, М.И. Круглов и другие тоже исследовали трудовую мотивацию.</w:t>
      </w:r>
    </w:p>
    <w:p w:rsidR="00517711" w:rsidRDefault="00F815BE">
      <w:pPr>
        <w:spacing w:after="0" w:line="240" w:lineRule="auto"/>
        <w:ind w:firstLine="708"/>
        <w:jc w:val="both"/>
        <w:rPr>
          <w:rFonts w:ascii="Times New Roman" w:hAnsi="Times New Roman"/>
          <w:sz w:val="20"/>
          <w:szCs w:val="20"/>
        </w:rPr>
      </w:pPr>
      <w:r>
        <w:rPr>
          <w:rFonts w:ascii="Times New Roman" w:hAnsi="Times New Roman"/>
          <w:sz w:val="20"/>
          <w:szCs w:val="20"/>
        </w:rPr>
        <w:t>Субъекты и объекты – это самые важные категории менеджмента. Субъектом менеджмента является тот, кто совершает управление, другими словами - менеджер. Объектом является то, в отношении чего осуществляется управление, то есть персонал.</w:t>
      </w:r>
    </w:p>
    <w:p w:rsidR="00517711" w:rsidRDefault="00F815BE">
      <w:pPr>
        <w:spacing w:after="0" w:line="240" w:lineRule="auto"/>
        <w:ind w:firstLine="708"/>
        <w:jc w:val="both"/>
        <w:rPr>
          <w:rFonts w:ascii="Times New Roman" w:hAnsi="Times New Roman"/>
          <w:sz w:val="20"/>
          <w:szCs w:val="20"/>
        </w:rPr>
      </w:pPr>
      <w:r>
        <w:rPr>
          <w:rFonts w:ascii="Times New Roman" w:hAnsi="Times New Roman"/>
          <w:sz w:val="20"/>
          <w:szCs w:val="20"/>
        </w:rPr>
        <w:t>Те же объекты и субъекты задействованы и в построении системы мотивации.</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«Мотивация – это совокупность внутренних и внешних движущих сил, которые побуждают человека к деятельности, и придают этой деятельности направленность, ориентированную на достижение определенных целей».[1, с.528]</w:t>
      </w:r>
    </w:p>
    <w:p w:rsidR="00517711" w:rsidRDefault="00F815BE">
      <w:pPr>
        <w:spacing w:after="0" w:line="240" w:lineRule="auto"/>
        <w:ind w:firstLine="708"/>
        <w:jc w:val="both"/>
        <w:rPr>
          <w:rFonts w:ascii="Times New Roman" w:hAnsi="Times New Roman"/>
          <w:sz w:val="20"/>
          <w:szCs w:val="20"/>
        </w:rPr>
      </w:pPr>
      <w:r>
        <w:rPr>
          <w:rFonts w:ascii="Times New Roman" w:hAnsi="Times New Roman"/>
          <w:sz w:val="20"/>
          <w:szCs w:val="20"/>
        </w:rPr>
        <w:t xml:space="preserve">Мотивацию определяют, как стремление удовлетворения своих потребностей с помощью трудовой деятельности. </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В деятельности мотивации главным являются стимул, потребность и мотив. </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Потребность – состояние человека, создающееся нуждой в предметах необходимых для его существования  и побуждающее его к активной деятельности.</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«Мотив – побудительная причина, повод к тем или иным действиям, оказывающим воздействие на поведение человека».[2, с.57]</w:t>
      </w:r>
      <w:r>
        <w:rPr>
          <w:rFonts w:ascii="Times New Roman" w:hAnsi="Times New Roman"/>
          <w:sz w:val="20"/>
          <w:szCs w:val="20"/>
        </w:rPr>
        <w:tab/>
        <w:t>ё</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 «Стимулирование – внешнее побуждение, элемент трудовой ситуации, влияющий на поведение человека в сфере труда с целью побуждения его к эффективной трудовой деятельности»[3, с.116].</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«Мотивирование – сердцевина управления человеком. Это процесс воздействия на человека для побуждения его к конкретным акциям посредством пробуждения в нем определенных мотивов»[4, с.16].</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Мотивирование сотрудников в индустрии туризма.</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Человеческие ресурсы в индустрии туризма используются часто и активно. Мотивация трудовой активности ориентирована на удовлетворение ожиданий и требований сотрудников той или иной компании. Принято, что ожидания и требования работников подразделяются на 3 основные группы: внутреннее удовлетворение трудом, социальные взаимоотношения, экономическое вознаграждение.</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Наиболее известный мотивационный подход к работникам реализован на удовлетворении финансовых потребностей сотрудников. Но в индустрии туризма материальное вознаграждение для большинства служащих не очень велико, а это существенно увеличивает значение оставшихся факторов.  Далее рассматриваются оба метода мотивации. Нужно напомнить что, руководители компаний в качестве способа мотивирования используют материальное и нематериальное стимулирование.</w:t>
      </w:r>
    </w:p>
    <w:p w:rsidR="00517711" w:rsidRDefault="00F815BE">
      <w:pPr>
        <w:spacing w:after="0" w:line="240" w:lineRule="auto"/>
        <w:ind w:firstLine="709"/>
        <w:jc w:val="both"/>
        <w:rPr>
          <w:rFonts w:ascii="Times New Roman" w:hAnsi="Times New Roman"/>
          <w:b/>
          <w:sz w:val="20"/>
          <w:szCs w:val="20"/>
        </w:rPr>
      </w:pPr>
      <w:r>
        <w:rPr>
          <w:rFonts w:ascii="Times New Roman" w:hAnsi="Times New Roman"/>
          <w:b/>
          <w:sz w:val="20"/>
          <w:szCs w:val="20"/>
        </w:rPr>
        <w:t>Материальные методы стимулирования.</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Любой сотрудник при выборе места работы первым делом смотрит на уровень заработной платы. Это является одним из главным критериев. Но исследователи мотивации давно. Однако ученые мотивации  давно не принимают всесилие денег в качестве средства побуждения к трудовой активности. Важная черта денег – это не насыщаемость. Эта индивидуальность денег как фактора мотивации имеет как преимущества, так и недостатки. С помощью денег можно мотивировать любую трудовую деятельность, но также деньги могут стать предпосылкой потери мотивации сотрудника. Вдобавок, в подтверждение теории Герцбергера, малое финансовое стимулирования может вызвать неудовлетворенность работой, но в то же время его хорошее количество само по себе не приносит длительной удовлетворенности. Поэтому есть некий уровень денежного вознаграждения, превышение которого может не отражаться на мотивации.</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«Степень заработной платы работает не только средством удовлетворения материальных потребностей, а также может быть важен по следующим обстоятельствам:</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1. Гарантирует статус сотрудника не только внутри иерархии организации, но и за пределами работы, по отношению к соседям, друзьям, родственникам.</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2. Считается доказательством достигнутых успехов в работе, профессиональной карьеры.</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3. Имеет возможность быть компенсацией за непрезентабельную, неинтересную работу.</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4. Финансы в виде надбавок, премий имеют все шансы рассматриваться как средство выражения признания, благодарности».[5, 87]</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Чтобы достичь эффекта от материального стимулирования, нужно выполнять некоторые условия: </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1. Работник должен считать оплату своего труда справедливой.</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2 Работник должен видеть связь между результатами своей работы и оплатой труда.</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lastRenderedPageBreak/>
        <w:t>3 Работодатель должен осознавать, какие действия работников он хочет поощрять.</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Индивидуальные вознаграждения. Поощрения для признания значения определенного сотрудника.  Например, премии, выплачивающиеся сотрудникам, обладающим навыками, остро необходимыми организации. Или выплаты работникам, проработавшим в фирме конкретное количество времени. В турфирмах такая система оплаты труда вполне может понизить текучесть кадров.</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Как уже упоминалось выше, финансы могут стать демотиватором работника. Регулярные премии, выдаваемые, например, в конце месяца или квартала, могут восприниматься сотрудником как гарантированный заработок. Отмена таких выплат будет расцениваться как наказание. А это, скорее всего, демотивирует персонал, нежели побуждает к активной деятельности.</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Однако «признавая важную роль материального вознаграждения, его нужно рассматривать в контексте всех мотивирующих факторов предприятия, и с учетом всех аспектов влияния денежных выплат на профессиональную мотивацию конкретного работника».</w:t>
      </w:r>
    </w:p>
    <w:p w:rsidR="00517711" w:rsidRDefault="00F815BE">
      <w:pPr>
        <w:spacing w:after="0" w:line="240" w:lineRule="auto"/>
        <w:ind w:firstLine="709"/>
        <w:jc w:val="both"/>
        <w:rPr>
          <w:rFonts w:ascii="Times New Roman" w:hAnsi="Times New Roman"/>
          <w:b/>
          <w:sz w:val="20"/>
          <w:szCs w:val="20"/>
        </w:rPr>
      </w:pPr>
      <w:r>
        <w:rPr>
          <w:rFonts w:ascii="Times New Roman" w:hAnsi="Times New Roman"/>
          <w:b/>
          <w:sz w:val="20"/>
          <w:szCs w:val="20"/>
        </w:rPr>
        <w:t>Методы нематериального стимулирования.</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 наше время главный акцент делается на разработку мотивационных систем большей частью использующих нематериальные методы. Также значимое внимание уделяется удовлетворению социальных потребностей сотрудника (вовлечение в процесс работы, хорошие взаимоотношения с сослуживцами, иметь возможность профессионального роста и продвижения, престиж), а не простому финансовому вознаграждению.</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Нематериальные вознаграждения предполагают комплекс способов, которые не относятся непосредственно к оплате труда. Организации используют для поощрения своих работников за хорошо выполненную работу и увеличения их мотивации и преданности к фирме.</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 нематериальное стимулирование труда входит:</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1 Моральное стимулирование (общественное признание)- стимулирование труда, регулирующее поведение сотрудника на основе использований явлений, которые специализируются для выражения социального признания работника и способствующее повышению его престижа. Методы морального стимулирования – это вручение наград, грамот, вымпелов, размещение фотографий на досках почета, публичные поощрения.</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2 Стимулирование свободным временем – регулирует поведение сотрудника на основе изменения времени его занятости. Различают:</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2.1 Общее - для всех сотрудников; </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2.2. Эталонное - для сотрудников, которые достигают определенных результатов в работе; </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2.3. Соревновательное - для самых лучших работников.</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3 Организационное стимулирование предполагает наличие креативных элементов в труде, возможность участия в управлении, творческие командировки, продвижение по службе. </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Нематериальное вознаграждение может быть самых разных видов и быть направленными на разные вещи. Далее наиболее распространенные системы нефинансового стимулирования.</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Во-первых, для большинства работников очень важен комфортный график работы. Не все сотрудники могут работать полный рабочий день по 5 дней в неделю. Поэтому гибкий график может послужить серьезной мотивацией, например, для студентов или молодых матерей. «В наши дни имеет популярность система «банка нерабочих дней». То есть сотруднику предоставляется некое количество дней в году, которые он может не работать (обычно это отпуск + отгулы), и работник имеет возможность воспользоваться нерабочими днями по своему усмотрению. В сфере туризма, при составлении рабочего расписания должны учитываться сезонность и круглосуточность работы (в отелях, культурно-развлекательных центрах).</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Во-вторых, - это различные поощрения, выражения благодарности и признательности. Подарки, билеты, а также скидки на приобретение продукции или услуг турфирмы. Очень важно помнить о простых комплиментах и похвалах за хорошо выполненную работу. При этом лучше не ограничиваться устной индивидуальной похвалой работника, а, например, создать стенд лучших сотрудников, или в более крупных фирмах - упоминание в СМИ.</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В-третьих, различные внутрифирменные мероприятия. Корпоративы, загородные и экскурсионные поездки, спортивные соревнования с конкурентами, командные тренинги, туристические походы. Такие мероприятия поднимают общее настроение в компании, и обеспечивает сплоченность коллектива и благоприятный психологический климат.</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В-четвертых, это предоставление сотрудникам гарантии профессионального роста и продвижения по карьерной лестнице. И именно все, что показывает работнику, что он ценный профессионал. К примеру, приглашение в качестве лектора, предложение участвовать в интересном проекте (разработка индивидуального тура), перевод на работу в другой отдел, что дает наиболее полное представление о работе всей компании. И, конечно, увеличение в должности со всеми вытекающими (повышение зарплаты, перенос рабочего пространства, предоставление новых людей в подчинение, дополнительное  офисное оборудование).</w:t>
      </w:r>
    </w:p>
    <w:p w:rsidR="00517711" w:rsidRDefault="00F815BE">
      <w:pPr>
        <w:spacing w:after="0" w:line="240" w:lineRule="auto"/>
        <w:ind w:firstLine="709"/>
        <w:jc w:val="both"/>
        <w:rPr>
          <w:rFonts w:ascii="Times New Roman" w:hAnsi="Times New Roman"/>
          <w:b/>
          <w:sz w:val="20"/>
          <w:szCs w:val="20"/>
        </w:rPr>
      </w:pPr>
      <w:r>
        <w:rPr>
          <w:rFonts w:ascii="Times New Roman" w:hAnsi="Times New Roman"/>
          <w:b/>
          <w:sz w:val="20"/>
          <w:szCs w:val="20"/>
        </w:rPr>
        <w:t>Зарубежный опыт мотивации труда.</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Российская теория и практика мотивации труда персонала обычно сводятся к оплате, которая основана на фиксированных тарифных ставках и должностных окладах, а значит малоэффективны. Из всех разнообразий моделей систем мотивации можно выделить как наиболее характерную американскую.</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Американская модель построена на всемерном поощрении предпринимательской активности труда и обогащения наиболее активной части населения. Эта модель основана на социально-культурных особенностях </w:t>
      </w:r>
      <w:r>
        <w:rPr>
          <w:rFonts w:ascii="Times New Roman" w:hAnsi="Times New Roman"/>
          <w:sz w:val="20"/>
          <w:szCs w:val="20"/>
        </w:rPr>
        <w:lastRenderedPageBreak/>
        <w:t>нации — массовой ориентации на достижение личного успеха каждого, а также высоком уровне экономического благосостояния.</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 основе системы мотивации в США находится оплата труда. Наибольшее распространение получили различные модификации повременной системы оплаты труда с нормированными заданиями, дополненные всевозможными формами премирования.</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Предоставленная система оплаты труда не учитывает выплату премии, потому что по утверждению американских специалистов, такие суммы уже заложены в высокой тарифной ставке рабочего и окладе служащего. Отличающая черта такой тарифной системы является системы является простота начисления заработка и планирования затрат на заработную плату. Впрочем, подавляющее число фирм и в США, так и в других странах стремятся к применению систем, которые сочетают оплату труда с премированием.</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Так же в Америке часто применяют коллективную систему премирования. Например, при применении системы «Скенлон» между администрацией и работниками фирм заранее определяется норматив доли заработной платы в общей стоимости условно чистой продукции. В случае прибыльной работы компании и образования экономии заработной платы за счет достигнутой экономии создается премиальный фонд, распределяющийся следующим образом: 25% направляется в резервный фонд для покрытия возможного перерасхода фонда заработной платы. Из оставшейся суммы 25% направляется на премирование администрации фирмы, 75% — на премирование персонала.</w:t>
      </w:r>
    </w:p>
    <w:p w:rsidR="00517711" w:rsidRDefault="00F815BE">
      <w:pPr>
        <w:spacing w:after="0" w:line="240" w:lineRule="auto"/>
        <w:ind w:firstLine="708"/>
        <w:jc w:val="both"/>
        <w:rPr>
          <w:rFonts w:ascii="Times New Roman" w:hAnsi="Times New Roman"/>
          <w:sz w:val="20"/>
          <w:szCs w:val="20"/>
        </w:rPr>
      </w:pPr>
      <w:r>
        <w:rPr>
          <w:rFonts w:ascii="Times New Roman" w:hAnsi="Times New Roman"/>
          <w:sz w:val="20"/>
          <w:szCs w:val="20"/>
        </w:rPr>
        <w:t>По результатам прошедшего месяца премии выплачиваются ежемесячно пропорционально трудовому участию сотрудника на базе основной заработной платы. В конце года резервный фонд полностью распределяется между сотрудниками фирм. Использование такой системы компанией «Мидленд-Росс» позволило на том же оборудовании увеличить производительность труда на 16%, уменьшить текучесть кадров с 36 до 2,6%, вдвое понизить количество нарушителей трудовой дисциплины.</w:t>
      </w:r>
    </w:p>
    <w:p w:rsidR="00517711" w:rsidRDefault="00F815BE">
      <w:pPr>
        <w:spacing w:after="0" w:line="240" w:lineRule="auto"/>
        <w:ind w:firstLine="709"/>
        <w:jc w:val="both"/>
        <w:rPr>
          <w:rFonts w:ascii="Times New Roman" w:hAnsi="Times New Roman"/>
          <w:sz w:val="20"/>
          <w:szCs w:val="20"/>
        </w:rPr>
      </w:pPr>
      <w:r>
        <w:rPr>
          <w:rFonts w:ascii="Times New Roman" w:hAnsi="Times New Roman"/>
          <w:b/>
          <w:sz w:val="20"/>
          <w:szCs w:val="20"/>
        </w:rPr>
        <w:t>Вывод:</w:t>
      </w:r>
      <w:r>
        <w:rPr>
          <w:rFonts w:ascii="Times New Roman" w:hAnsi="Times New Roman"/>
          <w:sz w:val="20"/>
          <w:szCs w:val="20"/>
        </w:rPr>
        <w:t xml:space="preserve"> предприятия туриндустрии имеют большой потенциал для мотивирования сотрудников. Только важно помнить, что  при составлении системы мотивации для работников социально-культурного сервиса и туризма, необходимо учитывать особенности этой отрасли, в общем, и каждого предприятия в частности.</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Таким образом, при правильном использовании знаний о процессе и особенностях мотивации менеджеры туристских организаций могут значительно увеличить эффективность трудовой деятельности и, следовательно, прибыль компании.</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_______________________________________________</w:t>
      </w:r>
    </w:p>
    <w:p w:rsidR="00517711" w:rsidRDefault="00F815BE">
      <w:pPr>
        <w:spacing w:after="0" w:line="240" w:lineRule="auto"/>
        <w:ind w:firstLine="708"/>
        <w:jc w:val="both"/>
        <w:rPr>
          <w:rFonts w:ascii="Times New Roman" w:hAnsi="Times New Roman"/>
          <w:sz w:val="20"/>
          <w:szCs w:val="20"/>
        </w:rPr>
      </w:pPr>
      <w:r>
        <w:rPr>
          <w:rFonts w:ascii="Times New Roman" w:hAnsi="Times New Roman"/>
          <w:sz w:val="20"/>
          <w:szCs w:val="20"/>
        </w:rPr>
        <w:t>1 Виханский, О.С. Менеджмент. Учебник  / О.С. Виханский, А.И. Наумов. – М.: Высшая школа, 2009.</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2 Ильин, Е. П. Мотивация и мотивы – СПб.: Питер, 2000.</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3 Шапиро С.А. Мотивация и стимулирование персонала. – М.: ГроссМедиа, 2005.</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4 Уткин, Э.А. Мотивационный менеджмент. – М.: ЭКМОС, 2000</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5 Потеряхин Н. А. «Деньги как мотивирующий фактор»//Справочник кадровика.-2005-№9</w:t>
      </w:r>
    </w:p>
    <w:p w:rsidR="00517711" w:rsidRDefault="00F815BE">
      <w:pPr>
        <w:rPr>
          <w:rFonts w:ascii="Times New Roman" w:hAnsi="Times New Roman"/>
          <w:sz w:val="20"/>
          <w:szCs w:val="24"/>
        </w:rPr>
      </w:pPr>
      <w:r>
        <w:rPr>
          <w:rFonts w:ascii="Times New Roman" w:eastAsia="Calibri" w:hAnsi="Times New Roman"/>
          <w:b/>
          <w:bCs/>
          <w:sz w:val="20"/>
          <w:szCs w:val="28"/>
        </w:rPr>
        <w:t>Рубрика: Туризм</w:t>
      </w:r>
      <w:r>
        <w:rPr>
          <w:rFonts w:ascii="Times New Roman" w:eastAsia="Calibri" w:hAnsi="Times New Roman"/>
          <w:b/>
          <w:bCs/>
          <w:sz w:val="20"/>
          <w:szCs w:val="28"/>
        </w:rPr>
        <w:br/>
      </w:r>
      <w:r>
        <w:rPr>
          <w:rFonts w:ascii="Times New Roman" w:hAnsi="Times New Roman"/>
          <w:sz w:val="20"/>
          <w:szCs w:val="24"/>
        </w:rPr>
        <w:t>УДК 911.8</w:t>
      </w:r>
    </w:p>
    <w:p w:rsidR="00517711" w:rsidRDefault="00F815BE">
      <w:pPr>
        <w:keepNext/>
        <w:spacing w:before="240" w:after="240" w:line="240" w:lineRule="auto"/>
        <w:jc w:val="center"/>
        <w:outlineLvl w:val="0"/>
        <w:rPr>
          <w:rFonts w:ascii="Book Antiqua" w:hAnsi="Book Antiqua"/>
          <w:b/>
          <w:bCs/>
          <w:caps/>
          <w:sz w:val="26"/>
          <w:szCs w:val="26"/>
        </w:rPr>
      </w:pPr>
      <w:r>
        <w:rPr>
          <w:rFonts w:ascii="Times New Roman" w:hAnsi="Times New Roman"/>
          <w:sz w:val="20"/>
          <w:szCs w:val="24"/>
        </w:rPr>
        <w:br/>
      </w:r>
      <w:r>
        <w:rPr>
          <w:rFonts w:ascii="Book Antiqua" w:hAnsi="Book Antiqua"/>
          <w:b/>
          <w:bCs/>
          <w:caps/>
          <w:sz w:val="26"/>
          <w:szCs w:val="26"/>
        </w:rPr>
        <w:t>Современные подходы к оценке туристско-  рекреационного потенциала территорий</w:t>
      </w:r>
    </w:p>
    <w:p w:rsidR="00517711" w:rsidRDefault="00F815BE">
      <w:pPr>
        <w:spacing w:after="0" w:line="240" w:lineRule="auto"/>
        <w:ind w:firstLine="709"/>
        <w:jc w:val="center"/>
        <w:rPr>
          <w:rFonts w:ascii="Arial" w:eastAsia="Calibri" w:hAnsi="Arial"/>
          <w:b/>
          <w:bCs/>
          <w:sz w:val="24"/>
          <w:szCs w:val="20"/>
          <w:lang w:eastAsia="ru-RU"/>
        </w:rPr>
      </w:pPr>
      <w:r>
        <w:rPr>
          <w:rFonts w:ascii="Arial" w:eastAsia="Calibri" w:hAnsi="Arial"/>
          <w:b/>
          <w:bCs/>
          <w:sz w:val="24"/>
          <w:szCs w:val="20"/>
          <w:lang w:eastAsia="ru-RU"/>
        </w:rPr>
        <w:t>Мясникова Светлана Сергеевна</w:t>
      </w:r>
    </w:p>
    <w:p w:rsidR="00517711" w:rsidRDefault="00F815BE">
      <w:pPr>
        <w:spacing w:line="240" w:lineRule="auto"/>
        <w:ind w:firstLine="709"/>
        <w:jc w:val="center"/>
        <w:rPr>
          <w:rFonts w:ascii="Arial" w:eastAsia="Calibri" w:hAnsi="Arial"/>
          <w:bCs/>
          <w:sz w:val="24"/>
          <w:szCs w:val="20"/>
          <w:lang w:eastAsia="ru-RU"/>
        </w:rPr>
      </w:pPr>
      <w:r>
        <w:rPr>
          <w:rFonts w:ascii="Arial" w:eastAsia="Calibri" w:hAnsi="Arial"/>
          <w:bCs/>
          <w:sz w:val="24"/>
          <w:szCs w:val="20"/>
          <w:lang w:eastAsia="ru-RU"/>
        </w:rPr>
        <w:t>магистрант</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after="0" w:line="240" w:lineRule="auto"/>
        <w:jc w:val="center"/>
        <w:rPr>
          <w:rFonts w:ascii="Times New Roman" w:hAnsi="Times New Roman"/>
          <w:sz w:val="20"/>
          <w:szCs w:val="24"/>
        </w:rPr>
      </w:pPr>
      <w:r>
        <w:rPr>
          <w:rFonts w:ascii="Times New Roman" w:eastAsia="Calibri" w:hAnsi="Times New Roman"/>
          <w:i/>
          <w:sz w:val="21"/>
          <w:szCs w:val="21"/>
        </w:rPr>
        <w:t>Россия. ВладивостокE-mail: sveta.myasnikova.94@mail.ru; тел.: +79089696854</w:t>
      </w:r>
      <w:r>
        <w:rPr>
          <w:rFonts w:ascii="Times New Roman" w:eastAsia="Calibri" w:hAnsi="Times New Roman"/>
          <w:i/>
          <w:sz w:val="21"/>
          <w:szCs w:val="21"/>
        </w:rPr>
        <w:br/>
      </w:r>
      <w:r>
        <w:rPr>
          <w:rFonts w:ascii="Times New Roman" w:hAnsi="Times New Roman"/>
          <w:sz w:val="20"/>
          <w:szCs w:val="24"/>
        </w:rPr>
        <w:t>ул. Гоголя, 41, г. Владивосток, Приморский край, Россия, 690014</w:t>
      </w:r>
    </w:p>
    <w:p w:rsidR="00517711" w:rsidRDefault="00F815BE">
      <w:pPr>
        <w:spacing w:before="240" w:after="0" w:line="240" w:lineRule="auto"/>
        <w:ind w:firstLine="709"/>
        <w:jc w:val="both"/>
        <w:rPr>
          <w:rFonts w:ascii="Times New Roman" w:hAnsi="Times New Roman"/>
          <w:i/>
          <w:szCs w:val="24"/>
        </w:rPr>
      </w:pPr>
      <w:r>
        <w:rPr>
          <w:rFonts w:ascii="Times New Roman" w:hAnsi="Times New Roman"/>
          <w:i/>
          <w:szCs w:val="24"/>
        </w:rPr>
        <w:t>Развитие сферы туризма вызывает необходимость оценивания туристского потенциала конкретных дестинаций. Для этого необходимо дать разъяснения понятиям «туристский ресурс» и «туристский потенциал» и проанализировать методические подходы к оценке туристско-рекреационного</w:t>
      </w:r>
      <w:r>
        <w:rPr>
          <w:rFonts w:ascii="Times New Roman" w:hAnsi="Times New Roman"/>
          <w:i/>
          <w:color w:val="FF0000"/>
          <w:szCs w:val="24"/>
        </w:rPr>
        <w:t xml:space="preserve"> </w:t>
      </w:r>
      <w:r>
        <w:rPr>
          <w:rFonts w:ascii="Times New Roman" w:hAnsi="Times New Roman"/>
          <w:i/>
          <w:szCs w:val="24"/>
        </w:rPr>
        <w:t>потенциала региона.</w:t>
      </w:r>
    </w:p>
    <w:p w:rsidR="00517711" w:rsidRDefault="00F815BE">
      <w:pPr>
        <w:spacing w:after="0" w:line="240" w:lineRule="auto"/>
        <w:ind w:firstLine="709"/>
        <w:jc w:val="both"/>
        <w:rPr>
          <w:rFonts w:ascii="Times New Roman" w:hAnsi="Times New Roman"/>
          <w:i/>
          <w:szCs w:val="24"/>
        </w:rPr>
      </w:pPr>
      <w:r>
        <w:rPr>
          <w:rFonts w:ascii="Times New Roman" w:hAnsi="Times New Roman"/>
          <w:b/>
          <w:i/>
          <w:szCs w:val="24"/>
        </w:rPr>
        <w:t>Ключевые слова и словосочетания:</w:t>
      </w:r>
      <w:r>
        <w:rPr>
          <w:rFonts w:ascii="Times New Roman" w:hAnsi="Times New Roman"/>
          <w:szCs w:val="24"/>
        </w:rPr>
        <w:t xml:space="preserve"> </w:t>
      </w:r>
      <w:r>
        <w:rPr>
          <w:rFonts w:ascii="Times New Roman" w:hAnsi="Times New Roman"/>
          <w:i/>
          <w:szCs w:val="24"/>
        </w:rPr>
        <w:t>туристский ресурс,</w:t>
      </w:r>
      <w:r>
        <w:rPr>
          <w:rFonts w:ascii="Times New Roman" w:hAnsi="Times New Roman"/>
          <w:szCs w:val="24"/>
        </w:rPr>
        <w:t xml:space="preserve"> </w:t>
      </w:r>
      <w:r>
        <w:rPr>
          <w:rFonts w:ascii="Times New Roman" w:hAnsi="Times New Roman"/>
          <w:i/>
          <w:szCs w:val="24"/>
        </w:rPr>
        <w:t>туристский потенциал, рекреация,</w:t>
      </w:r>
      <w:r>
        <w:rPr>
          <w:rFonts w:ascii="Times New Roman" w:hAnsi="Times New Roman"/>
          <w:szCs w:val="24"/>
        </w:rPr>
        <w:t xml:space="preserve"> </w:t>
      </w:r>
      <w:r>
        <w:rPr>
          <w:rFonts w:ascii="Times New Roman" w:hAnsi="Times New Roman"/>
          <w:i/>
          <w:szCs w:val="24"/>
        </w:rPr>
        <w:t xml:space="preserve">оценке туристско-рекреационного потенциала. </w:t>
      </w:r>
    </w:p>
    <w:p w:rsidR="00517711" w:rsidRDefault="00F815BE">
      <w:pPr>
        <w:keepNext/>
        <w:spacing w:before="240" w:after="240" w:line="240" w:lineRule="auto"/>
        <w:jc w:val="center"/>
        <w:outlineLvl w:val="0"/>
        <w:rPr>
          <w:rFonts w:ascii="Book Antiqua" w:hAnsi="Book Antiqua"/>
          <w:b/>
          <w:bCs/>
          <w:caps/>
          <w:sz w:val="26"/>
          <w:szCs w:val="26"/>
          <w:lang w:val="en-US"/>
        </w:rPr>
      </w:pPr>
      <w:r>
        <w:rPr>
          <w:rFonts w:ascii="Book Antiqua" w:hAnsi="Book Antiqua"/>
          <w:b/>
          <w:bCs/>
          <w:caps/>
          <w:sz w:val="26"/>
          <w:szCs w:val="26"/>
          <w:lang w:val="en-US"/>
        </w:rPr>
        <w:lastRenderedPageBreak/>
        <w:t>Modern approaches to assessing the tourist and recreational potential of the territories</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i/>
          <w:szCs w:val="24"/>
          <w:lang w:val="en-US"/>
        </w:rPr>
        <w:t>The development of tourism makes it necessary to assess the tourist potential of specific destinations. For this, it is necessary to clarify the concepts of "tourist resource" and "tourist potential" and to analyze methodological approaches to assessing the tourist and recreational potential of the region.</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b/>
          <w:i/>
          <w:szCs w:val="24"/>
          <w:lang w:val="en-US"/>
        </w:rPr>
        <w:t>Keywords:</w:t>
      </w:r>
      <w:r>
        <w:rPr>
          <w:rFonts w:ascii="Times New Roman" w:hAnsi="Times New Roman"/>
          <w:i/>
          <w:szCs w:val="24"/>
          <w:lang w:val="en-US"/>
        </w:rPr>
        <w:t xml:space="preserve"> tourist resource, tourist potential, recreation, evaluation of tourist and recreational potential.</w:t>
      </w:r>
    </w:p>
    <w:p w:rsidR="00517711" w:rsidRDefault="00517711">
      <w:pPr>
        <w:spacing w:after="0" w:line="240" w:lineRule="auto"/>
        <w:ind w:firstLine="709"/>
        <w:jc w:val="both"/>
        <w:rPr>
          <w:rFonts w:ascii="Times New Roman" w:hAnsi="Times New Roman"/>
          <w:i/>
          <w:sz w:val="20"/>
          <w:szCs w:val="24"/>
          <w:lang w:val="en-US"/>
        </w:rPr>
      </w:pP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настоящее время разработано достаточно большое количество методик оценки туристско-рекреационного потенциала, однако, существенной проблемой является субъективность результатов исследований, т.к. большинство из методик основаны на экспертных оценках. Кроме того, в связи с динамичным развитием туризма в последние годы требуется переоценка, как известных туристских районов, так и новых территорий, что тоже определяет актуальность поставленных в работе задач.</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 Туризм и рекреация считаются одной из высокодоходных, быстро развивающихся и оживленных секторов экономики народно-хозяйственного комплекса. Как вид деятельности и направление хозяйства рекреацию и туризм относят  к группе секторов экономики и видов деятельности, которые имеют ярко выраженную ориентацию на ресурсы.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Туристские и рекреационные ресурсы – это основные элементы туристско-рекреационного потенциала.</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Долгое время понятия «рекреационные ресурсы» и «рекреационный потенциал» считались тождественными, поэтому мы посчитали необходимым провести анализ развития и разделения данных понятий, представленных в таблице 1.</w:t>
      </w:r>
    </w:p>
    <w:p w:rsidR="00517711" w:rsidRDefault="00517711">
      <w:pPr>
        <w:spacing w:after="0" w:line="240" w:lineRule="auto"/>
        <w:ind w:firstLine="709"/>
        <w:jc w:val="both"/>
        <w:rPr>
          <w:rFonts w:ascii="Times New Roman" w:hAnsi="Times New Roman"/>
          <w:i/>
          <w:sz w:val="20"/>
          <w:szCs w:val="24"/>
        </w:rPr>
      </w:pPr>
    </w:p>
    <w:p w:rsidR="00517711" w:rsidRDefault="00F815BE">
      <w:pPr>
        <w:pStyle w:val="aff0"/>
      </w:pPr>
      <w:r>
        <w:t>Таблица 1</w:t>
      </w:r>
    </w:p>
    <w:p w:rsidR="00517711" w:rsidRDefault="00F815BE">
      <w:pPr>
        <w:pStyle w:val="afa"/>
        <w:keepNext/>
        <w:widowControl/>
        <w:spacing w:before="120" w:after="120"/>
        <w:jc w:val="center"/>
        <w:outlineLvl w:val="0"/>
        <w:rPr>
          <w:b/>
          <w:sz w:val="20"/>
          <w:szCs w:val="20"/>
        </w:rPr>
      </w:pPr>
      <w:r>
        <w:rPr>
          <w:b/>
          <w:sz w:val="20"/>
          <w:szCs w:val="20"/>
        </w:rPr>
        <w:t>Представления о туристско-рекреационных ресурсах</w:t>
      </w:r>
    </w:p>
    <w:tbl>
      <w:tblPr>
        <w:tblStyle w:val="af1"/>
        <w:tblW w:w="0" w:type="auto"/>
        <w:tblLook w:val="04A0" w:firstRow="1" w:lastRow="0" w:firstColumn="1" w:lastColumn="0" w:noHBand="0" w:noVBand="1"/>
      </w:tblPr>
      <w:tblGrid>
        <w:gridCol w:w="2235"/>
        <w:gridCol w:w="7619"/>
      </w:tblGrid>
      <w:tr w:rsidR="00517711">
        <w:tc>
          <w:tcPr>
            <w:tcW w:w="2235" w:type="dxa"/>
          </w:tcPr>
          <w:p w:rsidR="00517711" w:rsidRDefault="00F815BE">
            <w:pPr>
              <w:pStyle w:val="13"/>
            </w:pPr>
            <w:r>
              <w:t>Автор</w:t>
            </w:r>
          </w:p>
        </w:tc>
        <w:tc>
          <w:tcPr>
            <w:tcW w:w="7619" w:type="dxa"/>
          </w:tcPr>
          <w:p w:rsidR="00517711" w:rsidRDefault="00F815BE">
            <w:pPr>
              <w:pStyle w:val="13"/>
            </w:pPr>
            <w:r>
              <w:t>Определение</w:t>
            </w:r>
          </w:p>
        </w:tc>
      </w:tr>
      <w:tr w:rsidR="00517711">
        <w:tc>
          <w:tcPr>
            <w:tcW w:w="2235" w:type="dxa"/>
          </w:tcPr>
          <w:p w:rsidR="00517711" w:rsidRDefault="00F815BE">
            <w:pPr>
              <w:pStyle w:val="aff1"/>
            </w:pPr>
            <w:r>
              <w:t>Багрова Л.А.</w:t>
            </w:r>
          </w:p>
          <w:p w:rsidR="00517711" w:rsidRDefault="00517711">
            <w:pPr>
              <w:pStyle w:val="aff1"/>
            </w:pPr>
          </w:p>
        </w:tc>
        <w:tc>
          <w:tcPr>
            <w:tcW w:w="7619" w:type="dxa"/>
          </w:tcPr>
          <w:p w:rsidR="00517711" w:rsidRDefault="00F815BE">
            <w:pPr>
              <w:pStyle w:val="aff1"/>
            </w:pPr>
            <w:r>
              <w:t>«Рекреационные ресурсы – это природные, природно-технические и социально-экономических геосистемы и их элементы, которые могут быть использованы при существующих технических и материальных возможностях для организации рекреационного хозяйства» [1].</w:t>
            </w:r>
          </w:p>
        </w:tc>
      </w:tr>
      <w:tr w:rsidR="00517711">
        <w:tc>
          <w:tcPr>
            <w:tcW w:w="2235" w:type="dxa"/>
          </w:tcPr>
          <w:p w:rsidR="00517711" w:rsidRDefault="00F815BE">
            <w:pPr>
              <w:pStyle w:val="aff1"/>
            </w:pPr>
            <w:r>
              <w:t xml:space="preserve">А.В. Гидбута, </w:t>
            </w:r>
          </w:p>
          <w:p w:rsidR="00517711" w:rsidRDefault="00F815BE">
            <w:pPr>
              <w:pStyle w:val="aff1"/>
            </w:pPr>
            <w:r>
              <w:t>А.Г. Мезенцев</w:t>
            </w:r>
          </w:p>
        </w:tc>
        <w:tc>
          <w:tcPr>
            <w:tcW w:w="7619" w:type="dxa"/>
          </w:tcPr>
          <w:p w:rsidR="00517711" w:rsidRDefault="00F815BE">
            <w:pPr>
              <w:pStyle w:val="aff1"/>
            </w:pPr>
            <w:r>
              <w:t>определяют рекреационные ресурсы как объекты и явления природы и культуры, которые могут быть использованы для рекреационной деятельности человека при определенных социальных, экономических и технических условиях [5].</w:t>
            </w:r>
          </w:p>
        </w:tc>
      </w:tr>
      <w:tr w:rsidR="00517711">
        <w:tc>
          <w:tcPr>
            <w:tcW w:w="2235" w:type="dxa"/>
          </w:tcPr>
          <w:p w:rsidR="00517711" w:rsidRDefault="00F815BE">
            <w:pPr>
              <w:pStyle w:val="aff1"/>
            </w:pPr>
            <w:r>
              <w:t>Д.В. Николаенко</w:t>
            </w:r>
          </w:p>
        </w:tc>
        <w:tc>
          <w:tcPr>
            <w:tcW w:w="7619" w:type="dxa"/>
          </w:tcPr>
          <w:p w:rsidR="00517711" w:rsidRDefault="00F815BE">
            <w:pPr>
              <w:pStyle w:val="aff1"/>
            </w:pPr>
            <w:r>
              <w:t>позиционирует рекреационные ресурсы как составляющие природной среды и феномены социокультурного характера, которые, благодаря определенным свойствам, имеют все шансы быть применены для организации рекреационной деятельности [ 12].</w:t>
            </w:r>
          </w:p>
        </w:tc>
      </w:tr>
      <w:tr w:rsidR="00517711">
        <w:tc>
          <w:tcPr>
            <w:tcW w:w="2235" w:type="dxa"/>
          </w:tcPr>
          <w:p w:rsidR="00517711" w:rsidRDefault="00F815BE">
            <w:pPr>
              <w:pStyle w:val="aff1"/>
            </w:pPr>
            <w:r>
              <w:t xml:space="preserve">В.А. Квартальнов </w:t>
            </w:r>
          </w:p>
          <w:p w:rsidR="00517711" w:rsidRDefault="00F815BE">
            <w:pPr>
              <w:pStyle w:val="aff1"/>
            </w:pPr>
            <w:r>
              <w:t>И.В. Зорин</w:t>
            </w:r>
          </w:p>
        </w:tc>
        <w:tc>
          <w:tcPr>
            <w:tcW w:w="7619" w:type="dxa"/>
          </w:tcPr>
          <w:p w:rsidR="00517711" w:rsidRDefault="00F815BE">
            <w:pPr>
              <w:pStyle w:val="aff1"/>
            </w:pPr>
            <w:r>
              <w:t>«рекреационные ресурсы – это часть туристских ресурсов, которая представляет собой природные и антропогенные геосистемы, тела и явления природы, артефакты, обладающие комфортными свойствами и потребительской стоимостью для рекреационной деятельности, и могут быть использованы дня организации отдыха и оздоровления определенного контингента людей в фиксированное время с помощью существующей технологии и имеющихся материальных возможностей» [9].</w:t>
            </w:r>
          </w:p>
        </w:tc>
      </w:tr>
      <w:tr w:rsidR="00517711">
        <w:tc>
          <w:tcPr>
            <w:tcW w:w="2235" w:type="dxa"/>
          </w:tcPr>
          <w:p w:rsidR="00517711" w:rsidRDefault="00F815BE">
            <w:pPr>
              <w:pStyle w:val="aff1"/>
            </w:pPr>
            <w:r>
              <w:t xml:space="preserve">Н.С. Мироненко </w:t>
            </w:r>
          </w:p>
          <w:p w:rsidR="00517711" w:rsidRDefault="00F815BE">
            <w:pPr>
              <w:pStyle w:val="aff1"/>
            </w:pPr>
            <w:r>
              <w:t xml:space="preserve">И.Т. Твердохлебов </w:t>
            </w:r>
          </w:p>
        </w:tc>
        <w:tc>
          <w:tcPr>
            <w:tcW w:w="7619" w:type="dxa"/>
          </w:tcPr>
          <w:p w:rsidR="00517711" w:rsidRDefault="00F815BE">
            <w:pPr>
              <w:pStyle w:val="aff1"/>
            </w:pPr>
            <w:r>
              <w:t>Трактуют рекреационные ресурсы как «компоненты географической среды и объекты антропогенной деятельности, которые благодаря таким свойствам, как уникальность, историческая или художественная ценность, оригинальность, эстетическая привлекательность и целебно-оздоровительная значимость, могут быть использованы для организации различных видов и форм рекреационных занятий» [11].</w:t>
            </w:r>
          </w:p>
        </w:tc>
      </w:tr>
    </w:tbl>
    <w:p w:rsidR="00517711" w:rsidRDefault="00517711">
      <w:pPr>
        <w:spacing w:after="0" w:line="240" w:lineRule="auto"/>
        <w:ind w:firstLine="709"/>
        <w:jc w:val="both"/>
        <w:rPr>
          <w:rFonts w:ascii="Times New Roman" w:hAnsi="Times New Roman"/>
          <w:sz w:val="20"/>
          <w:szCs w:val="24"/>
        </w:rPr>
      </w:pP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Изучая изложенные выше определения понятия «рекреационные ресурсы», автор оценивает рекреационные ресурсы в качестве объектов и сил природы, культурно-исторического наследия, а также результатов человеческого  труда, выступающих как основные  системообразующие факторы развития различных форм рекреационной деятельности.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Учитывая природную, социальную и историко-культурную составляющие в определениях рекреационных и туристских ресурсов, ориентацию на потребление и удовлетворение потребностей людей (туристов) мы можем считать эти понятия близкими по значению и последующем в предоставленной работе обозначать эти термины единым понятием – туристско-рекреационные ресурсы.</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Можем сделать вывод, что под туристско-рекреационными ресурсами автор понимает природно-климатические, историко-культурные и социально-экономические объекты и явления, являющиеся </w:t>
      </w:r>
      <w:r>
        <w:rPr>
          <w:rFonts w:ascii="Times New Roman" w:hAnsi="Times New Roman"/>
          <w:sz w:val="20"/>
          <w:szCs w:val="24"/>
        </w:rPr>
        <w:lastRenderedPageBreak/>
        <w:t xml:space="preserve">предпосылками для разных видов туристско-рекреационной деятельности и способные удовлетворять образующиеся при данном необходимости.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Есть большое количество классификаций туристских ресурсов. В первую очередь, туристские ресурсы разделяют на две большие группы: косвенные и непосредственные. Косвенные (социально-экономические) туристские ресурсы мобилизуются для освоения и использования непосредственных туристских ресурсов; их подразделяют на материальные, технические, финансовые, трудовые и др. Вторые же – это природные и историко-культурные ресурсы, применяемые самими туристами. По функциональному признаку туристские ресурсы делят на оздоровительные, познавательные и спортивные. Важна и природно-эстетическая ценность территории, которая усиливает или, наоборот, снижает функциональные качества. Познавательные свойства территории обусловлены наличием природных и социально-культурных объектов.</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Н.П. Крачило весь комплекс туристских ресурсов делит на три группы:</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Культурно-исторические: музеи, выставки, театры, археологические, исторические, архитектурные памятники, этнографические особенности, фольклор.</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Известными считаются систематизации туристских ресурсов, предложенные польским экономистом М. Труаси и французским экономистом П. Дефером. В основе классификации М. Труаси лежит деление туристских ресурсов на созданные и не созданные трудом человека. М. Труаси разделяет на три группы тур. ресурсов: природные туристские ресурсы, определяемые как «потенциальный туристский капитал»; туристские ресурсы, созданные трудом человека; «дополнительные» туристские ресурсы (инфраструктура, экономические удобства). В отличие от М. Труаси, П. Дефер подразделяет все туристские ресурсы на четыре группы: гидром (водные объекты); фитом (земля, природа); литом (созданные трудом человека); антропом (нематериальные виды человеческой деятельности - обычаи, праздники, нравы и др.).</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первую очередь, основой для развития туризма служат природные и географические условия. Природные ресурсы выполняют несколько функций. Одной из основных является возможность их использования в качестве средства поддержания и восстановления физических и духовных сил человека. Также немало важной является познавательная функция.</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Туристско-рекреационные ресурсы дают основание для выявления туристско-рекреационного потенциала. Наличие природных рекреационных ресурсов, их количество, качество и комбинации определяют рекреационную специализацию Приморского края [2].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Например, как и в случае с понятиями «туристские ресурсы» и «рекреационные ресурсы», многие авторы (Таблица 2) разделяют понятия «рекреационный потенциал» и «туристский потенциал».</w:t>
      </w:r>
    </w:p>
    <w:p w:rsidR="00517711" w:rsidRDefault="00517711">
      <w:pPr>
        <w:spacing w:after="0" w:line="240" w:lineRule="auto"/>
        <w:ind w:firstLine="709"/>
        <w:jc w:val="both"/>
        <w:rPr>
          <w:rFonts w:ascii="Times New Roman" w:hAnsi="Times New Roman"/>
          <w:sz w:val="20"/>
          <w:szCs w:val="24"/>
        </w:rPr>
      </w:pPr>
    </w:p>
    <w:p w:rsidR="00517711" w:rsidRDefault="00F815BE">
      <w:pPr>
        <w:pStyle w:val="aff0"/>
      </w:pPr>
      <w:r>
        <w:t>Таблица 2</w:t>
      </w:r>
    </w:p>
    <w:p w:rsidR="00517711" w:rsidRDefault="00F815BE">
      <w:pPr>
        <w:spacing w:after="0" w:line="240" w:lineRule="auto"/>
        <w:ind w:firstLine="709"/>
        <w:jc w:val="both"/>
        <w:rPr>
          <w:rFonts w:ascii="Times New Roman" w:hAnsi="Times New Roman"/>
          <w:b/>
          <w:sz w:val="20"/>
          <w:szCs w:val="24"/>
        </w:rPr>
      </w:pPr>
      <w:r>
        <w:rPr>
          <w:rFonts w:ascii="Times New Roman" w:hAnsi="Times New Roman"/>
          <w:b/>
          <w:sz w:val="20"/>
          <w:szCs w:val="24"/>
        </w:rPr>
        <w:t>Разделение понятий «рекреационный потенциал» и «туристский потенциал»</w:t>
      </w:r>
    </w:p>
    <w:tbl>
      <w:tblPr>
        <w:tblStyle w:val="af1"/>
        <w:tblW w:w="0" w:type="auto"/>
        <w:tblLook w:val="04A0" w:firstRow="1" w:lastRow="0" w:firstColumn="1" w:lastColumn="0" w:noHBand="0" w:noVBand="1"/>
      </w:tblPr>
      <w:tblGrid>
        <w:gridCol w:w="2235"/>
        <w:gridCol w:w="7619"/>
      </w:tblGrid>
      <w:tr w:rsidR="00517711">
        <w:tc>
          <w:tcPr>
            <w:tcW w:w="2235" w:type="dxa"/>
          </w:tcPr>
          <w:p w:rsidR="00517711" w:rsidRDefault="00F815BE">
            <w:pPr>
              <w:pStyle w:val="13"/>
            </w:pPr>
            <w:r>
              <w:t>Автор</w:t>
            </w:r>
          </w:p>
        </w:tc>
        <w:tc>
          <w:tcPr>
            <w:tcW w:w="7619" w:type="dxa"/>
          </w:tcPr>
          <w:p w:rsidR="00517711" w:rsidRDefault="00F815BE">
            <w:pPr>
              <w:pStyle w:val="13"/>
            </w:pPr>
            <w:r>
              <w:t>Определение</w:t>
            </w:r>
          </w:p>
        </w:tc>
      </w:tr>
      <w:tr w:rsidR="00517711">
        <w:tc>
          <w:tcPr>
            <w:tcW w:w="2235" w:type="dxa"/>
          </w:tcPr>
          <w:p w:rsidR="00517711" w:rsidRDefault="00F815BE">
            <w:pPr>
              <w:pStyle w:val="aff1"/>
            </w:pPr>
            <w:r>
              <w:t>С.Р. Ердавлетов,</w:t>
            </w:r>
          </w:p>
          <w:p w:rsidR="00517711" w:rsidRDefault="00F815BE">
            <w:pPr>
              <w:pStyle w:val="aff1"/>
            </w:pPr>
            <w:r>
              <w:t>А.А. Бегембетова,</w:t>
            </w:r>
          </w:p>
          <w:p w:rsidR="00517711" w:rsidRDefault="00F815BE">
            <w:pPr>
              <w:pStyle w:val="aff1"/>
            </w:pPr>
            <w:r>
              <w:t>А.С. Нысанбаева</w:t>
            </w:r>
          </w:p>
        </w:tc>
        <w:tc>
          <w:tcPr>
            <w:tcW w:w="7619" w:type="dxa"/>
          </w:tcPr>
          <w:p w:rsidR="00517711" w:rsidRDefault="00F815BE">
            <w:pPr>
              <w:pStyle w:val="aff1"/>
            </w:pPr>
            <w:r>
              <w:t>рекреационным потенциалом называют совокупность природных и культурно-исторических предпосылок для организации рекреационной деятельности на конкретной дестинации [7].</w:t>
            </w:r>
          </w:p>
        </w:tc>
      </w:tr>
      <w:tr w:rsidR="00517711">
        <w:tc>
          <w:tcPr>
            <w:tcW w:w="2235" w:type="dxa"/>
          </w:tcPr>
          <w:p w:rsidR="00517711" w:rsidRDefault="00F815BE">
            <w:pPr>
              <w:pStyle w:val="aff1"/>
            </w:pPr>
            <w:r>
              <w:t xml:space="preserve">И.В. Зорин </w:t>
            </w:r>
          </w:p>
          <w:p w:rsidR="00517711" w:rsidRDefault="00F815BE">
            <w:pPr>
              <w:pStyle w:val="aff1"/>
            </w:pPr>
            <w:r>
              <w:t>В.А. Квартальнов</w:t>
            </w:r>
          </w:p>
        </w:tc>
        <w:tc>
          <w:tcPr>
            <w:tcW w:w="7619" w:type="dxa"/>
          </w:tcPr>
          <w:p w:rsidR="00517711" w:rsidRDefault="00F815BE">
            <w:pPr>
              <w:pStyle w:val="aff1"/>
            </w:pPr>
            <w:r>
              <w:t>под рекреационным потенциалом понимают отношение между фактической и предельно возможной численностью туристов, которая определяемая исходя из наличия рекреационных ресурсов [9].</w:t>
            </w:r>
          </w:p>
        </w:tc>
      </w:tr>
      <w:tr w:rsidR="00517711">
        <w:tc>
          <w:tcPr>
            <w:tcW w:w="2235" w:type="dxa"/>
          </w:tcPr>
          <w:p w:rsidR="00517711" w:rsidRDefault="00F815BE">
            <w:pPr>
              <w:pStyle w:val="aff1"/>
            </w:pPr>
            <w:r>
              <w:t>Л.С. Кусков</w:t>
            </w:r>
          </w:p>
        </w:tc>
        <w:tc>
          <w:tcPr>
            <w:tcW w:w="7619" w:type="dxa"/>
          </w:tcPr>
          <w:p w:rsidR="00517711" w:rsidRDefault="00F815BE">
            <w:pPr>
              <w:pStyle w:val="aff1"/>
            </w:pPr>
            <w:r>
              <w:t>считает определение И.В. Зорина и В.А. Квартальнова не совсем верным, т.к. оно подразумевает лишь природные рекреационные ресурсы и не берет во внимание культурно-исторические [12].</w:t>
            </w:r>
          </w:p>
        </w:tc>
      </w:tr>
      <w:tr w:rsidR="00517711">
        <w:tc>
          <w:tcPr>
            <w:tcW w:w="2235" w:type="dxa"/>
          </w:tcPr>
          <w:p w:rsidR="00517711" w:rsidRDefault="00F815BE">
            <w:pPr>
              <w:pStyle w:val="aff1"/>
            </w:pPr>
            <w:r>
              <w:t>М.А. Стебенькова</w:t>
            </w:r>
          </w:p>
        </w:tc>
        <w:tc>
          <w:tcPr>
            <w:tcW w:w="7619" w:type="dxa"/>
          </w:tcPr>
          <w:p w:rsidR="00517711" w:rsidRDefault="00F815BE">
            <w:pPr>
              <w:pStyle w:val="aff1"/>
            </w:pPr>
            <w:r>
              <w:t>в рекреационный потенциал территории включает совокупность природных инженерно-технических и культурно-исторических объектов, веществ и условий, приуроченных к данной территории, вместе определяющих пригодность территории для развития различных видов туризма, создающих возможность для разнообразных рекреационных занятий, лечения и оздоровления [8].</w:t>
            </w:r>
          </w:p>
        </w:tc>
      </w:tr>
    </w:tbl>
    <w:p w:rsidR="00517711" w:rsidRDefault="00517711">
      <w:pPr>
        <w:spacing w:after="0" w:line="240" w:lineRule="auto"/>
        <w:ind w:firstLine="709"/>
        <w:jc w:val="both"/>
        <w:rPr>
          <w:rFonts w:ascii="Times New Roman" w:hAnsi="Times New Roman"/>
          <w:sz w:val="16"/>
          <w:szCs w:val="24"/>
        </w:rPr>
      </w:pP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Благодаря, разнообразию и в то же время единству определений двух понятий, мы можем в  представленной работе  применять термин «туристско-рекреационный потенциал».  Под которым, авторы понимают совокупность туристско-рекреационных ресурсов и объектов туристской инфраструктуры, которые способны привлекать туристов и гарантировать удовлетворение их потребностей во время отдыха и путешествий.</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Понятия туристический и рекреационный потенциалы частично сходятся, т.к. любой вид туризма содержит собственные особенности, наличие которых способствует обеспечению и обслуживанию рекреационной деятельности.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Поэтому при оценке туристского потенциала территорий необходимо учитывать целый ряд параметров, а именно: уникальность имеющихся объектов; различия в доступности объектов; различия в </w:t>
      </w:r>
      <w:r>
        <w:rPr>
          <w:rFonts w:ascii="Times New Roman" w:hAnsi="Times New Roman"/>
          <w:sz w:val="20"/>
          <w:szCs w:val="24"/>
        </w:rPr>
        <w:lastRenderedPageBreak/>
        <w:t>плотности размещения объектов в пределах региона; разнообразие и комплексность объектов; физическое состояние объектов.</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Рекреационно-туристический комплекс является результатом объединения и реализации рекреационно-туристического потенциала региона [3], представленный в рисунке 1.</w:t>
      </w:r>
    </w:p>
    <w:p w:rsidR="00517711" w:rsidRDefault="00517711">
      <w:pPr>
        <w:spacing w:after="0" w:line="240" w:lineRule="auto"/>
        <w:ind w:firstLine="709"/>
        <w:jc w:val="both"/>
        <w:rPr>
          <w:rFonts w:ascii="Times New Roman" w:hAnsi="Times New Roman"/>
          <w:sz w:val="20"/>
          <w:szCs w:val="24"/>
        </w:rPr>
      </w:pPr>
    </w:p>
    <w:p w:rsidR="00517711" w:rsidRDefault="00F815BE">
      <w:pPr>
        <w:spacing w:after="0" w:line="240" w:lineRule="auto"/>
        <w:ind w:firstLine="709"/>
        <w:jc w:val="both"/>
        <w:rPr>
          <w:rFonts w:ascii="Times New Roman" w:hAnsi="Times New Roman"/>
          <w:sz w:val="24"/>
          <w:szCs w:val="24"/>
        </w:rPr>
      </w:pPr>
      <w:r>
        <w:rPr>
          <w:rFonts w:ascii="Times New Roman" w:hAnsi="Times New Roman"/>
          <w:noProof/>
          <w:sz w:val="24"/>
          <w:szCs w:val="24"/>
          <w:lang w:eastAsia="ru-RU"/>
        </w:rPr>
        <mc:AlternateContent>
          <mc:Choice Requires="wpg">
            <w:drawing>
              <wp:inline distT="0" distB="0" distL="0" distR="0">
                <wp:extent cx="4752973" cy="2219958"/>
                <wp:effectExtent l="0" t="38098" r="0" b="104138"/>
                <wp:docPr id="96" name="Схема 55"/>
                <wp:cNvGraphicFramePr/>
                <a:graphic xmlns:a="http://schemas.openxmlformats.org/drawingml/2006/main">
                  <a:graphicData uri="http://schemas.microsoft.com/office/word/2010/wordprocessingGroup">
                    <wpg:wgp>
                      <wpg:cNvGrpSpPr/>
                      <wpg:grpSpPr bwMode="auto">
                        <a:xfrm>
                          <a:off x="0" y="0"/>
                          <a:ext cx="4752973" cy="2219958"/>
                          <a:chOff x="0" y="0"/>
                          <a:chExt cx="4752973" cy="2219958"/>
                        </a:xfrm>
                      </wpg:grpSpPr>
                      <wpg:grpSp>
                        <wpg:cNvPr id="127" name="Группа 127"/>
                        <wpg:cNvGrpSpPr/>
                        <wpg:grpSpPr bwMode="auto">
                          <a:xfrm>
                            <a:off x="1175594" y="994"/>
                            <a:ext cx="886160" cy="830551"/>
                            <a:chOff x="0" y="0"/>
                            <a:chExt cx="886160" cy="830551"/>
                          </a:xfrm>
                        </wpg:grpSpPr>
                        <wps:wsp>
                          <wps:cNvPr id="128" name="Овал 128"/>
                          <wps:cNvSpPr/>
                          <wps:spPr bwMode="auto">
                            <a:xfrm>
                              <a:off x="0" y="0"/>
                              <a:ext cx="886160" cy="830551"/>
                            </a:xfrm>
                            <a:prstGeom prst="ellipse">
                              <a:avLst/>
                            </a:prstGeo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wps:spPr>
                          <wps:style>
                            <a:lnRef idx="0">
                              <a:srgbClr val="000000"/>
                            </a:lnRef>
                            <a:fillRef idx="3">
                              <a:srgbClr val="000000"/>
                            </a:fillRef>
                            <a:effectRef idx="3">
                              <a:srgbClr val="000000"/>
                            </a:effectRef>
                            <a:fontRef idx="minor">
                              <a:schemeClr val="lt1"/>
                            </a:fontRef>
                          </wps:style>
                          <wps:bodyPr rot="0">
                            <a:prstTxWarp prst="textNoShape">
                              <a:avLst/>
                            </a:prstTxWarp>
                            <a:noAutofit/>
                          </wps:bodyPr>
                        </wps:wsp>
                        <wps:wsp>
                          <wps:cNvPr id="129" name="Прямоугольник 129"/>
                          <wps:cNvSpPr/>
                          <wps:spPr bwMode="auto">
                            <a:xfrm>
                              <a:off x="129775" y="121631"/>
                              <a:ext cx="626610" cy="587289"/>
                            </a:xfrm>
                            <a:prstGeom prst="rect">
                              <a:avLst/>
                            </a:prstGeom>
                            <a:noFill/>
                            <a:ln>
                              <a:noFill/>
                            </a:ln>
                          </wps:spPr>
                          <wps:txbx>
                            <w:txbxContent>
                              <w:p w:rsidR="00306ED2" w:rsidRDefault="00306ED2">
                                <w:r>
                                  <w:rPr>
                                    <w:rFonts w:ascii="Times New Roman" w:eastAsia="+mn-ea" w:hAnsi="Times New Roman" w:cs="Times New Roman"/>
                                    <w:color w:val="000000"/>
                                    <w:sz w:val="14"/>
                                    <w:szCs w:val="14"/>
                                  </w:rPr>
                                  <w:t>рекреационный потенциал</w:t>
                                </w:r>
                              </w:p>
                            </w:txbxContent>
                          </wps:txbx>
                          <wps:bodyPr spcFirstLastPara="0" vert="horz" wrap="square" lIns="8890" tIns="8890" rIns="8890" bIns="8890" numCol="1" spcCol="1270" anchor="ctr" anchorCtr="0">
                            <a:noAutofit/>
                          </wps:bodyPr>
                        </wps:wsp>
                      </wpg:grpSp>
                      <wpg:grpSp>
                        <wpg:cNvPr id="130" name="Группа 130"/>
                        <wpg:cNvGrpSpPr/>
                        <wpg:grpSpPr bwMode="auto">
                          <a:xfrm>
                            <a:off x="1414073" y="888834"/>
                            <a:ext cx="409201" cy="409201"/>
                            <a:chOff x="0" y="0"/>
                            <a:chExt cx="409201" cy="409201"/>
                          </a:xfrm>
                        </wpg:grpSpPr>
                        <wps:wsp>
                          <wps:cNvPr id="131" name="Плюс 131"/>
                          <wps:cNvSpPr/>
                          <wps:spPr bwMode="auto">
                            <a:xfrm>
                              <a:off x="0" y="0"/>
                              <a:ext cx="409201" cy="409201"/>
                            </a:xfrm>
                            <a:prstGeom prst="mathPlus">
                              <a:avLst>
                                <a:gd name="adj1" fmla="val 23520"/>
                              </a:avLst>
                            </a:prstGeom>
                            <a:gradFill rotWithShape="0">
                              <a:gsLst>
                                <a:gs pos="0">
                                  <a:sysClr val="windowText" lastClr="000000">
                                    <a:tint val="60000"/>
                                    <a:hueOff val="0"/>
                                    <a:satOff val="0"/>
                                    <a:lumOff val="0"/>
                                    <a:alphaOff val="0"/>
                                    <a:shade val="51000"/>
                                    <a:satMod val="130000"/>
                                  </a:sysClr>
                                </a:gs>
                                <a:gs pos="80000">
                                  <a:sysClr val="windowText" lastClr="000000">
                                    <a:tint val="60000"/>
                                    <a:hueOff val="0"/>
                                    <a:satOff val="0"/>
                                    <a:lumOff val="0"/>
                                    <a:alphaOff val="0"/>
                                    <a:shade val="93000"/>
                                    <a:satMod val="130000"/>
                                  </a:sysClr>
                                </a:gs>
                                <a:gs pos="100000">
                                  <a:sysClr val="windowText" lastClr="000000">
                                    <a:tint val="60000"/>
                                    <a:hueOff val="0"/>
                                    <a:satOff val="0"/>
                                    <a:lumOff val="0"/>
                                    <a:alphaOff val="0"/>
                                    <a:shade val="94000"/>
                                    <a:satMod val="135000"/>
                                  </a:sysClr>
                                </a:gs>
                              </a:gsLst>
                              <a:lin ang="16200000" scaled="0"/>
                            </a:gradFill>
                            <a:ln>
                              <a:noFill/>
                            </a:ln>
                          </wps:spPr>
                          <wps:style>
                            <a:lnRef idx="0">
                              <a:srgbClr val="000000"/>
                            </a:lnRef>
                            <a:fillRef idx="3">
                              <a:srgbClr val="000000"/>
                            </a:fillRef>
                            <a:effectRef idx="3">
                              <a:srgbClr val="000000"/>
                            </a:effectRef>
                            <a:fontRef idx="minor">
                              <a:schemeClr val="lt1"/>
                            </a:fontRef>
                          </wps:style>
                          <wps:bodyPr rot="0">
                            <a:prstTxWarp prst="textNoShape">
                              <a:avLst/>
                            </a:prstTxWarp>
                            <a:noAutofit/>
                          </wps:bodyPr>
                        </wps:wsp>
                        <wps:wsp>
                          <wps:cNvPr id="132" name="Прямоугольник 132"/>
                          <wps:cNvSpPr/>
                          <wps:spPr bwMode="auto">
                            <a:xfrm>
                              <a:off x="54240" y="156478"/>
                              <a:ext cx="300721" cy="96245"/>
                            </a:xfrm>
                            <a:prstGeom prst="rect">
                              <a:avLst/>
                            </a:prstGeom>
                            <a:noFill/>
                            <a:ln>
                              <a:noFill/>
                            </a:ln>
                          </wps:spPr>
                          <wps:txbx>
                            <w:txbxContent>
                              <w:p w:rsidR="00306ED2" w:rsidRDefault="00306ED2"/>
                            </w:txbxContent>
                          </wps:txbx>
                          <wps:bodyPr spcFirstLastPara="0" vert="horz" wrap="square" lIns="0" tIns="0" rIns="0" bIns="0" numCol="1" spcCol="1270" anchor="ctr" anchorCtr="0">
                            <a:noAutofit/>
                          </wps:bodyPr>
                        </wps:wsp>
                      </wpg:grpSp>
                      <wpg:grpSp>
                        <wpg:cNvPr id="133" name="Группа 133"/>
                        <wpg:cNvGrpSpPr/>
                        <wpg:grpSpPr bwMode="auto">
                          <a:xfrm>
                            <a:off x="1143584" y="1355324"/>
                            <a:ext cx="950179" cy="863640"/>
                            <a:chOff x="0" y="0"/>
                            <a:chExt cx="950179" cy="863640"/>
                          </a:xfrm>
                        </wpg:grpSpPr>
                        <wps:wsp>
                          <wps:cNvPr id="134" name="Овал 134"/>
                          <wps:cNvSpPr/>
                          <wps:spPr bwMode="auto">
                            <a:xfrm>
                              <a:off x="0" y="0"/>
                              <a:ext cx="950179" cy="863640"/>
                            </a:xfrm>
                            <a:prstGeom prst="ellipse">
                              <a:avLst/>
                            </a:prstGeo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wps:spPr>
                          <wps:style>
                            <a:lnRef idx="0">
                              <a:srgbClr val="000000"/>
                            </a:lnRef>
                            <a:fillRef idx="3">
                              <a:srgbClr val="000000"/>
                            </a:fillRef>
                            <a:effectRef idx="3">
                              <a:srgbClr val="000000"/>
                            </a:effectRef>
                            <a:fontRef idx="minor">
                              <a:schemeClr val="lt1"/>
                            </a:fontRef>
                          </wps:style>
                          <wps:bodyPr rot="0">
                            <a:prstTxWarp prst="textNoShape">
                              <a:avLst/>
                            </a:prstTxWarp>
                            <a:noAutofit/>
                          </wps:bodyPr>
                        </wps:wsp>
                        <wps:wsp>
                          <wps:cNvPr id="135" name="Прямоугольник 135"/>
                          <wps:cNvSpPr/>
                          <wps:spPr bwMode="auto">
                            <a:xfrm>
                              <a:off x="139150" y="126476"/>
                              <a:ext cx="671879" cy="610686"/>
                            </a:xfrm>
                            <a:prstGeom prst="rect">
                              <a:avLst/>
                            </a:prstGeom>
                            <a:noFill/>
                            <a:ln>
                              <a:noFill/>
                            </a:ln>
                          </wps:spPr>
                          <wps:txbx>
                            <w:txbxContent>
                              <w:p w:rsidR="00306ED2" w:rsidRDefault="00306ED2">
                                <w:r>
                                  <w:rPr>
                                    <w:rFonts w:ascii="Times New Roman" w:eastAsia="+mn-ea" w:hAnsi="Times New Roman" w:cs="Times New Roman"/>
                                    <w:color w:val="000000"/>
                                    <w:sz w:val="14"/>
                                    <w:szCs w:val="14"/>
                                  </w:rPr>
                                  <w:t>туристский потенциал</w:t>
                                </w:r>
                              </w:p>
                            </w:txbxContent>
                          </wps:txbx>
                          <wps:bodyPr spcFirstLastPara="0" vert="horz" wrap="square" lIns="8890" tIns="8890" rIns="8890" bIns="8890" numCol="1" spcCol="1270" anchor="ctr" anchorCtr="0">
                            <a:noAutofit/>
                          </wps:bodyPr>
                        </wps:wsp>
                      </wpg:grpSp>
                      <wpg:grpSp>
                        <wpg:cNvPr id="136" name="Группа 136"/>
                        <wpg:cNvGrpSpPr/>
                        <wpg:grpSpPr bwMode="auto">
                          <a:xfrm>
                            <a:off x="2199592" y="978753"/>
                            <a:ext cx="224355" cy="262453"/>
                            <a:chOff x="0" y="0"/>
                            <a:chExt cx="224355" cy="262453"/>
                          </a:xfrm>
                        </wpg:grpSpPr>
                        <wps:wsp>
                          <wps:cNvPr id="137" name="Стрелка вправо 137"/>
                          <wps:cNvSpPr/>
                          <wps:spPr bwMode="auto">
                            <a:xfrm>
                              <a:off x="0" y="0"/>
                              <a:ext cx="224355" cy="262453"/>
                            </a:xfrm>
                            <a:prstGeom prst="rightArrow">
                              <a:avLst>
                                <a:gd name="adj1" fmla="val 60000"/>
                                <a:gd name="adj2" fmla="val 50000"/>
                              </a:avLst>
                            </a:prstGeom>
                            <a:gradFill rotWithShape="0">
                              <a:gsLst>
                                <a:gs pos="0">
                                  <a:sysClr val="windowText" lastClr="000000">
                                    <a:tint val="60000"/>
                                    <a:hueOff val="0"/>
                                    <a:satOff val="0"/>
                                    <a:lumOff val="0"/>
                                    <a:alphaOff val="0"/>
                                    <a:shade val="51000"/>
                                    <a:satMod val="130000"/>
                                  </a:sysClr>
                                </a:gs>
                                <a:gs pos="80000">
                                  <a:sysClr val="windowText" lastClr="000000">
                                    <a:tint val="60000"/>
                                    <a:hueOff val="0"/>
                                    <a:satOff val="0"/>
                                    <a:lumOff val="0"/>
                                    <a:alphaOff val="0"/>
                                    <a:shade val="93000"/>
                                    <a:satMod val="130000"/>
                                  </a:sysClr>
                                </a:gs>
                                <a:gs pos="100000">
                                  <a:sysClr val="windowText" lastClr="000000">
                                    <a:tint val="60000"/>
                                    <a:hueOff val="0"/>
                                    <a:satOff val="0"/>
                                    <a:lumOff val="0"/>
                                    <a:alphaOff val="0"/>
                                    <a:shade val="94000"/>
                                    <a:satMod val="135000"/>
                                  </a:sysClr>
                                </a:gs>
                              </a:gsLst>
                              <a:lin ang="16200000" scaled="0"/>
                            </a:gradFill>
                            <a:ln>
                              <a:noFill/>
                            </a:ln>
                          </wps:spPr>
                          <wps:style>
                            <a:lnRef idx="0">
                              <a:srgbClr val="000000"/>
                            </a:lnRef>
                            <a:fillRef idx="3">
                              <a:srgbClr val="000000"/>
                            </a:fillRef>
                            <a:effectRef idx="3">
                              <a:srgbClr val="000000"/>
                            </a:effectRef>
                            <a:fontRef idx="minor">
                              <a:schemeClr val="lt1"/>
                            </a:fontRef>
                          </wps:style>
                          <wps:bodyPr rot="0">
                            <a:prstTxWarp prst="textNoShape">
                              <a:avLst/>
                            </a:prstTxWarp>
                            <a:noAutofit/>
                          </wps:bodyPr>
                        </wps:wsp>
                        <wps:wsp>
                          <wps:cNvPr id="138" name="Прямоугольник 138"/>
                          <wps:cNvSpPr/>
                          <wps:spPr bwMode="auto">
                            <a:xfrm>
                              <a:off x="0" y="52491"/>
                              <a:ext cx="157049" cy="157471"/>
                            </a:xfrm>
                            <a:prstGeom prst="rect">
                              <a:avLst/>
                            </a:prstGeom>
                            <a:noFill/>
                            <a:ln>
                              <a:noFill/>
                            </a:ln>
                          </wps:spPr>
                          <wps:txbx>
                            <w:txbxContent>
                              <w:p w:rsidR="00306ED2" w:rsidRDefault="00306ED2"/>
                            </w:txbxContent>
                          </wps:txbx>
                          <wps:bodyPr spcFirstLastPara="0" vert="horz" wrap="square" lIns="0" tIns="0" rIns="0" bIns="0" numCol="1" spcCol="1270" anchor="ctr" anchorCtr="0">
                            <a:noAutofit/>
                          </wps:bodyPr>
                        </wps:wsp>
                      </wpg:grpSp>
                      <wpg:grpSp>
                        <wpg:cNvPr id="139" name="Группа 139"/>
                        <wpg:cNvGrpSpPr/>
                        <wpg:grpSpPr bwMode="auto">
                          <a:xfrm>
                            <a:off x="2517076" y="592622"/>
                            <a:ext cx="1092313" cy="1034715"/>
                            <a:chOff x="0" y="0"/>
                            <a:chExt cx="1092313" cy="1034715"/>
                          </a:xfrm>
                        </wpg:grpSpPr>
                        <wps:wsp>
                          <wps:cNvPr id="140" name="Овал 140"/>
                          <wps:cNvSpPr/>
                          <wps:spPr bwMode="auto">
                            <a:xfrm>
                              <a:off x="0" y="0"/>
                              <a:ext cx="1092313" cy="1034715"/>
                            </a:xfrm>
                            <a:prstGeom prst="ellipse">
                              <a:avLst/>
                            </a:prstGeo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wps:spPr>
                          <wps:style>
                            <a:lnRef idx="0">
                              <a:srgbClr val="000000"/>
                            </a:lnRef>
                            <a:fillRef idx="3">
                              <a:srgbClr val="000000"/>
                            </a:fillRef>
                            <a:effectRef idx="3">
                              <a:srgbClr val="000000"/>
                            </a:effectRef>
                            <a:fontRef idx="minor">
                              <a:schemeClr val="lt1"/>
                            </a:fontRef>
                          </wps:style>
                          <wps:bodyPr rot="0">
                            <a:prstTxWarp prst="textNoShape">
                              <a:avLst/>
                            </a:prstTxWarp>
                            <a:noAutofit/>
                          </wps:bodyPr>
                        </wps:wsp>
                        <wps:wsp>
                          <wps:cNvPr id="141" name="Прямоугольник 141"/>
                          <wps:cNvSpPr/>
                          <wps:spPr bwMode="auto">
                            <a:xfrm>
                              <a:off x="159966" y="151530"/>
                              <a:ext cx="772381" cy="731653"/>
                            </a:xfrm>
                            <a:prstGeom prst="rect">
                              <a:avLst/>
                            </a:prstGeom>
                            <a:noFill/>
                            <a:ln>
                              <a:noFill/>
                            </a:ln>
                          </wps:spPr>
                          <wps:txbx>
                            <w:txbxContent>
                              <w:p w:rsidR="00306ED2" w:rsidRDefault="00306ED2">
                                <w:r>
                                  <w:rPr>
                                    <w:rFonts w:ascii="Times New Roman" w:eastAsia="+mn-ea" w:hAnsi="Times New Roman" w:cs="Times New Roman"/>
                                    <w:color w:val="000000"/>
                                    <w:sz w:val="16"/>
                                    <w:szCs w:val="16"/>
                                  </w:rPr>
                                  <w:t>Туристско-рекреационный комплекс</w:t>
                                </w:r>
                              </w:p>
                            </w:txbxContent>
                          </wps:txbx>
                          <wps:bodyPr spcFirstLastPara="0" vert="horz" wrap="square" lIns="10160" tIns="10160" rIns="10160" bIns="10160" numCol="1" spcCol="1270" anchor="ctr" anchorCtr="0">
                            <a:noAutofit/>
                          </wps:bodyPr>
                        </wps:wsp>
                      </wpg:grpSp>
                    </wpg:wgp>
                  </a:graphicData>
                </a:graphic>
              </wp:inline>
            </w:drawing>
          </mc:Choice>
          <mc:Fallback>
            <w:pict>
              <v:group id="Схема 55" o:spid="_x0000_s1111" style="width:374.25pt;height:174.8pt;mso-position-horizontal-relative:char;mso-position-vertical-relative:line" coordsize="47529,22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">
                <v:group id="Группа 127" o:spid="_x0000_s1112" style="position:absolute;left:11755;top:9;width:8862;height:8306" coordsize="8861,83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5heSMIAAADcAAAADwAAAGRycy9kb3ducmV2LnhtbERPTYvCMBC9C/sfwix4&#10;07QuulKNIrIrHkRQF8Tb0IxtsZmUJtvWf28Ewds83ufMl50pRUO1KywriIcRCOLU6oIzBX+n38EU&#10;hPPIGkvLpOBODpaLj94cE21bPlBz9JkIIewSVJB7XyVSujQng25oK+LAXW1t0AdYZ1LX2IZwU8pR&#10;FE2kwYJDQ44VrXNKb8d/o2DTYrv6in+a3e26vl9O4/15F5NS/c9uNQPhqfNv8cu91WH+6Bu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YXkjCAAAA3AAAAA8A&#10;AAAAAAAAAAAAAAAAqgIAAGRycy9kb3ducmV2LnhtbFBLBQYAAAAABAAEAPoAAACZAwAAAAA=&#10;">
                  <v:oval id="Овал 128" o:spid="_x0000_s1113" style="position:absolute;width:8861;height:8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4c1sYA&#10;AADcAAAADwAAAGRycy9kb3ducmV2LnhtbESPT0sDQQzF74LfYYjgzc5apJa106KCaAUP/SP0GHbS&#10;ncWdzLKZtls/vTkIvSW8l/d+mS2G2Joj9dIkdnA/KsAQV8k3XDvYbt7upmAkI3tsE5ODMwks5tdX&#10;Myx9OvGKjutcGw1hKdFByLkrrZUqUEQZpY5YtX3qI2Zd+9r6Hk8aHls7LoqJjdiwNgTs6DVQ9bM+&#10;RAci3w/hZb+bPC4/33dWvjaHYvXr3O3N8PwEJtOQL+b/6w+v+GOl1Wd0Ajv/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O4c1sYAAADcAAAADwAAAAAAAAAAAAAAAACYAgAAZHJz&#10;L2Rvd25yZXYueG1sUEsFBgAAAAAEAAQA9QAAAIsDAAAAAA==&#10;" fillcolor="#bdbdbd" stroked="f">
                    <v:fill color2="#f8f8f8" angle="180" colors="0 #bdbdbd;52429f #f7f7f7;1 #f8f8f8" focus="100%" type="gradient">
                      <o:fill v:ext="view" type="gradientUnscaled"/>
                    </v:fill>
                    <v:shadow on="t" color="black" opacity="22937f" origin=",.5" offset="0,.63889mm"/>
                  </v:oval>
                  <v:rect id="Прямоугольник 129" o:spid="_x0000_s1114" style="position:absolute;left:1297;top:1216;width:6266;height:58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mT+8IA&#10;AADcAAAADwAAAGRycy9kb3ducmV2LnhtbERPzWrCQBC+F3yHZYReRDd6KDW6Bok0SEsFow8wZMck&#10;mJ0N2TWJb98tFHqbj+93tsloGtFT52rLCpaLCARxYXXNpYLr5WP+DsJ5ZI2NZVLwJAfJbvKyxVjb&#10;gc/U574UIYRdjAoq79tYSldUZNAtbEscuJvtDPoAu1LqDocQbhq5iqI3abDm0FBhS2lFxT1/GAXZ&#10;rMx89pk92Kbnr/zU6MMs+lbqdTruNyA8jf5f/Oc+6jB/tYbfZ8IFcvc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mZP7wgAAANwAAAAPAAAAAAAAAAAAAAAAAJgCAABkcnMvZG93&#10;bnJldi54bWxQSwUGAAAAAAQABAD1AAAAhwMAAAAA&#10;" filled="f" stroked="f">
                    <v:textbox inset=".7pt,.7pt,.7pt,.7pt">
                      <w:txbxContent>
                        <w:p w:rsidR="00306ED2" w:rsidRDefault="00306ED2">
                          <w:r>
                            <w:rPr>
                              <w:rFonts w:ascii="Times New Roman" w:eastAsia="+mn-ea" w:hAnsi="Times New Roman" w:cs="Times New Roman"/>
                              <w:color w:val="000000"/>
                              <w:sz w:val="14"/>
                              <w:szCs w:val="14"/>
                            </w:rPr>
                            <w:t>рекреационный потенциал</w:t>
                          </w:r>
                        </w:p>
                      </w:txbxContent>
                    </v:textbox>
                  </v:rect>
                </v:group>
                <v:group id="Группа 130" o:spid="_x0000_s1115" style="position:absolute;left:14140;top:8888;width:4092;height:4092" coordsize="409201,4092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ahQ4cUAAADcAAAADwAAAGRycy9kb3ducmV2LnhtbESPQWvCQBCF74L/YRmh&#10;N92kokjqKiJt6UEEtVB6G7JjEszOhuw2if++cxC8zfDevPfNeju4WnXUhsqzgXSWgCLOva24MPB9&#10;+ZiuQIWIbLH2TAbuFGC7GY/WmFnf84m6cyyUhHDI0EAZY5NpHfKSHIaZb4hFu/rWYZS1LbRtsZdw&#10;V+vXJFlqhxVLQ4kN7UvKb+c/Z+Czx343T9+7w+26v/9eFsefQ0rGvEyG3RuoSEN8mh/XX1bw54Iv&#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WoUOHFAAAA3AAA&#10;AA8AAAAAAAAAAAAAAAAAqgIAAGRycy9kb3ducmV2LnhtbFBLBQYAAAAABAAEAPoAAACcAwAAAAA=&#10;">
                  <v:shape id="Плюс 131" o:spid="_x0000_s1116" style="position:absolute;width:409201;height:409201;visibility:visible;mso-wrap-style:square;v-text-anchor:top" coordsize="409201,4092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sxY78A&#10;AADcAAAADwAAAGRycy9kb3ducmV2LnhtbERPyQrCMBC9C/5DGMGLaOqCSDWKFAQvHlwu3sZmbIvN&#10;pDZR698bQfA2j7fOYtWYUjypdoVlBcNBBII4tbrgTMHpuOnPQDiPrLG0TAre5GC1bLcWGGv74j09&#10;Dz4TIYRdjApy76tYSpfmZNANbEUcuKutDfoA60zqGl8h3JRyFEVTabDg0JBjRUlO6e3wMAounLzP&#10;k+t2nfpJb7Tj8z3ZV3elup1mPQfhqfF/8c+91WH+eAjfZ8IFcvk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wGzFjvwAAANwAAAAPAAAAAAAAAAAAAAAAAJgCAABkcnMvZG93bnJl&#10;di54bWxQSwUGAAAAAAQABAD1AAAAhAMAAAAA&#10;" path="m54240,156478r102238,l156478,54240r96245,l252723,156478r102238,l354961,252723r-102238,l252723,354961r-96245,l156478,252723r-102238,l54240,156478xe" fillcolor="#7d7d7d" stroked="f">
                    <v:fill color2="#a5a5a5" angle="180" colors="0 #7d7d7d;52429f #a4a4a4;1 #a5a5a5" focus="100%" type="gradient">
                      <o:fill v:ext="view" type="gradientUnscaled"/>
                    </v:fill>
                    <v:shadow on="t" color="black" opacity="22937f" origin=",.5" offset="0,.63889mm"/>
                    <v:path arrowok="t" o:connecttype="custom" o:connectlocs="54240,156478;156478,156478;156478,54240;252723,54240;252723,156478;354961,156478;354961,252723;252723,252723;252723,354961;156478,354961;156478,252723;54240,252723;54240,156478" o:connectangles="0,0,0,0,0,0,0,0,0,0,0,0,0"/>
                  </v:shape>
                  <v:rect id="Прямоугольник 132" o:spid="_x0000_s1117" style="position:absolute;left:54240;top:156478;width:300721;height:962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992cQA&#10;AADcAAAADwAAAGRycy9kb3ducmV2LnhtbERPS2vCQBC+F/oflil4Ed1UoW1SV5Fak96Kj4u3ITtu&#10;QrOzIbs18d+7BaG3+fies1gNthEX6nztWMHzNAFBXDpds1FwPGwnbyB8QNbYOCYFV/KwWj4+LDDT&#10;rucdXfbBiBjCPkMFVQhtJqUvK7Lop64ljtzZdRZDhJ2RusM+httGzpLkRVqsOTZU2NJHReXP/tcq&#10;eN2sx/R9cufwmeZpYXZFnppCqdHTsH4HEWgI/+K7+0vH+fMZ/D0TL5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6PfdnEAAAA3AAAAA8AAAAAAAAAAAAAAAAAmAIAAGRycy9k&#10;b3ducmV2LnhtbFBLBQYAAAAABAAEAPUAAACJAwAAAAA=&#10;" filled="f" stroked="f">
                    <v:textbox inset="0,0,0,0">
                      <w:txbxContent>
                        <w:p w:rsidR="00306ED2" w:rsidRDefault="00306ED2"/>
                      </w:txbxContent>
                    </v:textbox>
                  </v:rect>
                </v:group>
                <v:group id="Группа 133" o:spid="_x0000_s1118" style="position:absolute;left:11435;top:13553;width:9502;height:8636" coordsize="9501,86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1es6WwwAAANwAAAAP&#10;AAAAAAAAAAAAAAAAAKoCAABkcnMvZG93bnJldi54bWxQSwUGAAAAAAQABAD6AAAAmgMAAAAA&#10;">
                  <v:oval id="Овал 134" o:spid="_x0000_s1119" style="position:absolute;width:9501;height:86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qADsQA&#10;AADcAAAADwAAAGRycy9kb3ducmV2LnhtbERPS2sCMRC+F/ofwhS81axWrKxGaYViW/DgCzwOm3Gz&#10;uJksO1G3/fVNodDbfHzPmS06X6srtVIFNjDoZ6CIi2ArLg3sd2+PE1ASkS3WgcnAFwks5vd3M8xt&#10;uPGGrttYqhTCkqMBF2OTay2FI4/SDw1x4k6h9RgTbEttW7ylcF/rYZaNtceKU4PDhpaOivP24g2I&#10;HEbu9XQcP398ro5a1rtLtvk2pvfQvUxBReriv/jP/W7T/KcR/D6TLtD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6gA7EAAAA3AAAAA8AAAAAAAAAAAAAAAAAmAIAAGRycy9k&#10;b3ducmV2LnhtbFBLBQYAAAAABAAEAPUAAACJAwAAAAA=&#10;" fillcolor="#bdbdbd" stroked="f">
                    <v:fill color2="#f8f8f8" angle="180" colors="0 #bdbdbd;52429f #f7f7f7;1 #f8f8f8" focus="100%" type="gradient">
                      <o:fill v:ext="view" type="gradientUnscaled"/>
                    </v:fill>
                    <v:shadow on="t" color="black" opacity="22937f" origin=",.5" offset="0,.63889mm"/>
                  </v:oval>
                  <v:rect id="Прямоугольник 135" o:spid="_x0000_s1120" style="position:absolute;left:1391;top:1264;width:6719;height:61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0PI8EA&#10;AADcAAAADwAAAGRycy9kb3ducmV2LnhtbERP24rCMBB9F/yHMMK+iKarrEg1irhYxEWh1Q8YmrEt&#10;NpPSRO3+vVlY8G0O5zrLdWdq8aDWVZYVfI4jEMS51RUXCi7n3WgOwnlkjbVlUvBLDtarfm+JsbZP&#10;TumR+UKEEHYxKii9b2IpXV6SQTe2DXHgrrY16ANsC6lbfIZwU8tJFM2kwYpDQ4kNbUvKb9ndKEiG&#10;ReKTQ3Jnu01/slOtv4fRUamPQbdZgPDU+bf4373XYf70C/6eCRfI1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8NDyPBAAAA3AAAAA8AAAAAAAAAAAAAAAAAmAIAAGRycy9kb3du&#10;cmV2LnhtbFBLBQYAAAAABAAEAPUAAACGAwAAAAA=&#10;" filled="f" stroked="f">
                    <v:textbox inset=".7pt,.7pt,.7pt,.7pt">
                      <w:txbxContent>
                        <w:p w:rsidR="00306ED2" w:rsidRDefault="00306ED2">
                          <w:r>
                            <w:rPr>
                              <w:rFonts w:ascii="Times New Roman" w:eastAsia="+mn-ea" w:hAnsi="Times New Roman" w:cs="Times New Roman"/>
                              <w:color w:val="000000"/>
                              <w:sz w:val="14"/>
                              <w:szCs w:val="14"/>
                            </w:rPr>
                            <w:t>туристский потенциал</w:t>
                          </w:r>
                        </w:p>
                      </w:txbxContent>
                    </v:textbox>
                  </v:rect>
                </v:group>
                <v:group id="Группа 136" o:spid="_x0000_s1121" style="position:absolute;left:21995;top:9787;width:2244;height:2625" coordsize="224355,2624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1tDsIAAADcAAAADwAAAGRycy9kb3ducmV2LnhtbERPTYvCMBC9C/sfwix4&#10;07SKIl2jiLjiQRasguxtaMa22ExKk23rvzfCgrd5vM9ZrntTiZYaV1pWEI8jEMSZ1SXnCi7n79EC&#10;hPPIGivLpOBBDtarj8ESE207PlGb+lyEEHYJKii8rxMpXVaQQTe2NXHgbrYx6ANscqkb7EK4qeQk&#10;iubSYMmhocCatgVl9/TPKNh32G2m8a493m/bx+959nM9xqTU8LPffIHw1Pu3+N990GH+dA6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UNbQ7CAAAA3AAAAA8A&#10;AAAAAAAAAAAAAAAAqgIAAGRycy9kb3ducmV2LnhtbFBLBQYAAAAABAAEAPoAAACZAwA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137" o:spid="_x0000_s1122" type="#_x0000_t13" style="position:absolute;width:224355;height:2624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n28MA&#10;AADcAAAADwAAAGRycy9kb3ducmV2LnhtbERPzWrCQBC+F/oOyxS81U2VNhLdhFZRhByK1gcYsmMS&#10;m50N2TWJb98VCt7m4/udVTaaRvTUudqygrdpBIK4sLrmUsHpZ/u6AOE8ssbGMim4kYMsfX5aYaLt&#10;wAfqj74UIYRdggoq79tESldUZNBNbUscuLPtDPoAu1LqDocQbho5i6IPabDm0FBhS+uKit/j1SiI&#10;r3l5Gt4vpjjEX/n6ezMb8n6n1ORl/FyC8DT6h/jfvddh/jyG+zPhAp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2+n28MAAADcAAAADwAAAAAAAAAAAAAAAACYAgAAZHJzL2Rv&#10;d25yZXYueG1sUEsFBgAAAAAEAAQA9QAAAIgDAAAAAA==&#10;" adj="10800,4320" fillcolor="#7d7d7d" stroked="f">
                    <v:fill color2="#a5a5a5" angle="180" colors="0 #7d7d7d;52429f #a4a4a4;1 #a5a5a5" focus="100%" type="gradient">
                      <o:fill v:ext="view" type="gradientUnscaled"/>
                    </v:fill>
                    <v:shadow on="t" color="black" opacity="22937f" origin=",.5" offset="0,.63889mm"/>
                  </v:shape>
                  <v:rect id="Прямоугольник 138" o:spid="_x0000_s1123" style="position:absolute;top:52491;width:157049;height:1574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dKM8YA&#10;AADcAAAADwAAAGRycy9kb3ducmV2LnhtbESPS2/CMBCE75X6H6yt1EsFTovUNgGDUB+kt4rHhdsq&#10;XpyIeB3FLoR/zx6QetvVzM58O1sMvlUn6mMT2MDzOANFXAXbsDOw236P3kHFhGyxDUwGLhRhMb+/&#10;m2Fhw5nXdNokpySEY4EG6pS6QutY1eQxjkNHLNoh9B6TrL3TtsezhPtWv2TZq/bYsDTU2NFHTdVx&#10;8+cNvH0un+h3Hw7pK1/lpVuXq9yVxjw+DMspqERD+jffrn+s4E+EVp6RCfT8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2dKM8YAAADcAAAADwAAAAAAAAAAAAAAAACYAgAAZHJz&#10;L2Rvd25yZXYueG1sUEsFBgAAAAAEAAQA9QAAAIsDAAAAAA==&#10;" filled="f" stroked="f">
                    <v:textbox inset="0,0,0,0">
                      <w:txbxContent>
                        <w:p w:rsidR="00306ED2" w:rsidRDefault="00306ED2"/>
                      </w:txbxContent>
                    </v:textbox>
                  </v:rect>
                </v:group>
                <v:group id="Группа 139" o:spid="_x0000_s1124" style="position:absolute;left:25170;top:5926;width:10923;height:10347" coordsize="10923,103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JL5fMQAAADcAAAADwAAAGRycy9kb3ducmV2LnhtbERPS2vCQBC+C/0PyxR6&#10;M5s0VNo0q4jU0oMU1ELpbciOSTA7G7JrHv/eFQre5uN7Tr4aTSN66lxtWUESxSCIC6trLhX8HLfz&#10;VxDOI2tsLJOCiRyslg+zHDNtB95Tf/ClCCHsMlRQed9mUrqiIoMusi1x4E62M+gD7EqpOxxCuGnk&#10;cxwvpMGaQ0OFLW0qKs6Hi1HwOeCwTpOPfnc+baa/48v37y4hpZ4ex/U7CE+jv4v/3V86zE/f4P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JL5fMQAAADcAAAA&#10;DwAAAAAAAAAAAAAAAACqAgAAZHJzL2Rvd25yZXYueG1sUEsFBgAAAAAEAAQA+gAAAJsDAAAAAA==&#10;">
                  <v:oval id="Овал 140" o:spid="_x0000_s1125" style="position:absolute;width:10923;height:103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f1cMYA&#10;AADcAAAADwAAAGRycy9kb3ducmV2LnhtbESPT0sDQQzF74LfYYjgzc4qpZa106KCqAUP/SP0GHbS&#10;ncWdzLKZtquf3hwKvSW8l/d+mS2G2Joj9dIkdnA/KsAQV8k3XDvYbt7upmAkI3tsE5ODXxJYzK+v&#10;Zlj6dOIVHde5NhrCUqKDkHNXWitVoIgySh2xavvUR8y69rX1PZ40PLb2oSgmNmLD2hCwo9dA1c/6&#10;EB2IfI/Dy343efxcvu+sfG0OxerPudub4fkJTKYhX8zn6w+v+GPF12d0Ajv/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0f1cMYAAADcAAAADwAAAAAAAAAAAAAAAACYAgAAZHJz&#10;L2Rvd25yZXYueG1sUEsFBgAAAAAEAAQA9QAAAIsDAAAAAA==&#10;" fillcolor="#bdbdbd" stroked="f">
                    <v:fill color2="#f8f8f8" angle="180" colors="0 #bdbdbd;52429f #f7f7f7;1 #f8f8f8" focus="100%" type="gradient">
                      <o:fill v:ext="view" type="gradientUnscaled"/>
                    </v:fill>
                    <v:shadow on="t" color="black" opacity="22937f" origin=",.5" offset="0,.63889mm"/>
                  </v:oval>
                  <v:rect id="Прямоугольник 141" o:spid="_x0000_s1126" style="position:absolute;left:1599;top:1515;width:7724;height:73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hh9cEA&#10;AADcAAAADwAAAGRycy9kb3ducmV2LnhtbERP32vCMBB+H/g/hBP2NlNFZFSjiKwguBe7wV6P5kyL&#10;zaUmma376xdB8O0+vp+32gy2FVfyoXGsYDrJQBBXTjdsFHx/FW/vIEJE1tg6JgU3CrBZj15WmGvX&#10;85GuZTQihXDIUUEdY5dLGaqaLIaJ64gTd3LeYkzQG6k99inctnKWZQtpseHUUGNHu5qqc/lrFXyY&#10;n79P3RZH42+XbNaXdn8orFKv42G7BBFpiE/xw73Xaf58Cvdn0gVy/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l4YfXBAAAA3AAAAA8AAAAAAAAAAAAAAAAAmAIAAGRycy9kb3du&#10;cmV2LnhtbFBLBQYAAAAABAAEAPUAAACGAwAAAAA=&#10;" filled="f" stroked="f">
                    <v:textbox inset=".8pt,.8pt,.8pt,.8pt">
                      <w:txbxContent>
                        <w:p w:rsidR="00306ED2" w:rsidRDefault="00306ED2">
                          <w:r>
                            <w:rPr>
                              <w:rFonts w:ascii="Times New Roman" w:eastAsia="+mn-ea" w:hAnsi="Times New Roman" w:cs="Times New Roman"/>
                              <w:color w:val="000000"/>
                              <w:sz w:val="16"/>
                              <w:szCs w:val="16"/>
                            </w:rPr>
                            <w:t>Туристско-рекреационный комплекс</w:t>
                          </w:r>
                        </w:p>
                      </w:txbxContent>
                    </v:textbox>
                  </v:rect>
                </v:group>
                <w10:anchorlock/>
              </v:group>
            </w:pict>
          </mc:Fallback>
        </mc:AlternateContent>
      </w:r>
    </w:p>
    <w:p w:rsidR="00517711" w:rsidRDefault="00F815BE">
      <w:pPr>
        <w:spacing w:after="0" w:line="240" w:lineRule="auto"/>
        <w:ind w:firstLine="397"/>
        <w:jc w:val="center"/>
        <w:rPr>
          <w:rFonts w:ascii="Times New Roman" w:hAnsi="Times New Roman"/>
          <w:sz w:val="20"/>
          <w:szCs w:val="20"/>
          <w:lang w:eastAsia="ru-RU"/>
        </w:rPr>
      </w:pPr>
      <w:r>
        <w:rPr>
          <w:rFonts w:ascii="Times New Roman" w:hAnsi="Times New Roman"/>
          <w:sz w:val="20"/>
          <w:szCs w:val="20"/>
          <w:lang w:eastAsia="ru-RU"/>
        </w:rPr>
        <w:t>Рис. 1.  Реализация рекреационного потенциала</w:t>
      </w:r>
    </w:p>
    <w:p w:rsidR="00517711" w:rsidRDefault="00517711">
      <w:pPr>
        <w:spacing w:after="0" w:line="240" w:lineRule="auto"/>
        <w:ind w:firstLine="397"/>
        <w:jc w:val="center"/>
        <w:rPr>
          <w:rFonts w:ascii="Times New Roman" w:hAnsi="Times New Roman"/>
          <w:sz w:val="20"/>
          <w:szCs w:val="20"/>
          <w:lang w:eastAsia="ru-RU"/>
        </w:rPr>
      </w:pPr>
    </w:p>
    <w:p w:rsidR="00517711" w:rsidRDefault="00F815BE">
      <w:pPr>
        <w:spacing w:after="0" w:line="240" w:lineRule="auto"/>
        <w:ind w:firstLine="709"/>
        <w:jc w:val="both"/>
        <w:rPr>
          <w:rFonts w:ascii="Times New Roman" w:hAnsi="Times New Roman"/>
          <w:color w:val="FF0000"/>
          <w:sz w:val="20"/>
          <w:szCs w:val="24"/>
        </w:rPr>
      </w:pPr>
      <w:r>
        <w:rPr>
          <w:rFonts w:ascii="Times New Roman" w:hAnsi="Times New Roman"/>
          <w:sz w:val="20"/>
          <w:szCs w:val="24"/>
        </w:rPr>
        <w:t xml:space="preserve">Обеспечение эффективной реализации рекреационно-туристического потенциала должно занимать приоритетное значение в стратегии развития региона.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Ю.А. Веденина и Н.Н. Мирошниченко одними из первых предложили детальную оценку природных критериев для организации туризма. В то время, действительно политика рационального природ пользования была приоритетной и несметные богатства природных ресурсов казались неисчерпаемыми. Авторы предлагали балльную оценку степени благоприятности каждого фактора, характеризующего природные условия исследуемой территории для отдыха [4].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Э.Л. Файбусович и Л.В. Чечетова предлагают немного другую методику оценки природных условий для туризма и отдыха. При проведении оценки создатели брали во внимание большей частью климатические элементы. После климатических факторов оценивались растительные зоны [14].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Основная масса способов оценки рекреационного потенциала сводятся к количественному выражению той или иной территории в баллах. Способ балльной оценки, предложенный Л.И. Мухиной принято считать более все распространенным и обширно применяемым методом. Автором были разработаны принципы и методические указания по технологической оценке природных комплексов. Этот метод применен на количественной и качественной оценке характеристик природных условий ведения рекреационной деятельности и разделен на 4 критерия: физиологический, эстетический, технологический и санитарно-гигиенический. Здесь мы наблюдаем комплексный подход в оценке условий отдыха, воспроизводства рабочей силы и элементы экологической безопасности [13]. Исследования О.В. Калашниковой (1998), Н.Н. Назарова, Д.А. Постникова (2002), Н.В. Бучацкой (2002) следует отметить среди работ в области оценки отдельных компонентов рекреационного потенциала. Авторы рассматривают подходы к оценке пейзажно-эстетической привлекательности ландшафтов для целей туризма и рекреации. О.В. Калашникова анализирует современные методики оценки эстетических свойств ландшафтов, исходя из трех направлений: классические методики, основанные на качественном описании эстетических свойств ландшафта; социологический опрос как наиболее объективный и надежный метод оценки; метод экспертных оценок как наиболее актуальный в настоящее время [16].</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Среди современных исследований по оценке природных ресурсов можно выделить работу В.М. Ячменевой, М.В. Высочиной, А.С. Фененко. Авторами предложен эколого-социально-экономический подход в оценке эффективности природопользования в курортном регионе, который базируется на рассмотрении эффективности как комплексной характеристики результативности процессов.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Внедрение Теории нечетких множеств, дало возможность авторам разработать качественно-количественную (смешанную) методику оценки. Авторы отошли от принципа рациональности и решили задачу эколого-социально-экономической эффективности природопользования в пространстве и во времени на уровне региона [17].</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Моделью оценки уровня туристско-рекреационного потенциала с использованием методов многомерной статистики, считается работа по оценке уровня туристско-рекреационного потенциала регионов Российской Федерации, проведенная В.Г. Прудским, Л.Г. Бурымовой и Д.П. Голиковым. Ими была проведена количественная оценка туристского потенциала территории </w:t>
      </w:r>
      <w:r>
        <w:rPr>
          <w:rFonts w:ascii="Times New Roman" w:hAnsi="Times New Roman"/>
          <w:color w:val="000000"/>
          <w:sz w:val="20"/>
          <w:szCs w:val="24"/>
          <w:shd w:val="clear" w:color="auto" w:fill="FDFDFD"/>
        </w:rPr>
        <w:t> </w:t>
      </w:r>
      <w:r>
        <w:rPr>
          <w:rFonts w:ascii="Times New Roman" w:hAnsi="Times New Roman"/>
          <w:sz w:val="20"/>
          <w:szCs w:val="24"/>
        </w:rPr>
        <w:t>внедрением способа</w:t>
      </w:r>
      <w:r>
        <w:rPr>
          <w:rStyle w:val="tooltip"/>
          <w:rFonts w:ascii="Times New Roman" w:hAnsi="Times New Roman"/>
          <w:color w:val="FF0000"/>
          <w:sz w:val="20"/>
          <w:szCs w:val="24"/>
          <w:shd w:val="clear" w:color="auto" w:fill="FDFDFD"/>
        </w:rPr>
        <w:t xml:space="preserve"> </w:t>
      </w:r>
      <w:r>
        <w:rPr>
          <w:rFonts w:ascii="Times New Roman" w:hAnsi="Times New Roman"/>
          <w:sz w:val="20"/>
          <w:szCs w:val="24"/>
        </w:rPr>
        <w:t xml:space="preserve">факторно-кластерного анализа. Целью их оценки было разделить регионы Российской Федерации на группы в согласовании с уровнем становления имеющегося на их дестинации туристского потенциала – сначала отдельно по группам туристских ресурсов, а затем по всем ресурсам в целом. Для количественной оценки потенциала авторы использовали 51 </w:t>
      </w:r>
      <w:r>
        <w:rPr>
          <w:rFonts w:ascii="Times New Roman" w:hAnsi="Times New Roman"/>
          <w:sz w:val="20"/>
          <w:szCs w:val="24"/>
        </w:rPr>
        <w:lastRenderedPageBreak/>
        <w:t>показатель, разбитый на 4 группы ресурсов: культурные, природные, оздоровительные и инфраструктурные. Однако такое количество показателей усложняет расчеты, требует дополнительного анализа сама система показателей на предмет их сопоставимости, взаимозаменяемости, взаимоисключения и т. д. [16].</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Способ оценки туристского потенциала, предложенный А.В. Дроздовым [6], нацелен на использование особо охраняемых природных территорий - национальных парков. Впрочем, методика применима и для других территорий, так как методологических различий при ее применении нет.</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На основе анализа существующих методик оценки туристского потенциала территорий предлагается балльная оценка туристского потенциала территорий, разработанная Ю.А. Худеньких [15].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В последние годы в работах по оценке туристского потенциала все чаще стали применяться геоинформационные технологии. С помощью данных средств появляется возможность ускорить работы, связанные с большим количеством информации. Такие работы были выполнены A.M. Саранчой, где она описывает туристский потенциал Удмуртской республики, и М.А. Чубом по Амурской области.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На сегодняшний день отсутствует общепризнанный способ оценивания туристского потенциала региона или страны, несмотря на большое количество работ, связанных с  исследованием туристского потенциала территории. Это можно объяснить как разнообразием туристских мест и ресурсов, так и множеством видов туризма.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Одна из наиболее насущных проблем – отсутствие единого метода подсчета туристского потенциала, что лишает возможности сравнивать потенциал одного региона с потенциалом другого [9]. Применяются разные методы, связанные с природными факторами, для оценивания туристского потенциала локальных мест или для решения поставленных задач. Но будет полезнее их реализация в интегральных методах, оценивающих потенциал в зависимости от большого количества факторов.</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Тем не менее, для большинства имеющихся на сегодняшний день работ, посвященных оценке ТРП территории, наряду с множеством достоинств, характерны и типичные недостатки. В большинстве работ при комплексной оценке туристско-рекреационного потенциала в лучшем случае предусматриваются транспортная обеспеченность и показатели объектов историко-культурного наследия. А между тем показатели финансовой, инфраструктурной доступности ресурсов и объектов, обеспеченности объектами туристской инфраструктуры, трудовыми ресурсами, информационной насыщенности, толерантности местного населения туристских дестинации и т. д. считаются важными характеристиками данной сферы деятельности. Недостаточное обоснование весовых коэффициентов в оценочных показателях. Они, как правило, уточняются авторами произвольно без расчетов и обоснований, либо являются, считаются итогом закономерных выводов и концептуальных допущений. В связи с этим важным представляется поиск возможностей объективного научно обоснованного ранжирования всех оценочных характеристики по степени их важности. Слабый в целом уровень автоматизации оценочного процесса, особенно если учитывать имеющиеся возможности масштабного применения ГИС-моделирования в данной области. Абстрактность многих оценочных работ российской научной школы, их слабая привязанность к практической деятельности, в частности к территориальному планированию развития туристско-рекреационного хозяйства [13].</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Таким образом, рациональное и эффективное управление уровнем рекреационного потенциала региона требует разработки и применения определенных критериев его оценки. Среди таких критериев оценки отметим: 1) адекватность количественной оценки рекреационного потенциала; 2) комплексность оценки элементов потенциала, степень использования частных потенциалов; 3) оценку возможностей преобразование потенциала в ресурс и эффективное использования ресурсов; 4) систематический мониторинг состояния рекреационных ресурсов и определение их значимости в развитии рекреации в регионе. Можно сделать выводы, что к настоящему времени в основном преобладают подходы в оценке рекреационного потенциала на основе качественно-количественных методов. Такие методы получили широкое применение, несмотря на то, что они не лишены субъективности и частично основываются на статистических данных, подлежащих экономическому анализу. При анализе туристского потенциала территории оценке можно рассматривать общую величину туристского потенциала или его функциональную долю, т.е. все элементы туристского комплекса региона, фактически вовлеченные в экономическую сферу и определяющие итоги его применения.</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Комплексную оценку туристского потенциала территории целесообразно проводить с помощью экономических методов, в то же время не все виды рекреационных ресурсов поддаются экономической оценке, многие из них могут измеряться только условными величинами, в следствие этого внедрение способов экспертных оценок в настоящее время считается единственно возможным там, где использование количественных методов невозможно или они не разработаны должным образом. Практика показала, что наиболее адекватным и релевантным является системный подход и Теория нечетных множеств, а эффективным инструментов данном случае выступает математический инструментарий метод нечеткой логики [16].</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Возможна и стоимостная оценка туристского потенциала, в первую очередь, его ведущей элемента – туристских ресурсов.</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При анализе туристского потенциала территории нужно проанализировать эффективность его применения. В настоящее время задача оценки эффективности использования туристского потенциала территории для развития туризма еще ждет своего решения. Впрочем, аспект производительности применения туристского потенциала территории Кэ может быть представлен в виде следующего соотношения:</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Кэ = Эп/Зп,</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lastRenderedPageBreak/>
        <w:t>Где Эп - эффект от реализации территориального туристского потенциала; Зп - затраты, потребовавшиеся для достижения Эп.</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свою очередь, Эп может быть представлен в виде суммы двух составляющих, одна из которых характеризует вклад туризма в решение региональных и государственных проблем, а другая - собственно реакционный эффект, т.е. разницу между состоянием туризма в начале и в конце туристского цикла. Что касается необходимых затрат Зп, то они зависят от специфики конкретных мероприятий по реализации потенциала и могут быть определены по методикам известных в практике расчетов эффективности крупных инвестиционных проектов.</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Для грамотного и действенного управления ресурсным потенциалом региона необходимо разработать и применить следующие параметры его оценки: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1) Количественная оценка ресурсов;</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2) Оценка структуры потенциала, степень использования частных потенциалов;</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3) Оценка возможностей использования ресурсов;</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4) Систематический учет состояния туристских и рекреационных ресурсов и определение их значения в развитии туризма региона, что возможно лишь при введении системы туристских и рекреационных кадастров [10].</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____________________________________</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1. Багрова Л.А. Рекреационные ресурсы (подходы к анализу понятия) / Л.А. Багрова, Н.В. Багров, В.С. Преображенский //Известия АН СССР. –1977. – №2. – С.34-45.</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2. Баядян А.Ю. Методы оценки туристско-рекреационного потенциала территории аг-рарная география в современном мире/ А.Ю. Баядян// Кубанский государственный университет. – 2014. №2. – С. 289-291.</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3. Букреев И.А. Формирование и реализация рекреационного потенциала региона/ И.А. Букреев // Культура народов Причерноморья. - 2012. - №209. – С.19-22.</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4. Веденин Ю.А. Оценка природных условий для организации отдыха/ Ю.А. Веденин, Н.Н. Мирошниченко // Известия АН СССР. Сер. географическая. – 1969. – № 4. С. 51–60.</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5. Гидбут А.В. Курортно-рекреационное хозяйство (региональный аспект): учебное пособие / А.В. Гидбут, А.Г. Мезенцев.– М.: Наука, 1991.– 94 с.</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6. Дроздов А.В. Как развивать туризм в национальных парках России: учебное пособие / А.В. Дроздов. - М.: Экоцентр «Заповедники», 2000. – 61с.</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7. Ердавлетов С.Р. Основы географии туризма: учебное пособие / С.Р. Ердавлетов – Алма-Ата, 1991. – 167 с.</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8. Жолдасбеков А.А. Туристско-рекреационные ресурсы как основа туристско-рекреационного потенциала/ А.А. Жолдасбеков, М.Д. Мамадияров, Б.А. Жолдасбекова// Международный журнал экспериментального образования. – 2013. – № 11. – С. 213-214.</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9. Зорин И.В Энциклопедия туризма: справочник / И.В. Зорин, В.А. Квартальнов. – М.: Финансы и статистика, 2003. – 368 с.</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10. Котлярова О.В.  Разработка универсальной модели оценки туристского потенциала территорий в образовательном процессе/ О.В. Котляров, Т.В. Бай // Человек. Спорт. Медицина. – 2015. - № 1. – С. 9-13</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11. Мироненко Н.С.  Рекреационная география: учебник / Н.С. Мироненко, И.Т. Твердохлебов. – М.: Изд-во Московского ун-та, 1981. – 207 с.</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12. Николаенко Д.В. Рекреационная география: учеб. пособие / Д.В. Николаенко. – М.: ВЛАДОС, 2003. – 279 с.</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13. Сафарян А.А.  Подходы к оценке туристского потенциала территории/ А.А. Сафарян // Географический вестник. – 2015. – №1 (32). – С. 44–57.</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14. Файбусович Э.Л. Методика оценки природных условий для туризма/ Э.Л. Файбусович, Л.В. Чечетова // Краеведение и туризм. – 1973. – №5 – С. 3–15.</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15. Худеньких Ю.А. Подходы к оценке туристского потенциала территории на примере районов Пермского края / Ю.А. Худеньких // География и туризм: сб. науч. тр., Пермь: Перм.гос.ун-т, 2006. - №. 2. – С. 217–230.</w:t>
      </w:r>
    </w:p>
    <w:p w:rsidR="00517711" w:rsidRDefault="00F815BE">
      <w:pPr>
        <w:spacing w:after="0"/>
        <w:rPr>
          <w:rFonts w:ascii="Times New Roman" w:hAnsi="Times New Roman"/>
          <w:sz w:val="20"/>
          <w:szCs w:val="24"/>
        </w:rPr>
      </w:pPr>
      <w:r>
        <w:rPr>
          <w:rFonts w:ascii="Times New Roman" w:hAnsi="Times New Roman"/>
          <w:sz w:val="20"/>
          <w:szCs w:val="24"/>
        </w:rPr>
        <w:t>16. Ячменева В.М. Методы оценки рекреационного потенциала региона/В.М. Ячменева, Е.Ю. Туголуова// Вестник Современной Науки. – 2015. – №12. – С.66–72.</w:t>
      </w:r>
    </w:p>
    <w:p w:rsidR="00517711" w:rsidRDefault="00F815BE">
      <w:pPr>
        <w:spacing w:after="0" w:line="256" w:lineRule="auto"/>
        <w:rPr>
          <w:rFonts w:ascii="Times New Roman" w:hAnsi="Times New Roman"/>
          <w:sz w:val="24"/>
          <w:szCs w:val="24"/>
        </w:rPr>
      </w:pPr>
      <w:r>
        <w:rPr>
          <w:rFonts w:ascii="Times New Roman" w:hAnsi="Times New Roman"/>
          <w:sz w:val="20"/>
          <w:szCs w:val="24"/>
        </w:rPr>
        <w:t>17. Ячменева В.М. Эффективность природопользования в курортном регионе и особо охраняемых природных территориях: монография/ В.М. Ячменева, М.В. Высочина, А.С. Фененко. – Симферополь: АРИАЛ, 2012. – 299 с.</w:t>
      </w:r>
    </w:p>
    <w:p w:rsidR="00517711" w:rsidRDefault="00517711">
      <w:pPr>
        <w:spacing w:after="0" w:line="240" w:lineRule="auto"/>
        <w:jc w:val="both"/>
        <w:rPr>
          <w:rFonts w:ascii="Times New Roman" w:hAnsi="Times New Roman"/>
          <w:color w:val="000000"/>
          <w:sz w:val="24"/>
          <w:szCs w:val="24"/>
          <w:lang w:eastAsia="ru-RU"/>
        </w:rPr>
      </w:pPr>
    </w:p>
    <w:p w:rsidR="00517711" w:rsidRDefault="00517711">
      <w:pPr>
        <w:spacing w:after="0" w:line="240" w:lineRule="auto"/>
        <w:jc w:val="both"/>
        <w:rPr>
          <w:rFonts w:ascii="Times New Roman" w:hAnsi="Times New Roman"/>
          <w:color w:val="000000"/>
          <w:sz w:val="24"/>
        </w:rPr>
      </w:pPr>
    </w:p>
    <w:p w:rsidR="00517711" w:rsidRDefault="00517711"/>
    <w:p w:rsidR="00517711" w:rsidRDefault="00517711">
      <w:pPr>
        <w:rPr>
          <w:rFonts w:ascii="Book Antiqua" w:hAnsi="Book Antiqua"/>
          <w:b/>
          <w:bCs/>
          <w:sz w:val="24"/>
          <w:szCs w:val="20"/>
          <w:lang w:eastAsia="ru-RU"/>
        </w:rPr>
      </w:pPr>
    </w:p>
    <w:p w:rsidR="00517711" w:rsidRDefault="00F815BE">
      <w:pPr>
        <w:keepNext/>
        <w:pageBreakBefore/>
        <w:spacing w:after="240" w:line="240" w:lineRule="auto"/>
        <w:jc w:val="center"/>
        <w:outlineLvl w:val="0"/>
        <w:rPr>
          <w:rFonts w:ascii="Book Antiqua" w:hAnsi="Book Antiqua"/>
          <w:b/>
          <w:bCs/>
          <w:caps/>
          <w:sz w:val="24"/>
          <w:szCs w:val="20"/>
          <w:lang w:eastAsia="ru-RU"/>
        </w:rPr>
      </w:pPr>
      <w:r>
        <w:rPr>
          <w:rFonts w:ascii="Book Antiqua" w:hAnsi="Book Antiqua"/>
          <w:b/>
          <w:bCs/>
          <w:sz w:val="24"/>
          <w:szCs w:val="20"/>
          <w:lang w:eastAsia="ru-RU"/>
        </w:rPr>
        <w:lastRenderedPageBreak/>
        <w:t>Секция</w:t>
      </w:r>
      <w:r>
        <w:rPr>
          <w:rFonts w:ascii="Book Antiqua" w:hAnsi="Book Antiqua"/>
          <w:b/>
          <w:bCs/>
          <w:caps/>
          <w:sz w:val="24"/>
          <w:szCs w:val="20"/>
          <w:lang w:eastAsia="ru-RU"/>
        </w:rPr>
        <w:t>. Дальневосточный вектор правового регулирования экономических отношений проблемы, тенденции, риски</w:t>
      </w:r>
    </w:p>
    <w:p w:rsidR="00517711" w:rsidRDefault="00F815BE">
      <w:pPr>
        <w:widowControl w:val="0"/>
        <w:shd w:val="clear" w:color="auto" w:fill="FFFFFF"/>
        <w:spacing w:after="0" w:line="240" w:lineRule="auto"/>
        <w:contextualSpacing/>
        <w:jc w:val="both"/>
        <w:rPr>
          <w:rFonts w:ascii="Times New Roman" w:eastAsia="Calibri" w:hAnsi="Times New Roman" w:cs="Times New Roman"/>
          <w:b/>
          <w:bCs/>
          <w:sz w:val="20"/>
          <w:szCs w:val="28"/>
        </w:rPr>
      </w:pPr>
      <w:r>
        <w:rPr>
          <w:rFonts w:ascii="Times New Roman" w:eastAsia="Calibri" w:hAnsi="Times New Roman" w:cs="Times New Roman"/>
          <w:b/>
          <w:bCs/>
          <w:sz w:val="20"/>
          <w:szCs w:val="28"/>
        </w:rPr>
        <w:t>Рубрика: Юридические науки</w:t>
      </w:r>
    </w:p>
    <w:p w:rsidR="00517711" w:rsidRDefault="00F815BE">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УДК 34.096</w:t>
      </w:r>
    </w:p>
    <w:p w:rsidR="00517711" w:rsidRDefault="00F815BE">
      <w:pPr>
        <w:keepNext/>
        <w:spacing w:before="240" w:after="240" w:line="240" w:lineRule="auto"/>
        <w:jc w:val="center"/>
        <w:outlineLvl w:val="0"/>
        <w:rPr>
          <w:rFonts w:ascii="Book Antiqua" w:hAnsi="Book Antiqua" w:cs="Times New Roman"/>
          <w:b/>
          <w:bCs/>
          <w:caps/>
          <w:sz w:val="26"/>
          <w:szCs w:val="26"/>
        </w:rPr>
      </w:pPr>
      <w:r>
        <w:rPr>
          <w:rFonts w:ascii="Book Antiqua" w:hAnsi="Book Antiqua" w:cs="Times New Roman"/>
          <w:b/>
          <w:bCs/>
          <w:caps/>
          <w:sz w:val="26"/>
          <w:szCs w:val="26"/>
        </w:rPr>
        <w:t xml:space="preserve">Правовые аспекты регулирования миграционного режима </w:t>
      </w:r>
    </w:p>
    <w:p w:rsidR="00517711" w:rsidRDefault="00F815BE">
      <w:pPr>
        <w:keepNext/>
        <w:spacing w:before="240" w:after="240" w:line="240" w:lineRule="auto"/>
        <w:jc w:val="center"/>
        <w:outlineLvl w:val="0"/>
        <w:rPr>
          <w:rFonts w:ascii="Book Antiqua" w:hAnsi="Book Antiqua" w:cs="Times New Roman"/>
          <w:b/>
          <w:bCs/>
          <w:caps/>
          <w:sz w:val="26"/>
          <w:szCs w:val="26"/>
        </w:rPr>
      </w:pPr>
      <w:r>
        <w:rPr>
          <w:rFonts w:ascii="Book Antiqua" w:hAnsi="Book Antiqua" w:cs="Times New Roman"/>
          <w:b/>
          <w:bCs/>
          <w:caps/>
          <w:sz w:val="26"/>
          <w:szCs w:val="26"/>
        </w:rPr>
        <w:t>приграничных территорий на Дальнем Востоке</w:t>
      </w:r>
    </w:p>
    <w:p w:rsidR="00517711" w:rsidRDefault="00F815BE">
      <w:pPr>
        <w:widowControl w:val="0"/>
        <w:shd w:val="clear" w:color="auto" w:fill="FFFFFF"/>
        <w:spacing w:after="0" w:line="240" w:lineRule="auto"/>
        <w:contextualSpacing/>
        <w:jc w:val="center"/>
        <w:rPr>
          <w:rFonts w:ascii="Arial" w:eastAsia="Calibri" w:hAnsi="Arial" w:cs="Times New Roman"/>
          <w:b/>
          <w:bCs/>
          <w:sz w:val="24"/>
          <w:szCs w:val="20"/>
          <w:lang w:eastAsia="ru-RU"/>
        </w:rPr>
      </w:pPr>
      <w:r>
        <w:rPr>
          <w:rFonts w:ascii="Arial" w:eastAsia="Calibri" w:hAnsi="Arial" w:cs="Times New Roman"/>
          <w:b/>
          <w:bCs/>
          <w:sz w:val="24"/>
          <w:szCs w:val="20"/>
          <w:lang w:eastAsia="ru-RU"/>
        </w:rPr>
        <w:t>Аникеева Валерия Николаевна</w:t>
      </w:r>
    </w:p>
    <w:p w:rsidR="00517711" w:rsidRDefault="00F815BE">
      <w:pPr>
        <w:widowControl w:val="0"/>
        <w:shd w:val="clear" w:color="auto" w:fill="FFFFFF"/>
        <w:spacing w:after="0" w:line="240" w:lineRule="auto"/>
        <w:contextualSpacing/>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бакалавр</w:t>
      </w:r>
    </w:p>
    <w:p w:rsidR="00517711" w:rsidRDefault="00517711">
      <w:pPr>
        <w:widowControl w:val="0"/>
        <w:shd w:val="clear" w:color="auto" w:fill="FFFFFF"/>
        <w:spacing w:after="0" w:line="240" w:lineRule="auto"/>
        <w:contextualSpacing/>
        <w:jc w:val="center"/>
        <w:rPr>
          <w:rFonts w:ascii="Arial" w:eastAsia="Calibri" w:hAnsi="Arial" w:cs="Times New Roman"/>
          <w:bCs/>
          <w:sz w:val="24"/>
          <w:szCs w:val="20"/>
          <w:lang w:eastAsia="ru-RU"/>
        </w:rPr>
      </w:pPr>
    </w:p>
    <w:p w:rsidR="00517711" w:rsidRDefault="00F815BE">
      <w:pPr>
        <w:widowControl w:val="0"/>
        <w:shd w:val="clear" w:color="auto" w:fill="FFFFFF"/>
        <w:spacing w:after="0" w:line="240" w:lineRule="auto"/>
        <w:contextualSpacing/>
        <w:jc w:val="center"/>
        <w:rPr>
          <w:rFonts w:ascii="Times New Roman" w:hAnsi="Times New Roman"/>
          <w:sz w:val="20"/>
          <w:szCs w:val="20"/>
          <w:lang w:eastAsia="ru-RU"/>
        </w:rPr>
      </w:pPr>
      <w:r>
        <w:rPr>
          <w:rFonts w:ascii="Times New Roman" w:hAnsi="Times New Roman"/>
          <w:sz w:val="20"/>
          <w:szCs w:val="20"/>
          <w:lang w:val="en-US" w:eastAsia="ru-RU"/>
        </w:rPr>
        <w:t>E</w:t>
      </w:r>
      <w:r>
        <w:rPr>
          <w:rFonts w:ascii="Times New Roman" w:hAnsi="Times New Roman"/>
          <w:sz w:val="20"/>
          <w:szCs w:val="20"/>
          <w:lang w:eastAsia="ru-RU"/>
        </w:rPr>
        <w:t>-</w:t>
      </w:r>
      <w:r>
        <w:rPr>
          <w:rFonts w:ascii="Times New Roman" w:hAnsi="Times New Roman"/>
          <w:sz w:val="20"/>
          <w:szCs w:val="20"/>
          <w:lang w:val="en-US" w:eastAsia="ru-RU"/>
        </w:rPr>
        <w:t>mail</w:t>
      </w:r>
      <w:r>
        <w:rPr>
          <w:rFonts w:ascii="Times New Roman" w:hAnsi="Times New Roman"/>
          <w:sz w:val="20"/>
          <w:szCs w:val="20"/>
          <w:lang w:eastAsia="ru-RU"/>
        </w:rPr>
        <w:t xml:space="preserve">: </w:t>
      </w:r>
      <w:r>
        <w:rPr>
          <w:rFonts w:ascii="Times New Roman" w:hAnsi="Times New Roman"/>
          <w:sz w:val="20"/>
          <w:szCs w:val="20"/>
          <w:lang w:val="en-US" w:eastAsia="ru-RU"/>
        </w:rPr>
        <w:t>valeriya</w:t>
      </w:r>
      <w:r>
        <w:rPr>
          <w:rFonts w:ascii="Times New Roman" w:hAnsi="Times New Roman"/>
          <w:sz w:val="20"/>
          <w:szCs w:val="20"/>
          <w:lang w:eastAsia="ru-RU"/>
        </w:rPr>
        <w:t>.</w:t>
      </w:r>
      <w:r>
        <w:rPr>
          <w:rFonts w:ascii="Times New Roman" w:hAnsi="Times New Roman"/>
          <w:sz w:val="20"/>
          <w:szCs w:val="20"/>
          <w:lang w:val="en-US" w:eastAsia="ru-RU"/>
        </w:rPr>
        <w:t>anikeeva</w:t>
      </w:r>
      <w:r>
        <w:rPr>
          <w:rFonts w:ascii="Times New Roman" w:hAnsi="Times New Roman"/>
          <w:sz w:val="20"/>
          <w:szCs w:val="20"/>
          <w:lang w:eastAsia="ru-RU"/>
        </w:rPr>
        <w:t>.96@</w:t>
      </w:r>
      <w:r>
        <w:rPr>
          <w:rFonts w:ascii="Times New Roman" w:hAnsi="Times New Roman"/>
          <w:sz w:val="20"/>
          <w:szCs w:val="20"/>
          <w:lang w:val="en-US" w:eastAsia="ru-RU"/>
        </w:rPr>
        <w:t>mail</w:t>
      </w:r>
      <w:r>
        <w:rPr>
          <w:rFonts w:ascii="Times New Roman" w:hAnsi="Times New Roman"/>
          <w:sz w:val="20"/>
          <w:szCs w:val="20"/>
          <w:lang w:eastAsia="ru-RU"/>
        </w:rPr>
        <w:t>.</w:t>
      </w:r>
      <w:r>
        <w:rPr>
          <w:rFonts w:ascii="Times New Roman" w:hAnsi="Times New Roman"/>
          <w:sz w:val="20"/>
          <w:szCs w:val="20"/>
          <w:lang w:val="en-US" w:eastAsia="ru-RU"/>
        </w:rPr>
        <w:t>ru</w:t>
      </w:r>
      <w:r>
        <w:rPr>
          <w:rFonts w:ascii="Times New Roman" w:hAnsi="Times New Roman"/>
          <w:sz w:val="20"/>
          <w:szCs w:val="20"/>
          <w:lang w:eastAsia="ru-RU"/>
        </w:rPr>
        <w:t>; тел: +79247273693</w:t>
      </w:r>
    </w:p>
    <w:p w:rsidR="00517711" w:rsidRDefault="00517711">
      <w:pPr>
        <w:widowControl w:val="0"/>
        <w:shd w:val="clear" w:color="auto" w:fill="FFFFFF"/>
        <w:spacing w:after="0" w:line="240" w:lineRule="auto"/>
        <w:contextualSpacing/>
        <w:jc w:val="center"/>
        <w:rPr>
          <w:rFonts w:ascii="Times New Roman" w:hAnsi="Times New Roman"/>
          <w:sz w:val="20"/>
          <w:szCs w:val="20"/>
          <w:lang w:eastAsia="ru-RU"/>
        </w:rPr>
      </w:pPr>
    </w:p>
    <w:p w:rsidR="00517711" w:rsidRDefault="00F815BE">
      <w:pPr>
        <w:widowControl w:val="0"/>
        <w:shd w:val="clear" w:color="auto" w:fill="FFFFFF"/>
        <w:spacing w:after="0" w:line="240" w:lineRule="auto"/>
        <w:contextualSpacing/>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Научный руководитель – Варавенко Виктор Евгеньевич</w:t>
      </w:r>
    </w:p>
    <w:p w:rsidR="00517711" w:rsidRDefault="00F815BE">
      <w:pPr>
        <w:widowControl w:val="0"/>
        <w:shd w:val="clear" w:color="auto" w:fill="FFFFFF"/>
        <w:spacing w:after="0" w:line="240" w:lineRule="auto"/>
        <w:contextualSpacing/>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к.ю.н., доцент кафедры ГПД Института права</w:t>
      </w:r>
    </w:p>
    <w:p w:rsidR="00517711" w:rsidRDefault="00517711">
      <w:pPr>
        <w:widowControl w:val="0"/>
        <w:shd w:val="clear" w:color="auto" w:fill="FFFFFF"/>
        <w:spacing w:after="0" w:line="240" w:lineRule="auto"/>
        <w:contextualSpacing/>
        <w:jc w:val="center"/>
        <w:rPr>
          <w:rFonts w:ascii="Arial" w:eastAsia="Calibri" w:hAnsi="Arial" w:cs="Times New Roman"/>
          <w:bCs/>
          <w:sz w:val="24"/>
          <w:szCs w:val="20"/>
          <w:lang w:eastAsia="ru-RU"/>
        </w:rPr>
      </w:pPr>
    </w:p>
    <w:p w:rsidR="00517711" w:rsidRDefault="00F815BE">
      <w:pPr>
        <w:widowControl w:val="0"/>
        <w:shd w:val="clear" w:color="auto" w:fill="FFFFFF"/>
        <w:spacing w:after="0" w:line="240" w:lineRule="auto"/>
        <w:contextualSpacing/>
        <w:jc w:val="center"/>
        <w:rPr>
          <w:rFonts w:ascii="Times New Roman" w:hAnsi="Times New Roman"/>
          <w:sz w:val="20"/>
          <w:szCs w:val="20"/>
          <w:lang w:val="en-US" w:eastAsia="ru-RU"/>
        </w:rPr>
      </w:pPr>
      <w:r>
        <w:rPr>
          <w:rFonts w:ascii="Times New Roman" w:hAnsi="Times New Roman"/>
          <w:sz w:val="20"/>
          <w:szCs w:val="20"/>
          <w:lang w:val="en-US" w:eastAsia="ru-RU"/>
        </w:rPr>
        <w:t>E-mail: lawteacher.varavenko.v@gmail.com</w:t>
      </w:r>
    </w:p>
    <w:p w:rsidR="00517711" w:rsidRDefault="00517711">
      <w:pPr>
        <w:widowControl w:val="0"/>
        <w:shd w:val="clear" w:color="auto" w:fill="FFFFFF"/>
        <w:spacing w:before="240" w:after="0" w:line="240" w:lineRule="auto"/>
        <w:contextualSpacing/>
        <w:jc w:val="center"/>
        <w:rPr>
          <w:rFonts w:ascii="Times New Roman" w:hAnsi="Times New Roman"/>
          <w:i/>
          <w:sz w:val="21"/>
          <w:szCs w:val="21"/>
          <w:lang w:val="en-US" w:eastAsia="ru-RU"/>
        </w:rPr>
      </w:pPr>
    </w:p>
    <w:p w:rsidR="00517711" w:rsidRDefault="00F815BE">
      <w:pPr>
        <w:widowControl w:val="0"/>
        <w:shd w:val="clear" w:color="auto" w:fill="FFFFFF"/>
        <w:spacing w:before="240" w:after="0" w:line="240" w:lineRule="auto"/>
        <w:contextualSpacing/>
        <w:jc w:val="center"/>
        <w:rPr>
          <w:rFonts w:ascii="Times New Roman" w:hAnsi="Times New Roman"/>
          <w:i/>
          <w:sz w:val="21"/>
          <w:szCs w:val="21"/>
          <w:lang w:eastAsia="ru-RU"/>
        </w:rPr>
      </w:pPr>
      <w:r>
        <w:rPr>
          <w:rFonts w:ascii="Times New Roman" w:hAnsi="Times New Roman"/>
          <w:i/>
          <w:sz w:val="21"/>
          <w:szCs w:val="21"/>
          <w:lang w:eastAsia="ru-RU"/>
        </w:rPr>
        <w:t>Владивостокский государственный университет экономики и сервиса</w:t>
      </w:r>
    </w:p>
    <w:p w:rsidR="00517711" w:rsidRDefault="00F815BE">
      <w:pPr>
        <w:widowControl w:val="0"/>
        <w:shd w:val="clear" w:color="auto" w:fill="FFFFFF"/>
        <w:spacing w:after="0" w:line="240" w:lineRule="auto"/>
        <w:contextualSpacing/>
        <w:jc w:val="center"/>
        <w:rPr>
          <w:rFonts w:ascii="Times New Roman" w:hAnsi="Times New Roman"/>
          <w:sz w:val="21"/>
          <w:szCs w:val="21"/>
          <w:lang w:eastAsia="ru-RU"/>
        </w:rPr>
      </w:pPr>
      <w:r>
        <w:rPr>
          <w:rFonts w:ascii="Times New Roman" w:hAnsi="Times New Roman"/>
          <w:i/>
          <w:sz w:val="21"/>
          <w:szCs w:val="21"/>
          <w:lang w:eastAsia="ru-RU"/>
        </w:rPr>
        <w:t>Россия. Владивосток</w:t>
      </w:r>
      <w:r>
        <w:rPr>
          <w:rFonts w:ascii="Times New Roman" w:hAnsi="Times New Roman"/>
          <w:sz w:val="21"/>
          <w:szCs w:val="21"/>
          <w:lang w:eastAsia="ru-RU"/>
        </w:rPr>
        <w:t xml:space="preserve"> </w:t>
      </w:r>
    </w:p>
    <w:p w:rsidR="00517711" w:rsidRDefault="00F815BE">
      <w:pPr>
        <w:widowControl w:val="0"/>
        <w:shd w:val="clear" w:color="auto" w:fill="FFFFFF"/>
        <w:spacing w:before="240" w:after="0" w:line="240" w:lineRule="auto"/>
        <w:contextualSpacing/>
        <w:jc w:val="center"/>
        <w:rPr>
          <w:rFonts w:ascii="Times New Roman" w:hAnsi="Times New Roman"/>
          <w:sz w:val="20"/>
          <w:szCs w:val="20"/>
          <w:lang w:eastAsia="ru-RU"/>
        </w:rPr>
      </w:pPr>
      <w:r>
        <w:rPr>
          <w:rFonts w:ascii="Times New Roman" w:hAnsi="Times New Roman"/>
          <w:sz w:val="20"/>
          <w:szCs w:val="20"/>
          <w:lang w:eastAsia="ru-RU"/>
        </w:rPr>
        <w:t>ул. Гоголя, 41, г Владивосток, Приморский край, Россия, 690014</w:t>
      </w:r>
    </w:p>
    <w:p w:rsidR="00517711" w:rsidRDefault="00517711">
      <w:pPr>
        <w:widowControl w:val="0"/>
        <w:shd w:val="clear" w:color="auto" w:fill="FFFFFF"/>
        <w:spacing w:after="0" w:line="240" w:lineRule="auto"/>
        <w:ind w:firstLine="567"/>
        <w:contextualSpacing/>
        <w:jc w:val="both"/>
        <w:rPr>
          <w:rFonts w:ascii="Times New Roman" w:hAnsi="Times New Roman"/>
          <w:i/>
          <w:sz w:val="24"/>
          <w:szCs w:val="24"/>
          <w:lang w:eastAsia="ru-RU"/>
        </w:rPr>
      </w:pPr>
    </w:p>
    <w:p w:rsidR="00517711" w:rsidRDefault="00F815BE">
      <w:pPr>
        <w:widowControl w:val="0"/>
        <w:shd w:val="clear" w:color="auto" w:fill="FFFFFF"/>
        <w:spacing w:after="0" w:line="240" w:lineRule="auto"/>
        <w:ind w:firstLine="567"/>
        <w:contextualSpacing/>
        <w:jc w:val="both"/>
        <w:rPr>
          <w:rFonts w:ascii="Times New Roman" w:hAnsi="Times New Roman"/>
          <w:i/>
          <w:lang w:eastAsia="ru-RU"/>
        </w:rPr>
      </w:pPr>
      <w:r>
        <w:rPr>
          <w:rFonts w:ascii="Times New Roman" w:hAnsi="Times New Roman"/>
          <w:i/>
          <w:lang w:eastAsia="ru-RU"/>
        </w:rPr>
        <w:t>Приграничная территория – это взаимосвязь трех компонентов: внутренней, внешней политики и специального режима правового регулирования, который предусматривает ряд ограничений в сфере режима доступа иностранных граждан, лиц без гражданства и иностранных юридических лиц на приграничные земли.</w:t>
      </w:r>
    </w:p>
    <w:p w:rsidR="00517711" w:rsidRDefault="00F815BE">
      <w:pPr>
        <w:widowControl w:val="0"/>
        <w:shd w:val="clear" w:color="auto" w:fill="FFFFFF"/>
        <w:spacing w:after="0" w:line="240" w:lineRule="auto"/>
        <w:ind w:firstLine="567"/>
        <w:contextualSpacing/>
        <w:jc w:val="both"/>
        <w:rPr>
          <w:rFonts w:ascii="Times New Roman" w:hAnsi="Times New Roman"/>
          <w:i/>
          <w:lang w:eastAsia="ru-RU"/>
        </w:rPr>
      </w:pPr>
      <w:r>
        <w:rPr>
          <w:rFonts w:ascii="Times New Roman" w:hAnsi="Times New Roman"/>
          <w:b/>
          <w:i/>
          <w:lang w:eastAsia="ru-RU"/>
        </w:rPr>
        <w:t>Ключевые слова и словосочетания</w:t>
      </w:r>
      <w:r>
        <w:rPr>
          <w:rFonts w:ascii="Times New Roman" w:hAnsi="Times New Roman"/>
          <w:i/>
          <w:lang w:eastAsia="ru-RU"/>
        </w:rPr>
        <w:t>: приграничная территория, приграничные муниципальные образования, иностранные граждане, миграция, Дальний Восток.</w:t>
      </w:r>
    </w:p>
    <w:p w:rsidR="00517711" w:rsidRDefault="00517711">
      <w:pPr>
        <w:widowControl w:val="0"/>
        <w:shd w:val="clear" w:color="auto" w:fill="FFFFFF"/>
        <w:spacing w:after="0" w:line="240" w:lineRule="auto"/>
        <w:ind w:firstLine="567"/>
        <w:contextualSpacing/>
        <w:jc w:val="both"/>
        <w:rPr>
          <w:rFonts w:ascii="Times New Roman" w:hAnsi="Times New Roman"/>
          <w:i/>
          <w:sz w:val="24"/>
          <w:szCs w:val="24"/>
          <w:lang w:eastAsia="ru-RU"/>
        </w:rPr>
      </w:pPr>
    </w:p>
    <w:p w:rsidR="00517711" w:rsidRDefault="00F815BE">
      <w:pPr>
        <w:widowControl w:val="0"/>
        <w:shd w:val="clear" w:color="auto" w:fill="FFFFFF"/>
        <w:spacing w:after="0" w:line="240" w:lineRule="auto"/>
        <w:contextualSpacing/>
        <w:jc w:val="center"/>
        <w:rPr>
          <w:rFonts w:ascii="Times New Roman" w:hAnsi="Times New Roman"/>
          <w:b/>
          <w:sz w:val="24"/>
          <w:szCs w:val="24"/>
          <w:lang w:val="en-US" w:eastAsia="ru-RU"/>
        </w:rPr>
      </w:pPr>
      <w:r>
        <w:rPr>
          <w:rFonts w:ascii="Times New Roman" w:hAnsi="Times New Roman"/>
          <w:b/>
          <w:sz w:val="24"/>
          <w:szCs w:val="24"/>
          <w:lang w:val="en-US" w:eastAsia="ru-RU"/>
        </w:rPr>
        <w:t>Legal aspects of regulating the migration regime</w:t>
      </w:r>
    </w:p>
    <w:p w:rsidR="00517711" w:rsidRDefault="00F815BE">
      <w:pPr>
        <w:widowControl w:val="0"/>
        <w:shd w:val="clear" w:color="auto" w:fill="FFFFFF"/>
        <w:spacing w:after="0" w:line="240" w:lineRule="auto"/>
        <w:contextualSpacing/>
        <w:jc w:val="center"/>
        <w:rPr>
          <w:rFonts w:ascii="Times New Roman" w:hAnsi="Times New Roman"/>
          <w:b/>
          <w:sz w:val="24"/>
          <w:szCs w:val="24"/>
          <w:lang w:val="en-US" w:eastAsia="ru-RU"/>
        </w:rPr>
      </w:pPr>
      <w:r>
        <w:rPr>
          <w:rFonts w:ascii="Times New Roman" w:hAnsi="Times New Roman"/>
          <w:b/>
          <w:sz w:val="24"/>
          <w:szCs w:val="24"/>
          <w:lang w:val="en-US" w:eastAsia="ru-RU"/>
        </w:rPr>
        <w:t>border territories in the Far East</w:t>
      </w:r>
    </w:p>
    <w:p w:rsidR="00517711" w:rsidRDefault="00517711">
      <w:pPr>
        <w:widowControl w:val="0"/>
        <w:shd w:val="clear" w:color="auto" w:fill="FFFFFF"/>
        <w:spacing w:after="0" w:line="240" w:lineRule="auto"/>
        <w:contextualSpacing/>
        <w:jc w:val="center"/>
        <w:rPr>
          <w:rFonts w:ascii="Times New Roman" w:hAnsi="Times New Roman"/>
          <w:b/>
          <w:lang w:val="en-US" w:eastAsia="ru-RU"/>
        </w:rPr>
      </w:pPr>
    </w:p>
    <w:p w:rsidR="00517711" w:rsidRDefault="00F815BE">
      <w:pPr>
        <w:widowControl w:val="0"/>
        <w:shd w:val="clear" w:color="auto" w:fill="FFFFFF"/>
        <w:spacing w:after="0" w:line="240" w:lineRule="auto"/>
        <w:ind w:firstLine="709"/>
        <w:contextualSpacing/>
        <w:jc w:val="both"/>
        <w:rPr>
          <w:rFonts w:ascii="Times New Roman" w:hAnsi="Times New Roman"/>
          <w:i/>
          <w:iCs/>
          <w:lang w:val="en-US" w:eastAsia="ru-RU"/>
        </w:rPr>
      </w:pPr>
      <w:r>
        <w:rPr>
          <w:rFonts w:ascii="Times New Roman" w:hAnsi="Times New Roman"/>
          <w:i/>
          <w:iCs/>
          <w:lang w:val="en-US" w:eastAsia="ru-RU"/>
        </w:rPr>
        <w:t>The border area is the interconnection of three components: domestic, foreign policy and a special regime of legal regulation, which provides for a number of restrictions in the sphere of access of foreign citizens, stateless persons and foreign legal entities to frontier lands.</w:t>
      </w:r>
    </w:p>
    <w:p w:rsidR="00517711" w:rsidRDefault="00517711">
      <w:pPr>
        <w:widowControl w:val="0"/>
        <w:shd w:val="clear" w:color="auto" w:fill="FFFFFF"/>
        <w:spacing w:after="0" w:line="240" w:lineRule="auto"/>
        <w:ind w:firstLine="709"/>
        <w:contextualSpacing/>
        <w:jc w:val="both"/>
        <w:rPr>
          <w:rFonts w:ascii="Times New Roman" w:hAnsi="Times New Roman"/>
          <w:i/>
          <w:iCs/>
          <w:lang w:val="en-US" w:eastAsia="ru-RU"/>
        </w:rPr>
      </w:pPr>
    </w:p>
    <w:p w:rsidR="00517711" w:rsidRDefault="00F815BE">
      <w:pPr>
        <w:widowControl w:val="0"/>
        <w:shd w:val="clear" w:color="auto" w:fill="FFFFFF"/>
        <w:spacing w:after="0" w:line="240" w:lineRule="auto"/>
        <w:ind w:firstLine="709"/>
        <w:contextualSpacing/>
        <w:jc w:val="both"/>
        <w:rPr>
          <w:rFonts w:ascii="Times New Roman" w:hAnsi="Times New Roman"/>
          <w:i/>
          <w:lang w:val="en-US" w:eastAsia="ru-RU"/>
        </w:rPr>
      </w:pPr>
      <w:r>
        <w:rPr>
          <w:rFonts w:ascii="Times New Roman" w:hAnsi="Times New Roman"/>
          <w:b/>
          <w:i/>
          <w:lang w:val="en-US" w:eastAsia="ru-RU"/>
        </w:rPr>
        <w:t>Keywords and phrases</w:t>
      </w:r>
      <w:r>
        <w:rPr>
          <w:rFonts w:ascii="Times New Roman" w:hAnsi="Times New Roman"/>
          <w:i/>
          <w:lang w:val="en-US" w:eastAsia="ru-RU"/>
        </w:rPr>
        <w:t>: border area, border municipalities, foreign citizens, migration, Far East.</w:t>
      </w:r>
    </w:p>
    <w:p w:rsidR="00517711" w:rsidRDefault="00517711">
      <w:pPr>
        <w:widowControl w:val="0"/>
        <w:shd w:val="clear" w:color="auto" w:fill="FFFFFF"/>
        <w:spacing w:after="0" w:line="240" w:lineRule="auto"/>
        <w:ind w:firstLine="709"/>
        <w:contextualSpacing/>
        <w:jc w:val="both"/>
        <w:rPr>
          <w:rFonts w:ascii="Times New Roman" w:hAnsi="Times New Roman"/>
          <w:i/>
          <w:sz w:val="20"/>
          <w:szCs w:val="20"/>
          <w:lang w:val="en-US" w:eastAsia="ru-RU"/>
        </w:rPr>
      </w:pPr>
    </w:p>
    <w:p w:rsidR="00517711" w:rsidRDefault="00F815BE">
      <w:pPr>
        <w:widowControl w:val="0"/>
        <w:shd w:val="clear" w:color="auto" w:fill="FFFFFF"/>
        <w:spacing w:after="0" w:line="240" w:lineRule="auto"/>
        <w:ind w:firstLine="709"/>
        <w:contextualSpacing/>
        <w:jc w:val="both"/>
        <w:rPr>
          <w:rFonts w:ascii="Times New Roman" w:hAnsi="Times New Roman"/>
          <w:i/>
          <w:sz w:val="20"/>
          <w:szCs w:val="20"/>
          <w:lang w:eastAsia="ru-RU"/>
        </w:rPr>
      </w:pPr>
      <w:r>
        <w:rPr>
          <w:rFonts w:ascii="Times New Roman" w:hAnsi="Times New Roman"/>
          <w:sz w:val="20"/>
          <w:szCs w:val="20"/>
          <w:lang w:eastAsia="ru-RU"/>
        </w:rPr>
        <w:t>Актуальность темы исследования возрастает с каждым днем. Стремление государства к привлечению как иностранных, так и российских инвесторов для развития Дальневосточного Федерального округа (далее – ДВФО) идет в параллели с возрастанием значимости территорий, находящихся у государственной границы.</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Российская Федерация (далее – РФ) имеет самую протяженную линию государственной границы, что неизменно накладывает особенности на каждый приграничный субъект РФ. Как следствие, приграничной территории отведена немаловажная функция барьера в обеспечении безопасности государства. </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Значительное количество социально-экономических проектов, курируемых государством в ДВФО, реализуется в пределах приграничных территорий. В связи с этим, исследование влияния законодательства о приграничных территориях на социально-экономические процессы макрорегиона является практически значимым. В данной работе проанализируем особенности правового режима въезда и пребывания иностранных лиц в приграничных территориях.</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Прежде всего, под дальневосточными приграничными территориями понимаются земли, расположенные в пределах муниципальных образований (муниципальный район) в составе субъектов РФ, часть внешних границ которых совпадает с государственной границей [3, с. 47]. Следует уточнить, что понятие приграничной территории собирательный, и включает в себя пограничную зону, на которой ограничено свободное передвижение людей и их хозяйственной деятельности. </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Устанавливается пограничная зона в пределах территории поселений и межселенных территорий, прилегающих к государственной границе на суше, морскому побережью РФ, российским берегам пограничных </w:t>
      </w:r>
      <w:r>
        <w:rPr>
          <w:rFonts w:ascii="Times New Roman" w:hAnsi="Times New Roman"/>
          <w:sz w:val="20"/>
          <w:szCs w:val="20"/>
          <w:lang w:eastAsia="ru-RU"/>
        </w:rPr>
        <w:lastRenderedPageBreak/>
        <w:t>рек, озер и иных водных объектов, и в пределах территорий островов на указанных водных объектах.</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В свою очередь, Федеральная служба безопасности РФ (далее – ФСБ РФ), в лице Пограничной службы ФСБ РФ осуществляет контроль за перемещением лиц через границу и нахождением в приграничной зоне. </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Вместе с тем, для иностранных субъектов пограничное законодательство предусматривает ограничение на въезд в РФ и свободу пребывания в пограничной зоне.</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Согласно ст. 26 ФЗ от 15 августа 1996 г. № 114-ФЗ «О порядке выезда из Российской Федерации и въезда в Российскую Федерацию» (далее – ФЗ «О порядке въезда из РФ и въезда в РФ») иностранному гражданину может быть не разрешен въезд в РФ если гражданином: нарушены правила пересечения государственной границы; сообщение заведомо ложных сведений; неоднократное привлечение к административной ответственности; нарушение сроков пребывания в РФ [7]. По нашему мнению, в данном случае ярко прослеживается фильтрующая функция государственной границы.</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Далее ст. 27 ФЗ «О порядке въезда из РФ и въезда в РФ» включает в себя условия, при которых иностранному гражданину или лицу без гражданства устанавливается запрет на въезд в РФ. Главная цель запета прослеживается в нежелательности пребывания (проживания) того или иного лица в РФ. Так как ФСБ РФ входит в перечень федеральных органов исполнительной власти, уполномоченных принимать решения о нежелательности пребывания (проживания) иностранных субъектов в РФ, то Пограничная служба ФСБ РФ правомочна не допустить въезд такого лица, либо пребывание в приграничных территориях.</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Приказ ФСБ РФ от 7 августа 2017 г. № 454 «Об утверждении Правил пограничного режима» регламентирует временное пребывание иностранных граждан и лиц без гражданства в пограничной зоне [4]. При этом, ст. 4 предоставляет допуск только иностранным гражданам и лицам без гражданства, имеющим право пребывать в РФ в соответствии указанными пределами в международных договорах. Продолжительность временного пребывания в пограничной зоне определяется сроками пребывания или сроками проведения мероприятий на государственной границе.</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Согласно ч. 2 ст. 5 ФЗ от 18 июля 2006 г. № 109-ФЗ «О миграционном учете иностранных граждан и лиц без гражданства в Российской Федерации» пограничная зона входит в перечень территорий, где действует разрешительный порядок регистрации по месту жительства и учета по месту пребывания [6]. В то же в время, такого понятия как приграничная территория, в понимании приграничных муниципальных образований (за пределами пограничной зоны), там не указано, в связи с чем можно сделать вывод об отсутствии ограничений на данных территориях.</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Между тем, миграционные процессы в приграничных территориях формируются не только от политических или экономических ситуаций, но и от географического положения субъекта и специфики ее развития.</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Главное управление по вопросам миграции Министерства внутренних дел Российской Федерации (далее – ГУВМ МВД России) координирует государственную политику в сфере миграции и проведения административного контроля, надзора за пребыванием и проживанием иностранных граждан на территории РФ. </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Согласно статистическим данным ГУВМ МВД России миграционной ситуации в РФ за январь-декабрь 2017 г. в распределении иностранных граждан по всем регионам ДВФО: 39 790 (единиц) оформлено по приглашению (трудовая деятельность), 41 604 оформлено виз, 893 920 поставлено на миграционный учет, что включает в себя по целям въезда: 257 459 туризм, учеба 14 494, 166 758 работа, 23 098 частная, 94 204 иное. 29 245 проживает по разрешению на временное проживание, 15 795 проживает по виду на жительство [8].</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Далее приведем статистические данные по отдельным приграничным субъектам ДВФО:</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Приморский край: 18 001 иностранных граждан оформлено по приглашению, 19 278 оформлено виз, 400 034 поставлено на миграционный учет, что включает в себя по целям въезда: 175 560 туризм, 7 982 учеба, 49 649 работа, 8 946 частная, 53 276 иное. 13 757 проживает по разрешению на временное проживание, 5 158 проживает по виду на жительство;</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Хабаровский край: 5 655 иностранных граждан оформлено по приглашению, 9 715 оформлено виз, 149 733 поставлено на миграционный учет, что включает в себя по целям въезда: 35 591 туризм, 2 752 учеба, 31 370 работа, 3 759 частная, 9 901 иное. 3 366 проживает по разрешению на временное проживание, 709 проживает по виду на жительство;</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Амурская область: 4 496 иностранных граждан оформлено по приглашению, 4 377 оформлено виз, 86 634 поставлено на миграционный учет, что включает в себя по целям въезда: 33 568 туризм, 2 539 учеба, 13 410 работа, 2 007 частная, 15 012 иное. 1 772 проживает по разрешению на временное проживание, 801 проживает по виду на жительство;</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Еврейская автономная область: 4 039 иностранных граждан оформлено по приглашению, 2 566 оформлено виз, 17 195 поставлено на миграционный учет, что включает в себя по целям въезда: 1 363 туризм, 340 учеба, 6 643 работа, 430 частная, 3 605 иное. 332 проживает по разрешению на временное проживание, 143 проживает по виду на жительство [8].</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Проанализировав вышеуказанные данные, можно прийти к следующим выводам. </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Во-первых, Приморский край занимает доминирующее положение по посещаемости и проживанию иностранных граждан среди остальных приграничных субъектов РФ. Связанно это с благоприятным географическим положением с точки зрения туризма и становления г. Владивостока экономическим центром в сотрудничестве странами Азии. </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lastRenderedPageBreak/>
        <w:t xml:space="preserve">Во-вторых, при постановке на миграционный учет наиболее распространены туристические и рабочие цели пребывания. </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В-третьих, существует высокий показатель приглашенных иностранных работников- для осуществления трудовой деятельности в ДВФО, половина из которых приходится на Приморский край. </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Необходимо иметь в виду, что официальная статистика не затрагивает латентные миграционные процессы. Думается, статистика пребывания иностранных граждан и лиц без гражданства существенно выше. </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Хотелось бы привести отдельные показатели миграционной ситуации в РФ за январь-декабрь 2017 г. по сопредельным странам ДВФО:</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Япония: 6 089 иностранных граждан оформлено по приглашению, 1 229 оформлено виз, 75 148 поставлено на миграционный учет, что включает в себя по целям въезда: 47 028 туризм, 2 104 учеба, 7 019 работа, 2 580 частная, 14 954 иное. 54 гражданина проживает по разрешению на временное проживание, 134 проживает по вид на жительство;</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Китайская Народная Республика: 81 120 иностранных граждан оформлено по приглашению, 81 282 оформлено виз, 1 457 385 поставлено на миграционный учет, что включает в себя по целям въезда: 1 051 224 туризм, 58 352 учеба, 108 513 работа, 21 758 частная, 146 711 иное. 817 граждан Китая проживает по разрешению на временное проживание, 6 168 проживает по вид на жительство;</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КНДР: 11 238 иностранных граждан оформлено по приглашению, 37 239 оформлено виз, 60 679 поставлено на миграционный учет, что включает в себя по целям въезда: 1 554 туризм, 186 учеба, 23 892 работа, 508 частная, 1 507 иное. 19 граждан КНДР проживает по разрешению на временное проживание, 39 проживает по вид на жительство [8].</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В свою очередь, согласно показателю, граждане КНР превышают по численности граждан КНДР и Японии по проживанию и пребыванию в дальневосточных субъектах РФ. А туристическая цель пребывания доминирует над остальными. На рубеже 2014-2015 гг. после повышения курса доллара вырос и курс юаня, поэтому потоки приобретения «дешевого» товара изменились. Китайские туристы заинтересованы в товаре российского производства (лидируют продукты питания), тем самым развивая экономику приграничных субъектов РФ.</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Вместе с тем, отношение российских граждан, проживающих в приграничных муниципальных образованиях, к гражданам КНР имеет двойственный характер. Если в муниципальном районе активно развито сотрудничество с китайскими инвесторами, то отношение местного населения лояльное. В свою очередь, противоположная ситуация происходит в муниципальных районах, где привлечение иностранных инвестиций не распространено. Там граждане РФ относятся скептически и ярко проявляется мнение об «экспансии» граждан КНР [3, с. 50].</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В то же время, в последние годы можно наблюдать ситуацию, когда на малозаселенных приграничных территориях (особенно в Приморском крае и Амурской области) происходит процесс оседания граждан КНР. Быстрое образование общин и самовольный захват земель постепенно «размывает» государственную границу [1, с. 38]. Быстрое образование общин и самовольный захват земель постепенно «размывает» государственную границу. Проверочные мероприятия компетентных государственных органов по выдворению иностранных граждан и высвобождение с незаконно занятыми землями не приносят постоянного эффекта. Мигранты возвращаются на приграничные территории как путем незаконного пересечения границ, так и законными способами.</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Особое значение в противодействии подобной ситуации государством предпринимаются меры в области сохранение квотирования китайских трудовых мигрантов и стимулирование миграции российского населения в приграничные с КНР районы.</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Хотелось бы обратить внимание на эффективную возможность привлечение и закрепления населения на приграничных территориях при помощи программы «Дальневосточный гектар» [5]. Основная концепция предоставления гектара заключается в том, что в течение первого года заявителю необходимо определиться с видом использования участка, через три года - задекларировать освоение. После 5 лет безвозмездного пользования участок можно получить в собственность или длительную аренду. Более того, граждане проявляют большой интерес к земельным участкам в приграничных муниципальных образованиях [2].</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Полагаем, программа «Дальневосточный гектар» позволит осуществить приток населения в малонаселенные приграничные территории Дальнего Востока.</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Так на отдельных приграничных территориях действует особый режим предпринимательской деятельности – Свободный порт Владивосток, законодатель ввел нововведение в качестве упрощенного визового режима, постановлением Правительства РФ от 30 мая 2017 г. № 667. Целью введения электронной визой системы на территории Свободного порта Владивостока является повышение туристической привлекательности Дальнего Востока, что в дальнейшем повлияет на рост экономики региона.</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По итогу рассмотрения отдельных аспектов правового регулирования миграционного режима приграничных территорий, можно сказать, что ограничения нахождения иностранных граждан на приграничных территориях существуют лишь в рамках пограничной зоны, в приграничных муниципальных образованиях запретов не выявлено.</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Проанализировав миграционную ситуацию ДВФО бытующее мнение о «китайской демографической экспансии» во многом преувеличено. Приведенная статистика ГУВМ МВД РФ показала, что подавляющее количество иностранных граждан въезжают в РФ на ограниченное время в рамках туристических, рабочих и </w:t>
      </w:r>
      <w:r>
        <w:rPr>
          <w:rFonts w:ascii="Times New Roman" w:hAnsi="Times New Roman"/>
          <w:sz w:val="20"/>
          <w:szCs w:val="20"/>
          <w:lang w:eastAsia="ru-RU"/>
        </w:rPr>
        <w:lastRenderedPageBreak/>
        <w:t>частных дел и далее возвращаются на родину. В целом, авторы исследований по китайской миграции говорят о том, что китайские граждане составляют небольшую часть миграционного потока.</w:t>
      </w:r>
    </w:p>
    <w:p w:rsidR="00517711" w:rsidRDefault="00F815BE">
      <w:pPr>
        <w:widowControl w:val="0"/>
        <w:shd w:val="clear" w:color="auto" w:fill="FFFFFF"/>
        <w:spacing w:after="0" w:line="240" w:lineRule="auto"/>
        <w:contextualSpacing/>
        <w:jc w:val="both"/>
        <w:rPr>
          <w:rFonts w:ascii="Times New Roman" w:hAnsi="Times New Roman"/>
          <w:sz w:val="20"/>
          <w:szCs w:val="20"/>
          <w:lang w:eastAsia="ru-RU"/>
        </w:rPr>
      </w:pPr>
      <w:r>
        <w:rPr>
          <w:rFonts w:ascii="Times New Roman" w:hAnsi="Times New Roman"/>
          <w:sz w:val="20"/>
          <w:szCs w:val="20"/>
          <w:lang w:eastAsia="ru-RU"/>
        </w:rPr>
        <w:tab/>
      </w:r>
      <w:r>
        <w:rPr>
          <w:rFonts w:ascii="Times New Roman" w:hAnsi="Times New Roman"/>
          <w:sz w:val="20"/>
          <w:szCs w:val="20"/>
          <w:u w:val="single"/>
          <w:lang w:eastAsia="ru-RU"/>
        </w:rPr>
        <w:t>__________________________________________________________________________</w:t>
      </w:r>
    </w:p>
    <w:p w:rsidR="00517711" w:rsidRDefault="00F815BE">
      <w:pPr>
        <w:widowControl w:val="0"/>
        <w:spacing w:after="0" w:line="240" w:lineRule="auto"/>
        <w:ind w:firstLine="709"/>
        <w:contextualSpacing/>
        <w:jc w:val="both"/>
        <w:rPr>
          <w:rFonts w:ascii="Times New Roman" w:hAnsi="Times New Roman"/>
          <w:bCs/>
          <w:sz w:val="20"/>
          <w:szCs w:val="20"/>
          <w:lang w:eastAsia="ru-RU"/>
        </w:rPr>
      </w:pPr>
      <w:r>
        <w:rPr>
          <w:rFonts w:ascii="Times New Roman" w:hAnsi="Times New Roman"/>
          <w:sz w:val="20"/>
          <w:szCs w:val="20"/>
          <w:lang w:eastAsia="ru-RU"/>
        </w:rPr>
        <w:t xml:space="preserve">1. </w:t>
      </w:r>
      <w:r>
        <w:rPr>
          <w:rFonts w:ascii="Times New Roman" w:hAnsi="Times New Roman"/>
          <w:bCs/>
          <w:sz w:val="20"/>
          <w:szCs w:val="20"/>
          <w:lang w:eastAsia="ru-RU"/>
        </w:rPr>
        <w:t>Гришанова А.Г., Красинец Е.С., Шевцова Т.В. Китайская трудовая миграция в условиях турбулентного развития российской экономики / А.Г. Гришанова Е.С. Красинец Т.В Шевцова // Миграционное право. – 2015. –  № 4. – С. 37-40.</w:t>
      </w:r>
    </w:p>
    <w:p w:rsidR="00517711" w:rsidRDefault="00F815BE">
      <w:pPr>
        <w:widowControl w:val="0"/>
        <w:spacing w:after="0" w:line="240" w:lineRule="auto"/>
        <w:ind w:firstLine="709"/>
        <w:contextualSpacing/>
        <w:jc w:val="both"/>
        <w:rPr>
          <w:rFonts w:ascii="Times New Roman" w:hAnsi="Times New Roman"/>
          <w:bCs/>
          <w:sz w:val="20"/>
          <w:szCs w:val="20"/>
          <w:lang w:eastAsia="ru-RU"/>
        </w:rPr>
      </w:pPr>
      <w:r>
        <w:rPr>
          <w:rFonts w:ascii="Times New Roman" w:hAnsi="Times New Roman"/>
          <w:bCs/>
          <w:sz w:val="20"/>
          <w:szCs w:val="20"/>
          <w:lang w:eastAsia="ru-RU"/>
        </w:rPr>
        <w:t>2. «Дальневосточный гектар» востребован на приграничных территориях: информация от 08.08.2017 [Электронный ресурс] // Министерство Российской Федерации по развитию Дальнего Востока. – Режим доступа: https://minvr.ru/press-center/news/6829/?sphrase_id=308042</w:t>
      </w:r>
    </w:p>
    <w:p w:rsidR="00517711" w:rsidRDefault="00F815BE">
      <w:pPr>
        <w:widowControl w:val="0"/>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3. Калинина И.В. Роль пограничной зоны в приграничных территориях Псковской области и Еврейской автономной области / И.В. Калинина // Региональные проблемы. – 2016. – № 1 (16). – С. 47-53.</w:t>
      </w:r>
    </w:p>
    <w:p w:rsidR="00517711" w:rsidRDefault="00F815BE">
      <w:pPr>
        <w:widowControl w:val="0"/>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4. Об утверждении Правил пограничного режима: приказ Федеральной службы безопасности РФ от 07.08.2017 г. № 454 [Электронный ресурс] // СПС «Гарант». – Режим доступа: http://www.garant.ru/products/ipo/prime/doc/71659826/#ixzz562tA6sLI</w:t>
      </w:r>
    </w:p>
    <w:p w:rsidR="00517711" w:rsidRDefault="00F815BE">
      <w:pPr>
        <w:widowControl w:val="0"/>
        <w:spacing w:after="0" w:line="240" w:lineRule="auto"/>
        <w:ind w:firstLine="709"/>
        <w:contextualSpacing/>
        <w:jc w:val="both"/>
        <w:rPr>
          <w:rFonts w:ascii="Times New Roman" w:hAnsi="Times New Roman"/>
          <w:bCs/>
          <w:sz w:val="20"/>
          <w:szCs w:val="20"/>
          <w:lang w:eastAsia="ru-RU"/>
        </w:rPr>
      </w:pPr>
      <w:r>
        <w:rPr>
          <w:rFonts w:ascii="Times New Roman" w:hAnsi="Times New Roman"/>
          <w:bCs/>
          <w:sz w:val="20"/>
          <w:szCs w:val="20"/>
          <w:lang w:eastAsia="ru-RU"/>
        </w:rPr>
        <w:t>5.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 федеральный закон от 01.05.2016 № 119-ФЗ (ред. от 29.12.2017) [Электронный ресурс] // СПС «КонсультантПлюс». – Режим доступа: http://www.consultant.ru/document/cons_doc_LAW_197427/</w:t>
      </w:r>
    </w:p>
    <w:p w:rsidR="00517711" w:rsidRDefault="00F815BE">
      <w:pPr>
        <w:widowControl w:val="0"/>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6. </w:t>
      </w:r>
      <w:r>
        <w:rPr>
          <w:rFonts w:ascii="Times New Roman" w:hAnsi="Times New Roman"/>
          <w:bCs/>
          <w:sz w:val="20"/>
          <w:szCs w:val="20"/>
          <w:lang w:eastAsia="ru-RU"/>
        </w:rPr>
        <w:t>О миграционном учете иностранных граждан и лиц без гражданства в Российской Федерации: федеральный закон от 18.07.2006 № 109-ФЗ (ред. от 28.11.2015) [Электронный ресурс] // СПС «КонсультантПлюс». – Режим доступа: http://www.consultant.ru/document/cons_doc_LAW_61569/</w:t>
      </w:r>
    </w:p>
    <w:p w:rsidR="00517711" w:rsidRDefault="00F815BE">
      <w:pPr>
        <w:widowControl w:val="0"/>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7. О порядке выезда из Российской Федерации и въезда в Российскую Федерацию: федеральный закон от 15.08.1996 № 114-ФЗ (ред. от 29.07.2017) [Электронный ресурс] </w:t>
      </w:r>
      <w:r>
        <w:rPr>
          <w:rFonts w:ascii="Times New Roman" w:hAnsi="Times New Roman"/>
          <w:bCs/>
          <w:sz w:val="20"/>
          <w:szCs w:val="20"/>
          <w:lang w:eastAsia="ru-RU"/>
        </w:rPr>
        <w:t xml:space="preserve">// </w:t>
      </w:r>
      <w:r>
        <w:rPr>
          <w:rFonts w:ascii="Times New Roman" w:hAnsi="Times New Roman"/>
          <w:sz w:val="20"/>
          <w:szCs w:val="20"/>
          <w:lang w:eastAsia="ru-RU"/>
        </w:rPr>
        <w:t xml:space="preserve">СПС «КонсультантПлюс». – </w:t>
      </w:r>
      <w:r>
        <w:rPr>
          <w:rFonts w:ascii="Times New Roman" w:hAnsi="Times New Roman"/>
          <w:bCs/>
          <w:sz w:val="20"/>
          <w:szCs w:val="20"/>
          <w:lang w:eastAsia="ru-RU"/>
        </w:rPr>
        <w:t xml:space="preserve">Режим доступа: </w:t>
      </w:r>
      <w:r>
        <w:rPr>
          <w:rFonts w:ascii="Times New Roman" w:hAnsi="Times New Roman"/>
          <w:sz w:val="20"/>
          <w:szCs w:val="20"/>
          <w:lang w:eastAsia="ru-RU"/>
        </w:rPr>
        <w:t>http://www.consultant.ru/document/cons_doc_LAW_11376/</w:t>
      </w:r>
    </w:p>
    <w:p w:rsidR="00517711" w:rsidRDefault="00F815BE">
      <w:pPr>
        <w:widowControl w:val="0"/>
        <w:spacing w:after="0" w:line="240" w:lineRule="auto"/>
        <w:ind w:firstLine="709"/>
        <w:contextualSpacing/>
        <w:jc w:val="both"/>
        <w:rPr>
          <w:rFonts w:ascii="Times New Roman" w:hAnsi="Times New Roman"/>
          <w:sz w:val="20"/>
          <w:szCs w:val="20"/>
          <w:lang w:eastAsia="ru-RU"/>
        </w:rPr>
      </w:pPr>
      <w:r>
        <w:rPr>
          <w:rFonts w:ascii="Times New Roman" w:hAnsi="Times New Roman"/>
          <w:bCs/>
          <w:sz w:val="20"/>
          <w:szCs w:val="20"/>
          <w:lang w:eastAsia="ru-RU"/>
        </w:rPr>
        <w:t>8. Отдельные показатели миграционной ситуации в Российской Федерации за январь-декабрь 2017 года с распределением по странам и регионам: статистические данные от 29.01.2018 [Электронный ресурс] // СПС Министерство внутренних дел РФ. – Режим доступа: https://xn--b1aew.xn--p1ai/Deljatelnost/statistics/migracionnaya/item/12162171/</w:t>
      </w: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Юридические науки</w:t>
      </w:r>
    </w:p>
    <w:p w:rsidR="00517711" w:rsidRDefault="00F815BE">
      <w:pPr>
        <w:spacing w:after="0" w:line="240" w:lineRule="auto"/>
        <w:jc w:val="both"/>
        <w:rPr>
          <w:rFonts w:ascii="Times New Roman" w:eastAsia="Calibri" w:hAnsi="Times New Roman"/>
          <w:sz w:val="20"/>
          <w:szCs w:val="20"/>
        </w:rPr>
      </w:pPr>
      <w:r>
        <w:rPr>
          <w:rFonts w:ascii="Times New Roman" w:eastAsia="Calibri" w:hAnsi="Times New Roman"/>
          <w:sz w:val="20"/>
          <w:szCs w:val="20"/>
        </w:rPr>
        <w:t xml:space="preserve">УДК 336.747.5 </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Криптовалюта и иные криптообъекты в системе объектов гражданских прав</w:t>
      </w:r>
    </w:p>
    <w:p w:rsidR="00517711" w:rsidRDefault="00F815BE">
      <w:pPr>
        <w:spacing w:before="20" w:after="20" w:line="240" w:lineRule="auto"/>
        <w:ind w:firstLine="709"/>
        <w:jc w:val="center"/>
        <w:rPr>
          <w:rFonts w:ascii="Arial" w:eastAsia="Calibri" w:hAnsi="Arial"/>
          <w:b/>
          <w:bCs/>
          <w:sz w:val="24"/>
          <w:szCs w:val="20"/>
          <w:lang w:eastAsia="ru-RU"/>
        </w:rPr>
      </w:pPr>
      <w:r>
        <w:rPr>
          <w:rFonts w:ascii="Arial" w:eastAsia="Calibri" w:hAnsi="Arial"/>
          <w:b/>
          <w:bCs/>
          <w:sz w:val="24"/>
          <w:szCs w:val="20"/>
          <w:lang w:eastAsia="ru-RU"/>
        </w:rPr>
        <w:t xml:space="preserve">Боблакова Каролина Игоревна, </w:t>
      </w:r>
    </w:p>
    <w:p w:rsidR="00517711" w:rsidRDefault="00F815BE">
      <w:pPr>
        <w:spacing w:line="240" w:lineRule="auto"/>
        <w:jc w:val="center"/>
        <w:rPr>
          <w:rFonts w:ascii="Arial" w:eastAsia="Calibri" w:hAnsi="Arial"/>
          <w:bCs/>
          <w:sz w:val="24"/>
          <w:szCs w:val="20"/>
          <w:lang w:eastAsia="ru-RU"/>
        </w:rPr>
      </w:pPr>
      <w:r>
        <w:rPr>
          <w:rFonts w:ascii="Arial" w:eastAsia="Calibri" w:hAnsi="Arial"/>
          <w:bCs/>
          <w:sz w:val="24"/>
          <w:szCs w:val="20"/>
          <w:lang w:eastAsia="ru-RU"/>
        </w:rPr>
        <w:t xml:space="preserve">бакалавр </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spacing w:after="0" w:line="240" w:lineRule="auto"/>
        <w:jc w:val="center"/>
        <w:rPr>
          <w:rFonts w:ascii="Times New Roman" w:hAnsi="Times New Roman"/>
          <w:sz w:val="20"/>
          <w:szCs w:val="20"/>
        </w:rPr>
      </w:pPr>
      <w:r>
        <w:rPr>
          <w:rFonts w:ascii="Times New Roman" w:hAnsi="Times New Roman"/>
          <w:sz w:val="20"/>
          <w:szCs w:val="20"/>
          <w:lang w:val="en-US"/>
        </w:rPr>
        <w:t>E</w:t>
      </w:r>
      <w:r>
        <w:rPr>
          <w:rFonts w:ascii="Times New Roman" w:hAnsi="Times New Roman"/>
          <w:sz w:val="20"/>
          <w:szCs w:val="20"/>
        </w:rPr>
        <w:t>-</w:t>
      </w:r>
      <w:r>
        <w:rPr>
          <w:rFonts w:ascii="Times New Roman" w:hAnsi="Times New Roman"/>
          <w:sz w:val="20"/>
          <w:szCs w:val="20"/>
          <w:lang w:val="en-US"/>
        </w:rPr>
        <w:t>mail</w:t>
      </w:r>
      <w:r>
        <w:rPr>
          <w:rFonts w:ascii="Times New Roman" w:hAnsi="Times New Roman"/>
          <w:sz w:val="20"/>
          <w:szCs w:val="20"/>
        </w:rPr>
        <w:t xml:space="preserve">: </w:t>
      </w:r>
      <w:hyperlink r:id="rId161" w:history="1">
        <w:r>
          <w:rPr>
            <w:rFonts w:ascii="Times New Roman" w:hAnsi="Times New Roman"/>
            <w:sz w:val="20"/>
            <w:szCs w:val="20"/>
            <w:lang w:val="en-US"/>
          </w:rPr>
          <w:t>karolina</w:t>
        </w:r>
        <w:r>
          <w:rPr>
            <w:rFonts w:ascii="Times New Roman" w:hAnsi="Times New Roman"/>
            <w:sz w:val="20"/>
            <w:szCs w:val="20"/>
          </w:rPr>
          <w:t>14.08@</w:t>
        </w:r>
        <w:r>
          <w:rPr>
            <w:rFonts w:ascii="Times New Roman" w:hAnsi="Times New Roman"/>
            <w:sz w:val="20"/>
            <w:szCs w:val="20"/>
            <w:lang w:val="en-US"/>
          </w:rPr>
          <w:t>mail</w:t>
        </w:r>
        <w:r>
          <w:rPr>
            <w:rFonts w:ascii="Times New Roman" w:hAnsi="Times New Roman"/>
            <w:sz w:val="20"/>
            <w:szCs w:val="20"/>
          </w:rPr>
          <w:t>.</w:t>
        </w:r>
        <w:r>
          <w:rPr>
            <w:rFonts w:ascii="Times New Roman" w:hAnsi="Times New Roman"/>
            <w:sz w:val="20"/>
            <w:szCs w:val="20"/>
            <w:lang w:val="en-US"/>
          </w:rPr>
          <w:t>ru</w:t>
        </w:r>
      </w:hyperlink>
      <w:r>
        <w:rPr>
          <w:rFonts w:ascii="Times New Roman" w:hAnsi="Times New Roman"/>
          <w:sz w:val="20"/>
          <w:szCs w:val="20"/>
        </w:rPr>
        <w:t>; тел.: +7 924</w:t>
      </w:r>
      <w:r>
        <w:rPr>
          <w:rFonts w:ascii="Times New Roman" w:hAnsi="Times New Roman"/>
          <w:sz w:val="20"/>
          <w:szCs w:val="20"/>
          <w:lang w:val="en-US"/>
        </w:rPr>
        <w:t> </w:t>
      </w:r>
      <w:r>
        <w:rPr>
          <w:rFonts w:ascii="Times New Roman" w:hAnsi="Times New Roman"/>
          <w:sz w:val="20"/>
          <w:szCs w:val="20"/>
        </w:rPr>
        <w:t>438 35 13</w:t>
      </w:r>
    </w:p>
    <w:p w:rsidR="00517711" w:rsidRDefault="00F815BE">
      <w:pPr>
        <w:spacing w:line="240" w:lineRule="auto"/>
        <w:jc w:val="center"/>
        <w:rPr>
          <w:rFonts w:ascii="Times New Roman" w:hAnsi="Times New Roman"/>
          <w:sz w:val="20"/>
          <w:szCs w:val="20"/>
        </w:rPr>
      </w:pPr>
      <w:r>
        <w:rPr>
          <w:rFonts w:ascii="Times New Roman" w:hAnsi="Times New Roman"/>
          <w:sz w:val="20"/>
          <w:szCs w:val="20"/>
        </w:rPr>
        <w:t>ул. Гоголя, 41, г. Владивосток, Приморский край, Россия, 690014.</w:t>
      </w:r>
    </w:p>
    <w:p w:rsidR="00517711" w:rsidRDefault="00F815BE">
      <w:pPr>
        <w:spacing w:before="20" w:after="20" w:line="240" w:lineRule="auto"/>
        <w:ind w:firstLine="709"/>
        <w:jc w:val="both"/>
        <w:rPr>
          <w:rFonts w:ascii="Times New Roman" w:hAnsi="Times New Roman"/>
          <w:i/>
          <w:szCs w:val="24"/>
        </w:rPr>
      </w:pPr>
      <w:r>
        <w:rPr>
          <w:rFonts w:ascii="Times New Roman" w:hAnsi="Times New Roman"/>
          <w:i/>
          <w:szCs w:val="24"/>
        </w:rPr>
        <w:t>В статье рассматривается проблема разграничения криптовалюты и иных криптообъектов, а также определения их места в системе поименованных объектов гражданских прав Российской Федерации.</w:t>
      </w:r>
    </w:p>
    <w:p w:rsidR="00517711" w:rsidRDefault="00F815BE">
      <w:pPr>
        <w:spacing w:before="20" w:after="20" w:line="240" w:lineRule="auto"/>
        <w:ind w:firstLine="709"/>
        <w:jc w:val="both"/>
        <w:rPr>
          <w:rFonts w:ascii="Times New Roman" w:hAnsi="Times New Roman"/>
          <w:i/>
          <w:szCs w:val="24"/>
        </w:rPr>
      </w:pPr>
      <w:r>
        <w:rPr>
          <w:rFonts w:ascii="Times New Roman" w:hAnsi="Times New Roman"/>
          <w:b/>
          <w:szCs w:val="24"/>
        </w:rPr>
        <w:t xml:space="preserve">Ключевые слова и словосочетания: </w:t>
      </w:r>
      <w:r>
        <w:rPr>
          <w:rFonts w:ascii="Times New Roman" w:hAnsi="Times New Roman"/>
          <w:i/>
          <w:szCs w:val="24"/>
        </w:rPr>
        <w:t>объекты гражданских прав,</w:t>
      </w:r>
      <w:r>
        <w:rPr>
          <w:rFonts w:ascii="Times New Roman" w:hAnsi="Times New Roman"/>
          <w:b/>
          <w:szCs w:val="24"/>
        </w:rPr>
        <w:t xml:space="preserve"> </w:t>
      </w:r>
      <w:r>
        <w:rPr>
          <w:rFonts w:ascii="Times New Roman" w:hAnsi="Times New Roman"/>
          <w:i/>
          <w:szCs w:val="24"/>
        </w:rPr>
        <w:t xml:space="preserve">криптовалюта, криптообъекты, токен, криптоактив, майнинг, </w:t>
      </w:r>
      <w:r>
        <w:rPr>
          <w:rFonts w:ascii="Times New Roman" w:hAnsi="Times New Roman"/>
          <w:i/>
          <w:szCs w:val="24"/>
          <w:lang w:val="en-US"/>
        </w:rPr>
        <w:t>ICO</w:t>
      </w:r>
      <w:r>
        <w:rPr>
          <w:rFonts w:ascii="Times New Roman" w:hAnsi="Times New Roman"/>
          <w:i/>
          <w:szCs w:val="24"/>
        </w:rPr>
        <w:t>.</w:t>
      </w:r>
      <w:r>
        <w:rPr>
          <w:rFonts w:ascii="Times New Roman" w:hAnsi="Times New Roman"/>
          <w:b/>
          <w:szCs w:val="24"/>
        </w:rPr>
        <w:t xml:space="preserve"> </w:t>
      </w:r>
    </w:p>
    <w:p w:rsidR="00517711" w:rsidRDefault="00F815BE">
      <w:pPr>
        <w:keepNext/>
        <w:spacing w:before="240" w:after="240" w:line="240" w:lineRule="auto"/>
        <w:jc w:val="center"/>
        <w:outlineLvl w:val="0"/>
        <w:rPr>
          <w:rFonts w:ascii="Book Antiqua" w:hAnsi="Book Antiqua"/>
          <w:b/>
          <w:bCs/>
          <w:caps/>
          <w:sz w:val="26"/>
          <w:szCs w:val="26"/>
          <w:lang w:val="en-US"/>
        </w:rPr>
      </w:pPr>
      <w:r>
        <w:rPr>
          <w:rFonts w:ascii="Book Antiqua" w:hAnsi="Book Antiqua"/>
          <w:b/>
          <w:bCs/>
          <w:caps/>
          <w:sz w:val="26"/>
          <w:szCs w:val="26"/>
          <w:lang w:val="en-US"/>
        </w:rPr>
        <w:t xml:space="preserve">Cryptocurrency and other crypto-objects in the system of objects of civil law </w:t>
      </w:r>
    </w:p>
    <w:p w:rsidR="00517711" w:rsidRDefault="00F815BE">
      <w:pPr>
        <w:spacing w:before="20" w:after="20" w:line="240" w:lineRule="auto"/>
        <w:ind w:firstLine="709"/>
        <w:jc w:val="both"/>
        <w:rPr>
          <w:rFonts w:ascii="Times New Roman" w:hAnsi="Times New Roman"/>
          <w:i/>
          <w:szCs w:val="24"/>
          <w:lang w:val="en-US"/>
        </w:rPr>
      </w:pPr>
      <w:r>
        <w:rPr>
          <w:rFonts w:ascii="Times New Roman" w:hAnsi="Times New Roman"/>
          <w:i/>
          <w:szCs w:val="24"/>
          <w:lang w:val="en-US"/>
        </w:rPr>
        <w:t xml:space="preserve">The article deals with the problem of differentiation of cryptocurrency and other crypto-objects, as well as determining their place in the system of named objects of civil rights of the Russian Federation.  </w:t>
      </w:r>
    </w:p>
    <w:p w:rsidR="00517711" w:rsidRDefault="00F815BE">
      <w:pPr>
        <w:spacing w:before="20" w:after="20" w:line="240" w:lineRule="auto"/>
        <w:ind w:firstLine="709"/>
        <w:jc w:val="both"/>
        <w:rPr>
          <w:rFonts w:ascii="Times New Roman" w:hAnsi="Times New Roman"/>
          <w:i/>
          <w:szCs w:val="24"/>
          <w:lang w:val="en-US"/>
        </w:rPr>
      </w:pPr>
      <w:r>
        <w:rPr>
          <w:rFonts w:ascii="Times New Roman" w:hAnsi="Times New Roman"/>
          <w:b/>
          <w:i/>
          <w:szCs w:val="24"/>
          <w:lang w:val="en-US"/>
        </w:rPr>
        <w:t>Keywords and phrases:</w:t>
      </w:r>
      <w:r>
        <w:rPr>
          <w:rFonts w:ascii="Times New Roman" w:hAnsi="Times New Roman"/>
          <w:i/>
          <w:szCs w:val="24"/>
          <w:lang w:val="en-US"/>
        </w:rPr>
        <w:t xml:space="preserve"> objects of civil rights, cryptocurrency, crypto-objects, token, crypto-asset, mining, ICO. </w:t>
      </w:r>
    </w:p>
    <w:p w:rsidR="00517711" w:rsidRDefault="00517711">
      <w:pPr>
        <w:spacing w:after="0" w:line="240" w:lineRule="auto"/>
        <w:ind w:firstLine="709"/>
        <w:jc w:val="center"/>
        <w:rPr>
          <w:rFonts w:ascii="Times New Roman" w:hAnsi="Times New Roman"/>
          <w:sz w:val="20"/>
          <w:szCs w:val="24"/>
          <w:lang w:val="en-US"/>
        </w:rPr>
      </w:pPr>
    </w:p>
    <w:p w:rsidR="00517711" w:rsidRDefault="00F815BE">
      <w:pPr>
        <w:widowControl w:val="0"/>
        <w:spacing w:after="0" w:line="240" w:lineRule="auto"/>
        <w:ind w:firstLine="709"/>
        <w:contextualSpacing/>
        <w:jc w:val="both"/>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lastRenderedPageBreak/>
        <w:t xml:space="preserve">Актуальность темы исследования обусловлена теми глобальными изменениями, которые претерпевают сегодня буквально все сферы общественной жизни в связи с процессом развития информационных и коммуникационных технологий и теми вызовами, которые бросают эти изменения в том числе существующей финансовой и правовой системе. Так попытки совершенствования и развития механизмов проведения безналичных расчетов и платежей привели к созданию биткойна – актива, созданного на основе криптографии и уникальной децентрализованной технологии блокчейн, а также в дальнейшем появлению различных его модификаций, что привело к возникновению новых различных форм и видов общественных отношений, которые в любом случае должны быть подробно изучены законодателем с целью выяснения степени их законности и допустимости, в случае установления которых требуется разработка непосредственных мер правового регулирования данных отношений, назначением которого должно являться стремление к созданию в обществе стабильного правового порядка, способного обеспечить защиту и охрану от нарушений прав, свобод и законных интересов граждан и иных лиц. </w:t>
      </w:r>
    </w:p>
    <w:p w:rsidR="00517711" w:rsidRDefault="00F815BE">
      <w:pPr>
        <w:widowControl w:val="0"/>
        <w:spacing w:after="0" w:line="240" w:lineRule="auto"/>
        <w:ind w:firstLine="709"/>
        <w:contextualSpacing/>
        <w:jc w:val="both"/>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Объект исследования в целом является малоизученным в Российской Федерации, существующие научные разработки в сфере правового регулирования криптовалюты, как правило, не являются комплексными, затронутая в настоящей работе проблема выделения отдельных стабильных групп криптообъектов внутри класса учетных единиц блокчейн-системы обладает свойствами научной новизны, доктринально не разработана.</w:t>
      </w:r>
    </w:p>
    <w:p w:rsidR="00517711" w:rsidRDefault="00F815BE">
      <w:pPr>
        <w:widowControl w:val="0"/>
        <w:spacing w:after="0" w:line="240" w:lineRule="auto"/>
        <w:ind w:firstLine="709"/>
        <w:contextualSpacing/>
        <w:jc w:val="both"/>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 xml:space="preserve">Основными целями и задачами исследования являются: изучение особенностей технической и правовой природы криптовалюты; определение ее места в системе существующих поименованных объектов гражданских прав Российской Федерации; выделение отдельных стабильных групп криптообъектов внутри общего класса учетных единиц блокчейн-системы, определение их возможного места в системе существующих поименованных объектов гражданских прав Российской Федерации. </w:t>
      </w:r>
    </w:p>
    <w:p w:rsidR="00517711" w:rsidRDefault="00F815BE">
      <w:pPr>
        <w:widowControl w:val="0"/>
        <w:spacing w:after="0" w:line="240" w:lineRule="auto"/>
        <w:ind w:firstLine="709"/>
        <w:contextualSpacing/>
        <w:jc w:val="both"/>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Впервые термин «криптовалюта» был использован в статье, опубликованной в 2011 году в журнале Forbes [11]. Эта статья была посвящена биткойну или «системе цифровой пиринговой наличности» – так впервые был представлен миру биткойн его автором Сатоши Накомото [7]. В связи с этим именно биткойн принято считать первой появившейся в мире криптовалютой. Ввиду этого мы можем сделать вывод, что, говоря об основных технических характеристиках биткойна и об основных технических характеристиках криптовалюты, мы имеем и должны иметь в виду одно и то же. Из этого вывода следует, что по объективным признакам криптовалютой может быть признан лишь такой объект, который обладает основными техническими характеристиками биткойна, к которым по-нашему мнению относятся: создание и функционирование системы на основе криптографии и особой технологии блокчейн; особый децентрализованный способ создания (эмиссии) новых учетных единиц блокчейна (цифровых знаков) – майнинг. Субъективным признаком, необходимым для признания объекта криптовалютой, выделенным нами опять-таки исходя из основных особенностей биткойна, является нахождение такого объекта в массовом обращении в качестве платежного средства – так по данным одной из ведущих криптовалютных бирж капитализация рынка биткойна составляет 6 973 090 081 736 рублей (данные на 10 апреля 2018 года)</w:t>
      </w:r>
      <w:r>
        <w:rPr>
          <w:sz w:val="20"/>
          <w:szCs w:val="20"/>
        </w:rPr>
        <w:t xml:space="preserve"> </w:t>
      </w:r>
      <w:r>
        <w:rPr>
          <w:rFonts w:ascii="Times New Roman" w:hAnsi="Times New Roman"/>
          <w:color w:val="000000"/>
          <w:sz w:val="20"/>
          <w:szCs w:val="20"/>
          <w:shd w:val="clear" w:color="auto" w:fill="FFFFFF"/>
        </w:rPr>
        <w:t xml:space="preserve">[12], что определяет и обеспечивает признак массового обращения; необходимость и сущность использования в качестве платежного средства определяется исходя непосредственно из назначения биткойна, заявленного его автором и обеспечивающегося встроенным функционалом [7], заключается в особом отношении к криптовалюте как к альтернативе фиатным деньгам при осуществлении расчетов. </w:t>
      </w:r>
    </w:p>
    <w:p w:rsidR="00517711" w:rsidRDefault="00F815BE">
      <w:pPr>
        <w:widowControl w:val="0"/>
        <w:spacing w:after="0" w:line="240" w:lineRule="auto"/>
        <w:ind w:firstLine="709"/>
        <w:contextualSpacing/>
        <w:jc w:val="both"/>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 xml:space="preserve">Как мы отметили выше, функционирование системы криптовалюты строится на основе использования особой информационной системы – блокчейн, представляющей из себя децентрализованный, открытый и доступный всем пользователям сети реестр, хранящий в виде записей в блоках всю информацию о когда-либо совершенных пользователями транзакциях с использованием отдельных учетных единиц (цифровых знаков) [5]. При этом указанные отдельные единицы – цифровые знаки, факт владения лица которыми и сведения о совершении транзакций с использованием которых подтверждается данными блокчейна и подлежат учету в нем, как правило, в научной литературе обозначаются просто как криптовалюта либо, что гораздо реже, как токен, при этом с отношением к данному термину как к фактическому синониму понятия «криптовалюта». На наш взгляд, такое небрежное отношение к толкованию и использованию данных понятий и широко распространенное представление об их полной взаимозаменяемости является ошибочным и не позволяет понять их различную природу. По нашему мнению, понятие «токен» должно быть четко отграничено от понятия «криптовалюта», под токеном следует понимать цифровой знак, представляющий учетную информационную единицу блокчейна, со строгим определением при этом соотношения криптовалюты и токена, которое должно заключаться в том, что понятие токена шире по своему содержанию, чем понятие криптовалюта, из чего следует, что каждая криптовалюта – токен, но не каждый токен – криптовалюта. Вывод о последнем мы делаем исходя из анализа появившихся на основании открытого протокола биткойна и его программного обеспечения, оставленного в открытом доступе создателем биткойна, иных криптообъектов, представляющих собой модификации биткойна (ввиду того что сохраняют одну из основополагающих технических особенностей последнего – функционирование на основе технологии блокчейн при использовании учетных единиц цифровых знаков), но при этом зачастую принципиально от него отличающихся по субъективным (массовость обращения; использование в качестве платежного средства) и некоторым объективным (способ создания (эмиссии) новых учетных единиц блокчейна) характеристикам, и ввиду этого, по нашему мнению, не являющихся криптовалютой. </w:t>
      </w:r>
    </w:p>
    <w:p w:rsidR="00517711" w:rsidRDefault="00F815BE">
      <w:pPr>
        <w:widowControl w:val="0"/>
        <w:spacing w:after="0" w:line="240" w:lineRule="auto"/>
        <w:ind w:firstLine="709"/>
        <w:contextualSpacing/>
        <w:jc w:val="both"/>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lastRenderedPageBreak/>
        <w:t xml:space="preserve">Так, например, появились криптообъекты, выпуск которых осуществляется определенным эмитентом (как правило юридическим лицом), который затем прибегает к процедуре ICO (аббревиатура от английского Initial Coin Offering – первоначальное размещение монет), как замечает большинство авторов, процедура </w:t>
      </w:r>
      <w:r>
        <w:rPr>
          <w:rFonts w:ascii="Times New Roman" w:hAnsi="Times New Roman"/>
          <w:color w:val="000000"/>
          <w:sz w:val="20"/>
          <w:szCs w:val="20"/>
          <w:shd w:val="clear" w:color="auto" w:fill="FFFFFF"/>
          <w:lang w:val="en-US"/>
        </w:rPr>
        <w:t>ICO</w:t>
      </w:r>
      <w:r>
        <w:rPr>
          <w:rFonts w:ascii="Times New Roman" w:hAnsi="Times New Roman"/>
          <w:color w:val="000000"/>
          <w:sz w:val="20"/>
          <w:szCs w:val="20"/>
          <w:shd w:val="clear" w:color="auto" w:fill="FFFFFF"/>
        </w:rPr>
        <w:t xml:space="preserve"> в целом аналогична существующей на рынке ценных бумаг практике использования </w:t>
      </w:r>
      <w:r>
        <w:rPr>
          <w:rFonts w:ascii="Times New Roman" w:hAnsi="Times New Roman"/>
          <w:color w:val="000000"/>
          <w:sz w:val="20"/>
          <w:szCs w:val="20"/>
          <w:shd w:val="clear" w:color="auto" w:fill="FFFFFF"/>
          <w:lang w:val="en-US"/>
        </w:rPr>
        <w:t>IPO</w:t>
      </w:r>
      <w:r>
        <w:rPr>
          <w:rFonts w:ascii="Times New Roman" w:hAnsi="Times New Roman"/>
          <w:color w:val="000000"/>
          <w:sz w:val="20"/>
          <w:szCs w:val="20"/>
          <w:shd w:val="clear" w:color="auto" w:fill="FFFFFF"/>
        </w:rPr>
        <w:t xml:space="preserve"> (аббревиатура от английского Initial </w:t>
      </w:r>
      <w:r>
        <w:rPr>
          <w:rFonts w:ascii="Times New Roman" w:hAnsi="Times New Roman"/>
          <w:color w:val="000000"/>
          <w:sz w:val="20"/>
          <w:szCs w:val="20"/>
          <w:shd w:val="clear" w:color="auto" w:fill="FFFFFF"/>
          <w:lang w:val="en-US"/>
        </w:rPr>
        <w:t>Public</w:t>
      </w:r>
      <w:r>
        <w:rPr>
          <w:rFonts w:ascii="Times New Roman" w:hAnsi="Times New Roman"/>
          <w:color w:val="000000"/>
          <w:sz w:val="20"/>
          <w:szCs w:val="20"/>
          <w:shd w:val="clear" w:color="auto" w:fill="FFFFFF"/>
        </w:rPr>
        <w:t xml:space="preserve"> Offering – первичное публичное размещение акций), заключается в том, что эмитент, желающий привлечь капитал, вместо выпуска акций осуществляют выпуск собственных цифровых знаков – учетных единиц, факт владения и осуществления операций с которыми будет отображаться в собственном, созданном этим эмитентом блокчейне; в дальнейшем эмитент предлагает новые цифровые знаки для покупки инвесторам (в том числе путем размещения предложения об их покупке на различных криптовалютных биржах), последние же, приобретая данные цифровые знаки, получают определенное право требования к выпустившему их лицу [8]. При этом предоставляемые инвесторам права могут быть самыми различными, в зависимости от условий оферты ICO, на сегодняшний день уже существует практика, когда подобные цифровые знаки удостоверяют право владельца на долю в выпустившей его компании, право на получение дивидентов от этой компании, право на участие в принятии решений компании и на осуществление иных предусмотренных офертой ICO прав, к таким криптообъектам, например, относятся Digix и Sia [3].</w:t>
      </w:r>
    </w:p>
    <w:p w:rsidR="00517711" w:rsidRDefault="00F815BE">
      <w:pPr>
        <w:widowControl w:val="0"/>
        <w:spacing w:after="0" w:line="240" w:lineRule="auto"/>
        <w:ind w:firstLine="709"/>
        <w:contextualSpacing/>
        <w:jc w:val="both"/>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 xml:space="preserve">Описанный выше способ создания (эмиссии) новых цифровых знаков значительно отличается от способа, использующегося при создании новых единиц (цифровых знаков) криптовалюты, выделенного нами в качестве одного из ее особых отличительных признаков ранее. Процесс эмиссии криптовалюты – майнинг заключается в том, что пользователи сети получают в качестве вознаграждения за создание новых блоков блокчейна, а также за обработку и внесение записей о произошедших транзакциях между участниками сети в блокчейн новые вновь генерируемые с помощью заложенных в систему математических алгоритмов цифровые знаки криптовалюты (токены). Таким образом, майнинг является полностью децентрализованным и автоматическим процессом, что означает, что ни одно лицо не может осуществлять контроля за ходом выпуска новых единиц криптовалюты и не может по своей воле прекратить этот процесс либо изменить какие-либо его условия. Кроме того, майнинг осуществляется на основе принципов открытости и доступности участия в нем каждого желающего, связан с несением определенных трудовых и ресурсных затрат (выполнение работы, связанной с формированием блокчейна; расход электроэнергии для использования сверхпроизводительных персональных компьютеров или иных мощных серверов, с помощью которых осуществляется данная работа), что позволяет выделить его в качестве особого способа создания новых единиц цифровых знаков, имеющего характерные и несвойственные другим способам признаки [9]. </w:t>
      </w:r>
    </w:p>
    <w:p w:rsidR="00517711" w:rsidRDefault="00F815BE">
      <w:pPr>
        <w:widowControl w:val="0"/>
        <w:spacing w:after="0" w:line="240" w:lineRule="auto"/>
        <w:ind w:firstLine="709"/>
        <w:contextualSpacing/>
        <w:jc w:val="both"/>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 xml:space="preserve">Кроме этого рассматриваемые выше криптообъекты также не соответствуют таким выделенным нами ранее обязательным признакам криптовалюты как массовость обращения и использование в качестве платежного средства. Как мы установили, подобные криптообъекты удостоверяют определенные права их владельца, причем чаще всего такие права являются территориально ограниченными, то есть действуют в пределах организации, осуществившей эмиссию цифровых знаков, и не используются в качестве альтернативы фиатным деньгам при осуществлении расчетов. Таким образом, на наш взгляд, рассмотренные криптообъекты не являются криптовалютой, обладают совершенно иной технической и правовой природой; наличие одного общего между этими объектами признака их функционирования на основании технологии блокчейн, в основе которой лежит использование отдельных учетных единиц (цифровых знаков) не свидетельствует об их идентичности в целом, однако порождает необходимость обозначения этих цифровых знаков в качестве самостоятельного объекта, имеющего четко определенную дефиницию, смешение которой с дефиницией «криптовалюта» являлось бы недопустимым в силу различного их содержания – на наш взгляд, наиболее удачным являлось бы применение дефиниции «токен», предложенной нами выше. В свою очередь токены – учетные единицы блокчейна, по нашему мнению, должны быть дифференцированы на криптовалюту – вид токенов, отвечающих всем выделенным нами ранее объективным и субъективным характеристикам и признакам, и криптоактивы, которые В.А. Кислый определяет как «виды токенов, которые выпускаются эмитентом и удостоверяют определенные права владельца(ев) и корреспондирующие им обязанности эмитента и (или) третьих лиц» [3]. </w:t>
      </w:r>
    </w:p>
    <w:p w:rsidR="00517711" w:rsidRDefault="00F815BE">
      <w:pPr>
        <w:widowControl w:val="0"/>
        <w:spacing w:after="0" w:line="240" w:lineRule="auto"/>
        <w:ind w:firstLine="709"/>
        <w:contextualSpacing/>
        <w:jc w:val="both"/>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 xml:space="preserve">Говоря о месте указанных объектов в системе существующих поименованных объектов гражданских прав РФ, прежде всего стоит отметить, что криптовалюта и криптоактив являются принципиально разными по своей правовой природе объектами. Так, криптоактив по своим основным характеристикам в значительной мере соответствуют обязательным характеристикам такого поименованного объекта гражданских прав как бездокументарная ценная бумага. В ГК РФ дается следующее определение бездокументарных ценных бумаг: «ценными бумагами признаются также обязательственные и иные права, которые закреплены в решении о выпуске или ином акте лица, выпустившего ценные бумаги в соответствии с требованиями закона, и осуществление и передача которых возможны только с соблюдением правил учета этих прав» [1, ст. 142]. Из этой дефиниции мы можем выделить следующие существенные признаки бездокументарных ценных бумаг: бездокументарные ценные бумаги не имеют какого-либо вещного воплощения; права, удостоверяемые ценной бумагой, несмотря на отсутствие у последней телесного воплощения, тем не менее должны быть определенным образом оформлены – объем прав, закрепленных ценной бумагой, должен содержаться в решении о выпуске или ином аналогичном акте эмитента; осуществление или передача прав, удостоверяемых ценной бумагой, возможны только при соблюдении определенных правил учета. В свою очередь криптоактивы не имеют вещного воплощения; удостоверяют определенные права их владельцев, объем и содержание которых </w:t>
      </w:r>
      <w:r>
        <w:rPr>
          <w:rFonts w:ascii="Times New Roman" w:hAnsi="Times New Roman"/>
          <w:color w:val="000000"/>
          <w:sz w:val="20"/>
          <w:szCs w:val="20"/>
          <w:shd w:val="clear" w:color="auto" w:fill="FFFFFF"/>
        </w:rPr>
        <w:lastRenderedPageBreak/>
        <w:t xml:space="preserve">закрепляется в оферте, создающейся при проведении </w:t>
      </w:r>
      <w:r>
        <w:rPr>
          <w:rFonts w:ascii="Times New Roman" w:hAnsi="Times New Roman"/>
          <w:color w:val="000000"/>
          <w:sz w:val="20"/>
          <w:szCs w:val="20"/>
          <w:shd w:val="clear" w:color="auto" w:fill="FFFFFF"/>
          <w:lang w:val="en-US"/>
        </w:rPr>
        <w:t>ICO</w:t>
      </w:r>
      <w:r>
        <w:rPr>
          <w:rFonts w:ascii="Times New Roman" w:hAnsi="Times New Roman"/>
          <w:color w:val="000000"/>
          <w:sz w:val="20"/>
          <w:szCs w:val="20"/>
          <w:shd w:val="clear" w:color="auto" w:fill="FFFFFF"/>
        </w:rPr>
        <w:t xml:space="preserve"> и адресованной возможным приобретателям токенов; учет передачи и осуществления прав, предоставляемых в связи с фактом владения криптоактива, также представляется возможным в силу реальности использования технологии блокчейн для указанного учета. Таким образом, в настоящий момент уже существует реальные предпосылки для распространения на криптоактивы правового статуса бездокументарных ценных бумаг. </w:t>
      </w:r>
    </w:p>
    <w:p w:rsidR="00517711" w:rsidRDefault="00F815BE">
      <w:pPr>
        <w:widowControl w:val="0"/>
        <w:spacing w:after="0" w:line="240" w:lineRule="auto"/>
        <w:ind w:firstLine="709"/>
        <w:contextualSpacing/>
        <w:jc w:val="both"/>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В отношении криптовалюты дело обстоит гораздо сложнее: по своим основным характеристикам она не соответствует ни одному из существующих поименованных объектов гражданских прав, так как не существует в материальном мире как физическое тело, которое бы имело массу, пространственные пределы и иные физические показатели (свойство, необходимое для признания объекта вещью, документарной ценной бумагой, наличными деньгами, безналичными денежными средствами (мы придерживаемся точки зрения, высказанной рядом авторов, заключающейся в том, что с правовой точки зрения безналичные денежные средства это наличные банкноты, которые были внесены на банковский счет и в дальнейшем учитываются на нем в цифровом виде [10])); является децентрализованной – в отношениях, возникающих в связи с использованием криптовалюты, отсутствует необходимость и возможность существования специализированного посредника, который бы осуществлял контроль и учет денежных средств клиента, а также проводил и контролировал все транзакции с их участием (свойство, необходимое для признания объекта электронным денежным средством [4, ст. 3, ст. 7]); не является полезным материальным благом, которое может быть получено в результате выполнения каких-либо определенных действий (работы) и в дальнейшем может быть отделено от этой работы (свойства, необходимые для признания объекта результатом работы)</w:t>
      </w:r>
      <w:r>
        <w:rPr>
          <w:sz w:val="20"/>
          <w:szCs w:val="20"/>
        </w:rPr>
        <w:t xml:space="preserve"> </w:t>
      </w:r>
      <w:r>
        <w:rPr>
          <w:rFonts w:ascii="Times New Roman" w:hAnsi="Times New Roman"/>
          <w:color w:val="000000"/>
          <w:sz w:val="20"/>
          <w:szCs w:val="20"/>
          <w:shd w:val="clear" w:color="auto" w:fill="FFFFFF"/>
        </w:rPr>
        <w:t>[2, с. 211]; не выступает в качестве полезного эффекта от какого-либо действия, а также не слита с этим действием воедино и не потребляется в процессе его совершения (свойства, необходимые для признания объекта результатом оказания услуги)</w:t>
      </w:r>
      <w:r>
        <w:rPr>
          <w:sz w:val="20"/>
          <w:szCs w:val="20"/>
        </w:rPr>
        <w:t xml:space="preserve"> </w:t>
      </w:r>
      <w:r>
        <w:rPr>
          <w:rFonts w:ascii="Times New Roman" w:hAnsi="Times New Roman"/>
          <w:color w:val="000000"/>
          <w:sz w:val="20"/>
          <w:szCs w:val="20"/>
          <w:shd w:val="clear" w:color="auto" w:fill="FFFFFF"/>
        </w:rPr>
        <w:t xml:space="preserve">[2, с. 211]; не создается в результате совершения определенной деятельности, имеющей выраженный творческий характер (свойство, необходимое для признания объекта результатом интеллектуальной деятельности и средством индивидуализации); не является благом, тесно и неразрывно связанным с личностью (свойство, необходимое для признания объекта нематериальным благом [1, ст. 150]); факт владения криптовалютой не влечет возникновения обязательственных прав (свойство, необходимое для признания объекта бездокументарной ценной бумагой [1, ст. 142]). </w:t>
      </w:r>
    </w:p>
    <w:p w:rsidR="00517711" w:rsidRDefault="00F815BE">
      <w:pPr>
        <w:spacing w:after="0" w:line="240" w:lineRule="auto"/>
        <w:ind w:firstLine="709"/>
        <w:jc w:val="both"/>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Таким образом, мы наглядно убедились, что основные характеристики криптовалюты не позволяют нам отнести ее ни к одному из известных поименованных объектов гражданских прав в полной мере. Так, приходя к аналогичному выводу, А.И. Савельев замечает: «уникальность криптовалюты как объекта оборота заключается в том, что использование какого-либо известного ярлыка в отношении нее (товар, валюта, средство платежа и прочее) не будет исчерпывающим образом характеризовать ее природу. Криптовалюта обладает свойствами каждого из них, но при этом ни одному из них не соответствует полным образом» [6]. В связи с этим нам представляется целесообразным включение в законодательный массив самостоятельной дефиниции такого объекта как криптовалюта, в которой нашли бы отражение все выделенные нами выше ее существенные признаки, позволяющие разграничить криптовалюту и иные объекты гражданских прав, а также криптовалюту и иные криптообъекты (токены и криптоактивы). Как вариант, такой дефиницией могло бы стать: криптовалюта – особый вид токенов, сгенерированных при применении различных запрограммированных математических алгоритмов в ходе осуществления акта майнинга, полученных в качестве вознаграждения пользователями сети, принявшими участие в этом акте майнинга и находящиеся в массовом обращении в качестве платежного средства.</w:t>
      </w:r>
    </w:p>
    <w:p w:rsidR="00517711" w:rsidRDefault="00F815BE">
      <w:pPr>
        <w:tabs>
          <w:tab w:val="left" w:pos="567"/>
          <w:tab w:val="right" w:leader="dot" w:pos="9355"/>
        </w:tabs>
        <w:spacing w:after="0" w:line="240" w:lineRule="auto"/>
        <w:jc w:val="both"/>
        <w:rPr>
          <w:rFonts w:ascii="Times New Roman" w:hAnsi="Times New Roman"/>
          <w:sz w:val="20"/>
          <w:szCs w:val="20"/>
        </w:rPr>
      </w:pPr>
      <w:r>
        <w:rPr>
          <w:rFonts w:ascii="Times New Roman" w:hAnsi="Times New Roman"/>
          <w:sz w:val="20"/>
          <w:szCs w:val="20"/>
        </w:rPr>
        <w:t>___________________________</w:t>
      </w:r>
    </w:p>
    <w:p w:rsidR="00517711" w:rsidRDefault="00F815BE">
      <w:pPr>
        <w:widowControl w:val="0"/>
        <w:numPr>
          <w:ilvl w:val="0"/>
          <w:numId w:val="41"/>
        </w:numPr>
        <w:tabs>
          <w:tab w:val="left" w:pos="-140"/>
          <w:tab w:val="left" w:pos="1134"/>
        </w:tabs>
        <w:spacing w:after="0" w:line="240" w:lineRule="auto"/>
        <w:ind w:left="0" w:firstLine="709"/>
        <w:contextualSpacing/>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Гражданский кодекс Российской Федерации. Часть первая: федеральный закон от 30.11.1994 № 51-ФЗ (ред. от 29.12.2017) [Электронный ресурс] // СПС «КонсультантПлюс». – Режим доступа: </w:t>
      </w:r>
      <w:hyperlink r:id="rId162" w:history="1">
        <w:r>
          <w:rPr>
            <w:rStyle w:val="aa"/>
            <w:rFonts w:ascii="Times New Roman" w:hAnsi="Times New Roman" w:cs="Times New Roman"/>
            <w:color w:val="000000" w:themeColor="text1"/>
            <w:sz w:val="20"/>
            <w:szCs w:val="20"/>
            <w:lang w:val="en-US"/>
          </w:rPr>
          <w:t>http</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www</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consultant</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ru</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document</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cons</w:t>
        </w:r>
        <w:r>
          <w:rPr>
            <w:rStyle w:val="aa"/>
            <w:rFonts w:ascii="Times New Roman" w:hAnsi="Times New Roman" w:cs="Times New Roman"/>
            <w:color w:val="000000" w:themeColor="text1"/>
            <w:sz w:val="20"/>
            <w:szCs w:val="20"/>
          </w:rPr>
          <w:t>_</w:t>
        </w:r>
        <w:r>
          <w:rPr>
            <w:rStyle w:val="aa"/>
            <w:rFonts w:ascii="Times New Roman" w:hAnsi="Times New Roman" w:cs="Times New Roman"/>
            <w:color w:val="000000" w:themeColor="text1"/>
            <w:sz w:val="20"/>
            <w:szCs w:val="20"/>
            <w:lang w:val="en-US"/>
          </w:rPr>
          <w:t>doc</w:t>
        </w:r>
        <w:r>
          <w:rPr>
            <w:rStyle w:val="aa"/>
            <w:rFonts w:ascii="Times New Roman" w:hAnsi="Times New Roman" w:cs="Times New Roman"/>
            <w:color w:val="000000" w:themeColor="text1"/>
            <w:sz w:val="20"/>
            <w:szCs w:val="20"/>
          </w:rPr>
          <w:t>_</w:t>
        </w:r>
        <w:r>
          <w:rPr>
            <w:rStyle w:val="aa"/>
            <w:rFonts w:ascii="Times New Roman" w:hAnsi="Times New Roman" w:cs="Times New Roman"/>
            <w:color w:val="000000" w:themeColor="text1"/>
            <w:sz w:val="20"/>
            <w:szCs w:val="20"/>
            <w:lang w:val="en-US"/>
          </w:rPr>
          <w:t>LAW</w:t>
        </w:r>
        <w:r>
          <w:rPr>
            <w:rStyle w:val="aa"/>
            <w:rFonts w:ascii="Times New Roman" w:hAnsi="Times New Roman" w:cs="Times New Roman"/>
            <w:color w:val="000000" w:themeColor="text1"/>
            <w:sz w:val="20"/>
            <w:szCs w:val="20"/>
          </w:rPr>
          <w:t>_5142/</w:t>
        </w:r>
      </w:hyperlink>
      <w:r>
        <w:rPr>
          <w:rFonts w:ascii="Times New Roman" w:hAnsi="Times New Roman" w:cs="Times New Roman"/>
          <w:color w:val="000000" w:themeColor="text1"/>
          <w:sz w:val="20"/>
          <w:szCs w:val="20"/>
        </w:rPr>
        <w:t>.</w:t>
      </w:r>
    </w:p>
    <w:p w:rsidR="00517711" w:rsidRDefault="00F815BE">
      <w:pPr>
        <w:widowControl w:val="0"/>
        <w:numPr>
          <w:ilvl w:val="0"/>
          <w:numId w:val="41"/>
        </w:numPr>
        <w:tabs>
          <w:tab w:val="left" w:pos="-140"/>
          <w:tab w:val="left" w:pos="1134"/>
        </w:tabs>
        <w:spacing w:after="0" w:line="240" w:lineRule="auto"/>
        <w:ind w:left="0" w:firstLine="709"/>
        <w:contextualSpacing/>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Гражданское право: учебник: в 2 т. Т. 1 / Под ред. Б.М. Гонгало. – М.: Статут, 2017. – 511 с. </w:t>
      </w:r>
    </w:p>
    <w:p w:rsidR="00517711" w:rsidRDefault="00F815BE">
      <w:pPr>
        <w:widowControl w:val="0"/>
        <w:numPr>
          <w:ilvl w:val="0"/>
          <w:numId w:val="41"/>
        </w:numPr>
        <w:tabs>
          <w:tab w:val="left" w:pos="-140"/>
          <w:tab w:val="left" w:pos="1134"/>
        </w:tabs>
        <w:spacing w:after="0" w:line="240" w:lineRule="auto"/>
        <w:ind w:left="0" w:firstLine="709"/>
        <w:contextualSpacing/>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Кислый В.А. Юридические аспекты применения блокчейна и использования токенов [Электронный ресурс] / В.А. Кислый // Интернет-проект «Geektimes». – Режим доступа: https://docs.google.com/document/d/19U6F-BUCVNiJLVsLz0dvt1N7kZHLDCu_O8NEGiys VvE/edit. </w:t>
      </w:r>
    </w:p>
    <w:p w:rsidR="00517711" w:rsidRDefault="00F815BE">
      <w:pPr>
        <w:widowControl w:val="0"/>
        <w:numPr>
          <w:ilvl w:val="0"/>
          <w:numId w:val="41"/>
        </w:numPr>
        <w:tabs>
          <w:tab w:val="left" w:pos="-140"/>
          <w:tab w:val="left" w:pos="1134"/>
        </w:tabs>
        <w:spacing w:after="0" w:line="240" w:lineRule="auto"/>
        <w:ind w:left="0" w:firstLine="709"/>
        <w:contextualSpacing/>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О национальной платежной системе: федеральный закон от 27.06.2011 № 161-ФЗ (ред. от 18.07.2017) [Электронный ресурс] // СПС «КонсультантПлюс». – Режим доступа: http://www.consultant.ru/document/cons_doc_LAW_115625/. </w:t>
      </w:r>
    </w:p>
    <w:p w:rsidR="00517711" w:rsidRDefault="00F815BE">
      <w:pPr>
        <w:widowControl w:val="0"/>
        <w:numPr>
          <w:ilvl w:val="0"/>
          <w:numId w:val="41"/>
        </w:numPr>
        <w:tabs>
          <w:tab w:val="left" w:pos="-140"/>
          <w:tab w:val="left" w:pos="1134"/>
        </w:tabs>
        <w:spacing w:after="0" w:line="240" w:lineRule="auto"/>
        <w:ind w:left="0" w:firstLine="709"/>
        <w:contextualSpacing/>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Поппер Н. Цифровое золото: невероятная история Биткойна: пер. с англ. / Н. Поппер. – М.: ООО «И.Д. Вильямс», 2016. – 368 с.</w:t>
      </w:r>
    </w:p>
    <w:p w:rsidR="00517711" w:rsidRDefault="00F815BE">
      <w:pPr>
        <w:widowControl w:val="0"/>
        <w:numPr>
          <w:ilvl w:val="0"/>
          <w:numId w:val="41"/>
        </w:numPr>
        <w:tabs>
          <w:tab w:val="left" w:pos="-140"/>
          <w:tab w:val="left" w:pos="1134"/>
        </w:tabs>
        <w:spacing w:after="0" w:line="240" w:lineRule="auto"/>
        <w:ind w:left="0" w:firstLine="709"/>
        <w:contextualSpacing/>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Савельев А.И. Криптовалюты в системе объектов гражданских прав / А.И. Савельев // Закон. – 2017. – № 8. – С. 136-153. </w:t>
      </w:r>
    </w:p>
    <w:p w:rsidR="00517711" w:rsidRDefault="00F815BE">
      <w:pPr>
        <w:widowControl w:val="0"/>
        <w:numPr>
          <w:ilvl w:val="0"/>
          <w:numId w:val="41"/>
        </w:numPr>
        <w:tabs>
          <w:tab w:val="left" w:pos="-140"/>
          <w:tab w:val="left" w:pos="1134"/>
        </w:tabs>
        <w:spacing w:after="0" w:line="240" w:lineRule="auto"/>
        <w:ind w:left="0" w:firstLine="709"/>
        <w:contextualSpacing/>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Сатоши Накамото. Биткойн: система цифровой пиринговой наличности [Электронный ресурс] / Накамото Сатоши // Bitcoin.org. – Режим доступа: https://bitcoin.org/files/bitcoin-paper/bitcoin_ru.pdf. </w:t>
      </w:r>
    </w:p>
    <w:p w:rsidR="00517711" w:rsidRDefault="00F815BE">
      <w:pPr>
        <w:widowControl w:val="0"/>
        <w:numPr>
          <w:ilvl w:val="0"/>
          <w:numId w:val="41"/>
        </w:numPr>
        <w:tabs>
          <w:tab w:val="left" w:pos="-140"/>
          <w:tab w:val="left" w:pos="1134"/>
        </w:tabs>
        <w:spacing w:after="0" w:line="240" w:lineRule="auto"/>
        <w:ind w:left="0" w:firstLine="709"/>
        <w:contextualSpacing/>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Синьков А.А., Кириллов А.Н., Коржук А.Б. Первоначальное размещение монет криптовалют (ICO): анализ тенденций, источников капитала и правовых вопросов / А.А. Синьков, А.Н. Кириллов, А.Б. Коржук // Экономика и предпринимательство. – 2017. – № 11. – С. 62-69.  </w:t>
      </w:r>
    </w:p>
    <w:p w:rsidR="00517711" w:rsidRDefault="00F815BE">
      <w:pPr>
        <w:widowControl w:val="0"/>
        <w:numPr>
          <w:ilvl w:val="0"/>
          <w:numId w:val="41"/>
        </w:numPr>
        <w:tabs>
          <w:tab w:val="left" w:pos="-140"/>
          <w:tab w:val="left" w:pos="1134"/>
        </w:tabs>
        <w:spacing w:after="0" w:line="240" w:lineRule="auto"/>
        <w:ind w:left="0" w:firstLine="709"/>
        <w:contextualSpacing/>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Степанова Д.И., Николаева Т.Е., Иволгина Н.В. Особенности организации и направления развития криптовалютных платежных систем / Д.И. Степанова, Т.Е. Николаева, Н.В. Иволгина //Финансы и кредит. – </w:t>
      </w:r>
      <w:r>
        <w:rPr>
          <w:rFonts w:ascii="Times New Roman" w:hAnsi="Times New Roman" w:cs="Times New Roman"/>
          <w:color w:val="000000" w:themeColor="text1"/>
          <w:sz w:val="20"/>
          <w:szCs w:val="20"/>
        </w:rPr>
        <w:lastRenderedPageBreak/>
        <w:t xml:space="preserve">2016. – № 10. – С. 33-45.  </w:t>
      </w:r>
    </w:p>
    <w:p w:rsidR="00517711" w:rsidRDefault="00F815BE">
      <w:pPr>
        <w:widowControl w:val="0"/>
        <w:numPr>
          <w:ilvl w:val="0"/>
          <w:numId w:val="41"/>
        </w:numPr>
        <w:tabs>
          <w:tab w:val="left" w:pos="-140"/>
          <w:tab w:val="left" w:pos="1134"/>
        </w:tabs>
        <w:spacing w:after="0" w:line="240" w:lineRule="auto"/>
        <w:ind w:left="0" w:firstLine="709"/>
        <w:contextualSpacing/>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Шевчук М.В. Электронные денежные средства в системе объектов гражданских прав / М.В. Шевчук // Банковское право. – 2013. – № 3. – С. 25-32. </w:t>
      </w:r>
    </w:p>
    <w:p w:rsidR="00517711" w:rsidRDefault="00F815BE">
      <w:pPr>
        <w:widowControl w:val="0"/>
        <w:numPr>
          <w:ilvl w:val="0"/>
          <w:numId w:val="41"/>
        </w:numPr>
        <w:tabs>
          <w:tab w:val="left" w:pos="-140"/>
          <w:tab w:val="left" w:pos="1134"/>
        </w:tabs>
        <w:spacing w:after="0" w:line="240" w:lineRule="auto"/>
        <w:ind w:left="0" w:firstLine="709"/>
        <w:contextualSpacing/>
        <w:jc w:val="both"/>
        <w:rPr>
          <w:rFonts w:ascii="Times New Roman" w:hAnsi="Times New Roman" w:cs="Times New Roman"/>
          <w:color w:val="000000"/>
          <w:sz w:val="20"/>
          <w:szCs w:val="20"/>
          <w:lang w:val="en-US"/>
        </w:rPr>
      </w:pPr>
      <w:r>
        <w:rPr>
          <w:rFonts w:ascii="Times New Roman" w:hAnsi="Times New Roman" w:cs="Times New Roman"/>
          <w:color w:val="000000" w:themeColor="text1"/>
          <w:sz w:val="20"/>
          <w:szCs w:val="20"/>
          <w:lang w:val="en-US"/>
        </w:rPr>
        <w:t xml:space="preserve">Andy Greenberg. Crypto Currency [Electronic resources] // Forbes. – URL: https://www.forbes.com/forbes/2011/0509/technology-psilocybin-bitcoins-gavin-andresen-crypto-currency.html#306b3adc353e. </w:t>
      </w:r>
    </w:p>
    <w:p w:rsidR="00517711" w:rsidRDefault="00F815BE">
      <w:pPr>
        <w:spacing w:after="0"/>
        <w:jc w:val="both"/>
        <w:rPr>
          <w:rFonts w:ascii="Times New Roman" w:hAnsi="Times New Roman" w:cs="Times New Roman"/>
          <w:color w:val="000000"/>
          <w:sz w:val="20"/>
          <w:szCs w:val="20"/>
          <w:lang w:val="en-US"/>
        </w:rPr>
      </w:pPr>
      <w:r>
        <w:rPr>
          <w:rFonts w:ascii="Times New Roman" w:hAnsi="Times New Roman" w:cs="Times New Roman"/>
          <w:color w:val="000000" w:themeColor="text1"/>
          <w:sz w:val="20"/>
          <w:szCs w:val="20"/>
          <w:lang w:val="en-US"/>
        </w:rPr>
        <w:t>Cryptocurrency Market Capitalizations [</w:t>
      </w:r>
      <w:r>
        <w:rPr>
          <w:rFonts w:ascii="Times New Roman" w:hAnsi="Times New Roman" w:cs="Times New Roman"/>
          <w:color w:val="000000" w:themeColor="text1"/>
          <w:sz w:val="20"/>
          <w:szCs w:val="20"/>
        </w:rPr>
        <w:t>Электронный</w:t>
      </w:r>
      <w:r>
        <w:rPr>
          <w:rFonts w:ascii="Times New Roman" w:hAnsi="Times New Roman" w:cs="Times New Roman"/>
          <w:color w:val="000000" w:themeColor="text1"/>
          <w:sz w:val="20"/>
          <w:szCs w:val="20"/>
          <w:lang w:val="en-US"/>
        </w:rPr>
        <w:t xml:space="preserve"> </w:t>
      </w:r>
      <w:r>
        <w:rPr>
          <w:rFonts w:ascii="Times New Roman" w:hAnsi="Times New Roman" w:cs="Times New Roman"/>
          <w:color w:val="000000" w:themeColor="text1"/>
          <w:sz w:val="20"/>
          <w:szCs w:val="20"/>
        </w:rPr>
        <w:t>ресурс</w:t>
      </w:r>
      <w:r>
        <w:rPr>
          <w:rFonts w:ascii="Times New Roman" w:hAnsi="Times New Roman" w:cs="Times New Roman"/>
          <w:color w:val="000000" w:themeColor="text1"/>
          <w:sz w:val="20"/>
          <w:szCs w:val="20"/>
          <w:lang w:val="en-US"/>
        </w:rPr>
        <w:t xml:space="preserve">] // CoinMarketCap. – </w:t>
      </w:r>
      <w:r>
        <w:rPr>
          <w:rFonts w:ascii="Times New Roman" w:hAnsi="Times New Roman" w:cs="Times New Roman"/>
          <w:color w:val="000000" w:themeColor="text1"/>
          <w:sz w:val="20"/>
          <w:szCs w:val="20"/>
        </w:rPr>
        <w:t>Режим</w:t>
      </w:r>
      <w:r>
        <w:rPr>
          <w:rFonts w:ascii="Times New Roman" w:hAnsi="Times New Roman" w:cs="Times New Roman"/>
          <w:color w:val="000000" w:themeColor="text1"/>
          <w:sz w:val="20"/>
          <w:szCs w:val="20"/>
          <w:lang w:val="en-US"/>
        </w:rPr>
        <w:t xml:space="preserve"> </w:t>
      </w:r>
      <w:r>
        <w:rPr>
          <w:rFonts w:ascii="Times New Roman" w:hAnsi="Times New Roman" w:cs="Times New Roman"/>
          <w:color w:val="000000" w:themeColor="text1"/>
          <w:sz w:val="20"/>
          <w:szCs w:val="20"/>
        </w:rPr>
        <w:t>доступа</w:t>
      </w:r>
      <w:r>
        <w:rPr>
          <w:rFonts w:ascii="Times New Roman" w:hAnsi="Times New Roman" w:cs="Times New Roman"/>
          <w:color w:val="000000" w:themeColor="text1"/>
          <w:sz w:val="20"/>
          <w:szCs w:val="20"/>
          <w:lang w:val="en-US"/>
        </w:rPr>
        <w:t xml:space="preserve">: </w:t>
      </w:r>
      <w:hyperlink w:anchor="RUB" w:tooltip="Текущий документ" w:history="1">
        <w:r>
          <w:rPr>
            <w:rStyle w:val="aa"/>
            <w:rFonts w:ascii="Times New Roman" w:hAnsi="Times New Roman" w:cs="Times New Roman"/>
            <w:color w:val="000000" w:themeColor="text1"/>
            <w:sz w:val="20"/>
            <w:szCs w:val="20"/>
            <w:lang w:val="en-US"/>
          </w:rPr>
          <w:t>https://coinmarketcap.com/coins/#RUB</w:t>
        </w:r>
      </w:hyperlink>
      <w:r>
        <w:rPr>
          <w:rFonts w:ascii="Times New Roman" w:hAnsi="Times New Roman" w:cs="Times New Roman"/>
          <w:color w:val="000000" w:themeColor="text1"/>
          <w:sz w:val="20"/>
          <w:szCs w:val="20"/>
          <w:lang w:val="en-US"/>
        </w:rPr>
        <w:t>.</w:t>
      </w: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Предпринимательское право</w:t>
      </w:r>
    </w:p>
    <w:p w:rsidR="00517711" w:rsidRDefault="00F815BE">
      <w:pPr>
        <w:spacing w:after="0" w:line="240" w:lineRule="auto"/>
        <w:jc w:val="both"/>
        <w:rPr>
          <w:rFonts w:ascii="Times New Roman" w:hAnsi="Times New Roman"/>
          <w:sz w:val="20"/>
          <w:szCs w:val="24"/>
        </w:rPr>
      </w:pPr>
      <w:r>
        <w:rPr>
          <w:rFonts w:ascii="Times New Roman" w:hAnsi="Times New Roman"/>
          <w:sz w:val="20"/>
          <w:szCs w:val="24"/>
        </w:rPr>
        <w:t>УДК 349.6</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Пробелы в правовом регулировании экспорта морских животных из РФ</w:t>
      </w:r>
    </w:p>
    <w:p w:rsidR="00517711" w:rsidRDefault="00F815BE">
      <w:pPr>
        <w:spacing w:after="0" w:line="240" w:lineRule="auto"/>
        <w:ind w:firstLine="709"/>
        <w:jc w:val="center"/>
        <w:rPr>
          <w:rFonts w:ascii="Arial" w:eastAsia="Calibri" w:hAnsi="Arial"/>
          <w:b/>
          <w:bCs/>
          <w:sz w:val="24"/>
          <w:szCs w:val="20"/>
          <w:lang w:eastAsia="ru-RU"/>
        </w:rPr>
      </w:pPr>
      <w:r>
        <w:rPr>
          <w:rFonts w:ascii="Arial" w:eastAsia="Calibri" w:hAnsi="Arial"/>
          <w:b/>
          <w:bCs/>
          <w:sz w:val="24"/>
          <w:szCs w:val="20"/>
          <w:lang w:eastAsia="ru-RU"/>
        </w:rPr>
        <w:t>Бунакова Ольга Эдуардовна</w:t>
      </w:r>
    </w:p>
    <w:p w:rsidR="00517711" w:rsidRDefault="00F815BE">
      <w:pPr>
        <w:spacing w:line="240" w:lineRule="auto"/>
        <w:ind w:firstLine="709"/>
        <w:jc w:val="center"/>
        <w:rPr>
          <w:rFonts w:ascii="Arial" w:eastAsia="Calibri" w:hAnsi="Arial"/>
          <w:bCs/>
          <w:sz w:val="24"/>
          <w:szCs w:val="20"/>
          <w:lang w:eastAsia="ru-RU"/>
        </w:rPr>
      </w:pPr>
      <w:r>
        <w:rPr>
          <w:rFonts w:ascii="Arial" w:eastAsia="Calibri" w:hAnsi="Arial"/>
          <w:bCs/>
          <w:sz w:val="24"/>
          <w:szCs w:val="20"/>
          <w:lang w:eastAsia="ru-RU"/>
        </w:rPr>
        <w:t>бакалавр</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spacing w:after="0" w:line="240" w:lineRule="auto"/>
        <w:ind w:firstLine="709"/>
        <w:jc w:val="center"/>
        <w:rPr>
          <w:rFonts w:ascii="Times New Roman" w:hAnsi="Times New Roman"/>
          <w:sz w:val="20"/>
          <w:szCs w:val="24"/>
        </w:rPr>
      </w:pPr>
      <w:r>
        <w:rPr>
          <w:rFonts w:ascii="Times New Roman" w:hAnsi="Times New Roman"/>
          <w:sz w:val="20"/>
          <w:szCs w:val="24"/>
          <w:lang w:val="en-US"/>
        </w:rPr>
        <w:t>E</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 xml:space="preserve">: </w:t>
      </w:r>
      <w:r>
        <w:rPr>
          <w:rFonts w:ascii="Times New Roman" w:hAnsi="Times New Roman"/>
          <w:sz w:val="20"/>
          <w:szCs w:val="24"/>
          <w:lang w:val="en-US"/>
        </w:rPr>
        <w:t>bunak</w:t>
      </w:r>
      <w:r>
        <w:rPr>
          <w:rFonts w:ascii="Times New Roman" w:hAnsi="Times New Roman"/>
          <w:sz w:val="20"/>
          <w:szCs w:val="24"/>
        </w:rPr>
        <w:t>-</w:t>
      </w:r>
      <w:r>
        <w:rPr>
          <w:rFonts w:ascii="Times New Roman" w:hAnsi="Times New Roman"/>
          <w:sz w:val="20"/>
          <w:szCs w:val="24"/>
          <w:lang w:val="en-US"/>
        </w:rPr>
        <w:t>olga</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w:t>
      </w:r>
      <w:r>
        <w:rPr>
          <w:rFonts w:ascii="Times New Roman" w:hAnsi="Times New Roman"/>
          <w:sz w:val="20"/>
          <w:szCs w:val="24"/>
          <w:lang w:val="en-US"/>
        </w:rPr>
        <w:t>ru</w:t>
      </w:r>
      <w:r>
        <w:rPr>
          <w:rFonts w:ascii="Times New Roman" w:hAnsi="Times New Roman"/>
          <w:sz w:val="20"/>
          <w:szCs w:val="24"/>
        </w:rPr>
        <w:t>; тел.: +79510101705</w:t>
      </w:r>
    </w:p>
    <w:p w:rsidR="00517711" w:rsidRDefault="00F815BE">
      <w:pPr>
        <w:spacing w:line="240" w:lineRule="auto"/>
        <w:ind w:firstLine="709"/>
        <w:jc w:val="center"/>
        <w:rPr>
          <w:rFonts w:ascii="Times New Roman" w:hAnsi="Times New Roman"/>
          <w:sz w:val="24"/>
          <w:szCs w:val="24"/>
        </w:rPr>
      </w:pPr>
      <w:r>
        <w:rPr>
          <w:rFonts w:ascii="Times New Roman" w:hAnsi="Times New Roman"/>
          <w:sz w:val="20"/>
          <w:szCs w:val="24"/>
        </w:rPr>
        <w:t>ул. Гоголя, 41, г. Владивосток, Приморский край, Россия, 690014</w:t>
      </w:r>
    </w:p>
    <w:p w:rsidR="00517711" w:rsidRDefault="00F815BE">
      <w:pPr>
        <w:spacing w:after="0" w:line="240" w:lineRule="auto"/>
        <w:ind w:firstLine="709"/>
        <w:jc w:val="both"/>
        <w:rPr>
          <w:rFonts w:ascii="Times New Roman" w:hAnsi="Times New Roman"/>
          <w:i/>
          <w:szCs w:val="24"/>
        </w:rPr>
      </w:pPr>
      <w:r>
        <w:rPr>
          <w:rFonts w:ascii="Times New Roman" w:hAnsi="Times New Roman"/>
          <w:i/>
          <w:szCs w:val="24"/>
        </w:rPr>
        <w:t>Статья посвящена актуальным вопросам экспорта водных биоресурсов из РФ. Для населения, которое потребляет в конечно итоге данный товар, водные биоресурсы становятся продуктом потребления, питания. В связи с этим оборотом происходят постоянные нарушения законодательства в сфере природопользования, рыболовства, охраны окружающей среды. Проблема незаконного экспорта морских животных становится все актуальнее в наши дни, поскольку развитие технического оснащения судов, а так же погоня за «быстрой» прибылью ведет к нарушению закона.</w:t>
      </w:r>
    </w:p>
    <w:p w:rsidR="00517711" w:rsidRDefault="00F815BE">
      <w:pPr>
        <w:spacing w:after="0" w:line="240" w:lineRule="auto"/>
        <w:ind w:firstLine="709"/>
        <w:jc w:val="both"/>
        <w:rPr>
          <w:rFonts w:ascii="Times New Roman" w:hAnsi="Times New Roman"/>
          <w:i/>
          <w:szCs w:val="24"/>
        </w:rPr>
      </w:pPr>
      <w:r>
        <w:rPr>
          <w:rFonts w:ascii="Times New Roman" w:hAnsi="Times New Roman"/>
          <w:b/>
          <w:i/>
          <w:szCs w:val="24"/>
        </w:rPr>
        <w:t>Ключевые слова и словосочетания:</w:t>
      </w:r>
      <w:r>
        <w:rPr>
          <w:rFonts w:ascii="Times New Roman" w:hAnsi="Times New Roman"/>
          <w:i/>
          <w:szCs w:val="24"/>
        </w:rPr>
        <w:t xml:space="preserve"> экспорт, морские животные, водные биоресурсы, животный мир, окружающая среда, контрабанда.</w:t>
      </w:r>
    </w:p>
    <w:p w:rsidR="00517711" w:rsidRDefault="00F815BE">
      <w:pPr>
        <w:keepNext/>
        <w:spacing w:before="240" w:after="240" w:line="240" w:lineRule="auto"/>
        <w:jc w:val="center"/>
        <w:outlineLvl w:val="0"/>
        <w:rPr>
          <w:rFonts w:ascii="Book Antiqua" w:eastAsia="Calibri" w:hAnsi="Book Antiqua"/>
          <w:b/>
          <w:bCs/>
          <w:caps/>
          <w:sz w:val="26"/>
          <w:szCs w:val="20"/>
          <w:lang w:val="en-US"/>
        </w:rPr>
      </w:pPr>
      <w:r>
        <w:rPr>
          <w:rFonts w:ascii="Book Antiqua" w:eastAsia="Calibri" w:hAnsi="Book Antiqua"/>
          <w:b/>
          <w:bCs/>
          <w:caps/>
          <w:sz w:val="26"/>
          <w:szCs w:val="20"/>
          <w:lang w:val="en-US"/>
        </w:rPr>
        <w:t>Gaps in the legal regulation of the export of marine animals from the Russian Federation</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i/>
          <w:szCs w:val="24"/>
          <w:lang w:val="en-US"/>
        </w:rPr>
        <w:t>The article is devoted to topical issues of export of aquatic biological resources from the Russian Federation. For the population that consumes, of course, this product, aquatic bio sources become a product of consumption, nutrition. In connection with this turnover, there are constant violations of legislation in the sphere of nature management, fishing, environmental protection. The problem of the illegal export of marine animals is becoming more urgent nowadays, as the development of technical equipment of ships, as well as the pursuit of "fast-sweat" profit leads to a violation of the law.</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b/>
          <w:i/>
          <w:szCs w:val="24"/>
          <w:lang w:val="en-US"/>
        </w:rPr>
        <w:t>Keywords:</w:t>
      </w:r>
      <w:r>
        <w:rPr>
          <w:rFonts w:ascii="Times New Roman" w:hAnsi="Times New Roman"/>
          <w:i/>
          <w:szCs w:val="24"/>
          <w:lang w:val="en-US"/>
        </w:rPr>
        <w:t xml:space="preserve"> export, marine animals, aquatic biological resources, fauna, environment, contraband.</w:t>
      </w:r>
    </w:p>
    <w:p w:rsidR="00517711" w:rsidRDefault="00517711">
      <w:pPr>
        <w:spacing w:after="0" w:line="240" w:lineRule="auto"/>
        <w:ind w:firstLine="709"/>
        <w:jc w:val="both"/>
        <w:rPr>
          <w:rFonts w:ascii="Times New Roman" w:hAnsi="Times New Roman"/>
          <w:sz w:val="20"/>
          <w:szCs w:val="24"/>
          <w:lang w:val="en-US"/>
        </w:rPr>
      </w:pP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Актуальность темы исследования обусловлена тем, что торговля водными биоресурсами является важной экономической составляющей страны. Рынок морепродуктов все больше находит спрос на международном рынке. Сфера водных биологических ресурсов, как продовольственная составляющая играет одну из главных ролей в обеспечении экономического оборота страны. Ведь для субъектов экспорта водные биоресурсы являются товаром, от которого поступает прибыль. Не задумываясь о негативных последствиях, субъекты внешней торговли водными биоресурсами все чаще не соблюдают требований, предусмотренных законодательством как национальным, так и международным. Развитие контрабанды подрывает безопасность государства и население страны, а так же вредит морским животным, которые страдают от данного преступления. Резкое снижение запасов рыбы и морепродуктов становится проблемой не только для России, но и для других стран, а жестокое обращение с морскими животными, вследствие чего они гибнут, подрывает природный баланс. Это так же связанно с незаконной добычей и экспортом водных биоресурсов.</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Научная новизна исследования заключается в выделении отдельных пробелов в законодательном регулировании экспорта морских животных из РФ и предложении конкретных мер по заполнению таких пробелов.</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lastRenderedPageBreak/>
        <w:t>Целью работы является исследование пробелов в правовом регулировании экспорта морских животных из Российской Федерации. Задачи исследования заключаются в определении понятия экспорта морских животных, нормативной основы и в разработке предложений по заполнению законодательных пробелов. В качестве методов исследования будут использоваться системно-структурный, формально-логический и герменевтический.</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Экспорт является частью внешнеторговой деятельности, которая в свою очередь является составной частью международной экономической деятельности. Международные экономические отношения строятся государствами с учетом, как их собственных интересов, так и интересов других стран и третьих лиц. Поэтому регулирование международных отношений в любых сферах, в том числе и в сфере экономики, и, в частности, в области международной торговли является важной функцией государства [1, с. 124]. Да, действительно, экспорт является неотъемлемой политикой государственного регулирования, поскольку страны сотрудничают между собой не только на политическом, но и на экономическом уровне, развивая торговые отношения с иностранными партнерами.</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Экспорт представляет собой «вывоз за границу товаров, услуг и капитала для реализации на внешних рынках» [2]. На данный момент актуален экспорт водных биологических ресурсов, ведь они играют важную роль в экономике всего мира. Россия – это одна из ведущих стран мира, которая активно участвует в использовании морских ресурсов. «Биоресурсы только внутренних морей России и пресноводных водоемов обеспечивают допустимый устойчивый вылов 359 тыс. т гидробионтов (255 тыс. тонн в Каспийском, Азовском, Черном, Белом морях и более 100 тыс. тонн в реках, озерах, водохранилищах). Биоресурсы, которые Россия могла бы использовать в зонах иностранных государств, составляют 2,4 млн тонн, фактически же вылавливается менее 1 млн тонн. В открытых районах Мирового океана доступные ресурсы позволяют России добывать не менее 3 млн тонн в год рыбы и других гидробионтов» [3, с. 642]. </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Считаем, что необходимо затронуть обратную сторону экспорта, с точки зрения негативного воздействия на животный мир. Как утверждает А. В. Смирнов, «незаконная добыча водных животных и растений, а так же незаконная охота в последние годы являются самыми распространенными экологическими преступлениями» [4]. Действительно, торговля морскими животными в настоящее время является выгодным «бизнесом», особенно в России. Благодаря Дальнему Востоку и его благоприятной среде для развития водных биоресурсов, зачинщиками нелегальной добычи и продажи в основном являются находящиеся рядом Китай, Япония, КНДР. Как правило, нарушителями являлись граждане Китая, интерес которых к объектам дикой природы связан с особенностями культурных традиций. Кроме Китая нелегальным оборотом товаров животного и растительного происхождения занимается КНДР, Республика Корея, Тайвань (объекты дикой природы используются в восточной медицине), Япония (объекты морского промысла применяются в кулинарии для достижения биостимулирующего эффекта), Италия, Турция (объектами вывоза в эти страны становятся пушные животные) [5, с. 42]. Отсюда и вытекает важность работы таможенных органов, которые должны защищать природу от негативных последствий ущерба биологическому разнообразию, а так же от вреда, который наносится животным и водным биоресурсам. Ведь в незаконной добыче и сбыте множество морских животных подвергаются невнимательному, жестокому обращению, что приводит к их гибели в последующем. На примере азиатских стран мы видим, что смерть морских животных в неволе неизбежна. Не зря в ст. 12 Федерального Закона «О таможенном регулировании в Российской Федерации» законодатель выделяет одну из главных функций таможенных органов -  содействие в осуществлении мер по защите животных и растений, охране окружающей природной среды [6].</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Из вышеизложенного следует, что одной из главных задач в борьбе против уничтожения объектов флоры и фауны – это выявление и прекращение незаконного вывоза за пределы Российской Федерации. Законодательство нашей страны предусматривает административную и уголовную ответственность за контрабанду. Как утверждает С. Н. Ляпустин и Ю. А. Тютюненко, «объектами легального и нелегального перемещения через таможенную границу РФ являются: животные, экспортируемые для пополнения зоопарков и океанариумов; животные, временно вывозимые в составе цирков и зоопарков; продукция морских млекопитающих, применяемая в легкой и пищевой промышленности (шкуры, мясо); части морских млекопитающих и дериваты, применяемые в традиционной восточной медицине; сувенирная продукция и изделия традиционных народных промыслов коренных народов Камчатки, Чукотки, Сахалина, изготовленная из частей морских млекопитающих» [7].</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Таким образом, водные биологические ресурсы являются объектами преступлений. В УК РФ предусмотрены наказания на незаконную добычу и оборот особо ценных диких животных и водных биологических ресурсов, а так же контрабанда особо ценных диких животных и водных биологических ресурсов. В настоящее время контрабанда объектов фауны и флоры, относясь к преступлениям против общественной безопасности и общественного порядка, в то же время включает в себя ещё две составляющих – экономическую и экологическую [8, с. 73]. Данная проблема является глубоко социальной, поэтому законодатель и относит ее к преступлениям против общественной безопасности и порядка. Важным является то, что объекты флоры и фауны относятся к стратегически важным товарам и ресурсам страны. Согласно постановлению Правительства РФ от 13 сентября 2012 года № 923 «Об утверждении перечня стратегически важных товаров и ресурсов для целей статьи 226.1 Уголовного кодекса Российской Федерации» виды дикой флоры и фауны, попадающие под действие Конвенции о международной торговле видами дикой фауны и флоры, находящимся под угрозой исчезновения, от 3 марта 1973 г. или занесенные в Красную книгу </w:t>
      </w:r>
      <w:r>
        <w:rPr>
          <w:rFonts w:ascii="Times New Roman" w:hAnsi="Times New Roman"/>
          <w:sz w:val="20"/>
          <w:szCs w:val="20"/>
        </w:rPr>
        <w:lastRenderedPageBreak/>
        <w:t>Российской Федерации, являются стратегически важными ресурсами флоры и фауны [9]. Согласно ч. 1 ст. 226.1 УК РФ под контрабандой понимается незаконное перемещение через таможенную границу Таможенного союза в рамках ЕврАзЭС либо Государственную границу Российской Федерации с государствами - членами Таможенного союза в рамках ЕврАзЭС сильнодействующих, ядовитых, отравляющих, взрывчатых, радиоактивных веществ &lt;…&gt;  либо особо ценных диких животных и водных биологических ресурсов, принадлежащих к видам, занесенным в Красную книгу Российской Федерации и (или) охраняемым международными договорами Российской Федерации, их частей и производных [10].</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Кроме уголовной ответственности, существует и административная. Она определена в главе 16 КоАП РФ как «Административные правонарушения в области таможенного дела (нарушения таможенных правил)». Субъектами административной ответственности являются физические и юридические лица. С точки зрения определения мер ответственности физические лица, в свою очередь, подразделяются на две категории: должностные лица и граждане. Наибольшие санкции предусмотрены за совершение административного правонарушения юридическими лицами, наименьшие – гражданами. Иностранные граждане, лица без гражданства и иностранные юридические лица, совершившие на территории Российской Федерации административные правонарушения в сфере таможенного дела, подлежат административной ответственности на общих основаниях [3, с. 172]. </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Следовательно, распространенным экологическим преступлением можно назвать незаконная добыча и сбыт водных биоресурсов за границу РФ. Многое зависит от содержания правовых норм, так же от того, что морские животные, занесенные в Красную книгу, представляют большую ценность, чем те, что в нее не входят. Да, это естественно, ведь редкие животные находятся на грани исчезновения, но в тоже время, те, кто еще не находятся в Красной книге, могут туда попасть в связи с большим количеством незаконной добычи и сбыта. Возникает угроза исчезновения многих видов морских животных [11]. Например, численность морских котиков на Командорах сократилась с 500 тыс. до 5 тыс. особей. Только за первый квартал 2015 г. таможенными органами ДВТУ было выявлено и пресечено более 15 правонарушений, связанных с незаконным вывозом объектов флоры и фауны Дальнего Востока [12]. С каждым годом все больше появляются новости о том, что незаконного перемещения объектов дикой природы становится гораздо больше. В связи с этим, считаем, что сотрудники правоохранительных органов таможни должны постоянно вести активную борьбу с контрабандой, выявлять ее источники (покупателей и продавцов). </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Таким образом, экспорт морских животных из РФ является важной составляющей внешней торговли страны. Но для безопасности водных биоресурсов необходимо контролировать негативные процессы, развивать технологии в борьбе с незаконным экспортом, а также решение задач, направленных на усовершенствование нормативной базы и правоприменительной практики. Преступления в сфере внешней торговли морскими животными носят негативный характер, потому что граждане и юридические лица РФ гонятся за прибылью, осуществляя преступную деятельность не только на территории иностранных государств, но и сами иностранные государства, а точнее их граждане совершают преступления в пределах территории РФ. Также мы считаем, что одной из причины исчезновения редких морских животных и животных в целом является высокий спрос на них, что является показателем низкой экологической правовой культуры. Поэтому государственная политика должна включать и направление по повышению уровня такой культуры у граждан.</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_______________________</w: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sz w:val="20"/>
          <w:szCs w:val="20"/>
        </w:rPr>
        <w:t>1</w:t>
      </w:r>
      <w:r>
        <w:rPr>
          <w:rFonts w:ascii="Times New Roman" w:hAnsi="Times New Roman"/>
          <w:color w:val="000000" w:themeColor="text1"/>
          <w:sz w:val="20"/>
          <w:szCs w:val="20"/>
        </w:rPr>
        <w:t>. Ляпустин С. Н., Барей Н. С., Сонин В. В., Фоменко П. В. Правовые основы охраны природы: учебное пособие / С. Н. Ляпустин, Н. С. Барей, В. В. Сонин, П. В. Фоменко – Владивосток: Апельсин, 2014. – 216 c.</w: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color w:val="000000" w:themeColor="text1"/>
          <w:sz w:val="20"/>
          <w:szCs w:val="20"/>
        </w:rPr>
        <w:t>2. Финансовый словарь [Электронный ресурс]. – Режим доступа: http://www.endic.ru/finance/JEksport-2056.html</w: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color w:val="000000" w:themeColor="text1"/>
          <w:sz w:val="20"/>
          <w:szCs w:val="20"/>
        </w:rPr>
        <w:t>3. Горян Э.В. Некоторые аспекты применения таможенной процедуры свободной таможенной зоны и таможенного контроля на территории свободного порта Владивосток // Административное и муниципальное право. - 2016. - № 8. - С. 640-648.</w: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color w:val="000000" w:themeColor="text1"/>
          <w:sz w:val="20"/>
          <w:szCs w:val="20"/>
        </w:rPr>
        <w:t xml:space="preserve">4. Смирнов А. В. Современные проблемы уголовно-правовой борьбы с незаконной добычей водных животных и растений и незаконной охотой / А. В. Смирнов // Вестник Астраханского государственного технического университета. – 2006 – № 5. – С. 241-244. </w: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color w:val="000000" w:themeColor="text1"/>
          <w:sz w:val="20"/>
          <w:szCs w:val="20"/>
        </w:rPr>
        <w:t>5. Ляпустин С. Н., Фоменко П. В., Вайсман А. Л. Незаконный оборот видов диких животных и дикорастущих растений на Дальнем Востоке России: учебное пособие / Н. С. Ляпустин, П. В. Фоменко, А. Л. Вайсман – Владивосток: Апельсин, 2005. – 124 с.</w: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color w:val="000000" w:themeColor="text1"/>
          <w:sz w:val="20"/>
          <w:szCs w:val="20"/>
        </w:rPr>
        <w:t>6. О таможенном регулировании: федеральный закон РФ от 27.11.2010 № 311-ФЗ (в ред. от 29.12.2017) // СПС «Консультант Плюс» [Электронный ресурс]. – Режим доступа: http://www.consultant.ru</w: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color w:val="000000" w:themeColor="text1"/>
          <w:sz w:val="20"/>
          <w:szCs w:val="20"/>
        </w:rPr>
        <w:t xml:space="preserve">7. Ляпустин С. Н., Тютюненко Ю. А. Морские млекопитающие Дальнего Востока: незаконный промысел и контрабанда / С. Н. Ляпустин, Ю. А. Тютюненко. // Таможенная политика России на Дальнем Востоке. – 2007. – № 3. – C. 87-93. </w: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color w:val="000000" w:themeColor="text1"/>
          <w:sz w:val="20"/>
          <w:szCs w:val="20"/>
        </w:rPr>
        <w:t>8. Ляпустин С. Н. Борьба с контрабандой объектов фауны и флоры на Дальнем Востоке России: моно-графия / С. Н. Ляпустин. – Владивосток: ВФ РТА, 2008. – 252 с.</w: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color w:val="000000" w:themeColor="text1"/>
          <w:sz w:val="20"/>
          <w:szCs w:val="20"/>
        </w:rPr>
        <w:t>9. Об утверждении перечня стратегически важных товаров и ресурсов для целей статьи 226.1 Уголовного кодекса Российской Федерации: постановление Правительства РФ от 13.09.2012 № 923 // СПС «Консультант Плюс» [Электронный ресурс]. – Режим доступа: http://www.consultant.ru</w: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color w:val="000000" w:themeColor="text1"/>
          <w:sz w:val="20"/>
          <w:szCs w:val="20"/>
        </w:rPr>
        <w:lastRenderedPageBreak/>
        <w:t xml:space="preserve">10. Уголовный кодекс Российской Федерации: федеральный закон от 13.06.1996 № 63-ФЗ (в ред. от 19.02.2018) // СПС «Консультант Плюс» [Электронный ресурс]. – Режим доступа: </w:t>
      </w:r>
      <w:hyperlink r:id="rId163" w:history="1">
        <w:r>
          <w:rPr>
            <w:rStyle w:val="aa"/>
            <w:color w:val="000000" w:themeColor="text1"/>
            <w:sz w:val="20"/>
            <w:szCs w:val="20"/>
          </w:rPr>
          <w:t>http://www.consultant.ru</w:t>
        </w:r>
      </w:hyperlink>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Дальневосточный вектор правового регулирования экономических отношений: проблемы, тенденции, риски</w:t>
      </w:r>
    </w:p>
    <w:p w:rsidR="00517711" w:rsidRDefault="00F815BE">
      <w:pPr>
        <w:spacing w:after="0" w:line="240" w:lineRule="auto"/>
        <w:jc w:val="both"/>
        <w:rPr>
          <w:rFonts w:ascii="Times New Roman" w:eastAsia="Calibri" w:hAnsi="Times New Roman"/>
          <w:sz w:val="20"/>
          <w:szCs w:val="20"/>
        </w:rPr>
      </w:pPr>
      <w:r>
        <w:rPr>
          <w:rFonts w:ascii="Times New Roman" w:eastAsia="Calibri" w:hAnsi="Times New Roman"/>
          <w:sz w:val="20"/>
          <w:szCs w:val="20"/>
        </w:rPr>
        <w:t>УДК. 314.34</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Соглашения о создании ТОР: проблемы теории и практики</w:t>
      </w:r>
    </w:p>
    <w:p w:rsidR="00517711" w:rsidRDefault="00F815BE">
      <w:pPr>
        <w:spacing w:after="0" w:line="240" w:lineRule="auto"/>
        <w:ind w:firstLine="851"/>
        <w:jc w:val="center"/>
        <w:rPr>
          <w:rFonts w:ascii="Arial" w:eastAsia="Calibri" w:hAnsi="Arial"/>
          <w:b/>
          <w:bCs/>
          <w:sz w:val="24"/>
          <w:szCs w:val="20"/>
          <w:lang w:eastAsia="ru-RU"/>
        </w:rPr>
      </w:pPr>
      <w:r>
        <w:rPr>
          <w:rFonts w:ascii="Arial" w:eastAsia="Calibri" w:hAnsi="Arial"/>
          <w:b/>
          <w:bCs/>
          <w:sz w:val="24"/>
          <w:szCs w:val="20"/>
          <w:lang w:eastAsia="ru-RU"/>
        </w:rPr>
        <w:t>Волынкина Анастасия Андреевна</w:t>
      </w:r>
    </w:p>
    <w:p w:rsidR="00517711" w:rsidRDefault="00F815BE">
      <w:pPr>
        <w:spacing w:after="0" w:line="240" w:lineRule="auto"/>
        <w:ind w:firstLine="851"/>
        <w:jc w:val="center"/>
        <w:rPr>
          <w:rFonts w:ascii="Arial" w:eastAsia="Calibri" w:hAnsi="Arial"/>
          <w:bCs/>
          <w:sz w:val="24"/>
          <w:szCs w:val="20"/>
          <w:lang w:eastAsia="ru-RU"/>
        </w:rPr>
      </w:pPr>
      <w:r>
        <w:rPr>
          <w:rFonts w:ascii="Arial" w:eastAsia="Calibri" w:hAnsi="Arial"/>
          <w:bCs/>
          <w:sz w:val="24"/>
          <w:szCs w:val="20"/>
          <w:lang w:eastAsia="ru-RU"/>
        </w:rPr>
        <w:t>бакалавр 4 курса,</w:t>
      </w:r>
    </w:p>
    <w:p w:rsidR="00517711" w:rsidRDefault="00F815BE">
      <w:pPr>
        <w:spacing w:line="240" w:lineRule="auto"/>
        <w:ind w:firstLine="851"/>
        <w:jc w:val="center"/>
        <w:rPr>
          <w:rFonts w:ascii="Arial" w:eastAsia="Calibri" w:hAnsi="Arial"/>
          <w:bCs/>
          <w:sz w:val="24"/>
          <w:szCs w:val="20"/>
          <w:lang w:eastAsia="ru-RU"/>
        </w:rPr>
      </w:pPr>
      <w:r>
        <w:rPr>
          <w:rFonts w:ascii="Arial" w:eastAsia="Calibri" w:hAnsi="Arial"/>
          <w:bCs/>
          <w:sz w:val="24"/>
          <w:szCs w:val="20"/>
          <w:lang w:eastAsia="ru-RU"/>
        </w:rPr>
        <w:t xml:space="preserve">кафедра гражданско-правовых дисциплин </w:t>
      </w:r>
    </w:p>
    <w:p w:rsidR="00517711" w:rsidRDefault="00F815BE">
      <w:pPr>
        <w:spacing w:after="0" w:line="240" w:lineRule="auto"/>
        <w:ind w:firstLine="851"/>
        <w:jc w:val="center"/>
        <w:rPr>
          <w:rFonts w:ascii="Arial" w:eastAsia="Calibri" w:hAnsi="Arial"/>
          <w:b/>
          <w:bCs/>
          <w:sz w:val="24"/>
          <w:szCs w:val="20"/>
          <w:lang w:eastAsia="ru-RU"/>
        </w:rPr>
      </w:pPr>
      <w:r>
        <w:rPr>
          <w:rFonts w:ascii="Arial" w:eastAsia="Calibri" w:hAnsi="Arial"/>
          <w:b/>
          <w:bCs/>
          <w:sz w:val="24"/>
          <w:szCs w:val="20"/>
          <w:lang w:eastAsia="ru-RU"/>
        </w:rPr>
        <w:t>Варавенко Виктор Евгеньевич</w:t>
      </w:r>
    </w:p>
    <w:p w:rsidR="00517711" w:rsidRDefault="00F815BE">
      <w:pPr>
        <w:spacing w:line="240" w:lineRule="auto"/>
        <w:ind w:firstLine="851"/>
        <w:jc w:val="center"/>
        <w:rPr>
          <w:rFonts w:ascii="Arial" w:eastAsia="Calibri" w:hAnsi="Arial"/>
          <w:bCs/>
          <w:sz w:val="24"/>
          <w:szCs w:val="20"/>
          <w:lang w:eastAsia="ru-RU"/>
        </w:rPr>
      </w:pPr>
      <w:r>
        <w:rPr>
          <w:rFonts w:ascii="Arial" w:eastAsia="Calibri" w:hAnsi="Arial"/>
          <w:bCs/>
          <w:sz w:val="24"/>
          <w:szCs w:val="20"/>
          <w:lang w:eastAsia="ru-RU"/>
        </w:rPr>
        <w:t>кандидат юридических наук, доцент</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spacing w:after="0" w:line="240" w:lineRule="auto"/>
        <w:ind w:firstLine="709"/>
        <w:jc w:val="center"/>
        <w:rPr>
          <w:rFonts w:ascii="Times New Roman" w:hAnsi="Times New Roman"/>
          <w:bCs/>
          <w:iCs/>
          <w:sz w:val="20"/>
          <w:szCs w:val="20"/>
        </w:rPr>
      </w:pPr>
      <w:r>
        <w:rPr>
          <w:rFonts w:ascii="Times New Roman" w:hAnsi="Times New Roman"/>
          <w:bCs/>
          <w:iCs/>
          <w:sz w:val="20"/>
          <w:szCs w:val="20"/>
          <w:lang w:val="en-US"/>
        </w:rPr>
        <w:t>E</w:t>
      </w:r>
      <w:r>
        <w:rPr>
          <w:rFonts w:ascii="Times New Roman" w:hAnsi="Times New Roman"/>
          <w:bCs/>
          <w:iCs/>
          <w:sz w:val="20"/>
          <w:szCs w:val="20"/>
        </w:rPr>
        <w:t>-</w:t>
      </w:r>
      <w:r>
        <w:rPr>
          <w:rFonts w:ascii="Times New Roman" w:hAnsi="Times New Roman"/>
          <w:bCs/>
          <w:iCs/>
          <w:sz w:val="20"/>
          <w:szCs w:val="20"/>
          <w:lang w:val="en-US"/>
        </w:rPr>
        <w:t>mail</w:t>
      </w:r>
      <w:r>
        <w:rPr>
          <w:rFonts w:ascii="Times New Roman" w:hAnsi="Times New Roman"/>
          <w:bCs/>
          <w:iCs/>
          <w:sz w:val="20"/>
          <w:szCs w:val="20"/>
        </w:rPr>
        <w:t xml:space="preserve">: </w:t>
      </w:r>
      <w:hyperlink r:id="rId164" w:history="1">
        <w:r>
          <w:rPr>
            <w:rStyle w:val="aa"/>
            <w:color w:val="000000" w:themeColor="text1"/>
            <w:sz w:val="20"/>
            <w:szCs w:val="20"/>
          </w:rPr>
          <w:t>anaandr96@mail.ru</w:t>
        </w:r>
      </w:hyperlink>
      <w:r>
        <w:rPr>
          <w:sz w:val="20"/>
          <w:szCs w:val="20"/>
        </w:rPr>
        <w:t xml:space="preserve"> </w:t>
      </w:r>
      <w:r>
        <w:rPr>
          <w:rFonts w:ascii="Times New Roman" w:hAnsi="Times New Roman"/>
          <w:bCs/>
          <w:iCs/>
          <w:sz w:val="20"/>
          <w:szCs w:val="20"/>
        </w:rPr>
        <w:t>Тел: +79140882928</w:t>
      </w:r>
    </w:p>
    <w:p w:rsidR="00517711" w:rsidRDefault="00F815BE">
      <w:pPr>
        <w:spacing w:line="240" w:lineRule="auto"/>
        <w:ind w:left="708" w:firstLine="709"/>
        <w:jc w:val="center"/>
        <w:rPr>
          <w:rFonts w:ascii="Times New Roman" w:hAnsi="Times New Roman"/>
          <w:sz w:val="20"/>
          <w:szCs w:val="20"/>
        </w:rPr>
      </w:pPr>
      <w:r>
        <w:rPr>
          <w:rFonts w:ascii="Times New Roman" w:hAnsi="Times New Roman"/>
          <w:sz w:val="20"/>
          <w:szCs w:val="20"/>
        </w:rPr>
        <w:t>ул. Гоголя, 41, г. Владивосток, Приморский край, Россия, 690014</w:t>
      </w:r>
    </w:p>
    <w:p w:rsidR="00517711" w:rsidRDefault="00F815BE">
      <w:pPr>
        <w:spacing w:after="0" w:line="240" w:lineRule="auto"/>
        <w:ind w:firstLine="851"/>
        <w:jc w:val="both"/>
        <w:rPr>
          <w:rFonts w:ascii="Times New Roman" w:hAnsi="Times New Roman"/>
          <w:szCs w:val="24"/>
        </w:rPr>
      </w:pPr>
      <w:r>
        <w:rPr>
          <w:rFonts w:ascii="Times New Roman" w:hAnsi="Times New Roman"/>
          <w:i/>
          <w:szCs w:val="24"/>
        </w:rPr>
        <w:t xml:space="preserve">Проблема Соглашений о создании ТОР заключается в несоответствии  пунктов соглашения действующему законодательству РФ. ТОР признан новым инструментом по развитию Дальнего Востока </w:t>
      </w:r>
      <w:r>
        <w:rPr>
          <w:rFonts w:ascii="Times New Roman" w:hAnsi="Times New Roman"/>
          <w:i/>
          <w:szCs w:val="24"/>
          <w:lang w:val="en-US"/>
        </w:rPr>
        <w:t>XXI</w:t>
      </w:r>
      <w:r>
        <w:rPr>
          <w:rFonts w:ascii="Times New Roman" w:hAnsi="Times New Roman"/>
          <w:i/>
          <w:szCs w:val="24"/>
        </w:rPr>
        <w:t xml:space="preserve"> века. Создаются такие территории на долгий срок. Поэтому, для достижения положительного результата, от реализации такого механизма, договорная модель соглашения должна соответствовать законодательству РФ и иметь четкий механизм реализации</w:t>
      </w:r>
      <w:r>
        <w:rPr>
          <w:rFonts w:ascii="Times New Roman" w:hAnsi="Times New Roman"/>
          <w:szCs w:val="24"/>
        </w:rPr>
        <w:t xml:space="preserve">. </w:t>
      </w:r>
    </w:p>
    <w:p w:rsidR="00517711" w:rsidRDefault="00F815BE">
      <w:pPr>
        <w:spacing w:after="0" w:line="240" w:lineRule="auto"/>
        <w:ind w:firstLine="851"/>
        <w:jc w:val="both"/>
        <w:rPr>
          <w:rFonts w:ascii="Times New Roman" w:hAnsi="Times New Roman"/>
          <w:i/>
          <w:szCs w:val="24"/>
        </w:rPr>
      </w:pPr>
      <w:r>
        <w:rPr>
          <w:rFonts w:ascii="Times New Roman" w:hAnsi="Times New Roman"/>
          <w:b/>
          <w:i/>
          <w:szCs w:val="24"/>
        </w:rPr>
        <w:t>Ключевые слова и словосочетания:</w:t>
      </w:r>
      <w:r>
        <w:rPr>
          <w:rFonts w:ascii="Times New Roman" w:hAnsi="Times New Roman"/>
          <w:i/>
          <w:szCs w:val="24"/>
        </w:rPr>
        <w:t xml:space="preserve"> территория опережающего социально-экономического развития, соглашение о создании ТОР, Закон о ТОР.</w:t>
      </w:r>
    </w:p>
    <w:p w:rsidR="00517711" w:rsidRDefault="00F815BE">
      <w:pPr>
        <w:spacing w:after="0" w:line="240" w:lineRule="auto"/>
        <w:ind w:firstLine="851"/>
        <w:jc w:val="center"/>
        <w:rPr>
          <w:rFonts w:ascii="Times New Roman" w:hAnsi="Times New Roman"/>
          <w:b/>
          <w:sz w:val="24"/>
          <w:szCs w:val="24"/>
          <w:lang w:val="en-US"/>
        </w:rPr>
      </w:pPr>
      <w:r>
        <w:rPr>
          <w:rFonts w:ascii="Times New Roman" w:hAnsi="Times New Roman"/>
          <w:b/>
          <w:sz w:val="24"/>
          <w:szCs w:val="24"/>
          <w:lang w:val="en-US"/>
        </w:rPr>
        <w:t>Agreements on the creation of TOR: problems of theory and practice</w:t>
      </w:r>
    </w:p>
    <w:p w:rsidR="00517711" w:rsidRDefault="00517711">
      <w:pPr>
        <w:spacing w:after="0" w:line="240" w:lineRule="auto"/>
        <w:ind w:firstLine="851"/>
        <w:jc w:val="center"/>
        <w:rPr>
          <w:rFonts w:ascii="Times New Roman" w:hAnsi="Times New Roman"/>
          <w:b/>
          <w:sz w:val="24"/>
          <w:szCs w:val="24"/>
          <w:lang w:val="en-US"/>
        </w:rPr>
      </w:pPr>
    </w:p>
    <w:p w:rsidR="00517711" w:rsidRDefault="00F815BE">
      <w:pPr>
        <w:spacing w:after="0" w:line="240" w:lineRule="auto"/>
        <w:ind w:firstLine="851"/>
        <w:jc w:val="center"/>
        <w:rPr>
          <w:rFonts w:ascii="Arial" w:eastAsia="Calibri" w:hAnsi="Arial"/>
          <w:b/>
          <w:bCs/>
          <w:sz w:val="24"/>
          <w:szCs w:val="20"/>
          <w:lang w:val="en-US" w:eastAsia="ru-RU"/>
        </w:rPr>
      </w:pPr>
      <w:r>
        <w:rPr>
          <w:rFonts w:ascii="Arial" w:eastAsia="Calibri" w:hAnsi="Arial"/>
          <w:b/>
          <w:bCs/>
          <w:sz w:val="24"/>
          <w:szCs w:val="20"/>
          <w:lang w:val="en-US" w:eastAsia="ru-RU"/>
        </w:rPr>
        <w:t>Volynkina Anastasia Andreevna</w:t>
      </w:r>
    </w:p>
    <w:p w:rsidR="00517711" w:rsidRDefault="00F815BE">
      <w:pPr>
        <w:widowControl w:val="0"/>
        <w:shd w:val="clear" w:color="auto" w:fill="FFFFFF"/>
        <w:spacing w:after="0" w:line="240" w:lineRule="auto"/>
        <w:contextualSpacing/>
        <w:jc w:val="center"/>
        <w:rPr>
          <w:rFonts w:ascii="Arial" w:eastAsia="Calibri" w:hAnsi="Arial"/>
          <w:bCs/>
          <w:sz w:val="24"/>
          <w:szCs w:val="20"/>
          <w:lang w:val="en-US" w:eastAsia="ru-RU"/>
        </w:rPr>
      </w:pPr>
      <w:r>
        <w:rPr>
          <w:rFonts w:ascii="Arial" w:eastAsia="Calibri" w:hAnsi="Arial"/>
          <w:bCs/>
          <w:sz w:val="24"/>
          <w:szCs w:val="20"/>
          <w:lang w:val="en-US" w:eastAsia="ru-RU"/>
        </w:rPr>
        <w:t xml:space="preserve">              bachelor 4th year</w:t>
      </w:r>
    </w:p>
    <w:p w:rsidR="00517711" w:rsidRDefault="00F815BE">
      <w:pPr>
        <w:widowControl w:val="0"/>
        <w:shd w:val="clear" w:color="auto" w:fill="FFFFFF"/>
        <w:spacing w:line="240" w:lineRule="auto"/>
        <w:contextualSpacing/>
        <w:jc w:val="center"/>
        <w:rPr>
          <w:rFonts w:ascii="Arial" w:eastAsia="Calibri" w:hAnsi="Arial"/>
          <w:bCs/>
          <w:sz w:val="24"/>
          <w:szCs w:val="20"/>
          <w:lang w:val="en-US" w:eastAsia="ru-RU"/>
        </w:rPr>
      </w:pPr>
      <w:r>
        <w:rPr>
          <w:rFonts w:ascii="Arial" w:eastAsia="Calibri" w:hAnsi="Arial"/>
          <w:bCs/>
          <w:sz w:val="24"/>
          <w:szCs w:val="20"/>
          <w:lang w:val="en-US" w:eastAsia="ru-RU"/>
        </w:rPr>
        <w:t xml:space="preserve">            department of civil law disciplines</w:t>
      </w:r>
    </w:p>
    <w:p w:rsidR="00517711" w:rsidRDefault="00F815BE">
      <w:pPr>
        <w:spacing w:before="240" w:after="0" w:line="240" w:lineRule="auto"/>
        <w:ind w:firstLine="851"/>
        <w:jc w:val="center"/>
        <w:rPr>
          <w:rFonts w:ascii="Arial" w:eastAsia="Calibri" w:hAnsi="Arial"/>
          <w:b/>
          <w:bCs/>
          <w:sz w:val="24"/>
          <w:szCs w:val="20"/>
          <w:lang w:val="en-US" w:eastAsia="ru-RU"/>
        </w:rPr>
      </w:pPr>
      <w:r>
        <w:rPr>
          <w:rFonts w:ascii="Arial" w:eastAsia="Calibri" w:hAnsi="Arial"/>
          <w:b/>
          <w:bCs/>
          <w:sz w:val="24"/>
          <w:szCs w:val="20"/>
          <w:lang w:val="en-US" w:eastAsia="ru-RU"/>
        </w:rPr>
        <w:t>Varavenko Victor Evgenievich</w:t>
      </w:r>
    </w:p>
    <w:p w:rsidR="00517711" w:rsidRDefault="00F815BE">
      <w:pPr>
        <w:spacing w:line="240" w:lineRule="auto"/>
        <w:ind w:firstLine="851"/>
        <w:jc w:val="center"/>
        <w:rPr>
          <w:rFonts w:ascii="Arial" w:hAnsi="Arial" w:cs="Arial"/>
          <w:sz w:val="24"/>
          <w:szCs w:val="24"/>
          <w:lang w:val="en-US"/>
        </w:rPr>
      </w:pPr>
      <w:r>
        <w:rPr>
          <w:rFonts w:ascii="Arial" w:hAnsi="Arial" w:cs="Arial"/>
          <w:sz w:val="24"/>
          <w:szCs w:val="24"/>
          <w:lang w:val="en-US"/>
        </w:rPr>
        <w:t>candidate of law, associate professor</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i/>
          <w:szCs w:val="24"/>
          <w:lang w:val="en-US"/>
        </w:rPr>
        <w:t>The problem Of the agreement on the creation of TOR is the inconsistency of the provisions of the agreement to the current legislation of the Russian Federation. TOR is recognized as a new tool for the development of the far East of the XXI century. Such territories are created for a long period of time.</w:t>
      </w:r>
      <w:r>
        <w:rPr>
          <w:sz w:val="20"/>
          <w:lang w:val="en-US"/>
        </w:rPr>
        <w:t xml:space="preserve"> </w:t>
      </w:r>
      <w:r>
        <w:rPr>
          <w:rFonts w:ascii="Times New Roman" w:hAnsi="Times New Roman"/>
          <w:i/>
          <w:szCs w:val="24"/>
          <w:lang w:val="en-US"/>
        </w:rPr>
        <w:t>Therefore, in order to achieve a positive result from the implementation of such a mechanism, the contractual model of the agreement must comply with the legislation of the Russian Federation and have a clear mechanism for implementation.</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b/>
          <w:i/>
          <w:szCs w:val="24"/>
          <w:lang w:val="en-US"/>
        </w:rPr>
        <w:t>Key words and phrases:</w:t>
      </w:r>
      <w:r>
        <w:rPr>
          <w:rFonts w:ascii="Times New Roman" w:hAnsi="Times New Roman"/>
          <w:i/>
          <w:szCs w:val="24"/>
          <w:lang w:val="en-US"/>
        </w:rPr>
        <w:t xml:space="preserve"> the territory of advanced social and economic development, agreement on the creation of TOR,</w:t>
      </w:r>
      <w:r>
        <w:rPr>
          <w:i/>
          <w:sz w:val="20"/>
          <w:lang w:val="en-US"/>
        </w:rPr>
        <w:t xml:space="preserve"> </w:t>
      </w:r>
      <w:r>
        <w:rPr>
          <w:rFonts w:ascii="Times New Roman" w:hAnsi="Times New Roman"/>
          <w:i/>
          <w:szCs w:val="24"/>
          <w:lang w:val="en-US"/>
        </w:rPr>
        <w:t>the law on TOR.</w:t>
      </w:r>
    </w:p>
    <w:p w:rsidR="00517711" w:rsidRDefault="00517711">
      <w:pPr>
        <w:spacing w:after="0" w:line="240" w:lineRule="auto"/>
        <w:ind w:firstLine="709"/>
        <w:jc w:val="both"/>
        <w:rPr>
          <w:rFonts w:ascii="Times New Roman" w:hAnsi="Times New Roman"/>
          <w:i/>
          <w:sz w:val="20"/>
          <w:szCs w:val="24"/>
          <w:lang w:val="en-US"/>
        </w:rPr>
      </w:pPr>
    </w:p>
    <w:p w:rsidR="00517711" w:rsidRDefault="00F815BE">
      <w:pPr>
        <w:spacing w:after="0" w:line="240" w:lineRule="auto"/>
        <w:ind w:firstLine="709"/>
        <w:jc w:val="both"/>
        <w:rPr>
          <w:sz w:val="20"/>
          <w:szCs w:val="24"/>
        </w:rPr>
      </w:pPr>
      <w:r>
        <w:rPr>
          <w:rFonts w:ascii="Times New Roman" w:hAnsi="Times New Roman"/>
          <w:sz w:val="20"/>
          <w:szCs w:val="24"/>
        </w:rPr>
        <w:t>Одним из инструментов, преобразования Дальнего Востока в территорию роста, является создание территорий опережающего социально-экономического развития (далее – ТОР). ТОР представляет собой часть территории субъекта, на которой установлен особый правовой режим осуществления предпринимательской и иной деятельности [7, ст.2].</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Создание указанных территорий это сложный и многоступенчатый процесс, включающий в себя восемь основных этапов. Прохождение каждого этапа сопровождается принятием решений и подписанием соглашений, которые должны соответствовать правовым моделям установленным законодательством.  </w:t>
      </w:r>
    </w:p>
    <w:p w:rsidR="00517711" w:rsidRDefault="00F815BE">
      <w:pPr>
        <w:pStyle w:val="af6"/>
        <w:spacing w:before="0" w:beforeAutospacing="0" w:after="0" w:afterAutospacing="0"/>
        <w:ind w:firstLine="709"/>
        <w:jc w:val="both"/>
        <w:rPr>
          <w:color w:val="000000"/>
          <w:sz w:val="20"/>
        </w:rPr>
      </w:pPr>
      <w:r>
        <w:rPr>
          <w:color w:val="000000"/>
          <w:sz w:val="20"/>
        </w:rPr>
        <w:t xml:space="preserve">Основным актом, обеспечивающим создание ТОР, являются постановления Правительства РФ о создании отдельных ТОР, а актами, конкретизирующими условия их функционирование, выступают соглашения о создании ТОР. Закон о ТОР не содержит определения «соглашения о создании ТОР», также его не содержат и другие источники права. </w:t>
      </w:r>
    </w:p>
    <w:p w:rsidR="00517711" w:rsidRDefault="00F815BE">
      <w:pPr>
        <w:pStyle w:val="af6"/>
        <w:spacing w:before="0" w:beforeAutospacing="0" w:after="0" w:afterAutospacing="0"/>
        <w:ind w:firstLine="709"/>
        <w:jc w:val="both"/>
        <w:rPr>
          <w:color w:val="000000"/>
          <w:sz w:val="20"/>
        </w:rPr>
      </w:pPr>
      <w:r>
        <w:rPr>
          <w:color w:val="000000"/>
          <w:sz w:val="20"/>
        </w:rPr>
        <w:t xml:space="preserve">Значимость  исследования соглашений о создании ТОР заключается в том, что основная их цель – это определение прав и обязанностей сторон, определение порядка и источников финансирования, строительства, </w:t>
      </w:r>
      <w:r>
        <w:rPr>
          <w:color w:val="000000"/>
          <w:sz w:val="20"/>
        </w:rPr>
        <w:lastRenderedPageBreak/>
        <w:t>реконструкции и эксплуатации объектов инфраструктуры, а также ответственность сторон при создании ТОР. Несоответствие соглашений законодательству может привести не только к путанице полномочий сторон соглашения, но и к нарушению деятельности самого ТОР и его резидентов.</w:t>
      </w:r>
    </w:p>
    <w:p w:rsidR="00517711" w:rsidRDefault="00F815BE">
      <w:pPr>
        <w:pStyle w:val="af6"/>
        <w:spacing w:before="0" w:beforeAutospacing="0" w:after="0" w:afterAutospacing="0"/>
        <w:ind w:firstLine="709"/>
        <w:jc w:val="both"/>
        <w:rPr>
          <w:color w:val="000000"/>
          <w:sz w:val="20"/>
        </w:rPr>
      </w:pPr>
      <w:r>
        <w:rPr>
          <w:color w:val="000000"/>
          <w:sz w:val="20"/>
        </w:rPr>
        <w:t>В целях определения юридической природы соглашений о создании ТОР проведем анализ его элементов. Эмпирическую базу этого анализа составляют Закон о ТОР, а также соглашения о создании таких ТОР как: «Надежденская», «Большой Камень» и «Михайловкий».</w:t>
      </w:r>
    </w:p>
    <w:p w:rsidR="00517711" w:rsidRDefault="00F815BE">
      <w:pPr>
        <w:pStyle w:val="af6"/>
        <w:spacing w:before="0" w:beforeAutospacing="0" w:after="0" w:afterAutospacing="0"/>
        <w:ind w:firstLine="709"/>
        <w:jc w:val="both"/>
        <w:rPr>
          <w:color w:val="000000"/>
          <w:sz w:val="20"/>
        </w:rPr>
      </w:pPr>
      <w:r>
        <w:rPr>
          <w:i/>
          <w:color w:val="000000"/>
          <w:sz w:val="20"/>
        </w:rPr>
        <w:t>Субъектный состав.</w:t>
      </w:r>
      <w:r>
        <w:rPr>
          <w:color w:val="000000"/>
          <w:sz w:val="20"/>
        </w:rPr>
        <w:t xml:space="preserve"> Согласно пункту 5 статьи 3 Закона о ТОР, субъектами заключающими соглашение о создании ТОР являются: Минвостокразвития РФ, субъект РФ, на территории которого утверждены границы ТОР и соответствующий орган местного самоуправления, важно, перечисленные субъекты соглашения являются публичными институтами</w:t>
      </w:r>
      <w:r>
        <w:rPr>
          <w:color w:val="000000"/>
          <w:sz w:val="20"/>
          <w:shd w:val="clear" w:color="auto" w:fill="FFFFFF"/>
        </w:rPr>
        <w:t>[7].</w:t>
      </w:r>
      <w:r>
        <w:rPr>
          <w:color w:val="000000"/>
          <w:sz w:val="20"/>
        </w:rPr>
        <w:t>. Например, сторонами соглашения о создании ТОР «Надежденская» от 19 октября 2015 года являются: Министерство – в лице Министра РФ по Развитию Дальнего Востока; Администрация Приморского края – в лице Губернатора Приморского края, Главы Администрации; Администрация Надежденского муниципального района Приморкого края – в лице главы администрации и администрация муниципального образования Надежденское сельское поселение Надежденского муниципального района Приморского края – в лице главы Надежденского сельского поселения</w:t>
      </w:r>
      <w:r>
        <w:rPr>
          <w:sz w:val="20"/>
        </w:rPr>
        <w:t>[10]</w:t>
      </w:r>
      <w:r>
        <w:rPr>
          <w:color w:val="000000"/>
          <w:sz w:val="20"/>
        </w:rPr>
        <w:t>.</w:t>
      </w:r>
    </w:p>
    <w:p w:rsidR="00517711" w:rsidRDefault="00F815BE">
      <w:pPr>
        <w:pStyle w:val="af6"/>
        <w:spacing w:before="0" w:beforeAutospacing="0" w:after="0" w:afterAutospacing="0"/>
        <w:ind w:firstLine="709"/>
        <w:jc w:val="both"/>
        <w:rPr>
          <w:color w:val="000000"/>
          <w:sz w:val="20"/>
        </w:rPr>
      </w:pPr>
      <w:r>
        <w:rPr>
          <w:i/>
          <w:color w:val="000000"/>
          <w:sz w:val="20"/>
        </w:rPr>
        <w:t>Предмет соглашения.</w:t>
      </w:r>
      <w:r>
        <w:rPr>
          <w:color w:val="000000"/>
          <w:sz w:val="20"/>
        </w:rPr>
        <w:t xml:space="preserve"> Предмет соглашения определяет характер правоотношения. В данном случае предметом соглашения является создание конкретного ТОР, а также определение прав и обязанностей сторон, установление источника финансирования строительства, реконструкции, эксплуатации объектов инженерной, транспортной, и иной инфраструктуры. Как видно указанный предмет отвечает вопросам властвования и управления и в первую очередь интересам государства.</w:t>
      </w:r>
    </w:p>
    <w:p w:rsidR="00517711" w:rsidRDefault="00F815BE">
      <w:pPr>
        <w:pStyle w:val="af6"/>
        <w:spacing w:before="0" w:beforeAutospacing="0" w:after="0" w:afterAutospacing="0"/>
        <w:ind w:firstLine="709"/>
        <w:jc w:val="both"/>
        <w:rPr>
          <w:color w:val="000000"/>
          <w:sz w:val="20"/>
        </w:rPr>
      </w:pPr>
      <w:r>
        <w:rPr>
          <w:i/>
          <w:color w:val="000000"/>
          <w:sz w:val="20"/>
        </w:rPr>
        <w:t>Цель соглашения</w:t>
      </w:r>
      <w:r>
        <w:rPr>
          <w:color w:val="000000"/>
          <w:sz w:val="20"/>
        </w:rPr>
        <w:t>. На примере ТОР «Надежденская», можно выделить следующую цель: осуществление деятельности с целью формирования благоприятных условий для привлечения инвестиций, обеспечение ускоренного социально-экономического развития и создание комфортных условий для жизнедеятельности населения Приморского края, а также создание инфраструктуры для функционирования ТОР «Надежденская». Объективно видно, что цель, указанная в приведенном соглашении, направлена не на узкий круг интересов частных субъектов, а на удовлетворение публичных интересов и интересов неопределенного круга лиц.</w:t>
      </w:r>
    </w:p>
    <w:p w:rsidR="00517711" w:rsidRDefault="00F815BE">
      <w:pPr>
        <w:pStyle w:val="af6"/>
        <w:spacing w:before="0" w:beforeAutospacing="0" w:after="0" w:afterAutospacing="0"/>
        <w:ind w:firstLine="709"/>
        <w:jc w:val="both"/>
        <w:rPr>
          <w:color w:val="000000"/>
          <w:sz w:val="20"/>
        </w:rPr>
      </w:pPr>
      <w:r>
        <w:rPr>
          <w:i/>
          <w:color w:val="000000"/>
          <w:sz w:val="20"/>
        </w:rPr>
        <w:t>Форма соглашения.</w:t>
      </w:r>
      <w:r>
        <w:rPr>
          <w:color w:val="000000"/>
          <w:sz w:val="20"/>
        </w:rPr>
        <w:t xml:space="preserve"> Форма соглашения о создании ТОР всегда письменная. Количество экземпляров соответствует числу субъектов соглашения, каждый из которых имеет одинаковую юридическую силу. Момент вступления в законную силу соглашения определен моментом его подписания сторонами.</w:t>
      </w:r>
    </w:p>
    <w:p w:rsidR="00517711" w:rsidRDefault="00F815BE">
      <w:pPr>
        <w:pStyle w:val="af6"/>
        <w:spacing w:before="0" w:beforeAutospacing="0" w:after="0" w:afterAutospacing="0"/>
        <w:ind w:firstLine="709"/>
        <w:jc w:val="both"/>
        <w:rPr>
          <w:color w:val="000000"/>
          <w:sz w:val="20"/>
        </w:rPr>
      </w:pPr>
      <w:r>
        <w:rPr>
          <w:color w:val="000000"/>
          <w:sz w:val="20"/>
        </w:rPr>
        <w:t>Стоит отметить, что предмет и цель одинаковые во всех соглашениях о создании ТОР, т. к. закреплены основными положениями Закона о ТОР и носят императивный характер.</w:t>
      </w:r>
    </w:p>
    <w:p w:rsidR="00517711" w:rsidRDefault="00F815BE">
      <w:pPr>
        <w:pStyle w:val="af6"/>
        <w:spacing w:before="0" w:beforeAutospacing="0" w:after="0" w:afterAutospacing="0"/>
        <w:ind w:firstLine="709"/>
        <w:jc w:val="both"/>
        <w:rPr>
          <w:color w:val="000000"/>
          <w:sz w:val="20"/>
        </w:rPr>
      </w:pPr>
      <w:r>
        <w:rPr>
          <w:color w:val="000000"/>
          <w:sz w:val="20"/>
        </w:rPr>
        <w:t>На основании проведенной нами характеристики основных элементов соглашения о создании ТОР, сделаны следующие выводы:</w:t>
      </w:r>
    </w:p>
    <w:p w:rsidR="00517711" w:rsidRDefault="00F815BE">
      <w:pPr>
        <w:pStyle w:val="af6"/>
        <w:spacing w:before="0" w:beforeAutospacing="0" w:after="0" w:afterAutospacing="0"/>
        <w:ind w:firstLine="709"/>
        <w:jc w:val="both"/>
        <w:rPr>
          <w:color w:val="000000"/>
          <w:sz w:val="20"/>
        </w:rPr>
      </w:pPr>
      <w:r>
        <w:rPr>
          <w:color w:val="000000"/>
          <w:sz w:val="20"/>
        </w:rPr>
        <w:t>- субъектами соглашения выступают публичные образования;</w:t>
      </w:r>
    </w:p>
    <w:p w:rsidR="00517711" w:rsidRDefault="00F815BE">
      <w:pPr>
        <w:pStyle w:val="af6"/>
        <w:spacing w:before="0" w:beforeAutospacing="0" w:after="0" w:afterAutospacing="0"/>
        <w:ind w:firstLine="709"/>
        <w:jc w:val="both"/>
        <w:rPr>
          <w:color w:val="000000"/>
          <w:sz w:val="20"/>
        </w:rPr>
      </w:pPr>
      <w:r>
        <w:rPr>
          <w:color w:val="000000"/>
          <w:sz w:val="20"/>
        </w:rPr>
        <w:t>- предмет отвечает вопросам властвования и управления;</w:t>
      </w:r>
    </w:p>
    <w:p w:rsidR="00517711" w:rsidRDefault="00F815BE">
      <w:pPr>
        <w:pStyle w:val="af6"/>
        <w:spacing w:before="0" w:beforeAutospacing="0" w:after="0" w:afterAutospacing="0"/>
        <w:ind w:firstLine="709"/>
        <w:jc w:val="both"/>
        <w:rPr>
          <w:color w:val="000000"/>
          <w:sz w:val="20"/>
        </w:rPr>
      </w:pPr>
      <w:r>
        <w:rPr>
          <w:color w:val="000000"/>
          <w:sz w:val="20"/>
        </w:rPr>
        <w:t>- цель направлена на удовлетворение публичных интересов и интересов неопределенного круга лиц;</w:t>
      </w:r>
    </w:p>
    <w:p w:rsidR="00517711" w:rsidRDefault="00F815BE">
      <w:pPr>
        <w:pStyle w:val="af6"/>
        <w:spacing w:before="0" w:beforeAutospacing="0" w:after="0" w:afterAutospacing="0"/>
        <w:ind w:firstLine="709"/>
        <w:jc w:val="both"/>
        <w:rPr>
          <w:color w:val="000000"/>
          <w:sz w:val="20"/>
        </w:rPr>
      </w:pPr>
      <w:r>
        <w:rPr>
          <w:color w:val="000000"/>
          <w:sz w:val="20"/>
        </w:rPr>
        <w:t>- форма соглашения письменная;</w:t>
      </w:r>
    </w:p>
    <w:p w:rsidR="00517711" w:rsidRDefault="00F815BE">
      <w:pPr>
        <w:pStyle w:val="af6"/>
        <w:spacing w:before="0" w:beforeAutospacing="0" w:after="0" w:afterAutospacing="0"/>
        <w:ind w:firstLine="709"/>
        <w:jc w:val="both"/>
        <w:rPr>
          <w:color w:val="000000"/>
          <w:sz w:val="20"/>
        </w:rPr>
      </w:pPr>
      <w:r>
        <w:rPr>
          <w:color w:val="000000"/>
          <w:sz w:val="20"/>
        </w:rPr>
        <w:t>- для заключения соглашения необходимо предшествующее ему постановление Правительства РФ, без которого нет оснований для заключения соглашения о создании ТОР.</w:t>
      </w:r>
    </w:p>
    <w:p w:rsidR="00517711" w:rsidRDefault="00F815BE">
      <w:pPr>
        <w:pStyle w:val="af6"/>
        <w:spacing w:before="0" w:beforeAutospacing="0" w:after="0" w:afterAutospacing="0"/>
        <w:ind w:firstLine="709"/>
        <w:jc w:val="both"/>
        <w:rPr>
          <w:color w:val="000000"/>
          <w:sz w:val="20"/>
        </w:rPr>
      </w:pPr>
      <w:r>
        <w:rPr>
          <w:color w:val="000000"/>
          <w:sz w:val="20"/>
        </w:rPr>
        <w:t>Таким образом, следует вывод, соглашение о создании ТОР является публично-правовым (административный) договором. Однако официального ответа на вопрос что же такое публично-правовой (административный) договор ни в науке, ни в юридической практике сегодня нет.</w:t>
      </w:r>
    </w:p>
    <w:p w:rsidR="00517711" w:rsidRDefault="00F815BE">
      <w:pPr>
        <w:pStyle w:val="af6"/>
        <w:spacing w:before="0" w:beforeAutospacing="0" w:after="0" w:afterAutospacing="0"/>
        <w:ind w:firstLine="709"/>
        <w:jc w:val="both"/>
        <w:rPr>
          <w:color w:val="000000"/>
          <w:sz w:val="20"/>
        </w:rPr>
      </w:pPr>
      <w:r>
        <w:rPr>
          <w:color w:val="000000"/>
          <w:sz w:val="20"/>
        </w:rPr>
        <w:t>Завьялова И.С. и Махина С. Н. считают данный вопрос довольно дискуссионным, поскольку «…до настоящего времени в российском законодательстве ни на федеральном уровне, а тем более ни на уровне субъектов РФ, нет четко регламентированного понятия административно-правового договора»</w:t>
      </w:r>
      <w:r>
        <w:rPr>
          <w:color w:val="000000"/>
          <w:sz w:val="20"/>
          <w:shd w:val="clear" w:color="auto" w:fill="FFFFFF"/>
        </w:rPr>
        <w:t xml:space="preserve"> [3, с.169].</w:t>
      </w:r>
    </w:p>
    <w:p w:rsidR="00517711" w:rsidRDefault="00F815BE">
      <w:pPr>
        <w:pStyle w:val="af6"/>
        <w:spacing w:before="0" w:beforeAutospacing="0" w:after="0" w:afterAutospacing="0"/>
        <w:ind w:firstLine="709"/>
        <w:jc w:val="both"/>
        <w:rPr>
          <w:color w:val="000000"/>
          <w:sz w:val="20"/>
        </w:rPr>
      </w:pPr>
      <w:r>
        <w:rPr>
          <w:color w:val="000000"/>
          <w:sz w:val="20"/>
        </w:rPr>
        <w:t>Всё же, некоторые авторы, находят ответы на данный вопрос, например Корнеев А. П. и Абдурахманов А. А. определяют административный договор как соглашение, основанное на нормативных актах «…понимаемое как взаимное и согласованное проявление воли сторон относительно единой цели между двумя или более формально равными субъектами, имеющее своим предметом совершение управленческих либо организационных действий, в котором хотя бы одна из сторон является органом государственного управления либо его законным представителем»</w:t>
      </w:r>
      <w:r>
        <w:rPr>
          <w:color w:val="000000"/>
          <w:sz w:val="20"/>
          <w:shd w:val="clear" w:color="auto" w:fill="FFFFFF"/>
        </w:rPr>
        <w:t xml:space="preserve"> [4]. </w:t>
      </w:r>
      <w:r>
        <w:rPr>
          <w:color w:val="000000"/>
          <w:sz w:val="20"/>
        </w:rPr>
        <w:t xml:space="preserve"> </w:t>
      </w:r>
    </w:p>
    <w:p w:rsidR="00517711" w:rsidRDefault="00F815BE">
      <w:pPr>
        <w:pStyle w:val="af6"/>
        <w:spacing w:before="0" w:beforeAutospacing="0" w:after="0" w:afterAutospacing="0"/>
        <w:ind w:firstLine="709"/>
        <w:jc w:val="both"/>
        <w:rPr>
          <w:color w:val="000000"/>
          <w:sz w:val="20"/>
        </w:rPr>
      </w:pPr>
      <w:r>
        <w:rPr>
          <w:color w:val="000000"/>
          <w:sz w:val="20"/>
        </w:rPr>
        <w:t>Д.Н. Бахрах, отмечает необеспеченность административного договора судебной защитой в России и отсутствие применения имущественных санкций за невыполнение сторонами взятых на себя обязательств по договору</w:t>
      </w:r>
      <w:r>
        <w:rPr>
          <w:sz w:val="20"/>
        </w:rPr>
        <w:t>[1]</w:t>
      </w:r>
      <w:r>
        <w:rPr>
          <w:color w:val="000000"/>
          <w:sz w:val="20"/>
        </w:rPr>
        <w:t xml:space="preserve">. </w:t>
      </w:r>
    </w:p>
    <w:p w:rsidR="00517711" w:rsidRDefault="00F815BE">
      <w:pPr>
        <w:pStyle w:val="af6"/>
        <w:spacing w:before="0" w:beforeAutospacing="0" w:after="0" w:afterAutospacing="0"/>
        <w:ind w:firstLine="709"/>
        <w:jc w:val="both"/>
        <w:rPr>
          <w:color w:val="000000"/>
          <w:sz w:val="20"/>
          <w:shd w:val="clear" w:color="auto" w:fill="FFFFFF"/>
        </w:rPr>
      </w:pPr>
      <w:r>
        <w:rPr>
          <w:color w:val="000000"/>
          <w:sz w:val="20"/>
        </w:rPr>
        <w:t>А. В. Демин пишет, несмотря на то, что «…теории административного договора поднимались многими российскими авторами такими как Б.П.Курашвили, Д. Н. Бахрах, Ю. А.Тихомиров, В. А.Юсупов, В.А. Кикоть, Н. И. Клейн, В. Д. Рудашевский, Ю.М.Козлов, Б. Б. Хангельдыев, В. Г. Розенфельд, О. А. Супатаева и многими другими» эти исследования имеют характер отдельных замечаний. И как следствие отмечает «отсутствие целостной теории административного договора в отечественной правовой доктрине»</w:t>
      </w:r>
      <w:r>
        <w:rPr>
          <w:sz w:val="20"/>
        </w:rPr>
        <w:t xml:space="preserve"> [2]</w:t>
      </w:r>
      <w:r>
        <w:rPr>
          <w:color w:val="000000"/>
          <w:sz w:val="20"/>
        </w:rPr>
        <w:t>.</w:t>
      </w:r>
    </w:p>
    <w:p w:rsidR="00517711" w:rsidRDefault="00F815BE">
      <w:pPr>
        <w:pStyle w:val="af6"/>
        <w:spacing w:before="0" w:beforeAutospacing="0" w:after="0" w:afterAutospacing="0"/>
        <w:ind w:firstLine="709"/>
        <w:jc w:val="both"/>
        <w:rPr>
          <w:color w:val="000000"/>
          <w:sz w:val="20"/>
        </w:rPr>
      </w:pPr>
      <w:r>
        <w:rPr>
          <w:color w:val="000000"/>
          <w:sz w:val="20"/>
        </w:rPr>
        <w:t>Таким образом, на сегодняшний день в юридической науке отсутствует понимание феномена публично-правового (административного) договора, что оказывает негативное влияние на практику применения публично-правовых договорных моделей.</w:t>
      </w:r>
    </w:p>
    <w:p w:rsidR="00517711" w:rsidRDefault="00F815BE">
      <w:pPr>
        <w:pStyle w:val="af6"/>
        <w:spacing w:before="0" w:beforeAutospacing="0" w:after="0" w:afterAutospacing="0"/>
        <w:ind w:firstLine="709"/>
        <w:jc w:val="both"/>
        <w:rPr>
          <w:color w:val="000000"/>
          <w:sz w:val="20"/>
        </w:rPr>
      </w:pPr>
      <w:r>
        <w:rPr>
          <w:color w:val="000000"/>
          <w:sz w:val="20"/>
        </w:rPr>
        <w:lastRenderedPageBreak/>
        <w:t>Помимо проблемы теории административного договора, существует проблема содержательного характера соглашений о создании ТОР. Разобраться в данной проблеме нам помог информационно-аналитический материал «Об исполнении законодательства при образовании и функционировании территорий опережающего социально-экономического развития в Дальневосточном Федеральном округе», анализ содержания соглашений о создании ТОР и законодательство РФ. Отдельные положения соглашений не соответствуют требованиям законодательства РФ и противоречат принципам соглашений о создании ТОР.</w:t>
      </w:r>
    </w:p>
    <w:p w:rsidR="00517711" w:rsidRDefault="00F815BE">
      <w:pPr>
        <w:pStyle w:val="af6"/>
        <w:spacing w:before="0" w:beforeAutospacing="0" w:after="0" w:afterAutospacing="0"/>
        <w:ind w:firstLine="709"/>
        <w:jc w:val="both"/>
        <w:rPr>
          <w:color w:val="000000"/>
          <w:sz w:val="20"/>
        </w:rPr>
      </w:pPr>
      <w:r>
        <w:rPr>
          <w:color w:val="000000"/>
          <w:sz w:val="20"/>
        </w:rPr>
        <w:t>1. Соглашение о создании ТОР «Надежденская» пункт 2.11 ТОР «Михайловский» пункт 2.12 со ссылкой на статью 17 Закона о ТОР возлагают полномочия по обеспечению принятия актов предусматривающих для резидентов данных ТОР налоговой ставки налога на прибыль организаций подлежащего зачислению в бюджет края за первые 5 налоговых периодов 0% и 10% за последующие 5 налоговых периодов, а также налога на имущество организаций за первые 5 налоговых периодов в размере 0% и последующие 5 в размере 0,5 %. Обращаясь к статье 17 Закона о ТОР, как и указано в соглашениях, а именно к пункту 8 видно, что на территории ТОР устанавливается особый режим предпринимательской деятельности, который включает в себя освобождение, в соответствии с налоговым законодательством РФ, резидентов от уплаты налогов на имущество организаций и земельного налога. Возможности освобождения резидентов от уплаты налога на прибыль данный закон не содержит. В пункте 9 этой же 17 статьи установлено, что особый режим предпринимательской деятельности имеет и иные особые условия, к таким условия относятся, установленные пунктом 1.8 статьи 284 НК РФ положения о праве резидента на ставку в 0% налога на прибыль организаций, который зачисляется в федеральный бюджет РФ</w:t>
      </w:r>
      <w:r>
        <w:rPr>
          <w:sz w:val="20"/>
        </w:rPr>
        <w:t xml:space="preserve"> [5]</w:t>
      </w:r>
      <w:r>
        <w:rPr>
          <w:color w:val="000000"/>
          <w:sz w:val="20"/>
        </w:rPr>
        <w:t>. Часть 5 статьи 3 Закона о ТОР определен перечень обязательств высшего исполнительного органа государственной власти субъекта РФ, которые могут найти свое отражение в соглашении о создании ТОР, однако про обязательства субъекта относительно налога на прибыль данная статья положений не содержит. Также частью 6 статьи 3 этого же закона установлено, дополнительные условия соглашения о создании ТОР могут быть установлены только Правительством РФ.</w:t>
      </w:r>
    </w:p>
    <w:p w:rsidR="00517711" w:rsidRDefault="00F815BE">
      <w:pPr>
        <w:pStyle w:val="af6"/>
        <w:spacing w:before="0" w:beforeAutospacing="0" w:after="0" w:afterAutospacing="0"/>
        <w:ind w:firstLine="709"/>
        <w:jc w:val="both"/>
        <w:rPr>
          <w:color w:val="000000"/>
          <w:sz w:val="20"/>
        </w:rPr>
      </w:pPr>
      <w:r>
        <w:rPr>
          <w:color w:val="000000"/>
          <w:sz w:val="20"/>
        </w:rPr>
        <w:t xml:space="preserve"> Таким образом, мы приходим к выводу, что соглашением о создании  тор не может быть установлено обязательство высшего исполнительного органа субъекта РФ по предоставлению резидентам налоговых льгот по уплате налога на прибыль организаций, поскольку это установлено Налоговым Кодексом и прямо не предусмотрено Законом о ТОР. </w:t>
      </w:r>
    </w:p>
    <w:p w:rsidR="00517711" w:rsidRDefault="00F815BE">
      <w:pPr>
        <w:pStyle w:val="af6"/>
        <w:spacing w:before="0" w:beforeAutospacing="0" w:after="0" w:afterAutospacing="0"/>
        <w:ind w:firstLine="709"/>
        <w:jc w:val="both"/>
        <w:rPr>
          <w:color w:val="000000"/>
          <w:sz w:val="20"/>
        </w:rPr>
      </w:pPr>
      <w:r>
        <w:rPr>
          <w:color w:val="000000"/>
          <w:sz w:val="20"/>
        </w:rPr>
        <w:t xml:space="preserve">2. Второй пробел в содержании соглашений о создании ТОР «Надежденская» и «Михайловкий» заключается в следующем: в положении об ответственности сторон указано, в случае не исполнения обязательств по финансированию за счет средств выделяемых из соответствующих бюджетов на цели по созданию объектов инфраструктуры, сторона допустившая нарушения совершает перечисление денежных средств на счета Управляющей компании открытые в Федеральном казначействе и его территориальных органах. Объекты незавершенного строительства, в отношении которых стороной перечисляются денежные средства, передаются в федеральную собственность или собственность Управляющей компании. Однако в соответствии с ФЗ № 122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а именно частью 11 статьи 154 установлены условия, когда имущество находящиеся в собственности субъекта РФ может находиться в федеральной собственности </w:t>
      </w:r>
      <w:r>
        <w:rPr>
          <w:sz w:val="20"/>
        </w:rPr>
        <w:t>[6]</w:t>
      </w:r>
      <w:r>
        <w:rPr>
          <w:color w:val="000000"/>
          <w:sz w:val="20"/>
        </w:rPr>
        <w:t xml:space="preserve">. </w:t>
      </w:r>
    </w:p>
    <w:p w:rsidR="00517711" w:rsidRDefault="00F815BE">
      <w:pPr>
        <w:pStyle w:val="af6"/>
        <w:spacing w:before="0" w:beforeAutospacing="0" w:after="0" w:afterAutospacing="0"/>
        <w:ind w:firstLine="709"/>
        <w:jc w:val="both"/>
        <w:rPr>
          <w:color w:val="000000"/>
          <w:sz w:val="20"/>
        </w:rPr>
      </w:pPr>
      <w:r>
        <w:rPr>
          <w:color w:val="000000"/>
          <w:sz w:val="20"/>
        </w:rPr>
        <w:t>Таким образом, передача имущества в федеральную собственность возможна только при соблюдении процедуры прописанной в ранее указанном законе. В связи с чем положения соглашений о создании ТОР, а именно о передаче в федеральную собственность объектов незавершенного строительства, в отношении которых стороной перечисляются денежные средства можно считать незаконной.</w:t>
      </w:r>
    </w:p>
    <w:p w:rsidR="00517711" w:rsidRDefault="00F815BE">
      <w:pPr>
        <w:pStyle w:val="af6"/>
        <w:spacing w:before="0" w:beforeAutospacing="0" w:after="0" w:afterAutospacing="0"/>
        <w:ind w:firstLine="709"/>
        <w:jc w:val="both"/>
        <w:rPr>
          <w:color w:val="000000"/>
          <w:sz w:val="20"/>
        </w:rPr>
      </w:pPr>
      <w:r>
        <w:rPr>
          <w:color w:val="000000"/>
          <w:sz w:val="20"/>
        </w:rPr>
        <w:t>Закон о ТОР предусматривает передачу объектов незавершенного строительства в собственность управляющей компании только после исполнения полного финансового обеспечения такого объекта и это не является мерой ответственности.</w:t>
      </w:r>
    </w:p>
    <w:p w:rsidR="00517711" w:rsidRDefault="00F815BE">
      <w:pPr>
        <w:pStyle w:val="af6"/>
        <w:spacing w:before="0" w:beforeAutospacing="0" w:after="0" w:afterAutospacing="0"/>
        <w:ind w:firstLine="709"/>
        <w:jc w:val="both"/>
        <w:rPr>
          <w:color w:val="000000"/>
          <w:sz w:val="20"/>
        </w:rPr>
      </w:pPr>
      <w:r>
        <w:rPr>
          <w:color w:val="000000"/>
          <w:sz w:val="20"/>
        </w:rPr>
        <w:t>Таким образом, соглашение о создании ТОР – это договор, который имеет ряд неурегулированных вопросов в виду не только своей юридической природы, но и пробелов соответствия действительного содержания соглашений о создании ТОР законодательству РФ.</w:t>
      </w:r>
    </w:p>
    <w:p w:rsidR="00517711" w:rsidRDefault="00F815BE">
      <w:pPr>
        <w:pStyle w:val="af6"/>
        <w:spacing w:before="0" w:beforeAutospacing="0" w:after="0" w:afterAutospacing="0"/>
        <w:ind w:firstLine="709"/>
        <w:jc w:val="both"/>
        <w:rPr>
          <w:color w:val="000000"/>
          <w:sz w:val="20"/>
        </w:rPr>
      </w:pPr>
      <w:r>
        <w:rPr>
          <w:color w:val="000000"/>
          <w:sz w:val="20"/>
        </w:rPr>
        <w:t>Однако, можно отметить тенденцию совершенствования данного инструмента создания ТОР. Поскольку соглашения за 2016 год уже имеют ряд отличий от первых соглашений 2015 года.</w:t>
      </w:r>
    </w:p>
    <w:p w:rsidR="00517711" w:rsidRDefault="00F815BE">
      <w:pPr>
        <w:pStyle w:val="af6"/>
        <w:spacing w:before="0" w:beforeAutospacing="0" w:after="0" w:afterAutospacing="0"/>
        <w:ind w:firstLine="709"/>
        <w:jc w:val="both"/>
        <w:rPr>
          <w:color w:val="000000"/>
          <w:sz w:val="20"/>
        </w:rPr>
      </w:pPr>
      <w:r>
        <w:rPr>
          <w:color w:val="000000"/>
          <w:sz w:val="20"/>
        </w:rPr>
        <w:t>Решение рассмотренных проблем возможно с помощью разработки точной, единой договорной модели соглашения о создании ТОР полностью соответствующей законодательству РФ, которая бы содержала:</w:t>
      </w:r>
    </w:p>
    <w:p w:rsidR="00517711" w:rsidRDefault="00F815BE">
      <w:pPr>
        <w:pStyle w:val="af6"/>
        <w:spacing w:before="0" w:beforeAutospacing="0" w:after="0" w:afterAutospacing="0"/>
        <w:ind w:firstLine="709"/>
        <w:jc w:val="both"/>
        <w:rPr>
          <w:color w:val="000000"/>
          <w:sz w:val="20"/>
        </w:rPr>
      </w:pPr>
      <w:r>
        <w:rPr>
          <w:color w:val="000000"/>
          <w:sz w:val="20"/>
        </w:rPr>
        <w:t>1. Четкое разграничение полномочий ОМСУ, Министерства и Управляющей компании.</w:t>
      </w:r>
    </w:p>
    <w:p w:rsidR="00517711" w:rsidRDefault="00F815BE">
      <w:pPr>
        <w:pStyle w:val="af6"/>
        <w:spacing w:before="0" w:beforeAutospacing="0" w:after="0" w:afterAutospacing="0"/>
        <w:ind w:firstLine="709"/>
        <w:jc w:val="both"/>
        <w:rPr>
          <w:color w:val="000000"/>
          <w:sz w:val="20"/>
        </w:rPr>
      </w:pPr>
      <w:r>
        <w:rPr>
          <w:color w:val="000000"/>
          <w:sz w:val="20"/>
        </w:rPr>
        <w:t>2. Точное указание на ответственность каждого субъекта соглашения.</w:t>
      </w:r>
    </w:p>
    <w:p w:rsidR="00517711" w:rsidRDefault="00F815BE">
      <w:pPr>
        <w:pStyle w:val="af6"/>
        <w:spacing w:before="0" w:beforeAutospacing="0" w:after="0" w:afterAutospacing="0"/>
        <w:ind w:firstLine="709"/>
        <w:jc w:val="both"/>
        <w:rPr>
          <w:color w:val="000000"/>
          <w:sz w:val="20"/>
        </w:rPr>
      </w:pPr>
      <w:r>
        <w:rPr>
          <w:color w:val="000000"/>
          <w:sz w:val="20"/>
        </w:rPr>
        <w:t>Таким образом, модели правового регулирования создания ТОР нуждаются в особом внимании научного сообщества и законодателя и требуют основательной теоретической проработки и приведения в соответствие с законодательством РФ.</w:t>
      </w:r>
    </w:p>
    <w:p w:rsidR="00517711" w:rsidRDefault="00F815BE">
      <w:pPr>
        <w:pStyle w:val="af6"/>
        <w:spacing w:before="0" w:beforeAutospacing="0" w:after="0" w:afterAutospacing="0"/>
        <w:ind w:firstLine="709"/>
        <w:jc w:val="both"/>
        <w:rPr>
          <w:color w:val="000000"/>
          <w:sz w:val="20"/>
        </w:rPr>
      </w:pPr>
      <w:r>
        <w:rPr>
          <w:color w:val="000000"/>
          <w:sz w:val="20"/>
        </w:rPr>
        <w:t>____________________________</w:t>
      </w:r>
    </w:p>
    <w:p w:rsidR="00517711" w:rsidRDefault="00F815BE">
      <w:pPr>
        <w:pStyle w:val="af4"/>
        <w:ind w:left="0" w:firstLine="709"/>
        <w:jc w:val="both"/>
        <w:rPr>
          <w:rFonts w:ascii="Times New Roman" w:hAnsi="Times New Roman"/>
          <w:color w:val="000000"/>
          <w:sz w:val="20"/>
        </w:rPr>
      </w:pPr>
      <w:r>
        <w:rPr>
          <w:rFonts w:ascii="Times New Roman" w:hAnsi="Times New Roman"/>
          <w:color w:val="000000" w:themeColor="text1"/>
          <w:sz w:val="20"/>
        </w:rPr>
        <w:t>1. Бахрах Д. Н. Административное право [Электронный ресурс] / Д. Н. Бахрах. – М.: Эксмо, 2010. – 700с.</w:t>
      </w:r>
    </w:p>
    <w:p w:rsidR="00517711" w:rsidRDefault="00F815BE">
      <w:pPr>
        <w:pStyle w:val="af4"/>
        <w:ind w:left="0" w:firstLine="709"/>
        <w:jc w:val="both"/>
        <w:rPr>
          <w:rFonts w:ascii="Times New Roman" w:hAnsi="Times New Roman"/>
          <w:color w:val="000000"/>
          <w:sz w:val="20"/>
        </w:rPr>
      </w:pPr>
      <w:r>
        <w:rPr>
          <w:rFonts w:ascii="Times New Roman" w:hAnsi="Times New Roman"/>
          <w:color w:val="000000" w:themeColor="text1"/>
          <w:sz w:val="20"/>
        </w:rPr>
        <w:lastRenderedPageBreak/>
        <w:t xml:space="preserve">2. Демин А.В. Обще вопросы теории административного права [Электронный ресурс] / А.В. Демин // Юридический виртуальный клуб: электрон. журнал. – Режим доступа: </w:t>
      </w:r>
      <w:hyperlink r:id="rId165" w:history="1">
        <w:r>
          <w:rPr>
            <w:rStyle w:val="aa"/>
            <w:rFonts w:ascii="Times New Roman" w:hAnsi="Times New Roman"/>
            <w:color w:val="000000" w:themeColor="text1"/>
            <w:sz w:val="20"/>
          </w:rPr>
          <w:t>http://ex-jure.ru/law/news.php?newsid=936</w:t>
        </w:r>
      </w:hyperlink>
      <w:r>
        <w:rPr>
          <w:rFonts w:ascii="Times New Roman" w:hAnsi="Times New Roman"/>
          <w:color w:val="000000" w:themeColor="text1"/>
          <w:sz w:val="20"/>
        </w:rPr>
        <w:t xml:space="preserve">  </w:t>
      </w:r>
    </w:p>
    <w:p w:rsidR="00517711" w:rsidRDefault="00F815BE">
      <w:pPr>
        <w:pStyle w:val="af4"/>
        <w:ind w:left="0" w:firstLine="709"/>
        <w:jc w:val="both"/>
        <w:rPr>
          <w:rFonts w:ascii="Times New Roman" w:hAnsi="Times New Roman"/>
          <w:color w:val="000000"/>
          <w:sz w:val="20"/>
        </w:rPr>
      </w:pPr>
      <w:r>
        <w:rPr>
          <w:rFonts w:ascii="Times New Roman" w:hAnsi="Times New Roman"/>
          <w:color w:val="000000" w:themeColor="text1"/>
          <w:sz w:val="20"/>
        </w:rPr>
        <w:t xml:space="preserve">3. Завьялова И.С. Административный договор в системе организации государственно-управленческой деятельности Российской Федерации [Электронный ресурс] / И. С. Завьялова, С. Н. Махина // Территория науки: науч. электор. журнал. – 2014 – №1. – Режим доступа: </w:t>
      </w:r>
      <w:hyperlink r:id="rId166" w:history="1">
        <w:r>
          <w:rPr>
            <w:rStyle w:val="aa"/>
            <w:rFonts w:ascii="Times New Roman" w:hAnsi="Times New Roman"/>
            <w:color w:val="000000" w:themeColor="text1"/>
            <w:sz w:val="20"/>
          </w:rPr>
          <w:t>https://cyberleninka.ru/article/n/administrativnyy-dogovor-v-sisteme-organizatsii-gosudarstvenno-upravlencheskoy-deyatelnosti-rossiyskoy-federatsii</w:t>
        </w:r>
      </w:hyperlink>
    </w:p>
    <w:p w:rsidR="00517711" w:rsidRDefault="00F815BE">
      <w:pPr>
        <w:pStyle w:val="af4"/>
        <w:ind w:left="0" w:firstLine="709"/>
        <w:jc w:val="both"/>
        <w:rPr>
          <w:rFonts w:ascii="Times New Roman" w:hAnsi="Times New Roman"/>
          <w:color w:val="000000"/>
          <w:sz w:val="20"/>
        </w:rPr>
      </w:pPr>
      <w:r>
        <w:rPr>
          <w:rFonts w:ascii="Times New Roman" w:hAnsi="Times New Roman"/>
          <w:color w:val="000000" w:themeColor="text1"/>
          <w:sz w:val="20"/>
        </w:rPr>
        <w:t xml:space="preserve">4. Коренев А.П.   Административные договоры: понятие и виды [Электронный ресурс]  / А.П.   Коренев, А.А. Абдурахманов // Сейчас.ру: официал. сайт. – Режим доступа: </w:t>
      </w:r>
      <w:hyperlink r:id="rId167" w:history="1">
        <w:r>
          <w:rPr>
            <w:rStyle w:val="aa"/>
            <w:rFonts w:ascii="Times New Roman" w:hAnsi="Times New Roman"/>
            <w:color w:val="000000" w:themeColor="text1"/>
            <w:sz w:val="20"/>
          </w:rPr>
          <w:t>https://www.lawmix.ru/comm/7944</w:t>
        </w:r>
      </w:hyperlink>
    </w:p>
    <w:p w:rsidR="00517711" w:rsidRDefault="00F815BE">
      <w:pPr>
        <w:pStyle w:val="af4"/>
        <w:ind w:left="0" w:firstLine="709"/>
        <w:jc w:val="both"/>
        <w:rPr>
          <w:rFonts w:ascii="Times New Roman" w:hAnsi="Times New Roman"/>
          <w:color w:val="000000"/>
          <w:sz w:val="20"/>
        </w:rPr>
      </w:pPr>
      <w:r>
        <w:rPr>
          <w:rFonts w:ascii="Times New Roman" w:hAnsi="Times New Roman"/>
          <w:color w:val="000000" w:themeColor="text1"/>
          <w:sz w:val="20"/>
        </w:rPr>
        <w:t xml:space="preserve">5. Налоговый кодекс Российской Федерации. Часть вторая от 05.08.2000 г. № 117-ФЗ (ред. от 01.10.2017) [Электронный ресурс] // СПС «Консультант Плюс». – Режим доступа: </w:t>
      </w:r>
      <w:hyperlink r:id="rId168" w:history="1">
        <w:r>
          <w:rPr>
            <w:rStyle w:val="aa"/>
            <w:rFonts w:ascii="Times New Roman" w:hAnsi="Times New Roman"/>
            <w:color w:val="000000" w:themeColor="text1"/>
            <w:sz w:val="20"/>
          </w:rPr>
          <w:t>http://www.consultant.ru/document/cons_doc_LAW_28165/</w:t>
        </w:r>
      </w:hyperlink>
    </w:p>
    <w:p w:rsidR="00517711" w:rsidRDefault="00F815BE">
      <w:pPr>
        <w:pStyle w:val="af4"/>
        <w:ind w:left="0" w:firstLine="709"/>
        <w:jc w:val="both"/>
        <w:rPr>
          <w:rFonts w:ascii="Times New Roman" w:hAnsi="Times New Roman"/>
          <w:bCs/>
          <w:color w:val="000000"/>
          <w:sz w:val="20"/>
        </w:rPr>
      </w:pPr>
      <w:r>
        <w:rPr>
          <w:rFonts w:ascii="Times New Roman" w:hAnsi="Times New Roman"/>
          <w:bCs/>
          <w:color w:val="000000" w:themeColor="text1"/>
          <w:sz w:val="20"/>
        </w:rPr>
        <w:t>6.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Федеральный закон от 22.08.2004 № 122-ФЗ (последняя редакция) [Электронный ресурс] // СПС «Консультант Плюс». – Режим доступа:</w:t>
      </w:r>
      <w:r>
        <w:rPr>
          <w:rFonts w:ascii="Times New Roman" w:hAnsi="Times New Roman"/>
          <w:color w:val="000000" w:themeColor="text1"/>
          <w:sz w:val="20"/>
        </w:rPr>
        <w:t xml:space="preserve"> </w:t>
      </w:r>
      <w:hyperlink r:id="rId169" w:history="1">
        <w:r>
          <w:rPr>
            <w:rStyle w:val="aa"/>
            <w:rFonts w:ascii="Times New Roman" w:hAnsi="Times New Roman"/>
            <w:bCs/>
            <w:color w:val="000000" w:themeColor="text1"/>
            <w:sz w:val="20"/>
          </w:rPr>
          <w:t>http://www.consultant.ru/document/cons_doc_LAW_49025/</w:t>
        </w:r>
      </w:hyperlink>
      <w:r>
        <w:rPr>
          <w:rFonts w:ascii="Times New Roman" w:hAnsi="Times New Roman"/>
          <w:bCs/>
          <w:color w:val="000000" w:themeColor="text1"/>
          <w:sz w:val="20"/>
        </w:rPr>
        <w:t xml:space="preserve">  </w:t>
      </w:r>
    </w:p>
    <w:p w:rsidR="00517711" w:rsidRDefault="00F815BE">
      <w:pPr>
        <w:pStyle w:val="af4"/>
        <w:ind w:left="0" w:firstLine="709"/>
        <w:jc w:val="both"/>
        <w:rPr>
          <w:rFonts w:ascii="Times New Roman" w:hAnsi="Times New Roman"/>
          <w:color w:val="000000"/>
          <w:sz w:val="20"/>
        </w:rPr>
      </w:pPr>
      <w:r>
        <w:rPr>
          <w:rFonts w:ascii="Times New Roman" w:hAnsi="Times New Roman"/>
          <w:color w:val="000000" w:themeColor="text1"/>
          <w:sz w:val="20"/>
        </w:rPr>
        <w:t xml:space="preserve">7. О территориях опережающего социально-экономического развития в Российской Федерации: Федеральный закон от 29.12.2014 № 473-ФЗ (ред. от 29.12.2017) [Электронный ресурс] // СПС «КонсультантПлюс». – Режим доступа: </w:t>
      </w:r>
      <w:hyperlink r:id="rId170" w:history="1">
        <w:r>
          <w:rPr>
            <w:rStyle w:val="aa"/>
            <w:rFonts w:ascii="Times New Roman" w:hAnsi="Times New Roman"/>
            <w:color w:val="000000" w:themeColor="text1"/>
            <w:sz w:val="20"/>
          </w:rPr>
          <w:t>http://www.consultant.ru/document/cons_doc_LAW_172962/</w:t>
        </w:r>
      </w:hyperlink>
      <w:r>
        <w:rPr>
          <w:rFonts w:ascii="Times New Roman" w:hAnsi="Times New Roman"/>
          <w:color w:val="000000" w:themeColor="text1"/>
          <w:sz w:val="20"/>
        </w:rPr>
        <w:t xml:space="preserve">   </w:t>
      </w:r>
    </w:p>
    <w:p w:rsidR="00517711" w:rsidRDefault="00F815BE">
      <w:pPr>
        <w:pStyle w:val="af4"/>
        <w:ind w:left="0" w:firstLine="709"/>
        <w:jc w:val="both"/>
        <w:rPr>
          <w:rFonts w:ascii="Times New Roman" w:hAnsi="Times New Roman"/>
          <w:color w:val="000000"/>
          <w:sz w:val="20"/>
        </w:rPr>
      </w:pPr>
      <w:r>
        <w:rPr>
          <w:rFonts w:ascii="Times New Roman" w:hAnsi="Times New Roman"/>
          <w:bCs/>
          <w:color w:val="000000" w:themeColor="text1"/>
          <w:sz w:val="20"/>
        </w:rPr>
        <w:t>8.</w:t>
      </w:r>
      <w:r>
        <w:rPr>
          <w:rFonts w:ascii="Times New Roman" w:hAnsi="Times New Roman"/>
          <w:color w:val="000000" w:themeColor="text1"/>
          <w:sz w:val="20"/>
        </w:rPr>
        <w:t xml:space="preserve"> Соглашение  о создании территории опережающего социально-экономического развития «Большой Камень» (дата посещения 15.01.2018) [Электронный ресурс]. – Режим доступа:  </w:t>
      </w:r>
      <w:hyperlink r:id="rId171" w:history="1">
        <w:r>
          <w:rPr>
            <w:rStyle w:val="aa"/>
            <w:rFonts w:ascii="Times New Roman" w:hAnsi="Times New Roman"/>
            <w:color w:val="000000" w:themeColor="text1"/>
            <w:sz w:val="20"/>
          </w:rPr>
          <w:t>http://www.bk.pk.ru/about/municipalprog/arkhitektur%D0%B0/</w:t>
        </w:r>
      </w:hyperlink>
      <w:r>
        <w:rPr>
          <w:rFonts w:ascii="Times New Roman" w:hAnsi="Times New Roman"/>
          <w:color w:val="000000" w:themeColor="text1"/>
          <w:sz w:val="20"/>
        </w:rPr>
        <w:t xml:space="preserve">  </w:t>
      </w:r>
    </w:p>
    <w:p w:rsidR="00517711" w:rsidRDefault="00F815BE">
      <w:pPr>
        <w:pStyle w:val="af4"/>
        <w:ind w:left="0" w:firstLine="709"/>
        <w:jc w:val="both"/>
        <w:rPr>
          <w:rFonts w:ascii="Times New Roman" w:hAnsi="Times New Roman"/>
          <w:color w:val="000000"/>
          <w:sz w:val="20"/>
        </w:rPr>
      </w:pPr>
      <w:r>
        <w:rPr>
          <w:rFonts w:ascii="Times New Roman" w:hAnsi="Times New Roman"/>
          <w:bCs/>
          <w:color w:val="000000" w:themeColor="text1"/>
          <w:sz w:val="20"/>
        </w:rPr>
        <w:t>9.</w:t>
      </w:r>
      <w:r>
        <w:rPr>
          <w:rFonts w:ascii="Times New Roman" w:hAnsi="Times New Roman"/>
          <w:color w:val="000000" w:themeColor="text1"/>
          <w:sz w:val="20"/>
        </w:rPr>
        <w:t xml:space="preserve"> Соглашение  о создании территории опережающего социально-экономического развития «Михайловкий» (дата посещения 11.01.2018) [Электронный ресурс]. – Режим доступа:  </w:t>
      </w:r>
      <w:hyperlink r:id="rId172" w:history="1">
        <w:r>
          <w:rPr>
            <w:rStyle w:val="aa"/>
            <w:rFonts w:ascii="Times New Roman" w:hAnsi="Times New Roman"/>
            <w:color w:val="000000" w:themeColor="text1"/>
            <w:sz w:val="20"/>
          </w:rPr>
          <w:t>https://www.mikhprim.ru/</w:t>
        </w:r>
      </w:hyperlink>
      <w:r>
        <w:rPr>
          <w:rFonts w:ascii="Times New Roman" w:hAnsi="Times New Roman"/>
          <w:color w:val="000000" w:themeColor="text1"/>
          <w:sz w:val="20"/>
        </w:rPr>
        <w:t xml:space="preserve"> </w:t>
      </w:r>
    </w:p>
    <w:p w:rsidR="00517711" w:rsidRDefault="00F815BE">
      <w:pPr>
        <w:pStyle w:val="af4"/>
        <w:spacing w:after="0"/>
        <w:ind w:left="0" w:firstLine="709"/>
        <w:jc w:val="both"/>
        <w:rPr>
          <w:rFonts w:ascii="Times New Roman" w:hAnsi="Times New Roman"/>
          <w:color w:val="000000"/>
          <w:sz w:val="20"/>
        </w:rPr>
      </w:pPr>
      <w:r>
        <w:rPr>
          <w:rFonts w:ascii="Times New Roman" w:hAnsi="Times New Roman"/>
          <w:color w:val="000000" w:themeColor="text1"/>
          <w:sz w:val="20"/>
        </w:rPr>
        <w:t xml:space="preserve">10. Соглашение о создании территории опережающего социально-экономического развития «Надежденская» (дата посещения 12.01.2018) [Электронный ресурс]. – Режим доступа: </w:t>
      </w:r>
      <w:hyperlink r:id="rId173" w:history="1">
        <w:r>
          <w:rPr>
            <w:rStyle w:val="aa"/>
            <w:rFonts w:ascii="Times New Roman" w:hAnsi="Times New Roman"/>
            <w:color w:val="000000" w:themeColor="text1"/>
            <w:sz w:val="20"/>
          </w:rPr>
          <w:t>http://www.nadezhdinsky.ru/</w:t>
        </w:r>
      </w:hyperlink>
      <w:r>
        <w:rPr>
          <w:rFonts w:ascii="Times New Roman" w:hAnsi="Times New Roman"/>
          <w:color w:val="000000" w:themeColor="text1"/>
          <w:sz w:val="20"/>
        </w:rPr>
        <w:t xml:space="preserve"> </w:t>
      </w:r>
    </w:p>
    <w:p w:rsidR="00517711" w:rsidRDefault="00F815BE">
      <w:pPr>
        <w:spacing w:after="0" w:line="240" w:lineRule="auto"/>
        <w:ind w:firstLine="709"/>
        <w:jc w:val="both"/>
        <w:rPr>
          <w:rFonts w:ascii="Times New Roman" w:hAnsi="Times New Roman" w:cs="Times New Roman"/>
          <w:sz w:val="20"/>
          <w:szCs w:val="24"/>
        </w:rPr>
      </w:pPr>
      <w:r>
        <w:rPr>
          <w:rFonts w:ascii="Times New Roman" w:hAnsi="Times New Roman" w:cs="Times New Roman"/>
          <w:sz w:val="20"/>
          <w:szCs w:val="24"/>
        </w:rPr>
        <w:t>11. Горян Э.В., Горян К.В. Формирование российской концепции экологического права: реакция на вызовы современности // Административное и муниципальное право. - 2017. - № 10. - С.24-40.</w:t>
      </w:r>
    </w:p>
    <w:p w:rsidR="00517711" w:rsidRDefault="00F815BE">
      <w:pPr>
        <w:spacing w:after="0" w:line="240" w:lineRule="auto"/>
        <w:ind w:firstLine="709"/>
        <w:jc w:val="both"/>
        <w:rPr>
          <w:rFonts w:ascii="Times New Roman" w:hAnsi="Times New Roman" w:cs="Times New Roman"/>
          <w:sz w:val="20"/>
          <w:szCs w:val="24"/>
        </w:rPr>
      </w:pPr>
      <w:r>
        <w:rPr>
          <w:rFonts w:ascii="Times New Roman" w:hAnsi="Times New Roman" w:cs="Times New Roman"/>
          <w:sz w:val="20"/>
          <w:szCs w:val="24"/>
        </w:rPr>
        <w:t>12. Козлова Н. А. Контабанда объектов СИТЕС на Дальнем Востоке / Н. А. Козлова // Вестник Россий-ской таможенной академии. – 2015. – № 3. – С. 172-177.</w:t>
      </w: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Юридические науки</w:t>
      </w:r>
    </w:p>
    <w:p w:rsidR="00517711" w:rsidRDefault="00F815BE">
      <w:pPr>
        <w:spacing w:after="0" w:line="240" w:lineRule="auto"/>
        <w:jc w:val="both"/>
        <w:rPr>
          <w:rFonts w:ascii="Times New Roman" w:eastAsia="Calibri" w:hAnsi="Times New Roman"/>
          <w:sz w:val="20"/>
          <w:szCs w:val="20"/>
        </w:rPr>
      </w:pPr>
      <w:r>
        <w:rPr>
          <w:rFonts w:ascii="Times New Roman" w:eastAsia="Calibri" w:hAnsi="Times New Roman"/>
          <w:sz w:val="20"/>
          <w:szCs w:val="20"/>
        </w:rPr>
        <w:t>УДК 342.9</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Соглашения с резидентами особых экономических зон и с резидентами СПВ: сравнительный анализ.</w:t>
      </w:r>
    </w:p>
    <w:p w:rsidR="00517711" w:rsidRDefault="00F815BE">
      <w:pPr>
        <w:widowControl w:val="0"/>
        <w:shd w:val="clear" w:color="auto" w:fill="FFFFFF"/>
        <w:contextualSpacing/>
        <w:jc w:val="center"/>
        <w:rPr>
          <w:rFonts w:ascii="Arial" w:eastAsia="Calibri" w:hAnsi="Arial"/>
          <w:b/>
          <w:bCs/>
          <w:sz w:val="24"/>
          <w:szCs w:val="20"/>
          <w:lang w:eastAsia="ru-RU"/>
        </w:rPr>
      </w:pPr>
      <w:r>
        <w:rPr>
          <w:rFonts w:ascii="Arial" w:eastAsia="Calibri" w:hAnsi="Arial"/>
          <w:b/>
          <w:bCs/>
          <w:sz w:val="24"/>
          <w:szCs w:val="20"/>
          <w:lang w:eastAsia="ru-RU"/>
        </w:rPr>
        <w:t>Глотов Алексей Витальевич,</w:t>
      </w:r>
    </w:p>
    <w:p w:rsidR="00517711" w:rsidRDefault="00F815BE">
      <w:pPr>
        <w:widowControl w:val="0"/>
        <w:contextualSpacing/>
        <w:jc w:val="center"/>
        <w:rPr>
          <w:rFonts w:ascii="Arial" w:eastAsia="Calibri" w:hAnsi="Arial"/>
          <w:bCs/>
          <w:sz w:val="24"/>
          <w:szCs w:val="20"/>
          <w:lang w:eastAsia="ru-RU"/>
        </w:rPr>
      </w:pPr>
      <w:r>
        <w:rPr>
          <w:rFonts w:ascii="Arial" w:eastAsia="Calibri" w:hAnsi="Arial"/>
          <w:bCs/>
          <w:sz w:val="24"/>
          <w:szCs w:val="20"/>
          <w:lang w:eastAsia="ru-RU"/>
        </w:rPr>
        <w:t>бакалавр</w:t>
      </w:r>
    </w:p>
    <w:p w:rsidR="00517711" w:rsidRDefault="00F815BE">
      <w:pPr>
        <w:spacing w:before="240"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widowControl w:val="0"/>
        <w:shd w:val="clear" w:color="auto" w:fill="FFFFFF"/>
        <w:spacing w:after="0"/>
        <w:ind w:firstLine="567"/>
        <w:contextualSpacing/>
        <w:jc w:val="center"/>
        <w:rPr>
          <w:rFonts w:ascii="Times New Roman" w:hAnsi="Times New Roman"/>
          <w:sz w:val="20"/>
        </w:rPr>
      </w:pPr>
      <w:r>
        <w:rPr>
          <w:rFonts w:ascii="Times New Roman" w:hAnsi="Times New Roman"/>
          <w:sz w:val="20"/>
          <w:lang w:eastAsia="ru-RU"/>
        </w:rPr>
        <w:t>E-mail: alexeygv97@mail.ru; тел.: 89020533275</w:t>
      </w:r>
    </w:p>
    <w:p w:rsidR="00517711" w:rsidRDefault="00F815BE">
      <w:pPr>
        <w:widowControl w:val="0"/>
        <w:shd w:val="clear" w:color="auto" w:fill="FFFFFF"/>
        <w:spacing w:line="480" w:lineRule="auto"/>
        <w:ind w:firstLine="567"/>
        <w:contextualSpacing/>
        <w:jc w:val="center"/>
        <w:rPr>
          <w:sz w:val="18"/>
        </w:rPr>
      </w:pPr>
      <w:r>
        <w:rPr>
          <w:rFonts w:ascii="Times New Roman" w:hAnsi="Times New Roman"/>
          <w:sz w:val="20"/>
          <w:lang w:eastAsia="ru-RU"/>
        </w:rPr>
        <w:t>ул. Гоголя, 41, г. Владивосток, Приморский край, Россия, 690014</w:t>
      </w:r>
    </w:p>
    <w:p w:rsidR="00517711" w:rsidRDefault="00F815BE">
      <w:pPr>
        <w:widowControl w:val="0"/>
        <w:shd w:val="clear" w:color="auto" w:fill="FFFFFF"/>
        <w:spacing w:after="0" w:line="240" w:lineRule="auto"/>
        <w:ind w:firstLine="567"/>
        <w:contextualSpacing/>
        <w:jc w:val="both"/>
        <w:rPr>
          <w:rFonts w:ascii="Times New Roman" w:hAnsi="Times New Roman"/>
          <w:sz w:val="20"/>
        </w:rPr>
      </w:pPr>
      <w:r>
        <w:rPr>
          <w:rFonts w:ascii="Times New Roman" w:hAnsi="Times New Roman"/>
          <w:i/>
          <w:lang w:eastAsia="ru-RU"/>
        </w:rPr>
        <w:t xml:space="preserve">Статья посвящена сравнительному анализу соглашения с резидентами особых экономических зон и с резидентами свободный порт Владивосток. Соглашения с резидентами ОЭЗ и СПВ являются </w:t>
      </w:r>
      <w:r>
        <w:rPr>
          <w:rFonts w:ascii="Times New Roman" w:hAnsi="Times New Roman"/>
          <w:i/>
          <w:lang w:eastAsia="ru-RU"/>
        </w:rPr>
        <w:lastRenderedPageBreak/>
        <w:t>важным процедурным этапом в приобретении статуса резидента. В работе устанавливается правовая природа исследуемых соглашений и проводится сравнительный анализ между ними.</w:t>
      </w:r>
      <w:r>
        <w:rPr>
          <w:rFonts w:ascii="Times New Roman" w:hAnsi="Times New Roman"/>
          <w:i/>
          <w:sz w:val="20"/>
          <w:lang w:eastAsia="ru-RU"/>
        </w:rPr>
        <w:t xml:space="preserve"> </w:t>
      </w:r>
    </w:p>
    <w:p w:rsidR="00517711" w:rsidRDefault="00F815BE">
      <w:pPr>
        <w:widowControl w:val="0"/>
        <w:shd w:val="clear" w:color="auto" w:fill="FFFFFF"/>
        <w:ind w:firstLine="567"/>
        <w:contextualSpacing/>
        <w:jc w:val="both"/>
        <w:rPr>
          <w:rFonts w:ascii="Times New Roman" w:hAnsi="Times New Roman"/>
        </w:rPr>
      </w:pPr>
      <w:r>
        <w:rPr>
          <w:rFonts w:ascii="Times New Roman" w:hAnsi="Times New Roman"/>
          <w:b/>
          <w:i/>
          <w:lang w:eastAsia="ru-RU"/>
        </w:rPr>
        <w:t>Ключевые слова и словосочетания</w:t>
      </w:r>
      <w:r>
        <w:rPr>
          <w:rFonts w:ascii="Times New Roman" w:hAnsi="Times New Roman"/>
          <w:i/>
          <w:lang w:eastAsia="ru-RU"/>
        </w:rPr>
        <w:t>: соглашения с резидентами свободный порт Владивосток, соглашения с резидентами особых экономических зон, правовая природа исследуемых соглашений, критерии сравнения, сравнительный анализ.</w:t>
      </w:r>
    </w:p>
    <w:p w:rsidR="00517711" w:rsidRDefault="00F815BE">
      <w:pPr>
        <w:keepNext/>
        <w:spacing w:before="240" w:after="240" w:line="240" w:lineRule="auto"/>
        <w:jc w:val="center"/>
        <w:outlineLvl w:val="0"/>
        <w:rPr>
          <w:rFonts w:ascii="Book Antiqua" w:hAnsi="Book Antiqua"/>
          <w:b/>
          <w:bCs/>
          <w:caps/>
          <w:sz w:val="26"/>
          <w:szCs w:val="26"/>
          <w:lang w:val="en-US"/>
        </w:rPr>
      </w:pPr>
      <w:r>
        <w:rPr>
          <w:rFonts w:ascii="Book Antiqua" w:hAnsi="Book Antiqua"/>
          <w:b/>
          <w:bCs/>
          <w:caps/>
          <w:sz w:val="26"/>
          <w:szCs w:val="26"/>
          <w:lang w:val="en-US"/>
        </w:rPr>
        <w:t>Agreements with residents of special economic zones and with residents of FPV: a comparative analysis.</w:t>
      </w:r>
    </w:p>
    <w:p w:rsidR="00517711" w:rsidRDefault="00F815BE">
      <w:pPr>
        <w:widowControl w:val="0"/>
        <w:shd w:val="clear" w:color="auto" w:fill="FFFFFF"/>
        <w:ind w:firstLine="709"/>
        <w:contextualSpacing/>
        <w:jc w:val="both"/>
        <w:rPr>
          <w:rFonts w:ascii="Times New Roman" w:hAnsi="Times New Roman"/>
          <w:lang w:val="en-US"/>
        </w:rPr>
      </w:pPr>
      <w:r>
        <w:rPr>
          <w:rFonts w:ascii="Times New Roman" w:hAnsi="Times New Roman"/>
          <w:i/>
          <w:lang w:val="en-US" w:eastAsia="ru-RU"/>
        </w:rPr>
        <w:t>The article is devoted to the comparative analysis of the agreement with residents of special economic zones and residents of Vladivostok free port. Agreements with SEZ and FPV residents are an important procedural stage in the acquisition of resident status. The work establishes the legal nature of the research agreements. A comparative analysis is also carried out in this work.</w:t>
      </w:r>
    </w:p>
    <w:p w:rsidR="00517711" w:rsidRDefault="00F815BE">
      <w:pPr>
        <w:widowControl w:val="0"/>
        <w:shd w:val="clear" w:color="auto" w:fill="FFFFFF"/>
        <w:spacing w:after="0"/>
        <w:ind w:firstLine="709"/>
        <w:contextualSpacing/>
        <w:jc w:val="both"/>
        <w:rPr>
          <w:rFonts w:ascii="Times New Roman" w:hAnsi="Times New Roman"/>
          <w:i/>
          <w:lang w:val="en-US" w:eastAsia="ru-RU"/>
        </w:rPr>
      </w:pPr>
      <w:r>
        <w:rPr>
          <w:rFonts w:ascii="Times New Roman" w:hAnsi="Times New Roman"/>
          <w:b/>
          <w:i/>
          <w:lang w:val="en-US" w:eastAsia="ru-RU"/>
        </w:rPr>
        <w:t>Key words and phrases:</w:t>
      </w:r>
      <w:r>
        <w:rPr>
          <w:rFonts w:ascii="Times New Roman" w:hAnsi="Times New Roman"/>
          <w:i/>
          <w:lang w:val="en-US" w:eastAsia="ru-RU"/>
        </w:rPr>
        <w:t xml:space="preserve"> agreements with residents Vladivostok free port, agreements with residents of special economic zones, legal nature of the agreements under study, comparison criteria, comparative analysis.</w:t>
      </w:r>
    </w:p>
    <w:p w:rsidR="00517711" w:rsidRDefault="00517711">
      <w:pPr>
        <w:widowControl w:val="0"/>
        <w:shd w:val="clear" w:color="auto" w:fill="FFFFFF"/>
        <w:spacing w:after="0"/>
        <w:ind w:firstLine="709"/>
        <w:contextualSpacing/>
        <w:jc w:val="both"/>
        <w:rPr>
          <w:rFonts w:ascii="Times New Roman" w:hAnsi="Times New Roman"/>
          <w:sz w:val="20"/>
          <w:lang w:val="en-US"/>
        </w:rPr>
      </w:pPr>
    </w:p>
    <w:p w:rsidR="00517711" w:rsidRDefault="00F815BE">
      <w:pPr>
        <w:pStyle w:val="aff8"/>
        <w:ind w:firstLine="709"/>
        <w:jc w:val="both"/>
        <w:rPr>
          <w:rFonts w:cs="Times New Roman"/>
          <w:sz w:val="20"/>
          <w:szCs w:val="20"/>
        </w:rPr>
      </w:pPr>
      <w:r>
        <w:rPr>
          <w:rFonts w:ascii="Times New Roman" w:eastAsia="Times New Roman" w:cs="Times New Roman"/>
          <w:sz w:val="20"/>
          <w:szCs w:val="20"/>
        </w:rPr>
        <w:t>Актуальность данной работы обусловлена тем, что соглашение об осуществлении деятельности на территории свободный порт Владивосток представляет собой необходимый и важный механизм регулирования отношений между субъектами данной территории. Отсюда вытекает и необходимость изучения юридической природы данного соглашения, что позволит нам выяснить массив каких норм применяется к общественным отношениям, вытекающих из данного соглашения в случаях, которые данное соглашение не затрагивает. Этот вопрос имеет особое значение для функционирования территории свободный порт Владивосток и определяет научную новизну данной работы.</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Целью работы является проведение сравнительного анализа юридической природы соглашений об осуществлении деятельности на территории свободный порт Владивосток и соглашений с резидентами особых экономических зон. Поставленная в работе цель определила необходимость решения следующих задач: изучение юридической природы соглашений с резидентами ОЭЗ и с резидентами СПВ – определение отраслевой принадлежности исследуемых соглашений и критериев их сравнения; непосредственное сравнение исследуемых соглашений.</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В данной работе использовались методы: анализа, аналогии, сравнения.</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Прежде всего, нам необходимо установить, какое место занимают соглашения с резидентами СПВ в процедурах приобретения статуса резидента СПВ и что они из себя представляют.</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Соглашение об осуществлении деятельности на территории свободный порт Владивосток в общем виде представляет собой договор, в силу которого одна сторона – резидент СПВ обязуется в течение срока действия данного соглашения осуществлять деятельность, предусмотренную данным соглашением, а другая сторона – управляющая компания, обязуется осуществлять полномочия, предусмотренные Федеральным законом «О свободном порте Владивосток» от 13.07.2015 № 212-ФЗ (далее – ФЗ «О СПВ»).</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 xml:space="preserve">Размышляя о месте соглашения с резидентами СПВ в процедуре приобретения статуса резидента СПВ, следует обратиться к положениям вышеуказанного закона. Статья 10 ФЗ «О СПВ» регламентирует общие условия деятельности резидентов свободного порта Владивосток. Так, данная статья указывает, что одним из условий приобретения статуса резидента СПВ является заключение соглашения об осуществлении деятельности на данной территории </w:t>
      </w:r>
      <w:r>
        <w:rPr>
          <w:rFonts w:ascii="Times New Roman" w:eastAsia="Times New Roman" w:cs="Times New Roman"/>
          <w:sz w:val="20"/>
          <w:szCs w:val="20"/>
          <w:lang w:val="pt-PT"/>
        </w:rPr>
        <w:t>[</w:t>
      </w:r>
      <w:r>
        <w:rPr>
          <w:rFonts w:ascii="Times New Roman" w:eastAsia="Times New Roman" w:cs="Times New Roman"/>
          <w:sz w:val="20"/>
          <w:szCs w:val="20"/>
        </w:rPr>
        <w:t>8</w:t>
      </w:r>
      <w:r>
        <w:rPr>
          <w:rFonts w:ascii="Times New Roman" w:eastAsia="Times New Roman" w:cs="Times New Roman"/>
          <w:sz w:val="20"/>
          <w:szCs w:val="20"/>
          <w:lang w:val="pt-PT"/>
        </w:rPr>
        <w:t xml:space="preserve">, </w:t>
      </w:r>
      <w:r>
        <w:rPr>
          <w:rFonts w:ascii="Times New Roman" w:eastAsia="Times New Roman" w:cs="Times New Roman"/>
          <w:sz w:val="20"/>
          <w:szCs w:val="20"/>
        </w:rPr>
        <w:t>ст</w:t>
      </w:r>
      <w:r>
        <w:rPr>
          <w:rFonts w:ascii="Times New Roman" w:eastAsia="Times New Roman" w:cs="Times New Roman"/>
          <w:sz w:val="20"/>
          <w:szCs w:val="20"/>
          <w:lang w:val="pt-PT"/>
        </w:rPr>
        <w:t>. 10].</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В рамках нашего исследования особый интерес вызывает правовая природа сравниваемых нами соглашений с резидентами особых экономических зон и с резидентами свободного порта Владивосток. Юридическая природа данных соглашений будет объяснять, характер какой правовой отрасли носят данные соглашения. Одна группа ученых считает, что они носят публично-правовой характер, другая считает, что частноправовой.</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Аргументы исследователей, усматривающих в такого рода соглашениях публично-правовой характер, заключаются в следующем:</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1) резидент ОЭЗ может осуществлять только те виды деятельности, которые предусмотрены соответствующим Федеральным законом;</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2) орган управления ОЭЗ имеет предоставленную законом возможность на отказ инвестору в заключении такого соглашения, при отсутствии условий, необходимых для реализации инвесторского проекта;</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 xml:space="preserve">3) закон императивно устанавливает объём и сроки инвестиций </w:t>
      </w:r>
      <w:r>
        <w:rPr>
          <w:rFonts w:ascii="Times New Roman" w:eastAsia="Times New Roman" w:cs="Times New Roman"/>
          <w:sz w:val="20"/>
          <w:szCs w:val="20"/>
          <w:lang w:val="pt-PT"/>
        </w:rPr>
        <w:t>[</w:t>
      </w:r>
      <w:r>
        <w:rPr>
          <w:rFonts w:ascii="Times New Roman" w:eastAsia="Times New Roman" w:cs="Times New Roman"/>
          <w:sz w:val="20"/>
          <w:szCs w:val="20"/>
        </w:rPr>
        <w:t>1</w:t>
      </w:r>
      <w:r>
        <w:rPr>
          <w:rFonts w:ascii="Times New Roman" w:eastAsia="Times New Roman" w:cs="Times New Roman"/>
          <w:sz w:val="20"/>
          <w:szCs w:val="20"/>
          <w:lang w:val="pt-PT"/>
        </w:rPr>
        <w:t xml:space="preserve">, </w:t>
      </w:r>
      <w:r>
        <w:rPr>
          <w:rFonts w:ascii="Times New Roman" w:eastAsia="Times New Roman" w:cs="Times New Roman"/>
          <w:sz w:val="20"/>
          <w:szCs w:val="20"/>
        </w:rPr>
        <w:t>с</w:t>
      </w:r>
      <w:r>
        <w:rPr>
          <w:rFonts w:ascii="Times New Roman" w:eastAsia="Times New Roman" w:cs="Times New Roman"/>
          <w:sz w:val="20"/>
          <w:szCs w:val="20"/>
          <w:lang w:val="pt-PT"/>
        </w:rPr>
        <w:t>. 243].</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 xml:space="preserve">В качестве еще одного аргумента можно привести зависимость срока соглашения от действия самой ОЭЗ, предусмотренной ст. 16 ФЗ «Об ОЭЗ» </w:t>
      </w:r>
      <w:r>
        <w:rPr>
          <w:rFonts w:ascii="Times New Roman" w:eastAsia="Times New Roman" w:cs="Times New Roman"/>
          <w:sz w:val="20"/>
          <w:szCs w:val="20"/>
          <w:lang w:val="pt-PT"/>
        </w:rPr>
        <w:t xml:space="preserve">[6, </w:t>
      </w:r>
      <w:r>
        <w:rPr>
          <w:rFonts w:ascii="Times New Roman" w:eastAsia="Times New Roman" w:cs="Times New Roman"/>
          <w:sz w:val="20"/>
          <w:szCs w:val="20"/>
        </w:rPr>
        <w:t>ст</w:t>
      </w:r>
      <w:r>
        <w:rPr>
          <w:rFonts w:ascii="Times New Roman" w:eastAsia="Times New Roman" w:cs="Times New Roman"/>
          <w:sz w:val="20"/>
          <w:szCs w:val="20"/>
          <w:lang w:val="pt-PT"/>
        </w:rPr>
        <w:t xml:space="preserve">. 16]. </w:t>
      </w:r>
      <w:r>
        <w:rPr>
          <w:rFonts w:ascii="Times New Roman" w:eastAsia="Times New Roman" w:cs="Times New Roman"/>
          <w:sz w:val="20"/>
          <w:szCs w:val="20"/>
        </w:rPr>
        <w:t>Несомненно, приведенные аргументы достаточно четко говорят нам о наличии публично-правовой составляющей в изучаемых нами соглашениях. Особенно четко прослеживается установление государством императивных правил, отступиться от которых не представляется возможным.</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lastRenderedPageBreak/>
        <w:t>Что касается позиции группы ученых, придерживающихся той точки зрения, что соглашения об осуществлении деятельности на территории ОЭЗ имеют частноправовой характер, то их аргументы сводятся к следующему:</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1) Свобода заключения договора. Стороны приходят к заключению такого соглашения без понуждения;</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 xml:space="preserve">2) Стороны обладают имущественной самостоятельностью, что даёт им возможность самостоятельно распоряжаться принадлежащим имуществом </w:t>
      </w:r>
      <w:r>
        <w:rPr>
          <w:rFonts w:ascii="Times New Roman" w:eastAsia="Times New Roman" w:cs="Times New Roman"/>
          <w:sz w:val="20"/>
          <w:szCs w:val="20"/>
          <w:lang w:val="pt-PT"/>
        </w:rPr>
        <w:t>[</w:t>
      </w:r>
      <w:r>
        <w:rPr>
          <w:rFonts w:ascii="Times New Roman" w:eastAsia="Times New Roman" w:cs="Times New Roman"/>
          <w:sz w:val="20"/>
          <w:szCs w:val="20"/>
        </w:rPr>
        <w:t>3</w:t>
      </w:r>
      <w:r>
        <w:rPr>
          <w:rFonts w:ascii="Times New Roman" w:eastAsia="Times New Roman" w:cs="Times New Roman"/>
          <w:sz w:val="20"/>
          <w:szCs w:val="20"/>
          <w:lang w:val="pt-PT"/>
        </w:rPr>
        <w:t xml:space="preserve">, </w:t>
      </w:r>
      <w:r>
        <w:rPr>
          <w:rFonts w:ascii="Times New Roman" w:eastAsia="Times New Roman" w:cs="Times New Roman"/>
          <w:sz w:val="20"/>
          <w:szCs w:val="20"/>
        </w:rPr>
        <w:t>с</w:t>
      </w:r>
      <w:r>
        <w:rPr>
          <w:rFonts w:ascii="Times New Roman" w:eastAsia="Times New Roman" w:cs="Times New Roman"/>
          <w:sz w:val="20"/>
          <w:szCs w:val="20"/>
          <w:lang w:val="pt-PT"/>
        </w:rPr>
        <w:t>. 231];</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 xml:space="preserve">3) Стороны имеют право расторгать договор по соглашению или по требованию одной из них в судебном порядке </w:t>
      </w:r>
      <w:r>
        <w:rPr>
          <w:rFonts w:ascii="Times New Roman" w:eastAsia="Times New Roman" w:cs="Times New Roman"/>
          <w:sz w:val="20"/>
          <w:szCs w:val="20"/>
          <w:lang w:val="pt-PT"/>
        </w:rPr>
        <w:t>[</w:t>
      </w:r>
      <w:r>
        <w:rPr>
          <w:rFonts w:ascii="Times New Roman" w:eastAsia="Times New Roman" w:cs="Times New Roman"/>
          <w:sz w:val="20"/>
          <w:szCs w:val="20"/>
        </w:rPr>
        <w:t>3</w:t>
      </w:r>
      <w:r>
        <w:rPr>
          <w:rFonts w:ascii="Times New Roman" w:eastAsia="Times New Roman" w:cs="Times New Roman"/>
          <w:sz w:val="20"/>
          <w:szCs w:val="20"/>
          <w:lang w:val="pt-PT"/>
        </w:rPr>
        <w:t xml:space="preserve">, </w:t>
      </w:r>
      <w:r>
        <w:rPr>
          <w:rFonts w:ascii="Times New Roman" w:eastAsia="Times New Roman" w:cs="Times New Roman"/>
          <w:sz w:val="20"/>
          <w:szCs w:val="20"/>
        </w:rPr>
        <w:t>с</w:t>
      </w:r>
      <w:r>
        <w:rPr>
          <w:rFonts w:ascii="Times New Roman" w:eastAsia="Times New Roman" w:cs="Times New Roman"/>
          <w:sz w:val="20"/>
          <w:szCs w:val="20"/>
          <w:lang w:val="pt-PT"/>
        </w:rPr>
        <w:t>. 216].</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Еще одним аргументом может выступать закрепленная ч.1 и ч.7 ст.18 ФЗ № «Об ОЭЗ» возможность сторон изменять условия соглашения по соглашению сторон. По мнению этой группы ученых, указанные аргументы также достаточно четко отражают частноправовую составляющую изучаемых соглашений. Особенно это проявляется в предоставленной законом возможности свободы действий сторон (заключение договора, изменение условий, и т.д</w:t>
      </w:r>
      <w:r>
        <w:rPr>
          <w:rFonts w:ascii="Times New Roman" w:eastAsia="Times New Roman" w:cs="Times New Roman"/>
          <w:sz w:val="20"/>
          <w:szCs w:val="20"/>
          <w:lang w:val="pt-PT"/>
        </w:rPr>
        <w:t xml:space="preserve">.) [8, </w:t>
      </w:r>
      <w:r>
        <w:rPr>
          <w:rFonts w:ascii="Times New Roman" w:eastAsia="Times New Roman" w:cs="Times New Roman"/>
          <w:sz w:val="20"/>
          <w:szCs w:val="20"/>
        </w:rPr>
        <w:t>ч.ч. 1,7 ст</w:t>
      </w:r>
      <w:r>
        <w:rPr>
          <w:rFonts w:ascii="Times New Roman" w:eastAsia="Times New Roman" w:cs="Times New Roman"/>
          <w:sz w:val="20"/>
          <w:szCs w:val="20"/>
          <w:lang w:val="pt-PT"/>
        </w:rPr>
        <w:t>. 18].</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 xml:space="preserve">На основании вышеизложенного, перейдем к анализу норм ФЗ «О СПВ», которые помогут нам определить юридическую природу соглашений с резидентами СПВ. </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 xml:space="preserve">Часть 4 статьи 8 ФЗ «О СПВ», содержащая положения об управляющих органах на территории СПВ, для определения понятия управляющей компании отсылает нас к ст. 2 ФЗ "О территориях опережающего социально-экономического развития в Российской Федерации" от 29.12.2014 № 473 – ФЗ, согласно которой, управляющая компания создана в целях «осуществления функций по управлению территорией опережающего социально-экономического развития» </w:t>
      </w:r>
      <w:r>
        <w:rPr>
          <w:rFonts w:ascii="Times New Roman" w:eastAsia="Times New Roman" w:cs="Times New Roman"/>
          <w:sz w:val="20"/>
          <w:szCs w:val="20"/>
          <w:lang w:val="pt-PT"/>
        </w:rPr>
        <w:t>[</w:t>
      </w:r>
      <w:r>
        <w:rPr>
          <w:rFonts w:ascii="Times New Roman" w:eastAsia="Times New Roman" w:cs="Times New Roman"/>
          <w:sz w:val="20"/>
          <w:szCs w:val="20"/>
        </w:rPr>
        <w:t>7</w:t>
      </w:r>
      <w:r>
        <w:rPr>
          <w:rFonts w:ascii="Times New Roman" w:eastAsia="Times New Roman" w:cs="Times New Roman"/>
          <w:sz w:val="20"/>
          <w:szCs w:val="20"/>
          <w:lang w:val="pt-PT"/>
        </w:rPr>
        <w:t xml:space="preserve">, </w:t>
      </w:r>
      <w:r>
        <w:rPr>
          <w:rFonts w:ascii="Times New Roman" w:eastAsia="Times New Roman" w:cs="Times New Roman"/>
          <w:sz w:val="20"/>
          <w:szCs w:val="20"/>
        </w:rPr>
        <w:t>ст</w:t>
      </w:r>
      <w:r>
        <w:rPr>
          <w:rFonts w:ascii="Times New Roman" w:eastAsia="Times New Roman" w:cs="Times New Roman"/>
          <w:sz w:val="20"/>
          <w:szCs w:val="20"/>
          <w:lang w:val="pt-PT"/>
        </w:rPr>
        <w:t xml:space="preserve">. 2]. </w:t>
      </w:r>
      <w:r>
        <w:rPr>
          <w:rFonts w:ascii="Times New Roman" w:eastAsia="Times New Roman" w:cs="Times New Roman"/>
          <w:sz w:val="20"/>
          <w:szCs w:val="20"/>
        </w:rPr>
        <w:t>То есть, можно сделать вывод, что управляющая компания создается с исключительно одной целью – реализация поставленных перед государством задач в сфере социально-экономического развития. Сюда же напрашивается вывод и о том, что управляющая компания осуществляет деятельность, отличную от предпринимательской, отвечая в основном публичным интересам. Такой аргумент исключает позицию о частноправовой природе изучаемых соглашений.</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 xml:space="preserve">О правовой природе исследуемого соглашения многое может сказать его предмет. Статья 12 ФЗ «О СПВ» ясно даёт нам понять, что предметом изучаемого соглашения выступает определенная деятельность сторон, направленная на достижение обоюдной выгоды. В этом контексте, говорить о том, что предметом такого соглашения выступает определенное благо, что характерно для гражданско-правовых договорах, не приходится </w:t>
      </w:r>
      <w:r>
        <w:rPr>
          <w:rFonts w:ascii="Times New Roman" w:eastAsia="Times New Roman" w:cs="Times New Roman"/>
          <w:sz w:val="20"/>
          <w:szCs w:val="20"/>
          <w:lang w:val="pt-PT"/>
        </w:rPr>
        <w:t>[</w:t>
      </w:r>
      <w:r>
        <w:rPr>
          <w:rFonts w:ascii="Times New Roman" w:eastAsia="Times New Roman" w:cs="Times New Roman"/>
          <w:sz w:val="20"/>
          <w:szCs w:val="20"/>
        </w:rPr>
        <w:t>8</w:t>
      </w:r>
      <w:r>
        <w:rPr>
          <w:rFonts w:ascii="Times New Roman" w:eastAsia="Times New Roman" w:cs="Times New Roman"/>
          <w:sz w:val="20"/>
          <w:szCs w:val="20"/>
          <w:lang w:val="pt-PT"/>
        </w:rPr>
        <w:t xml:space="preserve">, </w:t>
      </w:r>
      <w:r>
        <w:rPr>
          <w:rFonts w:ascii="Times New Roman" w:eastAsia="Times New Roman" w:cs="Times New Roman"/>
          <w:sz w:val="20"/>
          <w:szCs w:val="20"/>
        </w:rPr>
        <w:t>ст</w:t>
      </w:r>
      <w:r>
        <w:rPr>
          <w:rFonts w:ascii="Times New Roman" w:eastAsia="Times New Roman" w:cs="Times New Roman"/>
          <w:sz w:val="20"/>
          <w:szCs w:val="20"/>
          <w:lang w:val="pt-PT"/>
        </w:rPr>
        <w:t>. 12].</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Сопоставление целей также поможет установить юридическую природу соглашения с резидентом СПВ. Часть 1 статьи 420 ГК РФ содержит четкое понятие договора: «Договором признается соглашение двух или нескольких лиц об установлении, изменении или прекращении гражданских прав и обязанностей.</w:t>
      </w:r>
      <w:r>
        <w:rPr>
          <w:rFonts w:ascii="Times New Roman" w:eastAsia="Times New Roman" w:cs="Times New Roman"/>
          <w:sz w:val="20"/>
          <w:szCs w:val="20"/>
          <w:lang w:val="it-IT"/>
        </w:rPr>
        <w:t xml:space="preserve">» </w:t>
      </w:r>
      <w:r>
        <w:rPr>
          <w:rFonts w:ascii="Times New Roman" w:eastAsia="Times New Roman" w:cs="Times New Roman"/>
          <w:sz w:val="20"/>
          <w:szCs w:val="20"/>
          <w:lang w:val="pt-PT"/>
        </w:rPr>
        <w:t>[</w:t>
      </w:r>
      <w:r>
        <w:rPr>
          <w:rFonts w:ascii="Times New Roman" w:eastAsia="Times New Roman" w:cs="Times New Roman"/>
          <w:sz w:val="20"/>
          <w:szCs w:val="20"/>
        </w:rPr>
        <w:t>4</w:t>
      </w:r>
      <w:r>
        <w:rPr>
          <w:rFonts w:ascii="Times New Roman" w:eastAsia="Times New Roman" w:cs="Times New Roman"/>
          <w:sz w:val="20"/>
          <w:szCs w:val="20"/>
          <w:lang w:val="pt-PT"/>
        </w:rPr>
        <w:t xml:space="preserve">, </w:t>
      </w:r>
      <w:r>
        <w:rPr>
          <w:rFonts w:ascii="Times New Roman" w:eastAsia="Times New Roman" w:cs="Times New Roman"/>
          <w:sz w:val="20"/>
          <w:szCs w:val="20"/>
        </w:rPr>
        <w:t>ч. 1 ст</w:t>
      </w:r>
      <w:r>
        <w:rPr>
          <w:rFonts w:ascii="Times New Roman" w:eastAsia="Times New Roman" w:cs="Times New Roman"/>
          <w:sz w:val="20"/>
          <w:szCs w:val="20"/>
          <w:lang w:val="pt-PT"/>
        </w:rPr>
        <w:t xml:space="preserve">. 420]. </w:t>
      </w:r>
      <w:r>
        <w:rPr>
          <w:rFonts w:ascii="Times New Roman" w:eastAsia="Times New Roman" w:cs="Times New Roman"/>
          <w:sz w:val="20"/>
          <w:szCs w:val="20"/>
        </w:rPr>
        <w:t>Мы видим, что целью заключения гражданско-правового договора является установление, изменение или прекращение гражданских прав и обязанностей. В этом и проявляется специфика гражданско-правовых договоров. Однако, если мы обратим наше внимание на цель заключения соглашений с резидентами СПВ, то увидим, что она не порождает гражданских прав и обязанностей, а скорее является одной из процедурных моментов в получении инвестором статуса резидента. Конечно же, результатом заключения исследуемого соглашения будет являться возникновение определенных прав и обязанностей как у самого резидента, так и у управляющей компании, только эти права и обязанности относятся к административно-правовой сфере.</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 xml:space="preserve">Кроме того, ФЗ «О СПВ» содержит положения, не характерные для гражданско-правовых договоров. Например, ч. 5 ст. 12, согласно которой: «Резидент свободного порта Владивосток не вправе передавать другому лицу свои права и обязанности по соглашению об осуществлении деятельности» </w:t>
      </w:r>
      <w:r>
        <w:rPr>
          <w:rFonts w:ascii="Times New Roman" w:eastAsia="Times New Roman" w:cs="Times New Roman"/>
          <w:sz w:val="20"/>
          <w:szCs w:val="20"/>
          <w:lang w:val="pt-PT"/>
        </w:rPr>
        <w:t>[</w:t>
      </w:r>
      <w:r>
        <w:rPr>
          <w:rFonts w:ascii="Times New Roman" w:eastAsia="Times New Roman" w:cs="Times New Roman"/>
          <w:sz w:val="20"/>
          <w:szCs w:val="20"/>
        </w:rPr>
        <w:t>8</w:t>
      </w:r>
      <w:r>
        <w:rPr>
          <w:rFonts w:ascii="Times New Roman" w:eastAsia="Times New Roman" w:cs="Times New Roman"/>
          <w:sz w:val="20"/>
          <w:szCs w:val="20"/>
          <w:lang w:val="pt-PT"/>
        </w:rPr>
        <w:t xml:space="preserve">, </w:t>
      </w:r>
      <w:r>
        <w:rPr>
          <w:rFonts w:ascii="Times New Roman" w:eastAsia="Times New Roman" w:cs="Times New Roman"/>
          <w:sz w:val="20"/>
          <w:szCs w:val="20"/>
        </w:rPr>
        <w:t>ч. 5 ст</w:t>
      </w:r>
      <w:r>
        <w:rPr>
          <w:rFonts w:ascii="Times New Roman" w:eastAsia="Times New Roman" w:cs="Times New Roman"/>
          <w:sz w:val="20"/>
          <w:szCs w:val="20"/>
          <w:lang w:val="pt-PT"/>
        </w:rPr>
        <w:t xml:space="preserve">. 12]. </w:t>
      </w:r>
      <w:r>
        <w:rPr>
          <w:rFonts w:ascii="Times New Roman" w:eastAsia="Times New Roman" w:cs="Times New Roman"/>
          <w:sz w:val="20"/>
          <w:szCs w:val="20"/>
        </w:rPr>
        <w:t>Думается, такое законодательное императивное ограничение​прав резидента еще раз наводит нас на мысль о публично-правовой природе исследуемых соглашений.</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Помимо всего прочего, орган управления СПВ имеет предоставленную законом возможность на отказ инвестору в заключении такого соглашения по результатам анализа и оценки заявки и бизнес-плана предпринимателя, при отсутствии условий, необходимых для реализации инвесторского проекта, что говорит нам о том, что совместное согласование условий между потенциальным инвестором и управляющей компанией не производится.</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Для непосредственного сравнения двух договорных моделей мы выбрали следующие критерии: предмет договора, его субъектный состав, стороны, срок, форма и содержание</w:t>
      </w:r>
      <w:r>
        <w:rPr>
          <w:rFonts w:ascii="Times New Roman" w:eastAsia="Times New Roman" w:cs="Times New Roman"/>
          <w:sz w:val="20"/>
          <w:szCs w:val="20"/>
          <w:lang w:val="pt-PT"/>
        </w:rPr>
        <w:t xml:space="preserve">. </w:t>
      </w:r>
      <w:r>
        <w:rPr>
          <w:rFonts w:ascii="Times New Roman" w:eastAsia="Times New Roman" w:cs="Times New Roman"/>
          <w:sz w:val="20"/>
          <w:szCs w:val="20"/>
        </w:rPr>
        <w:t>По нашему мнению, эти признаки можно использовать в качестве критериев для осуществления сравнительного анализа двух договорных моделей, независимо от их отраслевой принадлежности.</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 xml:space="preserve">Начнем с анализа предмета соглашения с резидентами свободного порта Владивосток. В соответствии со ст. 12 ФЗ «О СПВ» предметом соглашения об осуществлении деятельности на территории СПВ является деятельность, которую резидент СПВ обязуется осуществлять в соответствии с данным соглашением и заявки на присвоение статуса резидента </w:t>
      </w:r>
      <w:r>
        <w:rPr>
          <w:rFonts w:ascii="Times New Roman" w:eastAsia="Times New Roman" w:cs="Times New Roman"/>
          <w:sz w:val="20"/>
          <w:szCs w:val="20"/>
          <w:lang w:val="pt-PT"/>
        </w:rPr>
        <w:t>[</w:t>
      </w:r>
      <w:r>
        <w:rPr>
          <w:rFonts w:ascii="Times New Roman" w:eastAsia="Times New Roman" w:cs="Times New Roman"/>
          <w:sz w:val="20"/>
          <w:szCs w:val="20"/>
        </w:rPr>
        <w:t>8</w:t>
      </w:r>
      <w:r>
        <w:rPr>
          <w:rFonts w:ascii="Times New Roman" w:eastAsia="Times New Roman" w:cs="Times New Roman"/>
          <w:sz w:val="20"/>
          <w:szCs w:val="20"/>
          <w:lang w:val="pt-PT"/>
        </w:rPr>
        <w:t xml:space="preserve">, </w:t>
      </w:r>
      <w:r>
        <w:rPr>
          <w:rFonts w:ascii="Times New Roman" w:eastAsia="Times New Roman" w:cs="Times New Roman"/>
          <w:sz w:val="20"/>
          <w:szCs w:val="20"/>
        </w:rPr>
        <w:t>ст</w:t>
      </w:r>
      <w:r>
        <w:rPr>
          <w:rFonts w:ascii="Times New Roman" w:eastAsia="Times New Roman" w:cs="Times New Roman"/>
          <w:sz w:val="20"/>
          <w:szCs w:val="20"/>
          <w:lang w:val="pt-PT"/>
        </w:rPr>
        <w:t xml:space="preserve">. 12]. </w:t>
      </w:r>
      <w:r>
        <w:rPr>
          <w:rFonts w:ascii="Times New Roman" w:eastAsia="Times New Roman" w:cs="Times New Roman"/>
          <w:sz w:val="20"/>
          <w:szCs w:val="20"/>
        </w:rPr>
        <w:t xml:space="preserve">Кроме того, в предмет соглашения входят полномочия управляющей компании, которые она обязуется осуществлять. </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 xml:space="preserve">Перейдем к предмету соглашений с резидентами ОЭЗ. Анализ статьи 12 ФЗ «Об ОЭЗ» даёт нам понять, что предметом соглашения об осуществлении деятельности на территории ОЭЗ выступает деятельность, которую резидент ОЭЗ обязуется осуществлять в соответствии с данным соглашением, а также осуществление управляющей компанией своих полномочий [6, ст. 12]. В зависимости от типа ОЭЗ, её резиденты осуществляют </w:t>
      </w:r>
      <w:r>
        <w:rPr>
          <w:rFonts w:ascii="Times New Roman" w:eastAsia="Times New Roman" w:cs="Times New Roman"/>
          <w:sz w:val="20"/>
          <w:szCs w:val="20"/>
        </w:rPr>
        <w:lastRenderedPageBreak/>
        <w:t xml:space="preserve">различную деятельность: технико-внедренческую, портовую, туристско-рекреационную, промышленно-производственную. </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 xml:space="preserve">Таким образом, можно сделать вывод, что сравниваемые соглашения имеют идентичный предмет. Как в одной, так и в другой конструкции предметом выступает совместная деятельность сторон соглашения. Отличие имеет лишь вид предпринимательской деятельности, который резидент будет в итоге осуществлять. Из этого следует, что каждый из указанных предметов соглашения индивидуален, однако общая природа предмета соглашений идентична.  </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В рамках осуществления сравнительного анализа исследуемых соглашений нельзя обойти стороной такой элемента, как форма соглашения. Статья 15 ФЗ «Об ОЭЗ» содержит требование к форме соглашений об осуществлении деятельности на территории ОЭЗ: «Соглашение об осуществлении деятельности заключается в письменной форме путем составления одного документа, подписанного сторонами.</w:t>
      </w:r>
      <w:r>
        <w:rPr>
          <w:rFonts w:ascii="Times New Roman" w:eastAsia="Times New Roman" w:cs="Times New Roman"/>
          <w:sz w:val="20"/>
          <w:szCs w:val="20"/>
          <w:lang w:val="it-IT"/>
        </w:rPr>
        <w:t xml:space="preserve">» </w:t>
      </w:r>
      <w:r>
        <w:rPr>
          <w:rFonts w:ascii="Times New Roman" w:eastAsia="Times New Roman" w:cs="Times New Roman"/>
          <w:sz w:val="20"/>
          <w:szCs w:val="20"/>
          <w:lang w:val="pt-PT"/>
        </w:rPr>
        <w:t xml:space="preserve">[6, </w:t>
      </w:r>
      <w:r>
        <w:rPr>
          <w:rFonts w:ascii="Times New Roman" w:eastAsia="Times New Roman" w:cs="Times New Roman"/>
          <w:sz w:val="20"/>
          <w:szCs w:val="20"/>
        </w:rPr>
        <w:t>ст</w:t>
      </w:r>
      <w:r>
        <w:rPr>
          <w:rFonts w:ascii="Times New Roman" w:eastAsia="Times New Roman" w:cs="Times New Roman"/>
          <w:sz w:val="20"/>
          <w:szCs w:val="20"/>
          <w:lang w:val="pt-PT"/>
        </w:rPr>
        <w:t xml:space="preserve">. 15]. </w:t>
      </w:r>
      <w:r>
        <w:rPr>
          <w:rFonts w:ascii="Times New Roman" w:eastAsia="Times New Roman" w:cs="Times New Roman"/>
          <w:sz w:val="20"/>
          <w:szCs w:val="20"/>
        </w:rPr>
        <w:t>Теперь перейдем к форме соглашения об осуществления деятельности на территории СПВ.</w:t>
      </w:r>
    </w:p>
    <w:p w:rsidR="00517711" w:rsidRDefault="00F815BE">
      <w:pPr>
        <w:pStyle w:val="aff8"/>
        <w:ind w:firstLine="720"/>
        <w:jc w:val="both"/>
        <w:rPr>
          <w:rFonts w:cs="Times New Roman"/>
          <w:sz w:val="20"/>
          <w:szCs w:val="20"/>
        </w:rPr>
      </w:pPr>
      <w:r>
        <w:rPr>
          <w:rFonts w:ascii="Times New Roman" w:eastAsia="Times New Roman" w:cs="Times New Roman"/>
          <w:sz w:val="20"/>
          <w:szCs w:val="20"/>
        </w:rPr>
        <w:t>Анализ ч. 9 ст. 11 ФЗ «О СПВ» поможет нам понять, в какой форме заключается исследуемое соглашение. Согласно вышеупомянутой норме: «Управляющая компания в срок, не превышающий тридцати календарных дней с даты принятия решения о возможности заключения соглашения об осуществлении деятельности, подготавливает и направляет заявителю проект соглашения об осуществлении деятельности.</w:t>
      </w:r>
      <w:r>
        <w:rPr>
          <w:rFonts w:ascii="Times New Roman" w:eastAsia="Times New Roman" w:cs="Times New Roman"/>
          <w:sz w:val="20"/>
          <w:szCs w:val="20"/>
          <w:lang w:val="it-IT"/>
        </w:rPr>
        <w:t xml:space="preserve">» </w:t>
      </w:r>
      <w:r>
        <w:rPr>
          <w:rFonts w:ascii="Times New Roman" w:eastAsia="Times New Roman" w:cs="Times New Roman"/>
          <w:sz w:val="20"/>
          <w:szCs w:val="20"/>
          <w:lang w:val="pt-PT"/>
        </w:rPr>
        <w:t>[</w:t>
      </w:r>
      <w:r>
        <w:rPr>
          <w:rFonts w:ascii="Times New Roman" w:eastAsia="Times New Roman" w:cs="Times New Roman"/>
          <w:sz w:val="20"/>
          <w:szCs w:val="20"/>
        </w:rPr>
        <w:t>8</w:t>
      </w:r>
      <w:r>
        <w:rPr>
          <w:rFonts w:ascii="Times New Roman" w:eastAsia="Times New Roman" w:cs="Times New Roman"/>
          <w:sz w:val="20"/>
          <w:szCs w:val="20"/>
          <w:lang w:val="pt-PT"/>
        </w:rPr>
        <w:t xml:space="preserve">, </w:t>
      </w:r>
      <w:r>
        <w:rPr>
          <w:rFonts w:ascii="Times New Roman" w:eastAsia="Times New Roman" w:cs="Times New Roman"/>
          <w:sz w:val="20"/>
          <w:szCs w:val="20"/>
        </w:rPr>
        <w:t>ч. 9 ст</w:t>
      </w:r>
      <w:r>
        <w:rPr>
          <w:rFonts w:ascii="Times New Roman" w:eastAsia="Times New Roman" w:cs="Times New Roman"/>
          <w:sz w:val="20"/>
          <w:szCs w:val="20"/>
          <w:lang w:val="pt-PT"/>
        </w:rPr>
        <w:t>. 11].</w:t>
      </w:r>
      <w:r>
        <w:rPr>
          <w:rFonts w:ascii="Times New Roman" w:eastAsia="Times New Roman" w:cs="Times New Roman"/>
          <w:sz w:val="20"/>
          <w:szCs w:val="20"/>
        </w:rPr>
        <w:t>Прежде всего, это говорит нам о том, что форма соглашения является письменной.</w:t>
      </w:r>
    </w:p>
    <w:p w:rsidR="00517711" w:rsidRDefault="00F815BE">
      <w:pPr>
        <w:pStyle w:val="aff8"/>
        <w:ind w:firstLine="720"/>
        <w:jc w:val="both"/>
        <w:rPr>
          <w:rFonts w:cs="Times New Roman"/>
          <w:sz w:val="20"/>
          <w:szCs w:val="20"/>
        </w:rPr>
      </w:pPr>
      <w:r>
        <w:rPr>
          <w:rFonts w:ascii="Times New Roman" w:eastAsia="Times New Roman" w:cs="Times New Roman"/>
          <w:sz w:val="20"/>
          <w:szCs w:val="20"/>
        </w:rPr>
        <w:t>Что касается процедуры расторжения соглашения с резидентом СПВ, то законодатель представил нам следующие варианты её совершения: по соглашению сторон или решению суда в связи с существенным нарушением условий такого соглашения другой стороной. Эти способы расторжения соглашения с резидентами СПВ полностью соответствуют аналогичным способам расторжения с резидентами ОЭЗ. Однако такое основание как «существенное изменение обстоятельств» в ФЗ «О СПВ», в отличии от ФЗ «Об ОЭЗ» не упоминается.</w:t>
      </w:r>
    </w:p>
    <w:p w:rsidR="00517711" w:rsidRDefault="00F815BE">
      <w:pPr>
        <w:pStyle w:val="aff8"/>
        <w:ind w:firstLine="720"/>
        <w:jc w:val="both"/>
        <w:rPr>
          <w:rFonts w:cs="Times New Roman"/>
          <w:sz w:val="20"/>
          <w:szCs w:val="20"/>
        </w:rPr>
      </w:pPr>
      <w:r>
        <w:rPr>
          <w:rFonts w:ascii="Times New Roman" w:eastAsia="Times New Roman" w:cs="Times New Roman"/>
          <w:sz w:val="20"/>
          <w:szCs w:val="20"/>
        </w:rPr>
        <w:t xml:space="preserve">Однако небольшие отличия имеются при последствиях расторжения исследуемых соглашений. Так, в соответствии с ч. 7 ст. 20 ФЗ «Об ОЭЗ»: «в случае прекращения действия соглашения об осуществлении деятельности расходы, понесенные в связи с его исполнением резидентом особой экономической зоны, не возмещаются» </w:t>
      </w:r>
      <w:r>
        <w:rPr>
          <w:rFonts w:ascii="Times New Roman" w:eastAsia="Times New Roman" w:cs="Times New Roman"/>
          <w:sz w:val="20"/>
          <w:szCs w:val="20"/>
          <w:lang w:val="pt-PT"/>
        </w:rPr>
        <w:t xml:space="preserve">[6, </w:t>
      </w:r>
      <w:r>
        <w:rPr>
          <w:rFonts w:ascii="Times New Roman" w:eastAsia="Times New Roman" w:cs="Times New Roman"/>
          <w:sz w:val="20"/>
          <w:szCs w:val="20"/>
        </w:rPr>
        <w:t>ч. 7 ст</w:t>
      </w:r>
      <w:r>
        <w:rPr>
          <w:rFonts w:ascii="Times New Roman" w:eastAsia="Times New Roman" w:cs="Times New Roman"/>
          <w:sz w:val="20"/>
          <w:szCs w:val="20"/>
          <w:lang w:val="pt-PT"/>
        </w:rPr>
        <w:t xml:space="preserve">. 20]. </w:t>
      </w:r>
      <w:r>
        <w:rPr>
          <w:rFonts w:ascii="Times New Roman" w:eastAsia="Times New Roman" w:cs="Times New Roman"/>
          <w:sz w:val="20"/>
          <w:szCs w:val="20"/>
        </w:rPr>
        <w:t xml:space="preserve">В случае же расторжения соглашения с резидентом СПВ такие расходы не возмещаются, «за исключением случая, если основанием расторжения соглашения об осуществлении деятельности послужило ненадлежащее исполнение его условий управляющей компанией», о чем говорит ч.5 ст. 13 «О СПВ» </w:t>
      </w:r>
      <w:r>
        <w:rPr>
          <w:rFonts w:ascii="Times New Roman" w:eastAsia="Times New Roman" w:cs="Times New Roman"/>
          <w:sz w:val="20"/>
          <w:szCs w:val="20"/>
          <w:lang w:val="pt-PT"/>
        </w:rPr>
        <w:t>[</w:t>
      </w:r>
      <w:r>
        <w:rPr>
          <w:rFonts w:ascii="Times New Roman" w:eastAsia="Times New Roman" w:cs="Times New Roman"/>
          <w:sz w:val="20"/>
          <w:szCs w:val="20"/>
        </w:rPr>
        <w:t>8</w:t>
      </w:r>
      <w:r>
        <w:rPr>
          <w:rFonts w:ascii="Times New Roman" w:eastAsia="Times New Roman" w:cs="Times New Roman"/>
          <w:sz w:val="20"/>
          <w:szCs w:val="20"/>
          <w:lang w:val="pt-PT"/>
        </w:rPr>
        <w:t xml:space="preserve">, </w:t>
      </w:r>
      <w:r>
        <w:rPr>
          <w:rFonts w:ascii="Times New Roman" w:eastAsia="Times New Roman" w:cs="Times New Roman"/>
          <w:sz w:val="20"/>
          <w:szCs w:val="20"/>
        </w:rPr>
        <w:t>ч. 5 ст</w:t>
      </w:r>
      <w:r>
        <w:rPr>
          <w:rFonts w:ascii="Times New Roman" w:eastAsia="Times New Roman" w:cs="Times New Roman"/>
          <w:sz w:val="20"/>
          <w:szCs w:val="20"/>
          <w:lang w:val="pt-PT"/>
        </w:rPr>
        <w:t>. 13].</w:t>
      </w:r>
    </w:p>
    <w:p w:rsidR="00517711" w:rsidRDefault="00F815BE">
      <w:pPr>
        <w:pStyle w:val="aff8"/>
        <w:jc w:val="both"/>
        <w:rPr>
          <w:rFonts w:cs="Times New Roman"/>
          <w:sz w:val="20"/>
          <w:szCs w:val="20"/>
        </w:rPr>
      </w:pPr>
      <w:r>
        <w:rPr>
          <w:rFonts w:ascii="Times New Roman" w:eastAsia="Times New Roman" w:cs="Times New Roman"/>
          <w:sz w:val="20"/>
          <w:szCs w:val="20"/>
        </w:rPr>
        <w:tab/>
        <w:t>Идентичными эти соглашения являются и по всем другим вышеозначенным критериям сравнения.</w:t>
      </w:r>
    </w:p>
    <w:p w:rsidR="00517711" w:rsidRDefault="00F815BE">
      <w:pPr>
        <w:pStyle w:val="aff8"/>
        <w:ind w:firstLine="720"/>
        <w:jc w:val="both"/>
        <w:rPr>
          <w:rFonts w:cs="Times New Roman"/>
          <w:sz w:val="20"/>
          <w:szCs w:val="20"/>
        </w:rPr>
      </w:pPr>
      <w:r>
        <w:rPr>
          <w:rFonts w:ascii="Times New Roman" w:eastAsia="Times New Roman" w:cs="Times New Roman"/>
          <w:sz w:val="20"/>
          <w:szCs w:val="20"/>
        </w:rPr>
        <w:t>Подводя итоги, можно сказать, что мы находим сравниваемые договорные модели идентичными. Прежде всего этот вывод напрашивается в результате сравнительного анализа элементов исследуемых соглашений. Они схожи по субъектному составу, предмету, содержанию и другим обозначенным элементам. Да, в процессе осуществления сравнительного анализа выявлялись определенные особенности, однако они не ставят вопрос о том, что данные соглашения являются принципиально разными. Кроме того, мы пришли к выводу, что исследуемые соглашения аналогичны и по своей юридической природе.</w:t>
      </w:r>
    </w:p>
    <w:p w:rsidR="00517711" w:rsidRDefault="00F815BE">
      <w:pPr>
        <w:pStyle w:val="aff8"/>
        <w:ind w:firstLine="720"/>
        <w:jc w:val="both"/>
        <w:rPr>
          <w:rFonts w:cs="Times New Roman"/>
          <w:sz w:val="20"/>
          <w:szCs w:val="20"/>
        </w:rPr>
      </w:pPr>
      <w:r>
        <w:rPr>
          <w:rFonts w:ascii="Times New Roman" w:eastAsia="Times New Roman" w:cs="Times New Roman"/>
          <w:sz w:val="20"/>
          <w:szCs w:val="20"/>
        </w:rPr>
        <w:t>В целом, наша точка зрения склоняется к тому, что исследуемое соглашение склоняется к категории публично-правовых договоров. Да, соглашение с резидентами ОЭЗ и СПВ содержит элементы, имеющие частноправовую природу. Однако это не позволяет нам квалифицировать исследуемые соглашения как гражданско-правовые договоры.</w:t>
      </w:r>
    </w:p>
    <w:p w:rsidR="00517711" w:rsidRDefault="00F815BE">
      <w:pPr>
        <w:pStyle w:val="aff8"/>
        <w:ind w:firstLine="720"/>
        <w:jc w:val="both"/>
        <w:rPr>
          <w:rFonts w:cs="Times New Roman"/>
          <w:sz w:val="20"/>
          <w:szCs w:val="20"/>
        </w:rPr>
      </w:pPr>
      <w:r>
        <w:rPr>
          <w:rFonts w:ascii="Times New Roman" w:eastAsia="Times New Roman" w:cs="Times New Roman"/>
          <w:sz w:val="20"/>
          <w:szCs w:val="20"/>
        </w:rPr>
        <w:t xml:space="preserve">Во-первых, в данных соглашениях отсутствует равенство субъектов, которое по мнению Серебряковой Е.Е. является «основой разграничения общественных отношений, регулируемых нормами частного права и нормами публичных отраслей, поскольку именно оно представляет собой один из основополагающих принципов гражданского законодательства». По мнению автора, отсутствие равенства субъектов заключается в том, что государство в идентичных соглашениях «берёт на себя обязательство, которое другая сторона в любых возможных отношениях взять не может». Так и в нашем случае, это прежде всего заключается в том, что государство помимо предоставления резиденту права осуществления деятельности на территории с особым режимом предпринимательства, реализует льготный режим налогообложения </w:t>
      </w:r>
      <w:r>
        <w:rPr>
          <w:rFonts w:ascii="Times New Roman" w:eastAsia="Times New Roman" w:cs="Times New Roman"/>
          <w:sz w:val="20"/>
          <w:szCs w:val="20"/>
          <w:lang w:val="pt-PT"/>
        </w:rPr>
        <w:t>[</w:t>
      </w:r>
      <w:r>
        <w:rPr>
          <w:rFonts w:ascii="Times New Roman" w:eastAsia="Times New Roman" w:cs="Times New Roman"/>
          <w:sz w:val="20"/>
          <w:szCs w:val="20"/>
        </w:rPr>
        <w:t>9</w:t>
      </w:r>
      <w:r>
        <w:rPr>
          <w:rFonts w:ascii="Times New Roman" w:eastAsia="Times New Roman" w:cs="Times New Roman"/>
          <w:sz w:val="20"/>
          <w:szCs w:val="20"/>
          <w:lang w:val="pt-PT"/>
        </w:rPr>
        <w:t xml:space="preserve">, </w:t>
      </w:r>
      <w:r>
        <w:rPr>
          <w:rFonts w:ascii="Times New Roman" w:eastAsia="Times New Roman" w:cs="Times New Roman"/>
          <w:sz w:val="20"/>
          <w:szCs w:val="20"/>
        </w:rPr>
        <w:t>с</w:t>
      </w:r>
      <w:r>
        <w:rPr>
          <w:rFonts w:ascii="Times New Roman" w:eastAsia="Times New Roman" w:cs="Times New Roman"/>
          <w:sz w:val="20"/>
          <w:szCs w:val="20"/>
          <w:lang w:val="pt-PT"/>
        </w:rPr>
        <w:t>. 25].</w:t>
      </w:r>
    </w:p>
    <w:p w:rsidR="00517711" w:rsidRDefault="00F815BE">
      <w:pPr>
        <w:pStyle w:val="aff8"/>
        <w:ind w:firstLine="720"/>
        <w:jc w:val="both"/>
        <w:rPr>
          <w:rFonts w:cs="Times New Roman"/>
          <w:sz w:val="20"/>
          <w:szCs w:val="20"/>
        </w:rPr>
      </w:pPr>
      <w:r>
        <w:rPr>
          <w:rFonts w:ascii="Times New Roman" w:eastAsia="Times New Roman" w:cs="Times New Roman"/>
          <w:sz w:val="20"/>
          <w:szCs w:val="20"/>
        </w:rPr>
        <w:t xml:space="preserve">Во-вторых, внимания заслуживают и следующие слова Серебряковой Е.Е., которая доводит мысль о том, что: «разграничение гражданско-правовых и публично-правовых договоров также связано с определением интереса, преследуемого государством» </w:t>
      </w:r>
      <w:r>
        <w:rPr>
          <w:rFonts w:ascii="Times New Roman" w:eastAsia="Times New Roman" w:cs="Times New Roman"/>
          <w:sz w:val="20"/>
          <w:szCs w:val="20"/>
          <w:lang w:val="pt-PT"/>
        </w:rPr>
        <w:t>[</w:t>
      </w:r>
      <w:r>
        <w:rPr>
          <w:rFonts w:ascii="Times New Roman" w:eastAsia="Times New Roman" w:cs="Times New Roman"/>
          <w:sz w:val="20"/>
          <w:szCs w:val="20"/>
        </w:rPr>
        <w:t>9</w:t>
      </w:r>
      <w:r>
        <w:rPr>
          <w:rFonts w:ascii="Times New Roman" w:eastAsia="Times New Roman" w:cs="Times New Roman"/>
          <w:sz w:val="20"/>
          <w:szCs w:val="20"/>
          <w:lang w:val="pt-PT"/>
        </w:rPr>
        <w:t xml:space="preserve">, </w:t>
      </w:r>
      <w:r>
        <w:rPr>
          <w:rFonts w:ascii="Times New Roman" w:eastAsia="Times New Roman" w:cs="Times New Roman"/>
          <w:sz w:val="20"/>
          <w:szCs w:val="20"/>
        </w:rPr>
        <w:t>с</w:t>
      </w:r>
      <w:r>
        <w:rPr>
          <w:rFonts w:ascii="Times New Roman" w:eastAsia="Times New Roman" w:cs="Times New Roman"/>
          <w:sz w:val="20"/>
          <w:szCs w:val="20"/>
          <w:lang w:val="pt-PT"/>
        </w:rPr>
        <w:t xml:space="preserve">. 25]. </w:t>
      </w:r>
      <w:r>
        <w:rPr>
          <w:rFonts w:ascii="Times New Roman" w:eastAsia="Times New Roman" w:cs="Times New Roman"/>
          <w:sz w:val="20"/>
          <w:szCs w:val="20"/>
        </w:rPr>
        <w:t xml:space="preserve">В нашем случае, можно сказать, что управляющая компания так или иначе осуществляет государственную политику в сфере социально-экономического развития. Думается, это отражает прежде всего общественный интерес. Отсюда можно сделать вывод, что исследуемые соглашение опять же относятся к публично-правовым договорам. </w:t>
      </w:r>
    </w:p>
    <w:p w:rsidR="00517711" w:rsidRDefault="00F815BE">
      <w:pPr>
        <w:spacing w:after="0"/>
        <w:ind w:firstLine="544"/>
        <w:jc w:val="both"/>
        <w:rPr>
          <w:rFonts w:ascii="Times New Roman" w:hAnsi="Times New Roman"/>
          <w:sz w:val="20"/>
          <w:szCs w:val="20"/>
        </w:rPr>
      </w:pPr>
      <w:r>
        <w:rPr>
          <w:rFonts w:ascii="Times New Roman" w:hAnsi="Times New Roman"/>
          <w:sz w:val="20"/>
          <w:szCs w:val="20"/>
        </w:rPr>
        <w:t>Кроме того, оценив аргументы двух групп ученых и действующее законодательство, мы пришли к выводу о том, что соглашения с резидентами ОЭЗ и с резидентами СПВ нельзя квалифицировать как гражданско-правовой договор. Опираясь на размышления В.Е. Варавенко, в работе посвященной юридической природе соглашений с резидентами ТОР, сформулируем практический вывод, следующий из анализа юридической природы соглашения об осуществлении деятельности на территории свободного порта Владивосток [2, с.75]. Вывод заключается в том, что к таким соглашениям невозможно будет применять нормы гражданского законодательства. Об этом нам говорит сама ч.3 ст.2 ГК РФ, согласно которой: «</w:t>
      </w:r>
      <w:r>
        <w:rPr>
          <w:rFonts w:ascii="Times New Roman" w:hAnsi="Times New Roman"/>
          <w:color w:val="000000"/>
          <w:sz w:val="20"/>
          <w:szCs w:val="20"/>
          <w:shd w:val="clear" w:color="auto" w:fill="FFFFFF"/>
        </w:rPr>
        <w:t xml:space="preserve">К </w:t>
      </w:r>
      <w:r>
        <w:rPr>
          <w:rFonts w:ascii="Times New Roman" w:hAnsi="Times New Roman"/>
          <w:color w:val="000000"/>
          <w:sz w:val="20"/>
          <w:szCs w:val="20"/>
          <w:shd w:val="clear" w:color="auto" w:fill="FFFFFF"/>
        </w:rPr>
        <w:lastRenderedPageBreak/>
        <w:t>имущественным отношениям, основанным на административном или ином властном подчинении одной стороны другой, в том числе к </w:t>
      </w:r>
      <w:r>
        <w:rPr>
          <w:rFonts w:ascii="Times New Roman" w:hAnsi="Times New Roman"/>
          <w:sz w:val="20"/>
          <w:szCs w:val="20"/>
          <w:shd w:val="clear" w:color="auto" w:fill="FFFFFF"/>
        </w:rPr>
        <w:t>налоговым</w:t>
      </w:r>
      <w:r>
        <w:rPr>
          <w:rFonts w:ascii="Times New Roman" w:hAnsi="Times New Roman"/>
          <w:color w:val="000000"/>
          <w:sz w:val="20"/>
          <w:szCs w:val="20"/>
          <w:shd w:val="clear" w:color="auto" w:fill="FFFFFF"/>
        </w:rPr>
        <w:t xml:space="preserve"> и другим финансовым и административным отношениям, гражданское законодательство не применяется, если иное не предусмотрено законодательством.» [4, ч. 3 ст. 2]. Можно заметить, что законодательство, регулирующее отношения на территории свободного порта Владивосток такого не предусматривает. </w:t>
      </w:r>
    </w:p>
    <w:p w:rsidR="00517711" w:rsidRDefault="00F815BE">
      <w:pPr>
        <w:jc w:val="both"/>
        <w:rPr>
          <w:sz w:val="20"/>
          <w:szCs w:val="20"/>
        </w:rPr>
      </w:pPr>
      <w:r>
        <w:rPr>
          <w:color w:val="000000"/>
          <w:sz w:val="20"/>
          <w:szCs w:val="20"/>
        </w:rPr>
        <w:t>____________________________________</w:t>
      </w:r>
    </w:p>
    <w:p w:rsidR="00517711" w:rsidRDefault="00F815BE">
      <w:pPr>
        <w:pStyle w:val="af4"/>
        <w:numPr>
          <w:ilvl w:val="0"/>
          <w:numId w:val="60"/>
        </w:numPr>
        <w:spacing w:after="0" w:line="240" w:lineRule="auto"/>
        <w:jc w:val="both"/>
        <w:rPr>
          <w:rFonts w:ascii="Times New Roman" w:hAnsi="Times New Roman"/>
          <w:sz w:val="20"/>
          <w:szCs w:val="20"/>
        </w:rPr>
      </w:pPr>
      <w:r>
        <w:rPr>
          <w:rFonts w:ascii="Times New Roman" w:hAnsi="Times New Roman"/>
          <w:sz w:val="20"/>
          <w:szCs w:val="20"/>
        </w:rPr>
        <w:t xml:space="preserve">Батыров М.В. Правовая природа соглашения о ведении деятельности на территории особой экономической зоны / М.В. Батыров // Налоги. – 2014. – № 3 – С. 34-36.  </w:t>
      </w:r>
    </w:p>
    <w:p w:rsidR="00517711" w:rsidRDefault="00F815BE">
      <w:pPr>
        <w:pStyle w:val="af4"/>
        <w:numPr>
          <w:ilvl w:val="0"/>
          <w:numId w:val="60"/>
        </w:numPr>
        <w:spacing w:after="0" w:line="240" w:lineRule="auto"/>
        <w:jc w:val="both"/>
        <w:rPr>
          <w:rFonts w:ascii="Times New Roman" w:hAnsi="Times New Roman"/>
          <w:sz w:val="20"/>
          <w:szCs w:val="20"/>
        </w:rPr>
      </w:pPr>
      <w:r>
        <w:rPr>
          <w:rFonts w:ascii="Times New Roman" w:hAnsi="Times New Roman"/>
          <w:sz w:val="20"/>
          <w:szCs w:val="20"/>
        </w:rPr>
        <w:t>Варавенко В.Е. Договорное регулирование отношений в сфере создания и функционирования территорий социально-экономического развития: соглашения об осуществлении деятельности // Таможенная политика России на Дальнем Востоке. – 2017. – № 3(80). – С. 67-78.</w:t>
      </w:r>
    </w:p>
    <w:p w:rsidR="00517711" w:rsidRDefault="00F815BE">
      <w:pPr>
        <w:pStyle w:val="af4"/>
        <w:numPr>
          <w:ilvl w:val="0"/>
          <w:numId w:val="60"/>
        </w:numPr>
        <w:spacing w:after="0" w:line="240" w:lineRule="auto"/>
        <w:jc w:val="both"/>
        <w:rPr>
          <w:rFonts w:ascii="Times New Roman" w:hAnsi="Times New Roman"/>
          <w:sz w:val="20"/>
          <w:szCs w:val="20"/>
        </w:rPr>
      </w:pPr>
      <w:r>
        <w:rPr>
          <w:rFonts w:ascii="Times New Roman" w:hAnsi="Times New Roman"/>
          <w:sz w:val="20"/>
          <w:szCs w:val="20"/>
        </w:rPr>
        <w:t>Громова Е.А. Соглашение об осуществлении технико-внедренческой деятельности в особых экономических зонах: монография / Е.А. Громова</w:t>
      </w:r>
    </w:p>
    <w:p w:rsidR="00517711" w:rsidRDefault="00F815BE">
      <w:pPr>
        <w:pStyle w:val="af4"/>
        <w:numPr>
          <w:ilvl w:val="0"/>
          <w:numId w:val="60"/>
        </w:numPr>
        <w:spacing w:after="0" w:line="240" w:lineRule="auto"/>
        <w:jc w:val="both"/>
        <w:rPr>
          <w:rFonts w:ascii="Times New Roman" w:hAnsi="Times New Roman"/>
          <w:sz w:val="20"/>
          <w:szCs w:val="20"/>
        </w:rPr>
      </w:pPr>
      <w:r>
        <w:rPr>
          <w:rFonts w:ascii="Times New Roman" w:hAnsi="Times New Roman"/>
          <w:sz w:val="20"/>
          <w:szCs w:val="20"/>
        </w:rPr>
        <w:t xml:space="preserve">Гражданский кодекс Российской Федерации. Часть первая от 30.11.1994 г. № 51-ФЗ (ред. от 29.12.2017) [Электронный ресурс] // СПС «КонсультантПлюс». </w:t>
      </w:r>
      <w:r>
        <w:rPr>
          <w:rFonts w:ascii="Times New Roman" w:hAnsi="Times New Roman"/>
          <w:sz w:val="20"/>
          <w:szCs w:val="20"/>
          <w:lang w:eastAsia="ru-RU"/>
        </w:rPr>
        <w:t>–</w:t>
      </w:r>
      <w:r>
        <w:rPr>
          <w:rFonts w:ascii="Times New Roman" w:hAnsi="Times New Roman"/>
          <w:sz w:val="20"/>
          <w:szCs w:val="20"/>
        </w:rPr>
        <w:t xml:space="preserve"> Режим доступа: http://www.consultant.ru/cons/cgi/online.cgi?req=doc&amp;base=LAW&amp;n=220995&amp;fld=134&amp;dst=1000000001,0&amp;rnd=0.5090055976058554#0</w:t>
      </w:r>
    </w:p>
    <w:p w:rsidR="00517711" w:rsidRDefault="00F815BE">
      <w:pPr>
        <w:pStyle w:val="af4"/>
        <w:numPr>
          <w:ilvl w:val="0"/>
          <w:numId w:val="60"/>
        </w:numPr>
        <w:spacing w:after="0" w:line="240" w:lineRule="auto"/>
        <w:jc w:val="both"/>
        <w:rPr>
          <w:rFonts w:ascii="Times New Roman" w:hAnsi="Times New Roman"/>
          <w:sz w:val="20"/>
          <w:szCs w:val="20"/>
        </w:rPr>
      </w:pPr>
      <w:r>
        <w:rPr>
          <w:rFonts w:ascii="Times New Roman" w:hAnsi="Times New Roman"/>
          <w:sz w:val="20"/>
          <w:szCs w:val="20"/>
        </w:rPr>
        <w:t>Комментарий к Федеральному закону от 22.07.2005 г. № 116-ФЗ «Об особых экономических зонах в Российской федерации» / Бирюкова Т.А., Карташова Ю.А., Беляев М.А., Шишелова С.А., Сидорова Т.Ю.,Гришина Я.С., Ющенко Н.А., Григорьева А.А. // Саратов: Ай Пи Эр Медиа. – 2013. – 231 с.</w:t>
      </w:r>
    </w:p>
    <w:p w:rsidR="00517711" w:rsidRDefault="00F815BE">
      <w:pPr>
        <w:pStyle w:val="af4"/>
        <w:numPr>
          <w:ilvl w:val="0"/>
          <w:numId w:val="60"/>
        </w:numPr>
        <w:spacing w:after="0" w:line="240" w:lineRule="auto"/>
        <w:jc w:val="both"/>
        <w:rPr>
          <w:rFonts w:ascii="Times New Roman" w:hAnsi="Times New Roman"/>
          <w:sz w:val="20"/>
          <w:szCs w:val="20"/>
        </w:rPr>
      </w:pPr>
      <w:r>
        <w:rPr>
          <w:rFonts w:ascii="Times New Roman" w:hAnsi="Times New Roman"/>
          <w:sz w:val="20"/>
          <w:szCs w:val="20"/>
        </w:rPr>
        <w:t>Об особых экономических зонах: федеральный закон от 22.07.2005 г. № 116-ФЗ (ред. от 18.07.2017) [Электронный ресурс] // СПС «КонсультантПлюс» – Режим доступа: http://www.consultant.ru/cons/cgi/online.cgi?req=doc&amp;base=LAW&amp;n=220377&amp;fld=134&amp;dst=1000000001,0&amp;rnd=0.9501732265503107#07568538106880172</w:t>
      </w:r>
    </w:p>
    <w:p w:rsidR="00517711" w:rsidRDefault="00F815BE">
      <w:pPr>
        <w:pStyle w:val="af4"/>
        <w:numPr>
          <w:ilvl w:val="0"/>
          <w:numId w:val="60"/>
        </w:numPr>
        <w:spacing w:after="0" w:line="240" w:lineRule="auto"/>
        <w:jc w:val="both"/>
        <w:rPr>
          <w:rFonts w:ascii="Times New Roman" w:hAnsi="Times New Roman"/>
          <w:sz w:val="20"/>
          <w:szCs w:val="20"/>
        </w:rPr>
      </w:pPr>
      <w:r>
        <w:rPr>
          <w:rFonts w:ascii="Times New Roman" w:hAnsi="Times New Roman"/>
          <w:color w:val="000000"/>
          <w:sz w:val="20"/>
          <w:szCs w:val="20"/>
        </w:rPr>
        <w:t xml:space="preserve">О территориях опережающего социально-экономического развития в Российской Федерации: федеральный закон от 29.12.2014 г. № 473-ФЗ (ред. от 31.12.2017) [Электронный ресурс] // СПС «КонсультантПлюс» </w:t>
      </w:r>
      <w:r>
        <w:rPr>
          <w:rFonts w:ascii="Times New Roman" w:hAnsi="Times New Roman"/>
          <w:sz w:val="20"/>
          <w:szCs w:val="20"/>
        </w:rPr>
        <w:t>– Режим доступа: http://www.consultant.ru/cons/cgi/online.cgi?req=doc&amp;base=LAW&amp;n=287095&amp;fld=134&amp;dst=1000000001,0&amp;rnd=0.37704667800304903#026184525840420103</w:t>
      </w:r>
    </w:p>
    <w:p w:rsidR="00517711" w:rsidRDefault="00F815BE">
      <w:pPr>
        <w:pStyle w:val="aff8"/>
        <w:numPr>
          <w:ilvl w:val="0"/>
          <w:numId w:val="60"/>
        </w:numPr>
        <w:jc w:val="both"/>
        <w:rPr>
          <w:rFonts w:ascii="Times New Roman" w:cs="Times New Roman"/>
          <w:sz w:val="20"/>
          <w:szCs w:val="20"/>
        </w:rPr>
      </w:pPr>
      <w:r>
        <w:rPr>
          <w:rFonts w:ascii="Times New Roman" w:eastAsia="Times New Roman" w:cs="Times New Roman"/>
          <w:sz w:val="20"/>
          <w:szCs w:val="20"/>
        </w:rPr>
        <w:t>О свободном порте Владивосток: федеральный закон от 13.07.2015 г. № 212-ФЗ (ред. от 29.12.2017) [Электронный ресурс] // СПС «КонсультантПлюс» – Режим доступа: http://www.consultant.ru/cons/cgi/online.cgi?req=doc&amp;base=LAW&amp;n=287030&amp;fld=134&amp;dst=1000000001,0&amp;rnd=0.7611071293934688#0023476509354699582</w:t>
      </w:r>
      <w:r>
        <w:rPr>
          <w:rFonts w:ascii="Times New Roman" w:eastAsia="Times New Roman" w:cs="Times New Roman"/>
          <w:sz w:val="20"/>
          <w:szCs w:val="20"/>
        </w:rPr>
        <w:tab/>
      </w:r>
    </w:p>
    <w:p w:rsidR="00517711" w:rsidRDefault="00F815BE">
      <w:pPr>
        <w:pStyle w:val="af4"/>
        <w:numPr>
          <w:ilvl w:val="0"/>
          <w:numId w:val="60"/>
        </w:numPr>
        <w:spacing w:after="0" w:line="240" w:lineRule="auto"/>
        <w:jc w:val="both"/>
        <w:rPr>
          <w:rFonts w:ascii="Times New Roman" w:hAnsi="Times New Roman"/>
          <w:sz w:val="20"/>
          <w:szCs w:val="20"/>
          <w:lang w:eastAsia="ru-RU"/>
        </w:rPr>
      </w:pPr>
      <w:r>
        <w:rPr>
          <w:rFonts w:ascii="Times New Roman" w:hAnsi="Times New Roman"/>
          <w:sz w:val="20"/>
          <w:szCs w:val="20"/>
        </w:rPr>
        <w:t xml:space="preserve">Серебрякова Е.Е. Технико-внедренческие особые экономические зоны: правовые аспекты создания и функционирования: автореф. дис. канд. юр. наук: 12.00.03 / Серебрякова Екатерина Евгеньевна. </w:t>
      </w:r>
      <w:r>
        <w:rPr>
          <w:rFonts w:ascii="Times New Roman" w:hAnsi="Times New Roman"/>
          <w:sz w:val="20"/>
          <w:szCs w:val="20"/>
          <w:lang w:eastAsia="ru-RU"/>
        </w:rPr>
        <w:t>– СПб., 2011 – 27 с.</w:t>
      </w:r>
    </w:p>
    <w:p w:rsidR="00517711" w:rsidRDefault="00517711">
      <w:pPr>
        <w:spacing w:after="0" w:line="240" w:lineRule="auto"/>
        <w:rPr>
          <w:rFonts w:ascii="Times New Roman" w:hAnsi="Times New Roman"/>
          <w:sz w:val="24"/>
          <w:szCs w:val="24"/>
        </w:rPr>
      </w:pP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Юридические науки</w:t>
      </w:r>
    </w:p>
    <w:p w:rsidR="00517711" w:rsidRDefault="00F815BE">
      <w:pPr>
        <w:spacing w:after="0" w:line="240" w:lineRule="auto"/>
        <w:jc w:val="both"/>
        <w:rPr>
          <w:rFonts w:ascii="Times New Roman" w:eastAsia="Calibri" w:hAnsi="Times New Roman"/>
          <w:sz w:val="20"/>
          <w:szCs w:val="20"/>
        </w:rPr>
      </w:pPr>
      <w:r>
        <w:rPr>
          <w:rFonts w:ascii="Times New Roman" w:eastAsia="Calibri" w:hAnsi="Times New Roman"/>
          <w:sz w:val="20"/>
          <w:szCs w:val="20"/>
        </w:rPr>
        <w:t>УДК 342.9</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Система нормативно-правовых актов КНР, регулирующих внешнеэкономическую деятельность</w:t>
      </w:r>
    </w:p>
    <w:p w:rsidR="00517711" w:rsidRDefault="00F815BE">
      <w:pPr>
        <w:keepNext/>
        <w:spacing w:after="0" w:line="240" w:lineRule="auto"/>
        <w:jc w:val="center"/>
        <w:outlineLvl w:val="0"/>
        <w:rPr>
          <w:rFonts w:ascii="Arial" w:eastAsia="Calibri" w:hAnsi="Arial"/>
          <w:b/>
          <w:bCs/>
          <w:sz w:val="24"/>
          <w:szCs w:val="20"/>
          <w:lang w:eastAsia="ru-RU"/>
        </w:rPr>
      </w:pPr>
      <w:r>
        <w:rPr>
          <w:rFonts w:ascii="Arial" w:eastAsia="Calibri" w:hAnsi="Arial"/>
          <w:b/>
          <w:bCs/>
          <w:sz w:val="24"/>
          <w:szCs w:val="20"/>
          <w:lang w:eastAsia="ru-RU"/>
        </w:rPr>
        <w:t>Егорова Ирина Олеговна,</w:t>
      </w:r>
    </w:p>
    <w:p w:rsidR="00517711" w:rsidRDefault="00F815BE">
      <w:pPr>
        <w:keepNext/>
        <w:spacing w:after="240" w:line="240" w:lineRule="auto"/>
        <w:jc w:val="center"/>
        <w:outlineLvl w:val="0"/>
        <w:rPr>
          <w:rFonts w:ascii="Arial" w:eastAsia="Calibri" w:hAnsi="Arial"/>
          <w:bCs/>
          <w:sz w:val="24"/>
          <w:szCs w:val="20"/>
          <w:lang w:eastAsia="ru-RU"/>
        </w:rPr>
      </w:pPr>
      <w:r>
        <w:rPr>
          <w:rFonts w:ascii="Arial" w:eastAsia="Calibri" w:hAnsi="Arial"/>
          <w:bCs/>
          <w:sz w:val="24"/>
          <w:szCs w:val="20"/>
          <w:lang w:eastAsia="ru-RU"/>
        </w:rPr>
        <w:t>бакалавр</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spacing w:after="0" w:line="240" w:lineRule="auto"/>
        <w:ind w:firstLine="709"/>
        <w:jc w:val="center"/>
        <w:rPr>
          <w:sz w:val="18"/>
          <w:szCs w:val="24"/>
        </w:rPr>
      </w:pPr>
      <w:r>
        <w:rPr>
          <w:rFonts w:ascii="Times New Roman" w:hAnsi="Times New Roman"/>
          <w:sz w:val="20"/>
          <w:szCs w:val="24"/>
          <w:lang w:val="en-US"/>
        </w:rPr>
        <w:t>E</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 xml:space="preserve">: </w:t>
      </w:r>
      <w:r>
        <w:rPr>
          <w:rFonts w:ascii="Times New Roman" w:hAnsi="Times New Roman"/>
          <w:sz w:val="20"/>
          <w:szCs w:val="24"/>
          <w:lang w:val="en-US"/>
        </w:rPr>
        <w:t>iegorova</w:t>
      </w:r>
      <w:r>
        <w:rPr>
          <w:rFonts w:ascii="Times New Roman" w:hAnsi="Times New Roman"/>
          <w:sz w:val="20"/>
          <w:szCs w:val="24"/>
        </w:rPr>
        <w:t>009@</w:t>
      </w:r>
      <w:r>
        <w:rPr>
          <w:rFonts w:ascii="Times New Roman" w:hAnsi="Times New Roman"/>
          <w:sz w:val="20"/>
          <w:szCs w:val="24"/>
          <w:lang w:val="en-US"/>
        </w:rPr>
        <w:t>gmail</w:t>
      </w:r>
      <w:r>
        <w:rPr>
          <w:rFonts w:ascii="Times New Roman" w:hAnsi="Times New Roman"/>
          <w:sz w:val="20"/>
          <w:szCs w:val="24"/>
        </w:rPr>
        <w:t>.</w:t>
      </w:r>
      <w:r>
        <w:rPr>
          <w:rFonts w:ascii="Times New Roman" w:hAnsi="Times New Roman"/>
          <w:sz w:val="20"/>
          <w:szCs w:val="24"/>
          <w:lang w:val="en-US"/>
        </w:rPr>
        <w:t>com</w:t>
      </w:r>
      <w:r>
        <w:rPr>
          <w:rFonts w:ascii="Times New Roman" w:hAnsi="Times New Roman"/>
          <w:sz w:val="20"/>
          <w:szCs w:val="24"/>
        </w:rPr>
        <w:t>; тел.: 89147152202</w:t>
      </w:r>
    </w:p>
    <w:p w:rsidR="00517711" w:rsidRDefault="00F815BE">
      <w:pPr>
        <w:widowControl w:val="0"/>
        <w:shd w:val="clear" w:color="auto" w:fill="FFFFFF"/>
        <w:spacing w:line="480" w:lineRule="auto"/>
        <w:ind w:firstLine="567"/>
        <w:contextualSpacing/>
        <w:jc w:val="center"/>
        <w:rPr>
          <w:sz w:val="18"/>
          <w:szCs w:val="24"/>
        </w:rPr>
      </w:pPr>
      <w:r>
        <w:rPr>
          <w:rFonts w:ascii="Times New Roman" w:hAnsi="Times New Roman"/>
          <w:sz w:val="20"/>
          <w:szCs w:val="24"/>
        </w:rPr>
        <w:t>ул. Гоголя, 41, г. Владивосток, Приморский край, Россия, 690014</w:t>
      </w:r>
    </w:p>
    <w:p w:rsidR="00517711" w:rsidRDefault="00F815BE">
      <w:pPr>
        <w:widowControl w:val="0"/>
        <w:shd w:val="clear" w:color="auto" w:fill="FFFFFF"/>
        <w:spacing w:after="0" w:line="240" w:lineRule="auto"/>
        <w:ind w:firstLine="567"/>
        <w:contextualSpacing/>
        <w:jc w:val="both"/>
        <w:rPr>
          <w:rFonts w:ascii="Times New Roman" w:hAnsi="Times New Roman"/>
          <w:i/>
          <w:szCs w:val="24"/>
          <w:lang w:eastAsia="ru-RU"/>
        </w:rPr>
      </w:pPr>
      <w:r>
        <w:rPr>
          <w:rFonts w:ascii="Times New Roman" w:hAnsi="Times New Roman"/>
          <w:i/>
          <w:szCs w:val="24"/>
          <w:lang w:eastAsia="ru-RU"/>
        </w:rPr>
        <w:t xml:space="preserve">Статья посвящена анализу системы нормативно-правовых актов КНР, регулирующих внешнеэкономическую деятельность. Иерархия нормативно-правовых актов Китая устанавливается Законом КНР О правотворчестве. В статье рассмотрены основные нормативно-правовые акты, регулирующие ВЭД. </w:t>
      </w:r>
    </w:p>
    <w:p w:rsidR="00517711" w:rsidRDefault="00F815BE">
      <w:pPr>
        <w:widowControl w:val="0"/>
        <w:shd w:val="clear" w:color="auto" w:fill="FFFFFF"/>
        <w:spacing w:after="0" w:line="240" w:lineRule="auto"/>
        <w:ind w:firstLine="567"/>
        <w:contextualSpacing/>
        <w:jc w:val="both"/>
        <w:rPr>
          <w:sz w:val="20"/>
          <w:szCs w:val="24"/>
        </w:rPr>
      </w:pPr>
      <w:r>
        <w:rPr>
          <w:rFonts w:ascii="Times New Roman" w:hAnsi="Times New Roman"/>
          <w:b/>
          <w:i/>
          <w:szCs w:val="24"/>
          <w:lang w:eastAsia="ru-RU"/>
        </w:rPr>
        <w:t>Ключевые слова и словосочетания</w:t>
      </w:r>
      <w:r>
        <w:rPr>
          <w:rFonts w:ascii="Times New Roman" w:hAnsi="Times New Roman"/>
          <w:i/>
          <w:szCs w:val="24"/>
          <w:lang w:eastAsia="ru-RU"/>
        </w:rPr>
        <w:t>: система законодательства, КНР, ВЭД, Закон о внешнеэкономической деятельности КНР, Таможенный кодекс КНР.</w:t>
      </w:r>
    </w:p>
    <w:p w:rsidR="00517711" w:rsidRDefault="00F815BE">
      <w:pPr>
        <w:keepNext/>
        <w:spacing w:before="240" w:after="240" w:line="240" w:lineRule="auto"/>
        <w:jc w:val="center"/>
        <w:outlineLvl w:val="0"/>
        <w:rPr>
          <w:rFonts w:ascii="Book Antiqua" w:hAnsi="Book Antiqua"/>
          <w:b/>
          <w:bCs/>
          <w:caps/>
          <w:sz w:val="26"/>
          <w:szCs w:val="26"/>
          <w:lang w:val="en-US"/>
        </w:rPr>
      </w:pPr>
      <w:r>
        <w:rPr>
          <w:rFonts w:ascii="Book Antiqua" w:hAnsi="Book Antiqua"/>
          <w:b/>
          <w:bCs/>
          <w:caps/>
          <w:sz w:val="26"/>
          <w:szCs w:val="26"/>
          <w:lang w:val="en-US"/>
        </w:rPr>
        <w:lastRenderedPageBreak/>
        <w:t>System of normative legal acts of China, which regulate foreign economic activity</w:t>
      </w:r>
    </w:p>
    <w:p w:rsidR="00517711" w:rsidRDefault="00F815BE">
      <w:pPr>
        <w:widowControl w:val="0"/>
        <w:shd w:val="clear" w:color="auto" w:fill="FFFFFF"/>
        <w:spacing w:after="0" w:line="240" w:lineRule="auto"/>
        <w:ind w:firstLine="709"/>
        <w:contextualSpacing/>
        <w:jc w:val="both"/>
        <w:rPr>
          <w:sz w:val="20"/>
          <w:szCs w:val="24"/>
          <w:lang w:val="en-US"/>
        </w:rPr>
      </w:pPr>
      <w:r>
        <w:rPr>
          <w:rFonts w:ascii="Times New Roman" w:hAnsi="Times New Roman"/>
          <w:i/>
          <w:szCs w:val="24"/>
          <w:lang w:val="en-US" w:eastAsia="ru-RU"/>
        </w:rPr>
        <w:t xml:space="preserve">The article is devoted to the analysis of the system of regulatory and legal acts of China that regulate foreign economic activity. The hierarchy of regulatory legal acts of China is established by the Law of the People's Republic of China on Lawmaking. In the article the main regulatory legal acts regulating foreign economic activity are considered. </w:t>
      </w:r>
    </w:p>
    <w:p w:rsidR="00517711" w:rsidRDefault="00F815BE">
      <w:pPr>
        <w:widowControl w:val="0"/>
        <w:shd w:val="clear" w:color="auto" w:fill="FFFFFF"/>
        <w:spacing w:after="0" w:line="240" w:lineRule="auto"/>
        <w:ind w:firstLine="709"/>
        <w:contextualSpacing/>
        <w:jc w:val="both"/>
        <w:rPr>
          <w:sz w:val="20"/>
          <w:szCs w:val="24"/>
          <w:lang w:val="en-US"/>
        </w:rPr>
      </w:pPr>
      <w:r>
        <w:rPr>
          <w:rFonts w:ascii="Times New Roman" w:hAnsi="Times New Roman"/>
          <w:b/>
          <w:i/>
          <w:szCs w:val="24"/>
          <w:lang w:val="en-US" w:eastAsia="ru-RU"/>
        </w:rPr>
        <w:t>Keywords and phrases</w:t>
      </w:r>
      <w:r>
        <w:rPr>
          <w:rFonts w:ascii="Times New Roman" w:hAnsi="Times New Roman"/>
          <w:i/>
          <w:szCs w:val="24"/>
          <w:lang w:val="en-US" w:eastAsia="ru-RU"/>
        </w:rPr>
        <w:t>: the system of legislation, China, foreign economic activity, the Law on Foreign Economic Activity of the PRC, the Customs Code of China.</w:t>
      </w:r>
    </w:p>
    <w:p w:rsidR="00517711" w:rsidRDefault="00517711">
      <w:pPr>
        <w:widowControl w:val="0"/>
        <w:shd w:val="clear" w:color="auto" w:fill="FFFFFF"/>
        <w:spacing w:after="0" w:line="240" w:lineRule="auto"/>
        <w:ind w:firstLine="567"/>
        <w:contextualSpacing/>
        <w:jc w:val="both"/>
        <w:rPr>
          <w:rFonts w:ascii="Times New Roman" w:hAnsi="Times New Roman"/>
          <w:sz w:val="20"/>
          <w:szCs w:val="24"/>
          <w:lang w:val="en-US" w:eastAsia="ru-RU"/>
        </w:rPr>
      </w:pPr>
    </w:p>
    <w:p w:rsidR="00517711" w:rsidRDefault="00F815BE">
      <w:pPr>
        <w:widowControl w:val="0"/>
        <w:spacing w:after="0" w:line="240" w:lineRule="auto"/>
        <w:ind w:firstLine="709"/>
        <w:contextualSpacing/>
        <w:jc w:val="both"/>
        <w:rPr>
          <w:sz w:val="20"/>
          <w:szCs w:val="20"/>
        </w:rPr>
      </w:pPr>
      <w:r>
        <w:rPr>
          <w:rFonts w:ascii="Times New Roman" w:hAnsi="Times New Roman"/>
          <w:sz w:val="20"/>
          <w:szCs w:val="20"/>
        </w:rPr>
        <w:t>Актуальность и научная новизна темы исследования состоит в том, что экономика Китая направлена, в основном, на экспорт. Следовательно, китайскому законодателю необходимо регламентировать не только процедуру экспорта, но также и обеспечивать защиту интересов китайских предпринимателей. Также исследовав законодательство Китая можно найти полезные законодательные техники для нашего отечественного законодателя, чтобы ввести их в национальное законодательство.</w:t>
      </w:r>
    </w:p>
    <w:p w:rsidR="00517711" w:rsidRDefault="00F815BE">
      <w:pPr>
        <w:widowControl w:val="0"/>
        <w:spacing w:after="0" w:line="240" w:lineRule="auto"/>
        <w:ind w:firstLine="709"/>
        <w:contextualSpacing/>
        <w:jc w:val="both"/>
        <w:rPr>
          <w:sz w:val="20"/>
          <w:szCs w:val="20"/>
        </w:rPr>
      </w:pPr>
      <w:r>
        <w:rPr>
          <w:rFonts w:ascii="Times New Roman" w:hAnsi="Times New Roman"/>
          <w:sz w:val="20"/>
          <w:szCs w:val="20"/>
          <w:lang w:eastAsia="ru-RU"/>
        </w:rPr>
        <w:t xml:space="preserve">Целью работы </w:t>
      </w:r>
      <w:r>
        <w:rPr>
          <w:rFonts w:ascii="Times New Roman" w:hAnsi="Times New Roman"/>
          <w:color w:val="000000"/>
          <w:sz w:val="20"/>
          <w:szCs w:val="20"/>
        </w:rPr>
        <w:t xml:space="preserve">является выявление внутреннего строения законодательства Китая в области внешнеэкономической деятельности (далее – ВЭД). </w:t>
      </w:r>
      <w:r>
        <w:rPr>
          <w:rFonts w:ascii="Times New Roman" w:hAnsi="Times New Roman"/>
          <w:sz w:val="20"/>
          <w:szCs w:val="20"/>
        </w:rPr>
        <w:t>Для достижения данной цели необходимо решить следующие задачи:</w:t>
      </w:r>
    </w:p>
    <w:p w:rsidR="00517711" w:rsidRDefault="00F815BE">
      <w:pPr>
        <w:widowControl w:val="0"/>
        <w:spacing w:after="0" w:line="240" w:lineRule="auto"/>
        <w:ind w:firstLine="709"/>
        <w:contextualSpacing/>
        <w:jc w:val="both"/>
        <w:rPr>
          <w:sz w:val="20"/>
          <w:szCs w:val="20"/>
        </w:rPr>
      </w:pPr>
      <w:r>
        <w:rPr>
          <w:rFonts w:ascii="Times New Roman" w:hAnsi="Times New Roman"/>
          <w:sz w:val="20"/>
          <w:szCs w:val="20"/>
        </w:rPr>
        <w:t>1) проанализировать общие закономерности построения системы законодательства Китая;</w:t>
      </w:r>
    </w:p>
    <w:p w:rsidR="00517711" w:rsidRDefault="00F815BE">
      <w:pPr>
        <w:widowControl w:val="0"/>
        <w:spacing w:after="0" w:line="240" w:lineRule="auto"/>
        <w:ind w:firstLine="709"/>
        <w:contextualSpacing/>
        <w:jc w:val="both"/>
        <w:rPr>
          <w:sz w:val="20"/>
          <w:szCs w:val="20"/>
        </w:rPr>
      </w:pPr>
      <w:r>
        <w:rPr>
          <w:rFonts w:ascii="Times New Roman" w:hAnsi="Times New Roman"/>
          <w:sz w:val="20"/>
          <w:szCs w:val="20"/>
        </w:rPr>
        <w:t>2) исследовать внутреннее строение законодательства Китая в области ВЭД.</w:t>
      </w:r>
    </w:p>
    <w:p w:rsidR="00517711" w:rsidRDefault="00F815BE">
      <w:pPr>
        <w:widowControl w:val="0"/>
        <w:spacing w:after="0" w:line="240" w:lineRule="auto"/>
        <w:ind w:firstLine="709"/>
        <w:contextualSpacing/>
        <w:jc w:val="both"/>
        <w:rPr>
          <w:sz w:val="20"/>
          <w:szCs w:val="20"/>
        </w:rPr>
      </w:pPr>
      <w:r>
        <w:rPr>
          <w:rFonts w:ascii="Times New Roman" w:hAnsi="Times New Roman"/>
          <w:sz w:val="20"/>
          <w:szCs w:val="20"/>
        </w:rPr>
        <w:t>Методологическую основу работы составляют методы: анализа, индукции и сравнение.</w:t>
      </w:r>
    </w:p>
    <w:p w:rsidR="00517711" w:rsidRDefault="00F815BE">
      <w:pPr>
        <w:widowControl w:val="0"/>
        <w:spacing w:after="0" w:line="240" w:lineRule="auto"/>
        <w:ind w:firstLine="709"/>
        <w:contextualSpacing/>
        <w:jc w:val="both"/>
        <w:rPr>
          <w:sz w:val="20"/>
          <w:szCs w:val="20"/>
        </w:rPr>
      </w:pPr>
      <w:r>
        <w:rPr>
          <w:rFonts w:ascii="Times New Roman" w:hAnsi="Times New Roman"/>
          <w:color w:val="000000"/>
          <w:sz w:val="20"/>
          <w:szCs w:val="20"/>
          <w:shd w:val="clear" w:color="auto" w:fill="FFFFFF"/>
        </w:rPr>
        <w:t>Иерархия нормативно-правовых актов устанавливается главой 5 закона КНР О правотворчестве [1]. Ст. 78 данного закона дублирует ст. 5 Конституции КНР, где указано, что «Конституция КНР обладает высшей юридической силой. Все законы, административно-правовые акты, местное законодательство, положения об автономии и отдельно действующие положения, правила не должны противоречить Конституции» [1, ст. 78]. В соответствии с данной главой следующее место, после Конституции КНР занимает Закон. Если приводить аналогию, то в Российском законодательстве данные Законы схожи с Федеральными Законами. Так, Закон обладает высшей юридической силой по сравнению с административно-правовым актом, местным законодательством, правилами, а административно-правовой акт обладает высшей юридической силой по сравнению с местным законодательством, правилами. В свою очередь местное законодательство обладает высшей юридической силой по сравнению с правилами местных правительств соответствующей и ниже ступени. А правила, принятые народными правительствами провинций, автономных районов обладают высшей юридической силой по сравнению с правилами, принятыми народными правительствами сравнительно крупных городов соответствующих административных районов. Положения правил министерств и местных правительств обладают одинаковой силой и применяются в рамках собственной компетенции. Отдельным звеном в законодательной системе являются нормативно-правовые акты, которые регулируют военную сферу и международные договоры.</w:t>
      </w:r>
    </w:p>
    <w:p w:rsidR="00517711" w:rsidRDefault="00F815BE">
      <w:pPr>
        <w:widowControl w:val="0"/>
        <w:spacing w:after="0" w:line="240" w:lineRule="auto"/>
        <w:ind w:firstLine="709"/>
        <w:contextualSpacing/>
        <w:jc w:val="both"/>
        <w:rPr>
          <w:sz w:val="20"/>
          <w:szCs w:val="20"/>
        </w:rPr>
      </w:pPr>
      <w:r>
        <w:rPr>
          <w:rFonts w:ascii="Times New Roman" w:hAnsi="Times New Roman"/>
          <w:color w:val="000000"/>
          <w:sz w:val="20"/>
          <w:szCs w:val="20"/>
          <w:shd w:val="clear" w:color="auto" w:fill="FFFFFF"/>
        </w:rPr>
        <w:t>Одним из основных законов в сфере внешнеэкономической деятельности</w:t>
      </w:r>
      <w:r>
        <w:rPr>
          <w:rFonts w:ascii="Times New Roman" w:hAnsi="Times New Roman"/>
          <w:i/>
          <w:color w:val="000000"/>
          <w:sz w:val="20"/>
          <w:szCs w:val="20"/>
          <w:shd w:val="clear" w:color="auto" w:fill="FFFFFF"/>
        </w:rPr>
        <w:t xml:space="preserve"> (</w:t>
      </w:r>
      <w:r>
        <w:rPr>
          <w:rFonts w:ascii="Times New Roman" w:hAnsi="Times New Roman"/>
          <w:color w:val="000000"/>
          <w:sz w:val="20"/>
          <w:szCs w:val="20"/>
        </w:rPr>
        <w:t xml:space="preserve">далее – ВЭД) является Закон о внешней торговле </w:t>
      </w:r>
      <w:r>
        <w:rPr>
          <w:rFonts w:ascii="Times New Roman" w:hAnsi="Times New Roman"/>
          <w:color w:val="000000"/>
          <w:sz w:val="20"/>
          <w:szCs w:val="20"/>
          <w:shd w:val="clear" w:color="auto" w:fill="FFFFFF"/>
        </w:rPr>
        <w:t xml:space="preserve">[2]. </w:t>
      </w:r>
      <w:r>
        <w:rPr>
          <w:rFonts w:ascii="Times New Roman" w:hAnsi="Times New Roman"/>
          <w:color w:val="000000"/>
          <w:sz w:val="20"/>
          <w:szCs w:val="20"/>
        </w:rPr>
        <w:t xml:space="preserve">Данный закон был </w:t>
      </w:r>
      <w:r>
        <w:rPr>
          <w:rFonts w:ascii="Times New Roman" w:hAnsi="Times New Roman"/>
          <w:color w:val="000000"/>
          <w:sz w:val="20"/>
          <w:szCs w:val="20"/>
          <w:shd w:val="clear" w:color="auto" w:fill="FFFFFF"/>
        </w:rPr>
        <w:t xml:space="preserve">принят 12 мая 1994 года Постоянным комитетом Всекитайского собрания народных представителей (далее − ПК ВСНП) на седьмой сессии двенадцатого созыва. В закон были внесены ПК ВСНП изменения от 6 апреля 2004 года на восьмой сессии десятого созыва. Закон о внешней торговле вступил в силу на территории Китая с первого июля 2004 года. </w:t>
      </w:r>
      <w:r>
        <w:rPr>
          <w:rFonts w:ascii="Times New Roman" w:hAnsi="Times New Roman"/>
          <w:sz w:val="20"/>
          <w:szCs w:val="20"/>
        </w:rPr>
        <w:t xml:space="preserve">Действующий закон </w:t>
      </w:r>
      <w:r>
        <w:rPr>
          <w:rFonts w:ascii="Times New Roman" w:hAnsi="Times New Roman"/>
          <w:color w:val="000000"/>
          <w:sz w:val="20"/>
          <w:szCs w:val="20"/>
          <w:shd w:val="clear" w:color="auto" w:fill="FFFFFF"/>
        </w:rPr>
        <w:t xml:space="preserve">состоит из 11 глав и 70 статей. Закон устанавливает основные правила допуска организаций к внешнеторговой деятельности, экспорта и импорта товаров, технологий, международной торговли услугами, охраны прав интеллектуальной собственности, проведения расследований во внешней торговле, содействия внешней торговле, использованию мер правовой защиты, а также юридическую ответственность за правонарушения в сфере внешней торговли. </w:t>
      </w:r>
      <w:r>
        <w:rPr>
          <w:rFonts w:ascii="Times New Roman" w:hAnsi="Times New Roman"/>
          <w:color w:val="000000"/>
          <w:sz w:val="20"/>
          <w:szCs w:val="20"/>
        </w:rPr>
        <w:t xml:space="preserve">Закон о внешней торговле </w:t>
      </w:r>
      <w:r>
        <w:rPr>
          <w:rFonts w:ascii="Times New Roman" w:hAnsi="Times New Roman"/>
          <w:color w:val="000000"/>
          <w:sz w:val="20"/>
          <w:szCs w:val="20"/>
          <w:shd w:val="clear" w:color="auto" w:fill="FFFFFF"/>
        </w:rPr>
        <w:t>регулирует общественные отношения, которые связаны с международной торговлей, а также отношения, которые связаны с правами интеллектуальной собственности.</w:t>
      </w:r>
    </w:p>
    <w:p w:rsidR="00517711" w:rsidRDefault="00F815BE">
      <w:pPr>
        <w:widowControl w:val="0"/>
        <w:spacing w:after="0" w:line="240" w:lineRule="auto"/>
        <w:ind w:firstLine="709"/>
        <w:contextualSpacing/>
        <w:jc w:val="both"/>
        <w:rPr>
          <w:sz w:val="20"/>
          <w:szCs w:val="20"/>
        </w:rPr>
      </w:pPr>
      <w:r>
        <w:rPr>
          <w:rFonts w:ascii="Times New Roman" w:hAnsi="Times New Roman"/>
          <w:color w:val="000000"/>
          <w:sz w:val="20"/>
          <w:szCs w:val="20"/>
          <w:shd w:val="clear" w:color="auto" w:fill="FFFFFF"/>
        </w:rPr>
        <w:t>Еще одним значимым Законом в системе законодательства КНР в сфере внешнеэкономической деятельности (далее – ВЭД) является Закон об</w:t>
      </w:r>
      <w:r>
        <w:rPr>
          <w:rFonts w:ascii="Times New Roman" w:hAnsi="Times New Roman"/>
          <w:b/>
          <w:color w:val="000000"/>
          <w:sz w:val="20"/>
          <w:szCs w:val="20"/>
          <w:shd w:val="clear" w:color="auto" w:fill="FFFFFF"/>
        </w:rPr>
        <w:t xml:space="preserve"> </w:t>
      </w:r>
      <w:r>
        <w:rPr>
          <w:rFonts w:ascii="Times New Roman" w:hAnsi="Times New Roman"/>
          <w:color w:val="000000"/>
          <w:sz w:val="20"/>
          <w:szCs w:val="20"/>
          <w:shd w:val="clear" w:color="auto" w:fill="FFFFFF"/>
        </w:rPr>
        <w:t>инспектировании импортных и экспортных товаров, принятый на шестой сессии ПК ВСНП седьмого созыва 21 февраля 1989 года [3]. Данный закон ввелся с целями улучшения проверки импортируемых и экспортируемых товаров, регулирования проверки импортируемых и экспортируемых товаров, защиты государственных интересов, а также законных прав и интересов сторон, занятых в импортно-экспортных операциях, и развития экономических и торговых связей Китая с зарубежными странами.</w:t>
      </w:r>
    </w:p>
    <w:p w:rsidR="00517711" w:rsidRDefault="00F815BE">
      <w:pPr>
        <w:widowControl w:val="0"/>
        <w:spacing w:after="0" w:line="240" w:lineRule="auto"/>
        <w:ind w:firstLine="709"/>
        <w:contextualSpacing/>
        <w:jc w:val="both"/>
        <w:rPr>
          <w:sz w:val="20"/>
          <w:szCs w:val="20"/>
        </w:rPr>
      </w:pPr>
      <w:r>
        <w:rPr>
          <w:rFonts w:ascii="Times New Roman" w:hAnsi="Times New Roman"/>
          <w:sz w:val="20"/>
          <w:szCs w:val="20"/>
        </w:rPr>
        <w:t xml:space="preserve">В соответствии с Законом О внешней торговле Государственным советом (далее </w:t>
      </w:r>
      <w:r>
        <w:rPr>
          <w:rFonts w:ascii="Times New Roman" w:hAnsi="Times New Roman"/>
          <w:color w:val="000000"/>
          <w:sz w:val="20"/>
          <w:szCs w:val="20"/>
        </w:rPr>
        <w:t xml:space="preserve">–Госсовет) </w:t>
      </w:r>
      <w:r>
        <w:rPr>
          <w:rFonts w:ascii="Times New Roman" w:hAnsi="Times New Roman"/>
          <w:sz w:val="20"/>
          <w:szCs w:val="20"/>
        </w:rPr>
        <w:t xml:space="preserve"> были приняты положения КНР Об антидемпинговых мерах 1 января 2001 года </w:t>
      </w:r>
      <w:r>
        <w:rPr>
          <w:rFonts w:ascii="Times New Roman" w:hAnsi="Times New Roman"/>
          <w:color w:val="000000"/>
          <w:sz w:val="20"/>
          <w:szCs w:val="20"/>
          <w:shd w:val="clear" w:color="auto" w:fill="FFFFFF"/>
        </w:rPr>
        <w:t xml:space="preserve">[4]. </w:t>
      </w:r>
      <w:r>
        <w:rPr>
          <w:rFonts w:ascii="Times New Roman" w:hAnsi="Times New Roman"/>
          <w:sz w:val="20"/>
          <w:szCs w:val="20"/>
        </w:rPr>
        <w:t>Данный акт является административно-правовым актом. Данные положения регламентируют принятие антидемпинговых мер для защиты отечественных производителей.</w:t>
      </w:r>
    </w:p>
    <w:p w:rsidR="00517711" w:rsidRDefault="00F815BE">
      <w:pPr>
        <w:widowControl w:val="0"/>
        <w:spacing w:after="0" w:line="240" w:lineRule="auto"/>
        <w:ind w:firstLine="709"/>
        <w:contextualSpacing/>
        <w:jc w:val="both"/>
        <w:rPr>
          <w:sz w:val="20"/>
          <w:szCs w:val="20"/>
        </w:rPr>
      </w:pPr>
      <w:r>
        <w:rPr>
          <w:rFonts w:ascii="Times New Roman" w:hAnsi="Times New Roman"/>
          <w:sz w:val="20"/>
          <w:szCs w:val="20"/>
        </w:rPr>
        <w:t>К местному законодательству в сфере ВЭД относятся акты, принимаемые отдельными провинциями в соответствии с вышестоящими законами и административно-правовыми актами.</w:t>
      </w:r>
    </w:p>
    <w:p w:rsidR="00517711" w:rsidRDefault="00F815BE">
      <w:pPr>
        <w:widowControl w:val="0"/>
        <w:spacing w:after="0" w:line="240" w:lineRule="auto"/>
        <w:ind w:firstLine="709"/>
        <w:contextualSpacing/>
        <w:jc w:val="both"/>
        <w:rPr>
          <w:sz w:val="20"/>
          <w:szCs w:val="20"/>
        </w:rPr>
      </w:pPr>
      <w:r>
        <w:rPr>
          <w:rFonts w:ascii="Times New Roman" w:hAnsi="Times New Roman"/>
          <w:sz w:val="20"/>
          <w:szCs w:val="20"/>
        </w:rPr>
        <w:lastRenderedPageBreak/>
        <w:t xml:space="preserve">Следующими актами в иерархии системы законодательства в сфере ВЭД являются Правила Госсовета. К примеру, Правила об определении места происхождения товара импортируемых и экспортируемых товаров, принятые 1 января 2005 года Госсоветом КНР. Данный акт был принят на 61 исполнительном заседании Госсовета 18 августа 2004 года </w:t>
      </w:r>
      <w:r>
        <w:rPr>
          <w:rFonts w:ascii="Times New Roman" w:hAnsi="Times New Roman"/>
          <w:color w:val="000000"/>
          <w:sz w:val="20"/>
          <w:szCs w:val="20"/>
          <w:shd w:val="clear" w:color="auto" w:fill="FFFFFF"/>
        </w:rPr>
        <w:t>[5].</w:t>
      </w:r>
    </w:p>
    <w:p w:rsidR="00517711" w:rsidRDefault="00F815BE">
      <w:pPr>
        <w:widowControl w:val="0"/>
        <w:spacing w:after="0" w:line="240" w:lineRule="auto"/>
        <w:ind w:firstLine="709"/>
        <w:contextualSpacing/>
        <w:jc w:val="both"/>
        <w:rPr>
          <w:sz w:val="20"/>
          <w:szCs w:val="20"/>
        </w:rPr>
      </w:pPr>
      <w:r>
        <w:rPr>
          <w:rFonts w:ascii="Times New Roman" w:hAnsi="Times New Roman"/>
          <w:color w:val="000000"/>
          <w:sz w:val="20"/>
          <w:szCs w:val="20"/>
          <w:shd w:val="clear" w:color="auto" w:fill="FFFFFF"/>
        </w:rPr>
        <w:t>Следующей ветвью в системе законодательства КНР в сфере ВЭД является таможенное законодательство. Так, Таможенный кодекс КНР был принят ПК ВСНП 22 января 1987 года [6]. 8 июля 2000 года на основании Постановления О внесении изменений в Таможенный кодекс КНР был данный кодекс дополнен и изменен. Закон состоит из 9 глав и 102 статей. Данный закон регулирует общественные отношения, которые возникают при осуществлении таможенной деятельности.</w:t>
      </w:r>
    </w:p>
    <w:p w:rsidR="00517711" w:rsidRDefault="00F815BE">
      <w:pPr>
        <w:widowControl w:val="0"/>
        <w:spacing w:after="0" w:line="240" w:lineRule="auto"/>
        <w:ind w:firstLine="709"/>
        <w:contextualSpacing/>
        <w:jc w:val="both"/>
        <w:rPr>
          <w:sz w:val="20"/>
          <w:szCs w:val="20"/>
        </w:rPr>
      </w:pPr>
      <w:r>
        <w:rPr>
          <w:rFonts w:ascii="Times New Roman" w:hAnsi="Times New Roman"/>
          <w:color w:val="000000"/>
          <w:sz w:val="20"/>
          <w:szCs w:val="20"/>
          <w:shd w:val="clear" w:color="auto" w:fill="FFFFFF"/>
        </w:rPr>
        <w:t>На основании Таможенного кодекса КНР</w:t>
      </w:r>
      <w:r>
        <w:rPr>
          <w:rFonts w:ascii="Times New Roman" w:hAnsi="Times New Roman"/>
          <w:b/>
          <w:color w:val="000000"/>
          <w:sz w:val="20"/>
          <w:szCs w:val="20"/>
          <w:shd w:val="clear" w:color="auto" w:fill="FFFFFF"/>
        </w:rPr>
        <w:t xml:space="preserve"> </w:t>
      </w:r>
      <w:r>
        <w:rPr>
          <w:rFonts w:ascii="Times New Roman" w:hAnsi="Times New Roman"/>
          <w:color w:val="000000"/>
          <w:sz w:val="20"/>
          <w:szCs w:val="20"/>
          <w:shd w:val="clear" w:color="auto" w:fill="FFFFFF"/>
        </w:rPr>
        <w:t xml:space="preserve">в целях реализации таможенной защиты прав интеллектуальной собственности, развития внешнеэкономической деятельности и торговли был принят административно-правовой акт. 5 июля 1995 года в Китае были опубликованы и приняты Госсоветом Положения О защите прав интеллектуальной собственности КНР [7].  Так, 2 декабря 2003 года вышла исправленная редакция Положений, служащая правовой основой для принятия таможней КНР мер по защите прав интеллектуальной собственности. Данное положение применяется с 1 марта 2004 года. Данный акт регулирует меры защиты, предпринимаемые таможенными органами в отношении экспортируемых или импортируемых товаров, содержащих охраняемые законодательством и административными правовыми актами КНР объекты исключительных прав на товарные знаки, авторских и смежных прав, патентных прав. </w:t>
      </w:r>
    </w:p>
    <w:p w:rsidR="00517711" w:rsidRDefault="00F815BE">
      <w:pPr>
        <w:widowControl w:val="0"/>
        <w:spacing w:after="0" w:line="240" w:lineRule="auto"/>
        <w:ind w:firstLine="709"/>
        <w:contextualSpacing/>
        <w:jc w:val="both"/>
        <w:rPr>
          <w:sz w:val="20"/>
          <w:szCs w:val="20"/>
        </w:rPr>
      </w:pPr>
      <w:r>
        <w:rPr>
          <w:rFonts w:ascii="Times New Roman" w:hAnsi="Times New Roman"/>
          <w:color w:val="000000"/>
          <w:sz w:val="20"/>
          <w:szCs w:val="20"/>
          <w:shd w:val="clear" w:color="auto" w:fill="FFFFFF"/>
        </w:rPr>
        <w:t>Следующим административно-правовым актом является Регламент КНР О применении таможенными органами административных наказаний</w:t>
      </w:r>
      <w:r>
        <w:rPr>
          <w:rFonts w:ascii="Times New Roman" w:hAnsi="Times New Roman"/>
          <w:b/>
          <w:color w:val="000000"/>
          <w:sz w:val="20"/>
          <w:szCs w:val="20"/>
          <w:shd w:val="clear" w:color="auto" w:fill="FFFFFF"/>
        </w:rPr>
        <w:t>,</w:t>
      </w:r>
      <w:r>
        <w:rPr>
          <w:rFonts w:ascii="Times New Roman" w:hAnsi="Times New Roman"/>
          <w:color w:val="000000"/>
          <w:sz w:val="20"/>
          <w:szCs w:val="20"/>
          <w:shd w:val="clear" w:color="auto" w:fill="FFFFFF"/>
        </w:rPr>
        <w:t xml:space="preserve"> принятый 1 сентября 2004 года на шестьдесят втором очередном рабочем заседании Госсовета [8]. Этот административно-правовой акт был принят в целях регулирования таможенного административного наказания, обеспечения осуществления таможенных процедур в соответствии с законодательством и защиты законных прав и интересов граждан, юридических лиц или других организаций. Данный регламент применяется к действиям по контрабанде, которые не попадают под уголовную ответственность, но, которые нарушают таможенное законодательство и подлежащим административному наказанию органами таможни в соответствии с законами и административными постановлениями.</w:t>
      </w:r>
    </w:p>
    <w:p w:rsidR="00517711" w:rsidRDefault="00F815BE">
      <w:pPr>
        <w:widowControl w:val="0"/>
        <w:spacing w:after="0" w:line="240" w:lineRule="auto"/>
        <w:ind w:firstLine="709"/>
        <w:contextualSpacing/>
        <w:jc w:val="both"/>
        <w:rPr>
          <w:sz w:val="20"/>
          <w:szCs w:val="20"/>
        </w:rPr>
      </w:pPr>
      <w:r>
        <w:rPr>
          <w:rFonts w:ascii="Times New Roman" w:hAnsi="Times New Roman"/>
          <w:color w:val="000000"/>
          <w:sz w:val="20"/>
          <w:szCs w:val="20"/>
          <w:shd w:val="clear" w:color="auto" w:fill="FFFFFF"/>
        </w:rPr>
        <w:t>Составной частью системы законодательства являются акты главных управлений. К примеру, акты Таможенного управления. Остановимся на Постановлении Таможенного управления О порядке рассмотрения простых случаев административного наказания, принятые на исполнительном заседании Главного Таможенного управления 23 февраля 2010 года, вступившие в силу  с 1 апреля 2010 года [9]. Данный акт детализирует процедуру, которая содержится в ст. 33 Закона КНР Об административных наказаниях. Так, «При наличии неопровержимых фактов и собранных в соответствии с законом доказательств в отношении совершенного правонарушения в случае, если гражданин подлежит штрафу в размере до пятидесяти юаней, а юридическое лицо либо иная организация до тысячи юаней или вынесению в их адрес предупреждения как вида административного наказания, то постановление о назначении административного наказания выносится на месте». То есть, данное постановление регулирует отношения в области упрощенного порядка вынесения постановления о назначении административного наказания. В соответствии со ст. 3 данного Постановления к упрощенному порядку относится действия, нарушающие таможенные правила, при которых стоимость товаров составляет менее 200000 юаней или стоимость изделий составляет менее 50000 юаней.</w:t>
      </w:r>
    </w:p>
    <w:p w:rsidR="00517711" w:rsidRDefault="00F815BE">
      <w:pPr>
        <w:widowControl w:val="0"/>
        <w:spacing w:after="0" w:line="240" w:lineRule="auto"/>
        <w:ind w:firstLine="709"/>
        <w:contextualSpacing/>
        <w:jc w:val="both"/>
        <w:rPr>
          <w:sz w:val="20"/>
          <w:szCs w:val="20"/>
        </w:rPr>
      </w:pPr>
      <w:r>
        <w:rPr>
          <w:rFonts w:ascii="Times New Roman" w:hAnsi="Times New Roman"/>
          <w:color w:val="000000"/>
          <w:sz w:val="20"/>
          <w:szCs w:val="20"/>
          <w:shd w:val="clear" w:color="auto" w:fill="FFFFFF"/>
        </w:rPr>
        <w:t>Также для защиты интеллектуальной собственности был принят Регламент Управления таможенной службы КНР от 14.02.2007 г. по надзору и контролю над ввозом и вывозом печатных материалов и аудиовизуальной продукции, который был утвержден Распоряжением Генерального управления таможенной службы Китайской Народной Республики № 161 от 18.04.2007 года [10].</w:t>
      </w:r>
    </w:p>
    <w:p w:rsidR="00517711" w:rsidRDefault="00F815BE">
      <w:pPr>
        <w:widowControl w:val="0"/>
        <w:spacing w:after="0" w:line="240" w:lineRule="auto"/>
        <w:ind w:firstLine="709"/>
        <w:contextualSpacing/>
        <w:jc w:val="both"/>
        <w:rPr>
          <w:sz w:val="20"/>
          <w:szCs w:val="20"/>
        </w:rPr>
      </w:pPr>
      <w:r>
        <w:rPr>
          <w:rFonts w:ascii="Times New Roman" w:hAnsi="Times New Roman"/>
          <w:color w:val="000000"/>
          <w:sz w:val="20"/>
          <w:szCs w:val="20"/>
          <w:shd w:val="clear" w:color="auto" w:fill="FFFFFF"/>
        </w:rPr>
        <w:t xml:space="preserve">В Российском законодательстве нет нормативно акта, который бы регулировал иерархию нормативно-правовых актов. Так, особенностью системы законодательства Китая является то, что существует специальный Закон О правотворческой деятельности, который устанавливает систему источников права и их соотношение друг с другом по юридической силе. Иерархия нормативно-правовых актов в соответствии с Законом О правотворческой деятельности выглядит следующим образом: Конституция КНР, Законы, административно-правовые акты, местное законодательство и правила. Отдельную ветвь занимают правила, решения и приказы в военной сфере, и международные договоры. </w:t>
      </w:r>
    </w:p>
    <w:p w:rsidR="00517711" w:rsidRDefault="00F815BE">
      <w:pPr>
        <w:widowControl w:val="0"/>
        <w:spacing w:after="0" w:line="240" w:lineRule="auto"/>
        <w:ind w:firstLine="709"/>
        <w:contextualSpacing/>
        <w:jc w:val="both"/>
        <w:rPr>
          <w:sz w:val="20"/>
          <w:szCs w:val="20"/>
        </w:rPr>
      </w:pPr>
      <w:r>
        <w:rPr>
          <w:rFonts w:ascii="Times New Roman" w:hAnsi="Times New Roman"/>
          <w:color w:val="000000"/>
          <w:sz w:val="20"/>
          <w:szCs w:val="20"/>
          <w:shd w:val="clear" w:color="auto" w:fill="FFFFFF"/>
        </w:rPr>
        <w:t>Внешнеторговая политика КНР реализуется с помощью различных инструментов государственного регулирования. Основными Законами в сфере ВЭД являются: Закон КНР о внешней торговле, Закон об</w:t>
      </w:r>
      <w:r>
        <w:rPr>
          <w:rFonts w:ascii="Times New Roman" w:hAnsi="Times New Roman"/>
          <w:b/>
          <w:color w:val="000000"/>
          <w:sz w:val="20"/>
          <w:szCs w:val="20"/>
          <w:shd w:val="clear" w:color="auto" w:fill="FFFFFF"/>
        </w:rPr>
        <w:t xml:space="preserve"> </w:t>
      </w:r>
      <w:r>
        <w:rPr>
          <w:rFonts w:ascii="Times New Roman" w:hAnsi="Times New Roman"/>
          <w:color w:val="000000"/>
          <w:sz w:val="20"/>
          <w:szCs w:val="20"/>
          <w:shd w:val="clear" w:color="auto" w:fill="FFFFFF"/>
        </w:rPr>
        <w:t>инспектировании импортных и экспортных товаров и Таможенный кодекс КНР. Одними из основных административно-правовых актов в сфере ВЭД являются: положения КНР Об антидемпинговых мерах, Положения О защите прав интеллектуальной собственности КНР и Регламент КНР О применении таможенными органами административных наказаний. Местное законодательство также может принимать акты, не нарушая Законы и Конституцию КНР. Интересным является то, что составной частью системы законодательства КНР являются и акты Таможенного управления. Можно привести в пример Постановление Таможенного управления О порядке рассмотрения простых случаев административного наказания и</w:t>
      </w:r>
      <w:r>
        <w:rPr>
          <w:rFonts w:ascii="Times New Roman" w:hAnsi="Times New Roman"/>
          <w:b/>
          <w:color w:val="000000"/>
          <w:sz w:val="20"/>
          <w:szCs w:val="20"/>
          <w:shd w:val="clear" w:color="auto" w:fill="FFFFFF"/>
        </w:rPr>
        <w:t xml:space="preserve"> </w:t>
      </w:r>
      <w:r>
        <w:rPr>
          <w:rFonts w:ascii="Times New Roman" w:hAnsi="Times New Roman"/>
          <w:color w:val="000000"/>
          <w:sz w:val="20"/>
          <w:szCs w:val="20"/>
          <w:shd w:val="clear" w:color="auto" w:fill="FFFFFF"/>
        </w:rPr>
        <w:t>Регламент Управления таможенной службы КНР по надзору и контролю над ввозом и вывозом печатных материалов и аудиовизуальной продукции. Таможенное управление принимает акты, не нарушая вышестоящие нормативно-правовые акты. В основном, данные акты более детально регламентируют административно-правовые акты. Акты главных управлений являются заключительными звеньями в системе законодательства Китая.</w:t>
      </w:r>
    </w:p>
    <w:p w:rsidR="00517711" w:rsidRDefault="00F815BE">
      <w:pPr>
        <w:widowControl w:val="0"/>
        <w:spacing w:after="0" w:line="240" w:lineRule="auto"/>
        <w:ind w:firstLine="709"/>
        <w:contextualSpacing/>
        <w:jc w:val="both"/>
        <w:rPr>
          <w:sz w:val="20"/>
          <w:szCs w:val="20"/>
        </w:rPr>
      </w:pPr>
      <w:r>
        <w:rPr>
          <w:rFonts w:ascii="Times New Roman" w:hAnsi="Times New Roman"/>
          <w:color w:val="000000"/>
          <w:sz w:val="20"/>
          <w:szCs w:val="20"/>
          <w:shd w:val="clear" w:color="auto" w:fill="FFFFFF"/>
        </w:rPr>
        <w:lastRenderedPageBreak/>
        <w:t>На основании вышеизложенного можно сделать вывод, что государство на всех уровнях активно защищает права своих отечественных предпринимателей. База законодательства, на которой строиться ВЭД, обширна. Думается, что основным катализатором для создания такой законодательной базы, стало вступление Китая во Всемирную Торговую Организацию в 2001 году. Что в свою очередь положительно отразилось на системе нормативно-правовых актах.</w:t>
      </w:r>
    </w:p>
    <w:p w:rsidR="00517711" w:rsidRDefault="00F815BE">
      <w:pPr>
        <w:widowControl w:val="0"/>
        <w:spacing w:after="0" w:line="240" w:lineRule="auto"/>
        <w:contextualSpacing/>
        <w:rPr>
          <w:sz w:val="20"/>
          <w:szCs w:val="20"/>
        </w:rPr>
      </w:pPr>
      <w:r>
        <w:rPr>
          <w:rFonts w:ascii="Times New Roman" w:hAnsi="Times New Roman"/>
          <w:b/>
          <w:sz w:val="20"/>
          <w:szCs w:val="20"/>
        </w:rPr>
        <w:t>______________________________________</w:t>
      </w:r>
    </w:p>
    <w:p w:rsidR="00517711" w:rsidRDefault="00F815BE">
      <w:pPr>
        <w:widowControl w:val="0"/>
        <w:numPr>
          <w:ilvl w:val="0"/>
          <w:numId w:val="33"/>
        </w:numPr>
        <w:spacing w:after="0" w:line="240" w:lineRule="auto"/>
        <w:ind w:left="0" w:firstLine="709"/>
        <w:contextualSpacing/>
        <w:jc w:val="both"/>
        <w:rPr>
          <w:rFonts w:ascii="Times New Roman" w:hAnsi="Times New Roman" w:cs="Times New Roman"/>
          <w:sz w:val="20"/>
          <w:szCs w:val="20"/>
        </w:rPr>
      </w:pPr>
      <w:r>
        <w:rPr>
          <w:rFonts w:ascii="Times New Roman" w:eastAsia="SimSun" w:hAnsi="Times New Roman" w:cs="Times New Roman"/>
          <w:sz w:val="20"/>
          <w:szCs w:val="20"/>
        </w:rPr>
        <w:t>中华人民共和国立法法</w:t>
      </w:r>
      <w:r>
        <w:rPr>
          <w:rFonts w:ascii="Times New Roman" w:hAnsi="Times New Roman" w:cs="Times New Roman"/>
          <w:sz w:val="20"/>
          <w:szCs w:val="20"/>
        </w:rPr>
        <w:t>[</w:t>
      </w:r>
      <w:r>
        <w:rPr>
          <w:rFonts w:ascii="Times New Roman" w:eastAsia="SimSun" w:hAnsi="Times New Roman" w:cs="Times New Roman"/>
          <w:sz w:val="20"/>
          <w:szCs w:val="20"/>
        </w:rPr>
        <w:t>网络资源</w:t>
      </w:r>
      <w:r>
        <w:rPr>
          <w:rFonts w:ascii="Times New Roman" w:hAnsi="Times New Roman" w:cs="Times New Roman"/>
          <w:sz w:val="20"/>
          <w:szCs w:val="20"/>
        </w:rPr>
        <w:t>] //</w:t>
      </w:r>
      <w:r>
        <w:rPr>
          <w:rFonts w:ascii="Times New Roman" w:eastAsia="SimSun" w:hAnsi="Times New Roman" w:cs="Times New Roman"/>
          <w:sz w:val="20"/>
          <w:szCs w:val="20"/>
        </w:rPr>
        <w:t>中国人大网</w:t>
      </w:r>
      <w:r>
        <w:rPr>
          <w:rFonts w:ascii="Times New Roman" w:hAnsi="Times New Roman" w:cs="Times New Roman"/>
          <w:sz w:val="20"/>
          <w:szCs w:val="20"/>
        </w:rPr>
        <w:t xml:space="preserve">. − </w:t>
      </w:r>
      <w:r>
        <w:rPr>
          <w:rFonts w:ascii="Times New Roman" w:hAnsi="Times New Roman" w:cs="Times New Roman"/>
          <w:sz w:val="20"/>
          <w:szCs w:val="20"/>
          <w:lang w:val="en-US"/>
        </w:rPr>
        <w:t>URL</w:t>
      </w:r>
      <w:r>
        <w:rPr>
          <w:rFonts w:ascii="Times New Roman" w:hAnsi="Times New Roman" w:cs="Times New Roman"/>
          <w:sz w:val="20"/>
          <w:szCs w:val="20"/>
        </w:rPr>
        <w:t xml:space="preserve">: </w:t>
      </w:r>
      <w:r>
        <w:rPr>
          <w:rFonts w:ascii="Times New Roman" w:hAnsi="Times New Roman" w:cs="Times New Roman"/>
          <w:sz w:val="20"/>
          <w:szCs w:val="20"/>
          <w:lang w:val="en-US"/>
        </w:rPr>
        <w:t>http</w:t>
      </w:r>
      <w:r>
        <w:rPr>
          <w:rFonts w:ascii="Times New Roman" w:hAnsi="Times New Roman" w:cs="Times New Roman"/>
          <w:sz w:val="20"/>
          <w:szCs w:val="20"/>
        </w:rPr>
        <w:t>://</w:t>
      </w:r>
      <w:r>
        <w:rPr>
          <w:rFonts w:ascii="Times New Roman" w:hAnsi="Times New Roman" w:cs="Times New Roman"/>
          <w:sz w:val="20"/>
          <w:szCs w:val="20"/>
          <w:lang w:val="en-US"/>
        </w:rPr>
        <w:t>www</w:t>
      </w:r>
      <w:r>
        <w:rPr>
          <w:rFonts w:ascii="Times New Roman" w:hAnsi="Times New Roman" w:cs="Times New Roman"/>
          <w:sz w:val="20"/>
          <w:szCs w:val="20"/>
        </w:rPr>
        <w:t>.</w:t>
      </w:r>
      <w:r>
        <w:rPr>
          <w:rFonts w:ascii="Times New Roman" w:hAnsi="Times New Roman" w:cs="Times New Roman"/>
          <w:sz w:val="20"/>
          <w:szCs w:val="20"/>
          <w:lang w:val="en-US"/>
        </w:rPr>
        <w:t>npc</w:t>
      </w:r>
      <w:r>
        <w:rPr>
          <w:rFonts w:ascii="Times New Roman" w:hAnsi="Times New Roman" w:cs="Times New Roman"/>
          <w:sz w:val="20"/>
          <w:szCs w:val="20"/>
        </w:rPr>
        <w:t>.</w:t>
      </w:r>
      <w:r>
        <w:rPr>
          <w:rFonts w:ascii="Times New Roman" w:hAnsi="Times New Roman" w:cs="Times New Roman"/>
          <w:sz w:val="20"/>
          <w:szCs w:val="20"/>
          <w:lang w:val="en-US"/>
        </w:rPr>
        <w:t>gov</w:t>
      </w:r>
      <w:r>
        <w:rPr>
          <w:rFonts w:ascii="Times New Roman" w:hAnsi="Times New Roman" w:cs="Times New Roman"/>
          <w:sz w:val="20"/>
          <w:szCs w:val="20"/>
        </w:rPr>
        <w:t>.</w:t>
      </w:r>
      <w:r>
        <w:rPr>
          <w:rFonts w:ascii="Times New Roman" w:hAnsi="Times New Roman" w:cs="Times New Roman"/>
          <w:sz w:val="20"/>
          <w:szCs w:val="20"/>
          <w:lang w:val="en-US"/>
        </w:rPr>
        <w:t>cn</w:t>
      </w:r>
      <w:r>
        <w:rPr>
          <w:rFonts w:ascii="Times New Roman" w:hAnsi="Times New Roman" w:cs="Times New Roman"/>
          <w:sz w:val="20"/>
          <w:szCs w:val="20"/>
        </w:rPr>
        <w:t>/</w:t>
      </w:r>
      <w:r>
        <w:rPr>
          <w:rFonts w:ascii="Times New Roman" w:hAnsi="Times New Roman" w:cs="Times New Roman"/>
          <w:sz w:val="20"/>
          <w:szCs w:val="20"/>
          <w:lang w:val="en-US"/>
        </w:rPr>
        <w:t>npc</w:t>
      </w:r>
      <w:r>
        <w:rPr>
          <w:rFonts w:ascii="Times New Roman" w:hAnsi="Times New Roman" w:cs="Times New Roman"/>
          <w:sz w:val="20"/>
          <w:szCs w:val="20"/>
        </w:rPr>
        <w:t>/</w:t>
      </w:r>
      <w:r>
        <w:rPr>
          <w:rFonts w:ascii="Times New Roman" w:hAnsi="Times New Roman" w:cs="Times New Roman"/>
          <w:sz w:val="20"/>
          <w:szCs w:val="20"/>
          <w:lang w:val="en-US"/>
        </w:rPr>
        <w:t>dbdhhy</w:t>
      </w:r>
      <w:r>
        <w:rPr>
          <w:rFonts w:ascii="Times New Roman" w:hAnsi="Times New Roman" w:cs="Times New Roman"/>
          <w:sz w:val="20"/>
          <w:szCs w:val="20"/>
        </w:rPr>
        <w:t>/12_3/2015-03/18/</w:t>
      </w:r>
      <w:r>
        <w:rPr>
          <w:rFonts w:ascii="Times New Roman" w:hAnsi="Times New Roman" w:cs="Times New Roman"/>
          <w:sz w:val="20"/>
          <w:szCs w:val="20"/>
          <w:lang w:val="en-US"/>
        </w:rPr>
        <w:t>content</w:t>
      </w:r>
      <w:r>
        <w:rPr>
          <w:rFonts w:ascii="Times New Roman" w:hAnsi="Times New Roman" w:cs="Times New Roman"/>
          <w:sz w:val="20"/>
          <w:szCs w:val="20"/>
        </w:rPr>
        <w:t>_1930713.</w:t>
      </w:r>
      <w:r>
        <w:rPr>
          <w:rFonts w:ascii="Times New Roman" w:hAnsi="Times New Roman" w:cs="Times New Roman"/>
          <w:sz w:val="20"/>
          <w:szCs w:val="20"/>
          <w:lang w:val="en-US"/>
        </w:rPr>
        <w:t>htm</w:t>
      </w:r>
    </w:p>
    <w:p w:rsidR="00517711" w:rsidRDefault="00F815BE">
      <w:pPr>
        <w:widowControl w:val="0"/>
        <w:numPr>
          <w:ilvl w:val="0"/>
          <w:numId w:val="33"/>
        </w:numPr>
        <w:spacing w:after="0" w:line="240" w:lineRule="auto"/>
        <w:ind w:left="0" w:firstLine="709"/>
        <w:contextualSpacing/>
        <w:jc w:val="both"/>
        <w:rPr>
          <w:rFonts w:ascii="Times New Roman" w:hAnsi="Times New Roman" w:cs="Times New Roman"/>
          <w:sz w:val="20"/>
          <w:szCs w:val="20"/>
        </w:rPr>
      </w:pPr>
      <w:r>
        <w:rPr>
          <w:rFonts w:ascii="Times New Roman" w:eastAsia="SimSun" w:hAnsi="Times New Roman" w:cs="Times New Roman"/>
          <w:sz w:val="20"/>
          <w:szCs w:val="20"/>
          <w:shd w:val="clear" w:color="auto" w:fill="FFFFFF"/>
          <w:lang w:val="en-US"/>
        </w:rPr>
        <w:t>中华人民共和国主席令</w:t>
      </w:r>
      <w:r>
        <w:rPr>
          <w:rFonts w:ascii="Times New Roman" w:hAnsi="Times New Roman" w:cs="Times New Roman"/>
          <w:sz w:val="20"/>
          <w:szCs w:val="20"/>
        </w:rPr>
        <w:t>[</w:t>
      </w:r>
      <w:r>
        <w:rPr>
          <w:rFonts w:ascii="Times New Roman" w:eastAsia="SimSun" w:hAnsi="Times New Roman" w:cs="Times New Roman"/>
          <w:sz w:val="20"/>
          <w:szCs w:val="20"/>
        </w:rPr>
        <w:t>网络资源</w:t>
      </w:r>
      <w:r>
        <w:rPr>
          <w:rFonts w:ascii="Times New Roman" w:hAnsi="Times New Roman" w:cs="Times New Roman"/>
          <w:sz w:val="20"/>
          <w:szCs w:val="20"/>
        </w:rPr>
        <w:t>] //</w:t>
      </w:r>
      <w:r>
        <w:rPr>
          <w:rFonts w:ascii="Times New Roman" w:eastAsia="SimSun" w:hAnsi="Times New Roman" w:cs="Times New Roman"/>
          <w:sz w:val="20"/>
          <w:szCs w:val="20"/>
        </w:rPr>
        <w:t>中国人大网</w:t>
      </w:r>
      <w:r>
        <w:rPr>
          <w:rFonts w:ascii="Times New Roman" w:hAnsi="Times New Roman" w:cs="Times New Roman"/>
          <w:sz w:val="20"/>
          <w:szCs w:val="20"/>
        </w:rPr>
        <w:t xml:space="preserve">. − </w:t>
      </w:r>
      <w:r>
        <w:rPr>
          <w:rFonts w:ascii="Times New Roman" w:hAnsi="Times New Roman" w:cs="Times New Roman"/>
          <w:sz w:val="20"/>
          <w:szCs w:val="20"/>
          <w:lang w:val="en-US"/>
        </w:rPr>
        <w:t>URL</w:t>
      </w:r>
      <w:r>
        <w:rPr>
          <w:rFonts w:ascii="Times New Roman" w:hAnsi="Times New Roman" w:cs="Times New Roman"/>
          <w:sz w:val="20"/>
          <w:szCs w:val="20"/>
        </w:rPr>
        <w:t xml:space="preserve">: </w:t>
      </w:r>
      <w:r>
        <w:rPr>
          <w:rFonts w:ascii="Times New Roman" w:hAnsi="Times New Roman" w:cs="Times New Roman"/>
          <w:sz w:val="20"/>
          <w:szCs w:val="20"/>
          <w:shd w:val="clear" w:color="auto" w:fill="FFFFFF"/>
          <w:lang w:val="en-US"/>
        </w:rPr>
        <w:t>http</w:t>
      </w:r>
      <w:r>
        <w:rPr>
          <w:rFonts w:ascii="Times New Roman" w:hAnsi="Times New Roman" w:cs="Times New Roman"/>
          <w:sz w:val="20"/>
          <w:szCs w:val="20"/>
          <w:shd w:val="clear" w:color="auto" w:fill="FFFFFF"/>
        </w:rPr>
        <w:t>://</w:t>
      </w:r>
      <w:r>
        <w:rPr>
          <w:rFonts w:ascii="Times New Roman" w:hAnsi="Times New Roman" w:cs="Times New Roman"/>
          <w:sz w:val="20"/>
          <w:szCs w:val="20"/>
          <w:shd w:val="clear" w:color="auto" w:fill="FFFFFF"/>
          <w:lang w:val="en-US"/>
        </w:rPr>
        <w:t>www</w:t>
      </w:r>
      <w:r>
        <w:rPr>
          <w:rFonts w:ascii="Times New Roman" w:hAnsi="Times New Roman" w:cs="Times New Roman"/>
          <w:sz w:val="20"/>
          <w:szCs w:val="20"/>
          <w:shd w:val="clear" w:color="auto" w:fill="FFFFFF"/>
        </w:rPr>
        <w:t>.</w:t>
      </w:r>
      <w:r>
        <w:rPr>
          <w:rFonts w:ascii="Times New Roman" w:hAnsi="Times New Roman" w:cs="Times New Roman"/>
          <w:sz w:val="20"/>
          <w:szCs w:val="20"/>
          <w:shd w:val="clear" w:color="auto" w:fill="FFFFFF"/>
          <w:lang w:val="en-US"/>
        </w:rPr>
        <w:t>npc</w:t>
      </w:r>
      <w:r>
        <w:rPr>
          <w:rFonts w:ascii="Times New Roman" w:hAnsi="Times New Roman" w:cs="Times New Roman"/>
          <w:sz w:val="20"/>
          <w:szCs w:val="20"/>
          <w:shd w:val="clear" w:color="auto" w:fill="FFFFFF"/>
        </w:rPr>
        <w:t>.</w:t>
      </w:r>
      <w:r>
        <w:rPr>
          <w:rFonts w:ascii="Times New Roman" w:hAnsi="Times New Roman" w:cs="Times New Roman"/>
          <w:sz w:val="20"/>
          <w:szCs w:val="20"/>
          <w:shd w:val="clear" w:color="auto" w:fill="FFFFFF"/>
          <w:lang w:val="en-US"/>
        </w:rPr>
        <w:t>gov</w:t>
      </w:r>
      <w:r>
        <w:rPr>
          <w:rFonts w:ascii="Times New Roman" w:hAnsi="Times New Roman" w:cs="Times New Roman"/>
          <w:sz w:val="20"/>
          <w:szCs w:val="20"/>
          <w:shd w:val="clear" w:color="auto" w:fill="FFFFFF"/>
        </w:rPr>
        <w:t>.</w:t>
      </w:r>
      <w:r>
        <w:rPr>
          <w:rFonts w:ascii="Times New Roman" w:hAnsi="Times New Roman" w:cs="Times New Roman"/>
          <w:sz w:val="20"/>
          <w:szCs w:val="20"/>
          <w:shd w:val="clear" w:color="auto" w:fill="FFFFFF"/>
          <w:lang w:val="en-US"/>
        </w:rPr>
        <w:t>cn</w:t>
      </w:r>
      <w:r>
        <w:rPr>
          <w:rFonts w:ascii="Times New Roman" w:hAnsi="Times New Roman" w:cs="Times New Roman"/>
          <w:sz w:val="20"/>
          <w:szCs w:val="20"/>
          <w:shd w:val="clear" w:color="auto" w:fill="FFFFFF"/>
        </w:rPr>
        <w:t>/</w:t>
      </w:r>
      <w:r>
        <w:rPr>
          <w:rFonts w:ascii="Times New Roman" w:hAnsi="Times New Roman" w:cs="Times New Roman"/>
          <w:sz w:val="20"/>
          <w:szCs w:val="20"/>
          <w:shd w:val="clear" w:color="auto" w:fill="FFFFFF"/>
          <w:lang w:val="en-US"/>
        </w:rPr>
        <w:t>npc</w:t>
      </w:r>
      <w:r>
        <w:rPr>
          <w:rFonts w:ascii="Times New Roman" w:hAnsi="Times New Roman" w:cs="Times New Roman"/>
          <w:sz w:val="20"/>
          <w:szCs w:val="20"/>
          <w:shd w:val="clear" w:color="auto" w:fill="FFFFFF"/>
        </w:rPr>
        <w:t>/</w:t>
      </w:r>
      <w:r>
        <w:rPr>
          <w:rFonts w:ascii="Times New Roman" w:hAnsi="Times New Roman" w:cs="Times New Roman"/>
          <w:sz w:val="20"/>
          <w:szCs w:val="20"/>
          <w:shd w:val="clear" w:color="auto" w:fill="FFFFFF"/>
          <w:lang w:val="en-US"/>
        </w:rPr>
        <w:t>xinwen</w:t>
      </w:r>
      <w:r>
        <w:rPr>
          <w:rFonts w:ascii="Times New Roman" w:hAnsi="Times New Roman" w:cs="Times New Roman"/>
          <w:sz w:val="20"/>
          <w:szCs w:val="20"/>
          <w:shd w:val="clear" w:color="auto" w:fill="FFFFFF"/>
        </w:rPr>
        <w:t>/2016-11/07/</w:t>
      </w:r>
      <w:r>
        <w:rPr>
          <w:rFonts w:ascii="Times New Roman" w:hAnsi="Times New Roman" w:cs="Times New Roman"/>
          <w:sz w:val="20"/>
          <w:szCs w:val="20"/>
          <w:shd w:val="clear" w:color="auto" w:fill="FFFFFF"/>
          <w:lang w:val="en-US"/>
        </w:rPr>
        <w:t>content</w:t>
      </w:r>
      <w:r>
        <w:rPr>
          <w:rFonts w:ascii="Times New Roman" w:hAnsi="Times New Roman" w:cs="Times New Roman"/>
          <w:sz w:val="20"/>
          <w:szCs w:val="20"/>
          <w:shd w:val="clear" w:color="auto" w:fill="FFFFFF"/>
        </w:rPr>
        <w:t>_2001581.</w:t>
      </w:r>
      <w:r>
        <w:rPr>
          <w:rFonts w:ascii="Times New Roman" w:hAnsi="Times New Roman" w:cs="Times New Roman"/>
          <w:sz w:val="20"/>
          <w:szCs w:val="20"/>
          <w:shd w:val="clear" w:color="auto" w:fill="FFFFFF"/>
          <w:lang w:val="en-US"/>
        </w:rPr>
        <w:t>htm</w:t>
      </w:r>
    </w:p>
    <w:p w:rsidR="00517711" w:rsidRDefault="00F815BE">
      <w:pPr>
        <w:widowControl w:val="0"/>
        <w:numPr>
          <w:ilvl w:val="0"/>
          <w:numId w:val="33"/>
        </w:numPr>
        <w:spacing w:after="0" w:line="240" w:lineRule="auto"/>
        <w:ind w:left="0" w:firstLine="709"/>
        <w:contextualSpacing/>
        <w:jc w:val="both"/>
        <w:rPr>
          <w:rFonts w:ascii="Times New Roman" w:hAnsi="Times New Roman" w:cs="Times New Roman"/>
          <w:sz w:val="20"/>
          <w:szCs w:val="20"/>
        </w:rPr>
      </w:pPr>
      <w:r>
        <w:rPr>
          <w:rFonts w:ascii="Times New Roman" w:eastAsia="SimSun" w:hAnsi="Times New Roman" w:cs="Times New Roman"/>
          <w:sz w:val="20"/>
          <w:szCs w:val="20"/>
        </w:rPr>
        <w:t>中华人民共和国进出口商品检验法网络资源</w:t>
      </w:r>
      <w:r>
        <w:rPr>
          <w:rFonts w:ascii="Times New Roman" w:hAnsi="Times New Roman" w:cs="Times New Roman"/>
          <w:sz w:val="20"/>
          <w:szCs w:val="20"/>
        </w:rPr>
        <w:t>] //</w:t>
      </w:r>
      <w:r>
        <w:rPr>
          <w:rFonts w:ascii="Times New Roman" w:eastAsia="SimSun" w:hAnsi="Times New Roman" w:cs="Times New Roman"/>
          <w:sz w:val="20"/>
          <w:szCs w:val="20"/>
        </w:rPr>
        <w:t>中华人民共和国商务部</w:t>
      </w:r>
      <w:r>
        <w:rPr>
          <w:rFonts w:ascii="Times New Roman" w:hAnsi="Times New Roman" w:cs="Times New Roman"/>
          <w:sz w:val="20"/>
          <w:szCs w:val="20"/>
        </w:rPr>
        <w:t xml:space="preserve">.− </w:t>
      </w:r>
      <w:r>
        <w:rPr>
          <w:rFonts w:ascii="Times New Roman" w:hAnsi="Times New Roman" w:cs="Times New Roman"/>
          <w:sz w:val="20"/>
          <w:szCs w:val="20"/>
          <w:lang w:val="en-US"/>
        </w:rPr>
        <w:t>URL</w:t>
      </w:r>
      <w:r>
        <w:rPr>
          <w:rFonts w:ascii="Times New Roman" w:hAnsi="Times New Roman" w:cs="Times New Roman"/>
          <w:sz w:val="20"/>
          <w:szCs w:val="20"/>
        </w:rPr>
        <w:t xml:space="preserve">: </w:t>
      </w:r>
      <w:r>
        <w:rPr>
          <w:rFonts w:ascii="Times New Roman" w:hAnsi="Times New Roman" w:cs="Times New Roman"/>
          <w:sz w:val="20"/>
          <w:szCs w:val="20"/>
          <w:lang w:val="en-US"/>
        </w:rPr>
        <w:t>http</w:t>
      </w:r>
      <w:r>
        <w:rPr>
          <w:rFonts w:ascii="Times New Roman" w:hAnsi="Times New Roman" w:cs="Times New Roman"/>
          <w:sz w:val="20"/>
          <w:szCs w:val="20"/>
        </w:rPr>
        <w:t>://</w:t>
      </w:r>
      <w:r>
        <w:rPr>
          <w:rFonts w:ascii="Times New Roman" w:hAnsi="Times New Roman" w:cs="Times New Roman"/>
          <w:sz w:val="20"/>
          <w:szCs w:val="20"/>
          <w:lang w:val="en-US"/>
        </w:rPr>
        <w:t>www</w:t>
      </w:r>
      <w:r>
        <w:rPr>
          <w:rFonts w:ascii="Times New Roman" w:hAnsi="Times New Roman" w:cs="Times New Roman"/>
          <w:sz w:val="20"/>
          <w:szCs w:val="20"/>
        </w:rPr>
        <w:t>.</w:t>
      </w:r>
      <w:r>
        <w:rPr>
          <w:rFonts w:ascii="Times New Roman" w:hAnsi="Times New Roman" w:cs="Times New Roman"/>
          <w:sz w:val="20"/>
          <w:szCs w:val="20"/>
          <w:lang w:val="en-US"/>
        </w:rPr>
        <w:t>mofcom</w:t>
      </w:r>
      <w:r>
        <w:rPr>
          <w:rFonts w:ascii="Times New Roman" w:hAnsi="Times New Roman" w:cs="Times New Roman"/>
          <w:sz w:val="20"/>
          <w:szCs w:val="20"/>
        </w:rPr>
        <w:t>.</w:t>
      </w:r>
      <w:r>
        <w:rPr>
          <w:rFonts w:ascii="Times New Roman" w:hAnsi="Times New Roman" w:cs="Times New Roman"/>
          <w:sz w:val="20"/>
          <w:szCs w:val="20"/>
          <w:lang w:val="en-US"/>
        </w:rPr>
        <w:t>gov</w:t>
      </w:r>
      <w:r>
        <w:rPr>
          <w:rFonts w:ascii="Times New Roman" w:hAnsi="Times New Roman" w:cs="Times New Roman"/>
          <w:sz w:val="20"/>
          <w:szCs w:val="20"/>
        </w:rPr>
        <w:t>.</w:t>
      </w:r>
      <w:r>
        <w:rPr>
          <w:rFonts w:ascii="Times New Roman" w:hAnsi="Times New Roman" w:cs="Times New Roman"/>
          <w:sz w:val="20"/>
          <w:szCs w:val="20"/>
          <w:lang w:val="en-US"/>
        </w:rPr>
        <w:t>cn</w:t>
      </w:r>
      <w:r>
        <w:rPr>
          <w:rFonts w:ascii="Times New Roman" w:hAnsi="Times New Roman" w:cs="Times New Roman"/>
          <w:sz w:val="20"/>
          <w:szCs w:val="20"/>
        </w:rPr>
        <w:t>/</w:t>
      </w:r>
      <w:r>
        <w:rPr>
          <w:rFonts w:ascii="Times New Roman" w:hAnsi="Times New Roman" w:cs="Times New Roman"/>
          <w:sz w:val="20"/>
          <w:szCs w:val="20"/>
          <w:lang w:val="en-US"/>
        </w:rPr>
        <w:t>article</w:t>
      </w:r>
      <w:r>
        <w:rPr>
          <w:rFonts w:ascii="Times New Roman" w:hAnsi="Times New Roman" w:cs="Times New Roman"/>
          <w:sz w:val="20"/>
          <w:szCs w:val="20"/>
        </w:rPr>
        <w:t>/</w:t>
      </w:r>
      <w:r>
        <w:rPr>
          <w:rFonts w:ascii="Times New Roman" w:hAnsi="Times New Roman" w:cs="Times New Roman"/>
          <w:sz w:val="20"/>
          <w:szCs w:val="20"/>
          <w:lang w:val="en-US"/>
        </w:rPr>
        <w:t>swfg</w:t>
      </w:r>
      <w:r>
        <w:rPr>
          <w:rFonts w:ascii="Times New Roman" w:hAnsi="Times New Roman" w:cs="Times New Roman"/>
          <w:sz w:val="20"/>
          <w:szCs w:val="20"/>
        </w:rPr>
        <w:t>/</w:t>
      </w:r>
      <w:r>
        <w:rPr>
          <w:rFonts w:ascii="Times New Roman" w:hAnsi="Times New Roman" w:cs="Times New Roman"/>
          <w:sz w:val="20"/>
          <w:szCs w:val="20"/>
          <w:lang w:val="en-US"/>
        </w:rPr>
        <w:t>swfgbf</w:t>
      </w:r>
      <w:r>
        <w:rPr>
          <w:rFonts w:ascii="Times New Roman" w:hAnsi="Times New Roman" w:cs="Times New Roman"/>
          <w:sz w:val="20"/>
          <w:szCs w:val="20"/>
        </w:rPr>
        <w:t>/201101/20110107350837.</w:t>
      </w:r>
      <w:r>
        <w:rPr>
          <w:rFonts w:ascii="Times New Roman" w:hAnsi="Times New Roman" w:cs="Times New Roman"/>
          <w:sz w:val="20"/>
          <w:szCs w:val="20"/>
          <w:lang w:val="en-US"/>
        </w:rPr>
        <w:t>shtml</w:t>
      </w:r>
    </w:p>
    <w:p w:rsidR="00517711" w:rsidRDefault="00F815BE">
      <w:pPr>
        <w:widowControl w:val="0"/>
        <w:numPr>
          <w:ilvl w:val="0"/>
          <w:numId w:val="33"/>
        </w:numPr>
        <w:spacing w:after="0" w:line="240" w:lineRule="auto"/>
        <w:ind w:left="0" w:firstLine="709"/>
        <w:contextualSpacing/>
        <w:jc w:val="both"/>
        <w:rPr>
          <w:rFonts w:ascii="Times New Roman" w:hAnsi="Times New Roman" w:cs="Times New Roman"/>
          <w:sz w:val="20"/>
          <w:szCs w:val="20"/>
        </w:rPr>
      </w:pPr>
      <w:r>
        <w:rPr>
          <w:rFonts w:ascii="Times New Roman" w:eastAsia="SimSun" w:hAnsi="Times New Roman" w:cs="Times New Roman"/>
          <w:sz w:val="20"/>
          <w:szCs w:val="20"/>
        </w:rPr>
        <w:t>中华人民共和国保障措施条例</w:t>
      </w:r>
      <w:r>
        <w:rPr>
          <w:rFonts w:ascii="Times New Roman" w:hAnsi="Times New Roman" w:cs="Times New Roman"/>
          <w:sz w:val="20"/>
          <w:szCs w:val="20"/>
        </w:rPr>
        <w:t>[</w:t>
      </w:r>
      <w:r>
        <w:rPr>
          <w:rFonts w:ascii="Times New Roman" w:eastAsia="SimSun" w:hAnsi="Times New Roman" w:cs="Times New Roman"/>
          <w:sz w:val="20"/>
          <w:szCs w:val="20"/>
        </w:rPr>
        <w:t>网络资源</w:t>
      </w:r>
      <w:r>
        <w:rPr>
          <w:rFonts w:ascii="Times New Roman" w:hAnsi="Times New Roman" w:cs="Times New Roman"/>
          <w:sz w:val="20"/>
          <w:szCs w:val="20"/>
        </w:rPr>
        <w:t>] //</w:t>
      </w:r>
      <w:r>
        <w:rPr>
          <w:rFonts w:ascii="Times New Roman" w:eastAsia="SimSun" w:hAnsi="Times New Roman" w:cs="Times New Roman"/>
          <w:sz w:val="20"/>
          <w:szCs w:val="20"/>
        </w:rPr>
        <w:t>中国人大网</w:t>
      </w:r>
      <w:r>
        <w:rPr>
          <w:rFonts w:ascii="Times New Roman" w:hAnsi="Times New Roman" w:cs="Times New Roman"/>
          <w:sz w:val="20"/>
          <w:szCs w:val="20"/>
        </w:rPr>
        <w:t xml:space="preserve">.− </w:t>
      </w:r>
      <w:r>
        <w:rPr>
          <w:rFonts w:ascii="Times New Roman" w:hAnsi="Times New Roman" w:cs="Times New Roman"/>
          <w:sz w:val="20"/>
          <w:szCs w:val="20"/>
          <w:lang w:val="en-US"/>
        </w:rPr>
        <w:t>URL</w:t>
      </w:r>
      <w:r>
        <w:rPr>
          <w:rFonts w:ascii="Times New Roman" w:hAnsi="Times New Roman" w:cs="Times New Roman"/>
          <w:sz w:val="20"/>
          <w:szCs w:val="20"/>
        </w:rPr>
        <w:t xml:space="preserve">: </w:t>
      </w:r>
      <w:r>
        <w:rPr>
          <w:rFonts w:ascii="Times New Roman" w:hAnsi="Times New Roman" w:cs="Times New Roman"/>
          <w:sz w:val="20"/>
          <w:szCs w:val="20"/>
          <w:lang w:val="en-US"/>
        </w:rPr>
        <w:t>http</w:t>
      </w:r>
      <w:r>
        <w:rPr>
          <w:rFonts w:ascii="Times New Roman" w:hAnsi="Times New Roman" w:cs="Times New Roman"/>
          <w:sz w:val="20"/>
          <w:szCs w:val="20"/>
        </w:rPr>
        <w:t>://</w:t>
      </w:r>
      <w:r>
        <w:rPr>
          <w:rFonts w:ascii="Times New Roman" w:hAnsi="Times New Roman" w:cs="Times New Roman"/>
          <w:sz w:val="20"/>
          <w:szCs w:val="20"/>
          <w:lang w:val="en-US"/>
        </w:rPr>
        <w:t>www</w:t>
      </w:r>
      <w:r>
        <w:rPr>
          <w:rFonts w:ascii="Times New Roman" w:hAnsi="Times New Roman" w:cs="Times New Roman"/>
          <w:sz w:val="20"/>
          <w:szCs w:val="20"/>
        </w:rPr>
        <w:t>.</w:t>
      </w:r>
      <w:r>
        <w:rPr>
          <w:rFonts w:ascii="Times New Roman" w:hAnsi="Times New Roman" w:cs="Times New Roman"/>
          <w:sz w:val="20"/>
          <w:szCs w:val="20"/>
          <w:lang w:val="en-US"/>
        </w:rPr>
        <w:t>gov</w:t>
      </w:r>
      <w:r>
        <w:rPr>
          <w:rFonts w:ascii="Times New Roman" w:hAnsi="Times New Roman" w:cs="Times New Roman"/>
          <w:sz w:val="20"/>
          <w:szCs w:val="20"/>
        </w:rPr>
        <w:t>.</w:t>
      </w:r>
      <w:r>
        <w:rPr>
          <w:rFonts w:ascii="Times New Roman" w:hAnsi="Times New Roman" w:cs="Times New Roman"/>
          <w:sz w:val="20"/>
          <w:szCs w:val="20"/>
          <w:lang w:val="en-US"/>
        </w:rPr>
        <w:t>cn</w:t>
      </w:r>
      <w:r>
        <w:rPr>
          <w:rFonts w:ascii="Times New Roman" w:hAnsi="Times New Roman" w:cs="Times New Roman"/>
          <w:sz w:val="20"/>
          <w:szCs w:val="20"/>
        </w:rPr>
        <w:t>/</w:t>
      </w:r>
      <w:r>
        <w:rPr>
          <w:rFonts w:ascii="Times New Roman" w:hAnsi="Times New Roman" w:cs="Times New Roman"/>
          <w:sz w:val="20"/>
          <w:szCs w:val="20"/>
          <w:lang w:val="en-US"/>
        </w:rPr>
        <w:t>xxgk</w:t>
      </w:r>
      <w:r>
        <w:rPr>
          <w:rFonts w:ascii="Times New Roman" w:hAnsi="Times New Roman" w:cs="Times New Roman"/>
          <w:sz w:val="20"/>
          <w:szCs w:val="20"/>
        </w:rPr>
        <w:t>/</w:t>
      </w:r>
      <w:r>
        <w:rPr>
          <w:rFonts w:ascii="Times New Roman" w:hAnsi="Times New Roman" w:cs="Times New Roman"/>
          <w:sz w:val="20"/>
          <w:szCs w:val="20"/>
          <w:lang w:val="en-US"/>
        </w:rPr>
        <w:t>pub</w:t>
      </w:r>
      <w:r>
        <w:rPr>
          <w:rFonts w:ascii="Times New Roman" w:hAnsi="Times New Roman" w:cs="Times New Roman"/>
          <w:sz w:val="20"/>
          <w:szCs w:val="20"/>
        </w:rPr>
        <w:t>/</w:t>
      </w:r>
      <w:r>
        <w:rPr>
          <w:rFonts w:ascii="Times New Roman" w:hAnsi="Times New Roman" w:cs="Times New Roman"/>
          <w:sz w:val="20"/>
          <w:szCs w:val="20"/>
          <w:lang w:val="en-US"/>
        </w:rPr>
        <w:t>govpublic</w:t>
      </w:r>
      <w:r>
        <w:rPr>
          <w:rFonts w:ascii="Times New Roman" w:hAnsi="Times New Roman" w:cs="Times New Roman"/>
          <w:sz w:val="20"/>
          <w:szCs w:val="20"/>
        </w:rPr>
        <w:t>/</w:t>
      </w:r>
      <w:r>
        <w:rPr>
          <w:rFonts w:ascii="Times New Roman" w:hAnsi="Times New Roman" w:cs="Times New Roman"/>
          <w:sz w:val="20"/>
          <w:szCs w:val="20"/>
          <w:lang w:val="en-US"/>
        </w:rPr>
        <w:t>mrlm</w:t>
      </w:r>
      <w:r>
        <w:rPr>
          <w:rFonts w:ascii="Times New Roman" w:hAnsi="Times New Roman" w:cs="Times New Roman"/>
          <w:sz w:val="20"/>
          <w:szCs w:val="20"/>
        </w:rPr>
        <w:t>/200803/</w:t>
      </w:r>
      <w:r>
        <w:rPr>
          <w:rFonts w:ascii="Times New Roman" w:hAnsi="Times New Roman" w:cs="Times New Roman"/>
          <w:sz w:val="20"/>
          <w:szCs w:val="20"/>
          <w:lang w:val="en-US"/>
        </w:rPr>
        <w:t>t</w:t>
      </w:r>
      <w:r>
        <w:rPr>
          <w:rFonts w:ascii="Times New Roman" w:hAnsi="Times New Roman" w:cs="Times New Roman"/>
          <w:sz w:val="20"/>
          <w:szCs w:val="20"/>
        </w:rPr>
        <w:t>20080328_31619.</w:t>
      </w:r>
      <w:r>
        <w:rPr>
          <w:rFonts w:ascii="Times New Roman" w:hAnsi="Times New Roman" w:cs="Times New Roman"/>
          <w:sz w:val="20"/>
          <w:szCs w:val="20"/>
          <w:lang w:val="en-US"/>
        </w:rPr>
        <w:t>html</w:t>
      </w:r>
    </w:p>
    <w:p w:rsidR="00517711" w:rsidRDefault="00F815BE">
      <w:pPr>
        <w:widowControl w:val="0"/>
        <w:numPr>
          <w:ilvl w:val="0"/>
          <w:numId w:val="33"/>
        </w:numPr>
        <w:spacing w:after="0" w:line="240" w:lineRule="auto"/>
        <w:ind w:left="0" w:firstLine="709"/>
        <w:contextualSpacing/>
        <w:jc w:val="both"/>
        <w:rPr>
          <w:rFonts w:ascii="Times New Roman" w:hAnsi="Times New Roman" w:cs="Times New Roman"/>
          <w:sz w:val="20"/>
          <w:szCs w:val="20"/>
        </w:rPr>
      </w:pPr>
      <w:r>
        <w:rPr>
          <w:rFonts w:ascii="Times New Roman" w:eastAsia="SimSun" w:hAnsi="Times New Roman" w:cs="Times New Roman"/>
          <w:sz w:val="20"/>
          <w:szCs w:val="20"/>
        </w:rPr>
        <w:t>中华人民共和国进出口货物原产地条例</w:t>
      </w:r>
      <w:r>
        <w:rPr>
          <w:rFonts w:ascii="Times New Roman" w:hAnsi="Times New Roman" w:cs="Times New Roman"/>
          <w:sz w:val="20"/>
          <w:szCs w:val="20"/>
        </w:rPr>
        <w:t>[</w:t>
      </w:r>
      <w:r>
        <w:rPr>
          <w:rFonts w:ascii="Times New Roman" w:eastAsia="SimSun" w:hAnsi="Times New Roman" w:cs="Times New Roman"/>
          <w:sz w:val="20"/>
          <w:szCs w:val="20"/>
        </w:rPr>
        <w:t>网络资源</w:t>
      </w:r>
      <w:r>
        <w:rPr>
          <w:rFonts w:ascii="Times New Roman" w:hAnsi="Times New Roman" w:cs="Times New Roman"/>
          <w:sz w:val="20"/>
          <w:szCs w:val="20"/>
        </w:rPr>
        <w:t>] //</w:t>
      </w:r>
      <w:r>
        <w:rPr>
          <w:rFonts w:ascii="Times New Roman" w:eastAsia="SimSun" w:hAnsi="Times New Roman" w:cs="Times New Roman"/>
          <w:sz w:val="20"/>
          <w:szCs w:val="20"/>
        </w:rPr>
        <w:t>中国人大网</w:t>
      </w:r>
      <w:r>
        <w:rPr>
          <w:rFonts w:ascii="Times New Roman" w:hAnsi="Times New Roman" w:cs="Times New Roman"/>
          <w:sz w:val="20"/>
          <w:szCs w:val="20"/>
        </w:rPr>
        <w:t xml:space="preserve">.− </w:t>
      </w:r>
      <w:r>
        <w:rPr>
          <w:rFonts w:ascii="Times New Roman" w:hAnsi="Times New Roman" w:cs="Times New Roman"/>
          <w:sz w:val="20"/>
          <w:szCs w:val="20"/>
          <w:lang w:val="en-US"/>
        </w:rPr>
        <w:t>URL</w:t>
      </w:r>
      <w:r>
        <w:rPr>
          <w:rFonts w:ascii="Times New Roman" w:hAnsi="Times New Roman" w:cs="Times New Roman"/>
          <w:sz w:val="20"/>
          <w:szCs w:val="20"/>
        </w:rPr>
        <w:t xml:space="preserve">: </w:t>
      </w:r>
      <w:r>
        <w:rPr>
          <w:rFonts w:ascii="Times New Roman" w:hAnsi="Times New Roman" w:cs="Times New Roman"/>
          <w:sz w:val="20"/>
          <w:szCs w:val="20"/>
          <w:lang w:val="en-US"/>
        </w:rPr>
        <w:t>http</w:t>
      </w:r>
      <w:r>
        <w:rPr>
          <w:rFonts w:ascii="Times New Roman" w:hAnsi="Times New Roman" w:cs="Times New Roman"/>
          <w:sz w:val="20"/>
          <w:szCs w:val="20"/>
        </w:rPr>
        <w:t>://</w:t>
      </w:r>
      <w:r>
        <w:rPr>
          <w:rFonts w:ascii="Times New Roman" w:hAnsi="Times New Roman" w:cs="Times New Roman"/>
          <w:sz w:val="20"/>
          <w:szCs w:val="20"/>
          <w:lang w:val="en-US"/>
        </w:rPr>
        <w:t>www</w:t>
      </w:r>
      <w:r>
        <w:rPr>
          <w:rFonts w:ascii="Times New Roman" w:hAnsi="Times New Roman" w:cs="Times New Roman"/>
          <w:sz w:val="20"/>
          <w:szCs w:val="20"/>
        </w:rPr>
        <w:t>.</w:t>
      </w:r>
      <w:r>
        <w:rPr>
          <w:rFonts w:ascii="Times New Roman" w:hAnsi="Times New Roman" w:cs="Times New Roman"/>
          <w:sz w:val="20"/>
          <w:szCs w:val="20"/>
          <w:lang w:val="en-US"/>
        </w:rPr>
        <w:t>gov</w:t>
      </w:r>
      <w:r>
        <w:rPr>
          <w:rFonts w:ascii="Times New Roman" w:hAnsi="Times New Roman" w:cs="Times New Roman"/>
          <w:sz w:val="20"/>
          <w:szCs w:val="20"/>
        </w:rPr>
        <w:t>.</w:t>
      </w:r>
      <w:r>
        <w:rPr>
          <w:rFonts w:ascii="Times New Roman" w:hAnsi="Times New Roman" w:cs="Times New Roman"/>
          <w:sz w:val="20"/>
          <w:szCs w:val="20"/>
          <w:lang w:val="en-US"/>
        </w:rPr>
        <w:t>cn</w:t>
      </w:r>
      <w:r>
        <w:rPr>
          <w:rFonts w:ascii="Times New Roman" w:hAnsi="Times New Roman" w:cs="Times New Roman"/>
          <w:sz w:val="20"/>
          <w:szCs w:val="20"/>
        </w:rPr>
        <w:t>/</w:t>
      </w:r>
      <w:r>
        <w:rPr>
          <w:rFonts w:ascii="Times New Roman" w:hAnsi="Times New Roman" w:cs="Times New Roman"/>
          <w:sz w:val="20"/>
          <w:szCs w:val="20"/>
          <w:lang w:val="en-US"/>
        </w:rPr>
        <w:t>xxgk</w:t>
      </w:r>
      <w:r>
        <w:rPr>
          <w:rFonts w:ascii="Times New Roman" w:hAnsi="Times New Roman" w:cs="Times New Roman"/>
          <w:sz w:val="20"/>
          <w:szCs w:val="20"/>
        </w:rPr>
        <w:t>/</w:t>
      </w:r>
      <w:r>
        <w:rPr>
          <w:rFonts w:ascii="Times New Roman" w:hAnsi="Times New Roman" w:cs="Times New Roman"/>
          <w:sz w:val="20"/>
          <w:szCs w:val="20"/>
          <w:lang w:val="en-US"/>
        </w:rPr>
        <w:t>pub</w:t>
      </w:r>
      <w:r>
        <w:rPr>
          <w:rFonts w:ascii="Times New Roman" w:hAnsi="Times New Roman" w:cs="Times New Roman"/>
          <w:sz w:val="20"/>
          <w:szCs w:val="20"/>
        </w:rPr>
        <w:t>/</w:t>
      </w:r>
      <w:r>
        <w:rPr>
          <w:rFonts w:ascii="Times New Roman" w:hAnsi="Times New Roman" w:cs="Times New Roman"/>
          <w:sz w:val="20"/>
          <w:szCs w:val="20"/>
          <w:lang w:val="en-US"/>
        </w:rPr>
        <w:t>govpublic</w:t>
      </w:r>
      <w:r>
        <w:rPr>
          <w:rFonts w:ascii="Times New Roman" w:hAnsi="Times New Roman" w:cs="Times New Roman"/>
          <w:sz w:val="20"/>
          <w:szCs w:val="20"/>
        </w:rPr>
        <w:t>/</w:t>
      </w:r>
      <w:r>
        <w:rPr>
          <w:rFonts w:ascii="Times New Roman" w:hAnsi="Times New Roman" w:cs="Times New Roman"/>
          <w:sz w:val="20"/>
          <w:szCs w:val="20"/>
          <w:lang w:val="en-US"/>
        </w:rPr>
        <w:t>mrlm</w:t>
      </w:r>
      <w:r>
        <w:rPr>
          <w:rFonts w:ascii="Times New Roman" w:hAnsi="Times New Roman" w:cs="Times New Roman"/>
          <w:sz w:val="20"/>
          <w:szCs w:val="20"/>
        </w:rPr>
        <w:t>/200803/</w:t>
      </w:r>
      <w:r>
        <w:rPr>
          <w:rFonts w:ascii="Times New Roman" w:hAnsi="Times New Roman" w:cs="Times New Roman"/>
          <w:sz w:val="20"/>
          <w:szCs w:val="20"/>
          <w:lang w:val="en-US"/>
        </w:rPr>
        <w:t>t</w:t>
      </w:r>
      <w:r>
        <w:rPr>
          <w:rFonts w:ascii="Times New Roman" w:hAnsi="Times New Roman" w:cs="Times New Roman"/>
          <w:sz w:val="20"/>
          <w:szCs w:val="20"/>
        </w:rPr>
        <w:t>20080328_31632.</w:t>
      </w:r>
      <w:r>
        <w:rPr>
          <w:rFonts w:ascii="Times New Roman" w:hAnsi="Times New Roman" w:cs="Times New Roman"/>
          <w:sz w:val="20"/>
          <w:szCs w:val="20"/>
          <w:lang w:val="en-US"/>
        </w:rPr>
        <w:t>html</w:t>
      </w:r>
    </w:p>
    <w:p w:rsidR="00517711" w:rsidRDefault="00F815BE">
      <w:pPr>
        <w:widowControl w:val="0"/>
        <w:numPr>
          <w:ilvl w:val="0"/>
          <w:numId w:val="33"/>
        </w:numPr>
        <w:spacing w:after="0" w:line="240" w:lineRule="auto"/>
        <w:ind w:left="0" w:firstLine="709"/>
        <w:contextualSpacing/>
        <w:jc w:val="both"/>
        <w:rPr>
          <w:rFonts w:ascii="Times New Roman" w:hAnsi="Times New Roman" w:cs="Times New Roman"/>
          <w:sz w:val="20"/>
          <w:szCs w:val="20"/>
        </w:rPr>
      </w:pPr>
      <w:r>
        <w:rPr>
          <w:rFonts w:ascii="Times New Roman" w:eastAsia="SimSun" w:hAnsi="Times New Roman" w:cs="Times New Roman"/>
          <w:sz w:val="20"/>
          <w:szCs w:val="20"/>
        </w:rPr>
        <w:t>中华人民共和国海关法</w:t>
      </w:r>
      <w:r>
        <w:rPr>
          <w:rFonts w:ascii="Times New Roman" w:hAnsi="Times New Roman" w:cs="Times New Roman"/>
          <w:sz w:val="20"/>
          <w:szCs w:val="20"/>
        </w:rPr>
        <w:t>[</w:t>
      </w:r>
      <w:r>
        <w:rPr>
          <w:rFonts w:ascii="Times New Roman" w:eastAsia="SimSun" w:hAnsi="Times New Roman" w:cs="Times New Roman"/>
          <w:sz w:val="20"/>
          <w:szCs w:val="20"/>
        </w:rPr>
        <w:t>网络资源</w:t>
      </w:r>
      <w:r>
        <w:rPr>
          <w:rFonts w:ascii="Times New Roman" w:hAnsi="Times New Roman" w:cs="Times New Roman"/>
          <w:sz w:val="20"/>
          <w:szCs w:val="20"/>
        </w:rPr>
        <w:t>] //</w:t>
      </w:r>
      <w:r>
        <w:rPr>
          <w:rFonts w:ascii="Times New Roman" w:eastAsia="SimSun" w:hAnsi="Times New Roman" w:cs="Times New Roman"/>
          <w:sz w:val="20"/>
          <w:szCs w:val="20"/>
        </w:rPr>
        <w:t>中华人民共和国海关总署</w:t>
      </w:r>
      <w:r>
        <w:rPr>
          <w:rFonts w:ascii="Times New Roman" w:hAnsi="Times New Roman" w:cs="Times New Roman"/>
          <w:sz w:val="20"/>
          <w:szCs w:val="20"/>
        </w:rPr>
        <w:t xml:space="preserve">.− </w:t>
      </w:r>
      <w:r>
        <w:rPr>
          <w:rFonts w:ascii="Times New Roman" w:hAnsi="Times New Roman" w:cs="Times New Roman"/>
          <w:sz w:val="20"/>
          <w:szCs w:val="20"/>
          <w:lang w:val="en-US"/>
        </w:rPr>
        <w:t>URL</w:t>
      </w:r>
      <w:r>
        <w:rPr>
          <w:rFonts w:ascii="Times New Roman" w:hAnsi="Times New Roman" w:cs="Times New Roman"/>
          <w:sz w:val="20"/>
          <w:szCs w:val="20"/>
        </w:rPr>
        <w:t xml:space="preserve">: </w:t>
      </w:r>
      <w:r>
        <w:rPr>
          <w:rFonts w:ascii="Times New Roman" w:hAnsi="Times New Roman" w:cs="Times New Roman"/>
          <w:sz w:val="20"/>
          <w:szCs w:val="20"/>
          <w:lang w:val="en-US"/>
        </w:rPr>
        <w:t>http</w:t>
      </w:r>
      <w:r>
        <w:rPr>
          <w:rFonts w:ascii="Times New Roman" w:hAnsi="Times New Roman" w:cs="Times New Roman"/>
          <w:sz w:val="20"/>
          <w:szCs w:val="20"/>
        </w:rPr>
        <w:t>://</w:t>
      </w:r>
      <w:r>
        <w:rPr>
          <w:rFonts w:ascii="Times New Roman" w:hAnsi="Times New Roman" w:cs="Times New Roman"/>
          <w:sz w:val="20"/>
          <w:szCs w:val="20"/>
          <w:lang w:val="en-US"/>
        </w:rPr>
        <w:t>www</w:t>
      </w:r>
      <w:r>
        <w:rPr>
          <w:rFonts w:ascii="Times New Roman" w:hAnsi="Times New Roman" w:cs="Times New Roman"/>
          <w:sz w:val="20"/>
          <w:szCs w:val="20"/>
        </w:rPr>
        <w:t>.</w:t>
      </w:r>
      <w:r>
        <w:rPr>
          <w:rFonts w:ascii="Times New Roman" w:hAnsi="Times New Roman" w:cs="Times New Roman"/>
          <w:sz w:val="20"/>
          <w:szCs w:val="20"/>
          <w:lang w:val="en-US"/>
        </w:rPr>
        <w:t>customs</w:t>
      </w:r>
      <w:r>
        <w:rPr>
          <w:rFonts w:ascii="Times New Roman" w:hAnsi="Times New Roman" w:cs="Times New Roman"/>
          <w:sz w:val="20"/>
          <w:szCs w:val="20"/>
        </w:rPr>
        <w:t>.</w:t>
      </w:r>
      <w:r>
        <w:rPr>
          <w:rFonts w:ascii="Times New Roman" w:hAnsi="Times New Roman" w:cs="Times New Roman"/>
          <w:sz w:val="20"/>
          <w:szCs w:val="20"/>
          <w:lang w:val="en-US"/>
        </w:rPr>
        <w:t>gov</w:t>
      </w:r>
      <w:r>
        <w:rPr>
          <w:rFonts w:ascii="Times New Roman" w:hAnsi="Times New Roman" w:cs="Times New Roman"/>
          <w:sz w:val="20"/>
          <w:szCs w:val="20"/>
        </w:rPr>
        <w:t>.</w:t>
      </w:r>
      <w:r>
        <w:rPr>
          <w:rFonts w:ascii="Times New Roman" w:hAnsi="Times New Roman" w:cs="Times New Roman"/>
          <w:sz w:val="20"/>
          <w:szCs w:val="20"/>
          <w:lang w:val="en-US"/>
        </w:rPr>
        <w:t>cn</w:t>
      </w:r>
      <w:r>
        <w:rPr>
          <w:rFonts w:ascii="Times New Roman" w:hAnsi="Times New Roman" w:cs="Times New Roman"/>
          <w:sz w:val="20"/>
          <w:szCs w:val="20"/>
        </w:rPr>
        <w:t>/</w:t>
      </w:r>
      <w:r>
        <w:rPr>
          <w:rFonts w:ascii="Times New Roman" w:hAnsi="Times New Roman" w:cs="Times New Roman"/>
          <w:sz w:val="20"/>
          <w:szCs w:val="20"/>
          <w:lang w:val="en-US"/>
        </w:rPr>
        <w:t>publish</w:t>
      </w:r>
      <w:r>
        <w:rPr>
          <w:rFonts w:ascii="Times New Roman" w:hAnsi="Times New Roman" w:cs="Times New Roman"/>
          <w:sz w:val="20"/>
          <w:szCs w:val="20"/>
        </w:rPr>
        <w:t>/</w:t>
      </w:r>
      <w:r>
        <w:rPr>
          <w:rFonts w:ascii="Times New Roman" w:hAnsi="Times New Roman" w:cs="Times New Roman"/>
          <w:sz w:val="20"/>
          <w:szCs w:val="20"/>
          <w:lang w:val="en-US"/>
        </w:rPr>
        <w:t>portal</w:t>
      </w:r>
      <w:r>
        <w:rPr>
          <w:rFonts w:ascii="Times New Roman" w:hAnsi="Times New Roman" w:cs="Times New Roman"/>
          <w:sz w:val="20"/>
          <w:szCs w:val="20"/>
        </w:rPr>
        <w:t>121/</w:t>
      </w:r>
      <w:r>
        <w:rPr>
          <w:rFonts w:ascii="Times New Roman" w:hAnsi="Times New Roman" w:cs="Times New Roman"/>
          <w:sz w:val="20"/>
          <w:szCs w:val="20"/>
          <w:lang w:val="en-US"/>
        </w:rPr>
        <w:t>tab</w:t>
      </w:r>
      <w:r>
        <w:rPr>
          <w:rFonts w:ascii="Times New Roman" w:hAnsi="Times New Roman" w:cs="Times New Roman"/>
          <w:sz w:val="20"/>
          <w:szCs w:val="20"/>
        </w:rPr>
        <w:t>35214/</w:t>
      </w:r>
      <w:r>
        <w:rPr>
          <w:rFonts w:ascii="Times New Roman" w:hAnsi="Times New Roman" w:cs="Times New Roman"/>
          <w:sz w:val="20"/>
          <w:szCs w:val="20"/>
          <w:lang w:val="en-US"/>
        </w:rPr>
        <w:t>module</w:t>
      </w:r>
      <w:r>
        <w:rPr>
          <w:rFonts w:ascii="Times New Roman" w:hAnsi="Times New Roman" w:cs="Times New Roman"/>
          <w:sz w:val="20"/>
          <w:szCs w:val="20"/>
        </w:rPr>
        <w:t>81104/</w:t>
      </w:r>
      <w:r>
        <w:rPr>
          <w:rFonts w:ascii="Times New Roman" w:hAnsi="Times New Roman" w:cs="Times New Roman"/>
          <w:sz w:val="20"/>
          <w:szCs w:val="20"/>
          <w:lang w:val="en-US"/>
        </w:rPr>
        <w:t>info</w:t>
      </w:r>
      <w:r>
        <w:rPr>
          <w:rFonts w:ascii="Times New Roman" w:hAnsi="Times New Roman" w:cs="Times New Roman"/>
          <w:sz w:val="20"/>
          <w:szCs w:val="20"/>
        </w:rPr>
        <w:t>190906.</w:t>
      </w:r>
      <w:r>
        <w:rPr>
          <w:rFonts w:ascii="Times New Roman" w:hAnsi="Times New Roman" w:cs="Times New Roman"/>
          <w:sz w:val="20"/>
          <w:szCs w:val="20"/>
          <w:lang w:val="en-US"/>
        </w:rPr>
        <w:t>htm</w:t>
      </w:r>
    </w:p>
    <w:p w:rsidR="00517711" w:rsidRDefault="00F815BE">
      <w:pPr>
        <w:widowControl w:val="0"/>
        <w:numPr>
          <w:ilvl w:val="0"/>
          <w:numId w:val="33"/>
        </w:numPr>
        <w:spacing w:after="0" w:line="240" w:lineRule="auto"/>
        <w:ind w:left="0" w:firstLine="709"/>
        <w:contextualSpacing/>
        <w:jc w:val="both"/>
        <w:rPr>
          <w:rFonts w:ascii="Times New Roman" w:hAnsi="Times New Roman" w:cs="Times New Roman"/>
          <w:sz w:val="20"/>
          <w:szCs w:val="20"/>
        </w:rPr>
      </w:pPr>
      <w:r>
        <w:rPr>
          <w:rFonts w:ascii="Times New Roman" w:eastAsia="SimSun" w:hAnsi="Times New Roman" w:cs="Times New Roman"/>
          <w:sz w:val="20"/>
          <w:szCs w:val="20"/>
        </w:rPr>
        <w:t>中华人民共和国知识产权海关保护条例</w:t>
      </w:r>
      <w:r>
        <w:rPr>
          <w:rFonts w:ascii="Times New Roman" w:hAnsi="Times New Roman" w:cs="Times New Roman"/>
          <w:sz w:val="20"/>
          <w:szCs w:val="20"/>
        </w:rPr>
        <w:t>[</w:t>
      </w:r>
      <w:r>
        <w:rPr>
          <w:rFonts w:ascii="Times New Roman" w:eastAsia="SimSun" w:hAnsi="Times New Roman" w:cs="Times New Roman"/>
          <w:sz w:val="20"/>
          <w:szCs w:val="20"/>
        </w:rPr>
        <w:t>网络资源</w:t>
      </w:r>
      <w:r>
        <w:rPr>
          <w:rFonts w:ascii="Times New Roman" w:hAnsi="Times New Roman" w:cs="Times New Roman"/>
          <w:sz w:val="20"/>
          <w:szCs w:val="20"/>
        </w:rPr>
        <w:t>] //</w:t>
      </w:r>
      <w:r>
        <w:rPr>
          <w:rFonts w:ascii="Times New Roman" w:eastAsia="SimSun" w:hAnsi="Times New Roman" w:cs="Times New Roman"/>
          <w:sz w:val="20"/>
          <w:szCs w:val="20"/>
        </w:rPr>
        <w:t>中华人民共和国海关总署</w:t>
      </w:r>
      <w:r>
        <w:rPr>
          <w:rFonts w:ascii="Times New Roman" w:hAnsi="Times New Roman" w:cs="Times New Roman"/>
          <w:sz w:val="20"/>
          <w:szCs w:val="20"/>
        </w:rPr>
        <w:t xml:space="preserve">.− </w:t>
      </w:r>
      <w:r>
        <w:rPr>
          <w:rFonts w:ascii="Times New Roman" w:hAnsi="Times New Roman" w:cs="Times New Roman"/>
          <w:sz w:val="20"/>
          <w:szCs w:val="20"/>
          <w:lang w:val="en-US"/>
        </w:rPr>
        <w:t>URL</w:t>
      </w:r>
      <w:r>
        <w:rPr>
          <w:rFonts w:ascii="Times New Roman" w:hAnsi="Times New Roman" w:cs="Times New Roman"/>
          <w:sz w:val="20"/>
          <w:szCs w:val="20"/>
        </w:rPr>
        <w:t>:</w:t>
      </w:r>
      <w:r>
        <w:rPr>
          <w:rFonts w:ascii="Times New Roman" w:hAnsi="Times New Roman" w:cs="Times New Roman"/>
          <w:sz w:val="20"/>
          <w:szCs w:val="20"/>
          <w:lang w:val="en-US"/>
        </w:rPr>
        <w:t>http</w:t>
      </w:r>
      <w:r>
        <w:rPr>
          <w:rFonts w:ascii="Times New Roman" w:hAnsi="Times New Roman" w:cs="Times New Roman"/>
          <w:sz w:val="20"/>
          <w:szCs w:val="20"/>
        </w:rPr>
        <w:t>://</w:t>
      </w:r>
      <w:r>
        <w:rPr>
          <w:rFonts w:ascii="Times New Roman" w:hAnsi="Times New Roman" w:cs="Times New Roman"/>
          <w:sz w:val="20"/>
          <w:szCs w:val="20"/>
          <w:lang w:val="en-US"/>
        </w:rPr>
        <w:t>www</w:t>
      </w:r>
      <w:r>
        <w:rPr>
          <w:rFonts w:ascii="Times New Roman" w:hAnsi="Times New Roman" w:cs="Times New Roman"/>
          <w:sz w:val="20"/>
          <w:szCs w:val="20"/>
        </w:rPr>
        <w:t>.</w:t>
      </w:r>
      <w:r>
        <w:rPr>
          <w:rFonts w:ascii="Times New Roman" w:hAnsi="Times New Roman" w:cs="Times New Roman"/>
          <w:sz w:val="20"/>
          <w:szCs w:val="20"/>
          <w:lang w:val="en-US"/>
        </w:rPr>
        <w:t>customs</w:t>
      </w:r>
      <w:r>
        <w:rPr>
          <w:rFonts w:ascii="Times New Roman" w:hAnsi="Times New Roman" w:cs="Times New Roman"/>
          <w:sz w:val="20"/>
          <w:szCs w:val="20"/>
        </w:rPr>
        <w:t>.</w:t>
      </w:r>
      <w:r>
        <w:rPr>
          <w:rFonts w:ascii="Times New Roman" w:hAnsi="Times New Roman" w:cs="Times New Roman"/>
          <w:sz w:val="20"/>
          <w:szCs w:val="20"/>
          <w:lang w:val="en-US"/>
        </w:rPr>
        <w:t>gov</w:t>
      </w:r>
      <w:r>
        <w:rPr>
          <w:rFonts w:ascii="Times New Roman" w:hAnsi="Times New Roman" w:cs="Times New Roman"/>
          <w:sz w:val="20"/>
          <w:szCs w:val="20"/>
        </w:rPr>
        <w:t>.</w:t>
      </w:r>
      <w:r>
        <w:rPr>
          <w:rFonts w:ascii="Times New Roman" w:hAnsi="Times New Roman" w:cs="Times New Roman"/>
          <w:sz w:val="20"/>
          <w:szCs w:val="20"/>
          <w:lang w:val="en-US"/>
        </w:rPr>
        <w:t>cn</w:t>
      </w:r>
      <w:r>
        <w:rPr>
          <w:rFonts w:ascii="Times New Roman" w:hAnsi="Times New Roman" w:cs="Times New Roman"/>
          <w:sz w:val="20"/>
          <w:szCs w:val="20"/>
        </w:rPr>
        <w:t>/</w:t>
      </w:r>
      <w:r>
        <w:rPr>
          <w:rFonts w:ascii="Times New Roman" w:hAnsi="Times New Roman" w:cs="Times New Roman"/>
          <w:sz w:val="20"/>
          <w:szCs w:val="20"/>
          <w:lang w:val="en-US"/>
        </w:rPr>
        <w:t>publish</w:t>
      </w:r>
      <w:r>
        <w:rPr>
          <w:rFonts w:ascii="Times New Roman" w:hAnsi="Times New Roman" w:cs="Times New Roman"/>
          <w:sz w:val="20"/>
          <w:szCs w:val="20"/>
        </w:rPr>
        <w:t>/</w:t>
      </w:r>
      <w:r>
        <w:rPr>
          <w:rFonts w:ascii="Times New Roman" w:hAnsi="Times New Roman" w:cs="Times New Roman"/>
          <w:sz w:val="20"/>
          <w:szCs w:val="20"/>
          <w:lang w:val="en-US"/>
        </w:rPr>
        <w:t>portal</w:t>
      </w:r>
      <w:r>
        <w:rPr>
          <w:rFonts w:ascii="Times New Roman" w:hAnsi="Times New Roman" w:cs="Times New Roman"/>
          <w:sz w:val="20"/>
          <w:szCs w:val="20"/>
        </w:rPr>
        <w:t>0/</w:t>
      </w:r>
      <w:r>
        <w:rPr>
          <w:rFonts w:ascii="Times New Roman" w:hAnsi="Times New Roman" w:cs="Times New Roman"/>
          <w:sz w:val="20"/>
          <w:szCs w:val="20"/>
          <w:lang w:val="en-US"/>
        </w:rPr>
        <w:t>tab</w:t>
      </w:r>
      <w:r>
        <w:rPr>
          <w:rFonts w:ascii="Times New Roman" w:hAnsi="Times New Roman" w:cs="Times New Roman"/>
          <w:sz w:val="20"/>
          <w:szCs w:val="20"/>
        </w:rPr>
        <w:t>2745/</w:t>
      </w:r>
      <w:r>
        <w:rPr>
          <w:rFonts w:ascii="Times New Roman" w:hAnsi="Times New Roman" w:cs="Times New Roman"/>
          <w:sz w:val="20"/>
          <w:szCs w:val="20"/>
          <w:lang w:val="en-US"/>
        </w:rPr>
        <w:t>info</w:t>
      </w:r>
      <w:r>
        <w:rPr>
          <w:rFonts w:ascii="Times New Roman" w:hAnsi="Times New Roman" w:cs="Times New Roman"/>
          <w:sz w:val="20"/>
          <w:szCs w:val="20"/>
        </w:rPr>
        <w:t>3486.</w:t>
      </w:r>
      <w:r>
        <w:rPr>
          <w:rFonts w:ascii="Times New Roman" w:hAnsi="Times New Roman" w:cs="Times New Roman"/>
          <w:sz w:val="20"/>
          <w:szCs w:val="20"/>
          <w:lang w:val="en-US"/>
        </w:rPr>
        <w:t>htm</w:t>
      </w:r>
    </w:p>
    <w:p w:rsidR="00517711" w:rsidRDefault="00F815BE">
      <w:pPr>
        <w:widowControl w:val="0"/>
        <w:numPr>
          <w:ilvl w:val="0"/>
          <w:numId w:val="33"/>
        </w:numPr>
        <w:spacing w:after="0" w:line="240" w:lineRule="auto"/>
        <w:ind w:left="0" w:firstLine="709"/>
        <w:contextualSpacing/>
        <w:jc w:val="both"/>
        <w:rPr>
          <w:rFonts w:ascii="Times New Roman" w:hAnsi="Times New Roman" w:cs="Times New Roman"/>
          <w:sz w:val="20"/>
          <w:szCs w:val="20"/>
        </w:rPr>
      </w:pPr>
      <w:r>
        <w:rPr>
          <w:rFonts w:ascii="Times New Roman" w:eastAsia="SimSun" w:hAnsi="Times New Roman" w:cs="Times New Roman"/>
          <w:sz w:val="20"/>
          <w:szCs w:val="20"/>
        </w:rPr>
        <w:t>中华人民共和国海关行政处罚实施条例</w:t>
      </w:r>
      <w:r>
        <w:rPr>
          <w:rFonts w:ascii="Times New Roman" w:hAnsi="Times New Roman" w:cs="Times New Roman"/>
          <w:sz w:val="20"/>
          <w:szCs w:val="20"/>
        </w:rPr>
        <w:t>[</w:t>
      </w:r>
      <w:r>
        <w:rPr>
          <w:rFonts w:ascii="Times New Roman" w:eastAsia="SimSun" w:hAnsi="Times New Roman" w:cs="Times New Roman"/>
          <w:sz w:val="20"/>
          <w:szCs w:val="20"/>
        </w:rPr>
        <w:t>网络资源</w:t>
      </w:r>
      <w:r>
        <w:rPr>
          <w:rFonts w:ascii="Times New Roman" w:hAnsi="Times New Roman" w:cs="Times New Roman"/>
          <w:sz w:val="20"/>
          <w:szCs w:val="20"/>
        </w:rPr>
        <w:t>] //</w:t>
      </w:r>
      <w:r>
        <w:rPr>
          <w:rFonts w:ascii="Times New Roman" w:eastAsia="SimSun" w:hAnsi="Times New Roman" w:cs="Times New Roman"/>
          <w:sz w:val="20"/>
          <w:szCs w:val="20"/>
        </w:rPr>
        <w:t>中华人民共和国海关总署</w:t>
      </w:r>
      <w:r>
        <w:rPr>
          <w:rFonts w:ascii="Times New Roman" w:hAnsi="Times New Roman" w:cs="Times New Roman"/>
          <w:sz w:val="20"/>
          <w:szCs w:val="20"/>
        </w:rPr>
        <w:t xml:space="preserve">.− </w:t>
      </w:r>
      <w:r>
        <w:rPr>
          <w:rFonts w:ascii="Times New Roman" w:hAnsi="Times New Roman" w:cs="Times New Roman"/>
          <w:sz w:val="20"/>
          <w:szCs w:val="20"/>
          <w:lang w:val="en-US"/>
        </w:rPr>
        <w:t>URL</w:t>
      </w:r>
      <w:r>
        <w:rPr>
          <w:rFonts w:ascii="Times New Roman" w:hAnsi="Times New Roman" w:cs="Times New Roman"/>
          <w:sz w:val="20"/>
          <w:szCs w:val="20"/>
        </w:rPr>
        <w:t>:</w:t>
      </w:r>
      <w:r>
        <w:rPr>
          <w:rFonts w:ascii="Times New Roman" w:hAnsi="Times New Roman" w:cs="Times New Roman"/>
          <w:sz w:val="20"/>
          <w:szCs w:val="20"/>
          <w:lang w:val="en-US"/>
        </w:rPr>
        <w:t>http</w:t>
      </w:r>
      <w:r>
        <w:rPr>
          <w:rFonts w:ascii="Times New Roman" w:hAnsi="Times New Roman" w:cs="Times New Roman"/>
          <w:sz w:val="20"/>
          <w:szCs w:val="20"/>
        </w:rPr>
        <w:t>://</w:t>
      </w:r>
      <w:r>
        <w:rPr>
          <w:rFonts w:ascii="Times New Roman" w:hAnsi="Times New Roman" w:cs="Times New Roman"/>
          <w:sz w:val="20"/>
          <w:szCs w:val="20"/>
          <w:lang w:val="en-US"/>
        </w:rPr>
        <w:t>www</w:t>
      </w:r>
      <w:r>
        <w:rPr>
          <w:rFonts w:ascii="Times New Roman" w:hAnsi="Times New Roman" w:cs="Times New Roman"/>
          <w:sz w:val="20"/>
          <w:szCs w:val="20"/>
        </w:rPr>
        <w:t>.</w:t>
      </w:r>
      <w:r>
        <w:rPr>
          <w:rFonts w:ascii="Times New Roman" w:hAnsi="Times New Roman" w:cs="Times New Roman"/>
          <w:sz w:val="20"/>
          <w:szCs w:val="20"/>
          <w:lang w:val="en-US"/>
        </w:rPr>
        <w:t>customs</w:t>
      </w:r>
      <w:r>
        <w:rPr>
          <w:rFonts w:ascii="Times New Roman" w:hAnsi="Times New Roman" w:cs="Times New Roman"/>
          <w:sz w:val="20"/>
          <w:szCs w:val="20"/>
        </w:rPr>
        <w:t>.</w:t>
      </w:r>
      <w:r>
        <w:rPr>
          <w:rFonts w:ascii="Times New Roman" w:hAnsi="Times New Roman" w:cs="Times New Roman"/>
          <w:sz w:val="20"/>
          <w:szCs w:val="20"/>
          <w:lang w:val="en-US"/>
        </w:rPr>
        <w:t>gov</w:t>
      </w:r>
      <w:r>
        <w:rPr>
          <w:rFonts w:ascii="Times New Roman" w:hAnsi="Times New Roman" w:cs="Times New Roman"/>
          <w:sz w:val="20"/>
          <w:szCs w:val="20"/>
        </w:rPr>
        <w:t>.</w:t>
      </w:r>
      <w:r>
        <w:rPr>
          <w:rFonts w:ascii="Times New Roman" w:hAnsi="Times New Roman" w:cs="Times New Roman"/>
          <w:sz w:val="20"/>
          <w:szCs w:val="20"/>
          <w:lang w:val="en-US"/>
        </w:rPr>
        <w:t>cn</w:t>
      </w:r>
      <w:r>
        <w:rPr>
          <w:rFonts w:ascii="Times New Roman" w:hAnsi="Times New Roman" w:cs="Times New Roman"/>
          <w:sz w:val="20"/>
          <w:szCs w:val="20"/>
        </w:rPr>
        <w:t>/</w:t>
      </w:r>
      <w:r>
        <w:rPr>
          <w:rFonts w:ascii="Times New Roman" w:hAnsi="Times New Roman" w:cs="Times New Roman"/>
          <w:sz w:val="20"/>
          <w:szCs w:val="20"/>
          <w:lang w:val="en-US"/>
        </w:rPr>
        <w:t>publish</w:t>
      </w:r>
      <w:r>
        <w:rPr>
          <w:rFonts w:ascii="Times New Roman" w:hAnsi="Times New Roman" w:cs="Times New Roman"/>
          <w:sz w:val="20"/>
          <w:szCs w:val="20"/>
        </w:rPr>
        <w:t>/</w:t>
      </w:r>
      <w:r>
        <w:rPr>
          <w:rFonts w:ascii="Times New Roman" w:hAnsi="Times New Roman" w:cs="Times New Roman"/>
          <w:sz w:val="20"/>
          <w:szCs w:val="20"/>
          <w:lang w:val="en-US"/>
        </w:rPr>
        <w:t>portal</w:t>
      </w:r>
      <w:r>
        <w:rPr>
          <w:rFonts w:ascii="Times New Roman" w:hAnsi="Times New Roman" w:cs="Times New Roman"/>
          <w:sz w:val="20"/>
          <w:szCs w:val="20"/>
        </w:rPr>
        <w:t>0/</w:t>
      </w:r>
      <w:r>
        <w:rPr>
          <w:rFonts w:ascii="Times New Roman" w:hAnsi="Times New Roman" w:cs="Times New Roman"/>
          <w:sz w:val="20"/>
          <w:szCs w:val="20"/>
          <w:lang w:val="en-US"/>
        </w:rPr>
        <w:t>tab</w:t>
      </w:r>
      <w:r>
        <w:rPr>
          <w:rFonts w:ascii="Times New Roman" w:hAnsi="Times New Roman" w:cs="Times New Roman"/>
          <w:sz w:val="20"/>
          <w:szCs w:val="20"/>
        </w:rPr>
        <w:t>2748/</w:t>
      </w:r>
      <w:r>
        <w:rPr>
          <w:rFonts w:ascii="Times New Roman" w:hAnsi="Times New Roman" w:cs="Times New Roman"/>
          <w:sz w:val="20"/>
          <w:szCs w:val="20"/>
          <w:lang w:val="en-US"/>
        </w:rPr>
        <w:t>info</w:t>
      </w:r>
      <w:r>
        <w:rPr>
          <w:rFonts w:ascii="Times New Roman" w:hAnsi="Times New Roman" w:cs="Times New Roman"/>
          <w:sz w:val="20"/>
          <w:szCs w:val="20"/>
        </w:rPr>
        <w:t>3485.</w:t>
      </w:r>
      <w:r>
        <w:rPr>
          <w:rFonts w:ascii="Times New Roman" w:hAnsi="Times New Roman" w:cs="Times New Roman"/>
          <w:sz w:val="20"/>
          <w:szCs w:val="20"/>
          <w:lang w:val="en-US"/>
        </w:rPr>
        <w:t>htm</w:t>
      </w:r>
    </w:p>
    <w:p w:rsidR="00517711" w:rsidRDefault="00F815BE">
      <w:pPr>
        <w:widowControl w:val="0"/>
        <w:numPr>
          <w:ilvl w:val="0"/>
          <w:numId w:val="33"/>
        </w:numPr>
        <w:spacing w:after="0" w:line="240" w:lineRule="auto"/>
        <w:ind w:left="0" w:firstLine="709"/>
        <w:contextualSpacing/>
        <w:jc w:val="both"/>
        <w:rPr>
          <w:rFonts w:ascii="Times New Roman" w:hAnsi="Times New Roman" w:cs="Times New Roman"/>
          <w:sz w:val="20"/>
          <w:szCs w:val="20"/>
        </w:rPr>
      </w:pPr>
      <w:r>
        <w:rPr>
          <w:rFonts w:ascii="Times New Roman" w:eastAsia="SimSun" w:hAnsi="Times New Roman" w:cs="Times New Roman"/>
          <w:sz w:val="20"/>
          <w:szCs w:val="20"/>
        </w:rPr>
        <w:t>中华人民共和国海关办理行政处罚案件程序规定</w:t>
      </w:r>
      <w:r>
        <w:rPr>
          <w:rFonts w:ascii="Times New Roman" w:hAnsi="Times New Roman" w:cs="Times New Roman"/>
          <w:sz w:val="20"/>
          <w:szCs w:val="20"/>
        </w:rPr>
        <w:t>[</w:t>
      </w:r>
      <w:r>
        <w:rPr>
          <w:rFonts w:ascii="Times New Roman" w:eastAsia="SimSun" w:hAnsi="Times New Roman" w:cs="Times New Roman"/>
          <w:sz w:val="20"/>
          <w:szCs w:val="20"/>
        </w:rPr>
        <w:t>网络资源</w:t>
      </w:r>
      <w:r>
        <w:rPr>
          <w:rFonts w:ascii="Times New Roman" w:hAnsi="Times New Roman" w:cs="Times New Roman"/>
          <w:sz w:val="20"/>
          <w:szCs w:val="20"/>
        </w:rPr>
        <w:t>] //</w:t>
      </w:r>
      <w:r>
        <w:rPr>
          <w:rFonts w:ascii="Times New Roman" w:eastAsia="SimSun" w:hAnsi="Times New Roman" w:cs="Times New Roman"/>
          <w:sz w:val="20"/>
          <w:szCs w:val="20"/>
        </w:rPr>
        <w:t>中华人民共和国海关总署</w:t>
      </w:r>
      <w:r>
        <w:rPr>
          <w:rFonts w:ascii="Times New Roman" w:hAnsi="Times New Roman" w:cs="Times New Roman"/>
          <w:sz w:val="20"/>
          <w:szCs w:val="20"/>
        </w:rPr>
        <w:t xml:space="preserve">.− </w:t>
      </w:r>
      <w:r>
        <w:rPr>
          <w:rFonts w:ascii="Times New Roman" w:hAnsi="Times New Roman" w:cs="Times New Roman"/>
          <w:sz w:val="20"/>
          <w:szCs w:val="20"/>
          <w:lang w:val="en-US"/>
        </w:rPr>
        <w:t>URL</w:t>
      </w:r>
      <w:r>
        <w:rPr>
          <w:rFonts w:ascii="Times New Roman" w:hAnsi="Times New Roman" w:cs="Times New Roman"/>
          <w:sz w:val="20"/>
          <w:szCs w:val="20"/>
        </w:rPr>
        <w:t>:</w:t>
      </w:r>
      <w:r>
        <w:rPr>
          <w:rFonts w:ascii="Times New Roman" w:hAnsi="Times New Roman" w:cs="Times New Roman"/>
          <w:sz w:val="20"/>
          <w:szCs w:val="20"/>
          <w:lang w:val="en-US"/>
        </w:rPr>
        <w:t>http</w:t>
      </w:r>
      <w:r>
        <w:rPr>
          <w:rFonts w:ascii="Times New Roman" w:hAnsi="Times New Roman" w:cs="Times New Roman"/>
          <w:sz w:val="20"/>
          <w:szCs w:val="20"/>
        </w:rPr>
        <w:t>://</w:t>
      </w:r>
      <w:r>
        <w:rPr>
          <w:rFonts w:ascii="Times New Roman" w:hAnsi="Times New Roman" w:cs="Times New Roman"/>
          <w:sz w:val="20"/>
          <w:szCs w:val="20"/>
          <w:lang w:val="en-US"/>
        </w:rPr>
        <w:t>www</w:t>
      </w:r>
      <w:r>
        <w:rPr>
          <w:rFonts w:ascii="Times New Roman" w:hAnsi="Times New Roman" w:cs="Times New Roman"/>
          <w:sz w:val="20"/>
          <w:szCs w:val="20"/>
        </w:rPr>
        <w:t>.</w:t>
      </w:r>
      <w:r>
        <w:rPr>
          <w:rFonts w:ascii="Times New Roman" w:hAnsi="Times New Roman" w:cs="Times New Roman"/>
          <w:sz w:val="20"/>
          <w:szCs w:val="20"/>
          <w:lang w:val="en-US"/>
        </w:rPr>
        <w:t>customs</w:t>
      </w:r>
      <w:r>
        <w:rPr>
          <w:rFonts w:ascii="Times New Roman" w:hAnsi="Times New Roman" w:cs="Times New Roman"/>
          <w:sz w:val="20"/>
          <w:szCs w:val="20"/>
        </w:rPr>
        <w:t>.</w:t>
      </w:r>
      <w:r>
        <w:rPr>
          <w:rFonts w:ascii="Times New Roman" w:hAnsi="Times New Roman" w:cs="Times New Roman"/>
          <w:sz w:val="20"/>
          <w:szCs w:val="20"/>
          <w:lang w:val="en-US"/>
        </w:rPr>
        <w:t>gov</w:t>
      </w:r>
      <w:r>
        <w:rPr>
          <w:rFonts w:ascii="Times New Roman" w:hAnsi="Times New Roman" w:cs="Times New Roman"/>
          <w:sz w:val="20"/>
          <w:szCs w:val="20"/>
        </w:rPr>
        <w:t>.</w:t>
      </w:r>
      <w:r>
        <w:rPr>
          <w:rFonts w:ascii="Times New Roman" w:hAnsi="Times New Roman" w:cs="Times New Roman"/>
          <w:sz w:val="20"/>
          <w:szCs w:val="20"/>
          <w:lang w:val="en-US"/>
        </w:rPr>
        <w:t>cn</w:t>
      </w:r>
      <w:r>
        <w:rPr>
          <w:rFonts w:ascii="Times New Roman" w:hAnsi="Times New Roman" w:cs="Times New Roman"/>
          <w:sz w:val="20"/>
          <w:szCs w:val="20"/>
        </w:rPr>
        <w:t>/</w:t>
      </w:r>
      <w:r>
        <w:rPr>
          <w:rFonts w:ascii="Times New Roman" w:hAnsi="Times New Roman" w:cs="Times New Roman"/>
          <w:sz w:val="20"/>
          <w:szCs w:val="20"/>
          <w:lang w:val="en-US"/>
        </w:rPr>
        <w:t>zjwzsjjz</w:t>
      </w:r>
      <w:r>
        <w:rPr>
          <w:rFonts w:ascii="Times New Roman" w:hAnsi="Times New Roman" w:cs="Times New Roman"/>
          <w:sz w:val="20"/>
          <w:szCs w:val="20"/>
        </w:rPr>
        <w:t>/</w:t>
      </w:r>
      <w:r>
        <w:rPr>
          <w:rFonts w:ascii="Times New Roman" w:hAnsi="Times New Roman" w:cs="Times New Roman"/>
          <w:sz w:val="20"/>
          <w:szCs w:val="20"/>
          <w:lang w:val="en-US"/>
        </w:rPr>
        <w:t>zcfg</w:t>
      </w:r>
      <w:r>
        <w:rPr>
          <w:rFonts w:ascii="Times New Roman" w:hAnsi="Times New Roman" w:cs="Times New Roman"/>
          <w:sz w:val="20"/>
          <w:szCs w:val="20"/>
        </w:rPr>
        <w:t>/</w:t>
      </w:r>
      <w:r>
        <w:rPr>
          <w:rFonts w:ascii="Times New Roman" w:hAnsi="Times New Roman" w:cs="Times New Roman"/>
          <w:sz w:val="20"/>
          <w:szCs w:val="20"/>
          <w:lang w:val="en-US"/>
        </w:rPr>
        <w:t>hggz</w:t>
      </w:r>
      <w:r>
        <w:rPr>
          <w:rFonts w:ascii="Times New Roman" w:hAnsi="Times New Roman" w:cs="Times New Roman"/>
          <w:sz w:val="20"/>
          <w:szCs w:val="20"/>
        </w:rPr>
        <w:t>/723019/</w:t>
      </w:r>
      <w:r>
        <w:rPr>
          <w:rFonts w:ascii="Times New Roman" w:hAnsi="Times New Roman" w:cs="Times New Roman"/>
          <w:sz w:val="20"/>
          <w:szCs w:val="20"/>
          <w:lang w:val="en-US"/>
        </w:rPr>
        <w:t>index</w:t>
      </w:r>
      <w:r>
        <w:rPr>
          <w:rFonts w:ascii="Times New Roman" w:hAnsi="Times New Roman" w:cs="Times New Roman"/>
          <w:sz w:val="20"/>
          <w:szCs w:val="20"/>
        </w:rPr>
        <w:t>.</w:t>
      </w:r>
      <w:r>
        <w:rPr>
          <w:rFonts w:ascii="Times New Roman" w:hAnsi="Times New Roman" w:cs="Times New Roman"/>
          <w:sz w:val="20"/>
          <w:szCs w:val="20"/>
          <w:lang w:val="en-US"/>
        </w:rPr>
        <w:t>html</w:t>
      </w:r>
    </w:p>
    <w:p w:rsidR="00517711" w:rsidRDefault="00F815BE">
      <w:pPr>
        <w:widowControl w:val="0"/>
        <w:numPr>
          <w:ilvl w:val="0"/>
          <w:numId w:val="33"/>
        </w:numPr>
        <w:spacing w:after="0" w:line="240" w:lineRule="auto"/>
        <w:ind w:left="0" w:firstLine="709"/>
        <w:contextualSpacing/>
        <w:jc w:val="both"/>
        <w:rPr>
          <w:rFonts w:ascii="Times New Roman" w:hAnsi="Times New Roman" w:cs="Times New Roman"/>
          <w:sz w:val="20"/>
          <w:szCs w:val="20"/>
        </w:rPr>
      </w:pPr>
      <w:r>
        <w:rPr>
          <w:rFonts w:ascii="Times New Roman" w:eastAsia="SimSun" w:hAnsi="Times New Roman" w:cs="Times New Roman"/>
          <w:sz w:val="20"/>
          <w:szCs w:val="20"/>
        </w:rPr>
        <w:t>中华人民共和国海关进出境印刷品及音像制品监管办法</w:t>
      </w:r>
      <w:r>
        <w:rPr>
          <w:rFonts w:ascii="Times New Roman" w:hAnsi="Times New Roman" w:cs="Times New Roman"/>
          <w:sz w:val="20"/>
          <w:szCs w:val="20"/>
        </w:rPr>
        <w:t>[</w:t>
      </w:r>
      <w:r>
        <w:rPr>
          <w:rFonts w:ascii="Times New Roman" w:eastAsia="SimSun" w:hAnsi="Times New Roman" w:cs="Times New Roman"/>
          <w:sz w:val="20"/>
          <w:szCs w:val="20"/>
        </w:rPr>
        <w:t>网络资源</w:t>
      </w:r>
      <w:r>
        <w:rPr>
          <w:rFonts w:ascii="Times New Roman" w:hAnsi="Times New Roman" w:cs="Times New Roman"/>
          <w:sz w:val="20"/>
          <w:szCs w:val="20"/>
        </w:rPr>
        <w:t>] //</w:t>
      </w:r>
      <w:r>
        <w:rPr>
          <w:rFonts w:ascii="Times New Roman" w:eastAsia="SimSun" w:hAnsi="Times New Roman" w:cs="Times New Roman"/>
          <w:sz w:val="20"/>
          <w:szCs w:val="20"/>
        </w:rPr>
        <w:t>中华人民共和国海关总署</w:t>
      </w:r>
      <w:r>
        <w:rPr>
          <w:rFonts w:ascii="Times New Roman" w:hAnsi="Times New Roman" w:cs="Times New Roman"/>
          <w:sz w:val="20"/>
          <w:szCs w:val="20"/>
        </w:rPr>
        <w:t xml:space="preserve">.− </w:t>
      </w:r>
      <w:r>
        <w:rPr>
          <w:rFonts w:ascii="Times New Roman" w:hAnsi="Times New Roman" w:cs="Times New Roman"/>
          <w:sz w:val="20"/>
          <w:szCs w:val="20"/>
          <w:lang w:val="en-US"/>
        </w:rPr>
        <w:t>URL</w:t>
      </w:r>
      <w:r>
        <w:rPr>
          <w:rFonts w:ascii="Times New Roman" w:hAnsi="Times New Roman" w:cs="Times New Roman"/>
          <w:color w:val="000000" w:themeColor="text1"/>
          <w:sz w:val="20"/>
          <w:szCs w:val="20"/>
        </w:rPr>
        <w:t xml:space="preserve">: </w:t>
      </w:r>
      <w:hyperlink r:id="rId174" w:history="1">
        <w:r>
          <w:rPr>
            <w:rStyle w:val="aa"/>
            <w:rFonts w:ascii="Times New Roman" w:hAnsi="Times New Roman" w:cs="Times New Roman"/>
            <w:color w:val="000000" w:themeColor="text1"/>
            <w:sz w:val="20"/>
            <w:szCs w:val="20"/>
            <w:lang w:val="en-US"/>
          </w:rPr>
          <w:t>http</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www</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customs</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gov</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cn</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publish</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portal</w:t>
        </w:r>
        <w:r>
          <w:rPr>
            <w:rStyle w:val="aa"/>
            <w:rFonts w:ascii="Times New Roman" w:hAnsi="Times New Roman" w:cs="Times New Roman"/>
            <w:color w:val="000000" w:themeColor="text1"/>
            <w:sz w:val="20"/>
            <w:szCs w:val="20"/>
          </w:rPr>
          <w:t>0/</w:t>
        </w:r>
        <w:r>
          <w:rPr>
            <w:rStyle w:val="aa"/>
            <w:rFonts w:ascii="Times New Roman" w:hAnsi="Times New Roman" w:cs="Times New Roman"/>
            <w:color w:val="000000" w:themeColor="text1"/>
            <w:sz w:val="20"/>
            <w:szCs w:val="20"/>
            <w:lang w:val="en-US"/>
          </w:rPr>
          <w:t>tab</w:t>
        </w:r>
        <w:r>
          <w:rPr>
            <w:rStyle w:val="aa"/>
            <w:rFonts w:ascii="Times New Roman" w:hAnsi="Times New Roman" w:cs="Times New Roman"/>
            <w:color w:val="000000" w:themeColor="text1"/>
            <w:sz w:val="20"/>
            <w:szCs w:val="20"/>
          </w:rPr>
          <w:t>517/</w:t>
        </w:r>
        <w:r>
          <w:rPr>
            <w:rStyle w:val="aa"/>
            <w:rFonts w:ascii="Times New Roman" w:hAnsi="Times New Roman" w:cs="Times New Roman"/>
            <w:color w:val="000000" w:themeColor="text1"/>
            <w:sz w:val="20"/>
            <w:szCs w:val="20"/>
            <w:lang w:val="en-US"/>
          </w:rPr>
          <w:t>info</w:t>
        </w:r>
        <w:r>
          <w:rPr>
            <w:rStyle w:val="aa"/>
            <w:rFonts w:ascii="Times New Roman" w:hAnsi="Times New Roman" w:cs="Times New Roman"/>
            <w:color w:val="000000" w:themeColor="text1"/>
            <w:sz w:val="20"/>
            <w:szCs w:val="20"/>
          </w:rPr>
          <w:t>63730.</w:t>
        </w:r>
        <w:r>
          <w:rPr>
            <w:rStyle w:val="aa"/>
            <w:rFonts w:ascii="Times New Roman" w:hAnsi="Times New Roman" w:cs="Times New Roman"/>
            <w:color w:val="000000" w:themeColor="text1"/>
            <w:sz w:val="20"/>
            <w:szCs w:val="20"/>
            <w:lang w:val="en-US"/>
          </w:rPr>
          <w:t>htm</w:t>
        </w:r>
      </w:hyperlink>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Юридические науки</w:t>
      </w:r>
    </w:p>
    <w:p w:rsidR="00517711" w:rsidRDefault="00F815BE">
      <w:pPr>
        <w:widowControl w:val="0"/>
        <w:shd w:val="clear" w:color="auto" w:fill="FFFFFF"/>
        <w:spacing w:before="240" w:after="0" w:line="240" w:lineRule="auto"/>
        <w:contextualSpacing/>
        <w:jc w:val="both"/>
        <w:rPr>
          <w:rFonts w:ascii="Times New Roman" w:hAnsi="Times New Roman"/>
          <w:sz w:val="20"/>
          <w:szCs w:val="24"/>
          <w:lang w:eastAsia="ru-RU"/>
        </w:rPr>
      </w:pPr>
      <w:r>
        <w:rPr>
          <w:rFonts w:ascii="Times New Roman" w:hAnsi="Times New Roman"/>
          <w:sz w:val="20"/>
          <w:szCs w:val="24"/>
          <w:lang w:eastAsia="ru-RU"/>
        </w:rPr>
        <w:t>УДК 349.442</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Правовое регулирование градостроительной деятельности в территориях опережающего развития</w:t>
      </w:r>
    </w:p>
    <w:p w:rsidR="00517711" w:rsidRDefault="00F815BE">
      <w:pPr>
        <w:widowControl w:val="0"/>
        <w:shd w:val="clear" w:color="auto" w:fill="FFFFFF"/>
        <w:spacing w:after="0" w:line="240" w:lineRule="auto"/>
        <w:contextualSpacing/>
        <w:jc w:val="center"/>
        <w:rPr>
          <w:rFonts w:ascii="Arial" w:eastAsia="Calibri" w:hAnsi="Arial"/>
          <w:b/>
          <w:bCs/>
          <w:sz w:val="24"/>
          <w:szCs w:val="20"/>
          <w:lang w:eastAsia="ru-RU"/>
        </w:rPr>
      </w:pPr>
      <w:r>
        <w:rPr>
          <w:rFonts w:ascii="Arial" w:eastAsia="Calibri" w:hAnsi="Arial"/>
          <w:b/>
          <w:bCs/>
          <w:sz w:val="24"/>
          <w:szCs w:val="20"/>
          <w:lang w:eastAsia="ru-RU"/>
        </w:rPr>
        <w:t>Золотарева Лилия Ивановна,</w:t>
      </w:r>
    </w:p>
    <w:p w:rsidR="00517711" w:rsidRDefault="00F815BE">
      <w:pPr>
        <w:widowControl w:val="0"/>
        <w:shd w:val="clear" w:color="auto" w:fill="FFFFFF"/>
        <w:spacing w:line="480" w:lineRule="auto"/>
        <w:contextualSpacing/>
        <w:jc w:val="center"/>
        <w:rPr>
          <w:rFonts w:ascii="Arial" w:eastAsia="Calibri" w:hAnsi="Arial"/>
          <w:bCs/>
          <w:sz w:val="24"/>
          <w:szCs w:val="20"/>
          <w:lang w:eastAsia="ru-RU"/>
        </w:rPr>
      </w:pPr>
      <w:r>
        <w:rPr>
          <w:rFonts w:ascii="Arial" w:eastAsia="Calibri" w:hAnsi="Arial"/>
          <w:bCs/>
          <w:sz w:val="24"/>
          <w:szCs w:val="20"/>
          <w:lang w:eastAsia="ru-RU"/>
        </w:rPr>
        <w:t>бакалавр</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widowControl w:val="0"/>
        <w:shd w:val="clear" w:color="auto" w:fill="FFFFFF"/>
        <w:spacing w:after="0" w:line="240" w:lineRule="auto"/>
        <w:contextualSpacing/>
        <w:jc w:val="center"/>
        <w:rPr>
          <w:rFonts w:ascii="Times New Roman" w:hAnsi="Times New Roman"/>
          <w:sz w:val="20"/>
          <w:szCs w:val="24"/>
          <w:lang w:eastAsia="ru-RU"/>
        </w:rPr>
      </w:pPr>
      <w:r>
        <w:rPr>
          <w:rFonts w:ascii="Times New Roman" w:hAnsi="Times New Roman"/>
          <w:sz w:val="20"/>
          <w:szCs w:val="24"/>
          <w:lang w:val="en-US" w:eastAsia="ru-RU"/>
        </w:rPr>
        <w:t>E</w:t>
      </w:r>
      <w:r>
        <w:rPr>
          <w:rFonts w:ascii="Times New Roman" w:hAnsi="Times New Roman"/>
          <w:sz w:val="20"/>
          <w:szCs w:val="24"/>
          <w:lang w:eastAsia="ru-RU"/>
        </w:rPr>
        <w:t>-</w:t>
      </w:r>
      <w:r>
        <w:rPr>
          <w:rFonts w:ascii="Times New Roman" w:hAnsi="Times New Roman"/>
          <w:sz w:val="20"/>
          <w:szCs w:val="24"/>
          <w:lang w:val="en-US" w:eastAsia="ru-RU"/>
        </w:rPr>
        <w:t>mail</w:t>
      </w:r>
      <w:r>
        <w:rPr>
          <w:rFonts w:ascii="Times New Roman" w:hAnsi="Times New Roman"/>
          <w:sz w:val="20"/>
          <w:szCs w:val="24"/>
          <w:lang w:eastAsia="ru-RU"/>
        </w:rPr>
        <w:t xml:space="preserve">: </w:t>
      </w:r>
      <w:r>
        <w:rPr>
          <w:rFonts w:ascii="Times New Roman" w:hAnsi="Times New Roman"/>
          <w:sz w:val="20"/>
          <w:szCs w:val="24"/>
          <w:lang w:val="en-US" w:eastAsia="ru-RU"/>
        </w:rPr>
        <w:t>shidzuko</w:t>
      </w:r>
      <w:r>
        <w:rPr>
          <w:rFonts w:ascii="Times New Roman" w:hAnsi="Times New Roman"/>
          <w:sz w:val="20"/>
          <w:szCs w:val="24"/>
          <w:lang w:eastAsia="ru-RU"/>
        </w:rPr>
        <w:t>@</w:t>
      </w:r>
      <w:r>
        <w:rPr>
          <w:rFonts w:ascii="Times New Roman" w:hAnsi="Times New Roman"/>
          <w:sz w:val="20"/>
          <w:szCs w:val="24"/>
          <w:lang w:val="en-US" w:eastAsia="ru-RU"/>
        </w:rPr>
        <w:t>mail</w:t>
      </w:r>
      <w:r>
        <w:rPr>
          <w:rFonts w:ascii="Times New Roman" w:hAnsi="Times New Roman"/>
          <w:sz w:val="20"/>
          <w:szCs w:val="24"/>
          <w:lang w:eastAsia="ru-RU"/>
        </w:rPr>
        <w:t>.</w:t>
      </w:r>
      <w:r>
        <w:rPr>
          <w:rFonts w:ascii="Times New Roman" w:hAnsi="Times New Roman"/>
          <w:sz w:val="20"/>
          <w:szCs w:val="24"/>
          <w:lang w:val="en-US" w:eastAsia="ru-RU"/>
        </w:rPr>
        <w:t>ru</w:t>
      </w:r>
      <w:r>
        <w:rPr>
          <w:rFonts w:ascii="Times New Roman" w:hAnsi="Times New Roman"/>
          <w:sz w:val="20"/>
          <w:szCs w:val="24"/>
          <w:lang w:eastAsia="ru-RU"/>
        </w:rPr>
        <w:t>; тел.: +79146708722</w:t>
      </w:r>
    </w:p>
    <w:p w:rsidR="00517711" w:rsidRDefault="00F815BE">
      <w:pPr>
        <w:widowControl w:val="0"/>
        <w:shd w:val="clear" w:color="auto" w:fill="FFFFFF"/>
        <w:spacing w:line="480" w:lineRule="auto"/>
        <w:contextualSpacing/>
        <w:jc w:val="center"/>
        <w:rPr>
          <w:rFonts w:ascii="Times New Roman" w:hAnsi="Times New Roman"/>
          <w:sz w:val="20"/>
          <w:szCs w:val="24"/>
          <w:lang w:eastAsia="ru-RU"/>
        </w:rPr>
      </w:pPr>
      <w:r>
        <w:rPr>
          <w:rFonts w:ascii="Times New Roman" w:hAnsi="Times New Roman"/>
          <w:sz w:val="20"/>
          <w:szCs w:val="24"/>
          <w:lang w:eastAsia="ru-RU"/>
        </w:rPr>
        <w:t xml:space="preserve">ул. Гоголя, 41, г. Владивосток, Приморский край, Россия, 690014 </w:t>
      </w:r>
    </w:p>
    <w:p w:rsidR="00517711" w:rsidRDefault="00F815BE">
      <w:pPr>
        <w:widowControl w:val="0"/>
        <w:shd w:val="clear" w:color="auto" w:fill="FFFFFF"/>
        <w:spacing w:after="0" w:line="240" w:lineRule="auto"/>
        <w:contextualSpacing/>
        <w:jc w:val="center"/>
        <w:rPr>
          <w:rFonts w:ascii="Arial" w:eastAsia="Calibri" w:hAnsi="Arial"/>
          <w:b/>
          <w:bCs/>
          <w:sz w:val="24"/>
          <w:szCs w:val="20"/>
          <w:lang w:eastAsia="ru-RU"/>
        </w:rPr>
      </w:pPr>
      <w:r>
        <w:rPr>
          <w:rFonts w:ascii="Arial" w:eastAsia="Calibri" w:hAnsi="Arial"/>
          <w:b/>
          <w:bCs/>
          <w:sz w:val="24"/>
          <w:szCs w:val="20"/>
          <w:lang w:eastAsia="ru-RU"/>
        </w:rPr>
        <w:t xml:space="preserve">Научный руководитель – Варавенко Виктор Евгеньевич, </w:t>
      </w:r>
    </w:p>
    <w:p w:rsidR="00517711" w:rsidRDefault="00F815BE">
      <w:pPr>
        <w:widowControl w:val="0"/>
        <w:shd w:val="clear" w:color="auto" w:fill="FFFFFF"/>
        <w:spacing w:after="0" w:line="360" w:lineRule="auto"/>
        <w:contextualSpacing/>
        <w:jc w:val="center"/>
        <w:rPr>
          <w:rFonts w:ascii="Arial" w:eastAsia="Calibri" w:hAnsi="Arial"/>
          <w:bCs/>
          <w:sz w:val="24"/>
          <w:szCs w:val="20"/>
          <w:lang w:eastAsia="ru-RU"/>
        </w:rPr>
      </w:pPr>
      <w:r>
        <w:rPr>
          <w:rFonts w:ascii="Arial" w:eastAsia="Calibri" w:hAnsi="Arial"/>
          <w:bCs/>
          <w:sz w:val="24"/>
          <w:szCs w:val="20"/>
          <w:lang w:eastAsia="ru-RU"/>
        </w:rPr>
        <w:t>кандидат юридических наук, доцент кафедры гражданско-правовых дисциплин, Институт права</w:t>
      </w:r>
    </w:p>
    <w:p w:rsidR="00517711" w:rsidRDefault="00F815BE">
      <w:pPr>
        <w:widowControl w:val="0"/>
        <w:shd w:val="clear" w:color="auto" w:fill="FFFFFF"/>
        <w:spacing w:before="240" w:line="240" w:lineRule="auto"/>
        <w:ind w:firstLine="709"/>
        <w:contextualSpacing/>
        <w:jc w:val="both"/>
        <w:rPr>
          <w:rFonts w:ascii="Times New Roman" w:hAnsi="Times New Roman"/>
          <w:i/>
          <w:szCs w:val="24"/>
          <w:lang w:eastAsia="ru-RU"/>
        </w:rPr>
      </w:pPr>
      <w:r>
        <w:rPr>
          <w:rFonts w:ascii="Times New Roman" w:hAnsi="Times New Roman"/>
          <w:i/>
          <w:szCs w:val="24"/>
          <w:lang w:eastAsia="ru-RU"/>
        </w:rPr>
        <w:t xml:space="preserve">В статье анализируются особенности правового регулирования градостроительной деятельности (деятельности по архитектурно-строительному проектированию и строительству) в территориях опережающего развития. Автором установлены определенные изъятия из общего правового режима градостроительной деятельности, касающиеся предоставления тех или иных административных преференций при проектировании и строительстве объектов инфраструктуры территорий опережающего развития. </w:t>
      </w:r>
    </w:p>
    <w:p w:rsidR="00517711" w:rsidRDefault="00F815BE">
      <w:pPr>
        <w:widowControl w:val="0"/>
        <w:shd w:val="clear" w:color="auto" w:fill="FFFFFF"/>
        <w:spacing w:before="240" w:line="240" w:lineRule="auto"/>
        <w:ind w:firstLine="709"/>
        <w:contextualSpacing/>
        <w:jc w:val="both"/>
        <w:rPr>
          <w:rFonts w:ascii="Times New Roman" w:hAnsi="Times New Roman"/>
          <w:i/>
          <w:szCs w:val="24"/>
          <w:lang w:eastAsia="ru-RU"/>
        </w:rPr>
      </w:pPr>
      <w:r>
        <w:rPr>
          <w:rFonts w:ascii="Times New Roman" w:hAnsi="Times New Roman"/>
          <w:b/>
          <w:i/>
          <w:szCs w:val="24"/>
          <w:lang w:eastAsia="ru-RU"/>
        </w:rPr>
        <w:t>Ключевые слова и словосочетания</w:t>
      </w:r>
      <w:r>
        <w:rPr>
          <w:rFonts w:ascii="Times New Roman" w:hAnsi="Times New Roman"/>
          <w:i/>
          <w:szCs w:val="24"/>
          <w:lang w:eastAsia="ru-RU"/>
        </w:rPr>
        <w:t>: территория опережающего развития, градостроительная деятельность, правовое регулирование.</w:t>
      </w:r>
    </w:p>
    <w:p w:rsidR="00517711" w:rsidRDefault="00F815BE">
      <w:pPr>
        <w:keepNext/>
        <w:spacing w:before="240" w:after="240" w:line="240" w:lineRule="auto"/>
        <w:jc w:val="center"/>
        <w:outlineLvl w:val="0"/>
        <w:rPr>
          <w:rFonts w:ascii="Book Antiqua" w:hAnsi="Book Antiqua"/>
          <w:b/>
          <w:bCs/>
          <w:caps/>
          <w:sz w:val="26"/>
          <w:szCs w:val="26"/>
          <w:lang w:val="en-US"/>
        </w:rPr>
      </w:pPr>
      <w:r>
        <w:rPr>
          <w:rFonts w:ascii="Book Antiqua" w:hAnsi="Book Antiqua"/>
          <w:b/>
          <w:bCs/>
          <w:caps/>
          <w:sz w:val="26"/>
          <w:szCs w:val="26"/>
          <w:lang w:val="en-US"/>
        </w:rPr>
        <w:t>Law regulation of town-planning activity in territories of advancing development</w:t>
      </w:r>
    </w:p>
    <w:p w:rsidR="00517711" w:rsidRDefault="00F815BE">
      <w:pPr>
        <w:widowControl w:val="0"/>
        <w:shd w:val="clear" w:color="auto" w:fill="FFFFFF"/>
        <w:spacing w:before="240" w:line="240" w:lineRule="auto"/>
        <w:ind w:firstLine="709"/>
        <w:contextualSpacing/>
        <w:jc w:val="both"/>
        <w:rPr>
          <w:rFonts w:ascii="Times New Roman" w:hAnsi="Times New Roman"/>
          <w:i/>
          <w:iCs/>
          <w:szCs w:val="24"/>
          <w:lang w:val="en-US" w:eastAsia="ru-RU"/>
        </w:rPr>
      </w:pPr>
      <w:r>
        <w:rPr>
          <w:rFonts w:ascii="Times New Roman" w:hAnsi="Times New Roman"/>
          <w:i/>
          <w:iCs/>
          <w:szCs w:val="24"/>
          <w:lang w:val="en-US" w:eastAsia="ru-RU"/>
        </w:rPr>
        <w:t xml:space="preserve">In the article features of law regulation of town-planning activity (activity on architectural and </w:t>
      </w:r>
      <w:r>
        <w:rPr>
          <w:rFonts w:ascii="Times New Roman" w:hAnsi="Times New Roman"/>
          <w:i/>
          <w:iCs/>
          <w:szCs w:val="24"/>
          <w:lang w:val="en-US" w:eastAsia="ru-RU"/>
        </w:rPr>
        <w:lastRenderedPageBreak/>
        <w:t>construction design and construction) in the territories of advancing development are analyzed. The author establishes certain exemptions from the general law regime of town-planning activity relating to the provision of certain administrative preferences in the design and construction of infrastructure facilities in the territories of advancing development.</w:t>
      </w:r>
    </w:p>
    <w:p w:rsidR="00517711" w:rsidRDefault="00F815BE">
      <w:pPr>
        <w:widowControl w:val="0"/>
        <w:shd w:val="clear" w:color="auto" w:fill="FFFFFF"/>
        <w:spacing w:before="240" w:line="240" w:lineRule="auto"/>
        <w:ind w:firstLine="709"/>
        <w:contextualSpacing/>
        <w:jc w:val="both"/>
        <w:rPr>
          <w:rFonts w:ascii="Times New Roman" w:hAnsi="Times New Roman"/>
          <w:i/>
          <w:szCs w:val="24"/>
          <w:lang w:val="en-US" w:eastAsia="ru-RU"/>
        </w:rPr>
      </w:pPr>
      <w:r>
        <w:rPr>
          <w:rFonts w:ascii="Times New Roman" w:hAnsi="Times New Roman"/>
          <w:b/>
          <w:i/>
          <w:szCs w:val="24"/>
          <w:lang w:val="en-US" w:eastAsia="ru-RU"/>
        </w:rPr>
        <w:t>Keywords</w:t>
      </w:r>
      <w:r>
        <w:rPr>
          <w:rFonts w:ascii="Times New Roman" w:hAnsi="Times New Roman"/>
          <w:i/>
          <w:szCs w:val="24"/>
          <w:lang w:val="en-US" w:eastAsia="ru-RU"/>
        </w:rPr>
        <w:t>: territory of advancing development, town-planning activity, law regulation.</w:t>
      </w:r>
    </w:p>
    <w:p w:rsidR="00517711" w:rsidRDefault="00517711">
      <w:pPr>
        <w:widowControl w:val="0"/>
        <w:shd w:val="clear" w:color="auto" w:fill="FFFFFF"/>
        <w:spacing w:after="0" w:line="240" w:lineRule="auto"/>
        <w:ind w:firstLine="709"/>
        <w:contextualSpacing/>
        <w:jc w:val="both"/>
        <w:rPr>
          <w:rFonts w:ascii="Times New Roman" w:hAnsi="Times New Roman"/>
          <w:sz w:val="20"/>
          <w:szCs w:val="24"/>
          <w:lang w:val="en-US" w:eastAsia="ru-RU"/>
        </w:rPr>
      </w:pP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Актуальность темы исследования обусловлена несомненным инновационным характером территорий опережающего социально-экономического развития (далее – ТОР), которые были введены Федеральным законом от 29.12.2014 г. № 473-ФЗ «О территориях опережающего социально-экономического развития в Российской Федерации» (далее – Федеральный закон «О ТОР в РФ»). Градостроительная деятельность в ТОР предопределяет дальнейшую реализацию предпринимательской деятельности резидентами, влияет на размер вкладываемых инвестиций (внутренних и внешних), объемы бюджетного финансирования (федерального, регионального, муниципального уровней). Федеральный закон «О ТОР в РФ» указал вектор социально-экономического развития, для эффективного следования которому необходимо создать определенный пласт инфраструктуры (транспортной, инженерной, коммунальной и т. д.), ее объекты, непосредственно обеспечивающие ТОР. Архитектурно-строительное проектирование и строительство – немаловажные составляющие градостроительной деятельности, предваряющие воплощение в действительность инвестиционных проектов резидентов ТОР. </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Целью работы является изучение правового регулирования градостроительной деятельности (архитектурно-строительного проектирования и строительства) в ТОР. Особенности правового режима градостроительной деятельности анализируются на примере ТОР «Индустриальный парк «Кангалассы», созданной в Республике Саха (Якутия) в 2015 г. Кангалассы – это микрорайон, входящий в городской округ «г. Якутск». На базе ТОР «Индустриальный парк «Кангалассы» запланировано возведение перспективного и привлекательного для инвесторов монопрофильного поселка промышленного производства для выпуска продукции, которая имела бы распространение и сбыт на всей территории Республики Саха (Якутия) и удовлетворяла, в том числе, «нужды» г. Якутска [5].</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В ходе исследования делается акцент на архитектурно-строительном проектировании и строительстве вследствие того, что создание объектов инфраструктуры ТОР осуществляется непосредственно на основе разрабатываемой проектной документации, которая содержит необходимые характеристики для их последующего строительства и является одним из важнейших документов в строительной деятельности. От результатов проектирования зависит безопасность эксплуатации, качество, соответствие градостроительным требованиям объектов инфраструктуры ТОР. Строительство же обеспечивает фактическое создание объектов инфраструктуры для обеспечения функционирования ТОР.   </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В соответствии со ст. 1 Градостроительного кодекса РФ (далее – ГрК РФ), под градостроительной деятельностью понимается деятельность, направленная на развитие территорий, осуществляемая в таких формах, как «территориальное планирование, градостроительное зонирование, планировка территории, архитектурно-строительное проектирование, строительство, капитальный ремонт, реконструкция &lt;…&gt;, эксплуатация» [3, ч. 1 ст. 1]. </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В Федеральном законе «О ТОР в РФ» закреплено понятие «ТОР»: это «часть территории субъекта РФ» с особым правовым режимом «предпринимательской и иной деятельности», который установлен по решению Правительства РФ, для создания «благоприятных условий» в целях «привлечения инвестиций, обеспечения ускоренного социально-экономического развития, комфортных условий &lt;…&gt; жизнедеятельности населения» [15, пп. 3 ст. 2]. ТОР «Индустриальный парк «Кангалассы» была образована Постановлением Правительства РФ от 21.08.2015 г. № 877 «О создании территории опережающего социально-экономического развития «Индустриальный парк «Кангалассы» [14, п. 1]. Управляющая компания выступает в лице ООО «Индустриальный парк «Кангалассы» (как дочернее общество АО «Корпорация развития Дальнего Востока», согласно Постановлению Правительства РФ от 30.04.2015 г. № 432 «Об управляющей компании, осуществляющей функции по управлению территориями опережающего социально-экономического развития в субъектах Российской Федерации, входящих в состав Дальневосточного федерального округа, и свободным портом Владивосток» [9, п. 3]), являющегося застройщиком объектов инфраструктуры ТОР [15, ч. 1 ст. 8]. </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Рассмотрим деятельность по проектированию в ТОР. В ГрК РФ содержится дефиниция термина «архитектурно-строительное проектирование». Приведем ключевую ее часть: это подготовка проектной документации по объектам капитального строительства, которые строятся, реконструируются на земельном участке, принадлежащем застройщику (иному правообладателю) [3, ч. 1 ст. 48]. Субъектный состав, отвечающий за принятие решения о подготовке проектной документации объектов инфраструктуры ТОР и осуществляющий ее непосредственную подготовку, в определенной степени является специальным, т. е. отличным от круга субъектов, установленных по общим правилам. Так, согласно Постановлению Правительства РФ от 28.03.2015 г. № 287 «Об определении федерального органа исполнительной власти, уполномоченного на осуществление функций в области создания территорий опережающего социально-экономического развития на территории Дальневосточного федерального округа, и о внесении изменений в некоторые акты Правительства Российской Федерации» (далее – Постановление Правительства РФ № 287), принятие решения о подготовке проектной документации должно быть законодательно возложено на </w:t>
      </w:r>
      <w:r>
        <w:rPr>
          <w:rFonts w:ascii="Times New Roman" w:hAnsi="Times New Roman"/>
          <w:sz w:val="20"/>
          <w:szCs w:val="20"/>
          <w:lang w:eastAsia="ru-RU"/>
        </w:rPr>
        <w:lastRenderedPageBreak/>
        <w:t>уполномоченный на выполнение функций в сфере создания ТОР в пределах Дальневосточного федерального округа орган – Министерство РФ по развитию Дальнего Востока (далее – Минвостокразвития России) [8, п. 1]. Сама же подготовка проектной документации объектов инфраструктуры ТОР должна осуществляться АО «Корпорация развития Дальнего Востока» (либо ее дочерним обществом – ООО «Индустриальный парк «Кангалассы») [15, п. 1 ч. 1 ст. 8] как застройщиком. Это закреплено в качестве одного из основных видов деятельности и в уставе АО «Корпорация развития Дальнего Востока», утвержденном Приказом Минвостокразвития России от 30.03.2017 г. № 63 [17, п. 4.3]. Например, указанная управляющая компания отвечала за проектирование сетей площадки «Ракитное» в ТОР «Хабаровск» [7].</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В Федеральном законе «О ТОР в РФ» содержатся нормы права, посвященные особенностям государственной экологической экспертизы проектной документации объектов инфраструктуры ТОР. Отметим, что в данном случае закреплен заявительный характер процедуры государственной экологической экспертизы. Так, заказчик (в лице ООО «Индустриальный парк «Кангалассы» [15, п. 1 ч. 1 ст. 8]) самостоятельно направляет проектную документацию объектов инфраструктуры ТОР на государственную экологическую экспертизу компетентным органам исполнительной власти РФ, субъектов РФ [15, п. 1 ст. 27]. Причем, по мнению Абраровой З. Ф., объективная необходимость экологической экспертизы, в целом, обусловлена выполнением ею функции «предупредительного экологического контроля» [1, с. 41]. Мы, несомненно, согласны с автором, т. к. государственная экологическая экспертиза имеет законодательно закрепленную цель – предотвращение отрицательного воздействия хозяйственной «деятельности на окружающую среду», в соответствии с Федеральным законом от 23.11.1995 г. № 174-ФЗ «Об экологической экспертизе» (далее – Федеральным законом «Об экологической экспертизе») [12, ст. 1]. </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Изъятие из общего правового режима деятельности по проектированию в ТОР заключается в сроке проведения государственной экологической экспертизы: 45 дней после ее полной предварительной оплаты [15, ч. 2 ст. 27]. Тогда как, по общему правилу, установленному Федеральным законом «Об экологической экспертизе», данный срок удлинен до 3 месяцев (плюс – с возможным, по инициативе заказчика, продлением на 1 месяц) [12, п. 4 ст. 14]. Подобные меры со стороны законодателя предполагают, разумеется, сокращенные временные рамки административных процедур специально для резидентов ТОР (прежде всего, в целях стимулирования социально-экономического потенциала ТОР «Индустриальный парк «Кангалассы», привлечения инвесторов). </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Перейдем к рассмотрению деятельности по строительству в ТОР. Строительство представляет собой, в общем плане, «создание зданий, строений, сооружений» [3, ч. 13 ст. 1]. Изъятием из общего режима деятельности по строительству является возможность осуществления определенных подготовительных работ – уже со дня представления на государственную экспертизу проектной документации объектов капитального строительства, предназначенных для «размещения объектов инфраструктуры» ТОР, до момента получения разрешения на строительство [15, ч. 6 ст. 26]. Например, согласно Приказу Минвостокразвития России от 03.03.2015 г. № 25 «Об утверждении перечня видов подготовительных работ, выполнение которых допускается до получения разрешения на строительство объектов, необходимых для размещения объектов инфраструктуры территории опережающего социально-экономического развития», к таким подготовительным работам относятся ландшафтные работы, устройство берегоукрепления, ограждение строительной площадки и т. д. [11]. Тогда как, по общему правилу, запрещено осуществлять какие-либо работы по строительству объекта до того, как те или иные компетентные органы, организации выдадут разрешение на строительство [3, ч. 1 ст. 51]. Данная норма права, безусловно, предоставляет выгодные преференции, особенно на начальных этапах процесса создания инфраструктуры ТОР. В том числе, ООО «Сэйбиэм», резидент ТОР «Индустриальный парк «Кангалассы» с ноября 2017 г., приступило к подготовительным работам «на площадке для строительства производственных помещений ювелирно-гранильного кластера» [2].   </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Для ТОР «Индустриальный парк «Кангалассы» выдачу разрешения на строительство осуществляет, как определил законодатель, именно Минвостокразвития России [15, п. 1 ст. 7], что выступает в качестве следующей особенности правового регулирования строительства в ТОР. Отметим, что Приказ Минвостокразвития России от 27.03.2017 г. № 57 «Об утверждении Административного регламента Министерства Российской Федерации по развитию Дальнего Востока по предоставлению государственной услуги по выдаче разрешений на строительство и выдаче разрешений на ввод в эксплуатацию при осуществлении строительства и реконструкции объектов капитального строительства инфраструктуры территорий опережающего социально-экономического развития, входящих в состав Дальневосточного федерального округа, за исключением объектов, указанных в пункте 5.1 части 1 статьи 6 Градостроительного кодекса Российской Федерации, кроме автомобильных дорог федерального значения» устанавливает заявительный характер процедуры получения разрешения на строительство [10, п. 18]. Так, заявителем на получение данной государственной услуги выступает, как и по общему правилу, застройщик. Он может выступать, прежде всего, в качестве резидента ТОР (например, резидентов ТОР «Индустриальный парк «Кангалассы» – ООО «Саюри», ООО «Саха Липснеле», ООО «Теплый край» и др. [16]), управляющей компании – АО «Корпорация развития Дальнего Востока» (либо дочернего общества – ООО «Индустриальный парк «Кангалассы») [10, п. 2]. Как мы считаем, подобное обстоятельство объясняется спецификами системы управления в ТОР и возведения объектов ее инфраструктуры. Что касается всех иных организаций, также выступающих застройщиками объектов инфраструктуры ТОР, то они, как и вышеуказанные резиденты и управляющие компании ТОР, тоже получают разрешение на строительство от Минвостокразвития России [10, </w:t>
      </w:r>
      <w:r>
        <w:rPr>
          <w:rFonts w:ascii="Times New Roman" w:hAnsi="Times New Roman"/>
          <w:sz w:val="20"/>
          <w:szCs w:val="20"/>
          <w:lang w:eastAsia="ru-RU"/>
        </w:rPr>
        <w:lastRenderedPageBreak/>
        <w:t xml:space="preserve">п. 2], а данное является особенностью регулирования строительства в ТОР, обеспечивающей прозрачность и ускорение прохождения административных процедур. </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Специальным является и субъект государственного строительного надзора над объектами инфраструктуры ТОР – Минвостокразвития России [15, п. 2 ст. 7], а не Федеральная служба по экологическому, технологическому и атомному надзору – Ростехнадзор, Министерство обороны РФ и др., согласно Постановлению Правительства РФ от 01.02.2006 г. № 54 «О государственном строительном надзоре в Российской Федерации» (по общему порядку) [13, п. 2]. Это обусловлено функциональной ролью Минвостокразвития России в сфере создания ТОР как непосредственно уполномоченного федерального органа. Так, Ионов А. В. выделяет важность государственного строительного надзора вследствие выполнения уполномоченными органами надзорных функций государства на итоговом этапе «инвестиционного процесса», когда реализуется строительство объектов и ввод их в эксплуатацию [6, с. 20]. Мы присоединимся к мнению Ионова А. В., поскольку необходимость такого проверочного государственного механизма, в данном случае приводимого в действие Минвостокразвитием России, несомненна для возведения соответствующих градостроительным требованиям объектов инфраструктуры ТОР, реализации принципа административного делегирования в ТОР.</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Таким образом, деятельность по строительству и проектированию в ТОР характеризуется наличием ряда изложенных нами изъятий из общего правового режима строительства (прежде всего, в субъектах, содержании процедур), что обусловлено практическими целями: уменьшение административных ограничений при возведении объектов инфраструктуры ТОР, повышение инвестиционной привлекательности. </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В итоге, по нашему мнению, законодательство о проектировании и строительстве объектов инфраструктуры ТОР выполняет поставленные перед ним задачи, направленные на облегчение административных барьеров, упрощение тех или иных процедур, хоть и нуждается спустя три года своего существования в ряде поправок. Это можно подтвердить тем, что весной 2018 г. ожидается внесение в Государственную Думу РФ крупного, как подчеркивает статс-секретарь – заместитель министра Минвостокразвития России Волков П. М., законопроекта, «который внесет изменения в законодательство о ТОР», учитывая накопленный «опыт правоприменительной практики» [4].</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color w:val="000000"/>
          <w:sz w:val="20"/>
          <w:szCs w:val="20"/>
        </w:rPr>
        <w:t>__________________________</w:t>
      </w:r>
    </w:p>
    <w:p w:rsidR="00517711" w:rsidRDefault="00F815BE">
      <w:pPr>
        <w:widowControl w:val="0"/>
        <w:shd w:val="clear" w:color="auto" w:fill="FFFFFF"/>
        <w:spacing w:after="0" w:line="240" w:lineRule="auto"/>
        <w:ind w:firstLine="708"/>
        <w:contextualSpacing/>
        <w:jc w:val="both"/>
        <w:rPr>
          <w:rFonts w:ascii="Times New Roman" w:hAnsi="Times New Roman" w:cs="Times New Roman"/>
          <w:sz w:val="20"/>
          <w:szCs w:val="20"/>
          <w:lang w:eastAsia="ru-RU"/>
        </w:rPr>
      </w:pPr>
      <w:r>
        <w:rPr>
          <w:rFonts w:ascii="Times New Roman" w:hAnsi="Times New Roman" w:cs="Times New Roman"/>
          <w:sz w:val="20"/>
          <w:szCs w:val="20"/>
          <w:lang w:eastAsia="ru-RU"/>
        </w:rPr>
        <w:t>1. Абрарова З. Ф. Государственная экологическая экспертиза как инструмент охраны окружающей среды / З. Ф. Абрарова // Бюллетень науки и практики. – 2016. – № 6 (7). – С. 40-45.</w:t>
      </w:r>
    </w:p>
    <w:p w:rsidR="00517711" w:rsidRDefault="00F815BE">
      <w:pPr>
        <w:widowControl w:val="0"/>
        <w:shd w:val="clear" w:color="auto" w:fill="FFFFFF"/>
        <w:spacing w:after="0" w:line="240" w:lineRule="auto"/>
        <w:ind w:firstLine="709"/>
        <w:contextualSpacing/>
        <w:jc w:val="both"/>
        <w:rPr>
          <w:rFonts w:ascii="Times New Roman" w:hAnsi="Times New Roman" w:cs="Times New Roman"/>
          <w:sz w:val="20"/>
          <w:szCs w:val="20"/>
          <w:lang w:eastAsia="ru-RU"/>
        </w:rPr>
      </w:pPr>
      <w:r>
        <w:rPr>
          <w:rFonts w:ascii="Times New Roman" w:hAnsi="Times New Roman" w:cs="Times New Roman"/>
          <w:sz w:val="20"/>
          <w:szCs w:val="20"/>
          <w:lang w:eastAsia="ru-RU"/>
        </w:rPr>
        <w:t>2. В ТОР «Кангалассы» приступили к созданию ювелирно-гранильного кластера [Электронный ресурс] // Информационное агентство «</w:t>
      </w:r>
      <w:r>
        <w:rPr>
          <w:rFonts w:ascii="Times New Roman" w:hAnsi="Times New Roman" w:cs="Times New Roman"/>
          <w:sz w:val="20"/>
          <w:szCs w:val="20"/>
          <w:lang w:val="en-US" w:eastAsia="ru-RU"/>
        </w:rPr>
        <w:t>SakhaNews</w:t>
      </w:r>
      <w:r>
        <w:rPr>
          <w:rFonts w:ascii="Times New Roman" w:hAnsi="Times New Roman" w:cs="Times New Roman"/>
          <w:sz w:val="20"/>
          <w:szCs w:val="20"/>
          <w:lang w:eastAsia="ru-RU"/>
        </w:rPr>
        <w:t>». – Режим доступа. – http://www.1sn.ru/202630.html.</w:t>
      </w:r>
    </w:p>
    <w:p w:rsidR="00517711" w:rsidRDefault="00F815BE">
      <w:pPr>
        <w:widowControl w:val="0"/>
        <w:shd w:val="clear" w:color="auto" w:fill="FFFFFF"/>
        <w:spacing w:after="0" w:line="240" w:lineRule="auto"/>
        <w:ind w:firstLine="709"/>
        <w:contextualSpacing/>
        <w:jc w:val="both"/>
        <w:rPr>
          <w:rFonts w:ascii="Times New Roman" w:hAnsi="Times New Roman" w:cs="Times New Roman"/>
          <w:sz w:val="20"/>
          <w:szCs w:val="20"/>
          <w:lang w:eastAsia="ru-RU"/>
        </w:rPr>
      </w:pPr>
      <w:r>
        <w:rPr>
          <w:rFonts w:ascii="Times New Roman" w:hAnsi="Times New Roman" w:cs="Times New Roman"/>
          <w:sz w:val="20"/>
          <w:szCs w:val="20"/>
          <w:lang w:eastAsia="ru-RU"/>
        </w:rPr>
        <w:t>3. Градостроительный кодекс Российской Федерации: федеральный закон от 29.12.2004 г. № 190-ФЗ (ред. от 29.07.2017 г.) [Электронный ресурс] // СПС «КонсультантПлюс». – Режим доступа: http://www.consultant.ru/cons/cgi/online.cgi?req=doc&amp;base=LAW&amp;n=219140&amp;fld=134&amp;dst=1000000001,0&amp;rnd=0.10475951308881348#0.</w:t>
      </w:r>
    </w:p>
    <w:p w:rsidR="00517711" w:rsidRDefault="00F815BE">
      <w:pPr>
        <w:widowControl w:val="0"/>
        <w:shd w:val="clear" w:color="auto" w:fill="FFFFFF"/>
        <w:spacing w:after="0" w:line="240" w:lineRule="auto"/>
        <w:ind w:firstLine="709"/>
        <w:contextualSpacing/>
        <w:jc w:val="both"/>
        <w:rPr>
          <w:rFonts w:ascii="Times New Roman" w:hAnsi="Times New Roman" w:cs="Times New Roman"/>
          <w:sz w:val="20"/>
          <w:szCs w:val="20"/>
          <w:lang w:eastAsia="ru-RU"/>
        </w:rPr>
      </w:pPr>
      <w:r>
        <w:rPr>
          <w:rFonts w:ascii="Times New Roman" w:hAnsi="Times New Roman" w:cs="Times New Roman"/>
          <w:sz w:val="20"/>
          <w:szCs w:val="20"/>
          <w:lang w:eastAsia="ru-RU"/>
        </w:rPr>
        <w:t>4. Законодательство опережающего развития [Электронный ресурс] // Информационно-аналитическое агентство «Восток России». – Режим доступа: https://www.eastrussia.ru/material/zakonodatelstvo-operezhayushchego-razvitiya/.</w:t>
      </w:r>
    </w:p>
    <w:p w:rsidR="00517711" w:rsidRDefault="00F815BE">
      <w:pPr>
        <w:widowControl w:val="0"/>
        <w:shd w:val="clear" w:color="auto" w:fill="FFFFFF"/>
        <w:spacing w:after="0" w:line="240" w:lineRule="auto"/>
        <w:ind w:firstLine="709"/>
        <w:contextualSpacing/>
        <w:jc w:val="both"/>
        <w:rPr>
          <w:rFonts w:ascii="Times New Roman" w:hAnsi="Times New Roman" w:cs="Times New Roman"/>
          <w:sz w:val="20"/>
          <w:szCs w:val="20"/>
          <w:lang w:eastAsia="ru-RU"/>
        </w:rPr>
      </w:pPr>
      <w:r>
        <w:rPr>
          <w:rFonts w:ascii="Times New Roman" w:hAnsi="Times New Roman" w:cs="Times New Roman"/>
          <w:sz w:val="20"/>
          <w:szCs w:val="20"/>
          <w:lang w:eastAsia="ru-RU"/>
        </w:rPr>
        <w:t>5. Индустриальный парк «Кангалассы» [Электронный ресурс] // Сайт ООО «Индустриальный парк «Кангалассы». – Режим доступа: http://kanpark.ya14.ru/about-us/.</w:t>
      </w:r>
    </w:p>
    <w:p w:rsidR="00517711" w:rsidRDefault="00F815BE">
      <w:pPr>
        <w:widowControl w:val="0"/>
        <w:shd w:val="clear" w:color="auto" w:fill="FFFFFF"/>
        <w:spacing w:after="0" w:line="240" w:lineRule="auto"/>
        <w:ind w:firstLine="709"/>
        <w:contextualSpacing/>
        <w:jc w:val="both"/>
        <w:rPr>
          <w:rFonts w:ascii="Times New Roman" w:hAnsi="Times New Roman" w:cs="Times New Roman"/>
          <w:sz w:val="20"/>
          <w:szCs w:val="20"/>
          <w:lang w:eastAsia="ru-RU"/>
        </w:rPr>
      </w:pPr>
      <w:r>
        <w:rPr>
          <w:rFonts w:ascii="Times New Roman" w:hAnsi="Times New Roman" w:cs="Times New Roman"/>
          <w:sz w:val="20"/>
          <w:szCs w:val="20"/>
          <w:lang w:eastAsia="ru-RU"/>
        </w:rPr>
        <w:t>6. Ионов А. В. Государственный строительный надзор Ямала – работа на результат / А. В. Ионов // Строительный вестник Тюменской области. – 2015. – № 1 (71). – С. 20-23.</w:t>
      </w:r>
    </w:p>
    <w:p w:rsidR="00517711" w:rsidRDefault="00F815BE">
      <w:pPr>
        <w:widowControl w:val="0"/>
        <w:shd w:val="clear" w:color="auto" w:fill="FFFFFF"/>
        <w:spacing w:after="0" w:line="240" w:lineRule="auto"/>
        <w:ind w:firstLine="709"/>
        <w:contextualSpacing/>
        <w:jc w:val="both"/>
        <w:rPr>
          <w:rFonts w:ascii="Times New Roman" w:hAnsi="Times New Roman" w:cs="Times New Roman"/>
          <w:sz w:val="20"/>
          <w:szCs w:val="20"/>
          <w:lang w:eastAsia="ru-RU"/>
        </w:rPr>
      </w:pPr>
      <w:r>
        <w:rPr>
          <w:rFonts w:ascii="Times New Roman" w:hAnsi="Times New Roman" w:cs="Times New Roman"/>
          <w:sz w:val="20"/>
          <w:szCs w:val="20"/>
          <w:lang w:eastAsia="ru-RU"/>
        </w:rPr>
        <w:t>7. Корпорация развития Дальнего Востока начала проектирование сетей внутри ТОР [Электронный ресурс] // «Рамблер». – Режим доступа: https://news.rambler.ru/economics/34612882/?utm_content=rnews&amp;utm_medium=read_more&amp;utm_source=copylink.</w:t>
      </w:r>
    </w:p>
    <w:p w:rsidR="00517711" w:rsidRDefault="00F815BE">
      <w:pPr>
        <w:widowControl w:val="0"/>
        <w:shd w:val="clear" w:color="auto" w:fill="FFFFFF"/>
        <w:spacing w:after="0" w:line="240" w:lineRule="auto"/>
        <w:ind w:firstLine="709"/>
        <w:contextualSpacing/>
        <w:jc w:val="both"/>
        <w:rPr>
          <w:rFonts w:ascii="Times New Roman" w:hAnsi="Times New Roman" w:cs="Times New Roman"/>
          <w:sz w:val="20"/>
          <w:szCs w:val="20"/>
          <w:lang w:eastAsia="ru-RU"/>
        </w:rPr>
      </w:pPr>
      <w:r>
        <w:rPr>
          <w:rFonts w:ascii="Times New Roman" w:hAnsi="Times New Roman" w:cs="Times New Roman"/>
          <w:sz w:val="20"/>
          <w:szCs w:val="20"/>
          <w:lang w:eastAsia="ru-RU"/>
        </w:rPr>
        <w:t>8. Об определении федерального органа исполнительной власти, уполномоченного на осуществление функций в области создания территорий опережающего социально-экономического развития на территории Дальневосточного федерального округа, и о внесении изменений в некоторые акты Правительства Российской Федерации: постановление Правительства РФ от 28.03.2015 г. № 287 [Электронный ресурс] // СПС «Гарант». – Режим доступа: http://ivo.garant.ru/#/document/70923302:0.</w:t>
      </w:r>
    </w:p>
    <w:p w:rsidR="00517711" w:rsidRDefault="00F815BE">
      <w:pPr>
        <w:widowControl w:val="0"/>
        <w:shd w:val="clear" w:color="auto" w:fill="FFFFFF"/>
        <w:spacing w:after="0" w:line="240" w:lineRule="auto"/>
        <w:ind w:firstLine="709"/>
        <w:contextualSpacing/>
        <w:jc w:val="both"/>
        <w:rPr>
          <w:rFonts w:ascii="Times New Roman" w:hAnsi="Times New Roman" w:cs="Times New Roman"/>
          <w:sz w:val="20"/>
          <w:szCs w:val="20"/>
          <w:lang w:eastAsia="ru-RU"/>
        </w:rPr>
      </w:pPr>
      <w:r>
        <w:rPr>
          <w:rFonts w:ascii="Times New Roman" w:hAnsi="Times New Roman" w:cs="Times New Roman"/>
          <w:sz w:val="20"/>
          <w:szCs w:val="20"/>
          <w:lang w:eastAsia="ru-RU"/>
        </w:rPr>
        <w:t>9. Об управляющей компании, осуществляющей функции по управлению территориями опережающего социально-экономического развития в субъектах Российской Федерации, входящих в состав Дальневосточного федерального округа, и свободным портом Владивосток: постановление Правительства РФ от 30.04.2015 г. № 432 (ред. от 02.08.2017 г.) [Электронный ресурс] // СПС «Гарант». – Режим доступа: http://ivo.garant.ru/#/document/71003772:0.</w:t>
      </w:r>
    </w:p>
    <w:p w:rsidR="00517711" w:rsidRDefault="00F815BE">
      <w:pPr>
        <w:widowControl w:val="0"/>
        <w:shd w:val="clear" w:color="auto" w:fill="FFFFFF"/>
        <w:spacing w:after="0" w:line="240" w:lineRule="auto"/>
        <w:ind w:firstLine="709"/>
        <w:contextualSpacing/>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10. Об утверждении Административного регламента Министерства Российской Федерации по развитию Дальнего Востока по предоставлению государственной услуги по выдаче разрешений на строительство и выдаче разрешений на ввод в эксплуатацию при осуществлении строительства и реконструкции объектов капитального строительства инфраструктуры территорий опережающего социально-экономического развития, входящих в состав Дальневосточного федерального округа, за исключением объектов, указанных в пункте 5.1 части 1 статьи 6 Градостроительного кодекса Российской Федерации, кроме автомобильных дорог федерального значения: приказ Министерства РФ по развитию Дальнего Востока от 27.03.2017 г. № 57 [Электронный ресурс] // Электронный фонд правовой и нормативно-технической </w:t>
      </w:r>
      <w:r>
        <w:rPr>
          <w:rFonts w:ascii="Times New Roman" w:hAnsi="Times New Roman" w:cs="Times New Roman"/>
          <w:sz w:val="20"/>
          <w:szCs w:val="20"/>
          <w:lang w:eastAsia="ru-RU"/>
        </w:rPr>
        <w:lastRenderedPageBreak/>
        <w:t>документации. – Режим доступа: http://docs.cntd.ru/document/456057107.</w:t>
      </w:r>
    </w:p>
    <w:p w:rsidR="00517711" w:rsidRDefault="00F815BE">
      <w:pPr>
        <w:widowControl w:val="0"/>
        <w:shd w:val="clear" w:color="auto" w:fill="FFFFFF"/>
        <w:spacing w:after="0" w:line="240" w:lineRule="auto"/>
        <w:ind w:firstLine="709"/>
        <w:contextualSpacing/>
        <w:jc w:val="both"/>
        <w:rPr>
          <w:rFonts w:ascii="Times New Roman" w:hAnsi="Times New Roman" w:cs="Times New Roman"/>
          <w:sz w:val="20"/>
          <w:szCs w:val="20"/>
          <w:lang w:eastAsia="ru-RU"/>
        </w:rPr>
      </w:pPr>
      <w:r>
        <w:rPr>
          <w:rFonts w:ascii="Times New Roman" w:hAnsi="Times New Roman" w:cs="Times New Roman"/>
          <w:sz w:val="20"/>
          <w:szCs w:val="20"/>
          <w:lang w:eastAsia="ru-RU"/>
        </w:rPr>
        <w:t>11. Об утверждении перечня видов подготовительных работ, выполнение которых допускается до получения разрешения на строительство объектов, необходимых для размещения объектов инфраструктуры территории опережающего социально-экономического развития: приказ Министерства РФ по развитию Дальнего Востока от 03.03.2015 г. № 25 [Электронный ресурс] // СПС «Гарант». – Режим доступа: http://ivo.garant.ru/#/document/71026098/paragraph/1:0.</w:t>
      </w:r>
    </w:p>
    <w:p w:rsidR="00517711" w:rsidRDefault="00F815BE">
      <w:pPr>
        <w:widowControl w:val="0"/>
        <w:shd w:val="clear" w:color="auto" w:fill="FFFFFF"/>
        <w:spacing w:after="0" w:line="240" w:lineRule="auto"/>
        <w:ind w:firstLine="709"/>
        <w:contextualSpacing/>
        <w:jc w:val="both"/>
        <w:rPr>
          <w:rFonts w:ascii="Times New Roman" w:hAnsi="Times New Roman" w:cs="Times New Roman"/>
          <w:sz w:val="20"/>
          <w:szCs w:val="20"/>
          <w:lang w:eastAsia="ru-RU"/>
        </w:rPr>
      </w:pPr>
      <w:r>
        <w:rPr>
          <w:rFonts w:ascii="Times New Roman" w:hAnsi="Times New Roman" w:cs="Times New Roman"/>
          <w:sz w:val="20"/>
          <w:szCs w:val="20"/>
          <w:lang w:eastAsia="ru-RU"/>
        </w:rPr>
        <w:t>12. Об экологической экспертизе: федеральный закон от 23.11.1995 г. № 174-ФЗ (ред. от 29.12.2015 г.) [Электронный ресурс] // СПС «КонсультантПлюс». – Режим доступа: http://www.consultant.ru/cons/cgi/online.cgi?req=doc&amp;base=LAW&amp;n=191378&amp;fld=134&amp;dst=100179,0&amp;rnd=0.10381034581292758#0.</w:t>
      </w:r>
    </w:p>
    <w:p w:rsidR="00517711" w:rsidRDefault="00F815BE">
      <w:pPr>
        <w:widowControl w:val="0"/>
        <w:shd w:val="clear" w:color="auto" w:fill="FFFFFF"/>
        <w:spacing w:after="0" w:line="240" w:lineRule="auto"/>
        <w:ind w:firstLine="709"/>
        <w:contextualSpacing/>
        <w:jc w:val="both"/>
        <w:rPr>
          <w:rFonts w:ascii="Times New Roman" w:hAnsi="Times New Roman" w:cs="Times New Roman"/>
          <w:sz w:val="20"/>
          <w:szCs w:val="20"/>
          <w:lang w:eastAsia="ru-RU"/>
        </w:rPr>
      </w:pPr>
      <w:r>
        <w:rPr>
          <w:rFonts w:ascii="Times New Roman" w:hAnsi="Times New Roman" w:cs="Times New Roman"/>
          <w:sz w:val="20"/>
          <w:szCs w:val="20"/>
          <w:lang w:eastAsia="ru-RU"/>
        </w:rPr>
        <w:t>13. О государственном строительном надзоре в Российской Федерации: постановление Правительства РФ от 01.02.2006 г. № 54 (ред. от 25.10.2017 г.) [Электронный ресурс] // СПС «КонсультантПлюс». – Режим доступа: http://www.consultant.ru/cons/cgi/online.cgi?req=doc&amp;base=LAW&amp;n=281649&amp;dst=0&amp;profile=UNIVERSAL&amp;mb=LAW&amp;div=LAW&amp;BASENODE=&amp;SORTTYPE=0&amp;rnd=299965.3136626547&amp;ts=7573936307021305973499226&amp;SEARCHPLUS=%F1%F2%F0%EE%E8%F2%E5%EB%FC%ED%FB%E9%20%ED%E0%E4%E7%EE%F0&amp;SRD=true#0.</w:t>
      </w:r>
    </w:p>
    <w:p w:rsidR="00517711" w:rsidRDefault="00F815BE">
      <w:pPr>
        <w:widowControl w:val="0"/>
        <w:shd w:val="clear" w:color="auto" w:fill="FFFFFF"/>
        <w:spacing w:after="0" w:line="240" w:lineRule="auto"/>
        <w:ind w:firstLine="709"/>
        <w:contextualSpacing/>
        <w:jc w:val="both"/>
        <w:rPr>
          <w:rFonts w:ascii="Times New Roman" w:hAnsi="Times New Roman" w:cs="Times New Roman"/>
          <w:sz w:val="20"/>
          <w:szCs w:val="20"/>
          <w:lang w:eastAsia="ru-RU"/>
        </w:rPr>
      </w:pPr>
      <w:r>
        <w:rPr>
          <w:rFonts w:ascii="Times New Roman" w:hAnsi="Times New Roman" w:cs="Times New Roman"/>
          <w:sz w:val="20"/>
          <w:szCs w:val="20"/>
          <w:lang w:eastAsia="ru-RU"/>
        </w:rPr>
        <w:t>14. О создании территории опережающего социально-экономического развития «Индустриальный парк «Кангалассы»: постановление Правительства РФ от 21.08.2015 г. № 877 (ред. от 13.09.2017 г.) [Электронный ресурс] // СПС «Гарант». – Режим доступа: http://ivo.garant.ru/#/document/71169296/paragraph/2:0.</w:t>
      </w:r>
    </w:p>
    <w:p w:rsidR="00517711" w:rsidRDefault="00F815BE">
      <w:pPr>
        <w:widowControl w:val="0"/>
        <w:shd w:val="clear" w:color="auto" w:fill="FFFFFF"/>
        <w:spacing w:after="0" w:line="240" w:lineRule="auto"/>
        <w:ind w:firstLine="709"/>
        <w:contextualSpacing/>
        <w:jc w:val="both"/>
        <w:rPr>
          <w:rFonts w:ascii="Times New Roman" w:hAnsi="Times New Roman" w:cs="Times New Roman"/>
          <w:sz w:val="20"/>
          <w:szCs w:val="20"/>
          <w:lang w:eastAsia="ru-RU"/>
        </w:rPr>
      </w:pPr>
      <w:r>
        <w:rPr>
          <w:rFonts w:ascii="Times New Roman" w:hAnsi="Times New Roman" w:cs="Times New Roman"/>
          <w:sz w:val="20"/>
          <w:szCs w:val="20"/>
          <w:lang w:eastAsia="ru-RU"/>
        </w:rPr>
        <w:t>15. О территориях опережающего социально-экономического развития в Российской Федерации: федеральный закон от 29.12.2014 г. № 473-ФЗ (ред. от 03.07.2016 г.) [Электронный ресурс] // СПС «КонсультантПлюс». – Режим доступа: http://www.consultant.ru/cons/cgi/online.cgi?req=doc&amp;base=LAW&amp;n=201050&amp;fld=134&amp;dst=1000000001,0&amp;rnd=0.32589055272406653#0.</w:t>
      </w:r>
    </w:p>
    <w:p w:rsidR="00517711" w:rsidRDefault="00F815BE">
      <w:pPr>
        <w:widowControl w:val="0"/>
        <w:shd w:val="clear" w:color="auto" w:fill="FFFFFF"/>
        <w:spacing w:after="0" w:line="240" w:lineRule="auto"/>
        <w:ind w:firstLine="709"/>
        <w:contextualSpacing/>
        <w:jc w:val="both"/>
        <w:rPr>
          <w:rFonts w:ascii="Times New Roman" w:hAnsi="Times New Roman" w:cs="Times New Roman"/>
          <w:sz w:val="20"/>
          <w:szCs w:val="20"/>
          <w:lang w:eastAsia="ru-RU"/>
        </w:rPr>
      </w:pPr>
      <w:r>
        <w:rPr>
          <w:rFonts w:ascii="Times New Roman" w:hAnsi="Times New Roman" w:cs="Times New Roman"/>
          <w:sz w:val="20"/>
          <w:szCs w:val="20"/>
          <w:lang w:eastAsia="ru-RU"/>
        </w:rPr>
        <w:t>16. Реестр резидентов территорий опережающего социально-экономического развития (ТОР) [Электронный ресурс] // Официальный сайт АО «Корпорация развития Дальнего Востока». – Режим доступа: http://newrm.erdc.ru/upload/reestr-tor.pdf.</w:t>
      </w:r>
    </w:p>
    <w:p w:rsidR="00517711" w:rsidRDefault="00F815BE">
      <w:pPr>
        <w:widowControl w:val="0"/>
        <w:shd w:val="clear" w:color="auto" w:fill="FFFFFF"/>
        <w:spacing w:after="0" w:line="240" w:lineRule="auto"/>
        <w:ind w:firstLine="709"/>
        <w:contextualSpacing/>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17. Устав АО «Корпорация развития Дальнего Востока»: утв. приказом Министерства РФ по развитию Дальнего Востока от 30.03.2017 г. № 63 [Электронный ресурс] // Официальный сайт АО «Корпорация развития Дальнего Востока». – Режим доступа: </w:t>
      </w:r>
      <w:hyperlink r:id="rId175" w:history="1">
        <w:r>
          <w:rPr>
            <w:rStyle w:val="aa"/>
            <w:rFonts w:ascii="Times New Roman" w:hAnsi="Times New Roman" w:cs="Times New Roman"/>
            <w:color w:val="000000" w:themeColor="text1"/>
            <w:sz w:val="20"/>
            <w:szCs w:val="20"/>
            <w:lang w:eastAsia="ru-RU"/>
          </w:rPr>
          <w:t>http://old.erdc.ru/local/tpl/docs/ustav.pdf</w:t>
        </w:r>
      </w:hyperlink>
      <w:r>
        <w:rPr>
          <w:rFonts w:ascii="Times New Roman" w:hAnsi="Times New Roman" w:cs="Times New Roman"/>
          <w:color w:val="000000" w:themeColor="text1"/>
          <w:sz w:val="20"/>
          <w:szCs w:val="20"/>
          <w:lang w:eastAsia="ru-RU"/>
        </w:rPr>
        <w:t>.</w:t>
      </w: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Гражданский процесс; арбитражный процесс</w:t>
      </w:r>
    </w:p>
    <w:p w:rsidR="00517711" w:rsidRDefault="00F815BE">
      <w:pPr>
        <w:pStyle w:val="ConsPlusCell"/>
        <w:rPr>
          <w:rFonts w:ascii="Times New Roman" w:hAnsi="Times New Roman"/>
          <w:b/>
          <w:sz w:val="24"/>
          <w:szCs w:val="24"/>
        </w:rPr>
      </w:pPr>
      <w:r>
        <w:rPr>
          <w:rFonts w:ascii="Times New Roman" w:hAnsi="Times New Roman"/>
          <w:sz w:val="20"/>
          <w:szCs w:val="24"/>
        </w:rPr>
        <w:t>УДК 34.096</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Правовое регулирование института медиации в РФ и зарубежных странах: сравнительно-правовой аспект</w:t>
      </w:r>
    </w:p>
    <w:p w:rsidR="00517711" w:rsidRDefault="00F815BE">
      <w:pPr>
        <w:spacing w:after="0" w:line="240" w:lineRule="auto"/>
        <w:jc w:val="center"/>
        <w:rPr>
          <w:rFonts w:ascii="Arial" w:eastAsia="Calibri" w:hAnsi="Arial"/>
          <w:b/>
          <w:bCs/>
          <w:sz w:val="24"/>
          <w:szCs w:val="20"/>
          <w:lang w:eastAsia="ru-RU"/>
        </w:rPr>
      </w:pPr>
      <w:r>
        <w:rPr>
          <w:rFonts w:ascii="Arial" w:eastAsia="Calibri" w:hAnsi="Arial"/>
          <w:b/>
          <w:bCs/>
          <w:sz w:val="24"/>
          <w:szCs w:val="20"/>
          <w:lang w:eastAsia="ru-RU"/>
        </w:rPr>
        <w:t>Куршаков Захар Степанович</w:t>
      </w:r>
    </w:p>
    <w:p w:rsidR="00517711" w:rsidRDefault="00F815BE">
      <w:pPr>
        <w:widowControl w:val="0"/>
        <w:shd w:val="clear" w:color="auto" w:fill="FFFFFF"/>
        <w:spacing w:line="480" w:lineRule="auto"/>
        <w:contextualSpacing/>
        <w:jc w:val="center"/>
        <w:rPr>
          <w:rFonts w:ascii="Arial" w:eastAsia="Calibri" w:hAnsi="Arial"/>
          <w:bCs/>
          <w:sz w:val="24"/>
          <w:szCs w:val="20"/>
          <w:lang w:eastAsia="ru-RU"/>
        </w:rPr>
      </w:pPr>
      <w:r>
        <w:rPr>
          <w:rFonts w:ascii="Arial" w:eastAsia="Calibri" w:hAnsi="Arial"/>
          <w:bCs/>
          <w:sz w:val="24"/>
          <w:szCs w:val="20"/>
          <w:lang w:eastAsia="ru-RU"/>
        </w:rPr>
        <w:t>бакалавр</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 xml:space="preserve">Владивостокский государственный университет экономики и сервиса </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 xml:space="preserve">Россия. Владивосток </w:t>
      </w:r>
    </w:p>
    <w:p w:rsidR="00517711" w:rsidRDefault="00F815BE">
      <w:pPr>
        <w:spacing w:after="0" w:line="240" w:lineRule="auto"/>
        <w:jc w:val="center"/>
        <w:rPr>
          <w:rFonts w:ascii="Times New Roman" w:eastAsia="MS Mincho" w:hAnsi="Times New Roman"/>
          <w:color w:val="000000"/>
          <w:sz w:val="20"/>
          <w:szCs w:val="24"/>
        </w:rPr>
      </w:pPr>
      <w:r>
        <w:rPr>
          <w:rFonts w:ascii="Times New Roman" w:hAnsi="Times New Roman"/>
          <w:color w:val="000000"/>
          <w:sz w:val="20"/>
          <w:szCs w:val="24"/>
        </w:rPr>
        <w:t>E-mail: askarat@bk.ru; тел.: +</w:t>
      </w:r>
      <w:r>
        <w:rPr>
          <w:rFonts w:ascii="Times New Roman" w:hAnsi="Times New Roman"/>
          <w:sz w:val="20"/>
          <w:szCs w:val="24"/>
        </w:rPr>
        <w:t>79681658570</w:t>
      </w:r>
    </w:p>
    <w:p w:rsidR="00517711" w:rsidRDefault="00F815BE">
      <w:pPr>
        <w:spacing w:line="240" w:lineRule="auto"/>
        <w:jc w:val="center"/>
        <w:rPr>
          <w:rFonts w:ascii="Times New Roman" w:hAnsi="Times New Roman"/>
          <w:color w:val="000000"/>
          <w:sz w:val="20"/>
          <w:szCs w:val="24"/>
        </w:rPr>
      </w:pPr>
      <w:r>
        <w:rPr>
          <w:rFonts w:ascii="Times New Roman" w:hAnsi="Times New Roman"/>
          <w:color w:val="000000"/>
          <w:sz w:val="20"/>
          <w:szCs w:val="24"/>
        </w:rPr>
        <w:t>ул. Гоголя, 41, г. Владивосток, Приморский край, Россия, 690014</w:t>
      </w:r>
    </w:p>
    <w:p w:rsidR="00517711" w:rsidRDefault="00F815BE">
      <w:pPr>
        <w:spacing w:after="0" w:line="240" w:lineRule="auto"/>
        <w:ind w:firstLine="709"/>
        <w:jc w:val="both"/>
        <w:rPr>
          <w:rFonts w:ascii="Times New Roman" w:hAnsi="Times New Roman"/>
          <w:i/>
          <w:color w:val="000000"/>
          <w:szCs w:val="24"/>
        </w:rPr>
      </w:pPr>
      <w:r>
        <w:rPr>
          <w:rFonts w:ascii="Times New Roman" w:hAnsi="Times New Roman"/>
          <w:i/>
          <w:color w:val="000000"/>
          <w:szCs w:val="24"/>
        </w:rPr>
        <w:t>Институт медиации является новеллой российской правовой системы, в то время как в зарубежных странах он существует и активно используется уже долгое время. Досудебные методы разрешения правовых споров позволяют реализовать конструктивный поиск взаимовыгодного решения. Недостатки российского законодательства о медиации свидетельствуют о необходимости изучения зарубежного опыта регулирования в указанной сфере с целью дальнейшего улучшения правового регулирования. Это позволит расширить поле потенциального урегулирования правовых конфликтов и упростить процедуру разрешения правовых споров.</w:t>
      </w:r>
    </w:p>
    <w:p w:rsidR="00517711" w:rsidRDefault="00F815BE">
      <w:pPr>
        <w:spacing w:after="0" w:line="240" w:lineRule="auto"/>
        <w:ind w:firstLine="709"/>
        <w:jc w:val="both"/>
        <w:rPr>
          <w:rFonts w:ascii="Times New Roman" w:hAnsi="Times New Roman"/>
          <w:color w:val="000000"/>
          <w:szCs w:val="24"/>
        </w:rPr>
      </w:pPr>
      <w:r>
        <w:rPr>
          <w:rFonts w:ascii="Times New Roman" w:hAnsi="Times New Roman"/>
          <w:b/>
          <w:i/>
          <w:color w:val="000000"/>
          <w:szCs w:val="24"/>
        </w:rPr>
        <w:t xml:space="preserve">Ключевые слова и словосочетания: </w:t>
      </w:r>
      <w:r>
        <w:rPr>
          <w:rFonts w:ascii="Times New Roman" w:hAnsi="Times New Roman"/>
          <w:i/>
          <w:szCs w:val="24"/>
          <w:lang w:eastAsia="ru-RU"/>
        </w:rPr>
        <w:t>медиация, правовой спор, правовая система</w:t>
      </w:r>
      <w:r>
        <w:rPr>
          <w:rFonts w:ascii="Times New Roman" w:hAnsi="Times New Roman"/>
          <w:i/>
          <w:color w:val="000000"/>
          <w:szCs w:val="24"/>
        </w:rPr>
        <w:t>.</w:t>
      </w:r>
    </w:p>
    <w:p w:rsidR="00517711" w:rsidRDefault="00F815BE">
      <w:pPr>
        <w:keepNext/>
        <w:spacing w:before="240" w:after="240" w:line="240" w:lineRule="auto"/>
        <w:jc w:val="center"/>
        <w:outlineLvl w:val="0"/>
        <w:rPr>
          <w:rFonts w:ascii="Book Antiqua" w:hAnsi="Book Antiqua"/>
          <w:b/>
          <w:bCs/>
          <w:caps/>
          <w:sz w:val="26"/>
          <w:szCs w:val="26"/>
          <w:lang w:val="en-US"/>
        </w:rPr>
      </w:pPr>
      <w:r>
        <w:rPr>
          <w:rFonts w:ascii="Book Antiqua" w:hAnsi="Book Antiqua"/>
          <w:b/>
          <w:bCs/>
          <w:caps/>
          <w:sz w:val="26"/>
          <w:szCs w:val="26"/>
          <w:lang w:val="en-US"/>
        </w:rPr>
        <w:lastRenderedPageBreak/>
        <w:t>Legal regulation of the institute of mediation in the Russian Federation and foreign countries: a comparative legal aspect</w:t>
      </w:r>
    </w:p>
    <w:p w:rsidR="00517711" w:rsidRDefault="00F815BE">
      <w:pPr>
        <w:spacing w:after="0" w:line="240" w:lineRule="auto"/>
        <w:jc w:val="center"/>
        <w:rPr>
          <w:rFonts w:ascii="Arial" w:eastAsia="Calibri" w:hAnsi="Arial"/>
          <w:b/>
          <w:bCs/>
          <w:sz w:val="24"/>
          <w:szCs w:val="20"/>
          <w:lang w:val="en-US" w:eastAsia="ru-RU"/>
        </w:rPr>
      </w:pPr>
      <w:r>
        <w:rPr>
          <w:rFonts w:ascii="Arial" w:eastAsia="Calibri" w:hAnsi="Arial"/>
          <w:b/>
          <w:bCs/>
          <w:sz w:val="24"/>
          <w:szCs w:val="20"/>
          <w:lang w:val="en-US" w:eastAsia="ru-RU"/>
        </w:rPr>
        <w:t>Kurshakov Zakhar Stepanovich</w:t>
      </w:r>
    </w:p>
    <w:p w:rsidR="00517711" w:rsidRDefault="00F815BE">
      <w:pPr>
        <w:widowControl w:val="0"/>
        <w:shd w:val="clear" w:color="auto" w:fill="FFFFFF"/>
        <w:spacing w:line="480" w:lineRule="auto"/>
        <w:contextualSpacing/>
        <w:jc w:val="center"/>
        <w:rPr>
          <w:rFonts w:ascii="Arial" w:eastAsia="Calibri" w:hAnsi="Arial"/>
          <w:bCs/>
          <w:sz w:val="24"/>
          <w:szCs w:val="20"/>
          <w:lang w:val="en-US" w:eastAsia="ru-RU"/>
        </w:rPr>
      </w:pPr>
      <w:r>
        <w:rPr>
          <w:rFonts w:ascii="Arial" w:eastAsia="Calibri" w:hAnsi="Arial"/>
          <w:bCs/>
          <w:sz w:val="24"/>
          <w:szCs w:val="20"/>
          <w:lang w:val="en-US" w:eastAsia="ru-RU"/>
        </w:rPr>
        <w:t>Bachelor</w:t>
      </w:r>
    </w:p>
    <w:p w:rsidR="00517711" w:rsidRDefault="00F815BE">
      <w:pPr>
        <w:spacing w:after="0" w:line="240" w:lineRule="auto"/>
        <w:jc w:val="center"/>
        <w:rPr>
          <w:rFonts w:ascii="Times New Roman" w:eastAsia="Calibri" w:hAnsi="Times New Roman"/>
          <w:i/>
          <w:sz w:val="21"/>
          <w:szCs w:val="21"/>
          <w:lang w:val="en-US"/>
        </w:rPr>
      </w:pPr>
      <w:r>
        <w:rPr>
          <w:rFonts w:ascii="Times New Roman" w:eastAsia="Calibri" w:hAnsi="Times New Roman"/>
          <w:i/>
          <w:sz w:val="21"/>
          <w:szCs w:val="21"/>
          <w:lang w:val="en-US"/>
        </w:rPr>
        <w:t>Vladivostok State University of Economics and Service</w:t>
      </w:r>
    </w:p>
    <w:p w:rsidR="00517711" w:rsidRDefault="00F815BE">
      <w:pPr>
        <w:spacing w:line="240" w:lineRule="auto"/>
        <w:jc w:val="center"/>
        <w:rPr>
          <w:rFonts w:ascii="Times New Roman" w:eastAsia="Calibri" w:hAnsi="Times New Roman"/>
          <w:i/>
          <w:sz w:val="21"/>
          <w:szCs w:val="21"/>
          <w:lang w:val="en-US"/>
        </w:rPr>
      </w:pPr>
      <w:r>
        <w:rPr>
          <w:rFonts w:ascii="Times New Roman" w:eastAsia="Calibri" w:hAnsi="Times New Roman"/>
          <w:i/>
          <w:sz w:val="21"/>
          <w:szCs w:val="21"/>
          <w:lang w:val="en-US"/>
        </w:rPr>
        <w:t>Vladivostok, Russia</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i/>
          <w:szCs w:val="24"/>
          <w:lang w:val="en-US"/>
        </w:rPr>
        <w:t>The Institute of Mediation is a novelty of the Russian legal system, while in foreign countries it exists and has been actively used for a long time. Pre-judicial methods of resolving legal disputes allow us to realize a constructive search for a mutually beneficial solution. The shortcomings of the Russian legislation on mediation testify to the need to study foreign experience of regulation in this area with a view to further improving legal regulation. This will expand the field of potential resolution of legal conflicts and simplify the procedure for resolving legal disputes..</w:t>
      </w:r>
    </w:p>
    <w:p w:rsidR="00517711" w:rsidRDefault="00F815BE">
      <w:pPr>
        <w:spacing w:after="0" w:line="240" w:lineRule="auto"/>
        <w:ind w:firstLine="709"/>
        <w:jc w:val="both"/>
        <w:rPr>
          <w:rFonts w:ascii="Times New Roman" w:hAnsi="Times New Roman"/>
          <w:i/>
          <w:color w:val="000000"/>
          <w:szCs w:val="24"/>
          <w:lang w:val="en-US"/>
        </w:rPr>
      </w:pPr>
      <w:r>
        <w:rPr>
          <w:rFonts w:ascii="Times New Roman" w:hAnsi="Times New Roman"/>
          <w:b/>
          <w:i/>
          <w:color w:val="000000"/>
          <w:szCs w:val="24"/>
          <w:lang w:val="en-US"/>
        </w:rPr>
        <w:t xml:space="preserve">Keywords: </w:t>
      </w:r>
      <w:r>
        <w:rPr>
          <w:rFonts w:ascii="Times New Roman" w:hAnsi="Times New Roman"/>
          <w:i/>
          <w:color w:val="000000"/>
          <w:szCs w:val="24"/>
          <w:lang w:val="en-US"/>
        </w:rPr>
        <w:t>mediation, legal dispute, legal system.</w:t>
      </w:r>
    </w:p>
    <w:p w:rsidR="00517711" w:rsidRDefault="00517711">
      <w:pPr>
        <w:spacing w:after="0" w:line="240" w:lineRule="auto"/>
        <w:ind w:firstLine="709"/>
        <w:jc w:val="both"/>
        <w:rPr>
          <w:rFonts w:ascii="Times New Roman" w:hAnsi="Times New Roman"/>
          <w:sz w:val="20"/>
          <w:szCs w:val="24"/>
          <w:lang w:val="en-US"/>
        </w:rPr>
      </w:pP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Актуальность темы исследования объясняется сравнительной новизной института медиации в российской правовой системе и несовершенством нормативно-правовой базы его функционирования. Прообразом современного института медиации в России считается институт посредничества, который начал складываться во второй половине XIX века. Многие ученые того периода посвящали свои научные труды исследованию проблем урегулирования споров в гражданском процессе: Е.Нeфедьев, И.Энгeльман, Е.Вaськoвский, К. Аннeнкoв, Т.Яблoчков и др.</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Первой значительной научной работой, посвященной исследованию посредничества, по праву считается монография Е.Нeфедьева «Склонение сторон к миру в гражданском процессе». В своей работе автор исследовал проблемы соотношения мировой сделки и судебного решения, рассмотрел систему мирового урегулирования споров, а также провел сравнительно-правовой анализ зарубежных нормативно-правовых актов в сфере медиации. В советский период допускалось заключение мировых соглашений гражданским процессуальным правом, но отсутствие норм, регулирующих посредничество свидетельствует о недооценке советской правовой системой роли мирового урегулирования споров [1, c. 297-298]. В начале 90-х годов XX века в российском профессиональном правосознании наблюдается большой скачок в понимании примирительных идей в системе правосудия, что было обусловлено объективными обстоятельствами, связанными с освобождением от социалистического строя и формированием нового свободного российского общества. Данный период времени можно обозначить как начало нового этапа в процессе становления идей медиации.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Научная новизна исследования заключается в обосновании необходимости более детального урегулирования института медиации в российском законодательстве с учетом положительного опыта зарубежных стран. Цель исследования состоит в изучении ключевых аспектов правового регулирования института медиации за рубежом, что достигается в решении следующих задач: 1) исследовании особенностей правового регулирования и применения института медиации в зарубежных странах; 2) выделении недостатков правового регулирования института медиации в России и 3) выдвижении предложений по ликвидации указанных недостатков. Методологию исследования составили сравнительно-правовой, формально-логический и историко-правовой методы научного познания.</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Понятие «медиация» связано с латинским термином «mediare», который переводится как «посредничать». Рассматриваемая процедура проходит с участием независимой нейтральной стороны, то есть стороннего профессионального лица, который выясняет все обстоятельства, необходимые для решения конфликта. В русском языке для обозначения процедуры, в которой медиатор, не обладая правом принятия решения в споре, не подготавливает варианты соглашения о примирении, при помощи коммуникативных техник содействует сторонам в эффективном проведении переговоров и помогает им выработать решение, удовлетворяющее их интересам, также используют термин «посредничество». Медиация особенно эффективна в тех случаях, когда нужно восстановить отношения между людьми, взаимодействие которых должно быть сохранено в будущем (родственники, друзья, супруги, деловые партнеры). Сфера применения медиации достаточно обширна: внутрикорпоративные отношения, гражданские, семейные, жилищные правоотношения, в качестве профилактики конфликтных ситуаций и социально опасного поведения, в том числе, в рамках образовательных учреждений, в межкультурных конфликтах.</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Как правовой институт медиация впервые была закреплена в Акте о реформе гражданского судопроизводства 1990 года в США, а в 2001 году был издан Единый закон о медиации (Uniform Mediation Act 2001). Он объединил более 2500 ранее существовавших в США законов, регулировавших посредническую деятельность в различных штатах. Также был создан Национальный институт разрешения споров, который </w:t>
      </w:r>
      <w:r>
        <w:rPr>
          <w:rFonts w:ascii="Times New Roman" w:hAnsi="Times New Roman"/>
          <w:sz w:val="20"/>
          <w:szCs w:val="24"/>
        </w:rPr>
        <w:lastRenderedPageBreak/>
        <w:t>занимается разработкой новых методов медиации, действуют частные и государственные службы медиации, выпускаются журналы, освещающие проблемы медиации («Ежеквартальный журнал по медиации») [2, c. 54].</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настоящее время медиация как метод разрешения споров используется в таких странах, как Германия, Великобритания, Франция, Испания, Италия, Бельгия, Австралия, Япония, Канада, Норвегия, Швеция [3, c. 48]. Первоначально медиация применялась для разрешения споров семейного права, постепенно создавались государственные и частные организации по оказанию услуг в сфере досудебного урегулирования. На сегодняшний день медиация является востребованным альтернативным способом достижения соглашений в различных отраслях экономики; создана законодательная база, регулирующая процедуру медиации, нормативы подготовки квалифицированных специалистов в этой области и проч.</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Институт медиации нашел свое применение и в азиатских странах. По экспертным оценкам, порядка 30% споров в Китае решается во внесудебном порядке. Как и в Южной Корее, в случае достижения сторонами соглашения в рамках медиации и утверждения его в порядке, предусмотренном для рассмотрения третейскими судами (арбитражем), такое соглашение приобретает силу судебного решения и подлежит исполнению соответствующим образом [4, c. 71]. В Индии соглашения, достигнутые в ходе медиации, имеют одинаковую силу с третейскими (арбитражными) решениями, независимо от того, была ли данная процедура возбуждена в рамках уже имеющегося судебного производства или нет [5, c. 314].</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Положительный опыт зарубежных стран также позволяет говорить о наличии перспектив развития и применения института медиации в России как одного из альтернативных способов урегулирования спора, который регулируется при содействии медиатора на основе добровольного согласия сторон [6]. Институт медиации существует в России с 2011 года, но, по мнению исследователей, базовый Федеральный закон от 27.07.2010 года № 193-ФЗ «Об альтернативной процедуре урегулирования споров с участием посредника (процедуре медиации)» (далее – ФЗ-193) имеет множество существенных недостатков. Например, Г.Севастьянов отмечает, что предмет данного закона сужен до одной единственной примирительной процедуры - классической модели медиации, что в значительной степени сокращает поле потенциального урегулирования правовых конфликтов [7, с. 15], хотя существуют самые различные модели медиации (терапевтическая медиация, расчетная медиация, медиация оценки спора и многие другие), которые также применяются медиаторами на практике.</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С.Шаповалов считает, что одним из недостатков ФЗ-193 является отсутствие в нем положений, разрешающих удостоверять медиативные соглашения нотариально, ведь такое удостоверение соглашений дает гарантию исполнимости, о чем свидетельствует опыт многих европейских государств. Кроме того, включение в текст закона такого рода норм позволило бы продвинуться бы в унификации российского и европейского законодательства в области медиации. Также помимо нотариального удостоверения в качестве гарантии исполнения необходимо ввести упрощенный порядок выдачи исполнительного листа (без подачи иска в суд) [8].</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Как отмечают исследователи, существенным недостатком является недостаточная определенность сферы его применения, а именно круга споров, к которым допускается применять процедуру медиации [9, с. 117]. Соответственно, такая ситуация приводит к возможности невыполнения принятых на себя обязательств по медиативному соглашению, так как можно оспорить такое соглашение, ссылаясь на выход из сферы применения медиации, т.е. на недействительность такого соглашения. Как это все будет осуществляться на практике, также неизвестно.</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соответствии с ФЗ-193 процедура медиации применима к спорам, которые возникают в ходе гражданских правоотношений, в т.ч. в связи с осуществлением предпринимательской (иной экономической) деятельности, трудовых правоотношений (за исключением коллективных трудовых споров), семейных правоотношений, то есть в сфере гражданского и арбитражного судопроизводства. Но в зарубежной практике медиация используется при разрешении уголовно-правовых конфликтов (например, полицейское предупреждение, штраф по соглашению, условный отказ от уголовного преследования и др.). На наш взгляд, расширение сферы применения процедуры медиации будет способствовать снижению нагрузки на судебную систему, ускорению разрешения споров, развитию гражданского общества. Преимуществами медиации являются оперативность разрешения споров, небольшие затраты и ориентация на будущее, а также сохранение конфиденциальности информации. Серьезным достоинством медиации можно считать медиативное соглашение, содержащее решение, которое устраивает обе стороны и помогает сторонам конфликта отстоять свои интересы и установить конструктивно взаимодействие в дальнейшем. Медиацию можно использовать и при разрешении споров, возникающих в сфере реализации особых правовых режимов – особой экономической зоны, территории социально-экономического развития, свободного порта Владивосток [</w:t>
      </w:r>
      <w:r>
        <w:rPr>
          <w:rFonts w:ascii="Times New Roman" w:hAnsi="Times New Roman"/>
          <w:color w:val="FF0000"/>
          <w:sz w:val="20"/>
          <w:szCs w:val="24"/>
        </w:rPr>
        <w:t>10</w:t>
      </w:r>
      <w:r>
        <w:rPr>
          <w:rFonts w:ascii="Times New Roman" w:hAnsi="Times New Roman"/>
          <w:sz w:val="20"/>
          <w:szCs w:val="24"/>
        </w:rPr>
        <w:t>, с. 470]. В свою очередь, простые и прозрачные процедуры разрешения споров будут способствовать улучшению инвестиционного климата и экономическому росту регионов.</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В результате проведенного исследования можно сделать следующие выводы. Процедуру медиации важно популяризировать среди населения и в профессиональных кругах. Необходимо развивать образовательную базу медиаторов – создать необходимые центры и учреждения, осуществляющие подготовку квалифицированных специалистов в области медиации, а также проводящих семинары по повышению квалификации специалистов в связи с усовершенствованием техник и технологий медиации. И наконец, можно внедрить обязательное досудебное урегулирование споров (конфликтов) по отдельным категориям споров в порядке медиации (например, наследственные споры, о расторжении брака и разделе имущества, по договорам </w:t>
      </w:r>
      <w:r>
        <w:rPr>
          <w:rFonts w:ascii="Times New Roman" w:hAnsi="Times New Roman"/>
          <w:sz w:val="20"/>
          <w:szCs w:val="24"/>
        </w:rPr>
        <w:lastRenderedPageBreak/>
        <w:t>займа, некоторые трудовые споры, т.п.). Все это будет способствовать заинтересованности и росту популярности процедуры медиации.</w:t>
      </w:r>
    </w:p>
    <w:p w:rsidR="00517711" w:rsidRDefault="00F815BE">
      <w:pPr>
        <w:pStyle w:val="af4"/>
        <w:ind w:left="0" w:firstLine="709"/>
        <w:jc w:val="both"/>
        <w:rPr>
          <w:sz w:val="20"/>
        </w:rPr>
      </w:pPr>
      <w:r>
        <w:rPr>
          <w:sz w:val="20"/>
        </w:rPr>
        <w:t>__________________________________</w:t>
      </w:r>
    </w:p>
    <w:p w:rsidR="00517711" w:rsidRDefault="00F815BE">
      <w:pPr>
        <w:pStyle w:val="af4"/>
        <w:ind w:left="0" w:firstLine="709"/>
        <w:jc w:val="both"/>
        <w:rPr>
          <w:rFonts w:ascii="Times New Roman" w:hAnsi="Times New Roman"/>
          <w:sz w:val="20"/>
          <w:szCs w:val="20"/>
          <w:lang w:eastAsia="ru-RU"/>
        </w:rPr>
      </w:pPr>
      <w:r>
        <w:rPr>
          <w:rFonts w:ascii="Times New Roman" w:hAnsi="Times New Roman"/>
          <w:sz w:val="20"/>
          <w:szCs w:val="20"/>
          <w:lang w:eastAsia="ru-RU"/>
        </w:rPr>
        <w:t xml:space="preserve">1. Кушнарева Л.В. Понятие и история становления института медиации / Л.В. Кушнарева // </w:t>
      </w:r>
      <w:hyperlink r:id="rId176" w:history="1">
        <w:r>
          <w:rPr>
            <w:rFonts w:ascii="Times New Roman" w:hAnsi="Times New Roman"/>
            <w:sz w:val="20"/>
            <w:szCs w:val="20"/>
            <w:lang w:eastAsia="ru-RU"/>
          </w:rPr>
          <w:t>Актуальные проблемы гражданского судопроизводства</w:t>
        </w:r>
      </w:hyperlink>
      <w:r>
        <w:rPr>
          <w:rFonts w:ascii="Times New Roman" w:hAnsi="Times New Roman"/>
          <w:sz w:val="20"/>
          <w:szCs w:val="20"/>
          <w:lang w:eastAsia="ru-RU"/>
        </w:rPr>
        <w:t xml:space="preserve"> : Материалы межвузовской научно-практической конференции. - 2017. - С. 292-298.</w:t>
      </w:r>
    </w:p>
    <w:p w:rsidR="00517711" w:rsidRDefault="00F815BE">
      <w:pPr>
        <w:pStyle w:val="af4"/>
        <w:ind w:left="0" w:firstLine="709"/>
        <w:jc w:val="both"/>
        <w:rPr>
          <w:rFonts w:ascii="Times New Roman" w:hAnsi="Times New Roman"/>
          <w:sz w:val="20"/>
          <w:szCs w:val="20"/>
          <w:lang w:eastAsia="ru-RU"/>
        </w:rPr>
      </w:pPr>
      <w:r>
        <w:rPr>
          <w:rFonts w:ascii="Times New Roman" w:hAnsi="Times New Roman"/>
          <w:sz w:val="20"/>
          <w:szCs w:val="20"/>
          <w:lang w:eastAsia="ru-RU"/>
        </w:rPr>
        <w:t xml:space="preserve">2. Иванов О.Б. Государство и медиация в трудовых конфликтах: опыт США / О.Б. Иванов // </w:t>
      </w:r>
      <w:hyperlink r:id="rId177" w:history="1">
        <w:r>
          <w:rPr>
            <w:rFonts w:ascii="Times New Roman" w:hAnsi="Times New Roman"/>
            <w:sz w:val="20"/>
            <w:szCs w:val="20"/>
            <w:lang w:eastAsia="ru-RU"/>
          </w:rPr>
          <w:t>Правосудие. Медиация. Социальная справедливость</w:t>
        </w:r>
      </w:hyperlink>
      <w:r>
        <w:rPr>
          <w:rFonts w:ascii="Times New Roman" w:hAnsi="Times New Roman"/>
          <w:sz w:val="20"/>
          <w:szCs w:val="20"/>
          <w:lang w:eastAsia="ru-RU"/>
        </w:rPr>
        <w:t xml:space="preserve"> : Сборник материалов научно-практической конференции. - 2016. - С. 52-59.</w:t>
      </w:r>
    </w:p>
    <w:p w:rsidR="00517711" w:rsidRDefault="00F815BE">
      <w:pPr>
        <w:pStyle w:val="af4"/>
        <w:ind w:left="0" w:firstLine="709"/>
        <w:jc w:val="both"/>
        <w:rPr>
          <w:rFonts w:ascii="Times New Roman" w:hAnsi="Times New Roman"/>
          <w:sz w:val="20"/>
          <w:szCs w:val="20"/>
          <w:lang w:eastAsia="ru-RU"/>
        </w:rPr>
      </w:pPr>
      <w:r>
        <w:rPr>
          <w:rFonts w:ascii="Times New Roman" w:hAnsi="Times New Roman"/>
          <w:sz w:val="20"/>
          <w:szCs w:val="20"/>
          <w:lang w:eastAsia="ru-RU"/>
        </w:rPr>
        <w:t>3. Марков С.М. Медиация - альтернативный метод разрешения конфликтов (споров) / С.М. Марков // Вестник ХГАЭП. - 2010. - № 3 (48). - С. 46-50.</w:t>
      </w:r>
    </w:p>
    <w:p w:rsidR="00517711" w:rsidRDefault="00F815BE">
      <w:pPr>
        <w:pStyle w:val="af4"/>
        <w:ind w:left="0" w:firstLine="709"/>
        <w:jc w:val="both"/>
        <w:rPr>
          <w:rFonts w:ascii="Times New Roman" w:hAnsi="Times New Roman"/>
          <w:sz w:val="20"/>
          <w:szCs w:val="20"/>
          <w:lang w:eastAsia="ru-RU"/>
        </w:rPr>
      </w:pPr>
      <w:r>
        <w:rPr>
          <w:rFonts w:ascii="Times New Roman" w:hAnsi="Times New Roman"/>
          <w:sz w:val="20"/>
          <w:szCs w:val="20"/>
          <w:lang w:eastAsia="ru-RU"/>
        </w:rPr>
        <w:t xml:space="preserve">4. Калентьева Т.А. К вопрсоу о процедуре медиации / Т.А. Калентьева // </w:t>
      </w:r>
      <w:hyperlink r:id="rId178" w:history="1">
        <w:r>
          <w:rPr>
            <w:rFonts w:ascii="Times New Roman" w:hAnsi="Times New Roman"/>
            <w:sz w:val="20"/>
            <w:szCs w:val="20"/>
            <w:lang w:eastAsia="ru-RU"/>
          </w:rPr>
          <w:t>Вестник Волжского университета им. В.Н. Татищева</w:t>
        </w:r>
      </w:hyperlink>
      <w:r>
        <w:rPr>
          <w:rFonts w:ascii="Times New Roman" w:hAnsi="Times New Roman"/>
          <w:sz w:val="20"/>
          <w:szCs w:val="20"/>
          <w:lang w:eastAsia="ru-RU"/>
        </w:rPr>
        <w:t xml:space="preserve">. - 2017. - Т. 2. - </w:t>
      </w:r>
      <w:hyperlink r:id="rId179" w:history="1">
        <w:r>
          <w:rPr>
            <w:rFonts w:ascii="Times New Roman" w:hAnsi="Times New Roman"/>
            <w:sz w:val="20"/>
            <w:szCs w:val="20"/>
            <w:lang w:eastAsia="ru-RU"/>
          </w:rPr>
          <w:t>№ 1</w:t>
        </w:r>
      </w:hyperlink>
      <w:r>
        <w:rPr>
          <w:rFonts w:ascii="Times New Roman" w:hAnsi="Times New Roman"/>
          <w:sz w:val="20"/>
          <w:szCs w:val="20"/>
          <w:lang w:eastAsia="ru-RU"/>
        </w:rPr>
        <w:t>. - С. 69-76.</w:t>
      </w:r>
    </w:p>
    <w:p w:rsidR="00517711" w:rsidRDefault="00F815BE">
      <w:pPr>
        <w:pStyle w:val="af4"/>
        <w:ind w:left="0" w:firstLine="709"/>
        <w:jc w:val="both"/>
        <w:rPr>
          <w:rFonts w:ascii="Times New Roman" w:hAnsi="Times New Roman"/>
          <w:sz w:val="20"/>
          <w:szCs w:val="20"/>
          <w:lang w:eastAsia="ru-RU"/>
        </w:rPr>
      </w:pPr>
      <w:r>
        <w:rPr>
          <w:rFonts w:ascii="Times New Roman" w:hAnsi="Times New Roman"/>
          <w:sz w:val="20"/>
          <w:szCs w:val="20"/>
          <w:lang w:eastAsia="ru-RU"/>
        </w:rPr>
        <w:t xml:space="preserve">5. Пагиева Ф.О. Институт медиации в Индии / Ф.О. Пагиева // </w:t>
      </w:r>
      <w:hyperlink r:id="rId180" w:history="1">
        <w:r>
          <w:rPr>
            <w:rFonts w:ascii="Times New Roman" w:hAnsi="Times New Roman"/>
            <w:sz w:val="20"/>
            <w:szCs w:val="20"/>
            <w:lang w:eastAsia="ru-RU"/>
          </w:rPr>
          <w:t>Сравнительно-правовые аспекты правоотношений гражданского оборота в современном мире</w:t>
        </w:r>
      </w:hyperlink>
      <w:r>
        <w:rPr>
          <w:rFonts w:ascii="Times New Roman" w:hAnsi="Times New Roman"/>
          <w:sz w:val="20"/>
          <w:szCs w:val="20"/>
          <w:lang w:eastAsia="ru-RU"/>
        </w:rPr>
        <w:t xml:space="preserve"> : Сборник статей Международной научно-практической конференции памяти доктора юридических наук, профессора В. К. Пучинского. - 2016. - С. 313-317.</w:t>
      </w:r>
    </w:p>
    <w:p w:rsidR="00517711" w:rsidRDefault="00F815BE">
      <w:pPr>
        <w:pStyle w:val="af4"/>
        <w:ind w:left="0" w:firstLine="709"/>
        <w:jc w:val="both"/>
        <w:rPr>
          <w:rFonts w:ascii="Times New Roman" w:hAnsi="Times New Roman"/>
          <w:sz w:val="20"/>
          <w:szCs w:val="20"/>
          <w:lang w:eastAsia="ru-RU"/>
        </w:rPr>
      </w:pPr>
      <w:r>
        <w:rPr>
          <w:rFonts w:ascii="Times New Roman" w:hAnsi="Times New Roman"/>
          <w:sz w:val="20"/>
          <w:szCs w:val="20"/>
          <w:lang w:eastAsia="ru-RU"/>
        </w:rPr>
        <w:t>6. Об альтернативной процедуре урегулирования споров с участием посредника (процедуре медиации): федеральный закон от 27 июля 2010 г. №193-ФЗ (в ред. от 23.07.2013) // Собрание законодательства РФ. - 2010. - № 31. - Ст. 4162.</w:t>
      </w:r>
    </w:p>
    <w:p w:rsidR="00517711" w:rsidRDefault="00F815BE">
      <w:pPr>
        <w:pStyle w:val="af4"/>
        <w:ind w:left="0" w:firstLine="709"/>
        <w:jc w:val="both"/>
        <w:rPr>
          <w:rFonts w:ascii="Times New Roman" w:hAnsi="Times New Roman"/>
          <w:sz w:val="20"/>
          <w:szCs w:val="20"/>
          <w:lang w:eastAsia="ru-RU"/>
        </w:rPr>
      </w:pPr>
      <w:r>
        <w:rPr>
          <w:rFonts w:ascii="Times New Roman" w:hAnsi="Times New Roman"/>
          <w:sz w:val="20"/>
          <w:szCs w:val="20"/>
          <w:lang w:eastAsia="ru-RU"/>
        </w:rPr>
        <w:t>7. Севастьянов Г.В. Специфика законотворчества в сфере альтернативного разрешения споров / Г.В. Севастьянов // Третейский суд. – 2010. - №2. - С. 6-19.</w:t>
      </w:r>
    </w:p>
    <w:p w:rsidR="00517711" w:rsidRDefault="00F815BE">
      <w:pPr>
        <w:pStyle w:val="af4"/>
        <w:ind w:left="0" w:firstLine="709"/>
        <w:jc w:val="both"/>
        <w:rPr>
          <w:rFonts w:ascii="Times New Roman" w:hAnsi="Times New Roman"/>
          <w:sz w:val="20"/>
          <w:szCs w:val="20"/>
          <w:lang w:eastAsia="ru-RU"/>
        </w:rPr>
      </w:pPr>
      <w:r>
        <w:rPr>
          <w:rFonts w:ascii="Times New Roman" w:hAnsi="Times New Roman"/>
          <w:sz w:val="20"/>
          <w:szCs w:val="20"/>
          <w:lang w:eastAsia="ru-RU"/>
        </w:rPr>
        <w:t>8. Шаповалов С.И. Правовые основы медиации в Российской Федерации / С.И. Шаповалов // Союз «Волжская Торгово-промышленная палата»: официальный сайт. - Режим доступа: http://www.tpp.volzhsky.ru/pravovye-osnovy-mediacii-v-rossijskoj-federacii/</w:t>
      </w:r>
    </w:p>
    <w:p w:rsidR="00517711" w:rsidRDefault="00F815BE">
      <w:pPr>
        <w:pStyle w:val="af4"/>
        <w:ind w:left="0" w:firstLine="709"/>
        <w:jc w:val="both"/>
        <w:rPr>
          <w:rFonts w:ascii="Times New Roman" w:hAnsi="Times New Roman"/>
          <w:sz w:val="20"/>
          <w:szCs w:val="20"/>
          <w:lang w:eastAsia="ru-RU"/>
        </w:rPr>
      </w:pPr>
      <w:r>
        <w:rPr>
          <w:rFonts w:ascii="Times New Roman" w:hAnsi="Times New Roman"/>
          <w:sz w:val="20"/>
          <w:szCs w:val="20"/>
          <w:lang w:eastAsia="ru-RU"/>
        </w:rPr>
        <w:t>9. Смирнов Е.Р., Бочкарева А.В. Институт медиации в России в исторической ретроспективе / Е.Р. Смирнов, А.В. Бочкарева // Приволжский научный вестник. - 2015. - №12-2(52). – С. 114-119.</w:t>
      </w:r>
    </w:p>
    <w:p w:rsidR="00517711" w:rsidRDefault="00F815BE">
      <w:pPr>
        <w:pStyle w:val="af4"/>
        <w:ind w:left="0" w:firstLine="709"/>
        <w:jc w:val="both"/>
        <w:rPr>
          <w:rFonts w:ascii="Times New Roman" w:hAnsi="Times New Roman"/>
          <w:sz w:val="20"/>
          <w:szCs w:val="20"/>
          <w:lang w:eastAsia="ru-RU"/>
        </w:rPr>
      </w:pPr>
      <w:r>
        <w:rPr>
          <w:rFonts w:ascii="Times New Roman" w:hAnsi="Times New Roman"/>
          <w:sz w:val="20"/>
          <w:szCs w:val="20"/>
          <w:lang w:eastAsia="ru-RU"/>
        </w:rPr>
        <w:t>10. Горян Э.В. Перспективы создания особой экономической зоны «свободный порт Владивостока»: сравнительно-правовой анализ // Право и политика. - 2015. - № 4. - С. 467-475.</w:t>
      </w:r>
    </w:p>
    <w:p w:rsidR="00517711" w:rsidRDefault="00517711">
      <w:pPr>
        <w:spacing w:after="0" w:line="240" w:lineRule="auto"/>
        <w:rPr>
          <w:rFonts w:ascii="Times New Roman" w:hAnsi="Times New Roman"/>
          <w:sz w:val="24"/>
          <w:szCs w:val="24"/>
        </w:rPr>
      </w:pP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Юридические науки</w:t>
      </w:r>
    </w:p>
    <w:p w:rsidR="00517711" w:rsidRDefault="00F815BE">
      <w:pPr>
        <w:spacing w:after="0" w:line="240" w:lineRule="auto"/>
        <w:rPr>
          <w:rFonts w:ascii="Times New Roman" w:hAnsi="Times New Roman"/>
          <w:sz w:val="20"/>
          <w:szCs w:val="24"/>
        </w:rPr>
      </w:pPr>
      <w:r>
        <w:rPr>
          <w:rFonts w:ascii="Times New Roman" w:hAnsi="Times New Roman"/>
          <w:sz w:val="20"/>
          <w:szCs w:val="24"/>
        </w:rPr>
        <w:t>УДК 342.9</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Правовой режим контрольно-надзорной деятельности в ТОР</w:t>
      </w:r>
    </w:p>
    <w:p w:rsidR="00517711" w:rsidRDefault="00F815BE">
      <w:pPr>
        <w:spacing w:after="0" w:line="240" w:lineRule="auto"/>
        <w:ind w:firstLine="709"/>
        <w:jc w:val="center"/>
        <w:rPr>
          <w:rFonts w:ascii="Arial" w:eastAsia="Calibri" w:hAnsi="Arial"/>
          <w:b/>
          <w:bCs/>
          <w:sz w:val="24"/>
          <w:szCs w:val="20"/>
          <w:lang w:eastAsia="ru-RU"/>
        </w:rPr>
      </w:pPr>
      <w:r>
        <w:rPr>
          <w:rFonts w:ascii="Arial" w:eastAsia="Calibri" w:hAnsi="Arial"/>
          <w:b/>
          <w:bCs/>
          <w:sz w:val="24"/>
          <w:szCs w:val="20"/>
          <w:lang w:eastAsia="ru-RU"/>
        </w:rPr>
        <w:t>Третьякова Светлана Алексеевна,</w:t>
      </w:r>
    </w:p>
    <w:p w:rsidR="00517711" w:rsidRDefault="00F815BE">
      <w:pPr>
        <w:spacing w:line="240" w:lineRule="auto"/>
        <w:ind w:firstLine="709"/>
        <w:jc w:val="center"/>
        <w:rPr>
          <w:rFonts w:ascii="Arial" w:eastAsia="Calibri" w:hAnsi="Arial"/>
          <w:bCs/>
          <w:sz w:val="24"/>
          <w:szCs w:val="20"/>
          <w:lang w:eastAsia="ru-RU"/>
        </w:rPr>
      </w:pPr>
      <w:r>
        <w:rPr>
          <w:rFonts w:ascii="Arial" w:eastAsia="Calibri" w:hAnsi="Arial"/>
          <w:bCs/>
          <w:sz w:val="24"/>
          <w:szCs w:val="20"/>
          <w:lang w:eastAsia="ru-RU"/>
        </w:rPr>
        <w:t xml:space="preserve">бакалавр </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spacing w:after="0" w:line="240" w:lineRule="auto"/>
        <w:ind w:firstLine="709"/>
        <w:jc w:val="center"/>
        <w:rPr>
          <w:rFonts w:ascii="Times New Roman" w:hAnsi="Times New Roman"/>
          <w:sz w:val="20"/>
          <w:szCs w:val="24"/>
        </w:rPr>
      </w:pPr>
      <w:r>
        <w:rPr>
          <w:rFonts w:ascii="Times New Roman" w:hAnsi="Times New Roman"/>
          <w:sz w:val="20"/>
          <w:szCs w:val="24"/>
          <w:lang w:val="en-US"/>
        </w:rPr>
        <w:t>E</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 xml:space="preserve">: </w:t>
      </w:r>
      <w:r>
        <w:rPr>
          <w:rFonts w:ascii="Times New Roman" w:hAnsi="Times New Roman"/>
          <w:sz w:val="20"/>
          <w:szCs w:val="24"/>
          <w:lang w:val="en-US"/>
        </w:rPr>
        <w:t>svetlana</w:t>
      </w:r>
      <w:r>
        <w:rPr>
          <w:rFonts w:ascii="Times New Roman" w:hAnsi="Times New Roman"/>
          <w:sz w:val="20"/>
          <w:szCs w:val="24"/>
        </w:rPr>
        <w:t>_</w:t>
      </w:r>
      <w:r>
        <w:rPr>
          <w:rFonts w:ascii="Times New Roman" w:hAnsi="Times New Roman"/>
          <w:sz w:val="20"/>
          <w:szCs w:val="24"/>
          <w:lang w:val="en-US"/>
        </w:rPr>
        <w:t>tretyakov</w:t>
      </w:r>
      <w:r>
        <w:rPr>
          <w:rFonts w:ascii="Times New Roman" w:hAnsi="Times New Roman"/>
          <w:sz w:val="20"/>
          <w:szCs w:val="24"/>
        </w:rPr>
        <w:t>.</w:t>
      </w:r>
      <w:r>
        <w:rPr>
          <w:rFonts w:ascii="Times New Roman" w:hAnsi="Times New Roman"/>
          <w:sz w:val="20"/>
          <w:szCs w:val="24"/>
          <w:lang w:val="en-US"/>
        </w:rPr>
        <w:t>ya</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w:t>
      </w:r>
      <w:r>
        <w:rPr>
          <w:rFonts w:ascii="Times New Roman" w:hAnsi="Times New Roman"/>
          <w:sz w:val="20"/>
          <w:szCs w:val="24"/>
          <w:lang w:val="en-US"/>
        </w:rPr>
        <w:t>ru</w:t>
      </w:r>
      <w:r>
        <w:rPr>
          <w:rFonts w:ascii="Times New Roman" w:hAnsi="Times New Roman"/>
          <w:sz w:val="20"/>
          <w:szCs w:val="24"/>
        </w:rPr>
        <w:t>; тел.: 89242380250</w:t>
      </w:r>
    </w:p>
    <w:p w:rsidR="00517711" w:rsidRDefault="00F815BE">
      <w:pPr>
        <w:spacing w:line="240" w:lineRule="auto"/>
        <w:ind w:firstLine="709"/>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F815BE">
      <w:pPr>
        <w:spacing w:after="0" w:line="240" w:lineRule="auto"/>
        <w:ind w:firstLine="708"/>
        <w:jc w:val="both"/>
        <w:rPr>
          <w:rFonts w:ascii="Times New Roman" w:hAnsi="Times New Roman"/>
          <w:i/>
          <w:szCs w:val="24"/>
        </w:rPr>
      </w:pPr>
      <w:r>
        <w:rPr>
          <w:rFonts w:ascii="Times New Roman" w:hAnsi="Times New Roman"/>
          <w:i/>
          <w:szCs w:val="24"/>
        </w:rPr>
        <w:lastRenderedPageBreak/>
        <w:t xml:space="preserve">В работе рассмотрена нормативная база государственного контроля (надзора) и муниципального контроля в ТОР, выявлены особенности осуществления </w:t>
      </w:r>
      <w:r>
        <w:rPr>
          <w:rFonts w:ascii="Times New Roman" w:hAnsi="Times New Roman"/>
          <w:i/>
          <w:szCs w:val="24"/>
          <w:lang w:eastAsia="ru-RU"/>
        </w:rPr>
        <w:t>государственного контроля (надзора), и</w:t>
      </w:r>
      <w:r>
        <w:rPr>
          <w:rFonts w:ascii="Times New Roman" w:hAnsi="Times New Roman"/>
          <w:i/>
          <w:szCs w:val="24"/>
        </w:rPr>
        <w:t>зучен внутренний и внешний контроль резидентов, его правовая регламентация и виды.</w:t>
      </w:r>
    </w:p>
    <w:p w:rsidR="00517711" w:rsidRDefault="00F815BE">
      <w:pPr>
        <w:spacing w:after="0" w:line="240" w:lineRule="auto"/>
        <w:ind w:firstLine="708"/>
        <w:jc w:val="both"/>
        <w:rPr>
          <w:rFonts w:ascii="Times New Roman" w:hAnsi="Times New Roman"/>
          <w:szCs w:val="24"/>
        </w:rPr>
      </w:pPr>
      <w:r>
        <w:rPr>
          <w:rFonts w:ascii="Times New Roman" w:hAnsi="Times New Roman"/>
          <w:b/>
          <w:i/>
          <w:szCs w:val="24"/>
        </w:rPr>
        <w:t>Ключевые слова и словосочетания</w:t>
      </w:r>
      <w:r>
        <w:rPr>
          <w:rFonts w:ascii="Times New Roman" w:hAnsi="Times New Roman"/>
          <w:i/>
          <w:szCs w:val="24"/>
        </w:rPr>
        <w:t xml:space="preserve">: территории опережающего развития, государственные органы, контроль, надзор. </w:t>
      </w:r>
    </w:p>
    <w:p w:rsidR="00517711" w:rsidRDefault="00F815BE">
      <w:pPr>
        <w:keepNext/>
        <w:spacing w:before="240" w:after="240" w:line="240" w:lineRule="auto"/>
        <w:jc w:val="center"/>
        <w:outlineLvl w:val="0"/>
        <w:rPr>
          <w:rFonts w:ascii="Book Antiqua" w:hAnsi="Book Antiqua"/>
          <w:b/>
          <w:bCs/>
          <w:caps/>
          <w:sz w:val="26"/>
          <w:szCs w:val="26"/>
          <w:lang w:val="en-US"/>
        </w:rPr>
      </w:pPr>
      <w:r>
        <w:rPr>
          <w:rFonts w:ascii="Book Antiqua" w:hAnsi="Book Antiqua"/>
          <w:b/>
          <w:bCs/>
          <w:caps/>
          <w:sz w:val="26"/>
          <w:szCs w:val="26"/>
          <w:lang w:val="en-US"/>
        </w:rPr>
        <w:t>Legal regime of control and supervision activities in the TOP</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i/>
          <w:szCs w:val="24"/>
          <w:lang w:val="en-US" w:eastAsia="ru-RU"/>
        </w:rPr>
        <w:t>The work deals with the regulatory framework of state control (supervision) and municipal control in the TOP, specifics of state control (supervision) management, internal and external control of residents, its legal regulation and types</w:t>
      </w:r>
      <w:r>
        <w:rPr>
          <w:rFonts w:ascii="Times New Roman" w:hAnsi="Times New Roman"/>
          <w:i/>
          <w:szCs w:val="24"/>
          <w:lang w:val="en-US"/>
        </w:rPr>
        <w:t>.</w:t>
      </w:r>
    </w:p>
    <w:p w:rsidR="00517711" w:rsidRDefault="00F815BE">
      <w:pPr>
        <w:spacing w:after="0" w:line="240" w:lineRule="auto"/>
        <w:ind w:firstLine="709"/>
        <w:jc w:val="both"/>
        <w:rPr>
          <w:rFonts w:ascii="Times New Roman" w:hAnsi="Times New Roman"/>
          <w:i/>
          <w:szCs w:val="24"/>
          <w:lang w:val="en-US"/>
        </w:rPr>
      </w:pPr>
      <w:r w:rsidRPr="00BD6187">
        <w:rPr>
          <w:rFonts w:ascii="Times New Roman" w:hAnsi="Times New Roman"/>
          <w:b/>
          <w:i/>
          <w:szCs w:val="24"/>
          <w:lang w:val="en-US" w:eastAsia="ru-RU"/>
        </w:rPr>
        <w:t>Keywords</w:t>
      </w:r>
      <w:r w:rsidRPr="00BD6187">
        <w:rPr>
          <w:rFonts w:ascii="Times New Roman" w:hAnsi="Times New Roman"/>
          <w:i/>
          <w:szCs w:val="24"/>
          <w:lang w:val="en-US" w:eastAsia="ru-RU"/>
        </w:rPr>
        <w:t>: territories of advanced development, state bodies, control, supervision</w:t>
      </w:r>
      <w:r>
        <w:rPr>
          <w:rFonts w:ascii="Times New Roman" w:hAnsi="Times New Roman"/>
          <w:i/>
          <w:szCs w:val="24"/>
          <w:lang w:val="en-US"/>
        </w:rPr>
        <w:t>.</w:t>
      </w:r>
    </w:p>
    <w:p w:rsidR="00517711" w:rsidRDefault="00517711">
      <w:pPr>
        <w:widowControl w:val="0"/>
        <w:spacing w:after="0" w:line="240" w:lineRule="auto"/>
        <w:ind w:firstLine="709"/>
        <w:contextualSpacing/>
        <w:jc w:val="both"/>
        <w:rPr>
          <w:rFonts w:ascii="Times New Roman" w:hAnsi="Times New Roman"/>
          <w:sz w:val="20"/>
          <w:szCs w:val="24"/>
          <w:lang w:val="en-US" w:eastAsia="ru-RU"/>
        </w:rPr>
      </w:pP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Актуальность и научная новизна темы исследования состоит в том, что в связи с принятием федерального закона «О территориях опережающего социально-экономического развития в Российской Федерации» (далее в тексте – ФЗ «О ТОР») [6] произошли изменения в полномочиях государственных органов контроля (надзора) на федеральном и региональном уровнях, муниципального контроля.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Появилась новая обширная нормативно-правовая база, регулирующая деятельность органов контроля (надзора), которую следует изучить для дальнейшего совершенствования и устранения возможных правовых пробелов и коллизий.</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Целью работы является выявление особенностей правового режима контрольно-надзорной деятельности в ТОР.</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Задачи работы: 1) рассмотреть нормативное регулирование ТОР; 2) определить степень влияния контрольно-надзорных органов на деятельность резидентов ТОР.</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Методологическую основу работы составляют методы: анализа, индукции, сравнение, герменевтический и юрико-догматический.</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Нормативно-правовая база государственного контроля (надзора) и муниципального контроля территорий опережающего социально-экономического развития (далее в тексте – ТОР) складывается из нормативных правовых актов различных уровней.</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 xml:space="preserve">По юридической силе на первом месте стоят нормативные акты федеральных органов законодательной власти – федеральные законы (далее в тексте – ФЗ). </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 xml:space="preserve">На данный момент ФЗ «О защите прав </w:t>
      </w:r>
      <w:r>
        <w:rPr>
          <w:rFonts w:ascii="Times New Roman" w:hAnsi="Times New Roman"/>
          <w:sz w:val="20"/>
          <w:szCs w:val="24"/>
        </w:rPr>
        <w:t>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z w:val="20"/>
          <w:szCs w:val="24"/>
          <w:lang w:eastAsia="ru-RU"/>
        </w:rPr>
        <w:t>» является основным нормативным правовым актом, регулирующим отношения «в области организации и осуществления государственного контроля (надзора), муниципального контроля» [3, ст. 1]. Он применяется, в том числе, «к отношениям, связанным с осуществлением государственного контроля (надзора) на территории опережающего социально-экономического развития, организацией и проведением проверок резидентов территории опережающего социально-экономического развития» [6, ч. 2 ст. 24] .</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 xml:space="preserve"> Данный ФЗ устанавливает «порядок организации и проведения проверок», «порядок взаимодействия органов, уполномоченных на осуществление государственного контроля (надзора), муниципального контроля» [3, ч. 2 ст. 1], права и обязанности должностных лиц, юридических лиц, индивидуальных предпринимателей при осуществлении такого контроля и надзора.</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В ТОР государственный контроль, надзор и муниципальный контроль осуществляется с особенностями, предусмотренными ФЗ «О ТОР» [3, ст. 4.1], а именно – главой 6 ФЗ «О ТОР».</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 xml:space="preserve">Налоговый, валютный, таможенный, государственный портовый контроль, банковский, страховой надзор и иные виды контроля и надзора осуществляются в ТОР в общем режиме, без особенностей для резидентов [3, ч. 1 ст. 3.1]. </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Среди подзаконных актов следует выделить постановление Правительства РФ от 22 октября 2015 г. № 1132 «О совместных плановых проверках, проводимых в отношении резидентов территории опережающего социально-экономического развития органами, уполномоченными на осуществление государственного контроля (надзора), муниципального контроля» (далее в тексте – ПП РФ «О совместных плановых проверках …») [5]. Оно также реализует положения ФЗ «О ТОР», где закреплена обязанность в проведении совместных проверок по отдельным видам государственного контроля (надзора) и муниципального контроля [6, ч. 3 ст. 24].</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Государственный контроль (надзор) в РФ осуществляют органы исполнительной власти (на федеральном и региональном уровнях).</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Обособленно осуществляется прокурорский надзор. На него не распространяются положения ФЗ «О защите прав ЮЛ и ИП …» [3, п. 3 ч. 3 ст. 1], к тому же он является общим, в отличие от административного надзора, осуществляемого органами исполнительной власти.</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 xml:space="preserve">Нормативное регулирование прокурорского надзора осуществляется Конституцией РФ, ФЗ «О прокуратуре Российской Федерации» и иными ФЗ [4, ст. 3]. </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lastRenderedPageBreak/>
        <w:t>Муниципальный контроль осуществляют органы местного самоуправления. Это «деятельность уполномоченных органов местного самоуправления по проверке соблюдения законодательства о местном самоуправлении, муниципальных правовых актов» [1].</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Органы местного самоуправления осуществляют свои полномочия в ТОР как и в остальной части муниципального образования с особенностями, предусмотренными главой 6 ФЗ «О ТОР». Они заключаются в том, что часть их полномочий может быть передана управляющей компании (далее в тексте – УК) ТОР или Министерству РФ по развитию Дальнего Востока (далее в тексте – Минвостокразвития РФ).</w:t>
      </w:r>
    </w:p>
    <w:p w:rsidR="00517711" w:rsidRDefault="00F815BE">
      <w:pPr>
        <w:spacing w:after="0" w:line="240" w:lineRule="auto"/>
        <w:ind w:firstLine="709"/>
        <w:jc w:val="both"/>
        <w:rPr>
          <w:rStyle w:val="blk"/>
          <w:rFonts w:ascii="Times New Roman" w:hAnsi="Times New Roman"/>
          <w:sz w:val="20"/>
          <w:szCs w:val="24"/>
        </w:rPr>
      </w:pPr>
      <w:r>
        <w:rPr>
          <w:rFonts w:ascii="Times New Roman" w:hAnsi="Times New Roman"/>
          <w:sz w:val="20"/>
          <w:szCs w:val="24"/>
        </w:rPr>
        <w:t xml:space="preserve">Существуют предложения о кардинальном изменении нормативной правовой базы государственного контроля (надзора) – на рассмотрении в Государственной Думе РФ находится законопроект </w:t>
      </w:r>
      <w:r>
        <w:rPr>
          <w:rStyle w:val="blk"/>
          <w:rFonts w:ascii="Times New Roman" w:hAnsi="Times New Roman"/>
          <w:sz w:val="20"/>
          <w:szCs w:val="24"/>
        </w:rPr>
        <w:t xml:space="preserve">«О государственном контроле (надзоре) и муниципальном контроле в Российской Федерации», который призван заменить действующий ФЗ «О защите прав </w:t>
      </w:r>
      <w:r>
        <w:rPr>
          <w:rFonts w:ascii="Times New Roman" w:hAnsi="Times New Roman"/>
          <w:sz w:val="20"/>
          <w:szCs w:val="24"/>
        </w:rPr>
        <w:t>юридических лиц и индивидуальных предпринимателей при осуществлении государственного контроля (надзора) и муниципального контроля</w:t>
      </w:r>
      <w:r>
        <w:rPr>
          <w:rStyle w:val="blk"/>
          <w:rFonts w:ascii="Times New Roman" w:hAnsi="Times New Roman"/>
          <w:sz w:val="20"/>
          <w:szCs w:val="24"/>
        </w:rPr>
        <w:t>» и внести изменения в некоторые другие нормативные акты, такие как Земельный кодекс РФ, Водный кодекс РФ, ФЗ «О лицензировании отдельных видов деятельности», ФЗ «О свободном порте Владивосток», ФЗ «О ТОР», и другие.</w:t>
      </w:r>
    </w:p>
    <w:p w:rsidR="00517711" w:rsidRDefault="00F815BE">
      <w:pPr>
        <w:spacing w:after="0" w:line="240" w:lineRule="auto"/>
        <w:ind w:firstLine="709"/>
        <w:jc w:val="both"/>
        <w:rPr>
          <w:rStyle w:val="blk"/>
          <w:rFonts w:ascii="Times New Roman" w:hAnsi="Times New Roman"/>
          <w:sz w:val="20"/>
          <w:szCs w:val="24"/>
        </w:rPr>
      </w:pPr>
      <w:r>
        <w:rPr>
          <w:rStyle w:val="blk"/>
          <w:rFonts w:ascii="Times New Roman" w:hAnsi="Times New Roman"/>
          <w:sz w:val="20"/>
          <w:szCs w:val="24"/>
        </w:rPr>
        <w:t xml:space="preserve">Можно выявить следующие особенности осуществления государственного контроля (надзора) в ТОР: </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1) возможность создания федеральными органами исполнительной власти специальных подразделений в ТОР. Таковыми являются органы исполнительной власти, уполномоченные на осуществление функций по  «контролю, надзору … в сфере миграции» (управление по вопросам миграции министерства внутренних дел РФ), «за соблюдением законодательства Российской Федерации о налогах и сборах» (федеральная налоговая служба), «за соблюдением трудового законодательства» (федеральная служба по труду и занятости), «строительного надзора» (федеральная служба по экологическому, техническому и атомному надзору) [6, ч. 2 ст. 22], и т.д.;</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2) наличие специальных правил, которые регулируют проведение проверок в отношении резидентов – ПП РФ «О совместных плановых проверках …». Постановление принято в развитие пункта 3 статьи 24 ФЗ «О ТОР»</w:t>
      </w:r>
      <w:r>
        <w:rPr>
          <w:rStyle w:val="aff4"/>
          <w:sz w:val="20"/>
          <w:szCs w:val="24"/>
          <w:lang w:eastAsia="ru-RU"/>
        </w:rPr>
        <w:t xml:space="preserve"> </w:t>
      </w:r>
      <w:r>
        <w:rPr>
          <w:rFonts w:ascii="Times New Roman" w:hAnsi="Times New Roman"/>
          <w:sz w:val="20"/>
          <w:szCs w:val="24"/>
          <w:lang w:eastAsia="ru-RU"/>
        </w:rPr>
        <w:t>[6, п. 3 ст. 24].</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Установлено, что в ТОР некоторые плановые проверки уполномоченными на осуществление государственного контроля (надзора), муниципального контроля органами проводятся совместно. Виды «государственного контроля (надзора) и муниципального контроля, при осуществлении которых плановые проверки проводятся в виде совместных проверок и порядок проведения таких проверок устанавливаются Правительством Российской Федерации» – ПП РФ  «О совместных плановых проверках …» [6, п. 3 ст. 24];</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 xml:space="preserve">3) осуществление совместных проверок резидентов ТОР. Порядок, правила проведения и виды проверок регулируются ПП РФ «О совместных плановых проверках …», ежегодные планы проведения проверок необходимо согласовывать с Минвостокразвития РФ. </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Внеплановые проверки резидентов ТОР осуществляются контролирующими органами на основе ФЗ «О защите прав ЮЛ и ИП …», ФЗ «О ТОР», и «иными законодательными актами Российской Федерации, устанавливающими особенности организации и проведения проверок по отдельным видам государственного контроля (надзора), муниципального контроля» [7, п. 3].</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Максимальный срок проведения внеплановой проверки – 15 рабочих дней [6, ч. 4 ст. 24]. Для субъектов малого предпринимательства – 40 часов в год, для микропредпринимательства – 10 часов;</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4) различные сроки подготовки проектов ежегодных планов проведения плановых проверок, уполномоченные на согласование плана проведения проверок органы государственной власти РФ, этапы согласования проверок с уполномоченными органами.</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Общие положения проведения проверок установлены в ФЗ «О защите прав ЮЛ и ИП …», особенности в ТОР – ПП РФ «О совместных плановых проверках …».</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Этапы согласования проекта начинаются одинаково – направлением его в уполномоченный орган (прокуратуру РФ либо Минвостокразвития РФ). Далее схемы различаются.</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Органы прокуратуры самостоятельно вносят предложения об устранении выявленных замечаний, органы государственного контроля (надзора) их рассматривают и затем в итоговом варианте присылают снова. Вновь поступившие планы проведения проверок обобщают и направляют в Генеральную прокуратуру РФ, которая формирует окончательный план и размещает на своем сайте.</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 xml:space="preserve">В ТОР стадий процедуры согласования совместных плановых проверок, как и контролирующих органов, больше. Помимо Минвостокразвития РФ одобрение должны дать «наблюдательный совет ТОР совместно с резидентами ТОР и органами государственного контроля (надзора), муниципального контроля» [5, п. 6]. </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Помимо согласования проектов планов проведения совместных плановых проверок с уполномоченными органами, в пункте 10 ПП РФ «О совместных плановых проверках …» поясняется, что «Согласование проектов планов, указанных в пункте 4 настоящих Правил», а именно: проектов «ежегодных планов проведения плановых проверок» (всех, без исключений в данном пункте), с органами прокуратуры осуществляется в общем режиме, в соответствии с ФЗ «О защите прав ЮЛ и ИП …» [5, п. 10].</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Органы местного самоуправления осуществляют свои полномочия в ТОР с особенностями, предусмотренными главой 6 ФЗ «О ТОР» – часть их полномочий может быть передана УК ТОР или Минвостокразвития РФ.</w:t>
      </w:r>
    </w:p>
    <w:p w:rsidR="00517711" w:rsidRDefault="00F815BE">
      <w:pPr>
        <w:spacing w:after="0" w:line="240" w:lineRule="auto"/>
        <w:ind w:firstLine="709"/>
        <w:jc w:val="both"/>
        <w:rPr>
          <w:rStyle w:val="blk"/>
          <w:rFonts w:ascii="Times New Roman" w:hAnsi="Times New Roman"/>
          <w:sz w:val="20"/>
          <w:szCs w:val="24"/>
        </w:rPr>
      </w:pPr>
      <w:r>
        <w:rPr>
          <w:rStyle w:val="blk"/>
          <w:rFonts w:ascii="Times New Roman" w:hAnsi="Times New Roman"/>
          <w:sz w:val="20"/>
          <w:szCs w:val="24"/>
        </w:rPr>
        <w:lastRenderedPageBreak/>
        <w:t xml:space="preserve">В отношении резидентов осуществляется внутренний и внешний контроль. </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Процедуры внутреннего контроля резидентов ТОР можно понимать как:</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1) процедуры контроля, которые проводятся каждым из резидентов самостоятельно в своей организации. В этом случае он</w:t>
      </w:r>
      <w:r>
        <w:rPr>
          <w:rStyle w:val="blk"/>
          <w:rFonts w:ascii="Times New Roman" w:hAnsi="Times New Roman"/>
          <w:sz w:val="20"/>
          <w:szCs w:val="24"/>
        </w:rPr>
        <w:t xml:space="preserve"> осуществляется в формах </w:t>
      </w:r>
      <w:r>
        <w:rPr>
          <w:rFonts w:ascii="Times New Roman" w:hAnsi="Times New Roman"/>
          <w:sz w:val="20"/>
          <w:szCs w:val="24"/>
          <w:lang w:eastAsia="ru-RU"/>
        </w:rPr>
        <w:t>1) внутреннего аудита; 2) структурно-функционального контроля, который подразделяется на: а) бухгалтерский контроль, б) правовой контроль, в) административный контроль (и иные);</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2) процедуры контроля, которые проводятся в органах управления ТОР –наблюдательном совете ТОР, Минвостокразвития РФ и УК ТОР.</w:t>
      </w:r>
    </w:p>
    <w:p w:rsidR="00517711" w:rsidRDefault="00F815BE">
      <w:pPr>
        <w:widowControl w:val="0"/>
        <w:tabs>
          <w:tab w:val="left" w:pos="142"/>
          <w:tab w:val="left" w:pos="709"/>
          <w:tab w:val="left" w:pos="1134"/>
          <w:tab w:val="left" w:pos="1418"/>
        </w:tabs>
        <w:spacing w:after="0" w:line="240" w:lineRule="auto"/>
        <w:ind w:firstLine="709"/>
        <w:jc w:val="both"/>
        <w:outlineLvl w:val="1"/>
        <w:rPr>
          <w:rStyle w:val="blk"/>
          <w:rFonts w:ascii="Times New Roman" w:hAnsi="Times New Roman"/>
          <w:sz w:val="20"/>
          <w:szCs w:val="24"/>
          <w:lang w:eastAsia="ru-RU"/>
        </w:rPr>
      </w:pPr>
      <w:r>
        <w:rPr>
          <w:rFonts w:ascii="Times New Roman" w:hAnsi="Times New Roman"/>
          <w:sz w:val="20"/>
          <w:szCs w:val="24"/>
          <w:lang w:eastAsia="ru-RU"/>
        </w:rPr>
        <w:t>В первом случае процедуры внутреннего контроля определяются резидентом самостоятельно (за исключением обязательных), во втором – внутренними документами уполномоченных органов.</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Внешний контроль в РФ вправе осуществлять Президент РФ, органы законодательной, исполнительной и судебной власти, а также органы прокуратуры РФ.</w:t>
      </w:r>
    </w:p>
    <w:p w:rsidR="00517711" w:rsidRDefault="00F815BE">
      <w:pPr>
        <w:spacing w:after="0" w:line="240" w:lineRule="auto"/>
        <w:ind w:firstLine="708"/>
        <w:jc w:val="both"/>
        <w:rPr>
          <w:rFonts w:ascii="Times New Roman" w:hAnsi="Times New Roman"/>
          <w:sz w:val="20"/>
          <w:szCs w:val="24"/>
        </w:rPr>
      </w:pPr>
      <w:r>
        <w:rPr>
          <w:rFonts w:ascii="Times New Roman" w:hAnsi="Times New Roman"/>
          <w:sz w:val="20"/>
          <w:szCs w:val="24"/>
        </w:rPr>
        <w:t>Отдельные виды контроля и надзора, являющиеся административным надзором,  – налоговый контроль, государственный экологический надзор, государственный финансовый контроль, таможенный контроль, – вправе осуществлять иные уполномоченные органы государственной власти с учетом особенностей, установленных ФЗ «О ТОР».</w:t>
      </w:r>
    </w:p>
    <w:p w:rsidR="00517711" w:rsidRDefault="00F815BE">
      <w:pPr>
        <w:spacing w:after="0" w:line="240" w:lineRule="auto"/>
        <w:ind w:firstLine="708"/>
        <w:jc w:val="both"/>
        <w:rPr>
          <w:rFonts w:ascii="Times New Roman" w:hAnsi="Times New Roman"/>
          <w:sz w:val="20"/>
          <w:szCs w:val="24"/>
        </w:rPr>
      </w:pPr>
      <w:r>
        <w:rPr>
          <w:rFonts w:ascii="Times New Roman" w:hAnsi="Times New Roman"/>
          <w:sz w:val="20"/>
          <w:szCs w:val="24"/>
        </w:rPr>
        <w:t>Обобщая вышеизложенное, государственный контроль (надзор) и муниципальный контроль в ТОР осуществляется с особенностями, закрепленными в главе 6 ФЗ «О ТОР». Внешний контроль вправе проводить уполномоченные государственные органы, внутренний – сами резиденты либо органы управления ТОР.</w:t>
      </w:r>
    </w:p>
    <w:p w:rsidR="00517711" w:rsidRDefault="00F815BE">
      <w:pPr>
        <w:tabs>
          <w:tab w:val="left" w:pos="5954"/>
        </w:tabs>
        <w:spacing w:after="0" w:line="240" w:lineRule="auto"/>
        <w:ind w:firstLine="709"/>
        <w:rPr>
          <w:rFonts w:ascii="Times New Roman" w:hAnsi="Times New Roman"/>
          <w:sz w:val="20"/>
          <w:szCs w:val="24"/>
        </w:rPr>
      </w:pPr>
      <w:r>
        <w:rPr>
          <w:rFonts w:ascii="Times New Roman" w:hAnsi="Times New Roman"/>
          <w:b/>
          <w:sz w:val="20"/>
          <w:szCs w:val="24"/>
        </w:rPr>
        <w:t>______________________________________</w:t>
      </w:r>
    </w:p>
    <w:p w:rsidR="00517711" w:rsidRDefault="00F815BE">
      <w:pPr>
        <w:spacing w:after="0" w:line="240" w:lineRule="auto"/>
        <w:ind w:firstLine="708"/>
        <w:jc w:val="both"/>
        <w:rPr>
          <w:rFonts w:ascii="Times New Roman" w:hAnsi="Times New Roman" w:cs="Times New Roman"/>
          <w:sz w:val="20"/>
          <w:szCs w:val="24"/>
        </w:rPr>
      </w:pPr>
      <w:r>
        <w:rPr>
          <w:rFonts w:ascii="Times New Roman" w:hAnsi="Times New Roman" w:cs="Times New Roman"/>
          <w:sz w:val="20"/>
          <w:szCs w:val="24"/>
        </w:rPr>
        <w:t>1. Муниципальный контроль / Муниципальное право [Электронный ресурс] // Юриспруденция. – Режим доступа: [https://knigi.news/munitsipalnoe/munitsipalnyiy-kontrol-53503.html].</w:t>
      </w:r>
    </w:p>
    <w:p w:rsidR="00517711" w:rsidRDefault="00F815BE">
      <w:pPr>
        <w:spacing w:after="0" w:line="240" w:lineRule="auto"/>
        <w:ind w:firstLine="708"/>
        <w:jc w:val="both"/>
        <w:rPr>
          <w:rFonts w:ascii="Times New Roman" w:hAnsi="Times New Roman" w:cs="Times New Roman"/>
          <w:sz w:val="20"/>
          <w:szCs w:val="24"/>
        </w:rPr>
      </w:pPr>
      <w:r>
        <w:rPr>
          <w:rFonts w:ascii="Times New Roman" w:hAnsi="Times New Roman" w:cs="Times New Roman"/>
          <w:sz w:val="20"/>
          <w:szCs w:val="24"/>
        </w:rPr>
        <w:t>2. Нормативно-правовая база / Документы [Электронный ресурс] // Официальный сайт Западно-Каспийского территориального управления федерального агентства по рыболовству. –  Режим доступа: [http://zkturr.ru/ou/1-1-0-128].</w:t>
      </w:r>
    </w:p>
    <w:p w:rsidR="00517711" w:rsidRDefault="00F815BE">
      <w:pPr>
        <w:spacing w:after="0" w:line="240" w:lineRule="auto"/>
        <w:ind w:firstLine="708"/>
        <w:jc w:val="both"/>
        <w:rPr>
          <w:rFonts w:ascii="Times New Roman" w:hAnsi="Times New Roman" w:cs="Times New Roman"/>
          <w:sz w:val="20"/>
          <w:szCs w:val="24"/>
        </w:rPr>
      </w:pPr>
      <w:r>
        <w:rPr>
          <w:rFonts w:ascii="Times New Roman" w:hAnsi="Times New Roman" w:cs="Times New Roman"/>
          <w:sz w:val="20"/>
          <w:szCs w:val="24"/>
        </w:rPr>
        <w:t>3.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Федеральный закон от 26 декабря 2008 г. № 294-ФЗ (ред. от 27.11.2017) [Электронный ресурс] // СПС «КонсультантПлюс». – Режим доступа: [http://www.consultant.ru/document/cons_doc_LAW_83079/].</w:t>
      </w:r>
    </w:p>
    <w:p w:rsidR="00517711" w:rsidRDefault="00F815BE">
      <w:pPr>
        <w:spacing w:after="0" w:line="240" w:lineRule="auto"/>
        <w:ind w:firstLine="708"/>
        <w:jc w:val="both"/>
        <w:rPr>
          <w:rFonts w:ascii="Times New Roman" w:hAnsi="Times New Roman" w:cs="Times New Roman"/>
          <w:sz w:val="20"/>
          <w:szCs w:val="24"/>
        </w:rPr>
      </w:pPr>
      <w:r>
        <w:rPr>
          <w:rFonts w:ascii="Times New Roman" w:hAnsi="Times New Roman" w:cs="Times New Roman"/>
          <w:sz w:val="20"/>
          <w:szCs w:val="24"/>
        </w:rPr>
        <w:t>4. О прокуратуре Российской Федерации. Федеральный закон от 17 января 1992 г. № 2202-1 (ред. от 31.12.2017) [Электронный ресурс] // СПС «КонсультантПлюс». – Режим доступа: [http://www.consultant.ru/cons/cgi/online.cgi?req=doc&amp;base=LAW&amp;n=285764&amp;fld=134&amp;dst=1000000001,0&amp;rnd=0.6686911125391405#04306322235681248].</w:t>
      </w:r>
    </w:p>
    <w:p w:rsidR="00517711" w:rsidRDefault="00F815BE">
      <w:pPr>
        <w:spacing w:after="0" w:line="240" w:lineRule="auto"/>
        <w:ind w:firstLine="708"/>
        <w:jc w:val="both"/>
        <w:rPr>
          <w:rFonts w:ascii="Times New Roman" w:hAnsi="Times New Roman" w:cs="Times New Roman"/>
          <w:sz w:val="20"/>
          <w:szCs w:val="24"/>
        </w:rPr>
      </w:pPr>
      <w:r>
        <w:rPr>
          <w:rFonts w:ascii="Times New Roman" w:hAnsi="Times New Roman" w:cs="Times New Roman"/>
          <w:sz w:val="20"/>
          <w:szCs w:val="24"/>
        </w:rPr>
        <w:t>5. О совместных плановых проверках, проводимых в отношении резидентов свободного порта Владивосток органами, уполномоченными на осуществление государственного контроля (надзора), муниципального контроля. Постановление Правительства РФ от 30 июля 2016 г. № 729 [Электронный ресурс] // СПС «КонсультантПлюс». – Режим доступа: [http://www.consultant.ru/cons/cgi/online.cgi?req=doc&amp;base=LAW&amp;n=202609&amp;fld=134&amp;dst=1000000001,0&amp;rnd=0.6353241394222098#03127779944308924].</w:t>
      </w:r>
    </w:p>
    <w:p w:rsidR="00517711" w:rsidRDefault="00F815BE">
      <w:pPr>
        <w:spacing w:after="0" w:line="240" w:lineRule="auto"/>
        <w:ind w:firstLine="709"/>
        <w:jc w:val="both"/>
        <w:rPr>
          <w:rFonts w:ascii="Times New Roman" w:hAnsi="Times New Roman" w:cs="Times New Roman"/>
          <w:sz w:val="20"/>
          <w:szCs w:val="24"/>
        </w:rPr>
      </w:pPr>
      <w:r>
        <w:rPr>
          <w:rFonts w:ascii="Times New Roman" w:hAnsi="Times New Roman" w:cs="Times New Roman"/>
          <w:sz w:val="20"/>
          <w:szCs w:val="24"/>
        </w:rPr>
        <w:t>6. О территориях опережающего социально-экономического развития в Российской Федерации. Федеральный закон от 29 декабря 2014 г. № 473-ФЗ (ред. от 03.07.2016) [Электронный ресурс] // СПС «КонсультантПлюс». – Режим доступа: [http://www.consultant.ru/document/cons_doc_LAW_172962/].</w:t>
      </w:r>
    </w:p>
    <w:p w:rsidR="00517711" w:rsidRDefault="00F815BE">
      <w:pPr>
        <w:spacing w:after="0" w:line="240" w:lineRule="auto"/>
        <w:ind w:firstLine="708"/>
        <w:jc w:val="both"/>
        <w:rPr>
          <w:rFonts w:ascii="Times New Roman" w:hAnsi="Times New Roman" w:cs="Times New Roman"/>
          <w:sz w:val="24"/>
          <w:szCs w:val="24"/>
        </w:rPr>
      </w:pPr>
      <w:r>
        <w:rPr>
          <w:rFonts w:ascii="Times New Roman" w:hAnsi="Times New Roman" w:cs="Times New Roman"/>
          <w:sz w:val="20"/>
          <w:szCs w:val="24"/>
        </w:rPr>
        <w:t>7. Об установлении порядка согласования проведения внеплановых проверок органами государственного контроля (надзора) и органами муниципального контроля в отношении резидентов территорий опережающего социально-экономического развития. Приказ Минвостокразвития России от 01 сентября 2015 г. № 167 [Электронный ресурс] // СПС «КонсультантПлюс». – Режим доступа: [http://www.consultant.ru/document/cons_doc_LAW_192645/].</w:t>
      </w:r>
    </w:p>
    <w:p w:rsidR="00517711" w:rsidRDefault="00F815BE">
      <w:pPr>
        <w:keepNext/>
        <w:pageBreakBefore/>
        <w:spacing w:after="240" w:line="240" w:lineRule="auto"/>
        <w:jc w:val="center"/>
        <w:outlineLvl w:val="0"/>
        <w:rPr>
          <w:rFonts w:ascii="Book Antiqua" w:hAnsi="Book Antiqua"/>
          <w:b/>
          <w:bCs/>
          <w:caps/>
          <w:sz w:val="24"/>
          <w:szCs w:val="20"/>
          <w:lang w:eastAsia="ru-RU"/>
        </w:rPr>
      </w:pPr>
      <w:r>
        <w:rPr>
          <w:rFonts w:ascii="Book Antiqua" w:hAnsi="Book Antiqua"/>
          <w:b/>
          <w:bCs/>
          <w:sz w:val="24"/>
          <w:szCs w:val="20"/>
          <w:lang w:eastAsia="ru-RU"/>
        </w:rPr>
        <w:lastRenderedPageBreak/>
        <w:t>Секция</w:t>
      </w:r>
      <w:r>
        <w:rPr>
          <w:rFonts w:ascii="Book Antiqua" w:hAnsi="Book Antiqua"/>
          <w:b/>
          <w:bCs/>
          <w:caps/>
          <w:sz w:val="24"/>
          <w:szCs w:val="20"/>
          <w:lang w:eastAsia="ru-RU"/>
        </w:rPr>
        <w:t>. Актуальные проблемы публичного права</w:t>
      </w: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Актуальные проблемы публичного права</w:t>
      </w:r>
    </w:p>
    <w:p w:rsidR="00517711" w:rsidRDefault="00F815BE">
      <w:pPr>
        <w:spacing w:line="240" w:lineRule="auto"/>
        <w:rPr>
          <w:rFonts w:ascii="Times New Roman" w:hAnsi="Times New Roman"/>
          <w:sz w:val="20"/>
        </w:rPr>
      </w:pPr>
      <w:r>
        <w:rPr>
          <w:rFonts w:ascii="Times New Roman" w:hAnsi="Times New Roman"/>
          <w:sz w:val="20"/>
        </w:rPr>
        <w:t>УДК 342</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Соответствие алгоритма принятия судебных решений, связанных с лишением вещных прав на недвижимое имущество в судах РФ и ЕСПЧ</w:t>
      </w:r>
    </w:p>
    <w:p w:rsidR="00517711" w:rsidRDefault="00F815BE">
      <w:pPr>
        <w:spacing w:after="0" w:line="240" w:lineRule="auto"/>
        <w:jc w:val="center"/>
        <w:rPr>
          <w:rFonts w:ascii="Arial" w:eastAsia="Calibri" w:hAnsi="Arial"/>
          <w:b/>
          <w:bCs/>
          <w:sz w:val="24"/>
          <w:szCs w:val="20"/>
          <w:lang w:eastAsia="ru-RU"/>
        </w:rPr>
      </w:pPr>
      <w:r>
        <w:rPr>
          <w:rFonts w:ascii="Arial" w:eastAsia="Calibri" w:hAnsi="Arial"/>
          <w:b/>
          <w:bCs/>
          <w:sz w:val="24"/>
          <w:szCs w:val="20"/>
          <w:lang w:eastAsia="ru-RU"/>
        </w:rPr>
        <w:t>Вершинина Татьяна Константиновна,</w:t>
      </w:r>
    </w:p>
    <w:p w:rsidR="00517711" w:rsidRDefault="00F815BE">
      <w:pPr>
        <w:spacing w:line="240" w:lineRule="auto"/>
        <w:jc w:val="center"/>
        <w:rPr>
          <w:rFonts w:ascii="Arial" w:eastAsia="Calibri" w:hAnsi="Arial"/>
          <w:bCs/>
          <w:sz w:val="24"/>
          <w:szCs w:val="20"/>
          <w:lang w:eastAsia="ru-RU"/>
        </w:rPr>
      </w:pPr>
      <w:r>
        <w:rPr>
          <w:rFonts w:ascii="Arial" w:eastAsia="Calibri" w:hAnsi="Arial"/>
          <w:bCs/>
          <w:sz w:val="24"/>
          <w:szCs w:val="20"/>
          <w:lang w:eastAsia="ru-RU"/>
        </w:rPr>
        <w:t>бакалавр</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spacing w:after="0" w:line="240" w:lineRule="auto"/>
        <w:jc w:val="center"/>
        <w:rPr>
          <w:rFonts w:ascii="Times New Roman" w:hAnsi="Times New Roman"/>
          <w:sz w:val="20"/>
        </w:rPr>
      </w:pPr>
      <w:r>
        <w:rPr>
          <w:rFonts w:ascii="Times New Roman" w:hAnsi="Times New Roman"/>
          <w:sz w:val="20"/>
          <w:lang w:val="en-US"/>
        </w:rPr>
        <w:t>E</w:t>
      </w:r>
      <w:r>
        <w:rPr>
          <w:rFonts w:ascii="Times New Roman" w:hAnsi="Times New Roman"/>
          <w:sz w:val="20"/>
        </w:rPr>
        <w:t>-</w:t>
      </w:r>
      <w:r>
        <w:rPr>
          <w:rFonts w:ascii="Times New Roman" w:hAnsi="Times New Roman"/>
          <w:sz w:val="20"/>
          <w:lang w:val="en-US"/>
        </w:rPr>
        <w:t>mail</w:t>
      </w:r>
      <w:r>
        <w:rPr>
          <w:rFonts w:ascii="Times New Roman" w:hAnsi="Times New Roman"/>
          <w:sz w:val="20"/>
        </w:rPr>
        <w:t xml:space="preserve">: </w:t>
      </w:r>
      <w:r>
        <w:rPr>
          <w:rFonts w:ascii="Times New Roman" w:hAnsi="Times New Roman"/>
          <w:sz w:val="20"/>
          <w:lang w:val="en-US"/>
        </w:rPr>
        <w:t>vershinina</w:t>
      </w:r>
      <w:r>
        <w:rPr>
          <w:rFonts w:ascii="Times New Roman" w:hAnsi="Times New Roman"/>
          <w:sz w:val="20"/>
        </w:rPr>
        <w:t>572@</w:t>
      </w:r>
      <w:r>
        <w:rPr>
          <w:rFonts w:ascii="Times New Roman" w:hAnsi="Times New Roman"/>
          <w:sz w:val="20"/>
          <w:lang w:val="en-US"/>
        </w:rPr>
        <w:t>gmail</w:t>
      </w:r>
      <w:r>
        <w:rPr>
          <w:rFonts w:ascii="Times New Roman" w:hAnsi="Times New Roman"/>
          <w:sz w:val="20"/>
        </w:rPr>
        <w:t>.</w:t>
      </w:r>
      <w:r>
        <w:rPr>
          <w:rFonts w:ascii="Times New Roman" w:hAnsi="Times New Roman"/>
          <w:sz w:val="20"/>
          <w:lang w:val="en-US"/>
        </w:rPr>
        <w:t>com</w:t>
      </w:r>
      <w:r>
        <w:rPr>
          <w:rFonts w:ascii="Times New Roman" w:hAnsi="Times New Roman"/>
          <w:sz w:val="20"/>
        </w:rPr>
        <w:t>; тел.: +79964245500</w:t>
      </w:r>
    </w:p>
    <w:p w:rsidR="00517711" w:rsidRDefault="00F815BE">
      <w:pPr>
        <w:spacing w:line="240" w:lineRule="auto"/>
        <w:jc w:val="center"/>
        <w:rPr>
          <w:rFonts w:ascii="Times New Roman" w:hAnsi="Times New Roman"/>
          <w:sz w:val="20"/>
        </w:rPr>
      </w:pPr>
      <w:r>
        <w:rPr>
          <w:rFonts w:ascii="Times New Roman" w:hAnsi="Times New Roman"/>
          <w:sz w:val="20"/>
        </w:rPr>
        <w:t>ул. Гоголя, 41, г. Владивосток, Приморский край, Россия, 690014</w:t>
      </w:r>
    </w:p>
    <w:p w:rsidR="00517711" w:rsidRDefault="00F815BE">
      <w:pPr>
        <w:spacing w:after="0" w:line="240" w:lineRule="auto"/>
        <w:ind w:firstLine="709"/>
        <w:jc w:val="both"/>
        <w:rPr>
          <w:rFonts w:ascii="Times New Roman" w:hAnsi="Times New Roman"/>
          <w:i/>
        </w:rPr>
      </w:pPr>
      <w:r>
        <w:rPr>
          <w:rFonts w:ascii="Times New Roman" w:hAnsi="Times New Roman"/>
          <w:i/>
        </w:rPr>
        <w:t>Последние несколько лет в Российской Федерации остро стоит вопрос, связанный с лишением вещных прав на недвижимое имущество от добросовестных приобретателей. Отмечается рост жалоб, поданных в Европейский суд с целью обеспечения защиты нарушенных прав граждан по искам представителей государства. Основной задачей государства по данной проблеме должно быть согласование подхода в разрешении подобных дел с позицией ЕСПЧ и положений Конвенции о защите прав человека и основных свобод.</w:t>
      </w:r>
    </w:p>
    <w:p w:rsidR="00517711" w:rsidRDefault="00F815BE">
      <w:pPr>
        <w:spacing w:line="240" w:lineRule="auto"/>
        <w:ind w:firstLine="709"/>
        <w:jc w:val="both"/>
        <w:rPr>
          <w:rFonts w:ascii="Times New Roman" w:hAnsi="Times New Roman"/>
        </w:rPr>
      </w:pPr>
      <w:r>
        <w:rPr>
          <w:rFonts w:ascii="Times New Roman" w:hAnsi="Times New Roman"/>
          <w:b/>
          <w:i/>
        </w:rPr>
        <w:t>Ключевые слова и словосочетания:</w:t>
      </w:r>
      <w:r>
        <w:rPr>
          <w:rFonts w:ascii="Times New Roman" w:hAnsi="Times New Roman"/>
        </w:rPr>
        <w:t xml:space="preserve"> </w:t>
      </w:r>
      <w:r>
        <w:rPr>
          <w:rFonts w:ascii="Times New Roman" w:hAnsi="Times New Roman"/>
          <w:i/>
        </w:rPr>
        <w:t>лишение вещных прав, суды РФ, позиция ЕСПЧ, недвижимое имущество, добросовестный приобретатель, жилые помещения.</w:t>
      </w:r>
    </w:p>
    <w:p w:rsidR="00517711" w:rsidRDefault="00F815BE">
      <w:pPr>
        <w:keepNext/>
        <w:spacing w:before="240" w:after="240" w:line="240" w:lineRule="auto"/>
        <w:jc w:val="center"/>
        <w:outlineLvl w:val="0"/>
        <w:rPr>
          <w:rFonts w:ascii="Book Antiqua" w:eastAsia="Calibri" w:hAnsi="Book Antiqua"/>
          <w:b/>
          <w:bCs/>
          <w:caps/>
          <w:sz w:val="26"/>
          <w:szCs w:val="20"/>
          <w:lang w:val="en-US"/>
        </w:rPr>
      </w:pPr>
      <w:r>
        <w:rPr>
          <w:rFonts w:ascii="Book Antiqua" w:eastAsia="Calibri" w:hAnsi="Book Antiqua"/>
          <w:b/>
          <w:bCs/>
          <w:caps/>
          <w:sz w:val="26"/>
          <w:szCs w:val="20"/>
          <w:lang w:val="en-US"/>
        </w:rPr>
        <w:t>Correspondence of the algorithm for making court decisions related to the deprivation of real rights to immovable property in the courts of the Russian Federation and the ECHR</w:t>
      </w:r>
    </w:p>
    <w:p w:rsidR="00517711" w:rsidRDefault="00F815BE">
      <w:pPr>
        <w:spacing w:after="0" w:line="240" w:lineRule="auto"/>
        <w:ind w:firstLine="709"/>
        <w:jc w:val="both"/>
        <w:rPr>
          <w:rFonts w:ascii="Times New Roman" w:hAnsi="Times New Roman"/>
          <w:i/>
          <w:lang w:val="en-US"/>
        </w:rPr>
      </w:pPr>
      <w:r>
        <w:rPr>
          <w:rFonts w:ascii="Times New Roman" w:hAnsi="Times New Roman"/>
          <w:i/>
          <w:lang w:val="en-US"/>
        </w:rPr>
        <w:t>The last few years in the Russian Federation the issue of depriving real rights to real estate from bona fide purchasers is acute. There is an increase in complaints filed with the European Court in order to protect the violated rights of citizens on claims of state representatives. The main task of the state on this issue should be to harmonize the approach in resolving these cases with the position of the ECHR and the provisions of the Convention for the Protection of Human Rights and Fundamental Freedoms.</w:t>
      </w:r>
    </w:p>
    <w:p w:rsidR="00517711" w:rsidRDefault="00F815BE">
      <w:pPr>
        <w:spacing w:after="0" w:line="240" w:lineRule="auto"/>
        <w:ind w:firstLine="709"/>
        <w:jc w:val="both"/>
        <w:rPr>
          <w:rFonts w:ascii="Times New Roman" w:hAnsi="Times New Roman"/>
          <w:i/>
          <w:lang w:val="en-US"/>
        </w:rPr>
      </w:pPr>
      <w:r>
        <w:rPr>
          <w:rFonts w:ascii="Times New Roman" w:hAnsi="Times New Roman"/>
          <w:b/>
          <w:i/>
          <w:lang w:val="en-US"/>
        </w:rPr>
        <w:t xml:space="preserve">Keywords: </w:t>
      </w:r>
      <w:r>
        <w:rPr>
          <w:rFonts w:ascii="Times New Roman" w:hAnsi="Times New Roman"/>
          <w:i/>
          <w:lang w:val="en-US"/>
        </w:rPr>
        <w:t>deprivation of property rights, the courts of the Russian Federation, the position of the ECHR, real estate, conscientious acquirer, living quarters.</w:t>
      </w:r>
    </w:p>
    <w:p w:rsidR="00517711" w:rsidRDefault="00517711">
      <w:pPr>
        <w:spacing w:after="0" w:line="240" w:lineRule="auto"/>
        <w:ind w:firstLine="709"/>
        <w:jc w:val="both"/>
        <w:rPr>
          <w:rFonts w:ascii="Times New Roman" w:hAnsi="Times New Roman"/>
          <w:b/>
          <w:i/>
          <w:sz w:val="20"/>
          <w:lang w:val="en-US"/>
        </w:rPr>
      </w:pPr>
    </w:p>
    <w:p w:rsidR="00517711" w:rsidRDefault="00F815BE">
      <w:pPr>
        <w:spacing w:after="0" w:line="240" w:lineRule="auto"/>
        <w:ind w:firstLine="709"/>
        <w:jc w:val="both"/>
        <w:rPr>
          <w:sz w:val="20"/>
          <w:szCs w:val="20"/>
        </w:rPr>
      </w:pPr>
      <w:r>
        <w:rPr>
          <w:rFonts w:ascii="Times New Roman" w:hAnsi="Times New Roman"/>
          <w:sz w:val="20"/>
          <w:szCs w:val="20"/>
          <w:lang w:eastAsia="ru-RU"/>
        </w:rPr>
        <w:t>Согласно годовым отчетам Европейского суда с 2015 по 2017 года отмечается рост постановлений против России, устанавливающих нарушение прав заявителей на уважение имущества (рис.1).</w:t>
      </w:r>
      <w:r>
        <w:rPr>
          <w:sz w:val="20"/>
          <w:szCs w:val="20"/>
        </w:rPr>
        <w:t xml:space="preserve"> </w:t>
      </w:r>
    </w:p>
    <w:p w:rsidR="00517711" w:rsidRDefault="00F815BE">
      <w:pPr>
        <w:spacing w:after="0" w:line="240" w:lineRule="auto"/>
        <w:ind w:firstLine="709"/>
        <w:jc w:val="both"/>
        <w:rPr>
          <w:rFonts w:ascii="Times New Roman" w:hAnsi="Times New Roman"/>
          <w:sz w:val="20"/>
          <w:szCs w:val="20"/>
          <w:lang w:eastAsia="ru-RU"/>
        </w:rPr>
      </w:pPr>
      <w:r>
        <w:rPr>
          <w:rFonts w:ascii="Times New Roman" w:hAnsi="Times New Roman"/>
          <w:sz w:val="20"/>
          <w:szCs w:val="20"/>
          <w:lang w:eastAsia="ru-RU"/>
        </w:rPr>
        <w:t>Большинство дел связано с изъятием жилых помещений без предоставления компенсации либо заменяющего жилья. Вышеизложенные факты основываются на решениях, принимаемых национальными судами, которые исходя из практики ЕСПЧ налагают на заявителей непропорциональное бремя. На основе этих суждений требуется провести анализ алгоритмов разрешения дел, связанных с лишением вещных прав на недвижимое имущество, в практике судов РФ и ЕСПЧ.</w:t>
      </w:r>
    </w:p>
    <w:p w:rsidR="00517711" w:rsidRDefault="00F815BE">
      <w:pPr>
        <w:widowControl w:val="0"/>
        <w:tabs>
          <w:tab w:val="right" w:pos="709"/>
        </w:tabs>
        <w:spacing w:after="240" w:line="360" w:lineRule="auto"/>
        <w:ind w:left="-848" w:firstLine="709"/>
        <w:jc w:val="center"/>
        <w:rPr>
          <w:rFonts w:ascii="Arial" w:hAnsi="Arial" w:cs="Arial"/>
          <w:sz w:val="20"/>
          <w:szCs w:val="20"/>
        </w:rPr>
      </w:pPr>
      <w:r>
        <w:rPr>
          <w:rFonts w:ascii="Times New Roman" w:hAnsi="Times New Roman"/>
          <w:noProof/>
          <w:sz w:val="20"/>
          <w:szCs w:val="20"/>
          <w:lang w:eastAsia="ru-RU"/>
        </w:rPr>
        <w:lastRenderedPageBreak/>
        <w:drawing>
          <wp:inline distT="0" distB="0" distL="0" distR="0">
            <wp:extent cx="3752848" cy="2428875"/>
            <wp:effectExtent l="0" t="0" r="0" b="0"/>
            <wp:docPr id="97" name="Диаграмма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1"/>
              </a:graphicData>
            </a:graphic>
          </wp:inline>
        </w:drawing>
      </w:r>
    </w:p>
    <w:p w:rsidR="00517711" w:rsidRDefault="00F815BE">
      <w:pPr>
        <w:spacing w:after="0" w:line="240" w:lineRule="auto"/>
        <w:jc w:val="center"/>
        <w:rPr>
          <w:rFonts w:ascii="Times New Roman" w:hAnsi="Times New Roman"/>
          <w:sz w:val="20"/>
          <w:szCs w:val="20"/>
          <w:lang w:eastAsia="ru-RU"/>
        </w:rPr>
      </w:pPr>
      <w:r>
        <w:rPr>
          <w:rFonts w:ascii="Times New Roman" w:hAnsi="Times New Roman"/>
          <w:sz w:val="20"/>
          <w:szCs w:val="20"/>
        </w:rPr>
        <w:t>«Рис.1. Количество вынесенных постановлений по жалобам</w:t>
      </w:r>
      <w:r>
        <w:rPr>
          <w:sz w:val="20"/>
          <w:szCs w:val="20"/>
        </w:rPr>
        <w:t xml:space="preserve"> </w:t>
      </w:r>
      <w:r>
        <w:rPr>
          <w:rFonts w:ascii="Times New Roman" w:hAnsi="Times New Roman"/>
          <w:sz w:val="20"/>
          <w:szCs w:val="20"/>
        </w:rPr>
        <w:t>о нарушении права на уважение собственности за 2013[1],2014[2],2015[3]»</w:t>
      </w:r>
    </w:p>
    <w:p w:rsidR="00517711" w:rsidRDefault="00517711">
      <w:pPr>
        <w:spacing w:after="0" w:line="240" w:lineRule="auto"/>
        <w:jc w:val="both"/>
        <w:rPr>
          <w:rFonts w:ascii="Times New Roman" w:hAnsi="Times New Roman"/>
          <w:sz w:val="20"/>
          <w:szCs w:val="20"/>
          <w:lang w:eastAsia="ru-RU"/>
        </w:rPr>
      </w:pP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 перечне поручений по итогам пленарного заседания Общественной палаты за 2015 год ВС РФ было рекомендовано обобщить судебную практику по виндикационным искам органов государственной власти РФ или местного самоуправления [4].</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 2015 году Президиумом ВС РФ был утверждён «Обзор судебной практики по делам, связанным с истребованием жилых помещений от граждан по искам государственных органов и органов местного самоуправления» [5], в котором установлен порядок обстоятельств, подлежащих рассмотрению судом, способствующих принятию решения по делу, к ним относятся:</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1 Установление наличия либо отсутствия права собственности у лица, обратившегося с иском. Бремя доказывания наличия права собственности или законного владения спорным имуществом лежит на истце. В случае если отсутствует государственная регистрация имущества истца, последний может доказывать право собственности с помощью любых средств, предусмотренных процессуальным законодательством, которые могут подтверждать возникновение этого права. </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2 Утрата имущества собственником или лицом, которому оно было передано собственником во владение, по воле или помимо их воли. Факт утраты не подлежит доказыванию ни одной из сторон, тем самым он основывается лишь исходя из оценки суда.</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3 Факт возмездности или отсутствия такового в момент приобретения жилого помещения ответчиком. Помимо доказывания возмездного характера получения имущества, ответчиком могут быть предъявлены доказательства воли истца на передачу вещных прав.</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4 Установление у ответчика (незаконного владельца) статуса добросовестного владельца. Бремя доказывания данного критерия распределяется между сторонами, так истец должен доказать, что другая сторона является недобросовестным приобретателем, ответчик, что является добросовестным. В связи с этим можно сделать вывод что недобросовестным приобретателем может быть признанно лицо, которое не проявило «добрую волю, разумную осмотрительность и осторожность» [6] при заключении сделок с недвижимым имуществом. «Собственник вправе опровергнуть возражение приобретателя о его добросовестности, доказав, что при совершении сделки приобретатель должен был усомниться в праве продавца на отчуждение имущества.» [7]. К действиям, не ставящим под сомнение добросовестность лица могут быть: ознакомление со сведениями из ЕГРП, приобретение имущества по цене, приближенной к рыночной стоимости, непосредственный осмотр жилого помещения и т.д.</w:t>
      </w:r>
    </w:p>
    <w:p w:rsidR="00517711" w:rsidRDefault="00F815BE">
      <w:pPr>
        <w:pStyle w:val="af4"/>
        <w:ind w:left="0" w:firstLine="709"/>
        <w:jc w:val="both"/>
        <w:rPr>
          <w:rFonts w:ascii="Times New Roman" w:hAnsi="Times New Roman"/>
          <w:sz w:val="20"/>
          <w:szCs w:val="20"/>
        </w:rPr>
      </w:pPr>
      <w:r>
        <w:rPr>
          <w:rFonts w:ascii="Times New Roman" w:hAnsi="Times New Roman"/>
          <w:sz w:val="20"/>
          <w:szCs w:val="20"/>
        </w:rPr>
        <w:t>Для того чтобы установить наличие либо отсутствие нарушенного права, практикой ЕСПЧ был выработан несколько отличный алгоритм приятия решений по данной категории дел необходимый для вынесения окончательного решения – постановления.</w:t>
      </w:r>
    </w:p>
    <w:p w:rsidR="00517711" w:rsidRDefault="00F815BE">
      <w:pPr>
        <w:pStyle w:val="af4"/>
        <w:ind w:left="0" w:firstLine="709"/>
        <w:jc w:val="both"/>
        <w:rPr>
          <w:rFonts w:ascii="Times New Roman" w:hAnsi="Times New Roman"/>
          <w:sz w:val="20"/>
          <w:szCs w:val="20"/>
        </w:rPr>
      </w:pPr>
      <w:r>
        <w:rPr>
          <w:rFonts w:ascii="Times New Roman" w:hAnsi="Times New Roman"/>
          <w:sz w:val="20"/>
          <w:szCs w:val="20"/>
        </w:rPr>
        <w:t xml:space="preserve"> 1 Наличие фактических прав на конкретное имущество у заявившего об их защите лица. Данный критерий схож с тем что установлен Обзором судебной практики ВС РФ от 25.11.2015, что доказывает важность наличия спорного имущество, в отношении которого будет рассматриваться дело.</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2 Наличие вмешательства государства, которое может выражаться в действиях по отношению к имуществу, которое имелось на праве собственности лица, например, аннулированию прав на имущество, и дальнейшей передачи в собственность города.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3 Одним из определяющих вопросов, на который должен ответить Европейский суд, - это законность применяемых государством мер, то есть любое вмешательство в право собственности должно, прежде всего, </w:t>
      </w:r>
      <w:r>
        <w:rPr>
          <w:rFonts w:ascii="Times New Roman" w:hAnsi="Times New Roman" w:cs="Times New Roman"/>
          <w:sz w:val="20"/>
          <w:szCs w:val="20"/>
        </w:rPr>
        <w:lastRenderedPageBreak/>
        <w:t>соответствовать национальному законодательству, иметь основания и не быть произвольным. Данный алгоритм имеет свое отражение в ст. 302 ГК РФ, однако на сегодняшний день она вызывает не мало дискуссии. Во-первых, получения недвижимого имущества в собственность граждан происходит на основе фальшивых документов, о которых не мог знать добросовестный приобретатель. Во-вторых, подписанием договора об отчуждении орган, исполняющий полномочия собственника, выражает свою волю на отчуждение имущества. До сих пор суды допускают ошибки при применении норм в подобных спорах. В отношении таких дел ЕСПЧ занимает вполне определенную позицию и говорит, что последствия любой ошибки, допущенной государственным органом, должно нести государство, а не устраняться за счет соответствующего лица. «Именно государство обладает исключительной компетенцией по определению условий и процедур, в порядке которых оно отчуждает свои активы лицам, которые, как оно считает, имеют на это право, а также обладает исключительной компетенцией по осуществлению надзора за соблюдением этих условий» [8].</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4 Цель вмешательства должна быть правомерной, осуществляться в интересах общества и удовлетворять им. Основной проблемой данного вопроса можно выделить отношения, складывающиеся между обществом в целом и отдельного круга лица или одного лица. В процессе реализации основных прав возникает конфликт интересов, который государство должно разрешить, не допуская ущемления прав ни одной из сторон. В решения российских судов данный критерий не рассматривается.</w:t>
      </w:r>
    </w:p>
    <w:p w:rsidR="00517711" w:rsidRDefault="00F815BE">
      <w:pPr>
        <w:pStyle w:val="af4"/>
        <w:ind w:left="0" w:firstLine="709"/>
        <w:jc w:val="both"/>
        <w:rPr>
          <w:rFonts w:ascii="Times New Roman" w:eastAsia="Calibri" w:hAnsi="Times New Roman"/>
          <w:sz w:val="20"/>
          <w:szCs w:val="20"/>
        </w:rPr>
      </w:pPr>
      <w:r>
        <w:rPr>
          <w:rFonts w:ascii="Times New Roman" w:hAnsi="Times New Roman"/>
          <w:sz w:val="20"/>
          <w:szCs w:val="20"/>
        </w:rPr>
        <w:t xml:space="preserve">5 </w:t>
      </w:r>
      <w:r>
        <w:rPr>
          <w:rFonts w:ascii="Times New Roman" w:eastAsia="Calibri" w:hAnsi="Times New Roman"/>
          <w:sz w:val="20"/>
          <w:szCs w:val="20"/>
        </w:rPr>
        <w:t xml:space="preserve">Законности вмешательства в право на уважение собственности, состоит в установлении того, насколько соблюден справедливый баланс между частными и публичными интересами. В случае несоблюдения справедливого баланса при наличии нарушения либо материального, либо процессуального аспекта, можно говорить о нарушении права на уважения имущества, даже при условии соответствия остальным критериям приемлемости жалоб. Однако исключительно, если у заявителя не имелось возможности получить компенсацию через требования к третьим лицам. </w:t>
      </w:r>
    </w:p>
    <w:p w:rsidR="00517711" w:rsidRDefault="00F815BE">
      <w:pPr>
        <w:pStyle w:val="af4"/>
        <w:ind w:left="0" w:firstLine="709"/>
        <w:jc w:val="both"/>
        <w:rPr>
          <w:rFonts w:ascii="Times New Roman" w:eastAsia="Calibri" w:hAnsi="Times New Roman"/>
          <w:sz w:val="20"/>
          <w:szCs w:val="20"/>
        </w:rPr>
      </w:pPr>
      <w:r>
        <w:rPr>
          <w:rFonts w:ascii="Times New Roman" w:eastAsia="Calibri" w:hAnsi="Times New Roman"/>
          <w:sz w:val="20"/>
          <w:szCs w:val="20"/>
        </w:rPr>
        <w:t xml:space="preserve">В проанализированных случаях установление нахождения лица, чьи мошеннические действия привели к изъятию жилого помещения у добросовестного приобретателя, не представляется возможным. Российское законодательство предусматривает разовую выплату добросовестным приобретателям, от которых было истребовано жилое помещение, в размере до 1 миллиона рублей [9], что не является соразмерной компенсаций для заявителей, тем самым Европейский суд в своих постановления устанавливает наличие нарушенного права в части несоблюдения справедливого баланса. </w:t>
      </w:r>
    </w:p>
    <w:p w:rsidR="00517711" w:rsidRDefault="00F815BE">
      <w:pPr>
        <w:pStyle w:val="af4"/>
        <w:ind w:left="0" w:firstLine="709"/>
        <w:jc w:val="both"/>
        <w:rPr>
          <w:rFonts w:ascii="Times New Roman" w:eastAsia="Calibri" w:hAnsi="Times New Roman"/>
          <w:sz w:val="20"/>
          <w:szCs w:val="20"/>
        </w:rPr>
      </w:pPr>
      <w:r>
        <w:rPr>
          <w:rFonts w:ascii="Times New Roman" w:eastAsia="Calibri" w:hAnsi="Times New Roman"/>
          <w:sz w:val="20"/>
          <w:szCs w:val="20"/>
        </w:rPr>
        <w:t>Следует признать, что анализ алгоритма разрешения дел, связанных с лишением вещных прав на жилое помещение, позволит более качественно обеспечить защитой права и интересы добросовестных приобретателей. Важно учитывать, что Российскими судами не предусматриваются выплаты соразмерной компенсации, в случае если решение принимается не в пользу ответчика, которая в будущем может является основанием подачи жалобы в Европейский суд. Совершенствование правовых механизмов защиты добросовестных приобретателей приватизированных ранее жилых помещений позволит уменьшить как подачу исков в российские суды, так и в ЕСПЧ.</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  1. Годовой отчет Европейского суда по правам человека 2013 год. [Электронный ресурс] // Европейский суд по правам человека: официал. сайт. 2013. – 204 с. – Режим доступа: </w:t>
      </w:r>
      <w:hyperlink r:id="rId182" w:history="1">
        <w:r>
          <w:rPr>
            <w:rStyle w:val="aa"/>
            <w:rFonts w:ascii="Times New Roman" w:hAnsi="Times New Roman" w:cs="Times New Roman"/>
            <w:color w:val="000000"/>
            <w:sz w:val="20"/>
            <w:szCs w:val="20"/>
          </w:rPr>
          <w:t>https://www.echr.coe.int/Documents/Annual_report_2013_ENG.pdf/</w:t>
        </w:r>
      </w:hyperlink>
      <w:r>
        <w:rPr>
          <w:rFonts w:ascii="Times New Roman" w:hAnsi="Times New Roman" w:cs="Times New Roman"/>
          <w:sz w:val="20"/>
          <w:szCs w:val="20"/>
        </w:rPr>
        <w:t>.</w:t>
      </w:r>
    </w:p>
    <w:p w:rsidR="00517711" w:rsidRDefault="00F815BE">
      <w:pPr>
        <w:pStyle w:val="aff2"/>
        <w:spacing w:after="0" w:line="240" w:lineRule="auto"/>
        <w:ind w:firstLine="709"/>
        <w:jc w:val="both"/>
        <w:rPr>
          <w:rFonts w:ascii="Times New Roman" w:hAnsi="Times New Roman"/>
        </w:rPr>
      </w:pPr>
      <w:r>
        <w:rPr>
          <w:rFonts w:ascii="Times New Roman" w:hAnsi="Times New Roman"/>
        </w:rPr>
        <w:t>2.</w:t>
      </w:r>
      <w:r>
        <w:rPr>
          <w:rStyle w:val="aff4"/>
        </w:rPr>
        <w:t xml:space="preserve"> </w:t>
      </w:r>
      <w:r>
        <w:rPr>
          <w:rFonts w:ascii="Times New Roman" w:hAnsi="Times New Roman"/>
        </w:rPr>
        <w:t xml:space="preserve">Годовой отчет Европейского суда по правам человека 2014 год. [Электронный ресурс] // Европейский суд по правам человека: официал. сайт. 2014. – 178 с. – Режим доступа: </w:t>
      </w:r>
      <w:hyperlink r:id="rId183" w:history="1">
        <w:r>
          <w:rPr>
            <w:rStyle w:val="aa"/>
            <w:rFonts w:ascii="Times New Roman" w:hAnsi="Times New Roman"/>
            <w:color w:val="000000"/>
          </w:rPr>
          <w:t>https://www.echr.coe.int/Documents/Annual_Report_2014_ENG.pdf</w:t>
        </w:r>
      </w:hyperlink>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3. Годовой отчет Европейского суда по правам человека 2015 год. [Электронный ресурс] // Европейский суд по правам человека: официал. сайт. 2015. – 200 с. – Режим доступа: </w:t>
      </w:r>
      <w:hyperlink r:id="rId184" w:history="1">
        <w:r>
          <w:rPr>
            <w:rStyle w:val="aa"/>
            <w:rFonts w:ascii="Times New Roman" w:hAnsi="Times New Roman" w:cs="Times New Roman"/>
            <w:color w:val="000000"/>
            <w:sz w:val="20"/>
            <w:szCs w:val="20"/>
          </w:rPr>
          <w:t>https://www.echr.coe.int/Documents/Annual_Report_2015_ENG.pdf</w:t>
        </w:r>
      </w:hyperlink>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4. Перечень поручений по итогам пленарного заседания Общественной палаты от 23 июня 2015 года. [Электронный ресурс] // Официальные сетевые ресурсы Президента России. – Режим доступа: </w:t>
      </w:r>
      <w:hyperlink r:id="rId185" w:history="1">
        <w:r>
          <w:rPr>
            <w:rStyle w:val="aa"/>
            <w:rFonts w:ascii="Times New Roman" w:hAnsi="Times New Roman" w:cs="Times New Roman"/>
            <w:color w:val="000000"/>
            <w:sz w:val="20"/>
            <w:szCs w:val="20"/>
          </w:rPr>
          <w:t>http://kremlin.ru/events/president/news/50118</w:t>
        </w:r>
      </w:hyperlink>
    </w:p>
    <w:p w:rsidR="00517711" w:rsidRDefault="00F815BE">
      <w:pPr>
        <w:spacing w:after="0" w:line="240" w:lineRule="auto"/>
        <w:ind w:firstLine="709"/>
        <w:jc w:val="both"/>
        <w:rPr>
          <w:rStyle w:val="aa"/>
          <w:rFonts w:ascii="Times New Roman" w:hAnsi="Times New Roman" w:cs="Times New Roman"/>
          <w:sz w:val="20"/>
          <w:szCs w:val="20"/>
        </w:rPr>
      </w:pPr>
      <w:r>
        <w:rPr>
          <w:rFonts w:ascii="Times New Roman" w:hAnsi="Times New Roman" w:cs="Times New Roman"/>
          <w:sz w:val="20"/>
          <w:szCs w:val="20"/>
        </w:rPr>
        <w:t xml:space="preserve">5.  Обзор судебной практики по делам, связанным с истребованием жилых помещений от граждан по искам государственных органов и органов местного самоуправления (утв. Президиумом Верховного Суда РФ 25 ноября 2015 г.) [Электронный ресурс] // СПС «Гарант». – Режим доступа: </w:t>
      </w:r>
      <w:hyperlink w:anchor="ixzz5Ciil0UMq" w:tooltip="Текущий документ" w:history="1">
        <w:r>
          <w:rPr>
            <w:rStyle w:val="aa"/>
            <w:rFonts w:ascii="Times New Roman" w:hAnsi="Times New Roman" w:cs="Times New Roman"/>
            <w:color w:val="000000"/>
            <w:sz w:val="20"/>
            <w:szCs w:val="20"/>
          </w:rPr>
          <w:t>http://base.garant.ru/71258814/#ixzz5Ciil0UMq</w:t>
        </w:r>
      </w:hyperlink>
    </w:p>
    <w:p w:rsidR="00517711" w:rsidRDefault="00F815BE">
      <w:pPr>
        <w:spacing w:after="0" w:line="240" w:lineRule="auto"/>
        <w:ind w:firstLine="709"/>
        <w:jc w:val="both"/>
        <w:rPr>
          <w:rFonts w:ascii="Times New Roman" w:hAnsi="Times New Roman" w:cs="Times New Roman"/>
          <w:bCs/>
          <w:sz w:val="20"/>
          <w:szCs w:val="20"/>
        </w:rPr>
      </w:pPr>
      <w:r>
        <w:rPr>
          <w:rFonts w:ascii="Times New Roman" w:hAnsi="Times New Roman" w:cs="Times New Roman"/>
          <w:bCs/>
          <w:sz w:val="20"/>
          <w:szCs w:val="20"/>
        </w:rPr>
        <w:t xml:space="preserve">6. По делу о проверке конституционности положений пунктов 1 и 2 статьи 167 Гражданского кодекса Российской Федерации в связи с жалобами граждан О.М. Мариничевой, А.В. Немировской, З.А. Скляновой, Р.М. Скляновой и В.М. Ширяева: постановление Конституционного Суда РФ от 21.04.2003 № 6-П [Электронный ресурс] // СПС «Консультант Плюс». – Режим доступа: </w:t>
      </w:r>
      <w:hyperlink w:anchor="dst0" w:tooltip="Текущий документ" w:history="1">
        <w:r>
          <w:rPr>
            <w:rStyle w:val="aa"/>
            <w:rFonts w:ascii="Times New Roman" w:hAnsi="Times New Roman" w:cs="Times New Roman"/>
            <w:bCs/>
            <w:color w:val="000000"/>
            <w:sz w:val="20"/>
            <w:szCs w:val="20"/>
          </w:rPr>
          <w:t>http://www.consultant.ru/document/cons_doc_LAW_41943/#dst0</w:t>
        </w:r>
      </w:hyperlink>
      <w:r>
        <w:rPr>
          <w:rFonts w:ascii="Times New Roman" w:hAnsi="Times New Roman" w:cs="Times New Roman"/>
          <w:bCs/>
          <w:sz w:val="20"/>
          <w:szCs w:val="20"/>
        </w:rPr>
        <w:t>.</w:t>
      </w:r>
    </w:p>
    <w:p w:rsidR="00517711" w:rsidRDefault="00F815BE">
      <w:pPr>
        <w:spacing w:after="0" w:line="240" w:lineRule="auto"/>
        <w:ind w:firstLine="709"/>
        <w:jc w:val="both"/>
        <w:rPr>
          <w:rStyle w:val="aa"/>
          <w:rFonts w:ascii="Times New Roman" w:hAnsi="Times New Roman" w:cs="Times New Roman"/>
          <w:sz w:val="20"/>
          <w:szCs w:val="20"/>
        </w:rPr>
      </w:pPr>
      <w:r>
        <w:rPr>
          <w:rFonts w:ascii="Times New Roman" w:hAnsi="Times New Roman" w:cs="Times New Roman"/>
          <w:bCs/>
          <w:sz w:val="20"/>
          <w:szCs w:val="20"/>
        </w:rPr>
        <w:lastRenderedPageBreak/>
        <w:t xml:space="preserve">7. </w:t>
      </w:r>
      <w:r>
        <w:rPr>
          <w:rFonts w:ascii="Times New Roman" w:hAnsi="Times New Roman" w:cs="Times New Roman"/>
          <w:sz w:val="20"/>
          <w:szCs w:val="20"/>
        </w:rPr>
        <w:t xml:space="preserve">Решение от 22.05.2016 г. по делу № 2-2111/2016 [Электронный ресурс] // Судебные и нормативные акты РФ. – Режим доступа: </w:t>
      </w:r>
      <w:hyperlink r:id="rId186" w:history="1">
        <w:r>
          <w:rPr>
            <w:rStyle w:val="aa"/>
            <w:rFonts w:ascii="Times New Roman" w:hAnsi="Times New Roman" w:cs="Times New Roman"/>
            <w:color w:val="000000"/>
            <w:sz w:val="20"/>
            <w:szCs w:val="20"/>
          </w:rPr>
          <w:t>http://sudact.ru/regular/doc/otvgZBn2yr5/</w:t>
        </w:r>
      </w:hyperlink>
    </w:p>
    <w:p w:rsidR="00517711" w:rsidRDefault="00F815BE">
      <w:pPr>
        <w:spacing w:after="0" w:line="240" w:lineRule="auto"/>
        <w:ind w:firstLine="709"/>
        <w:jc w:val="both"/>
        <w:rPr>
          <w:rStyle w:val="aa"/>
          <w:rFonts w:ascii="Times New Roman" w:hAnsi="Times New Roman" w:cs="Times New Roman"/>
          <w:sz w:val="20"/>
          <w:szCs w:val="20"/>
        </w:rPr>
      </w:pPr>
      <w:r>
        <w:rPr>
          <w:rFonts w:ascii="Times New Roman" w:hAnsi="Times New Roman" w:cs="Times New Roman"/>
          <w:sz w:val="20"/>
          <w:szCs w:val="20"/>
        </w:rPr>
        <w:t xml:space="preserve">8. Постановление по делу «Гладышева против России» от 6 декабря 2011 г. [Электронный ресурс] // офиц. сайт Минюст РФ. – Режим доступа: </w:t>
      </w:r>
      <w:hyperlink r:id="rId187" w:history="1">
        <w:r>
          <w:rPr>
            <w:rStyle w:val="aa"/>
            <w:rFonts w:ascii="Times New Roman" w:hAnsi="Times New Roman" w:cs="Times New Roman"/>
            <w:color w:val="000000"/>
            <w:sz w:val="20"/>
            <w:szCs w:val="20"/>
          </w:rPr>
          <w:t>http://minjust.ru/node/2624</w:t>
        </w:r>
      </w:hyperlink>
    </w:p>
    <w:p w:rsidR="00517711" w:rsidRDefault="00F815BE">
      <w:pPr>
        <w:spacing w:after="0" w:line="240" w:lineRule="auto"/>
        <w:ind w:firstLine="709"/>
        <w:jc w:val="both"/>
        <w:rPr>
          <w:rStyle w:val="aa"/>
          <w:rFonts w:ascii="Times New Roman" w:hAnsi="Times New Roman" w:cs="Times New Roman"/>
          <w:color w:val="000000"/>
          <w:sz w:val="20"/>
          <w:szCs w:val="20"/>
        </w:rPr>
      </w:pPr>
      <w:r>
        <w:rPr>
          <w:rFonts w:ascii="Times New Roman" w:hAnsi="Times New Roman" w:cs="Times New Roman"/>
          <w:sz w:val="20"/>
          <w:szCs w:val="20"/>
        </w:rPr>
        <w:t xml:space="preserve">9. О государственной регистрации прав на недвижимое имущество и сделок с ним: федеральный закон от 21 июля 1997 г. № 122-ФЗ (ред. от 03.07.2016) [Электронный ресурс] // СПС «Консультант Плюс». – Режим доступа: </w:t>
      </w:r>
      <w:hyperlink r:id="rId188" w:history="1">
        <w:r>
          <w:rPr>
            <w:rStyle w:val="aa"/>
            <w:rFonts w:ascii="Times New Roman" w:hAnsi="Times New Roman" w:cs="Times New Roman"/>
            <w:color w:val="000000"/>
            <w:sz w:val="20"/>
            <w:szCs w:val="20"/>
          </w:rPr>
          <w:t>http://www.consultant.ru/document/cons_doc_LAW_15287/</w:t>
        </w:r>
      </w:hyperlink>
    </w:p>
    <w:p w:rsidR="00517711" w:rsidRDefault="00517711">
      <w:pPr>
        <w:spacing w:after="0" w:line="240" w:lineRule="auto"/>
        <w:jc w:val="both"/>
        <w:rPr>
          <w:rStyle w:val="aa"/>
          <w:rFonts w:ascii="Times New Roman" w:hAnsi="Times New Roman" w:cs="Times New Roman"/>
          <w:color w:val="000000"/>
          <w:sz w:val="20"/>
          <w:szCs w:val="20"/>
        </w:rPr>
      </w:pPr>
    </w:p>
    <w:p w:rsidR="00517711" w:rsidRDefault="00F815BE">
      <w:pPr>
        <w:pageBreakBefore/>
        <w:spacing w:after="0" w:line="360" w:lineRule="auto"/>
        <w:rPr>
          <w:rFonts w:ascii="Times New Roman" w:hAnsi="Times New Roman"/>
          <w:b/>
          <w:sz w:val="20"/>
          <w:szCs w:val="24"/>
        </w:rPr>
      </w:pPr>
      <w:r>
        <w:rPr>
          <w:rFonts w:ascii="Times New Roman" w:hAnsi="Times New Roman"/>
          <w:b/>
          <w:sz w:val="20"/>
          <w:szCs w:val="24"/>
        </w:rPr>
        <w:lastRenderedPageBreak/>
        <w:t>Рубрика: Актуальные проблемы публичного права</w:t>
      </w:r>
    </w:p>
    <w:p w:rsidR="00517711" w:rsidRDefault="00F815BE">
      <w:pPr>
        <w:spacing w:after="100" w:afterAutospacing="1" w:line="360" w:lineRule="auto"/>
        <w:rPr>
          <w:rFonts w:ascii="Times New Roman" w:hAnsi="Times New Roman"/>
          <w:sz w:val="20"/>
          <w:szCs w:val="24"/>
        </w:rPr>
      </w:pPr>
      <w:r>
        <w:rPr>
          <w:rFonts w:ascii="Times New Roman" w:hAnsi="Times New Roman"/>
          <w:sz w:val="20"/>
          <w:szCs w:val="24"/>
        </w:rPr>
        <w:t>УДК 343.1</w:t>
      </w:r>
    </w:p>
    <w:p w:rsidR="00517711" w:rsidRDefault="00F815BE">
      <w:pPr>
        <w:spacing w:after="0" w:line="240" w:lineRule="auto"/>
        <w:jc w:val="center"/>
        <w:rPr>
          <w:rFonts w:ascii="Book Antiqua" w:hAnsi="Book Antiqua"/>
          <w:b/>
          <w:sz w:val="26"/>
          <w:szCs w:val="26"/>
        </w:rPr>
      </w:pPr>
      <w:r>
        <w:rPr>
          <w:rFonts w:ascii="Book Antiqua" w:hAnsi="Book Antiqua"/>
          <w:b/>
          <w:sz w:val="26"/>
          <w:szCs w:val="26"/>
        </w:rPr>
        <w:t>ОСОБЕННОСТИ ПРИВЛЕЧЕНИЯ В РФ СУБЪЕКТОВ ПРЕДПРИНИМАТЕЛЬСКОЙ ДЕЯТЕЛЬНОСТИ К ОТВЕТСТВЕННОСТИ ЗА НЕЗАКОННЫЙ СБРОС ОТХОДОВ С МОРСКИХ СУДОВ</w:t>
      </w:r>
    </w:p>
    <w:p w:rsidR="00517711" w:rsidRDefault="00517711">
      <w:pPr>
        <w:spacing w:after="0" w:line="360" w:lineRule="auto"/>
        <w:jc w:val="center"/>
        <w:rPr>
          <w:rFonts w:ascii="Times New Roman" w:hAnsi="Times New Roman"/>
          <w:sz w:val="24"/>
          <w:szCs w:val="24"/>
        </w:rPr>
      </w:pPr>
    </w:p>
    <w:p w:rsidR="00517711" w:rsidRDefault="00F815BE">
      <w:pPr>
        <w:spacing w:after="0" w:line="240" w:lineRule="auto"/>
        <w:jc w:val="center"/>
        <w:rPr>
          <w:rFonts w:ascii="Arial" w:hAnsi="Arial" w:cs="Arial"/>
          <w:b/>
          <w:sz w:val="24"/>
          <w:szCs w:val="24"/>
        </w:rPr>
      </w:pPr>
      <w:r>
        <w:rPr>
          <w:rFonts w:ascii="Arial" w:hAnsi="Arial" w:cs="Arial"/>
          <w:b/>
          <w:sz w:val="24"/>
          <w:szCs w:val="24"/>
        </w:rPr>
        <w:t>Самойлов Максим Анатольевич,</w:t>
      </w:r>
    </w:p>
    <w:p w:rsidR="00517711" w:rsidRDefault="00F815BE">
      <w:pPr>
        <w:spacing w:after="0" w:line="240" w:lineRule="auto"/>
        <w:jc w:val="center"/>
        <w:rPr>
          <w:rFonts w:ascii="Arial" w:hAnsi="Arial" w:cs="Arial"/>
          <w:sz w:val="24"/>
          <w:szCs w:val="24"/>
        </w:rPr>
      </w:pPr>
      <w:r>
        <w:rPr>
          <w:rFonts w:ascii="Arial" w:hAnsi="Arial" w:cs="Arial"/>
          <w:sz w:val="24"/>
          <w:szCs w:val="24"/>
        </w:rPr>
        <w:t>БЮП 14-01, курс 4 Институт права</w:t>
      </w:r>
    </w:p>
    <w:p w:rsidR="00517711" w:rsidRDefault="00517711">
      <w:pPr>
        <w:spacing w:after="0" w:line="240" w:lineRule="auto"/>
        <w:jc w:val="center"/>
        <w:rPr>
          <w:rFonts w:ascii="Times New Roman" w:hAnsi="Times New Roman"/>
          <w:i/>
          <w:sz w:val="21"/>
          <w:szCs w:val="21"/>
        </w:rPr>
      </w:pPr>
    </w:p>
    <w:p w:rsidR="00517711" w:rsidRDefault="00F815BE">
      <w:pPr>
        <w:spacing w:after="0" w:line="240" w:lineRule="auto"/>
        <w:jc w:val="center"/>
        <w:rPr>
          <w:rFonts w:ascii="Times New Roman" w:hAnsi="Times New Roman"/>
          <w:i/>
          <w:sz w:val="21"/>
          <w:szCs w:val="21"/>
        </w:rPr>
      </w:pPr>
      <w:r>
        <w:rPr>
          <w:rFonts w:ascii="Times New Roman" w:hAnsi="Times New Roman"/>
          <w:i/>
          <w:sz w:val="21"/>
          <w:szCs w:val="21"/>
        </w:rPr>
        <w:t>Владивостокский государственный университет экономики и сервиса</w:t>
      </w:r>
    </w:p>
    <w:p w:rsidR="00517711" w:rsidRDefault="00F815BE">
      <w:pPr>
        <w:spacing w:after="0" w:line="240" w:lineRule="auto"/>
        <w:jc w:val="center"/>
        <w:rPr>
          <w:rFonts w:ascii="Times New Roman" w:hAnsi="Times New Roman"/>
          <w:i/>
          <w:sz w:val="21"/>
          <w:szCs w:val="21"/>
        </w:rPr>
      </w:pPr>
      <w:r>
        <w:rPr>
          <w:rFonts w:ascii="Times New Roman" w:hAnsi="Times New Roman"/>
          <w:i/>
          <w:sz w:val="21"/>
          <w:szCs w:val="21"/>
        </w:rPr>
        <w:t>Россия. Владивосток</w:t>
      </w:r>
    </w:p>
    <w:p w:rsidR="00517711" w:rsidRDefault="00517711">
      <w:pPr>
        <w:spacing w:after="0" w:line="360" w:lineRule="auto"/>
        <w:jc w:val="center"/>
        <w:rPr>
          <w:rFonts w:ascii="Times New Roman" w:hAnsi="Times New Roman"/>
          <w:sz w:val="24"/>
          <w:szCs w:val="24"/>
        </w:rPr>
      </w:pPr>
    </w:p>
    <w:p w:rsidR="00517711" w:rsidRPr="00BD6187" w:rsidRDefault="00F815BE">
      <w:pPr>
        <w:spacing w:after="0" w:line="240" w:lineRule="auto"/>
        <w:jc w:val="center"/>
        <w:rPr>
          <w:rFonts w:ascii="Times New Roman" w:hAnsi="Times New Roman"/>
          <w:color w:val="000000"/>
          <w:sz w:val="20"/>
          <w:szCs w:val="24"/>
        </w:rPr>
      </w:pPr>
      <w:r>
        <w:rPr>
          <w:rFonts w:ascii="Times New Roman" w:hAnsi="Times New Roman"/>
          <w:color w:val="000000" w:themeColor="text1"/>
          <w:sz w:val="20"/>
          <w:szCs w:val="24"/>
          <w:lang w:val="en-US"/>
        </w:rPr>
        <w:t>E</w:t>
      </w:r>
      <w:r w:rsidRPr="00BD6187">
        <w:rPr>
          <w:rFonts w:ascii="Times New Roman" w:hAnsi="Times New Roman"/>
          <w:color w:val="000000" w:themeColor="text1"/>
          <w:sz w:val="20"/>
          <w:szCs w:val="24"/>
        </w:rPr>
        <w:t>-</w:t>
      </w:r>
      <w:r>
        <w:rPr>
          <w:rFonts w:ascii="Times New Roman" w:hAnsi="Times New Roman"/>
          <w:color w:val="000000" w:themeColor="text1"/>
          <w:sz w:val="20"/>
          <w:szCs w:val="24"/>
          <w:lang w:val="en-US"/>
        </w:rPr>
        <w:t>mail</w:t>
      </w:r>
      <w:r w:rsidRPr="00BD6187">
        <w:rPr>
          <w:rFonts w:ascii="Times New Roman" w:hAnsi="Times New Roman"/>
          <w:color w:val="000000" w:themeColor="text1"/>
          <w:sz w:val="20"/>
          <w:szCs w:val="24"/>
        </w:rPr>
        <w:t xml:space="preserve">: </w:t>
      </w:r>
      <w:hyperlink r:id="rId189" w:history="1">
        <w:r>
          <w:rPr>
            <w:rStyle w:val="aa"/>
            <w:rFonts w:ascii="Times New Roman" w:hAnsi="Times New Roman"/>
            <w:color w:val="000000" w:themeColor="text1"/>
            <w:sz w:val="20"/>
            <w:szCs w:val="24"/>
            <w:lang w:val="en-US"/>
          </w:rPr>
          <w:t>Lets</w:t>
        </w:r>
        <w:r w:rsidRPr="00BD6187">
          <w:rPr>
            <w:rStyle w:val="aa"/>
            <w:rFonts w:ascii="Times New Roman" w:hAnsi="Times New Roman"/>
            <w:color w:val="000000" w:themeColor="text1"/>
            <w:sz w:val="20"/>
            <w:szCs w:val="24"/>
          </w:rPr>
          <w:t>_</w:t>
        </w:r>
        <w:r>
          <w:rPr>
            <w:rStyle w:val="aa"/>
            <w:rFonts w:ascii="Times New Roman" w:hAnsi="Times New Roman"/>
            <w:color w:val="000000" w:themeColor="text1"/>
            <w:sz w:val="20"/>
            <w:szCs w:val="24"/>
            <w:lang w:val="en-US"/>
          </w:rPr>
          <w:t>chat</w:t>
        </w:r>
        <w:r w:rsidRPr="00BD6187">
          <w:rPr>
            <w:rStyle w:val="aa"/>
            <w:rFonts w:ascii="Times New Roman" w:hAnsi="Times New Roman"/>
            <w:color w:val="000000" w:themeColor="text1"/>
            <w:sz w:val="20"/>
            <w:szCs w:val="24"/>
          </w:rPr>
          <w:t>@</w:t>
        </w:r>
        <w:r>
          <w:rPr>
            <w:rStyle w:val="aa"/>
            <w:rFonts w:ascii="Times New Roman" w:hAnsi="Times New Roman"/>
            <w:color w:val="000000" w:themeColor="text1"/>
            <w:sz w:val="20"/>
            <w:szCs w:val="24"/>
            <w:lang w:val="en-US"/>
          </w:rPr>
          <w:t>mail</w:t>
        </w:r>
        <w:r w:rsidRPr="00BD6187">
          <w:rPr>
            <w:rStyle w:val="aa"/>
            <w:rFonts w:ascii="Times New Roman" w:hAnsi="Times New Roman"/>
            <w:color w:val="000000" w:themeColor="text1"/>
            <w:sz w:val="20"/>
            <w:szCs w:val="24"/>
          </w:rPr>
          <w:t>.</w:t>
        </w:r>
        <w:r>
          <w:rPr>
            <w:rStyle w:val="aa"/>
            <w:rFonts w:ascii="Times New Roman" w:hAnsi="Times New Roman"/>
            <w:color w:val="000000" w:themeColor="text1"/>
            <w:sz w:val="20"/>
            <w:szCs w:val="24"/>
            <w:lang w:val="en-US"/>
          </w:rPr>
          <w:t>ru</w:t>
        </w:r>
      </w:hyperlink>
      <w:r w:rsidRPr="00BD6187">
        <w:rPr>
          <w:rFonts w:ascii="Times New Roman" w:hAnsi="Times New Roman"/>
          <w:color w:val="000000" w:themeColor="text1"/>
          <w:sz w:val="20"/>
          <w:szCs w:val="24"/>
        </w:rPr>
        <w:t xml:space="preserve">; </w:t>
      </w:r>
      <w:r>
        <w:rPr>
          <w:rFonts w:ascii="Times New Roman" w:hAnsi="Times New Roman"/>
          <w:color w:val="000000" w:themeColor="text1"/>
          <w:sz w:val="20"/>
          <w:szCs w:val="24"/>
        </w:rPr>
        <w:t>тел</w:t>
      </w:r>
      <w:r w:rsidRPr="00BD6187">
        <w:rPr>
          <w:rFonts w:ascii="Times New Roman" w:hAnsi="Times New Roman"/>
          <w:color w:val="000000" w:themeColor="text1"/>
          <w:sz w:val="20"/>
          <w:szCs w:val="24"/>
        </w:rPr>
        <w:t>.: +7</w:t>
      </w:r>
      <w:r>
        <w:rPr>
          <w:rFonts w:ascii="Times New Roman" w:hAnsi="Times New Roman"/>
          <w:color w:val="000000" w:themeColor="text1"/>
          <w:sz w:val="20"/>
          <w:szCs w:val="24"/>
          <w:lang w:val="en-US"/>
        </w:rPr>
        <w:t> </w:t>
      </w:r>
      <w:r w:rsidRPr="00BD6187">
        <w:rPr>
          <w:rFonts w:ascii="Times New Roman" w:hAnsi="Times New Roman"/>
          <w:color w:val="000000" w:themeColor="text1"/>
          <w:sz w:val="20"/>
          <w:szCs w:val="24"/>
        </w:rPr>
        <w:t>9147398589</w:t>
      </w:r>
    </w:p>
    <w:p w:rsidR="00517711" w:rsidRDefault="00F815BE">
      <w:pPr>
        <w:spacing w:after="0" w:line="240" w:lineRule="auto"/>
        <w:jc w:val="center"/>
        <w:rPr>
          <w:rFonts w:ascii="Times New Roman" w:hAnsi="Times New Roman"/>
          <w:color w:val="000000"/>
          <w:sz w:val="20"/>
          <w:szCs w:val="24"/>
        </w:rPr>
      </w:pPr>
      <w:r>
        <w:rPr>
          <w:rFonts w:ascii="Times New Roman" w:hAnsi="Times New Roman"/>
          <w:color w:val="000000" w:themeColor="text1"/>
          <w:sz w:val="20"/>
          <w:szCs w:val="24"/>
        </w:rPr>
        <w:t xml:space="preserve">ул. Гоголя, 41, г. Владивосток, Приморский край, Россия, 690014 </w:t>
      </w:r>
    </w:p>
    <w:p w:rsidR="00517711" w:rsidRDefault="00517711">
      <w:pPr>
        <w:spacing w:after="0" w:line="360" w:lineRule="auto"/>
        <w:rPr>
          <w:rFonts w:ascii="Times New Roman" w:hAnsi="Times New Roman"/>
          <w:sz w:val="24"/>
          <w:szCs w:val="24"/>
        </w:rPr>
      </w:pPr>
    </w:p>
    <w:p w:rsidR="00517711" w:rsidRDefault="00F815BE">
      <w:pPr>
        <w:spacing w:after="0" w:line="240" w:lineRule="auto"/>
        <w:ind w:firstLine="709"/>
        <w:jc w:val="both"/>
        <w:rPr>
          <w:rFonts w:ascii="Times New Roman" w:hAnsi="Times New Roman"/>
          <w:i/>
          <w:szCs w:val="24"/>
        </w:rPr>
      </w:pPr>
      <w:r>
        <w:rPr>
          <w:rFonts w:ascii="Times New Roman" w:hAnsi="Times New Roman"/>
          <w:i/>
          <w:szCs w:val="24"/>
        </w:rPr>
        <w:t>Данная статья посвящена особенностям привлечения в Российской Федерации субъектов предпринимательской деятельности к ответственности за незаконный сброс отходов с морских судов.</w:t>
      </w:r>
    </w:p>
    <w:p w:rsidR="00517711" w:rsidRDefault="00F815BE">
      <w:pPr>
        <w:pStyle w:val="af6"/>
        <w:spacing w:before="0" w:beforeAutospacing="0" w:after="0" w:afterAutospacing="0"/>
        <w:jc w:val="both"/>
        <w:rPr>
          <w:i/>
          <w:color w:val="000000"/>
          <w:sz w:val="22"/>
        </w:rPr>
      </w:pPr>
      <w:r>
        <w:rPr>
          <w:i/>
          <w:sz w:val="22"/>
        </w:rPr>
        <w:tab/>
      </w:r>
      <w:r>
        <w:rPr>
          <w:i/>
          <w:color w:val="000000"/>
          <w:sz w:val="22"/>
        </w:rPr>
        <w:t>В течение последнего времени происходит сильное загрязнение океанов и морей такими вредными веществами, как нефтепродукты, тяжелые металлы и другие вредные вещества, связанные с интенсивной торговлей предпринимателей и государств по средствам морского транспорта. Загрязнение происходит в результате сброса в воду вредных и загрязняющих веществ, выработанных при использовании судов, поработанное топливо, отработанные продукты целевого назначения судна.</w:t>
      </w:r>
    </w:p>
    <w:p w:rsidR="00517711" w:rsidRDefault="00F815BE">
      <w:pPr>
        <w:spacing w:after="0" w:line="240" w:lineRule="auto"/>
        <w:jc w:val="both"/>
        <w:rPr>
          <w:rFonts w:ascii="Times New Roman" w:hAnsi="Times New Roman"/>
          <w:i/>
          <w:szCs w:val="24"/>
        </w:rPr>
      </w:pPr>
      <w:r>
        <w:rPr>
          <w:rFonts w:ascii="Times New Roman" w:hAnsi="Times New Roman"/>
          <w:szCs w:val="24"/>
        </w:rPr>
        <w:tab/>
      </w:r>
      <w:r>
        <w:rPr>
          <w:rFonts w:ascii="Times New Roman" w:hAnsi="Times New Roman"/>
          <w:b/>
          <w:i/>
          <w:szCs w:val="24"/>
        </w:rPr>
        <w:t>Ключевые слова и словосочетания</w:t>
      </w:r>
      <w:r>
        <w:rPr>
          <w:rFonts w:ascii="Times New Roman" w:hAnsi="Times New Roman"/>
          <w:i/>
          <w:szCs w:val="24"/>
        </w:rPr>
        <w:t>: сброс с судов, отходы, морское судно, загрязнение морской среды, экологические правонарушения, экологические преступления субъект, ответственность.</w:t>
      </w:r>
    </w:p>
    <w:p w:rsidR="00517711" w:rsidRDefault="00517711">
      <w:pPr>
        <w:spacing w:after="0" w:line="360" w:lineRule="auto"/>
        <w:jc w:val="center"/>
        <w:rPr>
          <w:rFonts w:ascii="Times New Roman" w:hAnsi="Times New Roman"/>
          <w:sz w:val="24"/>
          <w:szCs w:val="24"/>
        </w:rPr>
      </w:pPr>
    </w:p>
    <w:p w:rsidR="00517711" w:rsidRDefault="00F815B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jc w:val="center"/>
        <w:rPr>
          <w:rFonts w:ascii="Book Antiqua" w:hAnsi="Book Antiqua"/>
          <w:b/>
          <w:color w:val="212121"/>
          <w:sz w:val="26"/>
          <w:szCs w:val="26"/>
          <w:lang w:val="en" w:eastAsia="ru-RU"/>
        </w:rPr>
      </w:pPr>
      <w:r>
        <w:rPr>
          <w:rFonts w:ascii="Book Antiqua" w:hAnsi="Book Antiqua"/>
          <w:b/>
          <w:color w:val="212121"/>
          <w:sz w:val="26"/>
          <w:szCs w:val="26"/>
          <w:lang w:val="en" w:eastAsia="ru-RU"/>
        </w:rPr>
        <w:t>OPPORTUNITIES TO INVOLVE BUSINESS ENTITIES IN THE RUSSIAN FEDERATION IN RESPONSIBILITY FOR ILLEGAL DISCHARGES OF WASTE FROM SHIPS</w:t>
      </w:r>
    </w:p>
    <w:p w:rsidR="00517711" w:rsidRDefault="005177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212121"/>
          <w:sz w:val="24"/>
          <w:szCs w:val="20"/>
          <w:lang w:val="en-US" w:eastAsia="ru-RU"/>
        </w:rPr>
      </w:pPr>
    </w:p>
    <w:p w:rsidR="00517711" w:rsidRDefault="00F815BE">
      <w:pPr>
        <w:pStyle w:val="HTML"/>
        <w:shd w:val="clear" w:color="auto" w:fill="FFFFFF"/>
        <w:ind w:firstLine="709"/>
        <w:jc w:val="both"/>
        <w:rPr>
          <w:rFonts w:ascii="Times New Roman" w:hAnsi="Times New Roman" w:cs="Times New Roman"/>
          <w:i/>
          <w:color w:val="212121"/>
          <w:sz w:val="22"/>
          <w:lang w:val="en"/>
        </w:rPr>
      </w:pPr>
      <w:r>
        <w:rPr>
          <w:rFonts w:ascii="Times New Roman" w:hAnsi="Times New Roman" w:cs="Times New Roman"/>
          <w:i/>
          <w:color w:val="212121"/>
          <w:sz w:val="22"/>
          <w:lang w:val="en"/>
        </w:rPr>
        <w:t>This article is devoted to the peculiarities of attracting the subjects of entrepreneurial activity in the Russian Federation to liability for illegal discharge of waste from sea vessels.</w:t>
      </w:r>
    </w:p>
    <w:p w:rsidR="00517711" w:rsidRDefault="00F815BE">
      <w:pPr>
        <w:pStyle w:val="HTML"/>
        <w:shd w:val="clear" w:color="auto" w:fill="FFFFFF"/>
        <w:ind w:firstLine="709"/>
        <w:jc w:val="both"/>
        <w:rPr>
          <w:rFonts w:ascii="Times New Roman" w:hAnsi="Times New Roman" w:cs="Times New Roman"/>
          <w:i/>
          <w:color w:val="212121"/>
          <w:sz w:val="22"/>
          <w:lang w:val="en"/>
        </w:rPr>
      </w:pPr>
      <w:r>
        <w:rPr>
          <w:rFonts w:ascii="Times New Roman" w:hAnsi="Times New Roman" w:cs="Times New Roman"/>
          <w:i/>
          <w:color w:val="212121"/>
          <w:sz w:val="22"/>
          <w:lang w:val="en"/>
        </w:rPr>
        <w:t>During the last time, the oceans and seas are heavily polluted with such harmful substances as oil products, heavy metals and other harmful substances associated with intensive trade of entrepreneurs and states by means of sea transport. Pollution occurs as a result of discharge into the water of harmful and polluting substances generated by the use of ships, spent fuel, waste products of the intended purpose of the vessel.</w:t>
      </w:r>
    </w:p>
    <w:p w:rsidR="00517711" w:rsidRDefault="00F815BE">
      <w:pPr>
        <w:pStyle w:val="HTML"/>
        <w:shd w:val="clear" w:color="auto" w:fill="FFFFFF"/>
        <w:jc w:val="both"/>
        <w:rPr>
          <w:rFonts w:ascii="Times New Roman" w:hAnsi="Times New Roman" w:cs="Times New Roman"/>
          <w:i/>
          <w:color w:val="212121"/>
          <w:sz w:val="22"/>
          <w:szCs w:val="24"/>
          <w:lang w:val="en-US"/>
        </w:rPr>
      </w:pPr>
      <w:r>
        <w:rPr>
          <w:rFonts w:ascii="inherit" w:hAnsi="inherit"/>
          <w:color w:val="212121"/>
          <w:sz w:val="18"/>
          <w:lang w:val="en"/>
        </w:rPr>
        <w:tab/>
      </w:r>
      <w:r>
        <w:rPr>
          <w:rFonts w:ascii="Times New Roman" w:hAnsi="Times New Roman" w:cs="Times New Roman"/>
          <w:b/>
          <w:i/>
          <w:color w:val="212121"/>
          <w:sz w:val="22"/>
          <w:szCs w:val="24"/>
          <w:lang w:val="en"/>
        </w:rPr>
        <w:t>Key</w:t>
      </w:r>
      <w:r>
        <w:rPr>
          <w:rFonts w:ascii="Times New Roman" w:hAnsi="Times New Roman" w:cs="Times New Roman"/>
          <w:b/>
          <w:i/>
          <w:color w:val="212121"/>
          <w:sz w:val="22"/>
          <w:szCs w:val="24"/>
          <w:lang w:val="en-US"/>
        </w:rPr>
        <w:t xml:space="preserve"> </w:t>
      </w:r>
      <w:r>
        <w:rPr>
          <w:rFonts w:ascii="Times New Roman" w:hAnsi="Times New Roman" w:cs="Times New Roman"/>
          <w:b/>
          <w:i/>
          <w:color w:val="212121"/>
          <w:sz w:val="22"/>
          <w:szCs w:val="24"/>
          <w:lang w:val="en"/>
        </w:rPr>
        <w:t>words</w:t>
      </w:r>
      <w:r>
        <w:rPr>
          <w:rFonts w:ascii="Times New Roman" w:hAnsi="Times New Roman" w:cs="Times New Roman"/>
          <w:b/>
          <w:i/>
          <w:color w:val="212121"/>
          <w:sz w:val="22"/>
          <w:szCs w:val="24"/>
          <w:lang w:val="en-US"/>
        </w:rPr>
        <w:t xml:space="preserve"> </w:t>
      </w:r>
      <w:r>
        <w:rPr>
          <w:rFonts w:ascii="Times New Roman" w:hAnsi="Times New Roman" w:cs="Times New Roman"/>
          <w:b/>
          <w:i/>
          <w:color w:val="212121"/>
          <w:sz w:val="22"/>
          <w:szCs w:val="24"/>
          <w:lang w:val="en"/>
        </w:rPr>
        <w:t>and</w:t>
      </w:r>
      <w:r>
        <w:rPr>
          <w:rFonts w:ascii="Times New Roman" w:hAnsi="Times New Roman" w:cs="Times New Roman"/>
          <w:b/>
          <w:i/>
          <w:color w:val="212121"/>
          <w:sz w:val="22"/>
          <w:szCs w:val="24"/>
          <w:lang w:val="en-US"/>
        </w:rPr>
        <w:t xml:space="preserve"> </w:t>
      </w:r>
      <w:r>
        <w:rPr>
          <w:rFonts w:ascii="Times New Roman" w:hAnsi="Times New Roman" w:cs="Times New Roman"/>
          <w:b/>
          <w:i/>
          <w:color w:val="212121"/>
          <w:sz w:val="22"/>
          <w:szCs w:val="24"/>
          <w:lang w:val="en"/>
        </w:rPr>
        <w:t>phrases</w:t>
      </w:r>
      <w:r>
        <w:rPr>
          <w:rFonts w:ascii="Times New Roman" w:hAnsi="Times New Roman" w:cs="Times New Roman"/>
          <w:b/>
          <w:i/>
          <w:color w:val="212121"/>
          <w:sz w:val="22"/>
          <w:szCs w:val="24"/>
          <w:lang w:val="en-US"/>
        </w:rPr>
        <w:t xml:space="preserve">: </w:t>
      </w:r>
      <w:r>
        <w:rPr>
          <w:rFonts w:ascii="Times New Roman" w:hAnsi="Times New Roman" w:cs="Times New Roman"/>
          <w:i/>
          <w:color w:val="212121"/>
          <w:sz w:val="22"/>
          <w:szCs w:val="24"/>
          <w:lang w:val="en"/>
        </w:rPr>
        <w:t>dump from ships, waste, seagoing vessel, marine pollution, environmental offenses, environmental crimes,</w:t>
      </w:r>
      <w:r>
        <w:rPr>
          <w:rFonts w:ascii="Times New Roman" w:hAnsi="Times New Roman" w:cs="Times New Roman"/>
          <w:i/>
          <w:sz w:val="22"/>
          <w:szCs w:val="24"/>
          <w:lang w:val="en"/>
        </w:rPr>
        <w:t xml:space="preserve"> </w:t>
      </w:r>
      <w:r>
        <w:rPr>
          <w:rFonts w:ascii="Times New Roman" w:hAnsi="Times New Roman" w:cs="Times New Roman"/>
          <w:i/>
          <w:color w:val="212121"/>
          <w:sz w:val="22"/>
          <w:szCs w:val="24"/>
          <w:shd w:val="clear" w:color="auto" w:fill="FFFFFF"/>
          <w:lang w:val="en-US"/>
        </w:rPr>
        <w:t>subject, responsibility</w:t>
      </w:r>
    </w:p>
    <w:p w:rsidR="00517711" w:rsidRDefault="00517711">
      <w:pPr>
        <w:spacing w:after="0" w:line="360" w:lineRule="auto"/>
        <w:jc w:val="both"/>
        <w:rPr>
          <w:rFonts w:ascii="Times New Roman" w:hAnsi="Times New Roman"/>
          <w:sz w:val="24"/>
          <w:szCs w:val="24"/>
          <w:lang w:val="en-US"/>
        </w:rPr>
      </w:pPr>
    </w:p>
    <w:p w:rsidR="00517711" w:rsidRDefault="00F815BE">
      <w:pPr>
        <w:pStyle w:val="af6"/>
        <w:spacing w:before="0" w:beforeAutospacing="0" w:after="0" w:afterAutospacing="0"/>
        <w:ind w:firstLine="709"/>
        <w:jc w:val="both"/>
        <w:rPr>
          <w:color w:val="000000"/>
          <w:sz w:val="20"/>
        </w:rPr>
      </w:pPr>
      <w:r>
        <w:rPr>
          <w:color w:val="000000" w:themeColor="text1"/>
          <w:sz w:val="20"/>
        </w:rPr>
        <w:t>Современной проблемой прибрежных государств является загрязнение морской среды, одним из основных источников которого являются морские суда.</w:t>
      </w:r>
    </w:p>
    <w:p w:rsidR="00517711" w:rsidRDefault="00F815BE">
      <w:pPr>
        <w:tabs>
          <w:tab w:val="left" w:pos="993"/>
        </w:tabs>
        <w:spacing w:after="0" w:line="240" w:lineRule="auto"/>
        <w:jc w:val="both"/>
        <w:rPr>
          <w:rFonts w:ascii="Times New Roman" w:hAnsi="Times New Roman"/>
          <w:color w:val="000000"/>
          <w:sz w:val="20"/>
          <w:szCs w:val="24"/>
        </w:rPr>
      </w:pPr>
      <w:r>
        <w:rPr>
          <w:rFonts w:ascii="Times New Roman" w:hAnsi="Times New Roman"/>
          <w:color w:val="000000" w:themeColor="text1"/>
          <w:sz w:val="20"/>
          <w:szCs w:val="24"/>
        </w:rPr>
        <w:tab/>
        <w:t>Источники, в которых закреплены нормы по защите окружающей морской среды закреплены в ряде нормативно - правовых актов, таких как:</w:t>
      </w:r>
      <w:r>
        <w:rPr>
          <w:rFonts w:ascii="Times New Roman" w:hAnsi="Times New Roman"/>
          <w:color w:val="000000" w:themeColor="text1"/>
          <w:sz w:val="20"/>
          <w:szCs w:val="24"/>
          <w:shd w:val="clear" w:color="auto" w:fill="FFFFFF"/>
        </w:rPr>
        <w:t xml:space="preserve"> Конвенция по предотвращению загрязнения моря сбросами отходов и других материалов: от 29.12.1972 г.</w:t>
      </w:r>
      <w:r>
        <w:rPr>
          <w:rFonts w:ascii="Times New Roman" w:hAnsi="Times New Roman"/>
          <w:bCs/>
          <w:color w:val="000000" w:themeColor="text1"/>
          <w:sz w:val="20"/>
          <w:szCs w:val="24"/>
          <w:shd w:val="clear" w:color="auto" w:fill="FFFFFF"/>
        </w:rPr>
        <w:t xml:space="preserve"> [1], </w:t>
      </w:r>
      <w:r>
        <w:rPr>
          <w:rFonts w:ascii="Times New Roman" w:hAnsi="Times New Roman"/>
          <w:color w:val="000000" w:themeColor="text1"/>
          <w:sz w:val="20"/>
          <w:szCs w:val="24"/>
        </w:rPr>
        <w:t xml:space="preserve">Международная конвенция по предотвращению загрязнения с судов 1973 г. (МАРПОЛ) [2], </w:t>
      </w:r>
      <w:r>
        <w:rPr>
          <w:rFonts w:ascii="Times New Roman" w:hAnsi="Times New Roman"/>
          <w:color w:val="000000" w:themeColor="text1"/>
          <w:sz w:val="20"/>
          <w:szCs w:val="24"/>
          <w:shd w:val="clear" w:color="auto" w:fill="FFFFFF"/>
        </w:rPr>
        <w:t xml:space="preserve">Конвенция ООН по морскому праву: от 10.12.1982 г. [3], </w:t>
      </w:r>
      <w:r>
        <w:rPr>
          <w:rFonts w:ascii="Times New Roman" w:hAnsi="Times New Roman"/>
          <w:color w:val="000000" w:themeColor="text1"/>
          <w:sz w:val="20"/>
          <w:szCs w:val="24"/>
        </w:rPr>
        <w:t xml:space="preserve">Международная конвенция по предотвращению загрязнений с судов 1973 года, изменённая Протоколом 1978 года (МАРПОЛ 73/78) [4], </w:t>
      </w:r>
      <w:r>
        <w:rPr>
          <w:rFonts w:ascii="Times New Roman" w:hAnsi="Times New Roman"/>
          <w:color w:val="000000" w:themeColor="text1"/>
          <w:sz w:val="20"/>
          <w:szCs w:val="24"/>
        </w:rPr>
        <w:lastRenderedPageBreak/>
        <w:t>Конвенция ООН по предотвращению загрязнения моря сбросами отходов и других материалов:</w:t>
      </w:r>
      <w:r>
        <w:rPr>
          <w:rFonts w:ascii="Times New Roman" w:hAnsi="Times New Roman"/>
          <w:bCs/>
          <w:color w:val="000000" w:themeColor="text1"/>
          <w:sz w:val="20"/>
          <w:szCs w:val="24"/>
          <w:shd w:val="clear" w:color="auto" w:fill="FFFFFF"/>
        </w:rPr>
        <w:t xml:space="preserve"> от 29.12.1972 г. [5], </w:t>
      </w:r>
      <w:r>
        <w:rPr>
          <w:rFonts w:ascii="Times New Roman" w:hAnsi="Times New Roman"/>
          <w:color w:val="000000" w:themeColor="text1"/>
          <w:sz w:val="20"/>
          <w:szCs w:val="24"/>
        </w:rPr>
        <w:t>Конституция РФ (статья 42) [6],</w:t>
      </w:r>
      <w:r>
        <w:rPr>
          <w:rFonts w:ascii="Times New Roman" w:hAnsi="Times New Roman"/>
          <w:color w:val="000000" w:themeColor="text1"/>
          <w:sz w:val="20"/>
          <w:szCs w:val="24"/>
          <w:shd w:val="clear" w:color="auto" w:fill="FFFFFF"/>
        </w:rPr>
        <w:t xml:space="preserve"> </w:t>
      </w:r>
      <w:r>
        <w:rPr>
          <w:rFonts w:ascii="Times New Roman" w:hAnsi="Times New Roman"/>
          <w:color w:val="000000" w:themeColor="text1"/>
          <w:sz w:val="20"/>
          <w:szCs w:val="24"/>
        </w:rPr>
        <w:t>Водный кодекс РФ [7],</w:t>
      </w:r>
      <w:r>
        <w:rPr>
          <w:rFonts w:ascii="Times New Roman" w:hAnsi="Times New Roman"/>
          <w:color w:val="000000" w:themeColor="text1"/>
          <w:sz w:val="20"/>
          <w:szCs w:val="24"/>
          <w:shd w:val="clear" w:color="auto" w:fill="FFFFFF"/>
        </w:rPr>
        <w:t xml:space="preserve"> </w:t>
      </w:r>
      <w:r>
        <w:rPr>
          <w:rFonts w:ascii="Times New Roman" w:hAnsi="Times New Roman"/>
          <w:color w:val="000000" w:themeColor="text1"/>
          <w:sz w:val="20"/>
          <w:szCs w:val="24"/>
        </w:rPr>
        <w:t>ФЗ «Об охране окружающей среды» [8] и др.</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Ответственность за совершение правонарушения, связанного с загрязнением окружающей морской среды, закреплены в положениях статей уголовного кодекса Российской Федерации (далее УК РФ [1]) (ст. 252 и в Кодексе об административных правонарушениях Российской Федерации (далее КоАП РФ [2]) (п.п. 4,5 ст. 8.13, ст. 8.19).</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В данном исследовании были определены особенности привлечения в Российской Федерации к уголовной и административной ответственности субъектов предпринимательской деятельности за незаконный сброс отходов с морских судов, поскольку эти два вида ответственности являются наиболее распространёнными.</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Выводы и суждения будут делаться на основе изученной судебной практики.</w:t>
      </w:r>
    </w:p>
    <w:p w:rsidR="00517711" w:rsidRDefault="00F815BE">
      <w:pPr>
        <w:shd w:val="clear" w:color="auto" w:fill="FFFFFF"/>
        <w:spacing w:after="0" w:line="240" w:lineRule="auto"/>
        <w:ind w:left="45" w:right="45" w:firstLine="664"/>
        <w:jc w:val="both"/>
        <w:rPr>
          <w:rFonts w:ascii="Times New Roman" w:hAnsi="Times New Roman"/>
          <w:color w:val="000000"/>
          <w:sz w:val="20"/>
          <w:szCs w:val="24"/>
          <w:lang w:eastAsia="ru-RU"/>
        </w:rPr>
      </w:pPr>
      <w:r>
        <w:rPr>
          <w:rFonts w:ascii="Times New Roman" w:hAnsi="Times New Roman"/>
          <w:color w:val="000000" w:themeColor="text1"/>
          <w:sz w:val="20"/>
          <w:szCs w:val="24"/>
          <w:lang w:eastAsia="ru-RU"/>
        </w:rPr>
        <w:t>Административная ответственность применяется к юридическим и физическим лицам, осуществляющим предпринимательскую деятельность. Одним из условий привлечения является достижение субъектом возраста 16 лет. Помимо достижения возраста привлечения к ответственности, особенной чертой привлечения к административной ответственности является занятие правонарушителем какой-либо должности, в силу которой на него возлагается обязанность соблюдения норм и правил по защите и охране окружающей морской среды, выраженные в действие или бездействии данного должностного лица, объективная сторона которого выражена в нарушении правил охраны морской среды.</w:t>
      </w:r>
    </w:p>
    <w:p w:rsidR="00517711" w:rsidRDefault="00F815BE">
      <w:pPr>
        <w:shd w:val="clear" w:color="auto" w:fill="FFFFFF"/>
        <w:spacing w:after="0" w:line="240" w:lineRule="auto"/>
        <w:ind w:left="45" w:right="45" w:firstLine="664"/>
        <w:jc w:val="both"/>
        <w:rPr>
          <w:rFonts w:ascii="Times New Roman" w:hAnsi="Times New Roman"/>
          <w:color w:val="000000"/>
          <w:sz w:val="20"/>
          <w:szCs w:val="24"/>
          <w:lang w:eastAsia="ru-RU"/>
        </w:rPr>
      </w:pPr>
      <w:r>
        <w:rPr>
          <w:rFonts w:ascii="Times New Roman" w:hAnsi="Times New Roman"/>
          <w:color w:val="000000" w:themeColor="text1"/>
          <w:sz w:val="20"/>
          <w:szCs w:val="24"/>
          <w:shd w:val="clear" w:color="auto" w:fill="FFFFFF"/>
        </w:rPr>
        <w:t xml:space="preserve"> Субъективная сторона характеризуется виной в форме умысла или неосторожности.</w:t>
      </w:r>
      <w:r>
        <w:rPr>
          <w:rFonts w:ascii="Times New Roman" w:hAnsi="Times New Roman"/>
          <w:color w:val="000000" w:themeColor="text1"/>
          <w:sz w:val="20"/>
          <w:szCs w:val="24"/>
          <w:lang w:eastAsia="ru-RU"/>
        </w:rPr>
        <w:t xml:space="preserve"> </w:t>
      </w:r>
    </w:p>
    <w:p w:rsidR="00517711" w:rsidRDefault="00F815BE">
      <w:pPr>
        <w:spacing w:after="0" w:line="240" w:lineRule="auto"/>
        <w:ind w:firstLine="709"/>
        <w:jc w:val="both"/>
        <w:rPr>
          <w:rFonts w:ascii="Times New Roman" w:hAnsi="Times New Roman"/>
          <w:color w:val="000000"/>
          <w:sz w:val="20"/>
          <w:szCs w:val="24"/>
          <w:shd w:val="clear" w:color="auto" w:fill="FFFFFF"/>
        </w:rPr>
      </w:pPr>
      <w:r>
        <w:rPr>
          <w:rFonts w:ascii="Times New Roman" w:hAnsi="Times New Roman"/>
          <w:color w:val="000000" w:themeColor="text1"/>
          <w:sz w:val="20"/>
          <w:szCs w:val="24"/>
          <w:shd w:val="clear" w:color="auto" w:fill="FFFFFF"/>
        </w:rPr>
        <w:t>Объективная сторона правонарушения представляет собой совокупность или конкретные нарушения водоохранного режима на водосборах водных объектов, которые могут повлечь загрязнение указанных объектов или другие вредные явления (ч. 1 ст. 8.13 КоАП РФ), к которым относятся. Правонарушение представляет собой нарушение требований к охране водных объектов, которое может повлечь их загрязнение, засорение и (или) истощение (ч. 4 ст. 8.13 КоАП РФ), а также представляет собой загрязнение ледников, снежников или ледяного покрова водных объектов либо загрязнение водных объектов, содержащих природные лечебные ресурсы или отнесенных к особо охраняемым водным объектам, местам туризма, спорта и массового отдыха, отходами производства и потребления и (или) вредными веществами, а равно захоронение вредных веществ (материалов) в водных объектах (ч. 5 ст.8.13 КоАП РФ).</w:t>
      </w:r>
    </w:p>
    <w:p w:rsidR="00517711" w:rsidRDefault="00F815BE">
      <w:pPr>
        <w:shd w:val="clear" w:color="auto" w:fill="FFFFFF"/>
        <w:spacing w:after="0" w:line="240" w:lineRule="auto"/>
        <w:ind w:left="45" w:right="45" w:firstLine="482"/>
        <w:jc w:val="both"/>
        <w:rPr>
          <w:rFonts w:ascii="Times New Roman" w:hAnsi="Times New Roman"/>
          <w:b/>
          <w:bCs/>
          <w:color w:val="000000"/>
          <w:sz w:val="16"/>
          <w:szCs w:val="20"/>
          <w:lang w:eastAsia="ru-RU"/>
        </w:rPr>
      </w:pPr>
      <w:r>
        <w:rPr>
          <w:rFonts w:ascii="Times New Roman" w:hAnsi="Times New Roman"/>
          <w:color w:val="000000" w:themeColor="text1"/>
          <w:sz w:val="20"/>
          <w:szCs w:val="24"/>
          <w:lang w:eastAsia="ru-RU"/>
        </w:rPr>
        <w:t xml:space="preserve">Особенности наложения административной ответственности закреплены в санкциях статей 8.13 КоАП РФ (п.п. 4-5) и 8.19 КоАП РФ. В соответствии с п.4 ст. 8.13 административная ответственность может заключаться в </w:t>
      </w:r>
      <w:r>
        <w:rPr>
          <w:rFonts w:ascii="Times New Roman" w:hAnsi="Times New Roman"/>
          <w:color w:val="000000" w:themeColor="text1"/>
          <w:sz w:val="20"/>
          <w:szCs w:val="24"/>
          <w:shd w:val="clear" w:color="auto" w:fill="FFFFFF"/>
        </w:rPr>
        <w:t>наложении административного штрафа на граждан в размере от 1500 до 2000 рублей,</w:t>
      </w:r>
      <w:r>
        <w:rPr>
          <w:rFonts w:ascii="Times New Roman" w:hAnsi="Times New Roman"/>
          <w:color w:val="000000" w:themeColor="text1"/>
          <w:sz w:val="20"/>
          <w:szCs w:val="24"/>
          <w:lang w:eastAsia="ru-RU"/>
        </w:rPr>
        <w:t xml:space="preserve"> </w:t>
      </w:r>
      <w:r>
        <w:rPr>
          <w:rFonts w:ascii="Times New Roman" w:hAnsi="Times New Roman"/>
          <w:color w:val="000000" w:themeColor="text1"/>
          <w:sz w:val="20"/>
          <w:szCs w:val="24"/>
          <w:shd w:val="clear" w:color="auto" w:fill="FFFFFF"/>
        </w:rPr>
        <w:t>штрафа на должностные лица - от 3000 до 4000 рублей,</w:t>
      </w:r>
      <w:r>
        <w:rPr>
          <w:rFonts w:ascii="Times New Roman" w:hAnsi="Times New Roman"/>
          <w:color w:val="000000" w:themeColor="text1"/>
          <w:sz w:val="20"/>
          <w:szCs w:val="24"/>
          <w:lang w:eastAsia="ru-RU"/>
        </w:rPr>
        <w:t xml:space="preserve"> </w:t>
      </w:r>
      <w:r>
        <w:rPr>
          <w:rFonts w:ascii="Times New Roman" w:hAnsi="Times New Roman"/>
          <w:color w:val="000000" w:themeColor="text1"/>
          <w:sz w:val="20"/>
          <w:szCs w:val="24"/>
          <w:shd w:val="clear" w:color="auto" w:fill="FFFFFF"/>
        </w:rPr>
        <w:t xml:space="preserve">штрафа на юридических лиц - от 30 000 до 40 000 рублей. </w:t>
      </w:r>
      <w:r>
        <w:rPr>
          <w:rFonts w:ascii="Times New Roman" w:hAnsi="Times New Roman"/>
          <w:bCs/>
          <w:color w:val="000000" w:themeColor="text1"/>
          <w:sz w:val="20"/>
          <w:szCs w:val="24"/>
          <w:shd w:val="clear" w:color="auto" w:fill="FFFFFF"/>
        </w:rPr>
        <w:t>В соответствии п.5</w:t>
      </w:r>
      <w:r>
        <w:rPr>
          <w:rFonts w:ascii="Times New Roman" w:hAnsi="Times New Roman"/>
          <w:color w:val="000000" w:themeColor="text1"/>
          <w:sz w:val="20"/>
          <w:szCs w:val="24"/>
          <w:lang w:eastAsia="ru-RU"/>
        </w:rPr>
        <w:t xml:space="preserve"> ст. 8.13 КоАП РФ</w:t>
      </w:r>
      <w:r>
        <w:rPr>
          <w:rFonts w:ascii="Times New Roman" w:hAnsi="Times New Roman"/>
          <w:bCs/>
          <w:color w:val="000000" w:themeColor="text1"/>
          <w:sz w:val="20"/>
          <w:szCs w:val="24"/>
          <w:shd w:val="clear" w:color="auto" w:fill="FFFFFF"/>
        </w:rPr>
        <w:t xml:space="preserve"> - </w:t>
      </w:r>
      <w:r>
        <w:rPr>
          <w:rFonts w:ascii="Times New Roman" w:hAnsi="Times New Roman"/>
          <w:color w:val="000000" w:themeColor="text1"/>
          <w:sz w:val="20"/>
          <w:szCs w:val="24"/>
          <w:shd w:val="clear" w:color="auto" w:fill="FFFFFF"/>
        </w:rPr>
        <w:t xml:space="preserve">штрафа на граждан в размере от 2000 до 2500 рублей, на должностных лиц - от 4000 до 5000 рублей, на юридических лиц - от 40000 до 50000 т рублей. В соответствии со </w:t>
      </w:r>
      <w:r>
        <w:rPr>
          <w:rFonts w:ascii="Times New Roman" w:hAnsi="Times New Roman"/>
          <w:bCs/>
          <w:color w:val="000000" w:themeColor="text1"/>
          <w:sz w:val="20"/>
          <w:szCs w:val="24"/>
          <w:shd w:val="clear" w:color="auto" w:fill="FFFFFF"/>
        </w:rPr>
        <w:t>ст. 8.19 КоАП РФ -</w:t>
      </w:r>
      <w:r>
        <w:rPr>
          <w:rStyle w:val="affe"/>
          <w:rFonts w:ascii="Times New Roman" w:hAnsi="Times New Roman"/>
          <w:color w:val="000000" w:themeColor="text1"/>
          <w:sz w:val="16"/>
          <w:szCs w:val="20"/>
          <w:lang w:eastAsia="ru-RU"/>
        </w:rPr>
        <w:t xml:space="preserve"> </w:t>
      </w:r>
      <w:r>
        <w:rPr>
          <w:rStyle w:val="affe"/>
          <w:rFonts w:ascii="Times New Roman" w:hAnsi="Times New Roman"/>
          <w:b w:val="0"/>
          <w:color w:val="000000" w:themeColor="text1"/>
          <w:sz w:val="20"/>
          <w:szCs w:val="24"/>
          <w:lang w:eastAsia="ru-RU"/>
        </w:rPr>
        <w:t xml:space="preserve">наложение административного штрафа на должностных лиц в размере от 15 000 до 20 000 рублей с конфискацией судна, летательного аппарата и иных орудий совершения административного правонарушения или без таковой; </w:t>
      </w:r>
      <w:r>
        <w:rPr>
          <w:rStyle w:val="affe"/>
          <w:rFonts w:ascii="Times New Roman" w:hAnsi="Times New Roman"/>
          <w:color w:val="000000" w:themeColor="text1"/>
          <w:sz w:val="16"/>
          <w:szCs w:val="20"/>
          <w:lang w:eastAsia="ru-RU"/>
        </w:rPr>
        <w:t xml:space="preserve"> </w:t>
      </w:r>
      <w:r>
        <w:rPr>
          <w:rStyle w:val="affe"/>
          <w:rFonts w:ascii="Times New Roman" w:hAnsi="Times New Roman"/>
          <w:b w:val="0"/>
          <w:color w:val="000000" w:themeColor="text1"/>
          <w:sz w:val="20"/>
          <w:szCs w:val="24"/>
          <w:lang w:eastAsia="ru-RU"/>
        </w:rPr>
        <w:t>наложение административного штрафа на юридических лиц - от 200 000 до 300 000 рублей с конфискацией судна, летательного аппарата и иных орудий совершения административного правонарушения или без таковой.</w:t>
      </w:r>
    </w:p>
    <w:p w:rsidR="00517711" w:rsidRDefault="00F815BE">
      <w:pPr>
        <w:shd w:val="clear" w:color="auto" w:fill="FFFFFF"/>
        <w:spacing w:after="0" w:line="240" w:lineRule="auto"/>
        <w:ind w:left="45" w:right="45" w:firstLine="482"/>
        <w:jc w:val="both"/>
        <w:rPr>
          <w:rFonts w:ascii="Times New Roman" w:hAnsi="Times New Roman"/>
          <w:color w:val="000000"/>
          <w:sz w:val="20"/>
          <w:szCs w:val="24"/>
          <w:lang w:eastAsia="ru-RU"/>
        </w:rPr>
      </w:pPr>
      <w:r>
        <w:rPr>
          <w:rFonts w:ascii="Times New Roman" w:hAnsi="Times New Roman"/>
          <w:color w:val="000000" w:themeColor="text1"/>
          <w:sz w:val="20"/>
          <w:szCs w:val="24"/>
          <w:lang w:eastAsia="ru-RU"/>
        </w:rPr>
        <w:t>Особенностями оснований привлечения к административной ответственности является: наличие в противоправном деянии признаков состава экологического проступка; вина субъекта ответственности (физического или юридического лица); наличие правовой нормы, установившей запрет и содержащей санкцию за нарушение.</w:t>
      </w:r>
    </w:p>
    <w:p w:rsidR="00517711" w:rsidRDefault="00F815BE">
      <w:pPr>
        <w:shd w:val="clear" w:color="auto" w:fill="FFFFFF"/>
        <w:spacing w:after="0" w:line="240" w:lineRule="auto"/>
        <w:ind w:left="45" w:right="45" w:firstLine="482"/>
        <w:jc w:val="both"/>
        <w:rPr>
          <w:rFonts w:ascii="Times New Roman" w:hAnsi="Times New Roman"/>
          <w:color w:val="000000"/>
          <w:sz w:val="20"/>
          <w:szCs w:val="24"/>
          <w:lang w:eastAsia="ru-RU"/>
        </w:rPr>
      </w:pPr>
      <w:r>
        <w:rPr>
          <w:rFonts w:ascii="Times New Roman" w:hAnsi="Times New Roman"/>
          <w:color w:val="000000" w:themeColor="text1"/>
          <w:sz w:val="20"/>
          <w:szCs w:val="24"/>
          <w:lang w:eastAsia="ru-RU"/>
        </w:rPr>
        <w:t>Административная ответственность за экологические правонарушения имеет ряд специфических особенностей:</w:t>
      </w:r>
    </w:p>
    <w:p w:rsidR="00517711" w:rsidRDefault="00F815BE">
      <w:pPr>
        <w:shd w:val="clear" w:color="auto" w:fill="FFFFFF"/>
        <w:spacing w:after="0" w:line="240" w:lineRule="auto"/>
        <w:ind w:left="45" w:right="45" w:firstLine="482"/>
        <w:jc w:val="both"/>
        <w:rPr>
          <w:rFonts w:ascii="Times New Roman" w:hAnsi="Times New Roman"/>
          <w:color w:val="000000"/>
          <w:sz w:val="20"/>
          <w:szCs w:val="24"/>
          <w:lang w:eastAsia="ru-RU"/>
        </w:rPr>
      </w:pPr>
      <w:r>
        <w:rPr>
          <w:rFonts w:ascii="Times New Roman" w:hAnsi="Times New Roman"/>
          <w:color w:val="000000" w:themeColor="text1"/>
          <w:sz w:val="20"/>
          <w:szCs w:val="24"/>
          <w:lang w:eastAsia="ru-RU"/>
        </w:rPr>
        <w:t>– ответственность может наступить только за конкретные правонарушения, указанные в КоАП РФ,</w:t>
      </w:r>
    </w:p>
    <w:p w:rsidR="00517711" w:rsidRDefault="00F815BE">
      <w:pPr>
        <w:shd w:val="clear" w:color="auto" w:fill="FFFFFF"/>
        <w:spacing w:after="0" w:line="240" w:lineRule="auto"/>
        <w:ind w:left="45" w:right="45" w:firstLine="482"/>
        <w:jc w:val="both"/>
        <w:rPr>
          <w:rFonts w:ascii="Times New Roman" w:hAnsi="Times New Roman"/>
          <w:color w:val="000000"/>
          <w:sz w:val="20"/>
          <w:szCs w:val="24"/>
          <w:lang w:eastAsia="ru-RU"/>
        </w:rPr>
      </w:pPr>
      <w:r>
        <w:rPr>
          <w:rFonts w:ascii="Times New Roman" w:hAnsi="Times New Roman"/>
          <w:color w:val="000000" w:themeColor="text1"/>
          <w:sz w:val="20"/>
          <w:szCs w:val="24"/>
          <w:lang w:eastAsia="ru-RU"/>
        </w:rPr>
        <w:t>- объективной стороной являются нарушения положений законов, целью которых является охрана окружающей среды,</w:t>
      </w:r>
    </w:p>
    <w:p w:rsidR="00517711" w:rsidRDefault="00F815BE">
      <w:pPr>
        <w:shd w:val="clear" w:color="auto" w:fill="FFFFFF"/>
        <w:spacing w:after="0" w:line="240" w:lineRule="auto"/>
        <w:ind w:left="45" w:right="45" w:firstLine="664"/>
        <w:jc w:val="both"/>
        <w:rPr>
          <w:rFonts w:ascii="Times New Roman" w:hAnsi="Times New Roman"/>
          <w:color w:val="000000"/>
          <w:sz w:val="20"/>
          <w:szCs w:val="24"/>
          <w:lang w:eastAsia="ru-RU"/>
        </w:rPr>
      </w:pPr>
      <w:r>
        <w:rPr>
          <w:rFonts w:ascii="Times New Roman" w:hAnsi="Times New Roman"/>
          <w:color w:val="000000" w:themeColor="text1"/>
          <w:sz w:val="20"/>
          <w:szCs w:val="24"/>
          <w:lang w:eastAsia="ru-RU"/>
        </w:rPr>
        <w:t>– субъектами ответственности по ней могут быть как юридические, так и физические, которые в соответствии с законодательством ответственны за административные проступки;</w:t>
      </w:r>
    </w:p>
    <w:p w:rsidR="00517711" w:rsidRDefault="00F815BE">
      <w:pPr>
        <w:shd w:val="clear" w:color="auto" w:fill="FFFFFF"/>
        <w:spacing w:after="0" w:line="240" w:lineRule="auto"/>
        <w:ind w:left="45" w:right="45" w:firstLine="664"/>
        <w:jc w:val="both"/>
        <w:rPr>
          <w:rFonts w:ascii="Times New Roman" w:hAnsi="Times New Roman"/>
          <w:color w:val="000000"/>
          <w:sz w:val="20"/>
          <w:szCs w:val="24"/>
          <w:lang w:eastAsia="ru-RU"/>
        </w:rPr>
      </w:pPr>
      <w:r>
        <w:rPr>
          <w:rFonts w:ascii="Times New Roman" w:hAnsi="Times New Roman"/>
          <w:color w:val="000000" w:themeColor="text1"/>
          <w:sz w:val="20"/>
          <w:szCs w:val="24"/>
          <w:lang w:eastAsia="ru-RU"/>
        </w:rPr>
        <w:t>– ответственность применяется в соответствии с компетенцией специального уполномоченного органа или должностного лица;</w:t>
      </w:r>
    </w:p>
    <w:p w:rsidR="00517711" w:rsidRDefault="00F815BE">
      <w:pPr>
        <w:shd w:val="clear" w:color="auto" w:fill="FFFFFF"/>
        <w:spacing w:after="0" w:line="240" w:lineRule="auto"/>
        <w:ind w:left="45" w:right="45" w:firstLine="664"/>
        <w:jc w:val="both"/>
        <w:rPr>
          <w:rFonts w:ascii="Times New Roman" w:hAnsi="Times New Roman"/>
          <w:color w:val="000000"/>
          <w:sz w:val="20"/>
          <w:szCs w:val="24"/>
          <w:lang w:eastAsia="ru-RU"/>
        </w:rPr>
      </w:pPr>
      <w:r>
        <w:rPr>
          <w:rFonts w:ascii="Times New Roman" w:hAnsi="Times New Roman"/>
          <w:color w:val="000000" w:themeColor="text1"/>
          <w:sz w:val="20"/>
          <w:szCs w:val="24"/>
          <w:lang w:eastAsia="ru-RU"/>
        </w:rPr>
        <w:t>– применяется в определенном процессуальном порядке (сбор доказательств, протоколы нарушений, рассмотрение дел, рассмотрение результатов экспертиз и др.);</w:t>
      </w:r>
    </w:p>
    <w:p w:rsidR="00517711" w:rsidRDefault="00F815BE">
      <w:pPr>
        <w:shd w:val="clear" w:color="auto" w:fill="FFFFFF"/>
        <w:spacing w:after="0" w:line="240" w:lineRule="auto"/>
        <w:ind w:left="45" w:right="45" w:firstLine="664"/>
        <w:jc w:val="both"/>
        <w:rPr>
          <w:rFonts w:ascii="Times New Roman" w:hAnsi="Times New Roman"/>
          <w:color w:val="000000"/>
          <w:sz w:val="20"/>
          <w:szCs w:val="24"/>
          <w:lang w:eastAsia="ru-RU"/>
        </w:rPr>
      </w:pPr>
      <w:r>
        <w:rPr>
          <w:rFonts w:ascii="Times New Roman" w:hAnsi="Times New Roman"/>
          <w:color w:val="000000" w:themeColor="text1"/>
          <w:sz w:val="20"/>
          <w:szCs w:val="24"/>
          <w:lang w:eastAsia="ru-RU"/>
        </w:rPr>
        <w:t>– применяются только предусмотренные законом взыскания, возможно освобождение от них при малозначительности проступка;</w:t>
      </w:r>
    </w:p>
    <w:p w:rsidR="00517711" w:rsidRDefault="00F815BE">
      <w:pPr>
        <w:shd w:val="clear" w:color="auto" w:fill="FFFFFF"/>
        <w:spacing w:after="0" w:line="240" w:lineRule="auto"/>
        <w:ind w:left="45" w:right="45" w:firstLine="664"/>
        <w:jc w:val="both"/>
        <w:rPr>
          <w:rFonts w:ascii="Times New Roman" w:hAnsi="Times New Roman"/>
          <w:color w:val="000000"/>
          <w:sz w:val="20"/>
          <w:szCs w:val="24"/>
          <w:lang w:eastAsia="ru-RU"/>
        </w:rPr>
      </w:pPr>
      <w:r>
        <w:rPr>
          <w:rFonts w:ascii="Times New Roman" w:hAnsi="Times New Roman"/>
          <w:color w:val="000000" w:themeColor="text1"/>
          <w:sz w:val="20"/>
          <w:szCs w:val="24"/>
          <w:lang w:eastAsia="ru-RU"/>
        </w:rPr>
        <w:t>– предусматривается дифференциация ответственности для должностных лиц;</w:t>
      </w:r>
    </w:p>
    <w:p w:rsidR="00517711" w:rsidRDefault="00F815BE">
      <w:pPr>
        <w:shd w:val="clear" w:color="auto" w:fill="FFFFFF"/>
        <w:spacing w:after="0" w:line="240" w:lineRule="auto"/>
        <w:ind w:left="45" w:right="45" w:firstLine="664"/>
        <w:jc w:val="both"/>
        <w:rPr>
          <w:rFonts w:ascii="Times New Roman" w:hAnsi="Times New Roman"/>
          <w:color w:val="000000"/>
          <w:sz w:val="20"/>
          <w:szCs w:val="24"/>
          <w:lang w:eastAsia="ru-RU"/>
        </w:rPr>
      </w:pPr>
      <w:r>
        <w:rPr>
          <w:rFonts w:ascii="Times New Roman" w:hAnsi="Times New Roman"/>
          <w:color w:val="000000" w:themeColor="text1"/>
          <w:sz w:val="20"/>
          <w:szCs w:val="24"/>
          <w:lang w:eastAsia="ru-RU"/>
        </w:rPr>
        <w:t>– наложение штрафа и других взысканий не освобождает виновных от устранения допущенных нарушений и возмещения причиненного вреда, включая упущенную выгоду.</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Переходя к привлечению к уголовной ответственности, следует отметить, что данный вид ответственности намного строже и требуюет более тщательного и целенаправленного установления фактов и причин совершения экологического преступления.</w:t>
      </w:r>
    </w:p>
    <w:p w:rsidR="00517711" w:rsidRDefault="00F815BE">
      <w:pPr>
        <w:shd w:val="clear" w:color="auto" w:fill="FFFFFF"/>
        <w:spacing w:after="0" w:line="240" w:lineRule="auto"/>
        <w:ind w:left="45" w:right="45" w:firstLine="482"/>
        <w:jc w:val="both"/>
        <w:rPr>
          <w:rFonts w:ascii="Times New Roman" w:hAnsi="Times New Roman"/>
          <w:color w:val="000000"/>
          <w:sz w:val="20"/>
          <w:szCs w:val="24"/>
        </w:rPr>
      </w:pPr>
      <w:r>
        <w:rPr>
          <w:rFonts w:ascii="Times New Roman" w:hAnsi="Times New Roman"/>
          <w:color w:val="000000" w:themeColor="text1"/>
          <w:sz w:val="20"/>
          <w:szCs w:val="24"/>
          <w:lang w:eastAsia="ru-RU"/>
        </w:rPr>
        <w:lastRenderedPageBreak/>
        <w:t xml:space="preserve">К уголовной ответственности привлекаются </w:t>
      </w:r>
      <w:r>
        <w:rPr>
          <w:rFonts w:ascii="Times New Roman" w:hAnsi="Times New Roman"/>
          <w:color w:val="000000" w:themeColor="text1"/>
          <w:sz w:val="20"/>
          <w:szCs w:val="24"/>
        </w:rPr>
        <w:t>специальные субъекты — лица, на которые возложена обязанность по осуществлению контроля за сбросом в море вредных веществ: директора предприятий, капитаны судов, командиры воздушных судов, должностные лица платформ, работники платформ или члены экипажей, обязанные согласно должностным обязанностям.</w:t>
      </w:r>
    </w:p>
    <w:p w:rsidR="00517711" w:rsidRDefault="00F815BE">
      <w:pPr>
        <w:pStyle w:val="af6"/>
        <w:spacing w:before="0" w:beforeAutospacing="0" w:after="0" w:afterAutospacing="0"/>
        <w:ind w:firstLine="709"/>
        <w:jc w:val="both"/>
        <w:rPr>
          <w:color w:val="000000"/>
          <w:sz w:val="20"/>
        </w:rPr>
      </w:pPr>
      <w:r>
        <w:rPr>
          <w:color w:val="000000" w:themeColor="text1"/>
          <w:sz w:val="20"/>
        </w:rPr>
        <w:t>Субъективная сторона преступления характеризуется умыслом или неосторожностью.</w:t>
      </w:r>
    </w:p>
    <w:p w:rsidR="00517711" w:rsidRDefault="00F815BE">
      <w:pPr>
        <w:tabs>
          <w:tab w:val="left" w:pos="1069"/>
        </w:tabs>
        <w:spacing w:after="0" w:line="240" w:lineRule="auto"/>
        <w:ind w:firstLine="709"/>
        <w:jc w:val="both"/>
        <w:rPr>
          <w:rFonts w:ascii="Times New Roman" w:hAnsi="Times New Roman"/>
          <w:color w:val="000000"/>
          <w:sz w:val="20"/>
          <w:szCs w:val="24"/>
          <w:lang w:eastAsia="ru-RU"/>
        </w:rPr>
      </w:pPr>
      <w:r>
        <w:rPr>
          <w:rFonts w:ascii="Times New Roman" w:hAnsi="Times New Roman"/>
          <w:color w:val="000000" w:themeColor="text1"/>
          <w:sz w:val="20"/>
          <w:szCs w:val="24"/>
          <w:lang w:eastAsia="ru-RU"/>
        </w:rPr>
        <w:t>Для привлечения к уголовной ответственности, необходимо установление квалифицирующего признака, который выражается в размере вреда причинённого морских объектам.</w:t>
      </w:r>
    </w:p>
    <w:p w:rsidR="00517711" w:rsidRDefault="00F815BE">
      <w:pPr>
        <w:tabs>
          <w:tab w:val="left" w:pos="1069"/>
        </w:tabs>
        <w:spacing w:after="0" w:line="240" w:lineRule="auto"/>
        <w:ind w:firstLine="709"/>
        <w:jc w:val="both"/>
        <w:rPr>
          <w:rFonts w:ascii="Times New Roman" w:hAnsi="Times New Roman"/>
          <w:color w:val="000000"/>
          <w:sz w:val="20"/>
          <w:szCs w:val="24"/>
          <w:lang w:eastAsia="ru-RU"/>
        </w:rPr>
      </w:pPr>
      <w:r>
        <w:rPr>
          <w:rFonts w:ascii="Times New Roman" w:hAnsi="Times New Roman"/>
          <w:color w:val="000000" w:themeColor="text1"/>
          <w:sz w:val="20"/>
          <w:szCs w:val="24"/>
          <w:lang w:eastAsia="ru-RU"/>
        </w:rPr>
        <w:t>В необходимых случаях в целях правильного разрешения вопросов, требующих специальных познаний в области экологии, по делу должны быть проведены соответствующие экспертизы с привлечением специалистов: экологов, санитарных врачей, зоологов, ихтиологов и других.</w:t>
      </w:r>
    </w:p>
    <w:p w:rsidR="00517711" w:rsidRDefault="00F815BE">
      <w:pPr>
        <w:tabs>
          <w:tab w:val="left" w:pos="1069"/>
        </w:tabs>
        <w:spacing w:after="0" w:line="240" w:lineRule="auto"/>
        <w:ind w:firstLine="709"/>
        <w:jc w:val="both"/>
        <w:rPr>
          <w:rFonts w:ascii="Times New Roman" w:hAnsi="Times New Roman"/>
          <w:color w:val="000000"/>
          <w:sz w:val="20"/>
          <w:szCs w:val="24"/>
          <w:lang w:eastAsia="ru-RU"/>
        </w:rPr>
      </w:pPr>
      <w:r>
        <w:rPr>
          <w:rFonts w:ascii="Times New Roman" w:hAnsi="Times New Roman"/>
          <w:color w:val="000000" w:themeColor="text1"/>
          <w:sz w:val="20"/>
          <w:szCs w:val="24"/>
          <w:lang w:eastAsia="ru-RU"/>
        </w:rPr>
        <w:t xml:space="preserve">Определение объема возмещения экологического вреда и расчета суммы ущерба, причиненного экологическим правонарушением и подлежащим возмещению, надлежит руководствоваться как централизованно утвержденными методиками подсчета и установленными критериями, так и региональными нормами, конкретизирующими положения федерального законодательства. </w:t>
      </w:r>
    </w:p>
    <w:p w:rsidR="00517711" w:rsidRDefault="00F815BE">
      <w:pPr>
        <w:spacing w:after="0" w:line="240" w:lineRule="auto"/>
        <w:ind w:firstLine="708"/>
        <w:jc w:val="both"/>
        <w:rPr>
          <w:rFonts w:ascii="Times New Roman" w:hAnsi="Times New Roman"/>
          <w:color w:val="000000"/>
          <w:sz w:val="20"/>
          <w:szCs w:val="24"/>
          <w:lang w:eastAsia="ru-RU"/>
        </w:rPr>
      </w:pPr>
      <w:r>
        <w:rPr>
          <w:rFonts w:ascii="Times New Roman" w:hAnsi="Times New Roman"/>
          <w:color w:val="000000" w:themeColor="text1"/>
          <w:sz w:val="20"/>
          <w:szCs w:val="24"/>
          <w:lang w:eastAsia="ru-RU"/>
        </w:rPr>
        <w:t>Особенности непосредственного привлечения к уголовной ответственности заключается в наличие следующих условий:</w:t>
      </w:r>
    </w:p>
    <w:p w:rsidR="00517711" w:rsidRDefault="00F815BE">
      <w:pPr>
        <w:numPr>
          <w:ilvl w:val="0"/>
          <w:numId w:val="82"/>
        </w:numPr>
        <w:tabs>
          <w:tab w:val="left" w:pos="993"/>
        </w:tabs>
        <w:spacing w:after="0" w:line="240" w:lineRule="auto"/>
        <w:ind w:left="0" w:firstLine="709"/>
        <w:jc w:val="both"/>
        <w:rPr>
          <w:rFonts w:ascii="Times New Roman" w:hAnsi="Times New Roman"/>
          <w:color w:val="000000"/>
          <w:sz w:val="20"/>
          <w:szCs w:val="24"/>
          <w:lang w:eastAsia="ru-RU"/>
        </w:rPr>
      </w:pPr>
      <w:r>
        <w:rPr>
          <w:rFonts w:ascii="Times New Roman" w:hAnsi="Times New Roman"/>
          <w:color w:val="000000" w:themeColor="text1"/>
          <w:sz w:val="20"/>
          <w:szCs w:val="24"/>
          <w:lang w:eastAsia="ru-RU"/>
        </w:rPr>
        <w:t>установление субъекта преступления,</w:t>
      </w:r>
    </w:p>
    <w:p w:rsidR="00517711" w:rsidRDefault="00F815BE">
      <w:pPr>
        <w:numPr>
          <w:ilvl w:val="0"/>
          <w:numId w:val="82"/>
        </w:numPr>
        <w:tabs>
          <w:tab w:val="left" w:pos="993"/>
        </w:tabs>
        <w:spacing w:after="0" w:line="240" w:lineRule="auto"/>
        <w:ind w:left="0" w:firstLine="709"/>
        <w:jc w:val="both"/>
        <w:rPr>
          <w:rFonts w:ascii="Times New Roman" w:hAnsi="Times New Roman"/>
          <w:color w:val="000000"/>
          <w:sz w:val="20"/>
          <w:szCs w:val="24"/>
          <w:lang w:eastAsia="ru-RU"/>
        </w:rPr>
      </w:pPr>
      <w:r>
        <w:rPr>
          <w:rFonts w:ascii="Times New Roman" w:hAnsi="Times New Roman"/>
          <w:color w:val="000000" w:themeColor="text1"/>
          <w:sz w:val="20"/>
          <w:szCs w:val="24"/>
          <w:lang w:eastAsia="ru-RU"/>
        </w:rPr>
        <w:t>наличие действий, в результате которых произошло загрязнение морской среды, обычно эти действия вызваны сбросом вредных веществ, нарушением правил захоронения отходов или нарушения технических требований к оборудованию,</w:t>
      </w:r>
    </w:p>
    <w:p w:rsidR="00517711" w:rsidRDefault="00F815BE">
      <w:pPr>
        <w:numPr>
          <w:ilvl w:val="0"/>
          <w:numId w:val="82"/>
        </w:numPr>
        <w:tabs>
          <w:tab w:val="left" w:pos="993"/>
        </w:tabs>
        <w:spacing w:after="0" w:line="240" w:lineRule="auto"/>
        <w:ind w:left="0" w:firstLine="709"/>
        <w:jc w:val="both"/>
        <w:rPr>
          <w:rFonts w:ascii="Times New Roman" w:hAnsi="Times New Roman"/>
          <w:color w:val="000000"/>
          <w:sz w:val="20"/>
          <w:szCs w:val="24"/>
          <w:lang w:eastAsia="ru-RU"/>
        </w:rPr>
      </w:pPr>
      <w:r>
        <w:rPr>
          <w:rFonts w:ascii="Times New Roman" w:hAnsi="Times New Roman"/>
          <w:color w:val="000000" w:themeColor="text1"/>
          <w:sz w:val="20"/>
          <w:szCs w:val="24"/>
          <w:lang w:eastAsia="ru-RU"/>
        </w:rPr>
        <w:t>наступление негативных последствий, т.е. загрязнение определенного района окружающей морской среды;</w:t>
      </w:r>
    </w:p>
    <w:p w:rsidR="00517711" w:rsidRDefault="00F815BE">
      <w:pPr>
        <w:spacing w:after="0" w:line="240" w:lineRule="auto"/>
        <w:ind w:firstLine="708"/>
        <w:jc w:val="both"/>
        <w:rPr>
          <w:rFonts w:ascii="Times New Roman" w:hAnsi="Times New Roman"/>
          <w:color w:val="000000"/>
          <w:sz w:val="20"/>
          <w:szCs w:val="24"/>
          <w:shd w:val="clear" w:color="auto" w:fill="FFFFFF"/>
        </w:rPr>
      </w:pPr>
      <w:r>
        <w:rPr>
          <w:rFonts w:ascii="Times New Roman" w:hAnsi="Times New Roman"/>
          <w:color w:val="000000" w:themeColor="text1"/>
          <w:sz w:val="20"/>
          <w:szCs w:val="24"/>
          <w:lang w:eastAsia="ru-RU"/>
        </w:rPr>
        <w:t xml:space="preserve">Особенности наложения уголовной ответственности закреплены в санкции статьи 252 УК РФ. Данные санкции носят материальный и личностный характер. Материальные санкции выражаются в наложении </w:t>
      </w:r>
      <w:r>
        <w:rPr>
          <w:rFonts w:ascii="Times New Roman" w:hAnsi="Times New Roman"/>
          <w:color w:val="000000" w:themeColor="text1"/>
          <w:sz w:val="20"/>
          <w:szCs w:val="24"/>
        </w:rPr>
        <w:t>штрафа. Штраф</w:t>
      </w:r>
      <w:r>
        <w:rPr>
          <w:color w:val="000000" w:themeColor="text1"/>
          <w:sz w:val="20"/>
          <w:szCs w:val="24"/>
        </w:rPr>
        <w:t xml:space="preserve"> </w:t>
      </w:r>
      <w:r>
        <w:rPr>
          <w:rFonts w:ascii="Times New Roman" w:hAnsi="Times New Roman"/>
          <w:color w:val="000000" w:themeColor="text1"/>
          <w:sz w:val="20"/>
          <w:szCs w:val="24"/>
        </w:rPr>
        <w:t xml:space="preserve">предусмотрен практически за все экологические преступления, размер зависит от характера совершенного преступления. За преступление, предусмотренное </w:t>
      </w:r>
      <w:r>
        <w:rPr>
          <w:rFonts w:ascii="Times New Roman" w:hAnsi="Times New Roman"/>
          <w:color w:val="000000" w:themeColor="text1"/>
          <w:sz w:val="20"/>
          <w:szCs w:val="24"/>
          <w:lang w:eastAsia="ru-RU"/>
        </w:rPr>
        <w:t>п. 1 указанной статьи, размер штрафа определен до 200 000 тысяч рублей или в размере заработной платы или иного дохода, осужденного за период до 18 месяцев; в соответствии с п. 2 - до 500 000 тысяч рублей или в размере заработной платы или иного дохода, осужденного за период до 3 лет. Уголовное наказание также может быть выражено в привлечении к обязательным работам на</w:t>
      </w:r>
      <w:r>
        <w:rPr>
          <w:rFonts w:ascii="Times New Roman" w:hAnsi="Times New Roman"/>
          <w:color w:val="000000" w:themeColor="text1"/>
          <w:sz w:val="20"/>
          <w:shd w:val="clear" w:color="auto" w:fill="FFFFFF"/>
        </w:rPr>
        <w:t xml:space="preserve"> срок 480 ч., что составляет порядка 60 рабочих дней (при 8 часовом рабочем дне); к и</w:t>
      </w:r>
      <w:r>
        <w:rPr>
          <w:rFonts w:ascii="Times New Roman" w:hAnsi="Times New Roman"/>
          <w:color w:val="000000" w:themeColor="text1"/>
          <w:sz w:val="20"/>
          <w:szCs w:val="24"/>
          <w:shd w:val="clear" w:color="auto" w:fill="FFFFFF"/>
        </w:rPr>
        <w:t>справительным работам сроком до 2 лет</w:t>
      </w:r>
      <w:r>
        <w:rPr>
          <w:rFonts w:ascii="Times New Roman" w:hAnsi="Times New Roman"/>
          <w:color w:val="000000" w:themeColor="text1"/>
          <w:sz w:val="20"/>
          <w:shd w:val="clear" w:color="auto" w:fill="FFFFFF"/>
        </w:rPr>
        <w:t>. Кроме того, уголовное наказание может быть в виде л</w:t>
      </w:r>
      <w:r>
        <w:rPr>
          <w:rStyle w:val="affe"/>
          <w:rFonts w:ascii="Times New Roman" w:hAnsi="Times New Roman"/>
          <w:b w:val="0"/>
          <w:color w:val="000000" w:themeColor="text1"/>
          <w:sz w:val="20"/>
          <w:szCs w:val="24"/>
        </w:rPr>
        <w:t>ишения права занимать определенные должности или заниматься определенной деятельностью</w:t>
      </w:r>
      <w:r>
        <w:rPr>
          <w:rFonts w:ascii="Times New Roman" w:hAnsi="Times New Roman"/>
          <w:color w:val="000000" w:themeColor="text1"/>
          <w:sz w:val="20"/>
          <w:szCs w:val="24"/>
        </w:rPr>
        <w:t xml:space="preserve"> на срок</w:t>
      </w:r>
      <w:r>
        <w:rPr>
          <w:rFonts w:ascii="Times New Roman" w:hAnsi="Times New Roman"/>
          <w:color w:val="000000" w:themeColor="text1"/>
          <w:sz w:val="20"/>
          <w:szCs w:val="24"/>
          <w:shd w:val="clear" w:color="auto" w:fill="FFFFFF"/>
        </w:rPr>
        <w:t xml:space="preserve"> пяти лет в зависимости от тяжести преступления и причиненного ущерба окружающей морской среде. </w:t>
      </w:r>
    </w:p>
    <w:p w:rsidR="00517711" w:rsidRDefault="00F815BE">
      <w:pPr>
        <w:spacing w:after="0" w:line="240" w:lineRule="auto"/>
        <w:ind w:firstLine="708"/>
        <w:jc w:val="both"/>
        <w:rPr>
          <w:rStyle w:val="affe"/>
          <w:rFonts w:ascii="Times New Roman" w:hAnsi="Times New Roman"/>
          <w:color w:val="000000"/>
          <w:sz w:val="20"/>
          <w:szCs w:val="24"/>
        </w:rPr>
      </w:pPr>
      <w:r>
        <w:rPr>
          <w:rFonts w:ascii="Times New Roman" w:hAnsi="Times New Roman"/>
          <w:color w:val="000000" w:themeColor="text1"/>
          <w:sz w:val="20"/>
          <w:szCs w:val="24"/>
          <w:shd w:val="clear" w:color="auto" w:fill="FFFFFF"/>
        </w:rPr>
        <w:t>Уголовный кодекс также в качестве наказания предусматривает арест</w:t>
      </w:r>
      <w:r>
        <w:rPr>
          <w:rStyle w:val="affe"/>
          <w:rFonts w:ascii="Times New Roman" w:hAnsi="Times New Roman"/>
          <w:color w:val="000000" w:themeColor="text1"/>
          <w:sz w:val="20"/>
          <w:szCs w:val="24"/>
        </w:rPr>
        <w:t xml:space="preserve"> </w:t>
      </w:r>
      <w:r>
        <w:rPr>
          <w:rStyle w:val="affe"/>
          <w:rFonts w:ascii="Times New Roman" w:hAnsi="Times New Roman"/>
          <w:b w:val="0"/>
          <w:color w:val="000000" w:themeColor="text1"/>
          <w:sz w:val="20"/>
          <w:szCs w:val="24"/>
        </w:rPr>
        <w:t>и лишение свободы</w:t>
      </w:r>
      <w:r>
        <w:rPr>
          <w:rStyle w:val="affe"/>
          <w:rFonts w:ascii="Times New Roman" w:hAnsi="Times New Roman"/>
          <w:color w:val="000000" w:themeColor="text1"/>
          <w:sz w:val="20"/>
          <w:szCs w:val="24"/>
        </w:rPr>
        <w:t xml:space="preserve">. </w:t>
      </w:r>
      <w:r>
        <w:rPr>
          <w:rFonts w:ascii="Times New Roman" w:hAnsi="Times New Roman"/>
          <w:color w:val="000000" w:themeColor="text1"/>
          <w:sz w:val="20"/>
          <w:szCs w:val="24"/>
        </w:rPr>
        <w:t xml:space="preserve">  Особенностью ареста является то, что осужденного содержат в условиях строгой изоляции от общества в специализированном исправительном учреждении. Срок заключения за загрязнение морской среды предусматривается до 4 месяцев. </w:t>
      </w:r>
      <w:r>
        <w:rPr>
          <w:rStyle w:val="affe"/>
          <w:rFonts w:ascii="Times New Roman" w:hAnsi="Times New Roman"/>
          <w:b w:val="0"/>
          <w:color w:val="000000" w:themeColor="text1"/>
          <w:sz w:val="20"/>
          <w:szCs w:val="24"/>
        </w:rPr>
        <w:t>Лишение свободы применяется сроком до 5 лет</w:t>
      </w:r>
      <w:r>
        <w:rPr>
          <w:rStyle w:val="affe"/>
          <w:rFonts w:ascii="Times New Roman" w:hAnsi="Times New Roman"/>
          <w:color w:val="000000" w:themeColor="text1"/>
          <w:sz w:val="20"/>
          <w:szCs w:val="24"/>
        </w:rPr>
        <w:t>.</w:t>
      </w:r>
    </w:p>
    <w:p w:rsidR="00517711" w:rsidRDefault="00F815BE">
      <w:pPr>
        <w:pStyle w:val="1"/>
        <w:spacing w:before="0" w:beforeAutospacing="0" w:after="0" w:afterAutospacing="0"/>
        <w:ind w:firstLine="709"/>
        <w:jc w:val="both"/>
        <w:rPr>
          <w:rStyle w:val="affe"/>
          <w:rFonts w:eastAsia="MS Mincho"/>
          <w:color w:val="000000"/>
          <w:sz w:val="20"/>
          <w:szCs w:val="24"/>
        </w:rPr>
      </w:pPr>
      <w:r>
        <w:rPr>
          <w:rStyle w:val="affe"/>
          <w:rFonts w:eastAsia="MS Mincho"/>
          <w:color w:val="000000" w:themeColor="text1"/>
          <w:sz w:val="20"/>
          <w:szCs w:val="24"/>
        </w:rPr>
        <w:t>Подводя итоги, отметим тот факт, что из сравнения уголовных и административных санкций за правонарушения, связанные с загрязнением морской среды с судов, следует, что:</w:t>
      </w:r>
    </w:p>
    <w:p w:rsidR="00517711" w:rsidRDefault="00F815BE">
      <w:pPr>
        <w:pStyle w:val="1"/>
        <w:spacing w:before="0" w:beforeAutospacing="0" w:after="0" w:afterAutospacing="0"/>
        <w:ind w:firstLine="709"/>
        <w:jc w:val="both"/>
        <w:rPr>
          <w:rStyle w:val="affe"/>
          <w:rFonts w:eastAsia="MS Mincho"/>
          <w:color w:val="000000"/>
          <w:sz w:val="20"/>
          <w:szCs w:val="24"/>
        </w:rPr>
      </w:pPr>
      <w:r>
        <w:rPr>
          <w:rStyle w:val="affe"/>
          <w:rFonts w:eastAsia="MS Mincho"/>
          <w:color w:val="000000" w:themeColor="text1"/>
          <w:sz w:val="20"/>
          <w:szCs w:val="24"/>
        </w:rPr>
        <w:t>уголовные санкции намного строже и могут выражаться не только в материальной форме, но и в санкциях против личности в форме ареста и лишения свободы конкретного лица (специального субъекта);</w:t>
      </w:r>
    </w:p>
    <w:p w:rsidR="00517711" w:rsidRDefault="00F815BE">
      <w:pPr>
        <w:pStyle w:val="af6"/>
        <w:tabs>
          <w:tab w:val="left" w:pos="993"/>
        </w:tabs>
        <w:spacing w:before="0" w:beforeAutospacing="0" w:after="0" w:afterAutospacing="0"/>
        <w:ind w:firstLine="709"/>
        <w:jc w:val="both"/>
        <w:rPr>
          <w:color w:val="000000"/>
          <w:sz w:val="20"/>
        </w:rPr>
      </w:pPr>
      <w:r>
        <w:rPr>
          <w:color w:val="000000" w:themeColor="text1"/>
          <w:sz w:val="20"/>
        </w:rPr>
        <w:t>объективная сторона выражается в форме действия или бездействия, которые заключаются в ухудшении условий окружающей морской среды из-за халатного или намеренного сброса отходов с морских судов, нарушение порядка и норм транспортировки.</w:t>
      </w:r>
    </w:p>
    <w:p w:rsidR="00517711" w:rsidRDefault="00517711">
      <w:pPr>
        <w:spacing w:after="0" w:line="240" w:lineRule="auto"/>
        <w:ind w:firstLine="709"/>
        <w:jc w:val="both"/>
        <w:rPr>
          <w:rStyle w:val="affe"/>
          <w:rFonts w:ascii="Times New Roman" w:hAnsi="Times New Roman"/>
          <w:b w:val="0"/>
          <w:bCs w:val="0"/>
          <w:color w:val="000000"/>
          <w:sz w:val="20"/>
          <w:szCs w:val="24"/>
          <w:lang w:eastAsia="ru-RU"/>
        </w:rPr>
      </w:pPr>
    </w:p>
    <w:p w:rsidR="00517711" w:rsidRDefault="00F815BE">
      <w:pPr>
        <w:spacing w:before="100" w:beforeAutospacing="1" w:after="100" w:afterAutospacing="1" w:line="240" w:lineRule="auto"/>
        <w:rPr>
          <w:rFonts w:ascii="Times New Roman" w:hAnsi="Times New Roman"/>
          <w:b/>
          <w:color w:val="000000"/>
          <w:sz w:val="20"/>
          <w:szCs w:val="24"/>
        </w:rPr>
      </w:pPr>
      <w:r>
        <w:rPr>
          <w:rFonts w:ascii="Times New Roman" w:hAnsi="Times New Roman"/>
          <w:b/>
          <w:color w:val="000000" w:themeColor="text1"/>
          <w:sz w:val="20"/>
          <w:szCs w:val="24"/>
        </w:rPr>
        <w:t>_____________________________________________________________________</w:t>
      </w:r>
    </w:p>
    <w:p w:rsidR="00517711" w:rsidRDefault="00F815BE">
      <w:pPr>
        <w:pStyle w:val="af4"/>
        <w:numPr>
          <w:ilvl w:val="0"/>
          <w:numId w:val="81"/>
        </w:numPr>
        <w:tabs>
          <w:tab w:val="left" w:pos="993"/>
        </w:tabs>
        <w:spacing w:after="0" w:line="240" w:lineRule="auto"/>
        <w:ind w:left="0" w:firstLine="709"/>
        <w:jc w:val="both"/>
        <w:rPr>
          <w:rStyle w:val="aa"/>
          <w:rFonts w:ascii="Times New Roman" w:hAnsi="Times New Roman"/>
          <w:color w:val="000000"/>
          <w:sz w:val="20"/>
          <w:szCs w:val="24"/>
          <w:shd w:val="clear" w:color="auto" w:fill="FFFFFF"/>
        </w:rPr>
      </w:pPr>
      <w:r>
        <w:rPr>
          <w:rFonts w:ascii="Times New Roman" w:hAnsi="Times New Roman"/>
          <w:color w:val="000000" w:themeColor="text1"/>
          <w:sz w:val="20"/>
          <w:szCs w:val="24"/>
          <w:shd w:val="clear" w:color="auto" w:fill="FFFFFF"/>
        </w:rPr>
        <w:t>Конвенция по предотвращению загрязнения моря сбросами отходов и других материалов: от 29.12.1972 г.</w:t>
      </w:r>
      <w:r>
        <w:rPr>
          <w:rFonts w:ascii="Times New Roman" w:hAnsi="Times New Roman"/>
          <w:bCs/>
          <w:color w:val="000000" w:themeColor="text1"/>
          <w:sz w:val="20"/>
          <w:szCs w:val="24"/>
          <w:shd w:val="clear" w:color="auto" w:fill="FFFFFF"/>
        </w:rPr>
        <w:t xml:space="preserve"> </w:t>
      </w:r>
      <w:r>
        <w:rPr>
          <w:rFonts w:ascii="Times New Roman" w:hAnsi="Times New Roman"/>
          <w:color w:val="000000" w:themeColor="text1"/>
          <w:sz w:val="20"/>
          <w:szCs w:val="24"/>
        </w:rPr>
        <w:t xml:space="preserve">[Электронный ресурс] // Электронный фонд правовой и нормативно-технической документации. - Режим доступа: </w:t>
      </w:r>
      <w:hyperlink r:id="rId190" w:history="1">
        <w:r>
          <w:rPr>
            <w:rStyle w:val="aa"/>
            <w:rFonts w:ascii="Times New Roman" w:hAnsi="Times New Roman"/>
            <w:color w:val="000000" w:themeColor="text1"/>
            <w:sz w:val="20"/>
            <w:szCs w:val="24"/>
          </w:rPr>
          <w:t>http://docs.cntd.ru/document/901764502</w:t>
        </w:r>
      </w:hyperlink>
    </w:p>
    <w:p w:rsidR="00517711" w:rsidRDefault="00F815BE">
      <w:pPr>
        <w:pStyle w:val="af4"/>
        <w:numPr>
          <w:ilvl w:val="0"/>
          <w:numId w:val="81"/>
        </w:numPr>
        <w:tabs>
          <w:tab w:val="left" w:pos="993"/>
        </w:tabs>
        <w:spacing w:after="0" w:line="240" w:lineRule="auto"/>
        <w:ind w:left="0" w:firstLine="709"/>
        <w:jc w:val="both"/>
        <w:rPr>
          <w:rFonts w:ascii="Times New Roman" w:hAnsi="Times New Roman"/>
          <w:color w:val="000000"/>
          <w:sz w:val="20"/>
          <w:szCs w:val="24"/>
        </w:rPr>
      </w:pPr>
      <w:r>
        <w:rPr>
          <w:rFonts w:ascii="Times New Roman" w:hAnsi="Times New Roman"/>
          <w:color w:val="000000" w:themeColor="text1"/>
          <w:sz w:val="20"/>
          <w:szCs w:val="24"/>
        </w:rPr>
        <w:t xml:space="preserve">Международная конвенция по предотвращению загрязнения с судов 1973 г. (МАРПОЛ) </w:t>
      </w:r>
      <w:r>
        <w:rPr>
          <w:rFonts w:ascii="Times New Roman" w:hAnsi="Times New Roman"/>
          <w:color w:val="000000" w:themeColor="text1"/>
          <w:sz w:val="20"/>
          <w:szCs w:val="24"/>
          <w:shd w:val="clear" w:color="auto" w:fill="FFFFFF"/>
        </w:rPr>
        <w:t xml:space="preserve">[Электронный ресурс] // </w:t>
      </w:r>
      <w:r>
        <w:rPr>
          <w:rFonts w:ascii="Times New Roman" w:hAnsi="Times New Roman"/>
          <w:color w:val="000000" w:themeColor="text1"/>
          <w:sz w:val="20"/>
          <w:szCs w:val="24"/>
        </w:rPr>
        <w:t xml:space="preserve">Электронный фонд правовой и нормативно-технической документации. - Режим доступа: </w:t>
      </w:r>
      <w:hyperlink r:id="rId191" w:history="1">
        <w:r>
          <w:rPr>
            <w:rStyle w:val="aa"/>
            <w:rFonts w:ascii="Times New Roman" w:hAnsi="Times New Roman"/>
            <w:color w:val="000000" w:themeColor="text1"/>
            <w:sz w:val="20"/>
            <w:szCs w:val="24"/>
          </w:rPr>
          <w:t>http://www.randewy.ru/prot/marpol.html</w:t>
        </w:r>
      </w:hyperlink>
    </w:p>
    <w:p w:rsidR="00517711" w:rsidRDefault="00F815BE">
      <w:pPr>
        <w:pStyle w:val="af4"/>
        <w:numPr>
          <w:ilvl w:val="0"/>
          <w:numId w:val="81"/>
        </w:numPr>
        <w:tabs>
          <w:tab w:val="left" w:pos="993"/>
        </w:tabs>
        <w:spacing w:after="0" w:line="240" w:lineRule="auto"/>
        <w:ind w:left="0" w:firstLine="709"/>
        <w:jc w:val="both"/>
        <w:rPr>
          <w:rFonts w:ascii="Times New Roman" w:hAnsi="Times New Roman"/>
          <w:color w:val="000000"/>
          <w:sz w:val="20"/>
          <w:szCs w:val="24"/>
        </w:rPr>
      </w:pPr>
      <w:r>
        <w:rPr>
          <w:rFonts w:ascii="Times New Roman" w:hAnsi="Times New Roman"/>
          <w:color w:val="000000" w:themeColor="text1"/>
          <w:sz w:val="20"/>
          <w:szCs w:val="24"/>
        </w:rPr>
        <w:t xml:space="preserve">Конвенция ООН по морскому праву: от 10.12.1982 г. (ред. 11.03.2018 г.) [Электронный ресурс] // Электронный фонд правовой и нормативно-технической документации. -  Режим доступа: </w:t>
      </w:r>
      <w:hyperlink r:id="rId192" w:history="1">
        <w:r>
          <w:rPr>
            <w:rStyle w:val="aa"/>
            <w:rFonts w:ascii="Times New Roman" w:hAnsi="Times New Roman"/>
            <w:color w:val="000000" w:themeColor="text1"/>
            <w:sz w:val="20"/>
            <w:szCs w:val="24"/>
          </w:rPr>
          <w:t>http://www.consultant.ru/document/ cons_doc_LAW_121270/</w:t>
        </w:r>
      </w:hyperlink>
    </w:p>
    <w:p w:rsidR="00517711" w:rsidRDefault="00F815BE">
      <w:pPr>
        <w:pStyle w:val="af4"/>
        <w:numPr>
          <w:ilvl w:val="0"/>
          <w:numId w:val="81"/>
        </w:numPr>
        <w:tabs>
          <w:tab w:val="left" w:pos="993"/>
        </w:tabs>
        <w:spacing w:after="0" w:line="240" w:lineRule="auto"/>
        <w:ind w:left="0" w:firstLine="709"/>
        <w:jc w:val="both"/>
        <w:rPr>
          <w:rFonts w:ascii="Times New Roman" w:hAnsi="Times New Roman"/>
          <w:color w:val="000000"/>
          <w:sz w:val="20"/>
          <w:szCs w:val="24"/>
        </w:rPr>
      </w:pPr>
      <w:r>
        <w:rPr>
          <w:rFonts w:ascii="Times New Roman" w:hAnsi="Times New Roman"/>
          <w:color w:val="000000" w:themeColor="text1"/>
          <w:sz w:val="20"/>
          <w:szCs w:val="24"/>
        </w:rPr>
        <w:t>Международная конвенция по предотвращению загрязнений с судов 1973 года, изменённая Протоколом 1978 года (МАРПОЛ 73/78) (ред. от 26.09.1997 г.) [Электронный ресурс] // Электронный фонд правовой и нормативно-технической документации. - Режим доступа:</w:t>
      </w:r>
      <w:hyperlink r:id="rId193" w:history="1">
        <w:r>
          <w:rPr>
            <w:rStyle w:val="aa"/>
            <w:rFonts w:ascii="Times New Roman" w:hAnsi="Times New Roman"/>
            <w:color w:val="000000" w:themeColor="text1"/>
            <w:sz w:val="20"/>
            <w:szCs w:val="24"/>
          </w:rPr>
          <w:t>http://docs.cntd.ru/document/901764502</w:t>
        </w:r>
      </w:hyperlink>
    </w:p>
    <w:p w:rsidR="00517711" w:rsidRDefault="00F815BE">
      <w:pPr>
        <w:pStyle w:val="af4"/>
        <w:numPr>
          <w:ilvl w:val="0"/>
          <w:numId w:val="81"/>
        </w:numPr>
        <w:tabs>
          <w:tab w:val="left" w:pos="993"/>
        </w:tabs>
        <w:spacing w:after="0" w:line="240" w:lineRule="auto"/>
        <w:ind w:left="0" w:firstLine="709"/>
        <w:jc w:val="both"/>
        <w:rPr>
          <w:rFonts w:ascii="Times New Roman" w:hAnsi="Times New Roman"/>
          <w:color w:val="000000"/>
          <w:sz w:val="20"/>
          <w:szCs w:val="24"/>
        </w:rPr>
      </w:pPr>
      <w:r>
        <w:rPr>
          <w:rFonts w:ascii="Times New Roman" w:hAnsi="Times New Roman"/>
          <w:color w:val="000000" w:themeColor="text1"/>
          <w:sz w:val="20"/>
          <w:szCs w:val="24"/>
        </w:rPr>
        <w:t>Конвенция ООН по предотвращению загрязнения моря сбросами отходов и других материалов: от 29.12.1972 г. (действующая редакция) [Электронный ресурс] // Электронный фонд правовой и нормативно-</w:t>
      </w:r>
      <w:r>
        <w:rPr>
          <w:rFonts w:ascii="Times New Roman" w:hAnsi="Times New Roman"/>
          <w:color w:val="000000" w:themeColor="text1"/>
          <w:sz w:val="20"/>
          <w:szCs w:val="24"/>
        </w:rPr>
        <w:lastRenderedPageBreak/>
        <w:t xml:space="preserve">технической документации. - Режим доступа: </w:t>
      </w:r>
      <w:hyperlink r:id="rId194" w:history="1">
        <w:r>
          <w:rPr>
            <w:rStyle w:val="aa"/>
            <w:rFonts w:ascii="Times New Roman" w:hAnsi="Times New Roman"/>
            <w:color w:val="000000" w:themeColor="text1"/>
            <w:sz w:val="20"/>
            <w:szCs w:val="24"/>
          </w:rPr>
          <w:t>http://www.un.org/ru/documents/decl_conv/conventions/dumping.shtml</w:t>
        </w:r>
      </w:hyperlink>
    </w:p>
    <w:p w:rsidR="00517711" w:rsidRDefault="00F815BE">
      <w:pPr>
        <w:pStyle w:val="af4"/>
        <w:numPr>
          <w:ilvl w:val="0"/>
          <w:numId w:val="81"/>
        </w:numPr>
        <w:tabs>
          <w:tab w:val="left" w:pos="993"/>
        </w:tabs>
        <w:spacing w:after="0" w:line="240" w:lineRule="auto"/>
        <w:ind w:left="0" w:firstLine="709"/>
        <w:jc w:val="both"/>
        <w:rPr>
          <w:rFonts w:ascii="Times New Roman" w:hAnsi="Times New Roman"/>
          <w:color w:val="000000"/>
          <w:sz w:val="20"/>
          <w:szCs w:val="24"/>
        </w:rPr>
      </w:pPr>
      <w:r>
        <w:rPr>
          <w:rFonts w:ascii="Times New Roman" w:hAnsi="Times New Roman"/>
          <w:color w:val="000000" w:themeColor="text1"/>
          <w:sz w:val="20"/>
          <w:szCs w:val="24"/>
        </w:rPr>
        <w:t>Конституция Российской Федерации: от 12.12.1993 г. (ред. от 21.07.2014 г.) № 11-ФКЗ [Электронный ресурс] // Электронный фонд правовой и нормативно-технической документации. - Режим доступа:http://www.constitution.ru/</w:t>
      </w:r>
    </w:p>
    <w:p w:rsidR="00517711" w:rsidRDefault="00F815BE">
      <w:pPr>
        <w:pStyle w:val="af4"/>
        <w:numPr>
          <w:ilvl w:val="0"/>
          <w:numId w:val="81"/>
        </w:numPr>
        <w:tabs>
          <w:tab w:val="left" w:pos="993"/>
        </w:tabs>
        <w:spacing w:after="0" w:line="240" w:lineRule="auto"/>
        <w:ind w:left="0" w:firstLine="709"/>
        <w:jc w:val="both"/>
        <w:rPr>
          <w:rFonts w:ascii="Times New Roman" w:hAnsi="Times New Roman"/>
          <w:color w:val="000000"/>
          <w:sz w:val="20"/>
          <w:szCs w:val="24"/>
        </w:rPr>
      </w:pPr>
      <w:r>
        <w:rPr>
          <w:rFonts w:ascii="Times New Roman" w:hAnsi="Times New Roman"/>
          <w:color w:val="000000" w:themeColor="text1"/>
          <w:sz w:val="20"/>
          <w:szCs w:val="24"/>
        </w:rPr>
        <w:t xml:space="preserve">Водный кодекс Российской Федерации: от 03.06.2006 № 74-ФЗ (ред. от 29.07.2017) [Электронный ресурс] // Электронный фонд правовой и нормативно-технической документации. - Режим доступа: </w:t>
      </w:r>
      <w:hyperlink r:id="rId195" w:history="1">
        <w:r>
          <w:rPr>
            <w:rFonts w:ascii="Times New Roman" w:hAnsi="Times New Roman"/>
            <w:color w:val="000000" w:themeColor="text1"/>
            <w:sz w:val="20"/>
            <w:szCs w:val="24"/>
          </w:rPr>
          <w:t>http://www.consultant.ru/document/cons_doc_LAW_60683/</w:t>
        </w:r>
      </w:hyperlink>
    </w:p>
    <w:p w:rsidR="00517711" w:rsidRDefault="00F815BE">
      <w:pPr>
        <w:pStyle w:val="af4"/>
        <w:numPr>
          <w:ilvl w:val="0"/>
          <w:numId w:val="81"/>
        </w:numPr>
        <w:tabs>
          <w:tab w:val="left" w:pos="993"/>
        </w:tabs>
        <w:spacing w:after="0" w:line="240" w:lineRule="auto"/>
        <w:ind w:left="0" w:firstLine="709"/>
        <w:jc w:val="both"/>
        <w:rPr>
          <w:rFonts w:ascii="Times New Roman" w:hAnsi="Times New Roman"/>
          <w:color w:val="000000"/>
          <w:sz w:val="20"/>
          <w:szCs w:val="24"/>
        </w:rPr>
      </w:pPr>
      <w:r>
        <w:rPr>
          <w:rFonts w:ascii="Times New Roman" w:hAnsi="Times New Roman"/>
          <w:color w:val="000000" w:themeColor="text1"/>
          <w:sz w:val="20"/>
          <w:szCs w:val="24"/>
        </w:rPr>
        <w:t xml:space="preserve">Об охране окружающей среды: Федеральный закон от 10.01.2002 №7-ФЗ [Электронный ресурс] // Режим доступа: </w:t>
      </w:r>
      <w:hyperlink r:id="rId196" w:history="1">
        <w:r>
          <w:rPr>
            <w:rFonts w:ascii="Times New Roman" w:hAnsi="Times New Roman"/>
            <w:color w:val="000000" w:themeColor="text1"/>
            <w:sz w:val="20"/>
            <w:szCs w:val="24"/>
          </w:rPr>
          <w:t>http://www.consultant.ru/document/cons_doc_LAW_34823/</w:t>
        </w:r>
      </w:hyperlink>
    </w:p>
    <w:p w:rsidR="00517711" w:rsidRDefault="00F815BE">
      <w:pPr>
        <w:pStyle w:val="af4"/>
        <w:numPr>
          <w:ilvl w:val="0"/>
          <w:numId w:val="81"/>
        </w:numPr>
        <w:tabs>
          <w:tab w:val="left" w:pos="993"/>
        </w:tabs>
        <w:spacing w:after="0" w:line="240" w:lineRule="auto"/>
        <w:ind w:left="0" w:firstLine="709"/>
        <w:jc w:val="both"/>
        <w:rPr>
          <w:rFonts w:ascii="Times New Roman" w:hAnsi="Times New Roman"/>
          <w:color w:val="000000"/>
          <w:sz w:val="20"/>
          <w:szCs w:val="24"/>
        </w:rPr>
      </w:pPr>
      <w:r>
        <w:rPr>
          <w:rFonts w:ascii="Times New Roman" w:hAnsi="Times New Roman"/>
          <w:color w:val="000000" w:themeColor="text1"/>
          <w:sz w:val="20"/>
          <w:szCs w:val="24"/>
        </w:rPr>
        <w:t>Уголовный кодекс Российской Федерации: от 13.06.1996 (ред. от 19.02.2018) [Электронный ресурс] // Электронный фонд правовой и нормативно-технической документации. - Режим доступа:http://www.consultant.ru/document/cons_doc_law_10699/</w:t>
      </w:r>
    </w:p>
    <w:p w:rsidR="00517711" w:rsidRDefault="00F815BE">
      <w:pPr>
        <w:pStyle w:val="af4"/>
        <w:numPr>
          <w:ilvl w:val="0"/>
          <w:numId w:val="81"/>
        </w:numPr>
        <w:tabs>
          <w:tab w:val="left" w:pos="993"/>
        </w:tabs>
        <w:spacing w:after="0" w:line="240" w:lineRule="auto"/>
        <w:ind w:left="0" w:firstLine="709"/>
        <w:jc w:val="both"/>
        <w:rPr>
          <w:rFonts w:ascii="Times New Roman" w:hAnsi="Times New Roman"/>
          <w:color w:val="000000"/>
          <w:sz w:val="20"/>
          <w:szCs w:val="24"/>
        </w:rPr>
      </w:pPr>
      <w:r>
        <w:rPr>
          <w:rFonts w:ascii="Times New Roman" w:hAnsi="Times New Roman"/>
          <w:color w:val="000000" w:themeColor="text1"/>
          <w:sz w:val="20"/>
          <w:szCs w:val="24"/>
        </w:rPr>
        <w:t>Кодекс Российской Федерации об административных правонарушениях: от 30.12.2001 № 195-ФЗ (ред. от 05.02.2018) [Электронный ресурс] // Электронный фонд правовой и нормативно-технической документации. - Режим доступа: http://www.consultant.ru/document/cons_doc_law_34661/</w:t>
      </w:r>
    </w:p>
    <w:p w:rsidR="00517711" w:rsidRDefault="00517711">
      <w:pPr>
        <w:pStyle w:val="ae"/>
        <w:rPr>
          <w:rFonts w:ascii="Times New Roman" w:hAnsi="Times New Roman"/>
          <w:b/>
          <w:sz w:val="20"/>
          <w:szCs w:val="20"/>
        </w:rPr>
      </w:pPr>
    </w:p>
    <w:p w:rsidR="00517711" w:rsidRDefault="00F815BE">
      <w:pPr>
        <w:keepNext/>
        <w:pageBreakBefore/>
        <w:spacing w:after="240" w:line="240" w:lineRule="auto"/>
        <w:jc w:val="center"/>
        <w:outlineLvl w:val="0"/>
        <w:rPr>
          <w:rFonts w:ascii="Book Antiqua" w:hAnsi="Book Antiqua"/>
          <w:b/>
          <w:bCs/>
          <w:caps/>
          <w:sz w:val="24"/>
          <w:szCs w:val="20"/>
          <w:lang w:eastAsia="ru-RU"/>
        </w:rPr>
      </w:pPr>
      <w:r>
        <w:rPr>
          <w:rFonts w:ascii="Book Antiqua" w:hAnsi="Book Antiqua"/>
          <w:b/>
          <w:bCs/>
          <w:sz w:val="24"/>
          <w:szCs w:val="20"/>
          <w:lang w:eastAsia="ru-RU"/>
        </w:rPr>
        <w:lastRenderedPageBreak/>
        <w:t>Секция</w:t>
      </w:r>
      <w:r>
        <w:rPr>
          <w:rFonts w:ascii="Book Antiqua" w:hAnsi="Book Antiqua"/>
          <w:b/>
          <w:bCs/>
          <w:caps/>
          <w:sz w:val="24"/>
          <w:szCs w:val="20"/>
          <w:lang w:eastAsia="ru-RU"/>
        </w:rPr>
        <w:t>. Государство и право в XXI веке исторические тенденции, современные доктрины, прогнозы и ожидания</w:t>
      </w: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Международное право</w:t>
      </w:r>
    </w:p>
    <w:p w:rsidR="00517711" w:rsidRDefault="00F815BE">
      <w:pPr>
        <w:widowControl w:val="0"/>
        <w:shd w:val="clear" w:color="auto" w:fill="FFFFFF"/>
        <w:spacing w:after="0" w:line="240" w:lineRule="auto"/>
        <w:contextualSpacing/>
        <w:rPr>
          <w:rFonts w:ascii="Times New Roman" w:hAnsi="Times New Roman"/>
          <w:color w:val="000000"/>
          <w:sz w:val="20"/>
          <w:szCs w:val="24"/>
          <w:lang w:eastAsia="ru-RU"/>
        </w:rPr>
      </w:pPr>
      <w:r>
        <w:rPr>
          <w:rFonts w:ascii="Times New Roman" w:hAnsi="Times New Roman"/>
          <w:color w:val="000000" w:themeColor="text1"/>
          <w:sz w:val="20"/>
          <w:szCs w:val="24"/>
          <w:lang w:eastAsia="ru-RU"/>
        </w:rPr>
        <w:t>УДК 4414</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Имплементация Российской Федерацией международных стандартов деятельности профсоюзов</w:t>
      </w:r>
    </w:p>
    <w:p w:rsidR="00517711" w:rsidRDefault="00F815BE">
      <w:pPr>
        <w:spacing w:after="0" w:line="240" w:lineRule="auto"/>
        <w:jc w:val="center"/>
        <w:outlineLvl w:val="1"/>
        <w:rPr>
          <w:rFonts w:ascii="Arial" w:eastAsia="Calibri" w:hAnsi="Arial"/>
          <w:b/>
          <w:bCs/>
          <w:sz w:val="24"/>
          <w:szCs w:val="20"/>
          <w:lang w:eastAsia="ru-RU"/>
        </w:rPr>
      </w:pPr>
      <w:r>
        <w:rPr>
          <w:rFonts w:ascii="Arial" w:eastAsia="Calibri" w:hAnsi="Arial"/>
          <w:b/>
          <w:bCs/>
          <w:sz w:val="24"/>
          <w:szCs w:val="20"/>
          <w:lang w:eastAsia="ru-RU"/>
        </w:rPr>
        <w:t>Власенко Елена Игоревна</w:t>
      </w:r>
    </w:p>
    <w:p w:rsidR="00517711" w:rsidRDefault="00F815BE">
      <w:pPr>
        <w:spacing w:after="240" w:line="240" w:lineRule="auto"/>
        <w:jc w:val="center"/>
        <w:outlineLvl w:val="1"/>
        <w:rPr>
          <w:rFonts w:ascii="Arial" w:eastAsia="Calibri" w:hAnsi="Arial"/>
          <w:bCs/>
          <w:sz w:val="24"/>
          <w:szCs w:val="20"/>
          <w:lang w:eastAsia="ru-RU"/>
        </w:rPr>
      </w:pPr>
      <w:r>
        <w:rPr>
          <w:rFonts w:ascii="Arial" w:eastAsia="Calibri" w:hAnsi="Arial"/>
          <w:bCs/>
          <w:sz w:val="24"/>
          <w:szCs w:val="20"/>
          <w:lang w:eastAsia="ru-RU"/>
        </w:rPr>
        <w:t>БЮП 14-03М группы, 4 курса Институт права</w:t>
      </w:r>
    </w:p>
    <w:p w:rsidR="00517711" w:rsidRDefault="00F815BE">
      <w:pPr>
        <w:widowControl w:val="0"/>
        <w:shd w:val="clear" w:color="auto" w:fill="FFFFFF"/>
        <w:spacing w:after="0" w:line="240" w:lineRule="auto"/>
        <w:contextualSpacing/>
        <w:jc w:val="center"/>
        <w:rPr>
          <w:rFonts w:ascii="Times New Roman" w:hAnsi="Times New Roman"/>
          <w:color w:val="000000"/>
          <w:sz w:val="20"/>
          <w:szCs w:val="24"/>
          <w:lang w:eastAsia="ru-RU"/>
        </w:rPr>
      </w:pPr>
      <w:r>
        <w:rPr>
          <w:rFonts w:ascii="Times New Roman" w:hAnsi="Times New Roman"/>
          <w:color w:val="000000" w:themeColor="text1"/>
          <w:sz w:val="20"/>
          <w:szCs w:val="24"/>
          <w:lang w:val="en-US" w:eastAsia="ru-RU"/>
        </w:rPr>
        <w:t>E</w:t>
      </w:r>
      <w:r>
        <w:rPr>
          <w:rFonts w:ascii="Times New Roman" w:hAnsi="Times New Roman"/>
          <w:color w:val="000000" w:themeColor="text1"/>
          <w:sz w:val="20"/>
          <w:szCs w:val="24"/>
          <w:lang w:eastAsia="ru-RU"/>
        </w:rPr>
        <w:t>-</w:t>
      </w:r>
      <w:r>
        <w:rPr>
          <w:rFonts w:ascii="Times New Roman" w:hAnsi="Times New Roman"/>
          <w:color w:val="000000" w:themeColor="text1"/>
          <w:sz w:val="20"/>
          <w:szCs w:val="24"/>
          <w:lang w:val="en-US" w:eastAsia="ru-RU"/>
        </w:rPr>
        <w:t>mail</w:t>
      </w:r>
      <w:r>
        <w:rPr>
          <w:rFonts w:ascii="Times New Roman" w:hAnsi="Times New Roman"/>
          <w:color w:val="000000" w:themeColor="text1"/>
          <w:sz w:val="20"/>
          <w:szCs w:val="24"/>
          <w:lang w:eastAsia="ru-RU"/>
        </w:rPr>
        <w:t>:</w:t>
      </w:r>
      <w:r>
        <w:rPr>
          <w:rFonts w:ascii="Times New Roman" w:hAnsi="Times New Roman"/>
          <w:color w:val="000000" w:themeColor="text1"/>
          <w:sz w:val="20"/>
          <w:szCs w:val="24"/>
          <w:lang w:val="en-US" w:eastAsia="ru-RU"/>
        </w:rPr>
        <w:t>Qwertyuiopvlvl</w:t>
      </w:r>
      <w:r>
        <w:rPr>
          <w:rFonts w:ascii="Times New Roman" w:hAnsi="Times New Roman"/>
          <w:color w:val="000000" w:themeColor="text1"/>
          <w:sz w:val="20"/>
          <w:szCs w:val="24"/>
          <w:lang w:eastAsia="ru-RU"/>
        </w:rPr>
        <w:t>@</w:t>
      </w:r>
      <w:r>
        <w:rPr>
          <w:rFonts w:ascii="Times New Roman" w:hAnsi="Times New Roman"/>
          <w:color w:val="000000" w:themeColor="text1"/>
          <w:sz w:val="20"/>
          <w:szCs w:val="24"/>
          <w:lang w:val="en-US" w:eastAsia="ru-RU"/>
        </w:rPr>
        <w:t>mail</w:t>
      </w:r>
      <w:r>
        <w:rPr>
          <w:rFonts w:ascii="Times New Roman" w:hAnsi="Times New Roman"/>
          <w:color w:val="000000" w:themeColor="text1"/>
          <w:sz w:val="20"/>
          <w:szCs w:val="24"/>
          <w:lang w:eastAsia="ru-RU"/>
        </w:rPr>
        <w:t>.</w:t>
      </w:r>
      <w:r>
        <w:rPr>
          <w:rFonts w:ascii="Times New Roman" w:hAnsi="Times New Roman"/>
          <w:color w:val="000000" w:themeColor="text1"/>
          <w:sz w:val="20"/>
          <w:szCs w:val="24"/>
          <w:lang w:val="en-US" w:eastAsia="ru-RU"/>
        </w:rPr>
        <w:t>ru</w:t>
      </w:r>
      <w:r>
        <w:rPr>
          <w:rFonts w:ascii="Times New Roman" w:hAnsi="Times New Roman"/>
          <w:color w:val="000000" w:themeColor="text1"/>
          <w:sz w:val="20"/>
          <w:szCs w:val="24"/>
          <w:lang w:eastAsia="ru-RU"/>
        </w:rPr>
        <w:t xml:space="preserve"> тел:89940063188</w:t>
      </w:r>
    </w:p>
    <w:p w:rsidR="00517711" w:rsidRDefault="00F815BE">
      <w:pPr>
        <w:spacing w:before="240"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widowControl w:val="0"/>
        <w:shd w:val="clear" w:color="auto" w:fill="FFFFFF"/>
        <w:spacing w:line="240" w:lineRule="auto"/>
        <w:contextualSpacing/>
        <w:jc w:val="center"/>
        <w:rPr>
          <w:rFonts w:ascii="Times New Roman" w:hAnsi="Times New Roman"/>
          <w:color w:val="000000"/>
          <w:sz w:val="20"/>
          <w:szCs w:val="24"/>
          <w:lang w:eastAsia="ru-RU"/>
        </w:rPr>
      </w:pPr>
      <w:r>
        <w:rPr>
          <w:rFonts w:ascii="Times New Roman" w:hAnsi="Times New Roman"/>
          <w:color w:val="000000" w:themeColor="text1"/>
          <w:sz w:val="20"/>
          <w:szCs w:val="24"/>
          <w:lang w:eastAsia="ru-RU"/>
        </w:rPr>
        <w:t>Ул. Гоголя, 41, г. Владивосток, Приморский край, Россия, 690014</w:t>
      </w:r>
    </w:p>
    <w:p w:rsidR="00517711" w:rsidRDefault="00F815BE">
      <w:pPr>
        <w:pStyle w:val="af6"/>
        <w:spacing w:before="0" w:beforeAutospacing="0" w:after="0" w:afterAutospacing="0"/>
        <w:ind w:firstLine="709"/>
        <w:jc w:val="both"/>
        <w:rPr>
          <w:i/>
          <w:color w:val="000000"/>
          <w:sz w:val="22"/>
        </w:rPr>
      </w:pPr>
      <w:r>
        <w:rPr>
          <w:i/>
          <w:color w:val="000000" w:themeColor="text1"/>
          <w:sz w:val="22"/>
        </w:rPr>
        <w:t>Значительные трансформации происходят в российских профсоюзах как социальных институтах современного российского общества, в том числе и Общероссийском Профсоюзе образования. В настоящее время существует настоятельная необходимость переосмысления теоретических и практических аспектов деятельности профсоюза; превращением профсоюзов в существенный фактор реформирования российского общества, развития социальных процессов и социальной демократии; появлением трудоспособного поколения россиян постсоветского пространства.</w:t>
      </w:r>
    </w:p>
    <w:p w:rsidR="00517711" w:rsidRDefault="00F815BE">
      <w:pPr>
        <w:widowControl w:val="0"/>
        <w:shd w:val="clear" w:color="auto" w:fill="FFFFFF"/>
        <w:spacing w:after="0" w:line="240" w:lineRule="auto"/>
        <w:ind w:firstLine="567"/>
        <w:contextualSpacing/>
        <w:jc w:val="both"/>
        <w:rPr>
          <w:rFonts w:ascii="Times New Roman" w:hAnsi="Times New Roman"/>
          <w:i/>
          <w:color w:val="000000"/>
          <w:szCs w:val="24"/>
          <w:lang w:eastAsia="ru-RU"/>
        </w:rPr>
      </w:pPr>
      <w:r>
        <w:rPr>
          <w:rFonts w:ascii="Times New Roman" w:hAnsi="Times New Roman"/>
          <w:b/>
          <w:i/>
          <w:color w:val="000000" w:themeColor="text1"/>
          <w:szCs w:val="24"/>
          <w:lang w:eastAsia="ru-RU"/>
        </w:rPr>
        <w:t xml:space="preserve">Ключевые слова и словосочетания: </w:t>
      </w:r>
      <w:r>
        <w:rPr>
          <w:rFonts w:ascii="Times New Roman" w:hAnsi="Times New Roman"/>
          <w:i/>
          <w:color w:val="000000" w:themeColor="text1"/>
          <w:szCs w:val="24"/>
        </w:rPr>
        <w:t>профсоюзы, Международная организация труда, конвенции, трудящиеся, социальные отношения, социальное обеспечение.</w:t>
      </w:r>
    </w:p>
    <w:p w:rsidR="00517711" w:rsidRDefault="00F815BE">
      <w:pPr>
        <w:keepNext/>
        <w:spacing w:before="240" w:after="240" w:line="240" w:lineRule="auto"/>
        <w:jc w:val="center"/>
        <w:outlineLvl w:val="0"/>
        <w:rPr>
          <w:rFonts w:ascii="Book Antiqua" w:hAnsi="Book Antiqua"/>
          <w:b/>
          <w:bCs/>
          <w:caps/>
          <w:sz w:val="26"/>
          <w:szCs w:val="26"/>
          <w:lang w:val="en-US"/>
        </w:rPr>
      </w:pPr>
      <w:r>
        <w:rPr>
          <w:rFonts w:ascii="Book Antiqua" w:hAnsi="Book Antiqua"/>
          <w:b/>
          <w:bCs/>
          <w:caps/>
          <w:sz w:val="26"/>
          <w:szCs w:val="26"/>
          <w:lang w:val="en-US"/>
        </w:rPr>
        <w:t>Russia’s implementation of international standards of trade union activity</w:t>
      </w:r>
    </w:p>
    <w:p w:rsidR="00517711" w:rsidRDefault="00F815BE">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i/>
          <w:color w:val="000000"/>
          <w:szCs w:val="24"/>
          <w:lang w:val="en-US" w:eastAsia="ru-RU"/>
        </w:rPr>
      </w:pPr>
      <w:r>
        <w:rPr>
          <w:rFonts w:ascii="Times New Roman" w:hAnsi="Times New Roman"/>
          <w:i/>
          <w:color w:val="000000" w:themeColor="text1"/>
          <w:szCs w:val="24"/>
          <w:lang w:val="en-US" w:eastAsia="ru-RU"/>
        </w:rPr>
        <w:t>Significant transformations take place in the Russian trade unions as social institutions of modern Russian society, including the All-Russian Trade Union of Education. At present, there is an urgent need to rethink the theoretical and practical aspects of the work of the trade union; the transformation of trade unions into an essential factor in the reform of Russian society, the development of social processes and social democracy; the emergence of an able-bodied generation of Russians in the post-Soviet space.</w:t>
      </w:r>
    </w:p>
    <w:p w:rsidR="00517711" w:rsidRDefault="00F815BE">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i/>
          <w:color w:val="000000"/>
          <w:szCs w:val="24"/>
          <w:lang w:val="en-US" w:eastAsia="ru-RU"/>
        </w:rPr>
      </w:pPr>
      <w:r>
        <w:rPr>
          <w:rFonts w:ascii="Times New Roman" w:hAnsi="Times New Roman"/>
          <w:b/>
          <w:i/>
          <w:color w:val="000000" w:themeColor="text1"/>
          <w:szCs w:val="24"/>
          <w:lang w:val="en-US" w:eastAsia="ru-RU"/>
        </w:rPr>
        <w:t>Keywords and phrases:</w:t>
      </w:r>
      <w:r>
        <w:rPr>
          <w:rFonts w:ascii="Times New Roman" w:hAnsi="Times New Roman"/>
          <w:i/>
          <w:color w:val="000000" w:themeColor="text1"/>
          <w:szCs w:val="24"/>
          <w:lang w:val="en-US" w:eastAsia="ru-RU"/>
        </w:rPr>
        <w:t xml:space="preserve"> trade unions, International labor organization, </w:t>
      </w:r>
      <w:r>
        <w:rPr>
          <w:rFonts w:ascii="Times New Roman" w:hAnsi="Times New Roman"/>
          <w:i/>
          <w:color w:val="000000" w:themeColor="text1"/>
          <w:szCs w:val="24"/>
          <w:lang w:eastAsia="ru-RU"/>
        </w:rPr>
        <w:t>с</w:t>
      </w:r>
      <w:r>
        <w:rPr>
          <w:rFonts w:ascii="Times New Roman" w:hAnsi="Times New Roman"/>
          <w:i/>
          <w:color w:val="000000" w:themeColor="text1"/>
          <w:szCs w:val="24"/>
          <w:lang w:val="en-US" w:eastAsia="ru-RU"/>
        </w:rPr>
        <w:t>onventions, workers, social relations, social security.</w:t>
      </w:r>
    </w:p>
    <w:p w:rsidR="00517711" w:rsidRDefault="00517711">
      <w:pPr>
        <w:spacing w:after="0" w:line="240" w:lineRule="auto"/>
        <w:ind w:firstLine="709"/>
        <w:jc w:val="both"/>
        <w:rPr>
          <w:rFonts w:ascii="Cambria" w:hAnsi="Cambria"/>
          <w:sz w:val="20"/>
          <w:szCs w:val="24"/>
          <w:lang w:val="en-US"/>
        </w:rPr>
      </w:pPr>
    </w:p>
    <w:p w:rsidR="00517711" w:rsidRDefault="00F815BE">
      <w:pPr>
        <w:spacing w:after="0" w:line="240" w:lineRule="auto"/>
        <w:ind w:firstLine="709"/>
        <w:jc w:val="both"/>
        <w:rPr>
          <w:rFonts w:ascii="Times New Roman" w:hAnsi="Times New Roman" w:cs="Times New Roman"/>
          <w:sz w:val="20"/>
          <w:szCs w:val="24"/>
        </w:rPr>
      </w:pPr>
      <w:r>
        <w:rPr>
          <w:rFonts w:ascii="Times New Roman" w:hAnsi="Times New Roman" w:cs="Times New Roman"/>
          <w:sz w:val="20"/>
          <w:szCs w:val="24"/>
        </w:rPr>
        <w:t>Актуальность темы обуславливается глубокими трансформациями, происходящими в российских профсоюзах как социальных институтах современного российского общества, в том числе и Общероссийском Профсоюзе образования. В настоящее время существует настоятельная необходимость переосмысления теоретических и практических аспектов деятельности профсоюза: профсоюзы должны превратиться в существенный фактор реформирования российского общества, развития социальных процессов и социальной демократии. Научная новизна исследования состоит в определении каталога международных стандартов, необходимых для функционирования профсоюзного движения в России Цель исследования – определить международные стандарты деятельности профсоюзов по обеспечению прав трудящихся, которые необходимо ратифицировать Российской Федерации. Для достижения указанной цели были поставлены следующие задачи: охарактеризовать международные стандарты деятельности профсоюзов, определить проблемы и перспективы ратификации Российской Федерацией международных договоров в сфере деятельности профсоюзов. В качестве методов исследования будут использоваться системно-структурный, формально-логический и герменевтический.</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0"/>
        </w:rPr>
        <w:t>На современном этапе деятельность профсоюзов регулируется специальным Федеральным законом от 12 января 1996 г. №10</w:t>
      </w:r>
      <w:r>
        <w:rPr>
          <w:rFonts w:ascii="MS Mincho" w:eastAsia="MS Mincho" w:hAnsi="MS Mincho" w:cs="MS Mincho" w:hint="eastAsia"/>
          <w:color w:val="000000" w:themeColor="text1"/>
          <w:sz w:val="20"/>
          <w:szCs w:val="20"/>
        </w:rPr>
        <w:t>‑</w:t>
      </w:r>
      <w:r>
        <w:rPr>
          <w:rFonts w:ascii="Times New Roman" w:hAnsi="Times New Roman"/>
          <w:color w:val="000000" w:themeColor="text1"/>
          <w:sz w:val="20"/>
          <w:szCs w:val="20"/>
        </w:rPr>
        <w:t>ФЗ «О профессиональных союзах, их правах и гарантиях деятельности». В соответствии с п. 1 ст. 2 Закона о профсоюзах, профсоюз - добровольное общественное объединение граждан, которое связано общими профессиональными, производственными интересами по роду их деятельности, которое создается для  предст</w:t>
      </w:r>
      <w:r>
        <w:rPr>
          <w:rFonts w:ascii="Times New Roman" w:hAnsi="Times New Roman"/>
          <w:color w:val="000000" w:themeColor="text1"/>
          <w:sz w:val="20"/>
          <w:szCs w:val="24"/>
        </w:rPr>
        <w:t xml:space="preserve">авительства и защиты их социально-трудовых интересов и прав. Как юридическое лицо </w:t>
      </w:r>
      <w:r>
        <w:rPr>
          <w:rFonts w:ascii="Times New Roman" w:hAnsi="Times New Roman"/>
          <w:color w:val="000000" w:themeColor="text1"/>
          <w:sz w:val="20"/>
          <w:szCs w:val="24"/>
        </w:rPr>
        <w:lastRenderedPageBreak/>
        <w:t>является некоммерческой корпоративной организацией, созданной в организационно-правовой форме общественной организации.</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Гарантии деятельности профсоюзов и их права не ограничиваются законодательством субъектов РФ. Если международные договоры РФ, конвенции Международной организации труда (далее МОТ), которые ратифицированы Российской Федерацией, устанавливают иные правила, нежели те, которые предусмотрены законом о профсоюзах, то используются правила международных договоров и конвенций.</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Важный шаг на пути к сближению  законодательства Российской Федерации с международными правовыми нормами – это подписание 8 февраля 2003 года Президентом Российской Федерации Федерального закона «О ратификации Конвенции о запрете и немедленных мерах по искоренению наихудших форм детского труда (Конвенция № 182)». С принятием данного закона Российская Федерация явилась участницей всех восьми конвенций МОТ, которые регулируют область социально-трудовых отношений.</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Немаловажное значение для продвижения взаимодействия России и МОТ в области расширения принятия участия в международных трудовых стандартах имела ратификация в 2010 г. четырех конвенций МОТ (№132, №135, №154, №187). В 2013-2014 гг. Россия ратифицировала Конвенцию МОТ №140 об оплачиваемых учебных отпусках, Конвенцию МОТ №144 о трехсторонних консультациях для содействия применению международных трудовых норм, Конвенцию МОТ №151 о защите права на организацию и процедурах определения условий занятости на государственной службе и Конвенцию МОТ №176 о безопасности и гигиене труда на шахтах [1, с. 96]. 07 февраля 2017 Российская Федерация Федеральным законом №1-ФЗ ратифицировала Конвенцию №139 Международной организации труда «О борьбе с опасностью, вызываемой канцерогенными веществами и агентами в производственных условиях, и мерах профилактики» [1, с. 97].</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Положения Конвенции соответствуют нормам Трудового кодекса РФ, регламентирующим вопросы охраны труда, положениям законодательства РФ о санитарно-эпидемиологическом благополучии населения, которые устанавливают канцерогенные факторы и главные требования к профилактике канцерогенной опасности, а также нормативным правовым актам в области охраны здоровья граждан. Её ратификация не требует внесения изменений в законодательство [2, с. 62].</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По нашему мнению, подлежит применению Конвенция МОТ №158 «О прекращении трудовых отношений по инициативе предпринимателя», которая принята в целях защиты работников от прекращения трудовых отношений без законного основания. Конвенцией закрепляется требование обоснованности, а именно должно быть законное основание, которое связано со способностями либо с поведением трудящегося или же вызванное производственной необходимостью [3, с. 281]. Конвенция определяет процедуры, которые используют до и во время прекращения трудовых отношений и процедуру обжалования решения об увольнении [4, с. 246].</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 xml:space="preserve">Несмотря на то, что данная Конвенция до сих пор не ратифицирована, ряд её положений отражён в Трудовом кодексе РФ. В частности ст. 82 ТК РФ устанавливает, что при принятии решения о сокращении численности или штата сотрудников организации работодатель в письменной форме должен доложить об этом выборному органу первичной профсоюзной организации не позже чем за два месяца до осуществления необходимых мероприятий, а при  массовом увольнении сотрудников – не позднее чем за три месяца. </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Важное место в области социального обеспечения занимает Конвенция МОТ №102 «О минимальных нормах социального обеспечения». Конвенция предполагает установление минимального уровня обеспечения во всех перечисленных случаях, определяет круг лиц, подлежащих обеспечению, и минимальные размеры выплат для различных субъектов. Страны, ратифицировавшие данную Конвенцию, обязаны следовать закреплённым в ней нормам в отношении трех из девяти видов социального обеспечения. При этом следует заметить, что единственным международным документом в области социальной защиты, к которой не так давно после длительного периода подготовки, да и то не в полном объеме, присоединилась Российская Федерация, является Европейская социальная хартия (пересмотренная).</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Внимание профсоюзных организаций, объединенных в Международной конфедерацией профсоюзов, а до создания МКП в 2006 году – в Международной конфедерацией свободных профсоюзов (МКСП) и во Всемирной конфедерации труда (ВКТ), в Глобальных профсоюзных федерациях (ГПФ) и в Профсоюзном консультативном комитете (ПКК), было обращено в первую очередь на международные торговые и финансовые корпорации, деятельность которых оказывает огромное влияние на рынки труда. В то же время ими оказывалась поддержка МОТ в её попытках сделать соответствующие трудовые стандарты действительными в масштабах всей системы Организации Объединённых Наций, специализированным учреждением которой является сама МОТ. Помимо этого, отдельные членские организации Международной конфедерации профсоюзов (МКП) призвали агентства по сотрудничеству в области содействия развитию и экспортные кредитные агентства собственных стран требовать соблюдения трудовых стандартов МОТ в качестве условия предоставления проектного финансирования.</w:t>
      </w:r>
    </w:p>
    <w:p w:rsidR="00517711" w:rsidRDefault="00F815BE">
      <w:pPr>
        <w:spacing w:after="0" w:line="240" w:lineRule="auto"/>
        <w:ind w:firstLine="709"/>
        <w:jc w:val="both"/>
        <w:rPr>
          <w:rFonts w:ascii="Times New Roman" w:hAnsi="Times New Roman"/>
          <w:color w:val="000000"/>
          <w:sz w:val="20"/>
          <w:szCs w:val="24"/>
          <w:shd w:val="clear" w:color="auto" w:fill="FFFFFF"/>
        </w:rPr>
      </w:pPr>
      <w:r>
        <w:rPr>
          <w:rFonts w:ascii="Times New Roman" w:hAnsi="Times New Roman"/>
          <w:color w:val="000000" w:themeColor="text1"/>
          <w:sz w:val="20"/>
          <w:szCs w:val="24"/>
          <w:shd w:val="clear" w:color="auto" w:fill="FFFFFF"/>
        </w:rPr>
        <w:t xml:space="preserve">Однако не только международные соглашения закрепляют стандарты деятельности профсоюзов, но и так называемое «мягкое право», представленное разнообразными руководящими принципами, сводами правил, рекомендациями, кодексами практик и другими источниками, которые конкретизируют разнообразные модели действия профсоюзов по наиболее важным вопросам обеспечения прав трудящихся, особенно уязвимых их групп: мигрантов, женщин, детей, лиц с ограниченными возможностями, ВИЧ-инфицированных работников и проч. Присоединимся к мнению Э.В. Горян о необходимости занятия профсоюзами более активной роли в </w:t>
      </w:r>
      <w:r>
        <w:rPr>
          <w:rFonts w:ascii="Times New Roman" w:hAnsi="Times New Roman"/>
          <w:color w:val="000000" w:themeColor="text1"/>
          <w:sz w:val="20"/>
          <w:szCs w:val="24"/>
          <w:shd w:val="clear" w:color="auto" w:fill="FFFFFF"/>
        </w:rPr>
        <w:lastRenderedPageBreak/>
        <w:t>механизмах обеспечения прав указанных категорий трудящихся и инициирования профсоюзами сотрудничества с другими институциональными элементами – органами государственной власти и работодателями [5, с. 43; 6, с. 17].</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МОТ отмечает ключевую роль самих трудящихся и их профессиональных объединений в механизме обеспечения прав работников, особенно уязвимых категорий. Рабочее движение на международном, национальном и отраслевом уровне реализует задачи обеспечения их прав и проводит мероприятия на рабочих местах и за их пределами. Главная задача профсоюзов – защищать права, здоровье и жизнь трудящихся и их семей, а значит и общества в целом. Они осуществляют правозащитную деятельность и имеют возможность функционирования благодаря реализации основных прав - таких, как право на свободу ассоциации и свободу слова. Они должны занимать позицию против дискриминации и преследования, предоставляя трудящимся возможность высказаться по поводу проблемных вопросов, возникающих на рабочих местах и в обществе в целом, в том числе по поводу прав человека и условий труда.</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Достижение целей в деле обеспечения прав трудящихся возможно в результате тесного сотрудничества работодателей и трудящихся. Такое сотрудничество принимает форму глобальных рамочных соглашений между профсоюзами, многонациональными корпорациями и организациями работодателей. Как правило, они включают в себя обязательства компаний по соблюдению международных стандартов прав профсоюзов, здоровья и безопасности, достойного труда и окружающей среды во всех странах, где они осуществляют свою деятельность.</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Эти соглашения не отменяют местные или национальные коллективные переговоры, а обеспечивают минимальные стандарты для коллективных договоров. Они подкрепляются системами мониторинга, позволяющими профсоюзам проверить соответствие деятельности компаний положениям соглашения и предоставить возможность обеим сторонам пересматривать соглашение на регулярной основе. Подобные соглашения подписаны с более чем 110 МНК [5, с. 38]. Кроме того, в таких соглашениях профсоюзы и работодатели устанавливают стандарты защиты прав работников на рабочих местах, включая в соглашения ссылки на принципы, изложенные в «мягком праве» МОТ, а также устанавливая цели совместных действий по обеспечению прав работников и реализации разнообразных программ. Подобные соглашения заключаются также на национальном уровне и охватывают предприятия конкретной отрасли (текстильной, угледобывающей и проч.) [6, c. 15].</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Важную роль в координации сотрудничества работодателей и профсоюзов играет МОТ. Например, в 2006 г. в рамках реализации Программы отраслевых мероприятий МОТ в Женеве была проведена трехсторонняя встреча, посвященная трудовым и социальным аспектам проблемы трансграничной мобильности водителей автомобильного транспорта (Labour and Social Issues Arising from Problems of Cross-border Mobility of International Drivers in the Road Transport Sector). По результатам встречи МОТ, организация работодателей – Международный дорожно-транспортный союз (the International Road Transport Union, IRU) и организация работников – Международная федерация работников транспорта (the International Transport Workers' Federation, ITF) договорились о безотлагательной разработке образовательных материалов, посвященных ВИЧ/СПИД, для дорожно-транспортной отрасли. Была создана совместная рабочая группа для контроля над разработкой этих материалов и планированием проведения серии семинаров для их тестирования. Это был значительный шаг для Международного дорожно-транспортного союза, который ранее не признавал наличие проблемы ВИЧ/СПИД в отрасли. Использование структур МОТ для социального диалога помогло включить тематику ВИЧ/СПИД в учебную программу всемирной сети образовательных учреждений Международного дорожно-транспортного союза. Подобный инструмент использовался и в железнодорожной отрасли [5, c. 39].</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Если исходить из необходимости универсального применения трудовых стандартов МОТ, требуется некий всеобъемлющий подход. Международное профсоюзное движение должно содействовать развитию потенциалов профсоюзных организаций каждой отдельной страны, с тем, чтобы последние были действительно в состоянии обеспечивать реализацию основополагающих прав трудящихся.</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____________________________</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1. Алёшина А.В., Косовская В.А. Международно-правовые стандарты в сфере недопущения дискриминации трудящихся / А.В. Алёшина, В.А. Косовская // Общество. Среда. Развитие. - 2014. -№ 2. – С. 95-98.</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2. Ершов Е.А. Международное и российское трудовое право // Трудовое право. - 2016. - № 12. – С. 56-62.</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3. Киселёв И.Я. Трудовое право России и зарубежных государств. Международные нормы труда. - М.: Эксмо, 2015. – 608 с.</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4. Оробец В.М., Яковлев Д.А. Трудовое право. - СПб.: Питер, 2014. – 272 с.</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5. Горян Э.В. Работодатели и профсоюзы в правовом механизме обеспечения прав женщин-мигрантов в аспекте борьбы с ВИЧ/СПИД: международные стандарты и зарубежный опыт // Юридические исследования. - 2016. - №11. - С. 28-44.</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6. Горян Э.В. Международно-правовой механизм обеспечения прав женщин-мигрантов в аспекте борьбы с ВИЧ/СПИД / Э.В. Горян // Международное право. - 2016. - № 3. - С. 1-18.</w:t>
      </w: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lastRenderedPageBreak/>
        <w:t>Рубрика: Актуальные проблемы публичного права</w:t>
      </w:r>
    </w:p>
    <w:p w:rsidR="00517711" w:rsidRDefault="00F815BE">
      <w:pPr>
        <w:widowControl w:val="0"/>
        <w:shd w:val="clear" w:color="auto" w:fill="FFFFFF"/>
        <w:spacing w:after="0" w:line="240" w:lineRule="auto"/>
        <w:contextualSpacing/>
        <w:jc w:val="both"/>
        <w:rPr>
          <w:rFonts w:ascii="Times New Roman" w:hAnsi="Times New Roman"/>
          <w:sz w:val="20"/>
          <w:szCs w:val="24"/>
          <w:lang w:eastAsia="ru-RU"/>
        </w:rPr>
      </w:pPr>
      <w:r>
        <w:rPr>
          <w:rFonts w:ascii="Times New Roman" w:hAnsi="Times New Roman"/>
          <w:sz w:val="20"/>
          <w:szCs w:val="24"/>
          <w:lang w:eastAsia="ru-RU"/>
        </w:rPr>
        <w:t>УДК 343.1</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Ювенальная юстиция в России: проблемы и перспективы развития</w:t>
      </w:r>
    </w:p>
    <w:p w:rsidR="00517711" w:rsidRDefault="00F815BE">
      <w:pPr>
        <w:widowControl w:val="0"/>
        <w:shd w:val="clear" w:color="auto" w:fill="FFFFFF"/>
        <w:spacing w:after="0" w:line="240" w:lineRule="auto"/>
        <w:contextualSpacing/>
        <w:jc w:val="center"/>
        <w:rPr>
          <w:rFonts w:ascii="Arial" w:eastAsia="Calibri" w:hAnsi="Arial"/>
          <w:b/>
          <w:bCs/>
          <w:sz w:val="24"/>
          <w:szCs w:val="20"/>
          <w:lang w:eastAsia="ru-RU"/>
        </w:rPr>
      </w:pPr>
      <w:r>
        <w:rPr>
          <w:rFonts w:ascii="Arial" w:eastAsia="Calibri" w:hAnsi="Arial"/>
          <w:b/>
          <w:bCs/>
          <w:sz w:val="24"/>
          <w:szCs w:val="20"/>
          <w:lang w:eastAsia="ru-RU"/>
        </w:rPr>
        <w:t>Забара Захар Константинович,</w:t>
      </w:r>
    </w:p>
    <w:p w:rsidR="00517711" w:rsidRDefault="00F815BE">
      <w:pPr>
        <w:widowControl w:val="0"/>
        <w:shd w:val="clear" w:color="auto" w:fill="FFFFFF"/>
        <w:spacing w:line="240" w:lineRule="auto"/>
        <w:contextualSpacing/>
        <w:jc w:val="center"/>
        <w:rPr>
          <w:rFonts w:ascii="Arial" w:eastAsia="Calibri" w:hAnsi="Arial"/>
          <w:bCs/>
          <w:sz w:val="24"/>
          <w:szCs w:val="20"/>
          <w:lang w:eastAsia="ru-RU"/>
        </w:rPr>
      </w:pPr>
      <w:r>
        <w:rPr>
          <w:rFonts w:ascii="Arial" w:eastAsia="Calibri" w:hAnsi="Arial"/>
          <w:bCs/>
          <w:sz w:val="24"/>
          <w:szCs w:val="20"/>
          <w:lang w:eastAsia="ru-RU"/>
        </w:rPr>
        <w:t>бакалавр</w:t>
      </w:r>
    </w:p>
    <w:p w:rsidR="00517711" w:rsidRDefault="00F815BE">
      <w:pPr>
        <w:spacing w:before="240"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widowControl w:val="0"/>
        <w:shd w:val="clear" w:color="auto" w:fill="FFFFFF"/>
        <w:spacing w:after="0" w:line="240" w:lineRule="auto"/>
        <w:contextualSpacing/>
        <w:jc w:val="center"/>
        <w:rPr>
          <w:rFonts w:ascii="Times New Roman" w:hAnsi="Times New Roman"/>
          <w:sz w:val="20"/>
          <w:szCs w:val="20"/>
          <w:lang w:eastAsia="ru-RU"/>
        </w:rPr>
      </w:pPr>
      <w:r>
        <w:rPr>
          <w:rFonts w:ascii="Times New Roman" w:hAnsi="Times New Roman"/>
          <w:sz w:val="20"/>
          <w:szCs w:val="20"/>
          <w:lang w:val="en-US" w:eastAsia="ru-RU"/>
        </w:rPr>
        <w:t>E</w:t>
      </w:r>
      <w:r>
        <w:rPr>
          <w:rFonts w:ascii="Times New Roman" w:hAnsi="Times New Roman"/>
          <w:sz w:val="20"/>
          <w:szCs w:val="20"/>
          <w:lang w:eastAsia="ru-RU"/>
        </w:rPr>
        <w:t>-</w:t>
      </w:r>
      <w:r>
        <w:rPr>
          <w:rFonts w:ascii="Times New Roman" w:hAnsi="Times New Roman"/>
          <w:sz w:val="20"/>
          <w:szCs w:val="20"/>
          <w:lang w:val="en-US" w:eastAsia="ru-RU"/>
        </w:rPr>
        <w:t>mail</w:t>
      </w:r>
      <w:r>
        <w:rPr>
          <w:rFonts w:ascii="Times New Roman" w:hAnsi="Times New Roman"/>
          <w:sz w:val="20"/>
          <w:szCs w:val="20"/>
          <w:lang w:eastAsia="ru-RU"/>
        </w:rPr>
        <w:t xml:space="preserve">: </w:t>
      </w:r>
      <w:hyperlink r:id="rId197" w:history="1">
        <w:r>
          <w:rPr>
            <w:rStyle w:val="aa"/>
            <w:color w:val="000000" w:themeColor="text1"/>
            <w:sz w:val="20"/>
            <w:szCs w:val="20"/>
            <w:lang w:val="en-US" w:eastAsia="ru-RU"/>
          </w:rPr>
          <w:t>zaharzabara</w:t>
        </w:r>
        <w:r>
          <w:rPr>
            <w:rStyle w:val="aa"/>
            <w:color w:val="000000" w:themeColor="text1"/>
            <w:sz w:val="20"/>
            <w:szCs w:val="20"/>
            <w:lang w:eastAsia="ru-RU"/>
          </w:rPr>
          <w:t>2@</w:t>
        </w:r>
        <w:r>
          <w:rPr>
            <w:rStyle w:val="aa"/>
            <w:color w:val="000000" w:themeColor="text1"/>
            <w:sz w:val="20"/>
            <w:szCs w:val="20"/>
            <w:lang w:val="en-US" w:eastAsia="ru-RU"/>
          </w:rPr>
          <w:t>mail</w:t>
        </w:r>
        <w:r>
          <w:rPr>
            <w:rStyle w:val="aa"/>
            <w:color w:val="000000" w:themeColor="text1"/>
            <w:sz w:val="20"/>
            <w:szCs w:val="20"/>
            <w:lang w:eastAsia="ru-RU"/>
          </w:rPr>
          <w:t>.</w:t>
        </w:r>
        <w:r>
          <w:rPr>
            <w:rStyle w:val="aa"/>
            <w:color w:val="000000" w:themeColor="text1"/>
            <w:sz w:val="20"/>
            <w:szCs w:val="20"/>
            <w:lang w:val="en-US" w:eastAsia="ru-RU"/>
          </w:rPr>
          <w:t>ru</w:t>
        </w:r>
      </w:hyperlink>
      <w:r>
        <w:rPr>
          <w:rFonts w:ascii="Times New Roman" w:hAnsi="Times New Roman"/>
          <w:sz w:val="20"/>
          <w:szCs w:val="20"/>
          <w:lang w:eastAsia="ru-RU"/>
        </w:rPr>
        <w:t>; тел.: +79143424251</w:t>
      </w:r>
    </w:p>
    <w:p w:rsidR="00517711" w:rsidRDefault="00F815BE">
      <w:pPr>
        <w:widowControl w:val="0"/>
        <w:shd w:val="clear" w:color="auto" w:fill="FFFFFF"/>
        <w:spacing w:after="0" w:line="480" w:lineRule="auto"/>
        <w:contextualSpacing/>
        <w:jc w:val="center"/>
        <w:rPr>
          <w:rFonts w:ascii="Times New Roman" w:hAnsi="Times New Roman"/>
          <w:sz w:val="20"/>
          <w:szCs w:val="20"/>
          <w:lang w:eastAsia="ru-RU"/>
        </w:rPr>
      </w:pPr>
      <w:r>
        <w:rPr>
          <w:rFonts w:ascii="Times New Roman" w:hAnsi="Times New Roman"/>
          <w:sz w:val="20"/>
          <w:szCs w:val="20"/>
          <w:lang w:eastAsia="ru-RU"/>
        </w:rPr>
        <w:t>ул. Гоголя, 41, г. Владивосток, Приморский край, Россия, 690014</w:t>
      </w:r>
    </w:p>
    <w:p w:rsidR="00517711" w:rsidRDefault="00F815BE">
      <w:pPr>
        <w:widowControl w:val="0"/>
        <w:shd w:val="clear" w:color="auto" w:fill="FFFFFF"/>
        <w:spacing w:after="0" w:line="240" w:lineRule="auto"/>
        <w:ind w:firstLine="709"/>
        <w:contextualSpacing/>
        <w:jc w:val="both"/>
        <w:rPr>
          <w:rFonts w:ascii="Times New Roman" w:hAnsi="Times New Roman"/>
          <w:i/>
          <w:szCs w:val="24"/>
          <w:lang w:eastAsia="ru-RU"/>
        </w:rPr>
      </w:pPr>
      <w:r>
        <w:rPr>
          <w:rFonts w:ascii="Times New Roman" w:hAnsi="Times New Roman"/>
          <w:i/>
          <w:szCs w:val="24"/>
          <w:lang w:eastAsia="ru-RU"/>
        </w:rPr>
        <w:t>Статья посвящена правовому анализу становления и развития ювенальной юстиции в России. Она является системой правосудия по делам, связанным с несовершеннолетними, и направлена на защиту их прав и законных интересов.</w:t>
      </w:r>
    </w:p>
    <w:p w:rsidR="00517711" w:rsidRDefault="00F815BE">
      <w:pPr>
        <w:widowControl w:val="0"/>
        <w:shd w:val="clear" w:color="auto" w:fill="FFFFFF"/>
        <w:spacing w:after="0" w:line="240" w:lineRule="auto"/>
        <w:ind w:firstLine="709"/>
        <w:contextualSpacing/>
        <w:jc w:val="both"/>
        <w:rPr>
          <w:rFonts w:ascii="Times New Roman" w:hAnsi="Times New Roman"/>
          <w:i/>
          <w:szCs w:val="24"/>
          <w:lang w:eastAsia="ru-RU"/>
        </w:rPr>
      </w:pPr>
      <w:r>
        <w:rPr>
          <w:rFonts w:ascii="Times New Roman" w:hAnsi="Times New Roman"/>
          <w:b/>
          <w:i/>
          <w:szCs w:val="24"/>
          <w:lang w:eastAsia="ru-RU"/>
        </w:rPr>
        <w:t>Ключевые слова и словосочетания</w:t>
      </w:r>
      <w:r>
        <w:rPr>
          <w:rFonts w:ascii="Times New Roman" w:hAnsi="Times New Roman"/>
          <w:i/>
          <w:szCs w:val="24"/>
          <w:lang w:eastAsia="ru-RU"/>
        </w:rPr>
        <w:t>: ювенальная юстиция, система ювенальной юстиции в РФ, ювенальные суды, несовершеннолетние, правонарушения.</w:t>
      </w:r>
    </w:p>
    <w:p w:rsidR="00517711" w:rsidRDefault="00F815BE">
      <w:pPr>
        <w:keepNext/>
        <w:spacing w:before="240" w:after="240" w:line="240" w:lineRule="auto"/>
        <w:jc w:val="center"/>
        <w:outlineLvl w:val="0"/>
        <w:rPr>
          <w:rFonts w:ascii="Book Antiqua" w:hAnsi="Book Antiqua"/>
          <w:b/>
          <w:bCs/>
          <w:caps/>
          <w:sz w:val="26"/>
          <w:szCs w:val="26"/>
          <w:lang w:val="en-US"/>
        </w:rPr>
      </w:pPr>
      <w:r>
        <w:rPr>
          <w:rFonts w:ascii="Book Antiqua" w:hAnsi="Book Antiqua"/>
          <w:b/>
          <w:bCs/>
          <w:caps/>
          <w:sz w:val="26"/>
          <w:szCs w:val="26"/>
          <w:lang w:val="en-US"/>
        </w:rPr>
        <w:t>Juvenile Justice in Russia: Problems and Prospects for Development</w:t>
      </w:r>
    </w:p>
    <w:p w:rsidR="00517711" w:rsidRDefault="00F815BE">
      <w:pPr>
        <w:widowControl w:val="0"/>
        <w:shd w:val="clear" w:color="auto" w:fill="FFFFFF"/>
        <w:spacing w:after="0" w:line="240" w:lineRule="auto"/>
        <w:ind w:firstLine="709"/>
        <w:contextualSpacing/>
        <w:jc w:val="both"/>
        <w:rPr>
          <w:rFonts w:ascii="Times New Roman" w:hAnsi="Times New Roman"/>
          <w:i/>
          <w:szCs w:val="24"/>
          <w:lang w:val="en-US" w:eastAsia="ru-RU"/>
        </w:rPr>
      </w:pPr>
      <w:r>
        <w:rPr>
          <w:rFonts w:ascii="Times New Roman" w:hAnsi="Times New Roman"/>
          <w:i/>
          <w:szCs w:val="24"/>
          <w:lang w:val="en-US" w:eastAsia="ru-RU"/>
        </w:rPr>
        <w:t>The article is devoted to the legal analysis of the formation and development of juvenile justice in Russia. It is a system of justice in cases involving minors, and is aimed at protecting their rights and legitimate interests.</w:t>
      </w:r>
    </w:p>
    <w:p w:rsidR="00517711" w:rsidRDefault="00F815BE">
      <w:pPr>
        <w:widowControl w:val="0"/>
        <w:shd w:val="clear" w:color="auto" w:fill="FFFFFF"/>
        <w:spacing w:after="0" w:line="240" w:lineRule="auto"/>
        <w:ind w:firstLine="709"/>
        <w:contextualSpacing/>
        <w:jc w:val="both"/>
        <w:rPr>
          <w:rFonts w:ascii="Times New Roman" w:hAnsi="Times New Roman"/>
          <w:i/>
          <w:szCs w:val="24"/>
          <w:lang w:val="en-US" w:eastAsia="ru-RU"/>
        </w:rPr>
      </w:pPr>
      <w:r>
        <w:rPr>
          <w:rFonts w:ascii="Times New Roman" w:hAnsi="Times New Roman"/>
          <w:b/>
          <w:i/>
          <w:szCs w:val="24"/>
          <w:lang w:val="en-US" w:eastAsia="ru-RU"/>
        </w:rPr>
        <w:t>Keywords and phrases</w:t>
      </w:r>
      <w:r>
        <w:rPr>
          <w:rFonts w:ascii="Times New Roman" w:hAnsi="Times New Roman"/>
          <w:i/>
          <w:szCs w:val="24"/>
          <w:lang w:val="en-US" w:eastAsia="ru-RU"/>
        </w:rPr>
        <w:t>: juvenile justice, juvenile justice system in the Russian Federation, juvenile courts, minors, offenses.</w:t>
      </w:r>
    </w:p>
    <w:p w:rsidR="00517711" w:rsidRDefault="00517711">
      <w:pPr>
        <w:widowControl w:val="0"/>
        <w:shd w:val="clear" w:color="auto" w:fill="FFFFFF"/>
        <w:spacing w:after="0" w:line="240" w:lineRule="auto"/>
        <w:ind w:firstLine="567"/>
        <w:contextualSpacing/>
        <w:jc w:val="both"/>
        <w:rPr>
          <w:rFonts w:ascii="Times New Roman" w:hAnsi="Times New Roman"/>
          <w:sz w:val="20"/>
          <w:szCs w:val="24"/>
          <w:lang w:val="en-US" w:eastAsia="ru-RU"/>
        </w:rPr>
      </w:pPr>
    </w:p>
    <w:p w:rsidR="00517711" w:rsidRDefault="00F815BE">
      <w:pPr>
        <w:spacing w:after="0" w:line="240" w:lineRule="auto"/>
        <w:ind w:firstLine="709"/>
        <w:contextualSpacing/>
        <w:jc w:val="both"/>
        <w:rPr>
          <w:rFonts w:ascii="Times New Roman" w:hAnsi="Times New Roman"/>
          <w:sz w:val="20"/>
          <w:szCs w:val="20"/>
        </w:rPr>
      </w:pPr>
      <w:r>
        <w:rPr>
          <w:rFonts w:ascii="Times New Roman" w:hAnsi="Times New Roman"/>
          <w:sz w:val="20"/>
          <w:szCs w:val="20"/>
        </w:rPr>
        <w:t>Сегодняшние дети – это завтрашние взрослые, и именно от того, какими они вырастут, зависит будущее любого государства. Также дети – одна из наиболее социально уязвимых категорий населения. Права детей и подростков установлены и гарантированы как Конституцией Российской Федерации (далее – РФ), так и Конвенцией ООН о правах ребенка, а также иными федеральными законамии нормативно-правовыми актами.Зачастую в современном мире эти права либо нарушаются, либо не исполняются вообще. Актуальность данной работы обусловлена тем, что несовершеннолетние – одна из наиболее криминогенно пораженных категорий населения, особенно в РФ, а значит встает резонный вопрос – возможно ли изменение данной ситуации посредством ювенальной юстиции (далее – ЮЮ), всестороннего ее развития, а именно через образование в системе судов общей юрисдикции ювенальных судов.</w:t>
      </w:r>
    </w:p>
    <w:p w:rsidR="00517711" w:rsidRDefault="00F815BE">
      <w:pPr>
        <w:spacing w:after="0" w:line="240" w:lineRule="auto"/>
        <w:ind w:firstLine="709"/>
        <w:contextualSpacing/>
        <w:jc w:val="both"/>
        <w:rPr>
          <w:rFonts w:ascii="Times New Roman" w:hAnsi="Times New Roman"/>
          <w:sz w:val="20"/>
          <w:szCs w:val="20"/>
        </w:rPr>
      </w:pPr>
      <w:r>
        <w:rPr>
          <w:rFonts w:ascii="Times New Roman" w:hAnsi="Times New Roman"/>
          <w:sz w:val="20"/>
          <w:szCs w:val="20"/>
        </w:rPr>
        <w:t>Научная новизна данной темы заключается в том, что в настоящее время отсутствует четко сформулированное понятие ЮЮ, а также перечень тех полномочий, которые должны быть присущи государственным органам в этой сфере деятельности. Подавляющая часть населения не знает, что это такое и как введение ЮЮ может повлиять на институт семьи в целом. Вследствие отсутствия разъяснительной деятельности по данному вопросу, граждане черпают большую часть информации из интернета, в котором много неофициальных и недостоверных источников. Следовательно, необходимо исследовать данную область общественных отношений посредством уяснения понятия, задач и способов реализации ювенальной политики в РФ. Методологической основой к подготовке настоящей работы являются методы анализа, синтеза информации, а также прогнозирования.</w:t>
      </w:r>
    </w:p>
    <w:p w:rsidR="00517711" w:rsidRDefault="00F815BE">
      <w:pPr>
        <w:spacing w:after="0" w:line="240" w:lineRule="auto"/>
        <w:ind w:firstLine="709"/>
        <w:contextualSpacing/>
        <w:jc w:val="both"/>
        <w:rPr>
          <w:rFonts w:ascii="Times New Roman" w:hAnsi="Times New Roman"/>
          <w:sz w:val="20"/>
          <w:szCs w:val="20"/>
        </w:rPr>
      </w:pPr>
      <w:r>
        <w:rPr>
          <w:rFonts w:ascii="Times New Roman" w:hAnsi="Times New Roman"/>
          <w:sz w:val="20"/>
          <w:szCs w:val="20"/>
        </w:rPr>
        <w:t>В преамбуле Декларации по правам ребенка 1959 года предлагалось реализовать обязанность человечества – дать ребенку наилучшее, что оно имеет, ради обеспечение детям счастливого детства и использования лишь на их благо и благо общества гарантированных прав и свобод человека [1]. Правила ООН 1990 года по защите прав несовершеннолетних говорят о необходимости создания «системы правосудия в отношении несовершеннолетних», то есть ювенальной юстиции [2].</w:t>
      </w:r>
    </w:p>
    <w:p w:rsidR="00517711" w:rsidRDefault="00F815BE">
      <w:pPr>
        <w:spacing w:after="0" w:line="240" w:lineRule="auto"/>
        <w:ind w:firstLine="709"/>
        <w:contextualSpacing/>
        <w:jc w:val="both"/>
        <w:rPr>
          <w:rFonts w:ascii="Times New Roman" w:hAnsi="Times New Roman"/>
          <w:sz w:val="20"/>
          <w:szCs w:val="20"/>
        </w:rPr>
      </w:pPr>
      <w:r>
        <w:rPr>
          <w:rFonts w:ascii="Times New Roman" w:hAnsi="Times New Roman"/>
          <w:sz w:val="20"/>
          <w:szCs w:val="20"/>
        </w:rPr>
        <w:t>По мнению Э.Б. Мельниковой, «понятие «ювенальная юстиция» во всем мире связывается с главным ее звеном – судом по делам несовершеннолетних, что определяет понятие юстиции как правосудия» [3, с. 14]. В свою очередь Е.Г. Слуцкий приводит следующее определение ЮЮ: «Совокупность правовых механизмов, медико-социальных, психолого-педагогических и реабилитационных, а также иных процедур и программ, предназначенных для обеспечения наиболее полной защиты прав, свобод и законных интересов несовершеннолетних, а также лиц, ответственных за их воспитание, реализуемых системой государственных и негосударственных органов, учреждений и организаций» [4, с. 524].</w:t>
      </w:r>
    </w:p>
    <w:p w:rsidR="00517711" w:rsidRDefault="00F815BE">
      <w:pPr>
        <w:spacing w:after="0" w:line="240" w:lineRule="auto"/>
        <w:ind w:firstLine="709"/>
        <w:contextualSpacing/>
        <w:jc w:val="both"/>
        <w:rPr>
          <w:rFonts w:ascii="Times New Roman" w:hAnsi="Times New Roman"/>
          <w:sz w:val="20"/>
          <w:szCs w:val="20"/>
        </w:rPr>
      </w:pPr>
      <w:r>
        <w:rPr>
          <w:rFonts w:ascii="Times New Roman" w:hAnsi="Times New Roman"/>
          <w:sz w:val="20"/>
          <w:szCs w:val="20"/>
        </w:rPr>
        <w:lastRenderedPageBreak/>
        <w:t>Система ювенальной юстиции – это сеть как государственных, так и негосударственных учреждений, и организаций, совместно работающих с несовершеннолетними правонарушителями, деятельность которых осуществляется на основе положений закона и процессуальных норм [5, c. 139]. Ее центральным элементом является ювенальный суд – орган, в пределах своей компетенции рассматривающий уголовные, административные и гражданские дела, по которым одной из сторон является несовершеннолетний. Основной задачей такого органа является защита детей и их реабилитация. Важнейшей чертой ювенального правосудия является то, что оно рассматривает ребенка не как объект репрессий, а как субъект реабилитации.</w:t>
      </w:r>
    </w:p>
    <w:p w:rsidR="00517711" w:rsidRDefault="00F815BE">
      <w:pPr>
        <w:spacing w:after="0" w:line="240" w:lineRule="auto"/>
        <w:ind w:firstLine="709"/>
        <w:contextualSpacing/>
        <w:jc w:val="both"/>
        <w:rPr>
          <w:rFonts w:ascii="Times New Roman" w:hAnsi="Times New Roman"/>
          <w:sz w:val="20"/>
          <w:szCs w:val="20"/>
        </w:rPr>
      </w:pPr>
      <w:r>
        <w:rPr>
          <w:rFonts w:ascii="Times New Roman" w:hAnsi="Times New Roman"/>
          <w:sz w:val="20"/>
          <w:szCs w:val="20"/>
        </w:rPr>
        <w:t>Возрастные и психологические особенности несовершеннолетних определяют сущность, назначение и специфику ювенальной юстиции. Подростки нуждаются в особой правовой и психологической защите в процессе осуществления судопроизводства. Россия является одной из немногих стран современного мира, где ювенальная юстиция как самостоятельная подсистема системы правосудия отсутствует. На современном этапе российской действительности создание и развитие ювенальной юстиции и ювенальных судов в системе мер по охране и защите прав несовершеннолетних являются одной из самых спорных проблем реализации государственной ювенальной политики РФ [6, с. 16].</w:t>
      </w:r>
    </w:p>
    <w:p w:rsidR="00517711" w:rsidRDefault="00F815BE">
      <w:pPr>
        <w:spacing w:after="0" w:line="240" w:lineRule="auto"/>
        <w:ind w:firstLine="709"/>
        <w:contextualSpacing/>
        <w:jc w:val="both"/>
        <w:rPr>
          <w:rFonts w:ascii="Times New Roman" w:hAnsi="Times New Roman"/>
          <w:sz w:val="20"/>
          <w:szCs w:val="20"/>
        </w:rPr>
      </w:pPr>
      <w:r>
        <w:rPr>
          <w:rFonts w:ascii="Times New Roman" w:hAnsi="Times New Roman"/>
          <w:sz w:val="20"/>
          <w:szCs w:val="20"/>
        </w:rPr>
        <w:t>Говоря о правах и обязанностях несовершеннолетних в уголовной сфере, следует обратиться к Минимальным стандартным правилам Организации Объединенных Наций (далее – ООН), касающихся отправления правосудия в отношении несовершеннолетних (Пекинским правилам), утвержденным Резолюцией 40/33 Генеральной Ассамблеи ООН 29 ноября 1985 года, а именно к пункту 5.1: «Система правосудия в отношении несовершеннолетних направлена в первую очередь на обеспечение благополучия несовершеннолетнего и обеспечение того, чтобы любые меры воздействия на несовершеннолетних правонарушителей были всегда соизмеримы как с особенностями личности правонарушителя, так и с обстоятельствами правонарушения» [7]. Здесь речь идет о двух главных целях: первая – содействие благополучию несовершеннолетнего, вторая – соблюдение принципа соразмерности наказания за совершенное деяние. При этом российское уголовное и уголовно-процессуальное законодательство имеет своей целью в первую очередь воздаяние за совершенные противоправные действия, в том числе и несовершеннолетним, но никак не реабилитацию и перевоспитание. Это не соответствует модели кураторской юстиции, на которой построены Пекинские правила.</w:t>
      </w:r>
    </w:p>
    <w:p w:rsidR="00517711" w:rsidRDefault="00F815BE">
      <w:pPr>
        <w:spacing w:after="0" w:line="240" w:lineRule="auto"/>
        <w:ind w:firstLine="709"/>
        <w:contextualSpacing/>
        <w:jc w:val="both"/>
        <w:rPr>
          <w:rFonts w:ascii="Times New Roman" w:hAnsi="Times New Roman"/>
          <w:sz w:val="20"/>
          <w:szCs w:val="20"/>
        </w:rPr>
      </w:pPr>
      <w:r>
        <w:rPr>
          <w:rFonts w:ascii="Times New Roman" w:hAnsi="Times New Roman"/>
          <w:sz w:val="20"/>
          <w:szCs w:val="20"/>
        </w:rPr>
        <w:t>В настоящее время вопрос с ЮЮ в РФ законодательно не решен, отсутствует нормативная база для успешного функционирования этой системы.факторами отсутствие восстановительного, «мягкого» правосудия по отношению к несовершеннолетним является настоящей проблемой в РФ. Основной задачей ЮЮ по отношению к малолетним правонарушителям должно являться то, чтобы как можно меньший процент из них попал в колонию для несовершеннолетних. В действительности же мы видим обратную ситуацию.</w:t>
      </w:r>
    </w:p>
    <w:p w:rsidR="00517711" w:rsidRDefault="00F815BE">
      <w:pPr>
        <w:spacing w:after="0" w:line="240" w:lineRule="auto"/>
        <w:ind w:firstLine="709"/>
        <w:contextualSpacing/>
        <w:jc w:val="both"/>
        <w:rPr>
          <w:rFonts w:ascii="Times New Roman" w:hAnsi="Times New Roman"/>
          <w:sz w:val="20"/>
          <w:szCs w:val="20"/>
        </w:rPr>
      </w:pPr>
      <w:r>
        <w:rPr>
          <w:rFonts w:ascii="Times New Roman" w:hAnsi="Times New Roman"/>
          <w:sz w:val="20"/>
          <w:szCs w:val="20"/>
        </w:rPr>
        <w:t>В подтверждение нашей позиции приведем данные судебной статистики. Согласно показаниям сайта Судебного департамента при Верховном суде РФ, за первое полугодие 2017 года было осуждено 10456 несовершеннолетних, оправдательный приговор был вынесен 17 несовершеннолетним, лишь 29 дел были прекращены по реабилитирующим основаниям: в виду отсутствия события, состава преступления, непричастности к преступлению; в апелляционном порядке был обжалован 1301 приговор суда, оправдательный приговор был вынесен лишь в 4 случаях;в кассационном порядке было обжаловано 97 приговоров суда, в 13 случаях был отменен обвинительный приговор; в порядке надзора был обжалован 1 приговор суда.</w:t>
      </w:r>
    </w:p>
    <w:p w:rsidR="00517711" w:rsidRDefault="00F815BE">
      <w:pPr>
        <w:spacing w:after="0" w:line="240" w:lineRule="auto"/>
        <w:ind w:firstLine="709"/>
        <w:contextualSpacing/>
        <w:jc w:val="both"/>
        <w:rPr>
          <w:rFonts w:ascii="Times New Roman" w:hAnsi="Times New Roman"/>
          <w:sz w:val="20"/>
          <w:szCs w:val="20"/>
        </w:rPr>
      </w:pPr>
      <w:r>
        <w:rPr>
          <w:rFonts w:ascii="Times New Roman" w:hAnsi="Times New Roman"/>
          <w:sz w:val="20"/>
          <w:szCs w:val="20"/>
        </w:rPr>
        <w:t>В 2016 и 2015 годах ситуация не менее печальная – было осуждено 24420 (23156) человек, оправдательный приговор был вынесен по 32 (40) делам, по реабилитирующим основаниям было прекращено 279 (186) дел; в апелляционном порядке было обжаловано 2698 (2753) приговоров, из них в 9 (14) случаях был вынесен оправдательный приговор, в 4 (1) случаях обвинительный приговор был отменен по реабилитирующим основаниям, данные о производстве в судах кассационной и надзорной инстанций отсутствуют [8].</w:t>
      </w:r>
    </w:p>
    <w:p w:rsidR="00517711" w:rsidRDefault="00F815BE">
      <w:pPr>
        <w:spacing w:after="0" w:line="240" w:lineRule="auto"/>
        <w:ind w:firstLine="709"/>
        <w:contextualSpacing/>
        <w:jc w:val="both"/>
        <w:rPr>
          <w:rFonts w:ascii="Times New Roman" w:hAnsi="Times New Roman"/>
          <w:sz w:val="20"/>
          <w:szCs w:val="20"/>
        </w:rPr>
      </w:pPr>
      <w:r>
        <w:rPr>
          <w:rFonts w:ascii="Times New Roman" w:hAnsi="Times New Roman"/>
          <w:sz w:val="20"/>
          <w:szCs w:val="20"/>
        </w:rPr>
        <w:t>Приведенная судебная статистика свидетельствует о том, что в российском правосудии действительно существует обвинительный уклон, и особенно остро это проявляется в отношении несовершеннолетних. К сожалению, такая система никак не будет способствовать их реабилитации, исправлению и перевоспитанию.</w:t>
      </w:r>
    </w:p>
    <w:p w:rsidR="00517711" w:rsidRDefault="00F815BE">
      <w:pPr>
        <w:spacing w:after="0" w:line="240" w:lineRule="auto"/>
        <w:ind w:firstLine="709"/>
        <w:contextualSpacing/>
        <w:jc w:val="both"/>
        <w:rPr>
          <w:rFonts w:ascii="Times New Roman" w:hAnsi="Times New Roman"/>
          <w:sz w:val="20"/>
          <w:szCs w:val="20"/>
        </w:rPr>
      </w:pPr>
      <w:r>
        <w:rPr>
          <w:rFonts w:ascii="Times New Roman" w:hAnsi="Times New Roman"/>
          <w:sz w:val="20"/>
          <w:szCs w:val="20"/>
        </w:rPr>
        <w:t>Несмотря на попытки защиты прав несовершеннолетних как социальной группы, сам проект Федерального конституционного закона № 38948-3 «О внесении дополнений в Федеральный конституционный закон «О судебной системе РФ» в части создания ювенальных судов, в 2010 году был отклонен во втором чтении в Государственной думе РФ [9]. Законопроект предусматривал создание в системе судов общей юрисдикции специализированных судов по делам несовершеннолетних – ювенальных судов, которые в целях обеспечения более ранней профилактики преступности рассматривали бы дела о детях, находящихся в ситуации опасности, еще не совершивших правонарушение или преступление. Отклонение данного законопроекта, по нашему мнению, является большой ошибкой законодателя, поскольку создание таких судов позволило бы принимать судьей, имеющим специальные знания в области детской психологии и реабилитологии оптимальные решения, направленные на социализацию подростка-правонарушителя и защиту прав ребенка, находящегося в социально-опасном положении.</w:t>
      </w:r>
    </w:p>
    <w:p w:rsidR="00517711" w:rsidRDefault="00F815BE">
      <w:pPr>
        <w:spacing w:after="0" w:line="240" w:lineRule="auto"/>
        <w:ind w:firstLine="709"/>
        <w:contextualSpacing/>
        <w:jc w:val="both"/>
        <w:rPr>
          <w:rFonts w:ascii="Times New Roman" w:hAnsi="Times New Roman"/>
          <w:sz w:val="20"/>
          <w:szCs w:val="20"/>
        </w:rPr>
      </w:pPr>
      <w:r>
        <w:rPr>
          <w:rFonts w:ascii="Times New Roman" w:hAnsi="Times New Roman"/>
          <w:sz w:val="20"/>
          <w:szCs w:val="20"/>
        </w:rPr>
        <w:t xml:space="preserve">В отдельных регионах РФ осуществляется внедрение так называемых «ювенальных технологий» - комплекса мер, направленных на реализацию и защиту прав, свобод и законных интересов несовершеннолетних, находящихся в конфликте с законом, и содействующих раскрытию их индивидуального </w:t>
      </w:r>
      <w:r>
        <w:rPr>
          <w:rFonts w:ascii="Times New Roman" w:hAnsi="Times New Roman"/>
          <w:sz w:val="20"/>
          <w:szCs w:val="20"/>
        </w:rPr>
        <w:lastRenderedPageBreak/>
        <w:t>потенциала для свободного развития в обществе и самостоятельного отказа от асоциального поведения. Так, в 2004 году Постановлением Президиума Ростовского областного суда было принято решение о создании в г. Таганроге ювенальных судов [10]. Несмотря на громкое название, на деле же был образован специальный судебный состав по делам несовершеннолетних в Таганрогском городском суде. В целом по стране – в Ленинградской, Брянской, Липецкой, Камчатской, Иркутской, Владимирской, Ивановской, Оренбургской, Волгоградской, Московской областях, Еврейской автономной области, Пермском крае, республиках Хакасия и Карелия – во всех этих субъектах суды общей юрисдикции стали использовать ювенальные элементы.Введение и использование отдельных ювенальных элементов в некоторых субъектах РФ можно рассматривать двояко. С одной стороны, несомненно это положительная новация в российском судопроизводстве, и она лишний раз показывает необходимость обращения должного внимания на проблему подростковой преступности, а также дальнейшего отправления правосудия. С другой стороны, рассмотрение дел несовершеннолетних специализированными составами судей лишь в некоторых регионах страны является нарушением конституционного права равенства всех перед законом и судом по отношению к тем регионам, где такие судебные элементы отсутствуют. Создание законодательной базы, регламентирующей судебную деятельность на федеральном уровне, а затем и учреждение специализированных судейских составов во всех регионах РФ способно действительно решить данную проблему.</w:t>
      </w:r>
    </w:p>
    <w:p w:rsidR="00517711" w:rsidRDefault="00F815BE">
      <w:pPr>
        <w:spacing w:after="0" w:line="240" w:lineRule="auto"/>
        <w:ind w:firstLine="709"/>
        <w:contextualSpacing/>
        <w:jc w:val="both"/>
        <w:rPr>
          <w:rFonts w:ascii="Times New Roman" w:hAnsi="Times New Roman"/>
          <w:sz w:val="20"/>
          <w:szCs w:val="20"/>
        </w:rPr>
      </w:pPr>
      <w:r>
        <w:rPr>
          <w:rFonts w:ascii="Times New Roman" w:hAnsi="Times New Roman"/>
          <w:sz w:val="20"/>
          <w:szCs w:val="20"/>
        </w:rPr>
        <w:t>На основании вышеизложенного нами сформулированы следующие выводы: отсутствие необходимой разъяснительной деятельности по «ювенальному» вопросу среди населения, а также разграничения нарушения прав несовершеннолетних и так называемого «попирания» прав родителей является главным фактором, «тормозящим» развитие ЮЮ в нашей стране. Приведенная судебная статистика говорит сама за себя – огромный процент осужденных несовершеннолетних никак не будет способствовать их реабилитации и возвращению к нормальной жизни. Лишь правильное разграничение категорий ювенальной системы – правосудия по делам несовершеннолетних и комплекса мер по их защите, а затем и законодательное их закрепление – способно не допустить хаоса в умах населения, а также проведения действительно той воспитательной работы, которая так необходима несовершеннолетним правонарушителям.</w:t>
      </w:r>
    </w:p>
    <w:p w:rsidR="00517711" w:rsidRDefault="00F815BE">
      <w:pPr>
        <w:spacing w:after="0" w:line="240" w:lineRule="auto"/>
        <w:ind w:firstLine="709"/>
        <w:contextualSpacing/>
        <w:jc w:val="both"/>
        <w:rPr>
          <w:rFonts w:ascii="Times New Roman" w:hAnsi="Times New Roman"/>
          <w:b/>
          <w:sz w:val="20"/>
          <w:szCs w:val="20"/>
        </w:rPr>
      </w:pPr>
      <w:r>
        <w:rPr>
          <w:rFonts w:ascii="Times New Roman" w:hAnsi="Times New Roman"/>
          <w:b/>
          <w:sz w:val="20"/>
          <w:szCs w:val="20"/>
        </w:rPr>
        <w:t>________________________________________________________________________</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1. Декларация прав ребенка. Принята резолюцией 1386 (ХIV) Генеральной Ассамблеи ООН от 20.11.1959 [Электронный ресурс] // Организация объединенных наций. – Режим доступа: http://www.un.org/ru/documents/decl_conv/declarations/childdec.shtml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2. Правила Организации Объединенных Наций, касающиеся защиты несовершеннолетних, лишенных свободы. Приняты резолюцией 45/113 Генеральной Ассамблеи от 14.12.1990 [Электронный ресурс] // Организация объединенных наций. – Режим доступа: </w:t>
      </w:r>
      <w:hyperlink r:id="rId198" w:history="1">
        <w:r>
          <w:rPr>
            <w:rStyle w:val="aa"/>
            <w:rFonts w:ascii="Times New Roman" w:hAnsi="Times New Roman" w:cs="Times New Roman"/>
            <w:color w:val="000000" w:themeColor="text1"/>
            <w:sz w:val="20"/>
            <w:szCs w:val="20"/>
          </w:rPr>
          <w:t>http://www.un.org/ru/documents/decl_conv/conventions/juveniles_liberty.shtml</w:t>
        </w:r>
      </w:hyperlink>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3. Мельникова Э.Б. Ювенальная юстиция: проблемы уголовного права, уголовного процесса и криминологии: учеб. пособие. / Э.Б. Мельникова. – М. : Дело, 2001. – 14 с.</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4. Слуцкий Е.Г. Ювеналогия и ювенальная политика в XXI веке / Е.Г. Слуцкий. – СПб.: Знание, ИВЭСЭП, 2004. – 524 с.</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5. Муратова Э.М. Ювенальная юстиция – гарантия защиты прав несовершеннолетних / Э.М. Муратова // Евразийский Союз Ученых (ЕСУ). – 2015. - № 3 (12). – С. 139.</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6. Горян Э.В. Инспекция труда в правовом механизме борьбы с детским трудом: международные стандарты // Административное и муниципальное право. — 2017. - № 5. - С.9-21.</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7. Минимальные стандартные правила Организации Объединенных Наций, касающиеся отправления правосудия в отношении несовершеннолетних (Пекинские правила). Приняты резолюцией 40/33 Генеральной Ассамблеи от 29.11.1985 [Электронный ресурс] // Организация объединенных наций. – Режим доступа: </w:t>
      </w:r>
      <w:hyperlink r:id="rId199" w:history="1">
        <w:r>
          <w:rPr>
            <w:rStyle w:val="aa"/>
            <w:rFonts w:ascii="Times New Roman" w:hAnsi="Times New Roman" w:cs="Times New Roman"/>
            <w:color w:val="000000" w:themeColor="text1"/>
            <w:sz w:val="20"/>
            <w:szCs w:val="20"/>
          </w:rPr>
          <w:t>http://www.un.org/ru/documents/decl_conv/conventions/beijing_rules.shtml</w:t>
        </w:r>
      </w:hyperlink>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8. Данные судебной статистики Судебного департамента при Верховном суде Российской Федерации [Электронный ресурс] // Режим доступа: </w:t>
      </w:r>
      <w:hyperlink r:id="rId200" w:history="1">
        <w:r>
          <w:rPr>
            <w:rStyle w:val="aa"/>
            <w:rFonts w:ascii="Times New Roman" w:hAnsi="Times New Roman" w:cs="Times New Roman"/>
            <w:color w:val="000000" w:themeColor="text1"/>
            <w:sz w:val="20"/>
            <w:szCs w:val="20"/>
          </w:rPr>
          <w:t>http://www.cdep.ru/index.php?id=79</w:t>
        </w:r>
      </w:hyperlink>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9. Госдуме рекомендовано отклонить проект ФКЗ о ювенальных судах в РФ: Справочно-правовой портал «Право.RU» [Электронный ресурс] // Режим доступа: </w:t>
      </w:r>
      <w:hyperlink r:id="rId201" w:history="1">
        <w:r>
          <w:rPr>
            <w:rStyle w:val="aa"/>
            <w:rFonts w:ascii="Times New Roman" w:hAnsi="Times New Roman" w:cs="Times New Roman"/>
            <w:color w:val="000000" w:themeColor="text1"/>
            <w:sz w:val="20"/>
            <w:szCs w:val="20"/>
          </w:rPr>
          <w:t>https://pravo.ru/news/view/39433/</w:t>
        </w:r>
      </w:hyperlink>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10. О дополнительных мерах по совершенствованию правосудия в отношении несовершеннолетних в Ростовской области: Постановление Президиума Ростовского областного суда от 09.01.2004 [Электронный ресурс] // Режим доступа: </w:t>
      </w:r>
      <w:hyperlink r:id="rId202" w:history="1">
        <w:r>
          <w:rPr>
            <w:rStyle w:val="aa"/>
            <w:rFonts w:ascii="Times New Roman" w:hAnsi="Times New Roman" w:cs="Times New Roman"/>
            <w:color w:val="000000" w:themeColor="text1"/>
            <w:sz w:val="20"/>
            <w:szCs w:val="20"/>
          </w:rPr>
          <w:t>http://taganrogsky.ros.sudrf.ru/modules.php?name=info_court&amp;id=10</w:t>
        </w:r>
      </w:hyperlink>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 xml:space="preserve"> Рубрика: 10.00</w:t>
      </w:r>
    </w:p>
    <w:p w:rsidR="00517711" w:rsidRDefault="00F815BE">
      <w:pPr>
        <w:spacing w:after="0" w:line="240" w:lineRule="auto"/>
        <w:jc w:val="both"/>
        <w:rPr>
          <w:rFonts w:ascii="Times New Roman" w:hAnsi="Times New Roman"/>
          <w:color w:val="000000"/>
          <w:sz w:val="20"/>
          <w:szCs w:val="28"/>
        </w:rPr>
      </w:pPr>
      <w:r>
        <w:rPr>
          <w:rFonts w:ascii="Times New Roman" w:hAnsi="Times New Roman"/>
          <w:color w:val="000000" w:themeColor="text1"/>
          <w:sz w:val="20"/>
          <w:szCs w:val="28"/>
        </w:rPr>
        <w:t>УДК 34.4411</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Политико-правовой анализ сущности делегитимации государственной власти: теоретические аспекты и способы восстановления</w:t>
      </w:r>
    </w:p>
    <w:p w:rsidR="00517711" w:rsidRDefault="00F815BE">
      <w:pPr>
        <w:spacing w:after="0" w:line="240" w:lineRule="auto"/>
        <w:ind w:firstLine="709"/>
        <w:jc w:val="center"/>
        <w:rPr>
          <w:rFonts w:ascii="Arial" w:eastAsia="Calibri" w:hAnsi="Arial"/>
          <w:b/>
          <w:bCs/>
          <w:sz w:val="24"/>
          <w:szCs w:val="20"/>
          <w:lang w:eastAsia="ru-RU"/>
        </w:rPr>
      </w:pPr>
      <w:r>
        <w:rPr>
          <w:rFonts w:ascii="Arial" w:eastAsia="Calibri" w:hAnsi="Arial"/>
          <w:b/>
          <w:bCs/>
          <w:sz w:val="24"/>
          <w:szCs w:val="20"/>
          <w:lang w:eastAsia="ru-RU"/>
        </w:rPr>
        <w:t>Лось Диана Викторовна,</w:t>
      </w:r>
    </w:p>
    <w:p w:rsidR="00517711" w:rsidRDefault="00F815BE">
      <w:pPr>
        <w:spacing w:line="240" w:lineRule="auto"/>
        <w:ind w:firstLine="709"/>
        <w:jc w:val="center"/>
        <w:rPr>
          <w:rFonts w:ascii="Arial" w:eastAsia="Calibri" w:hAnsi="Arial"/>
          <w:bCs/>
          <w:sz w:val="24"/>
          <w:szCs w:val="20"/>
          <w:lang w:eastAsia="ru-RU"/>
        </w:rPr>
      </w:pPr>
      <w:r>
        <w:rPr>
          <w:rFonts w:ascii="Arial" w:eastAsia="Calibri" w:hAnsi="Arial"/>
          <w:bCs/>
          <w:sz w:val="24"/>
          <w:szCs w:val="20"/>
          <w:lang w:eastAsia="ru-RU"/>
        </w:rPr>
        <w:lastRenderedPageBreak/>
        <w:t>Бакалавр</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spacing w:after="0" w:line="240" w:lineRule="auto"/>
        <w:ind w:firstLine="709"/>
        <w:jc w:val="center"/>
        <w:rPr>
          <w:rFonts w:ascii="Times New Roman" w:hAnsi="Times New Roman"/>
          <w:sz w:val="20"/>
          <w:szCs w:val="24"/>
        </w:rPr>
      </w:pPr>
      <w:r>
        <w:rPr>
          <w:rFonts w:ascii="Times New Roman" w:hAnsi="Times New Roman"/>
          <w:sz w:val="20"/>
          <w:szCs w:val="24"/>
          <w:lang w:val="en-US"/>
        </w:rPr>
        <w:t>E</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 xml:space="preserve">: </w:t>
      </w:r>
      <w:r>
        <w:rPr>
          <w:rFonts w:ascii="Times New Roman" w:hAnsi="Times New Roman"/>
          <w:sz w:val="20"/>
          <w:szCs w:val="24"/>
          <w:lang w:val="en-US"/>
        </w:rPr>
        <w:t>Diana</w:t>
      </w:r>
      <w:r>
        <w:rPr>
          <w:rFonts w:ascii="Times New Roman" w:hAnsi="Times New Roman"/>
          <w:sz w:val="20"/>
          <w:szCs w:val="24"/>
        </w:rPr>
        <w:t>.</w:t>
      </w:r>
      <w:r>
        <w:rPr>
          <w:rFonts w:ascii="Times New Roman" w:hAnsi="Times New Roman"/>
          <w:sz w:val="20"/>
          <w:szCs w:val="24"/>
          <w:lang w:val="en-US"/>
        </w:rPr>
        <w:t>Los</w:t>
      </w:r>
      <w:r>
        <w:rPr>
          <w:rFonts w:ascii="Times New Roman" w:hAnsi="Times New Roman"/>
          <w:sz w:val="20"/>
          <w:szCs w:val="24"/>
        </w:rPr>
        <w:t>@</w:t>
      </w:r>
      <w:r>
        <w:rPr>
          <w:rFonts w:ascii="Times New Roman" w:hAnsi="Times New Roman"/>
          <w:sz w:val="20"/>
          <w:szCs w:val="24"/>
          <w:lang w:val="en-US"/>
        </w:rPr>
        <w:t>vvsu</w:t>
      </w:r>
      <w:r>
        <w:rPr>
          <w:rFonts w:ascii="Times New Roman" w:hAnsi="Times New Roman"/>
          <w:sz w:val="20"/>
          <w:szCs w:val="24"/>
        </w:rPr>
        <w:t>.</w:t>
      </w:r>
      <w:r>
        <w:rPr>
          <w:rFonts w:ascii="Times New Roman" w:hAnsi="Times New Roman"/>
          <w:sz w:val="20"/>
          <w:szCs w:val="24"/>
          <w:lang w:val="en-US"/>
        </w:rPr>
        <w:t>ru</w:t>
      </w:r>
      <w:r>
        <w:rPr>
          <w:rFonts w:ascii="Times New Roman" w:hAnsi="Times New Roman"/>
          <w:sz w:val="20"/>
          <w:szCs w:val="24"/>
        </w:rPr>
        <w:t>; тел.: +79149733080</w:t>
      </w:r>
    </w:p>
    <w:p w:rsidR="00517711" w:rsidRDefault="00F815BE">
      <w:pPr>
        <w:spacing w:line="240" w:lineRule="auto"/>
        <w:ind w:firstLine="709"/>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F815BE">
      <w:pPr>
        <w:spacing w:after="0" w:line="240" w:lineRule="auto"/>
        <w:ind w:firstLine="709"/>
        <w:jc w:val="both"/>
        <w:rPr>
          <w:rFonts w:ascii="Times New Roman" w:hAnsi="Times New Roman"/>
          <w:i/>
          <w:szCs w:val="24"/>
        </w:rPr>
      </w:pPr>
      <w:r>
        <w:rPr>
          <w:rFonts w:ascii="Times New Roman" w:hAnsi="Times New Roman"/>
          <w:i/>
          <w:szCs w:val="24"/>
        </w:rPr>
        <w:t>Статья посвящена анализу одного из ключевых понятий в юриспруденции – понятию «делегитимации» государственной власти. Дано его определение, рассмотрены возможные причины кризиса легитимности. В настоящей работе приведены методы предотвращения делегитимации государственной власти.</w:t>
      </w:r>
    </w:p>
    <w:p w:rsidR="00517711" w:rsidRDefault="00F815BE">
      <w:pPr>
        <w:spacing w:after="0" w:line="240" w:lineRule="auto"/>
        <w:ind w:firstLine="709"/>
        <w:jc w:val="both"/>
        <w:rPr>
          <w:rFonts w:ascii="Times New Roman" w:hAnsi="Times New Roman"/>
          <w:i/>
          <w:szCs w:val="24"/>
        </w:rPr>
      </w:pPr>
      <w:r>
        <w:rPr>
          <w:rFonts w:ascii="Times New Roman" w:hAnsi="Times New Roman"/>
          <w:b/>
          <w:i/>
          <w:szCs w:val="24"/>
        </w:rPr>
        <w:t>Ключевые слова и словосочетания</w:t>
      </w:r>
      <w:r>
        <w:rPr>
          <w:rFonts w:ascii="Times New Roman" w:hAnsi="Times New Roman"/>
          <w:i/>
          <w:szCs w:val="24"/>
        </w:rPr>
        <w:t>: государство, власть, государственная власть, легитимность, делегитимация, делегитимность, кризис государственной власти.</w:t>
      </w:r>
    </w:p>
    <w:p w:rsidR="00517711" w:rsidRDefault="00F815BE">
      <w:pPr>
        <w:keepNext/>
        <w:spacing w:before="240" w:after="240" w:line="240" w:lineRule="auto"/>
        <w:jc w:val="center"/>
        <w:outlineLvl w:val="0"/>
        <w:rPr>
          <w:rFonts w:ascii="Book Antiqua" w:hAnsi="Book Antiqua"/>
          <w:b/>
          <w:bCs/>
          <w:caps/>
          <w:sz w:val="26"/>
          <w:szCs w:val="26"/>
          <w:lang w:val="en-US"/>
        </w:rPr>
      </w:pPr>
      <w:r>
        <w:rPr>
          <w:rFonts w:ascii="Book Antiqua" w:hAnsi="Book Antiqua"/>
          <w:b/>
          <w:bCs/>
          <w:caps/>
          <w:sz w:val="26"/>
          <w:szCs w:val="26"/>
          <w:lang w:val="en-US"/>
        </w:rPr>
        <w:t>Politico-legal analysis of the essence of delegitimation of state power: theoretical aspects and ways of restoration</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i/>
          <w:szCs w:val="24"/>
          <w:lang w:val="en-US"/>
        </w:rPr>
        <w:t>The article is devoted to the analysis of one of the key concepts in jurisprudence - the concept of "delegitimation" of state power. Its definition is given, possible causes of the crisis of legitimacy are considered. In this paper methods are given to prevent the delegitimation of state power.</w:t>
      </w:r>
    </w:p>
    <w:p w:rsidR="00517711" w:rsidRDefault="00F815BE">
      <w:pPr>
        <w:spacing w:after="0" w:line="240" w:lineRule="auto"/>
        <w:ind w:firstLine="709"/>
        <w:rPr>
          <w:rFonts w:ascii="Times New Roman" w:hAnsi="Times New Roman"/>
          <w:i/>
          <w:szCs w:val="24"/>
          <w:lang w:val="en-US"/>
        </w:rPr>
      </w:pPr>
      <w:r>
        <w:rPr>
          <w:rFonts w:ascii="Times New Roman" w:hAnsi="Times New Roman"/>
          <w:b/>
          <w:i/>
          <w:szCs w:val="24"/>
          <w:lang w:val="en-US"/>
        </w:rPr>
        <w:t>Keywords</w:t>
      </w:r>
      <w:r>
        <w:rPr>
          <w:rFonts w:ascii="Times New Roman" w:hAnsi="Times New Roman"/>
          <w:i/>
          <w:szCs w:val="24"/>
          <w:lang w:val="en-US"/>
        </w:rPr>
        <w:t>: state, power, state power, legitimacy, delegitimation, delegitimacy, crisis of state power.</w:t>
      </w:r>
    </w:p>
    <w:p w:rsidR="00517711" w:rsidRDefault="00517711">
      <w:pPr>
        <w:spacing w:after="0" w:line="240" w:lineRule="auto"/>
        <w:ind w:firstLine="709"/>
        <w:rPr>
          <w:rFonts w:ascii="Times New Roman" w:hAnsi="Times New Roman"/>
          <w:i/>
          <w:sz w:val="16"/>
          <w:szCs w:val="24"/>
          <w:lang w:val="en-US"/>
        </w:rPr>
      </w:pP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Конец </w:t>
      </w:r>
      <w:r>
        <w:rPr>
          <w:rFonts w:ascii="Times New Roman" w:hAnsi="Times New Roman"/>
          <w:sz w:val="20"/>
          <w:szCs w:val="24"/>
          <w:lang w:val="en-US"/>
        </w:rPr>
        <w:t>XX</w:t>
      </w:r>
      <w:r>
        <w:rPr>
          <w:rFonts w:ascii="Times New Roman" w:hAnsi="Times New Roman"/>
          <w:sz w:val="20"/>
          <w:szCs w:val="24"/>
        </w:rPr>
        <w:t xml:space="preserve"> - начало XXI века считается периодом, характеризующимся трансформацией политической жизни государств. Обращает на себя внимание тот факт, что данная трансформация повлияла на важнейшие институты политической власти, а также внесла изменения в их деятельность. Точнее, на их стабильность.</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Под трансформацией понимается п</w:t>
      </w:r>
      <w:r>
        <w:rPr>
          <w:rFonts w:ascii="Times New Roman" w:hAnsi="Times New Roman"/>
          <w:sz w:val="20"/>
          <w:szCs w:val="24"/>
          <w:shd w:val="clear" w:color="auto" w:fill="FFFFFF"/>
          <w:lang w:eastAsia="ru-RU"/>
        </w:rPr>
        <w:t>олитический процесс значительного изменения условий и механизмов функционирования политической системы в целом или ее отдельных частей, ведущих к возникновению новых форм политических организаций и институтов, к смене форм государственного правления или политического режима.</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К выбору именно этой темы подтолкнула ее малоизученность. В исследование будет произведена попытка определить сущность процессов легитимации и делегитимации и предложить решение этой проблемы.</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Новизна исследования состоит в том, что кризис легитимности государственной власти может быть предотвращен, если будут использованы значительно новые способы и методы, направленные прежде всего на укрепление демократических ценностей в обществе.</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Сегодня проблема делегитимности власти является одной из самых актуальных. Очевидно, что это связано с определенной закономерностью - чем больше развиваются институты народовластия, тем важнее властвующим добиться одобрения и поддержки подвластных. Стоит сказать, что ее малоизученность подчеркивает актуальность поиска решений этих трудностей.</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Исследование имеет целью комплексно, с позиций системного подхода проанализировать и охарактеризовать процессы легитимации и делегитимации государственной власти, а также разработать научно обоснованные рекомендации по ее противодействию.</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Для достижения поставленной цели исследования необходимо решить </w:t>
      </w:r>
      <w:r>
        <w:rPr>
          <w:rFonts w:ascii="Times New Roman" w:hAnsi="Times New Roman"/>
          <w:bCs/>
          <w:sz w:val="20"/>
          <w:szCs w:val="24"/>
        </w:rPr>
        <w:t>следующие</w:t>
      </w:r>
      <w:r>
        <w:rPr>
          <w:rFonts w:ascii="Times New Roman" w:hAnsi="Times New Roman"/>
          <w:sz w:val="20"/>
          <w:szCs w:val="24"/>
        </w:rPr>
        <w:t> </w:t>
      </w:r>
      <w:r>
        <w:rPr>
          <w:rFonts w:ascii="Times New Roman" w:hAnsi="Times New Roman"/>
          <w:bCs/>
          <w:sz w:val="20"/>
          <w:szCs w:val="24"/>
        </w:rPr>
        <w:t>задачи</w:t>
      </w:r>
      <w:r>
        <w:rPr>
          <w:rFonts w:ascii="Times New Roman" w:hAnsi="Times New Roman"/>
          <w:sz w:val="20"/>
          <w:szCs w:val="24"/>
        </w:rPr>
        <w:t>:</w:t>
      </w:r>
    </w:p>
    <w:p w:rsidR="00517711" w:rsidRDefault="00F815BE">
      <w:pPr>
        <w:numPr>
          <w:ilvl w:val="0"/>
          <w:numId w:val="36"/>
        </w:numPr>
        <w:spacing w:after="0" w:line="240" w:lineRule="auto"/>
        <w:ind w:left="0" w:firstLine="709"/>
        <w:jc w:val="both"/>
        <w:rPr>
          <w:rFonts w:ascii="Times New Roman" w:hAnsi="Times New Roman"/>
          <w:sz w:val="20"/>
          <w:szCs w:val="24"/>
        </w:rPr>
      </w:pPr>
      <w:r>
        <w:rPr>
          <w:rFonts w:ascii="Times New Roman" w:hAnsi="Times New Roman"/>
          <w:sz w:val="20"/>
          <w:szCs w:val="24"/>
        </w:rPr>
        <w:t>изучить, обобщить и проанализировать имеющийся теоретический материал по данной проблеме с учетом тенденций развития общества и государства;</w:t>
      </w:r>
    </w:p>
    <w:p w:rsidR="00517711" w:rsidRDefault="00F815BE">
      <w:pPr>
        <w:numPr>
          <w:ilvl w:val="0"/>
          <w:numId w:val="36"/>
        </w:numPr>
        <w:spacing w:after="0" w:line="240" w:lineRule="auto"/>
        <w:ind w:left="0" w:firstLine="709"/>
        <w:jc w:val="both"/>
        <w:rPr>
          <w:rFonts w:ascii="Times New Roman" w:hAnsi="Times New Roman"/>
          <w:sz w:val="20"/>
          <w:szCs w:val="24"/>
        </w:rPr>
      </w:pPr>
      <w:r>
        <w:rPr>
          <w:rFonts w:ascii="Times New Roman" w:hAnsi="Times New Roman"/>
          <w:sz w:val="20"/>
          <w:szCs w:val="24"/>
        </w:rPr>
        <w:t>определить соотношение понятий легитимации и легализации; делегитимации и делегализации; легитимности и легальности;</w:t>
      </w:r>
    </w:p>
    <w:p w:rsidR="00517711" w:rsidRDefault="00F815BE">
      <w:pPr>
        <w:numPr>
          <w:ilvl w:val="0"/>
          <w:numId w:val="36"/>
        </w:numPr>
        <w:spacing w:after="0" w:line="240" w:lineRule="auto"/>
        <w:ind w:left="0" w:firstLine="709"/>
        <w:jc w:val="both"/>
        <w:rPr>
          <w:rFonts w:ascii="Times New Roman" w:hAnsi="Times New Roman"/>
          <w:sz w:val="20"/>
          <w:szCs w:val="24"/>
        </w:rPr>
      </w:pPr>
      <w:r>
        <w:rPr>
          <w:rFonts w:ascii="Times New Roman" w:hAnsi="Times New Roman"/>
          <w:sz w:val="20"/>
          <w:szCs w:val="24"/>
        </w:rPr>
        <w:t>проанализировать факторы делегитимации государственной власти;</w:t>
      </w:r>
    </w:p>
    <w:p w:rsidR="00517711" w:rsidRDefault="00F815BE">
      <w:pPr>
        <w:numPr>
          <w:ilvl w:val="0"/>
          <w:numId w:val="36"/>
        </w:numPr>
        <w:spacing w:after="0" w:line="240" w:lineRule="auto"/>
        <w:ind w:left="0" w:firstLine="709"/>
        <w:jc w:val="both"/>
        <w:rPr>
          <w:rFonts w:ascii="Times New Roman" w:hAnsi="Times New Roman"/>
          <w:sz w:val="20"/>
          <w:szCs w:val="24"/>
        </w:rPr>
      </w:pPr>
      <w:r>
        <w:rPr>
          <w:rFonts w:ascii="Times New Roman" w:hAnsi="Times New Roman"/>
          <w:sz w:val="20"/>
          <w:szCs w:val="24"/>
        </w:rPr>
        <w:t>выработать предложения по предотвращению делегитимации государственной власти.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Объектом исследования являются общественные отношения, складывающиеся в сфере делегитимации государственной власти. А предметом выступает процесс делегитимации.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Методологическую основу исследования составляют диалектико-материалистический метод познания объективной действительности и основанные на нем общенаучные, специальные и частно научные методы (анализ, синтез, обобщение, индукция, дедукция, логический, социологический, статистический, системно-структурный, сравнительно-правовой).</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Существуют различные подходы к определению термина «легитимация». Важно отметить, что в различных гуманитарных науках таких, как философия, социология, правоведение, данное явление трактуется неоднозначно. В попытках систематизации языковых вариантов учитывается разный набор признаков в соответствии с исходными позициями в понимании </w:t>
      </w:r>
      <w:r>
        <w:rPr>
          <w:rFonts w:ascii="Times New Roman" w:hAnsi="Times New Roman"/>
          <w:bCs/>
          <w:sz w:val="20"/>
          <w:szCs w:val="24"/>
        </w:rPr>
        <w:t>данного</w:t>
      </w:r>
      <w:r>
        <w:rPr>
          <w:rFonts w:ascii="Times New Roman" w:hAnsi="Times New Roman"/>
          <w:sz w:val="20"/>
          <w:szCs w:val="24"/>
        </w:rPr>
        <w:t xml:space="preserve"> политического </w:t>
      </w:r>
      <w:r>
        <w:rPr>
          <w:rFonts w:ascii="Times New Roman" w:hAnsi="Times New Roman"/>
          <w:bCs/>
          <w:sz w:val="20"/>
          <w:szCs w:val="24"/>
        </w:rPr>
        <w:t>явления</w:t>
      </w:r>
      <w:r>
        <w:rPr>
          <w:rFonts w:ascii="Times New Roman" w:hAnsi="Times New Roman"/>
          <w:sz w:val="20"/>
          <w:szCs w:val="24"/>
        </w:rPr>
        <w:t>. Таким образом, зачастую требуется конкретизировать, каким смысловым содержанием наполнена данная категория в различных науках.</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lastRenderedPageBreak/>
        <w:t>В юридической науке понятию «легитимация» отводится особое место. И для того, чтобы проанализировать процессы легитимации государственной власти, потребуется детальное рассмотрение понятия и взаимосвязи рассматриваемого термина с сопредельными категориями.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Первоначально стоит отметить, что изучаемый термин имеет юридическое происхождение (от лат. Legitimus – законный). Но с ходом истории и благодаря исследованиям ученых, ему свойственно более широкое понимание.</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Различают два ведущих подхода к объяснению суждений о легитимации государственной власти.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широком понимании легитимация государственной власти - это принятие власти большинством населением страны, признание ее права управлять социальными процессами, готовность ей подчиняться. С точки зрения этого подхода, понятие легитимность государственной власти содержит в себе следующие составляющие: первое и основное, это политический аспект, то есть признание власти народом, второе, это юридический аспект, или ее узаконение. Таким образом, в данном случае легитимация подразумевается больше, как признание народом, нежели узаконивание.</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узком же значении легитимация государственной власти – это регламентированная законодательством деятельность граждан, органов публичной власти, их должностных лиц, а также общественных объединений по юридическому удостоверению (узаконению) институализируемых ими государственных органов и должностных лиц. [2]</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Этому вопросу посвящена следующая работа Сеймура Мартина Липсета «Размышление о легитимности». Согласно которой утверждение легитимности в политической системе результат не столько деятельности харизматических лидеров, сколько доверия и содействия масс.</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соответствии с вышесказанным, можно сделать вывод, что легитимность является особым свойством власти, а легитимация – процессом.</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Существует также процесс делегитимации государственной власти, характеризующееся как противоположный, обратный легитимации. Его, в свою очередь, называют «кризисом легитимности».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Обратимся к терминологии: понятие «кризис» происходит от греч. «krisis», означающего «исход», «решение». Согласно политологическому словарю, кризис рассматривается как временная ситуация в функционировании какой-либо системы с позитивным для неё или негативным исходом. [4]</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Понятие делегитимации, как и ранее, необходимо проанализировать, исходя из узкого и широкого подхода.</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Делегитимацию в широком смысле следует рассматривать, как процесс утраты признания власти. В узком же, как процесс утраты государственной властью законного характера.</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Закономерным итогом процесса делегитимации государственной власти является такое ее состояние, как делегитимность. Под делегитимностью ученые понимают такое качество, содержание власти, при котором происходит утрата доверия со стороны населения государства. При этом государственная власть может осуществляться вполне легально (законно).</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Принято считать, что состояние делегитимности может наступать по причине узурпации власти, революции, государственного переворота, а также из-за несоблюдения норм права государственной властью.</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Объективную и отвечающую реальному положению вещей характеристику кризису легитимности власти дает К. Н. Серов. «Кризис легитимности государственной власти» может проявляться в трех формах:</w:t>
      </w:r>
    </w:p>
    <w:p w:rsidR="00517711" w:rsidRDefault="00F815BE">
      <w:pPr>
        <w:numPr>
          <w:ilvl w:val="0"/>
          <w:numId w:val="38"/>
        </w:numPr>
        <w:spacing w:after="0" w:line="240" w:lineRule="auto"/>
        <w:ind w:left="0" w:firstLine="709"/>
        <w:jc w:val="both"/>
        <w:rPr>
          <w:rFonts w:ascii="Times New Roman" w:hAnsi="Times New Roman"/>
          <w:sz w:val="20"/>
          <w:szCs w:val="24"/>
        </w:rPr>
      </w:pPr>
      <w:r>
        <w:rPr>
          <w:rFonts w:ascii="Times New Roman" w:hAnsi="Times New Roman"/>
          <w:sz w:val="20"/>
          <w:szCs w:val="24"/>
        </w:rPr>
        <w:t>невозможность государственной власти реализовывать свои властные полномочия, некомпетентность властвующего субъекта и как крайняя степень — политические колебания, вызванные "сомнением", неуверенностью правящих верхов в своих правах на власть;</w:t>
      </w:r>
    </w:p>
    <w:p w:rsidR="00517711" w:rsidRDefault="00F815BE">
      <w:pPr>
        <w:numPr>
          <w:ilvl w:val="0"/>
          <w:numId w:val="38"/>
        </w:numPr>
        <w:spacing w:after="0" w:line="240" w:lineRule="auto"/>
        <w:ind w:left="0" w:firstLine="709"/>
        <w:jc w:val="both"/>
        <w:rPr>
          <w:rFonts w:ascii="Times New Roman" w:hAnsi="Times New Roman"/>
          <w:sz w:val="20"/>
          <w:szCs w:val="24"/>
        </w:rPr>
      </w:pPr>
      <w:r>
        <w:rPr>
          <w:rFonts w:ascii="Times New Roman" w:hAnsi="Times New Roman"/>
          <w:sz w:val="20"/>
          <w:szCs w:val="24"/>
        </w:rPr>
        <w:t>кризис доверия, выраженный в негативном отношении подвластного субъекта к государственной власти;</w:t>
      </w:r>
    </w:p>
    <w:p w:rsidR="00517711" w:rsidRDefault="00F815BE">
      <w:pPr>
        <w:numPr>
          <w:ilvl w:val="0"/>
          <w:numId w:val="38"/>
        </w:numPr>
        <w:spacing w:after="0" w:line="240" w:lineRule="auto"/>
        <w:ind w:left="0" w:firstLine="709"/>
        <w:jc w:val="both"/>
        <w:rPr>
          <w:rFonts w:ascii="Times New Roman" w:hAnsi="Times New Roman"/>
          <w:sz w:val="20"/>
          <w:szCs w:val="24"/>
        </w:rPr>
      </w:pPr>
      <w:r>
        <w:rPr>
          <w:rFonts w:ascii="Times New Roman" w:hAnsi="Times New Roman"/>
          <w:sz w:val="20"/>
          <w:szCs w:val="24"/>
        </w:rPr>
        <w:t>недоверие к государственной власти, сопровождающееся неспособностью этой власти в достаточной степени эффективно реализовывать свои властные функции. [1]</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настоящее время существует неоднозначное мнение ученых-юристов, существуют ли конкретные показатели кризиса легитимности. Однозначного ответа на этот вопрос не существует. Но важно обозначить точки зрения на критерии, которые привели к кризису легитимации, связанному именно с ослаблением государственной власти.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Приведем некоторые из них </w:t>
      </w:r>
      <w:r>
        <w:rPr>
          <w:rFonts w:ascii="Times New Roman" w:hAnsi="Times New Roman"/>
          <w:sz w:val="20"/>
          <w:szCs w:val="24"/>
          <w:lang w:val="en-US"/>
        </w:rPr>
        <w:t>[3]</w:t>
      </w:r>
      <w:r>
        <w:rPr>
          <w:rFonts w:ascii="Times New Roman" w:hAnsi="Times New Roman"/>
          <w:sz w:val="20"/>
          <w:szCs w:val="24"/>
        </w:rPr>
        <w:t>:</w:t>
      </w:r>
    </w:p>
    <w:p w:rsidR="00517711" w:rsidRDefault="00F815BE">
      <w:pPr>
        <w:numPr>
          <w:ilvl w:val="0"/>
          <w:numId w:val="37"/>
        </w:numPr>
        <w:spacing w:after="0" w:line="240" w:lineRule="auto"/>
        <w:ind w:left="0" w:firstLine="709"/>
        <w:jc w:val="both"/>
        <w:rPr>
          <w:rFonts w:ascii="Times New Roman" w:hAnsi="Times New Roman"/>
          <w:sz w:val="20"/>
          <w:szCs w:val="24"/>
        </w:rPr>
      </w:pPr>
      <w:r>
        <w:rPr>
          <w:rFonts w:ascii="Times New Roman" w:hAnsi="Times New Roman"/>
          <w:sz w:val="20"/>
          <w:szCs w:val="24"/>
        </w:rPr>
        <w:t xml:space="preserve">невозможность органов власти осуществлять свои функции или присутствие в политическом пространстве нелегитимного насилия (Ф.Били); </w:t>
      </w:r>
    </w:p>
    <w:p w:rsidR="00517711" w:rsidRDefault="00F815BE">
      <w:pPr>
        <w:numPr>
          <w:ilvl w:val="0"/>
          <w:numId w:val="37"/>
        </w:numPr>
        <w:spacing w:after="0" w:line="240" w:lineRule="auto"/>
        <w:ind w:left="0" w:firstLine="709"/>
        <w:jc w:val="both"/>
        <w:rPr>
          <w:rFonts w:ascii="Times New Roman" w:hAnsi="Times New Roman"/>
          <w:sz w:val="20"/>
          <w:szCs w:val="24"/>
        </w:rPr>
      </w:pPr>
      <w:r>
        <w:rPr>
          <w:rFonts w:ascii="Times New Roman" w:hAnsi="Times New Roman"/>
          <w:sz w:val="20"/>
          <w:szCs w:val="24"/>
        </w:rPr>
        <w:t>наличие военных конфликтов и гражданских войн (Д. Яворски);</w:t>
      </w:r>
    </w:p>
    <w:p w:rsidR="00517711" w:rsidRDefault="00F815BE">
      <w:pPr>
        <w:numPr>
          <w:ilvl w:val="0"/>
          <w:numId w:val="37"/>
        </w:numPr>
        <w:spacing w:after="0" w:line="240" w:lineRule="auto"/>
        <w:ind w:left="0" w:firstLine="709"/>
        <w:jc w:val="both"/>
        <w:rPr>
          <w:rFonts w:ascii="Times New Roman" w:hAnsi="Times New Roman"/>
          <w:sz w:val="20"/>
          <w:szCs w:val="24"/>
        </w:rPr>
      </w:pPr>
      <w:r>
        <w:rPr>
          <w:rFonts w:ascii="Times New Roman" w:hAnsi="Times New Roman"/>
          <w:sz w:val="20"/>
          <w:szCs w:val="24"/>
        </w:rPr>
        <w:t>невозможность правительства адаптироваться к изменяющимся условиям (Э. Циммерман);</w:t>
      </w:r>
    </w:p>
    <w:p w:rsidR="00517711" w:rsidRDefault="00F815BE">
      <w:pPr>
        <w:numPr>
          <w:ilvl w:val="0"/>
          <w:numId w:val="37"/>
        </w:numPr>
        <w:spacing w:after="0" w:line="240" w:lineRule="auto"/>
        <w:ind w:left="0" w:firstLine="709"/>
        <w:jc w:val="both"/>
        <w:rPr>
          <w:rFonts w:ascii="Times New Roman" w:hAnsi="Times New Roman"/>
          <w:sz w:val="20"/>
          <w:szCs w:val="24"/>
        </w:rPr>
      </w:pPr>
      <w:r>
        <w:rPr>
          <w:rFonts w:ascii="Times New Roman" w:hAnsi="Times New Roman"/>
          <w:sz w:val="20"/>
          <w:szCs w:val="24"/>
        </w:rPr>
        <w:t>разрушение конституционного порядка (С. Хантингтон)</w:t>
      </w:r>
    </w:p>
    <w:p w:rsidR="00517711" w:rsidRDefault="00F815BE">
      <w:pPr>
        <w:spacing w:after="0" w:line="240" w:lineRule="auto"/>
        <w:ind w:firstLine="709"/>
        <w:jc w:val="both"/>
        <w:rPr>
          <w:rFonts w:ascii="Times New Roman" w:hAnsi="Times New Roman"/>
          <w:sz w:val="20"/>
          <w:szCs w:val="24"/>
        </w:rPr>
      </w:pPr>
      <w:r>
        <w:rPr>
          <w:rFonts w:ascii="Times New Roman" w:hAnsi="Times New Roman"/>
          <w:color w:val="000000"/>
          <w:sz w:val="20"/>
          <w:szCs w:val="24"/>
          <w:shd w:val="clear" w:color="auto" w:fill="FFFFFF"/>
        </w:rPr>
        <w:t>Рассмотрев основные вопросы теории и практики функционирования и развития механизма легитимации государственной власти, необходимо обозначить методы противодействия данному государственно-правовому явлению:</w:t>
      </w:r>
    </w:p>
    <w:p w:rsidR="00517711" w:rsidRDefault="00F815BE">
      <w:pPr>
        <w:numPr>
          <w:ilvl w:val="0"/>
          <w:numId w:val="39"/>
        </w:numPr>
        <w:spacing w:after="0" w:line="240" w:lineRule="auto"/>
        <w:ind w:left="0" w:firstLine="709"/>
        <w:jc w:val="both"/>
        <w:rPr>
          <w:rFonts w:ascii="Times New Roman" w:hAnsi="Times New Roman"/>
          <w:sz w:val="20"/>
          <w:szCs w:val="24"/>
        </w:rPr>
      </w:pPr>
      <w:r>
        <w:rPr>
          <w:rFonts w:ascii="Times New Roman" w:hAnsi="Times New Roman"/>
          <w:sz w:val="20"/>
          <w:szCs w:val="24"/>
        </w:rPr>
        <w:t>поддержание постоянных контактов с населением. Граждан необходимо информировать о новой форме и роли политики, а государственных служащих - относительно природы и важности общественного интереса.</w:t>
      </w:r>
    </w:p>
    <w:p w:rsidR="00517711" w:rsidRDefault="00F815BE">
      <w:pPr>
        <w:numPr>
          <w:ilvl w:val="0"/>
          <w:numId w:val="39"/>
        </w:numPr>
        <w:spacing w:after="0" w:line="240" w:lineRule="auto"/>
        <w:ind w:left="0" w:firstLine="709"/>
        <w:jc w:val="both"/>
        <w:rPr>
          <w:rFonts w:ascii="Times New Roman" w:hAnsi="Times New Roman"/>
          <w:sz w:val="20"/>
          <w:szCs w:val="24"/>
        </w:rPr>
      </w:pPr>
      <w:r>
        <w:rPr>
          <w:rFonts w:ascii="Times New Roman" w:hAnsi="Times New Roman"/>
          <w:sz w:val="20"/>
          <w:szCs w:val="24"/>
        </w:rPr>
        <w:lastRenderedPageBreak/>
        <w:t>дальнейшее совершенствование гражданского общества. Гражданское общество не будет существовать без признания свободы в качестве абсолютной ценности в жизни человека. Только свободное государство может обеспечить благосостояние и безопасность своих граждан. Свобода не может сохраниться в обществе, не стремящемся к справедливости. Такое общество обречено на раскол между теми, чья свобода подкреплена материальным благополучием, и теми, для кого она - синоним изнурительной бедности. Исходом этого раскола могут стать либо социальные потрясения, либо диктатура привилегированного меньшинства. Справедливость требует стремиться не только к равенству прав, но и к равенству возможностей граждан в реализации своих способностей, а также гарантировать достойное существование тем, кто их лишен.</w:t>
      </w:r>
    </w:p>
    <w:p w:rsidR="00517711" w:rsidRDefault="00F815BE">
      <w:pPr>
        <w:numPr>
          <w:ilvl w:val="0"/>
          <w:numId w:val="39"/>
        </w:numPr>
        <w:spacing w:after="0" w:line="240" w:lineRule="auto"/>
        <w:ind w:left="0" w:firstLine="709"/>
        <w:jc w:val="both"/>
        <w:rPr>
          <w:rFonts w:ascii="Times New Roman" w:hAnsi="Times New Roman"/>
          <w:sz w:val="20"/>
          <w:szCs w:val="24"/>
        </w:rPr>
      </w:pPr>
      <w:r>
        <w:rPr>
          <w:rFonts w:ascii="Times New Roman" w:hAnsi="Times New Roman"/>
          <w:sz w:val="20"/>
          <w:szCs w:val="24"/>
        </w:rPr>
        <w:t>преодоление правового нигилизма населения. Одним из направлений преодоления правового нигилизма должно стать стремление к повышению общей и правовой, в частности, культуры российских граждан. Необходима постоянная работа по предупреждению правонарушений, массовое просвещение и правовое воспитание населения, в особенности молодежи. История свидетельствует, что во всех государствах, где осуществляется особая деятельность по распространению воззрений о праве и правопорядке, используются все имеющиеся в распоряжении средства: литература, искусство, школа, церковь, печать, радио, телевидение, специальные юридические учебные заведения.</w:t>
      </w:r>
    </w:p>
    <w:p w:rsidR="00517711" w:rsidRDefault="00F815BE">
      <w:pPr>
        <w:numPr>
          <w:ilvl w:val="0"/>
          <w:numId w:val="39"/>
        </w:numPr>
        <w:spacing w:after="0" w:line="240" w:lineRule="auto"/>
        <w:ind w:left="0" w:firstLine="709"/>
        <w:jc w:val="both"/>
        <w:rPr>
          <w:rFonts w:ascii="Times New Roman" w:hAnsi="Times New Roman"/>
          <w:sz w:val="20"/>
          <w:szCs w:val="24"/>
        </w:rPr>
      </w:pPr>
      <w:r>
        <w:rPr>
          <w:rFonts w:ascii="Times New Roman" w:hAnsi="Times New Roman"/>
          <w:sz w:val="20"/>
          <w:szCs w:val="24"/>
        </w:rPr>
        <w:t>Необходимость реформирования страны. Можно добиться значительного повышения доверия населения к власти при помощи проведения успешных экономических реформ, улучшением материального благосостояния населения и наведением общественного порядка.</w:t>
      </w:r>
    </w:p>
    <w:p w:rsidR="00517711" w:rsidRDefault="00F815BE">
      <w:pPr>
        <w:numPr>
          <w:ilvl w:val="0"/>
          <w:numId w:val="39"/>
        </w:numPr>
        <w:spacing w:after="0" w:line="240" w:lineRule="auto"/>
        <w:ind w:left="0" w:firstLine="709"/>
        <w:jc w:val="both"/>
        <w:rPr>
          <w:rFonts w:ascii="Times New Roman" w:hAnsi="Times New Roman"/>
          <w:sz w:val="20"/>
          <w:szCs w:val="24"/>
        </w:rPr>
      </w:pPr>
      <w:r>
        <w:rPr>
          <w:rFonts w:ascii="Times New Roman" w:hAnsi="Times New Roman"/>
          <w:sz w:val="20"/>
          <w:szCs w:val="24"/>
        </w:rPr>
        <w:t>Предотвращение отсутствия в политической системе явной артикуляции интересов социальных групп, достаточной вертикальной мобильности в сочетании с социальным неравенством. Это приводит к радикализации настроений в обществе и появлению оппозиции, которая выдвигает альтернативное видение социального порядка. Сформировав систему равной реализации прав с помощью государства и негосударственных институтов (частных фондов и т.п.), которая обеспечит возможность подъема вверх по социальной лестнице высокомотивированным активным людям, проводникам прогресса во всех отношениях, тем самым это обеспечит основу долгосрочного, поступательного развития страны.</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Перспективы дальнейшего исследования проблемы автор видит в более детальном изучении причин, непосредственно приводящих к делегитимации. Данная работа может быть использована для проведения дальнейших исследований в этой области.</w:t>
      </w:r>
    </w:p>
    <w:p w:rsidR="00517711" w:rsidRDefault="00F815BE">
      <w:pPr>
        <w:pBdr>
          <w:bottom w:val="single" w:sz="12" w:space="1" w:color="auto"/>
        </w:pBdr>
        <w:spacing w:after="0" w:line="240" w:lineRule="auto"/>
        <w:ind w:firstLine="709"/>
        <w:jc w:val="both"/>
        <w:rPr>
          <w:rFonts w:ascii="Times New Roman" w:hAnsi="Times New Roman"/>
          <w:sz w:val="20"/>
          <w:szCs w:val="24"/>
        </w:rPr>
      </w:pPr>
      <w:r>
        <w:rPr>
          <w:rFonts w:ascii="Times New Roman" w:hAnsi="Times New Roman"/>
          <w:sz w:val="20"/>
          <w:szCs w:val="24"/>
        </w:rPr>
        <w:t>Все вышесказанное убеждает в том, что делегитимация государственной власти отражается на ее способности отвечать на требования, стоящие перед обществом и государством, и может привести к разрушению политической организации. Но своевременные меры по предупреждению и, возможно, устранению причин кризиса государственной власти позволят избежать такого свойства государственной власти, как делегитимность.</w:t>
      </w:r>
    </w:p>
    <w:p w:rsidR="00517711" w:rsidRDefault="00517711">
      <w:pPr>
        <w:pBdr>
          <w:bottom w:val="single" w:sz="12" w:space="1" w:color="auto"/>
        </w:pBdr>
        <w:spacing w:after="0" w:line="240" w:lineRule="auto"/>
        <w:ind w:firstLine="709"/>
        <w:jc w:val="both"/>
        <w:rPr>
          <w:rFonts w:ascii="Times New Roman" w:hAnsi="Times New Roman"/>
          <w:sz w:val="20"/>
          <w:szCs w:val="24"/>
        </w:rPr>
      </w:pP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1. Серов К. Н. Кризис легитимности государственной власти в контексте анализа социальной стабильности // Социальное и пенсионное право. 2007. № 2.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2.</w:t>
      </w:r>
      <w:r>
        <w:rPr>
          <w:sz w:val="18"/>
        </w:rPr>
        <w:t xml:space="preserve"> </w:t>
      </w:r>
      <w:r>
        <w:rPr>
          <w:rFonts w:ascii="Times New Roman" w:hAnsi="Times New Roman"/>
          <w:sz w:val="20"/>
          <w:szCs w:val="24"/>
        </w:rPr>
        <w:t>Вайнберг, А. В. Легитимация и делегитимация выборной государственной власти в современной России // Теория и история права и государства. 2003. - 168 c.</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3. Ефимов В.И. Власть в России. - М. - 1996.</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4. Политология: Энциклопедический словарь / под ред. Ю.И. Аверьянова. - М. - 1993. - С. 148.</w:t>
      </w: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Теория и история права и государства</w:t>
      </w:r>
    </w:p>
    <w:p w:rsidR="00517711" w:rsidRDefault="00F815BE">
      <w:pPr>
        <w:spacing w:after="0" w:line="240" w:lineRule="auto"/>
        <w:rPr>
          <w:rFonts w:ascii="Times New Roman" w:hAnsi="Times New Roman"/>
          <w:sz w:val="20"/>
          <w:szCs w:val="24"/>
        </w:rPr>
      </w:pPr>
      <w:r>
        <w:rPr>
          <w:rFonts w:ascii="Times New Roman" w:hAnsi="Times New Roman"/>
          <w:sz w:val="20"/>
          <w:szCs w:val="24"/>
        </w:rPr>
        <w:t>УДК: 34.340</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Судебная власть: теоретический и практический аспекты внеправовых проявлений деятельности</w:t>
      </w:r>
    </w:p>
    <w:p w:rsidR="00517711" w:rsidRDefault="00F815BE">
      <w:pPr>
        <w:spacing w:after="0" w:line="240" w:lineRule="auto"/>
        <w:ind w:firstLine="709"/>
        <w:jc w:val="center"/>
        <w:rPr>
          <w:rFonts w:ascii="Arial" w:eastAsia="Calibri" w:hAnsi="Arial"/>
          <w:b/>
          <w:bCs/>
          <w:sz w:val="24"/>
          <w:szCs w:val="20"/>
          <w:lang w:eastAsia="ru-RU"/>
        </w:rPr>
      </w:pPr>
      <w:r>
        <w:rPr>
          <w:rFonts w:ascii="Arial" w:eastAsia="Calibri" w:hAnsi="Arial"/>
          <w:b/>
          <w:bCs/>
          <w:sz w:val="24"/>
          <w:szCs w:val="20"/>
          <w:lang w:eastAsia="ru-RU"/>
        </w:rPr>
        <w:t>Пономарёва Маргарита Алексеевна,</w:t>
      </w:r>
    </w:p>
    <w:p w:rsidR="00517711" w:rsidRDefault="00F815BE">
      <w:pPr>
        <w:spacing w:line="240" w:lineRule="auto"/>
        <w:ind w:firstLine="709"/>
        <w:jc w:val="center"/>
        <w:rPr>
          <w:rFonts w:ascii="Arial" w:eastAsia="Calibri" w:hAnsi="Arial"/>
          <w:bCs/>
          <w:sz w:val="24"/>
          <w:szCs w:val="20"/>
          <w:lang w:eastAsia="ru-RU"/>
        </w:rPr>
      </w:pPr>
      <w:r>
        <w:rPr>
          <w:rFonts w:ascii="Arial" w:eastAsia="Calibri" w:hAnsi="Arial"/>
          <w:bCs/>
          <w:sz w:val="24"/>
          <w:szCs w:val="20"/>
          <w:lang w:eastAsia="ru-RU"/>
        </w:rPr>
        <w:t>бакалавр</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spacing w:after="0" w:line="240" w:lineRule="auto"/>
        <w:ind w:firstLine="709"/>
        <w:jc w:val="center"/>
        <w:rPr>
          <w:rFonts w:ascii="Times New Roman" w:hAnsi="Times New Roman"/>
          <w:iCs/>
          <w:sz w:val="20"/>
          <w:szCs w:val="20"/>
        </w:rPr>
      </w:pPr>
      <w:r>
        <w:rPr>
          <w:rFonts w:ascii="Times New Roman" w:hAnsi="Times New Roman"/>
          <w:iCs/>
          <w:sz w:val="20"/>
          <w:szCs w:val="20"/>
          <w:lang w:val="en-US"/>
        </w:rPr>
        <w:t>E</w:t>
      </w:r>
      <w:r>
        <w:rPr>
          <w:rFonts w:ascii="Times New Roman" w:hAnsi="Times New Roman"/>
          <w:iCs/>
          <w:sz w:val="20"/>
          <w:szCs w:val="20"/>
        </w:rPr>
        <w:t>-</w:t>
      </w:r>
      <w:r>
        <w:rPr>
          <w:rFonts w:ascii="Times New Roman" w:hAnsi="Times New Roman"/>
          <w:iCs/>
          <w:sz w:val="20"/>
          <w:szCs w:val="20"/>
          <w:lang w:val="en-US"/>
        </w:rPr>
        <w:t>mail</w:t>
      </w:r>
      <w:r>
        <w:rPr>
          <w:rFonts w:ascii="Times New Roman" w:hAnsi="Times New Roman"/>
          <w:iCs/>
          <w:sz w:val="20"/>
          <w:szCs w:val="20"/>
        </w:rPr>
        <w:t xml:space="preserve">: </w:t>
      </w:r>
      <w:hyperlink r:id="rId203" w:history="1">
        <w:r>
          <w:rPr>
            <w:rStyle w:val="aa"/>
            <w:iCs/>
            <w:color w:val="000000" w:themeColor="text1"/>
            <w:sz w:val="20"/>
            <w:szCs w:val="20"/>
            <w:lang w:val="en-US"/>
          </w:rPr>
          <w:t>ponomareva</w:t>
        </w:r>
        <w:r>
          <w:rPr>
            <w:rStyle w:val="aa"/>
            <w:iCs/>
            <w:color w:val="000000" w:themeColor="text1"/>
            <w:sz w:val="20"/>
            <w:szCs w:val="20"/>
          </w:rPr>
          <w:t>.</w:t>
        </w:r>
        <w:r>
          <w:rPr>
            <w:rStyle w:val="aa"/>
            <w:iCs/>
            <w:color w:val="000000" w:themeColor="text1"/>
            <w:sz w:val="20"/>
            <w:szCs w:val="20"/>
            <w:lang w:val="en-US"/>
          </w:rPr>
          <w:t>margarita</w:t>
        </w:r>
        <w:r>
          <w:rPr>
            <w:rStyle w:val="aa"/>
            <w:iCs/>
            <w:color w:val="000000" w:themeColor="text1"/>
            <w:sz w:val="20"/>
            <w:szCs w:val="20"/>
          </w:rPr>
          <w:t>.00@</w:t>
        </w:r>
        <w:r>
          <w:rPr>
            <w:rStyle w:val="aa"/>
            <w:iCs/>
            <w:color w:val="000000" w:themeColor="text1"/>
            <w:sz w:val="20"/>
            <w:szCs w:val="20"/>
            <w:lang w:val="en-US"/>
          </w:rPr>
          <w:t>mail</w:t>
        </w:r>
        <w:r>
          <w:rPr>
            <w:rStyle w:val="aa"/>
            <w:iCs/>
            <w:color w:val="000000" w:themeColor="text1"/>
            <w:sz w:val="20"/>
            <w:szCs w:val="20"/>
          </w:rPr>
          <w:t>.</w:t>
        </w:r>
        <w:r>
          <w:rPr>
            <w:rStyle w:val="aa"/>
            <w:iCs/>
            <w:color w:val="000000" w:themeColor="text1"/>
            <w:sz w:val="20"/>
            <w:szCs w:val="20"/>
            <w:lang w:val="en-US"/>
          </w:rPr>
          <w:t>ru</w:t>
        </w:r>
      </w:hyperlink>
      <w:r>
        <w:rPr>
          <w:rFonts w:ascii="Times New Roman" w:hAnsi="Times New Roman"/>
          <w:iCs/>
          <w:color w:val="000000" w:themeColor="text1"/>
          <w:sz w:val="20"/>
          <w:szCs w:val="20"/>
        </w:rPr>
        <w:t xml:space="preserve">; </w:t>
      </w:r>
      <w:r>
        <w:rPr>
          <w:rFonts w:ascii="Times New Roman" w:hAnsi="Times New Roman"/>
          <w:iCs/>
          <w:sz w:val="20"/>
          <w:szCs w:val="20"/>
        </w:rPr>
        <w:t>тел: +79662760150</w:t>
      </w:r>
    </w:p>
    <w:p w:rsidR="00517711" w:rsidRDefault="00F815BE">
      <w:pPr>
        <w:spacing w:line="240" w:lineRule="auto"/>
        <w:ind w:firstLine="709"/>
        <w:jc w:val="center"/>
        <w:rPr>
          <w:rFonts w:ascii="Times New Roman" w:hAnsi="Times New Roman"/>
          <w:sz w:val="20"/>
          <w:szCs w:val="20"/>
        </w:rPr>
      </w:pPr>
      <w:r>
        <w:rPr>
          <w:rFonts w:ascii="Times New Roman" w:hAnsi="Times New Roman"/>
          <w:sz w:val="20"/>
          <w:szCs w:val="20"/>
        </w:rPr>
        <w:t>ул. Гоголя, 41, г. Владивосток, Приморский край, Россия, 690014</w:t>
      </w:r>
    </w:p>
    <w:p w:rsidR="00517711" w:rsidRDefault="00F815BE">
      <w:pPr>
        <w:spacing w:after="0" w:line="240" w:lineRule="auto"/>
        <w:ind w:firstLine="709"/>
        <w:jc w:val="both"/>
        <w:rPr>
          <w:rFonts w:ascii="Times New Roman" w:hAnsi="Times New Roman"/>
          <w:i/>
          <w:szCs w:val="24"/>
        </w:rPr>
      </w:pPr>
      <w:r>
        <w:rPr>
          <w:rFonts w:ascii="Times New Roman" w:hAnsi="Times New Roman"/>
          <w:i/>
          <w:szCs w:val="24"/>
        </w:rPr>
        <w:t>Судебная власть является универсальным индикатором правового характера государственной власти в государстве. Судебный акт должен отвечать требованиям беспристрастности, объективности и законности, не допускается какое-либо внешнее воздействие на судью при принятии решения. В целях определения социальной и правовой эффективности судебной власти необходимо исследовать иные ее проявления, выходящие за пределы права.</w:t>
      </w:r>
    </w:p>
    <w:p w:rsidR="00517711" w:rsidRDefault="00F815BE">
      <w:pPr>
        <w:spacing w:after="0" w:line="240" w:lineRule="auto"/>
        <w:ind w:firstLine="709"/>
        <w:jc w:val="both"/>
        <w:rPr>
          <w:rFonts w:ascii="Times New Roman" w:hAnsi="Times New Roman"/>
          <w:i/>
          <w:szCs w:val="24"/>
        </w:rPr>
      </w:pPr>
      <w:r>
        <w:rPr>
          <w:rFonts w:ascii="Times New Roman" w:hAnsi="Times New Roman"/>
          <w:b/>
          <w:i/>
          <w:szCs w:val="24"/>
        </w:rPr>
        <w:lastRenderedPageBreak/>
        <w:t xml:space="preserve">Ключевые слова и словосочетания: </w:t>
      </w:r>
      <w:r>
        <w:rPr>
          <w:rFonts w:ascii="Times New Roman" w:hAnsi="Times New Roman"/>
          <w:i/>
          <w:szCs w:val="24"/>
        </w:rPr>
        <w:t>судебная власть, судейское правотворчество, источник права, исключительный случай, общие принципы права</w:t>
      </w:r>
    </w:p>
    <w:p w:rsidR="00517711" w:rsidRDefault="00F815BE">
      <w:pPr>
        <w:keepNext/>
        <w:spacing w:before="240" w:after="240" w:line="240" w:lineRule="auto"/>
        <w:jc w:val="center"/>
        <w:outlineLvl w:val="0"/>
        <w:rPr>
          <w:rFonts w:ascii="Book Antiqua" w:hAnsi="Book Antiqua"/>
          <w:b/>
          <w:bCs/>
          <w:caps/>
          <w:sz w:val="26"/>
          <w:szCs w:val="26"/>
          <w:lang w:val="en-US"/>
        </w:rPr>
      </w:pPr>
      <w:r>
        <w:rPr>
          <w:rFonts w:ascii="Book Antiqua" w:hAnsi="Book Antiqua"/>
          <w:b/>
          <w:bCs/>
          <w:caps/>
          <w:sz w:val="26"/>
          <w:szCs w:val="26"/>
          <w:lang w:val="en-US"/>
        </w:rPr>
        <w:t xml:space="preserve">Judicial power: theoretical and practical aspects of extralegal reality’s manifestations. </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i/>
          <w:szCs w:val="24"/>
          <w:lang w:val="en-US"/>
        </w:rPr>
        <w:t xml:space="preserve">The judicial power is a universal indicator of the legal nature of state power in the state. The judicial act must meet the requirements of impartiality, objectivity and legality, any external influence on the judge in making a decision is not allowed. In order to determine the social and legal effectiveness of the judiciary, it is necessary to investigate its other manifestations that go beyond the limits of law. </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b/>
          <w:i/>
          <w:szCs w:val="24"/>
          <w:lang w:val="en-US"/>
        </w:rPr>
        <w:t xml:space="preserve">Key words and phrases: </w:t>
      </w:r>
      <w:r>
        <w:rPr>
          <w:rFonts w:ascii="Times New Roman" w:hAnsi="Times New Roman"/>
          <w:i/>
          <w:szCs w:val="24"/>
          <w:lang w:val="en-US"/>
        </w:rPr>
        <w:t>judicial power, judicial lawmaking, source of law, exceptional instance, general principles of law.</w:t>
      </w:r>
    </w:p>
    <w:p w:rsidR="00517711" w:rsidRDefault="00517711">
      <w:pPr>
        <w:spacing w:after="0" w:line="240" w:lineRule="auto"/>
        <w:ind w:firstLine="709"/>
        <w:jc w:val="both"/>
        <w:rPr>
          <w:rFonts w:ascii="Times New Roman" w:hAnsi="Times New Roman"/>
          <w:i/>
          <w:sz w:val="20"/>
          <w:szCs w:val="24"/>
          <w:lang w:val="en-US"/>
        </w:rPr>
      </w:pP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Государственная власть реализуется через систему создаваемых в каждом государстве политико-правовых структур-государственных органов. В целях избегания монополизации и захвата власти, государственная власть организуется по принципу разделения властей на законодательную, исполнительную и судебную. Каждая ветвь власти наделяется определенным и строго ограниченным кругом полномочий, выход за пределы которого можно рассматривать как попытку узурпации государственной власти.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Судебная власть является универсальным индикатором правового характера государственной власти в государстве. Судебный акт должен отвечать требованиям беспристрастности, объективности и законности. Не допускается какое-либо внешнее воздействие на судью при принятии решения. Именно это характеризует правовой характер форм функционирования судебной власти.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Целью работы является теоретико-концептуальный анализ внеправовых проявлений деятельности судебной власти.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Для достижения поставленной цели исследования в научной работе необходимо решить следующие конкретные задачи: 1) необходимо осуществить теоретический анализ внеправовых проявлений деятельности судебной власти; 2) выявить возможные практические аспекты внеправовых проявлений судебной власти.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Методологическую основу исследования составляют следующие методы познания: анализ и синтез, формально-логический, сравнительно-правовой, структурно-системный и другие методы.</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Основной проблематикой при раскрытии внеправового аспекта деятельности судебной власти является вопрос судейского правотворчества в российской правовой системе. В теории существует две основные точки зрения на данную проблематику. Первая заключается в том, что судебная практика как результат судейского правотворчества не является источником права, а, соответственно, отвергается сама идея судейского правотворчества. Вторая точка зрения является полной противоположностью первой и, соответственно, отстаивает идею последнего.</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поддержку первой точки зрения выдвигается четыре основных аргумента. Первый аргумент состоит в том, что признание судейского правотворчества противоречит конституционной модели разделения властей. Правотворчеством, согласно данной модели, должны заниматься органы законодательной ветви власти. Судебная же власть призвана осуществлять «сугубо судебную деятельность». Однако, по мнению М.Н. Марченко, принцип разделения слишком абсолютизирован. Автор, на примере принципа разделения властей, определенного Конституцией США, делает вывод о том, что принцип разделения властей не является жестким, а, напротив, «он весьма гибок, условен и относителен» [2, С.388]. Судебная власть, следовательно, неограниченна осуществлением правосудия, а может действовать в форме правотворчества.</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Вторым аргументом выступает традиционное представление о романо-германской правовой семье, в которой нет места такому источнику права как судебная практика. М.Н. Марченко, в частности, утверждает, что судебная практика не признана в качестве источника права формально, однако, последний выступает в качестве такой роли реально.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Третьим основным аргументом является тезис о том, что признание судебной практики в качестве источника права противоречит Конституции Российской Федерации и содержит в себе потенциальный конфликт с Федеральным Собранием Российской Федерации, основной функцией которого является правотворчество. «Отнесение судебной практики к числу формальных источников права, писал, например, С.Л. Зивс, «противоречит принципу верховенства закона и принципу подзаконности судебной деятельности». Правотворческая деятельность суда, доказывал автор, с неизбежностью умаляет значение закона» [2, С.390]. Авторы, придерживающиеся данной позиции, выдвигают тезис о том, что для судейского правотворчества не никаких правовых оснований.</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Четвертый аргумент состоит в что, у судебной власти отсутствуют полномочия на отмену актов, признанных не соответствующими Конституции РФ. Так В.С. Нерсесянц отмечал, что «это прерогатива правотворческих органов, а не суда. Суд же вправе дать лишь юридическую квалификацию (правовую оценку и характеристику) рассматриваемого нормативно-правового акта в смысле его соответствия или несоответствия Конституции, закону» [2, С.391]. Указанное признание акта неконституционным говорит лишь о существовании основания для его отмены, что является сигналом к действию для правотворческих органов. </w:t>
      </w:r>
      <w:r>
        <w:rPr>
          <w:rFonts w:ascii="Times New Roman" w:hAnsi="Times New Roman"/>
          <w:sz w:val="20"/>
          <w:szCs w:val="24"/>
        </w:rPr>
        <w:lastRenderedPageBreak/>
        <w:t>Автор считает, что отсутствие у суда такой функции и вынесение решения по данному поводу являются неправовыми.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 Анализ законодательства показывает, однако, что нельзя полностью исключить теорию о наличии судейского правотворчества. Это связано, прежде всего, с особым статусом Конституционного Суда Российской Федерации. Тезис о наличии такого источника права как судебная практика и судейское правотворчество находит свое подтверждение в Федеральном законе от 21.07.1994 N 1-ФКЗ (ред. от 28.12.2016) «О Конституционном Суде Российской Федерации». Так, в соответствии со статьей 79 указанного федерального закона «решение Конституционного Суда Российской Федерации действует непосредственно и не требует подтверждения другими органами и должностными лицами. Юридическая сила постановления Конституционного Суда Российской Федерации о признании акта неконституционным не может быть преодолена повторным принятием этого же акта»; «суды общей юрисдикции, арбитражные суды при рассмотрении дел после вступления в силу постановления Конституционного Суда Российской Федерации (включая дела, производство по которым возбуждено до вступления в силу этого постановления Конституционного Суда Российской Федерации) не вправе руководствоваться нормативным актом или отдельными его положениями, признанными этим постановлением Конституционного Суда Российской Федерации не соответствующими Конституции Российской Федерации, либо применять нормативный акт или отдельные его положения в истолковании, расходящемся с данным Конституционным Судом Российской Федерации в этом постановлении истолкованием» [3]. Данное положение федерального закона по сути устанавливает правила поведения для судов, что говорит о правотворческой силе решений Конституционного Суда РФ. Однако судьи в соответствии со статьей 120 Конституции РФ независимы и подчиняются только Конституции и закону. Отсюда следует, что принимая во внимания решения КС РФ, суды действуют в противоречии с правовой формой, отведенной для них законом. Закон «О Конституционном Суде Российской Федерации», таким образом, содержит попытку законодателя передать часть функций по нормативному правотворчеству суду.</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Многообразие общественных отношений порождает разнородность правовых ситуаций, требующих разрешения. Отсюда справедлив ранее сформулированный нами тезис о возникновении так называемых «исключительных случаев», которые не подпадают под правовое регулирование. Тогда судебная власть вынуждена прибегать к толкованию. Так Марк ван Хук в своем труде «Право как коммуникация» говорит о том, что сегодня суды стран континентальной Европы стали использовать для разрешения споров «общие принципы права» «для того, чтобы заполнить пробелы в праве или даже «скорректировать» законодательное право» [1, С.217]. Однако, следует заметить, что поскольку данные принципы не нашли отражение в позитивном праве (которое является основным источником права в романо-германской правовой семье.-</w:t>
      </w:r>
      <w:r>
        <w:rPr>
          <w:rFonts w:ascii="Times New Roman" w:hAnsi="Times New Roman"/>
          <w:i/>
          <w:sz w:val="20"/>
          <w:szCs w:val="24"/>
        </w:rPr>
        <w:t>прим.авт.</w:t>
      </w:r>
      <w:r>
        <w:rPr>
          <w:rFonts w:ascii="Times New Roman" w:hAnsi="Times New Roman"/>
          <w:sz w:val="20"/>
          <w:szCs w:val="24"/>
        </w:rPr>
        <w:t>), суды, руководствуясь ими при вынесении судебного акта, действуют за рамками правовой формы, отведенной им законодательством.</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М.ван Хук выделял несколько видов неписанных правовых принципов: «имплицитные», или структурные, и, так называемые, идеологические принципы. Структурные принципы берут свое начало из писанного права. Идеологические-не свойственны для данной правовой системы. «Они отсылают к современным доминирующим социальным убеждениям, таким как моральная, политическая и другие внеправовые идеологии» [1, С.220]. Следует заметить, что структурные принципы, в отличие от идеологических, имеют правовую природу возникновения, то есть они функционируют в правовой действительности между субъектами права, но законодатель их пока «не видит».</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В числе структурных принципов автор называет принцип «добросовестности». В частности, М.ван Хук пишет, что «общий принцип «добросовестности» в некоторых странах Европы произошел из какой-то одной или многих конкретных норм, таких как обязательство исполнять договор добросовестно» [1, С.220]. В российской правовой действительности указанный принцип имеет более широкую сферу применения, что иногда наполняет его не совсем правовым содержание и позволяет говорить о нем как об идеологическом, используя классификацию М.ван Хука. Так, например, через призму «добросовестности» рассматриваются действия единоличного исполнительного органа юридического лица. Однако российского законодательство не содержит определения данного принципа и не позволяет выявить критерии, отличающие добросовестное поведение от недобросовестного.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Приведенные примеры (принцип «добросовестности», понятие «моральный вред») характеризуют именно внеправовой аспект в деятельности судебной власти, поскольку несмотря на их нормативное закрепление, в законе отсутствуют критерии и признаки, отделяющие указанные категории («добросовестность» и «моральный вред».-</w:t>
      </w:r>
      <w:r>
        <w:rPr>
          <w:rFonts w:ascii="Times New Roman" w:hAnsi="Times New Roman"/>
          <w:i/>
          <w:sz w:val="20"/>
          <w:szCs w:val="24"/>
        </w:rPr>
        <w:t>прим.авт</w:t>
      </w:r>
      <w:r>
        <w:rPr>
          <w:rFonts w:ascii="Times New Roman" w:hAnsi="Times New Roman"/>
          <w:sz w:val="20"/>
          <w:szCs w:val="24"/>
        </w:rPr>
        <w:t>.) от противоположных им явлений. Позиции высших судов не могут служить источником нормативной обусловленности, поскольку суды не наделены полномочием творить право, поскольку указанная деятельность судов вступала бы в противоречие с закрепленным в Конституции Российской Федерации принципом разделения властей. Приведенные примеры позиций высших судов свидетельствуют о том, что суды пытаются определить критерии указанных явлений, что по своей сути имеет нормотворческую природу. Суды, которые руководствуются указанными позициями, принимают решение на основе критериев, являющихся результатом внеправовой деятельности высших судов, что порождает, таким образом, внеправовой результат в виде судебного акта.</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«Чисто идеологические принципы не находят институциональной поддержки. Они представляют собой применение судами внеправовых ценностей или норм» [1, С.221]. Основной функцией указанных принципов, </w:t>
      </w:r>
      <w:r>
        <w:rPr>
          <w:rFonts w:ascii="Times New Roman" w:hAnsi="Times New Roman"/>
          <w:sz w:val="20"/>
          <w:szCs w:val="24"/>
        </w:rPr>
        <w:lastRenderedPageBreak/>
        <w:t>по мнению М.ван Хука, является корректирование юридических правил, которые при возникновении исключительного случая кажутся неразумными, необоснованными, неприменимыми. Что еще подтверждает выдвинутый нами ранее тезис о наличии положительных сторон внеправовых форм деятельности.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Подводя итог вышесказанному следует сделать вывод о том, что выделенные нами аспекты внеправовой деятельности судебной власти следует считать таковыми поскольку: во-первых, возможность судейского правотворчества не имеет под собой никаких правовых оснований. Прежде всего, речь идет о конституционной модели разделения властей, закрепленной в Конституции Российской Федерации, в соответствии с которой судебная власть не наделяется полномочием, позволяющим осуществлять правотворчество. Отсюда следует, что позиции высших судов, содержащие формулировки об их обязательности, являются отражением внеправовой формы деятельности. Применение судами принципов, содержание которых не определено законодателем, выступает как скрытая форма судебной деятельности. Поскольку субъектам, обратившимся в суд за защитой нарушенных прав и законных интересов, не ясно что кладет суд в основу своего решения при толковании данных принципов. Оценка фактов судами не должна выходить за рамки, отведенные законом. В нашем случае отсутствие нормативной закрепленности содержания принципа порождает внеправовую или незаконную оценку судами фактов.</w:t>
      </w:r>
    </w:p>
    <w:p w:rsidR="00517711" w:rsidRDefault="00F815BE">
      <w:pPr>
        <w:spacing w:line="240" w:lineRule="auto"/>
        <w:ind w:firstLine="709"/>
        <w:jc w:val="both"/>
        <w:rPr>
          <w:rFonts w:ascii="Times New Roman" w:hAnsi="Times New Roman"/>
          <w:sz w:val="20"/>
          <w:szCs w:val="24"/>
        </w:rPr>
      </w:pPr>
      <w:r>
        <w:rPr>
          <w:rFonts w:ascii="Times New Roman" w:hAnsi="Times New Roman"/>
          <w:sz w:val="20"/>
          <w:szCs w:val="24"/>
        </w:rPr>
        <w:t>____________________________________</w:t>
      </w:r>
    </w:p>
    <w:p w:rsidR="00517711" w:rsidRDefault="00F815BE">
      <w:pPr>
        <w:pStyle w:val="af4"/>
        <w:numPr>
          <w:ilvl w:val="0"/>
          <w:numId w:val="40"/>
        </w:numPr>
        <w:spacing w:after="0" w:line="240" w:lineRule="auto"/>
        <w:jc w:val="both"/>
        <w:rPr>
          <w:rFonts w:ascii="Times New Roman" w:eastAsia="Calibri" w:hAnsi="Times New Roman"/>
          <w:sz w:val="20"/>
          <w:szCs w:val="24"/>
        </w:rPr>
      </w:pPr>
      <w:r>
        <w:rPr>
          <w:rFonts w:ascii="Times New Roman" w:eastAsia="Calibri" w:hAnsi="Times New Roman"/>
          <w:sz w:val="20"/>
          <w:szCs w:val="24"/>
        </w:rPr>
        <w:t>Марк ван Хук. Право как коммуникация.СПб.: ИД С.-Петерб. гос. ун-та, ООО «Университетский издательский консорциум», 2012. - 288 с.</w:t>
      </w:r>
    </w:p>
    <w:p w:rsidR="00517711" w:rsidRDefault="00F815BE">
      <w:pPr>
        <w:pStyle w:val="af4"/>
        <w:numPr>
          <w:ilvl w:val="0"/>
          <w:numId w:val="40"/>
        </w:numPr>
        <w:spacing w:after="0" w:line="240" w:lineRule="auto"/>
        <w:jc w:val="both"/>
        <w:rPr>
          <w:rFonts w:ascii="Times New Roman" w:eastAsia="Calibri" w:hAnsi="Times New Roman"/>
          <w:sz w:val="20"/>
          <w:szCs w:val="24"/>
        </w:rPr>
      </w:pPr>
      <w:r>
        <w:rPr>
          <w:rFonts w:ascii="Times New Roman" w:eastAsia="Calibri" w:hAnsi="Times New Roman"/>
          <w:sz w:val="20"/>
          <w:szCs w:val="24"/>
        </w:rPr>
        <w:t>Марченко М. Н. Источники права: учебное пособие. М.: Проспект, 2005. -760 с.</w:t>
      </w:r>
    </w:p>
    <w:p w:rsidR="00517711" w:rsidRDefault="00F815BE">
      <w:pPr>
        <w:pStyle w:val="af4"/>
        <w:numPr>
          <w:ilvl w:val="0"/>
          <w:numId w:val="40"/>
        </w:numPr>
        <w:spacing w:after="0" w:line="240" w:lineRule="auto"/>
        <w:jc w:val="both"/>
        <w:rPr>
          <w:rFonts w:ascii="Times New Roman" w:eastAsia="Calibri" w:hAnsi="Times New Roman"/>
          <w:sz w:val="20"/>
          <w:szCs w:val="24"/>
        </w:rPr>
      </w:pPr>
      <w:r>
        <w:rPr>
          <w:rFonts w:ascii="Times New Roman" w:eastAsia="Calibri" w:hAnsi="Times New Roman"/>
          <w:sz w:val="20"/>
          <w:szCs w:val="24"/>
        </w:rPr>
        <w:t xml:space="preserve">Федеральный конституционный закон "О Конституционном Суде Российской Федерации» от 21.07.1994 N 1-ФКЗ (ред. от 28.12.2016) [Электронный ресурс] // СПС «КонсультантПлюс». -  Режим доступа: </w:t>
      </w:r>
      <w:hyperlink r:id="rId204" w:history="1">
        <w:r>
          <w:rPr>
            <w:rFonts w:ascii="Times New Roman" w:eastAsia="Calibri" w:hAnsi="Times New Roman"/>
            <w:sz w:val="20"/>
            <w:szCs w:val="20"/>
          </w:rPr>
          <w:t>http://www.consultant.ru/document/cons_doc_LAW_4172/</w:t>
        </w:r>
      </w:hyperlink>
      <w:r>
        <w:rPr>
          <w:rFonts w:ascii="Times New Roman" w:eastAsia="Calibri" w:hAnsi="Times New Roman"/>
          <w:sz w:val="20"/>
          <w:szCs w:val="20"/>
        </w:rPr>
        <w:t>.</w:t>
      </w: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международное право</w:t>
      </w:r>
    </w:p>
    <w:p w:rsidR="00517711" w:rsidRDefault="00F815BE">
      <w:pPr>
        <w:spacing w:after="0" w:line="240" w:lineRule="auto"/>
        <w:rPr>
          <w:rFonts w:ascii="Times" w:hAnsi="Times" w:cs="Times"/>
          <w:color w:val="000000"/>
          <w:sz w:val="20"/>
          <w:szCs w:val="20"/>
        </w:rPr>
      </w:pPr>
      <w:r>
        <w:rPr>
          <w:rFonts w:ascii="Times New Roman" w:hAnsi="Times New Roman"/>
          <w:color w:val="000000"/>
          <w:sz w:val="20"/>
          <w:szCs w:val="20"/>
        </w:rPr>
        <w:t xml:space="preserve">УДК </w:t>
      </w:r>
      <w:r>
        <w:rPr>
          <w:rFonts w:ascii="Times" w:hAnsi="Times" w:cs="Times"/>
          <w:color w:val="000000"/>
          <w:sz w:val="20"/>
          <w:szCs w:val="20"/>
        </w:rPr>
        <w:t>34</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Практика Европейского суда по правам человека по статье 6 Конвенции о защите прав человека и основных свобод (в отношении российских граждан)</w:t>
      </w:r>
    </w:p>
    <w:p w:rsidR="00517711" w:rsidRDefault="00F815BE">
      <w:pPr>
        <w:spacing w:after="0" w:line="240" w:lineRule="auto"/>
        <w:jc w:val="center"/>
        <w:rPr>
          <w:rFonts w:ascii="Arial" w:eastAsia="Calibri" w:hAnsi="Arial"/>
          <w:b/>
          <w:bCs/>
          <w:sz w:val="24"/>
          <w:szCs w:val="20"/>
          <w:lang w:eastAsia="ru-RU"/>
        </w:rPr>
      </w:pPr>
      <w:r>
        <w:rPr>
          <w:rFonts w:ascii="Arial" w:eastAsia="Calibri" w:hAnsi="Arial"/>
          <w:b/>
          <w:bCs/>
          <w:sz w:val="24"/>
          <w:szCs w:val="20"/>
          <w:lang w:eastAsia="ru-RU"/>
        </w:rPr>
        <w:t xml:space="preserve">Решетников Руслан Александрович, </w:t>
      </w:r>
    </w:p>
    <w:p w:rsidR="00517711" w:rsidRDefault="00F815BE">
      <w:pPr>
        <w:spacing w:line="240" w:lineRule="auto"/>
        <w:jc w:val="center"/>
        <w:rPr>
          <w:rFonts w:ascii="Arial" w:eastAsia="Calibri" w:hAnsi="Arial"/>
          <w:bCs/>
          <w:sz w:val="24"/>
          <w:szCs w:val="20"/>
          <w:lang w:eastAsia="ru-RU"/>
        </w:rPr>
      </w:pPr>
      <w:r>
        <w:rPr>
          <w:rFonts w:ascii="Arial" w:eastAsia="Calibri" w:hAnsi="Arial"/>
          <w:bCs/>
          <w:sz w:val="24"/>
          <w:szCs w:val="20"/>
          <w:lang w:eastAsia="ru-RU"/>
        </w:rPr>
        <w:t>бакалавр</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 xml:space="preserve">Владивостокский государственный университет экономики и сервиса </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 xml:space="preserve">Россия. Владивосток </w:t>
      </w:r>
    </w:p>
    <w:p w:rsidR="00517711" w:rsidRDefault="00F815BE">
      <w:pPr>
        <w:spacing w:after="0" w:line="240" w:lineRule="auto"/>
        <w:jc w:val="center"/>
        <w:rPr>
          <w:rFonts w:ascii="Times New Roman" w:eastAsia="MS Mincho" w:hAnsi="Times New Roman"/>
          <w:color w:val="000000"/>
          <w:sz w:val="20"/>
        </w:rPr>
      </w:pPr>
      <w:r>
        <w:rPr>
          <w:rFonts w:ascii="Times New Roman" w:hAnsi="Times New Roman"/>
          <w:color w:val="000000"/>
          <w:sz w:val="20"/>
        </w:rPr>
        <w:t>E-mail: reshetnikov_rus@mail.ru; тел.: +79147127213</w:t>
      </w:r>
    </w:p>
    <w:p w:rsidR="00517711" w:rsidRDefault="00F815BE">
      <w:pPr>
        <w:spacing w:line="240" w:lineRule="auto"/>
        <w:jc w:val="center"/>
        <w:rPr>
          <w:rFonts w:ascii="Times New Roman" w:hAnsi="Times New Roman"/>
          <w:color w:val="000000"/>
          <w:sz w:val="20"/>
        </w:rPr>
      </w:pPr>
      <w:r>
        <w:rPr>
          <w:rFonts w:ascii="Times New Roman" w:hAnsi="Times New Roman"/>
          <w:color w:val="000000"/>
          <w:sz w:val="20"/>
        </w:rPr>
        <w:t>ул. Гоголя, 41, г. Владивосток, Приморский край, Россия, 690014</w:t>
      </w:r>
    </w:p>
    <w:p w:rsidR="00517711" w:rsidRDefault="00F815BE">
      <w:pPr>
        <w:spacing w:after="0" w:line="240" w:lineRule="auto"/>
        <w:ind w:firstLine="709"/>
        <w:jc w:val="both"/>
        <w:rPr>
          <w:rFonts w:ascii="Times New Roman" w:hAnsi="Times New Roman"/>
          <w:i/>
          <w:iCs/>
          <w:color w:val="000000"/>
        </w:rPr>
      </w:pPr>
      <w:r>
        <w:rPr>
          <w:rFonts w:ascii="Times New Roman" w:hAnsi="Times New Roman"/>
          <w:i/>
          <w:iCs/>
          <w:color w:val="000000"/>
        </w:rPr>
        <w:t>Статья посвящена анализу практики Европейского суда по правам человека по статье 6 Европейской конвенции по правам человека и основных свобод в отношении реализации права на доступ к правосудию российскими гражданами. Право на справедливое судебное разбирательство включает гражданско-правовой и уголовно-правовой аспекты. При этом понятия «гражданские права и обязанности» и «уголовное обвинение» являются автономными концептами в практике ЕСПЧ, то есть могут не совпадать с национальным законодательством стран-членов, включая Россию.</w:t>
      </w:r>
    </w:p>
    <w:p w:rsidR="00517711" w:rsidRDefault="00F815BE">
      <w:pPr>
        <w:spacing w:line="240" w:lineRule="auto"/>
        <w:ind w:firstLine="709"/>
        <w:jc w:val="both"/>
        <w:rPr>
          <w:rFonts w:ascii="Times New Roman" w:hAnsi="Times New Roman"/>
          <w:i/>
          <w:iCs/>
          <w:color w:val="000000"/>
        </w:rPr>
      </w:pPr>
      <w:r>
        <w:rPr>
          <w:rFonts w:ascii="Times New Roman" w:hAnsi="Times New Roman"/>
          <w:b/>
          <w:i/>
          <w:iCs/>
          <w:color w:val="000000"/>
        </w:rPr>
        <w:t>Ключевые слова и словосочетания:</w:t>
      </w:r>
      <w:r>
        <w:rPr>
          <w:rFonts w:ascii="Times New Roman" w:hAnsi="Times New Roman"/>
          <w:i/>
          <w:iCs/>
          <w:color w:val="000000"/>
        </w:rPr>
        <w:t xml:space="preserve"> право на доступ к правосудию, Европейский суд по правам человека, Европейская конвенция по правам человека и основных свобод, российские граждане.</w:t>
      </w:r>
    </w:p>
    <w:p w:rsidR="00517711" w:rsidRDefault="00F815BE">
      <w:pPr>
        <w:keepNext/>
        <w:spacing w:before="240" w:after="240" w:line="240" w:lineRule="auto"/>
        <w:jc w:val="center"/>
        <w:outlineLvl w:val="0"/>
        <w:rPr>
          <w:rFonts w:ascii="Book Antiqua" w:eastAsia="Calibri" w:hAnsi="Book Antiqua"/>
          <w:b/>
          <w:bCs/>
          <w:caps/>
          <w:sz w:val="26"/>
          <w:szCs w:val="20"/>
          <w:lang w:val="en-US"/>
        </w:rPr>
      </w:pPr>
      <w:r>
        <w:rPr>
          <w:rFonts w:ascii="Book Antiqua" w:eastAsia="Calibri" w:hAnsi="Book Antiqua"/>
          <w:b/>
          <w:bCs/>
          <w:caps/>
          <w:sz w:val="26"/>
          <w:szCs w:val="20"/>
          <w:lang w:val="en-US"/>
        </w:rPr>
        <w:t>The practice of the European Court of Human Rights on Article 6 of the Convention on the Protection of Human Rights and Fundamental Freedoms (with respect to Russian citizens)</w:t>
      </w:r>
    </w:p>
    <w:p w:rsidR="00517711" w:rsidRDefault="00F815BE">
      <w:pPr>
        <w:spacing w:after="0" w:line="240" w:lineRule="auto"/>
        <w:ind w:firstLine="709"/>
        <w:jc w:val="both"/>
        <w:rPr>
          <w:rFonts w:ascii="Times New Roman" w:hAnsi="Times New Roman"/>
          <w:color w:val="000000"/>
          <w:lang w:val="en-US"/>
        </w:rPr>
      </w:pPr>
      <w:r>
        <w:rPr>
          <w:rFonts w:ascii="Times New Roman" w:hAnsi="Times New Roman"/>
          <w:i/>
          <w:iCs/>
          <w:color w:val="000000"/>
          <w:lang w:val="en-US"/>
        </w:rPr>
        <w:t xml:space="preserve">The article is devoted to analysis of the practice of the European Court of human rights on article 6 of the European Convention on human rights and fundamental freedoms with regard to the realization of the right to access to justice by Russian citizens. The right to a fair trial includes civil and criminal and legal </w:t>
      </w:r>
      <w:r>
        <w:rPr>
          <w:rFonts w:ascii="Times New Roman" w:hAnsi="Times New Roman"/>
          <w:i/>
          <w:iCs/>
          <w:color w:val="000000"/>
          <w:lang w:val="en-US"/>
        </w:rPr>
        <w:lastRenderedPageBreak/>
        <w:t>aspects. At the same time, the notions of "civil rights and obligations" and "criminal charges" are autonomous concepts in the practice of the ECHR, that is, they may not coincide with the national legislation of the member states, including Russia.</w:t>
      </w:r>
    </w:p>
    <w:p w:rsidR="00517711" w:rsidRDefault="00F815BE">
      <w:pPr>
        <w:spacing w:after="0" w:line="240" w:lineRule="auto"/>
        <w:ind w:firstLine="709"/>
        <w:jc w:val="both"/>
        <w:rPr>
          <w:rFonts w:ascii="Times New Roman" w:hAnsi="Times New Roman"/>
          <w:color w:val="000000"/>
          <w:lang w:val="en-US"/>
        </w:rPr>
      </w:pPr>
      <w:r>
        <w:rPr>
          <w:rFonts w:ascii="Times New Roman" w:hAnsi="Times New Roman"/>
          <w:b/>
          <w:i/>
          <w:iCs/>
          <w:color w:val="000000"/>
          <w:lang w:val="en-US"/>
        </w:rPr>
        <w:t>Keywords:</w:t>
      </w:r>
      <w:r>
        <w:rPr>
          <w:rFonts w:ascii="Times New Roman" w:hAnsi="Times New Roman"/>
          <w:i/>
          <w:iCs/>
          <w:color w:val="000000"/>
          <w:lang w:val="en-US"/>
        </w:rPr>
        <w:t xml:space="preserve"> the right to access to justice, the European Court of human rights, the European Convention on human rights and fundamental freedoms, Russian citizens. </w:t>
      </w:r>
    </w:p>
    <w:p w:rsidR="00517711" w:rsidRDefault="00517711">
      <w:pPr>
        <w:spacing w:after="0" w:line="240" w:lineRule="auto"/>
        <w:ind w:firstLine="709"/>
        <w:jc w:val="both"/>
        <w:rPr>
          <w:rFonts w:ascii="Cambria" w:hAnsi="Cambria"/>
          <w:bCs/>
          <w:color w:val="000000"/>
          <w:sz w:val="20"/>
          <w:lang w:val="en-US"/>
        </w:rPr>
      </w:pPr>
    </w:p>
    <w:p w:rsidR="00517711" w:rsidRDefault="00F815BE">
      <w:pPr>
        <w:spacing w:after="0" w:line="240" w:lineRule="auto"/>
        <w:ind w:firstLine="709"/>
        <w:jc w:val="both"/>
        <w:rPr>
          <w:rFonts w:ascii="Cambria" w:hAnsi="Cambria"/>
          <w:color w:val="000000"/>
          <w:sz w:val="20"/>
          <w:szCs w:val="20"/>
        </w:rPr>
      </w:pPr>
      <w:r>
        <w:rPr>
          <w:rFonts w:ascii="Cambria" w:hAnsi="Cambria"/>
          <w:bCs/>
          <w:color w:val="000000"/>
          <w:sz w:val="20"/>
          <w:szCs w:val="20"/>
        </w:rPr>
        <w:t>Актуальность темы</w:t>
      </w:r>
      <w:r>
        <w:rPr>
          <w:rFonts w:ascii="Cambria" w:hAnsi="Cambria"/>
          <w:color w:val="000000"/>
          <w:sz w:val="20"/>
          <w:szCs w:val="20"/>
        </w:rPr>
        <w:t>. Ратифицировав Конвенцию о защите прав человека и основных свобод (далее – Конвенция) в 1998 году, Российская Федерации признала компетенцию Европейской комиссии по правам человека получать заявления (жалобы) от лиц, утверждающих, что они являются жертвами нарушения Российской Федерацией их прав, закрепленных в Конвенции, а также юрисдикцию Европейского Суда по правам человека обязательной по вопросу толкования и применения Конвенции и Протоколов к ней в случаях предполагаемого нарушения Российской Федерацией положений этих договорных актов, когда предполагаемое нарушение имело место после их вступления в действие в отношении Российской Федерации.</w:t>
      </w:r>
    </w:p>
    <w:p w:rsidR="00517711" w:rsidRDefault="00F815BE">
      <w:pPr>
        <w:spacing w:after="0" w:line="240" w:lineRule="auto"/>
        <w:ind w:firstLine="709"/>
        <w:jc w:val="both"/>
        <w:rPr>
          <w:rFonts w:ascii="Cambria" w:hAnsi="Cambria"/>
          <w:color w:val="000000"/>
          <w:sz w:val="20"/>
          <w:szCs w:val="20"/>
        </w:rPr>
      </w:pPr>
      <w:r>
        <w:rPr>
          <w:rFonts w:ascii="Cambria" w:hAnsi="Cambria"/>
          <w:color w:val="000000"/>
          <w:sz w:val="20"/>
          <w:szCs w:val="20"/>
        </w:rPr>
        <w:t>Право на справедливый суд – наиболее объемное по своему содержанию право, гарантированное Конвенцией, на долю которого приходится львиная доля нарушений и, соответственно, решений Европейского Суда по правам человека (далее - ЕСПЧ) в отношении Российской Федерации. Так, с 1959 по 2017 годы из 2253-х решений, вынесенных ЕСПЧ в отношении России, 774 были по праву на справедливое судебное разбирательство, а это более трети [1]. При этом 199 решений в указанный период были вынесены в отношении разумности сроков судебного разбирательства, 120 – в отношении неисполнения судебных решений. О системности проблем в России в части обеспечения права на справедливое судебное разбирательство свидетельствует и вынесение в ее отношении двух пилотных решений – по делу Бурдов против России в 2009 году и по делу Герасимов  др. против России в 2014 году [2]. Все это свидетельствует о необходимости анализа практики ЕСПЧ по ст. 6 Конвенции о защите прав человека и основных свобод в отношении российских граждан с целью дальнейшего приведения российского законодательства и практики правоприменения в аспекте обеспечения права на справедливое судебное разбирательство в соответствие с международными стандартами.</w:t>
      </w:r>
    </w:p>
    <w:p w:rsidR="00517711" w:rsidRDefault="00F815BE">
      <w:pPr>
        <w:spacing w:after="0" w:line="240" w:lineRule="auto"/>
        <w:ind w:firstLine="709"/>
        <w:jc w:val="both"/>
        <w:rPr>
          <w:rFonts w:ascii="Cambria" w:hAnsi="Cambria"/>
          <w:color w:val="000000"/>
          <w:sz w:val="20"/>
          <w:szCs w:val="20"/>
        </w:rPr>
      </w:pPr>
      <w:r>
        <w:rPr>
          <w:rFonts w:ascii="Cambria" w:hAnsi="Cambria"/>
          <w:bCs/>
          <w:color w:val="000000"/>
          <w:sz w:val="20"/>
          <w:szCs w:val="20"/>
        </w:rPr>
        <w:t>Научная новизна</w:t>
      </w:r>
      <w:r>
        <w:rPr>
          <w:rFonts w:ascii="Cambria" w:hAnsi="Cambria"/>
          <w:color w:val="000000"/>
          <w:sz w:val="20"/>
          <w:szCs w:val="20"/>
        </w:rPr>
        <w:t xml:space="preserve"> работы заключается в сопоставлении практики Европейского суда по правам человека и статье 6 Европейской конвенции по правам человека и основных свобод, анализе вынесенных решений и обосновании той или иной позиции.</w:t>
      </w:r>
    </w:p>
    <w:p w:rsidR="00517711" w:rsidRDefault="00F815BE">
      <w:pPr>
        <w:spacing w:after="0" w:line="240" w:lineRule="auto"/>
        <w:ind w:firstLine="709"/>
        <w:jc w:val="both"/>
        <w:rPr>
          <w:rFonts w:ascii="Cambria" w:hAnsi="Cambria"/>
          <w:color w:val="000000"/>
          <w:sz w:val="20"/>
          <w:szCs w:val="20"/>
        </w:rPr>
      </w:pPr>
      <w:r>
        <w:rPr>
          <w:rFonts w:ascii="Cambria" w:hAnsi="Cambria"/>
          <w:bCs/>
          <w:color w:val="000000"/>
          <w:sz w:val="20"/>
          <w:szCs w:val="20"/>
        </w:rPr>
        <w:t>Целью</w:t>
      </w:r>
      <w:r>
        <w:rPr>
          <w:rFonts w:ascii="Cambria" w:hAnsi="Cambria"/>
          <w:color w:val="000000"/>
          <w:sz w:val="20"/>
          <w:szCs w:val="20"/>
        </w:rPr>
        <w:t xml:space="preserve"> исследования является определение текущего состояния обеспечения права на справедливое судебное разбирательство в Российской Федерации и возможных направлений устранения существующих недостатков правового регулирования, организации, правоприменительной практики в аспекте обеспечения права на справедливое судебное разбирательство.</w:t>
      </w:r>
    </w:p>
    <w:p w:rsidR="00517711" w:rsidRDefault="00F815BE">
      <w:pPr>
        <w:spacing w:after="0" w:line="240" w:lineRule="auto"/>
        <w:ind w:firstLine="709"/>
        <w:jc w:val="both"/>
        <w:rPr>
          <w:rFonts w:ascii="Cambria" w:hAnsi="Cambria"/>
          <w:sz w:val="20"/>
          <w:szCs w:val="20"/>
        </w:rPr>
      </w:pPr>
      <w:r>
        <w:rPr>
          <w:rFonts w:ascii="Cambria" w:hAnsi="Cambria"/>
          <w:sz w:val="20"/>
          <w:szCs w:val="20"/>
        </w:rPr>
        <w:t>Обозначенная цель предопределила постановку следующих исследовательских задач: 1) охарактеризовать положения ст. 6 Конвенции; 2) определить право на доступ к правосудию; 3) рассмотреть соблюдение Россией требований о разумности сроков судебного разбирательства в практике ЕСПЧ.</w:t>
      </w:r>
    </w:p>
    <w:p w:rsidR="00517711" w:rsidRDefault="00F815BE">
      <w:pPr>
        <w:spacing w:after="0" w:line="240" w:lineRule="auto"/>
        <w:ind w:firstLine="709"/>
        <w:jc w:val="both"/>
        <w:rPr>
          <w:rFonts w:ascii="Cambria" w:hAnsi="Cambria"/>
          <w:sz w:val="20"/>
          <w:szCs w:val="20"/>
        </w:rPr>
      </w:pPr>
      <w:r>
        <w:rPr>
          <w:rFonts w:ascii="Cambria" w:hAnsi="Cambria"/>
          <w:sz w:val="20"/>
          <w:szCs w:val="20"/>
        </w:rPr>
        <w:t>Статья 6 Конвенции гарантирует право на справедливое судебное разбирательство: «1. Каждый в случае спора о его гражданских правах и обязанностях или при предъявлении ему любого уголовного обвинения имеет право на справедливое и публичное разбирательство дела в разумный срок независимым и беспристрастным судом, созданным на основании закона. Судебное решение объявляется публично, однако пресса и публика могут не допускаться на судебные заседания в течение всего процесса или его части по соображениям морали, общественного порядка или национальной безопасности в демократическом обществе, а также когда того требуют интересы несовершеннолетних или для защиты частной жизни сторон, или – в той мере, в какой это, по мнению суда, строго необходимо – при особых обстоятельствах, когда гласность нарушала бы интересы правосудия. 2. Каждый обвиняемый в совершении уголовного преступления считается невиновным, до тех пор, пока его виновность не будет установлена законным порядком. 3. Каждый обвиняемый в совершении уголовного преступления имеет как минимум следующие права: a) быть незамедлительно и подробно уведомленным на понятном ему языке о характере и основании предъявленного ему обвинения; b) иметь достаточное время и возможности для подготовки своей защиты; (с) защищать себя лично или через посредство выбранного им самим защитника или, при недостатке у него средств для оплаты услуг защитника, пользоваться услугами назначенного ему защитника бесплатно, когда того требуют интересы правосудия; d) допрашивать показывающих против него свидетелей или иметь право на то, чтобы эти свидетели были допрошены, и иметь право на вызов и допрос свидетелей в его пользу на тех же условиях, что и для свидетелей, показывающих против него; e) пользоваться бесплатной помощью переводчика, если он не понимает языка, используемого в суде, или не говорит на этом языке» [3].</w:t>
      </w:r>
    </w:p>
    <w:p w:rsidR="00517711" w:rsidRDefault="00F815BE">
      <w:pPr>
        <w:spacing w:after="0" w:line="240" w:lineRule="auto"/>
        <w:ind w:firstLine="709"/>
        <w:jc w:val="both"/>
        <w:rPr>
          <w:rFonts w:ascii="Cambria" w:hAnsi="Cambria"/>
          <w:sz w:val="20"/>
          <w:szCs w:val="20"/>
        </w:rPr>
      </w:pPr>
      <w:r>
        <w:rPr>
          <w:rFonts w:ascii="Cambria" w:hAnsi="Cambria"/>
          <w:sz w:val="20"/>
          <w:szCs w:val="20"/>
        </w:rPr>
        <w:t xml:space="preserve">Таким образом, Конвенция гарантирует право на справедливое судебное разбирательство, однако ученые склонны рассматривать более широко эти положения, а именно таким образом, чтобы охватить правовую определенность в общем, или, как некоторые говорят, право на правосудие. Текст ст. </w:t>
      </w:r>
      <w:r>
        <w:rPr>
          <w:rFonts w:ascii="Cambria" w:hAnsi="Cambria"/>
          <w:sz w:val="20"/>
          <w:szCs w:val="20"/>
        </w:rPr>
        <w:lastRenderedPageBreak/>
        <w:t>6 Конвенции относится к а) гражданским правам и обязанностям и б) к уголовному обвинению лица. Поэтому стало общепринятым выражение, что положения статьи 6 Конвенции включают гражданский (частный) и уголовный аспекты (civil and criminal limbs).</w:t>
      </w:r>
    </w:p>
    <w:p w:rsidR="00517711" w:rsidRDefault="00F815BE">
      <w:pPr>
        <w:spacing w:after="0" w:line="240" w:lineRule="auto"/>
        <w:ind w:firstLine="709"/>
        <w:jc w:val="both"/>
        <w:rPr>
          <w:rFonts w:ascii="Cambria" w:hAnsi="Cambria"/>
          <w:color w:val="000000"/>
          <w:sz w:val="20"/>
          <w:szCs w:val="20"/>
        </w:rPr>
      </w:pPr>
      <w:r>
        <w:rPr>
          <w:rFonts w:ascii="Cambria" w:hAnsi="Cambria"/>
          <w:color w:val="000000"/>
          <w:sz w:val="20"/>
          <w:szCs w:val="20"/>
        </w:rPr>
        <w:t>Право на доступ к правосудию не имеет широкого распространения на территории России. Ни международные договоры, участницей которых является Российская Федерация, ни национальное законодательство не закрепляют термин «право на доступ к правосудию». Но данное право, по мнению ЕСПЧ, являются неотъемлемым критерием права на судебную защиту, и данное положение находит свое отражение в практике ЕСПЧ в отношении российских граждан [4</w:t>
      </w:r>
      <w:r>
        <w:rPr>
          <w:rFonts w:ascii="Cambria" w:hAnsi="Cambria"/>
          <w:color w:val="000000" w:themeColor="text1"/>
          <w:sz w:val="20"/>
          <w:szCs w:val="20"/>
        </w:rPr>
        <w:t>, с. 185</w:t>
      </w:r>
      <w:r>
        <w:rPr>
          <w:rFonts w:ascii="Cambria" w:hAnsi="Cambria"/>
          <w:color w:val="000000"/>
          <w:sz w:val="20"/>
          <w:szCs w:val="20"/>
        </w:rPr>
        <w:t>].</w:t>
      </w:r>
    </w:p>
    <w:p w:rsidR="00517711" w:rsidRDefault="00F815BE">
      <w:pPr>
        <w:spacing w:after="0" w:line="240" w:lineRule="auto"/>
        <w:ind w:firstLine="709"/>
        <w:jc w:val="both"/>
        <w:rPr>
          <w:rFonts w:ascii="Cambria" w:hAnsi="Cambria"/>
          <w:color w:val="000000"/>
          <w:sz w:val="20"/>
          <w:szCs w:val="20"/>
        </w:rPr>
      </w:pPr>
      <w:r>
        <w:rPr>
          <w:rFonts w:ascii="Cambria" w:hAnsi="Cambria"/>
          <w:color w:val="000000"/>
          <w:sz w:val="20"/>
          <w:szCs w:val="20"/>
        </w:rPr>
        <w:t>ЕСПЧ рассматривает право на доступ к правосудию как совокупность ряда взаимосвязанных элементов – право на доступ к суду (возможность инициировать судебное разбирательство), гарантии, относящиеся к составу суда (наличие «надлежащего» суда), гарантии, относящиеся к движению процесса [</w:t>
      </w:r>
      <w:r>
        <w:rPr>
          <w:rFonts w:ascii="Cambria" w:hAnsi="Cambria"/>
          <w:color w:val="000000" w:themeColor="text1"/>
          <w:sz w:val="20"/>
          <w:szCs w:val="20"/>
        </w:rPr>
        <w:t>4, с. 186</w:t>
      </w:r>
      <w:r>
        <w:rPr>
          <w:rFonts w:ascii="Cambria" w:hAnsi="Cambria"/>
          <w:color w:val="000000"/>
          <w:sz w:val="20"/>
          <w:szCs w:val="20"/>
        </w:rPr>
        <w:t>]. Кроме того, доступ к правосудию включает право на получение правовой помощи, если это нужно для процессуального равенства сторон (equality of arms) [5].</w:t>
      </w:r>
    </w:p>
    <w:p w:rsidR="00517711" w:rsidRDefault="00F815BE">
      <w:pPr>
        <w:spacing w:after="0" w:line="240" w:lineRule="auto"/>
        <w:ind w:firstLine="709"/>
        <w:jc w:val="both"/>
        <w:rPr>
          <w:rFonts w:ascii="Cambria" w:hAnsi="Cambria"/>
          <w:color w:val="000000"/>
          <w:sz w:val="20"/>
          <w:szCs w:val="20"/>
        </w:rPr>
      </w:pPr>
      <w:r>
        <w:rPr>
          <w:rFonts w:ascii="Cambria" w:hAnsi="Cambria"/>
          <w:color w:val="000000"/>
          <w:sz w:val="20"/>
          <w:szCs w:val="20"/>
        </w:rPr>
        <w:t>Российское законодательство не содержит легального определения понятия «принцип обеспечения обвиняемому права на защиту», равно как и понятия «право на защиту». Представляется, что данное обстоятельство является фактором, способствующим дискуссиям в юридической литературе относительно содержания данных терминов. Попробуем определить понятие и содержание «принципа обеспечения обвиняемому права на защиту» в соответствии с существующими на сегодняшний день требованиями к данному обязательству государства.</w:t>
      </w:r>
    </w:p>
    <w:p w:rsidR="00517711" w:rsidRDefault="00F815BE">
      <w:pPr>
        <w:spacing w:after="0" w:line="240" w:lineRule="auto"/>
        <w:ind w:firstLine="709"/>
        <w:jc w:val="both"/>
        <w:rPr>
          <w:rFonts w:ascii="Cambria" w:hAnsi="Cambria"/>
          <w:color w:val="000000"/>
          <w:sz w:val="20"/>
          <w:szCs w:val="20"/>
        </w:rPr>
      </w:pPr>
      <w:r>
        <w:rPr>
          <w:rFonts w:ascii="Cambria" w:hAnsi="Cambria"/>
          <w:color w:val="000000"/>
          <w:sz w:val="20"/>
          <w:szCs w:val="20"/>
        </w:rPr>
        <w:t>Конституция Российской Федерации не содержит нормы, которая бы непосредственно закрепляла принцип обеспечения обвиняемому права на защиту, однако содержит ряд норм, из которых можно развить эту идею. Например, согласно ч. 2 ст. 45 Конституции РФ, каждый имеет право защищать свои права и свободы всеми не запрещенными законом способами. Более конкретные положения содержатся в ст. 48 Конституции РФ, где закреплено право на квалифицированную юридическую помощь, в том числе бесплатную в предусмотренных законом случаях. Согласно части 2 этой статьи, каждый обвиняемый в совершении преступления имеет право пользоваться услугами адвоката (защитника) с момента предъявления обвинения.</w:t>
      </w:r>
    </w:p>
    <w:p w:rsidR="00517711" w:rsidRDefault="00F815BE">
      <w:pPr>
        <w:spacing w:after="0" w:line="240" w:lineRule="auto"/>
        <w:ind w:firstLine="709"/>
        <w:jc w:val="both"/>
        <w:rPr>
          <w:rFonts w:ascii="Times New Roman" w:hAnsi="Times New Roman"/>
          <w:sz w:val="20"/>
          <w:szCs w:val="20"/>
        </w:rPr>
      </w:pPr>
      <w:r>
        <w:rPr>
          <w:rFonts w:ascii="Cambria" w:hAnsi="Cambria"/>
          <w:color w:val="000000"/>
          <w:sz w:val="20"/>
          <w:szCs w:val="20"/>
        </w:rPr>
        <w:t xml:space="preserve">Также на правом на доступ к правосудию имеют лица, права которых были нарушены непосредственно Российской Федерацией, путем подписания различных нормативных актов. Так на основании ст. 6.21 КоАП, по делу «Алексеев против России», заявитель обратился в Европейский суд по правам человека, указав о нарушении прав сексуальных меньшинств, на что Россия привела аргумент о неодобрении однополых отношений российским обществом. </w:t>
      </w:r>
      <w:r>
        <w:rPr>
          <w:rFonts w:ascii="Cambria" w:hAnsi="Cambria"/>
          <w:color w:val="000000"/>
          <w:sz w:val="20"/>
          <w:szCs w:val="20"/>
          <w:shd w:val="clear" w:color="auto" w:fill="FFFFFF"/>
        </w:rPr>
        <w:t>Однако, Суд посчитал необходимым указать на разницу в уступке общественному мнению в пользу расширения сферы охвата гарантий ЕКПЧ и в пользу сужения сферы материальной защиты [6</w:t>
      </w:r>
      <w:r>
        <w:rPr>
          <w:rFonts w:ascii="Cambria" w:hAnsi="Cambria"/>
          <w:color w:val="000000"/>
          <w:sz w:val="20"/>
          <w:szCs w:val="20"/>
        </w:rPr>
        <w:t>, с. 42</w:t>
      </w:r>
      <w:r>
        <w:rPr>
          <w:rFonts w:ascii="Cambria" w:hAnsi="Cambria"/>
          <w:color w:val="000000"/>
          <w:sz w:val="20"/>
          <w:szCs w:val="20"/>
          <w:shd w:val="clear" w:color="auto" w:fill="FFFFFF"/>
        </w:rPr>
        <w:t>].</w:t>
      </w:r>
    </w:p>
    <w:p w:rsidR="00517711" w:rsidRDefault="00F815BE">
      <w:pPr>
        <w:pStyle w:val="af6"/>
        <w:spacing w:before="0" w:beforeAutospacing="0" w:after="0" w:afterAutospacing="0"/>
        <w:ind w:firstLine="709"/>
        <w:jc w:val="both"/>
        <w:rPr>
          <w:rFonts w:ascii="Cambria" w:hAnsi="Cambria"/>
          <w:color w:val="000000"/>
          <w:sz w:val="20"/>
          <w:szCs w:val="20"/>
        </w:rPr>
      </w:pPr>
      <w:r>
        <w:rPr>
          <w:rFonts w:ascii="Cambria" w:hAnsi="Cambria"/>
          <w:color w:val="000000" w:themeColor="text1"/>
          <w:sz w:val="20"/>
          <w:szCs w:val="20"/>
        </w:rPr>
        <w:t>Одним из основных принципов уголовного судопроизводства признается соблюдение разумных сроков в течение всего процесса. Установление разумных сроков дает возможность контролировать действия правоохранительных органов и выявлять нарушения, допущенные в ходе уголовного судопроизводства, а также взыскивать компенсацию.</w:t>
      </w:r>
    </w:p>
    <w:p w:rsidR="00517711" w:rsidRDefault="00F815BE">
      <w:pPr>
        <w:pStyle w:val="af6"/>
        <w:spacing w:before="0" w:beforeAutospacing="0" w:after="0" w:afterAutospacing="0"/>
        <w:ind w:firstLine="709"/>
        <w:jc w:val="both"/>
        <w:rPr>
          <w:rFonts w:ascii="Cambria" w:hAnsi="Cambria"/>
          <w:color w:val="000000"/>
          <w:sz w:val="20"/>
          <w:szCs w:val="20"/>
        </w:rPr>
      </w:pPr>
      <w:r>
        <w:rPr>
          <w:rFonts w:ascii="Cambria" w:hAnsi="Cambria"/>
          <w:color w:val="000000" w:themeColor="text1"/>
          <w:sz w:val="20"/>
          <w:szCs w:val="20"/>
        </w:rPr>
        <w:t>Уголовно-процессуальное законодательство устанавливает санкции за нарушение закрепленных юридически значимых сроков в уголовном судопроизводстве. Статья 6.1 УПК РФ устанавливает необходимость проведения уголовного судопроизводства, от первой до последней стадии, в установленные законодательством разумные сроки. Объективные трудности и обстоятельства в организации работы правоохранительных органов и суда не могут служить основанием для превышения разумных сроков, что установлено ч. 4 ст. 6.1 УПК РФ</w:t>
      </w:r>
    </w:p>
    <w:p w:rsidR="00517711" w:rsidRDefault="00F815BE">
      <w:pPr>
        <w:pStyle w:val="af6"/>
        <w:spacing w:before="0" w:beforeAutospacing="0" w:after="0" w:afterAutospacing="0"/>
        <w:ind w:firstLine="709"/>
        <w:jc w:val="both"/>
        <w:rPr>
          <w:rFonts w:ascii="Cambria" w:hAnsi="Cambria"/>
          <w:color w:val="000000"/>
          <w:sz w:val="20"/>
          <w:szCs w:val="20"/>
        </w:rPr>
      </w:pPr>
      <w:r>
        <w:rPr>
          <w:rFonts w:ascii="Cambria" w:hAnsi="Cambria"/>
          <w:color w:val="000000" w:themeColor="text1"/>
          <w:sz w:val="20"/>
          <w:szCs w:val="20"/>
        </w:rPr>
        <w:t>Практика Европейского суда в отношении России прямо указывает, что ответственность за нарушение разумных сроков возлагается на государство [7]. ЕСПЧ толкует расследование как деятельность уполномоченных государственных органов, осуществляемую в установленном законодательством порядке по заявлению о совершенном преступлении с целью выяснения всех обстоятельств произошедшего и указывает на скорость и своевременность расследования [8, с. 16].</w:t>
      </w:r>
    </w:p>
    <w:p w:rsidR="00517711" w:rsidRDefault="00F815BE">
      <w:pPr>
        <w:spacing w:after="0" w:line="240" w:lineRule="auto"/>
        <w:ind w:firstLine="709"/>
        <w:jc w:val="both"/>
        <w:rPr>
          <w:rFonts w:ascii="Cambria" w:hAnsi="Cambria"/>
          <w:sz w:val="20"/>
          <w:szCs w:val="20"/>
        </w:rPr>
      </w:pPr>
      <w:r>
        <w:rPr>
          <w:rFonts w:ascii="Cambria" w:hAnsi="Cambria"/>
          <w:bCs/>
          <w:sz w:val="20"/>
          <w:szCs w:val="20"/>
        </w:rPr>
        <w:t xml:space="preserve">Подводя итоги вышесказанному, следует отметить, что </w:t>
      </w:r>
      <w:r>
        <w:rPr>
          <w:rFonts w:ascii="Cambria" w:hAnsi="Cambria"/>
          <w:sz w:val="20"/>
          <w:szCs w:val="20"/>
        </w:rPr>
        <w:t>право на справедливое судебное разбирательство предусмотрено ст. 6 Конвенции и является само по себе весьма объемным, а учитывая расширительное толкование его ЕСПЧ и теоретиками, - самым объемным правом из всех гарантированных Конвенцией. На его долю приходится более трети решений ЕСПЧ, вынесенных в отношении России, в числе которых и два пилотных решения. Такое большое количество жалоб в ЕСПЧ можно объяснить как перегруженностью правоохранительной и судебной систем, так и недостаточным уровнем правовой культуры уполномоченных лиц.</w:t>
      </w:r>
    </w:p>
    <w:p w:rsidR="00517711" w:rsidRDefault="00F815BE">
      <w:pPr>
        <w:tabs>
          <w:tab w:val="left" w:pos="0"/>
          <w:tab w:val="left" w:pos="284"/>
        </w:tabs>
        <w:spacing w:after="0"/>
        <w:rPr>
          <w:rFonts w:ascii="Cambria" w:hAnsi="Cambria"/>
          <w:b/>
          <w:bCs/>
          <w:color w:val="000000"/>
          <w:sz w:val="20"/>
          <w:szCs w:val="20"/>
          <w:lang w:val="en-US"/>
        </w:rPr>
      </w:pPr>
      <w:r>
        <w:rPr>
          <w:rFonts w:ascii="Cambria" w:hAnsi="Cambria"/>
          <w:b/>
          <w:bCs/>
          <w:color w:val="000000"/>
          <w:sz w:val="20"/>
          <w:szCs w:val="20"/>
          <w:lang w:val="en-US"/>
        </w:rPr>
        <w:t>______________________________________</w:t>
      </w:r>
    </w:p>
    <w:p w:rsidR="00517711" w:rsidRDefault="00F815BE">
      <w:pPr>
        <w:tabs>
          <w:tab w:val="left" w:pos="0"/>
          <w:tab w:val="left" w:pos="284"/>
        </w:tabs>
        <w:spacing w:after="0" w:line="240" w:lineRule="auto"/>
        <w:ind w:firstLine="709"/>
        <w:jc w:val="both"/>
        <w:rPr>
          <w:rFonts w:ascii="Times New Roman" w:hAnsi="Times New Roman"/>
          <w:sz w:val="20"/>
          <w:szCs w:val="20"/>
          <w:lang w:val="en-US"/>
        </w:rPr>
      </w:pPr>
      <w:r>
        <w:rPr>
          <w:rFonts w:ascii="Times New Roman" w:hAnsi="Times New Roman"/>
          <w:color w:val="000000"/>
          <w:sz w:val="20"/>
          <w:szCs w:val="20"/>
          <w:lang w:val="en-US"/>
        </w:rPr>
        <w:t>1. Violations by Article and by State [</w:t>
      </w:r>
      <w:r>
        <w:rPr>
          <w:rFonts w:ascii="Times New Roman" w:hAnsi="Times New Roman"/>
          <w:color w:val="000000"/>
          <w:sz w:val="20"/>
          <w:szCs w:val="20"/>
        </w:rPr>
        <w:t>Электронный</w:t>
      </w:r>
      <w:r>
        <w:rPr>
          <w:rFonts w:ascii="Times New Roman" w:hAnsi="Times New Roman"/>
          <w:color w:val="000000"/>
          <w:sz w:val="20"/>
          <w:szCs w:val="20"/>
          <w:lang w:val="en-US"/>
        </w:rPr>
        <w:t xml:space="preserve"> </w:t>
      </w:r>
      <w:r>
        <w:rPr>
          <w:rFonts w:ascii="Times New Roman" w:hAnsi="Times New Roman"/>
          <w:color w:val="000000"/>
          <w:sz w:val="20"/>
          <w:szCs w:val="20"/>
        </w:rPr>
        <w:t>ресурс</w:t>
      </w:r>
      <w:r>
        <w:rPr>
          <w:rFonts w:ascii="Times New Roman" w:hAnsi="Times New Roman"/>
          <w:color w:val="000000"/>
          <w:sz w:val="20"/>
          <w:szCs w:val="20"/>
          <w:lang w:val="en-US"/>
        </w:rPr>
        <w:t xml:space="preserve">]. – </w:t>
      </w:r>
      <w:r>
        <w:rPr>
          <w:rFonts w:ascii="Times New Roman" w:hAnsi="Times New Roman"/>
          <w:color w:val="000000"/>
          <w:sz w:val="20"/>
          <w:szCs w:val="20"/>
        </w:rPr>
        <w:t>Режим</w:t>
      </w:r>
      <w:r>
        <w:rPr>
          <w:rFonts w:ascii="Times New Roman" w:hAnsi="Times New Roman"/>
          <w:color w:val="000000"/>
          <w:sz w:val="20"/>
          <w:szCs w:val="20"/>
          <w:lang w:val="en-US"/>
        </w:rPr>
        <w:t xml:space="preserve"> </w:t>
      </w:r>
      <w:r>
        <w:rPr>
          <w:rFonts w:ascii="Times New Roman" w:hAnsi="Times New Roman"/>
          <w:color w:val="000000"/>
          <w:sz w:val="20"/>
          <w:szCs w:val="20"/>
        </w:rPr>
        <w:t>доступа</w:t>
      </w:r>
      <w:r>
        <w:rPr>
          <w:rFonts w:ascii="Times New Roman" w:hAnsi="Times New Roman"/>
          <w:color w:val="000000"/>
          <w:sz w:val="20"/>
          <w:szCs w:val="20"/>
          <w:lang w:val="en-US"/>
        </w:rPr>
        <w:t>: http://www.echr.coe.int/Documents/Stats_violation_1959_2017_ENG.pdf</w:t>
      </w:r>
    </w:p>
    <w:p w:rsidR="00517711" w:rsidRDefault="00F815BE">
      <w:pPr>
        <w:tabs>
          <w:tab w:val="left" w:pos="0"/>
          <w:tab w:val="left" w:pos="284"/>
        </w:tabs>
        <w:spacing w:after="0" w:line="240" w:lineRule="auto"/>
        <w:ind w:firstLine="709"/>
        <w:jc w:val="both"/>
        <w:rPr>
          <w:rFonts w:ascii="Times New Roman" w:hAnsi="Times New Roman"/>
          <w:sz w:val="20"/>
          <w:szCs w:val="20"/>
          <w:lang w:val="en-US"/>
        </w:rPr>
      </w:pPr>
      <w:r>
        <w:rPr>
          <w:rFonts w:ascii="Times New Roman" w:hAnsi="Times New Roman"/>
          <w:color w:val="000000"/>
          <w:sz w:val="20"/>
          <w:szCs w:val="20"/>
          <w:lang w:val="en-US"/>
        </w:rPr>
        <w:t>2. Gerasimov and others v. Russia (Applications no. 29920/05, 3553/06, 18876/10, 61186/10, 21176/11, 36112/11, 36426/11, 40841/11, 45381/11, 55929/11, 60822/11), 2014 [</w:t>
      </w:r>
      <w:r>
        <w:rPr>
          <w:rFonts w:ascii="Times New Roman" w:hAnsi="Times New Roman"/>
          <w:color w:val="000000"/>
          <w:sz w:val="20"/>
          <w:szCs w:val="20"/>
        </w:rPr>
        <w:t>Электронный</w:t>
      </w:r>
      <w:r>
        <w:rPr>
          <w:rFonts w:ascii="Times New Roman" w:hAnsi="Times New Roman"/>
          <w:color w:val="000000"/>
          <w:sz w:val="20"/>
          <w:szCs w:val="20"/>
          <w:lang w:val="en-US"/>
        </w:rPr>
        <w:t xml:space="preserve"> </w:t>
      </w:r>
      <w:r>
        <w:rPr>
          <w:rFonts w:ascii="Times New Roman" w:hAnsi="Times New Roman"/>
          <w:color w:val="000000"/>
          <w:sz w:val="20"/>
          <w:szCs w:val="20"/>
        </w:rPr>
        <w:t>ресурс</w:t>
      </w:r>
      <w:r>
        <w:rPr>
          <w:rFonts w:ascii="Times New Roman" w:hAnsi="Times New Roman"/>
          <w:color w:val="000000"/>
          <w:sz w:val="20"/>
          <w:szCs w:val="20"/>
          <w:lang w:val="en-US"/>
        </w:rPr>
        <w:t xml:space="preserve">]. – </w:t>
      </w:r>
      <w:r>
        <w:rPr>
          <w:rFonts w:ascii="Times New Roman" w:hAnsi="Times New Roman"/>
          <w:color w:val="000000"/>
          <w:sz w:val="20"/>
          <w:szCs w:val="20"/>
        </w:rPr>
        <w:t>Режим</w:t>
      </w:r>
      <w:r>
        <w:rPr>
          <w:rFonts w:ascii="Times New Roman" w:hAnsi="Times New Roman"/>
          <w:color w:val="000000"/>
          <w:sz w:val="20"/>
          <w:szCs w:val="20"/>
          <w:lang w:val="en-US"/>
        </w:rPr>
        <w:t xml:space="preserve"> </w:t>
      </w:r>
      <w:r>
        <w:rPr>
          <w:rFonts w:ascii="Times New Roman" w:hAnsi="Times New Roman"/>
          <w:color w:val="000000"/>
          <w:sz w:val="20"/>
          <w:szCs w:val="20"/>
        </w:rPr>
        <w:t>доступа</w:t>
      </w:r>
      <w:r>
        <w:rPr>
          <w:rFonts w:ascii="Times New Roman" w:hAnsi="Times New Roman"/>
          <w:color w:val="000000"/>
          <w:sz w:val="20"/>
          <w:szCs w:val="20"/>
          <w:lang w:val="en-US"/>
        </w:rPr>
        <w:t>: https://hudoc.echr.coe.int/app/conversion/pdf/?library=ECHR&amp;id=001-145212&amp;filename=001-145212.pdf</w:t>
      </w:r>
    </w:p>
    <w:p w:rsidR="00517711" w:rsidRDefault="00F815BE">
      <w:pPr>
        <w:tabs>
          <w:tab w:val="left" w:pos="0"/>
          <w:tab w:val="left" w:pos="284"/>
        </w:tabs>
        <w:spacing w:after="0" w:line="240" w:lineRule="auto"/>
        <w:ind w:firstLine="709"/>
        <w:jc w:val="both"/>
        <w:rPr>
          <w:rFonts w:ascii="Times New Roman" w:hAnsi="Times New Roman"/>
          <w:sz w:val="20"/>
          <w:szCs w:val="20"/>
        </w:rPr>
      </w:pPr>
      <w:r>
        <w:rPr>
          <w:rFonts w:ascii="Times New Roman" w:hAnsi="Times New Roman"/>
          <w:sz w:val="20"/>
          <w:szCs w:val="20"/>
        </w:rPr>
        <w:lastRenderedPageBreak/>
        <w:t xml:space="preserve">3. </w:t>
      </w:r>
      <w:r>
        <w:rPr>
          <w:rFonts w:ascii="Times New Roman" w:hAnsi="Times New Roman"/>
          <w:color w:val="000000"/>
          <w:sz w:val="20"/>
          <w:szCs w:val="20"/>
        </w:rPr>
        <w:t>Конвенция о защите прав человека и основных свобод (Заключена в г. Риме 04.11.1950) (с изм. от 13.05.2004) (вместе с «Протоколом [№1]» (Подписан в г. Париже 20.03.1952), «Протоколом №4 об обеспечении некоторых прав и свобод помимо тех, которые уже включены в Конвенцию и первый Протокол к ней» (Подписан в г. Страсбурге 16.09.1963), «Протоколом №7» (Подписан в г. Страсбурге 22.11.1984)) [Электронный ресурс]. - Режим доступа: http://www.consultant.ru/document/cons_doc_LAW_29160/</w:t>
      </w:r>
    </w:p>
    <w:p w:rsidR="00517711" w:rsidRDefault="00F815BE">
      <w:pPr>
        <w:tabs>
          <w:tab w:val="left" w:pos="0"/>
          <w:tab w:val="left" w:pos="284"/>
        </w:tabs>
        <w:spacing w:after="0" w:line="240" w:lineRule="auto"/>
        <w:ind w:firstLine="709"/>
        <w:jc w:val="both"/>
        <w:rPr>
          <w:rFonts w:ascii="Times New Roman" w:hAnsi="Times New Roman"/>
          <w:color w:val="000000"/>
          <w:sz w:val="20"/>
          <w:szCs w:val="20"/>
        </w:rPr>
      </w:pPr>
      <w:r>
        <w:rPr>
          <w:rFonts w:ascii="Times New Roman" w:hAnsi="Times New Roman"/>
          <w:sz w:val="20"/>
          <w:szCs w:val="20"/>
        </w:rPr>
        <w:t xml:space="preserve">4. </w:t>
      </w:r>
      <w:r>
        <w:rPr>
          <w:rFonts w:ascii="Times New Roman" w:hAnsi="Times New Roman"/>
          <w:color w:val="000000" w:themeColor="text1"/>
          <w:sz w:val="20"/>
          <w:szCs w:val="20"/>
        </w:rPr>
        <w:t>Пластинина Е.В. Правовые аспекты понятия «доступ к правосудию» / Е.В. Пластинина // Марийский юридический вестник. – 2013. - № 10. – С. 184-189.</w:t>
      </w:r>
    </w:p>
    <w:p w:rsidR="00517711" w:rsidRDefault="00F815BE">
      <w:pPr>
        <w:tabs>
          <w:tab w:val="left" w:pos="0"/>
          <w:tab w:val="left" w:pos="284"/>
        </w:tabs>
        <w:spacing w:after="0" w:line="240" w:lineRule="auto"/>
        <w:ind w:firstLine="709"/>
        <w:jc w:val="both"/>
        <w:rPr>
          <w:rFonts w:ascii="Times New Roman" w:hAnsi="Times New Roman"/>
          <w:color w:val="000000"/>
          <w:sz w:val="20"/>
          <w:szCs w:val="20"/>
        </w:rPr>
      </w:pPr>
      <w:r>
        <w:rPr>
          <w:rFonts w:ascii="Times New Roman" w:hAnsi="Times New Roman"/>
          <w:color w:val="000000" w:themeColor="text1"/>
          <w:sz w:val="20"/>
          <w:szCs w:val="20"/>
          <w:lang w:val="en-US"/>
        </w:rPr>
        <w:t xml:space="preserve">5. Popovic D. European human rights law – a manual. An introduction to the Strasbourg Court and its jurisprudence. </w:t>
      </w:r>
      <w:r>
        <w:rPr>
          <w:rFonts w:ascii="Times New Roman" w:hAnsi="Times New Roman"/>
          <w:color w:val="000000" w:themeColor="text1"/>
          <w:sz w:val="20"/>
          <w:szCs w:val="20"/>
        </w:rPr>
        <w:t>[Электронный ресурс]. – Режим доступа: https://www.elevenpub.com/law/catalogus/european-human-rights-law-a-manual-1</w:t>
      </w:r>
    </w:p>
    <w:p w:rsidR="00517711" w:rsidRDefault="00F815BE">
      <w:pPr>
        <w:tabs>
          <w:tab w:val="left" w:pos="0"/>
          <w:tab w:val="left" w:pos="284"/>
        </w:tabs>
        <w:spacing w:after="0" w:line="240" w:lineRule="auto"/>
        <w:ind w:firstLine="709"/>
        <w:jc w:val="both"/>
        <w:rPr>
          <w:rFonts w:ascii="Times New Roman" w:hAnsi="Times New Roman"/>
          <w:color w:val="000000"/>
          <w:sz w:val="20"/>
          <w:szCs w:val="20"/>
        </w:rPr>
      </w:pPr>
      <w:r>
        <w:rPr>
          <w:rFonts w:ascii="Times New Roman" w:hAnsi="Times New Roman"/>
          <w:color w:val="000000" w:themeColor="text1"/>
          <w:sz w:val="20"/>
          <w:szCs w:val="20"/>
        </w:rPr>
        <w:t xml:space="preserve">6. </w:t>
      </w:r>
      <w:r>
        <w:rPr>
          <w:rFonts w:ascii="Times New Roman" w:hAnsi="Times New Roman"/>
          <w:color w:val="000000"/>
          <w:sz w:val="20"/>
          <w:szCs w:val="20"/>
        </w:rPr>
        <w:t>Горян Э.В., Нетрусов Ю. Перспективы применения ч. 1 ст. 6.21 Кодекса об административных правонарушениях Российской Федерации в свете постановления Европейского Суда по правам человека от 20 июня 2017 года по делу «Баев и другие против Российской Федерации (жалобы 67667/09, 44092/12, 56717/12)» / Э.В. Горян, Ю. Нетрусов // Административное и муниципальное право. - 2017. - №12. - С.34-47.</w:t>
      </w:r>
    </w:p>
    <w:p w:rsidR="00517711" w:rsidRDefault="00F815BE">
      <w:pPr>
        <w:tabs>
          <w:tab w:val="left" w:pos="0"/>
          <w:tab w:val="left" w:pos="284"/>
        </w:tabs>
        <w:spacing w:after="0" w:line="240" w:lineRule="auto"/>
        <w:ind w:firstLine="709"/>
        <w:jc w:val="both"/>
        <w:rPr>
          <w:rFonts w:ascii="Times New Roman" w:hAnsi="Times New Roman"/>
          <w:sz w:val="20"/>
          <w:szCs w:val="20"/>
        </w:rPr>
      </w:pPr>
      <w:r>
        <w:rPr>
          <w:rFonts w:ascii="Times New Roman" w:hAnsi="Times New Roman"/>
          <w:color w:val="000000"/>
          <w:sz w:val="20"/>
          <w:szCs w:val="20"/>
        </w:rPr>
        <w:t>7. Volodin v. Russia (Application no. 24411/05), 2011</w:t>
      </w:r>
      <w:r>
        <w:rPr>
          <w:rFonts w:ascii="Times New Roman" w:hAnsi="Times New Roman"/>
          <w:color w:val="000000" w:themeColor="text1"/>
          <w:sz w:val="20"/>
          <w:szCs w:val="20"/>
        </w:rPr>
        <w:t xml:space="preserve"> [Электронный ресурс] // СПС «КонсультантПлюс». – Режим доступа: </w:t>
      </w:r>
      <w:r>
        <w:rPr>
          <w:rFonts w:ascii="Times New Roman" w:hAnsi="Times New Roman"/>
          <w:sz w:val="20"/>
          <w:szCs w:val="20"/>
        </w:rPr>
        <w:t>http://www.consultant.ru/cons/cgi/online.cgi?req=doc&amp;base=ARB&amp;n=282053#09654329276229442</w:t>
      </w:r>
    </w:p>
    <w:p w:rsidR="00517711" w:rsidRDefault="00F815BE">
      <w:pPr>
        <w:tabs>
          <w:tab w:val="left" w:pos="0"/>
          <w:tab w:val="left" w:pos="284"/>
        </w:tabs>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xml:space="preserve">8. </w:t>
      </w:r>
      <w:r>
        <w:rPr>
          <w:rFonts w:ascii="Times New Roman" w:hAnsi="Times New Roman"/>
          <w:color w:val="000000" w:themeColor="text1"/>
          <w:sz w:val="20"/>
          <w:szCs w:val="20"/>
        </w:rPr>
        <w:t>Казаков Д.А. Почему Россия проигрывает в Европейском суде / Д.А. Казаков. - Н. Новгород: МРОО «Комитет против пыток», 2010. – 156 с.</w:t>
      </w: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Теория государства и права</w:t>
      </w:r>
    </w:p>
    <w:p w:rsidR="00517711" w:rsidRDefault="00F815BE">
      <w:pPr>
        <w:spacing w:after="0" w:line="240" w:lineRule="auto"/>
        <w:jc w:val="both"/>
        <w:outlineLvl w:val="0"/>
        <w:rPr>
          <w:rFonts w:ascii="Times New Roman" w:hAnsi="Times New Roman"/>
          <w:sz w:val="20"/>
          <w:szCs w:val="28"/>
        </w:rPr>
      </w:pPr>
      <w:r>
        <w:rPr>
          <w:rFonts w:ascii="Times New Roman" w:hAnsi="Times New Roman"/>
          <w:sz w:val="20"/>
          <w:szCs w:val="28"/>
        </w:rPr>
        <w:t>УДК: 347</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Правовое регулирование суда присяжных в Российской Федерации и зарубежных странах: сравнительно-правовой аспект</w:t>
      </w:r>
    </w:p>
    <w:p w:rsidR="00517711" w:rsidRDefault="00F815BE">
      <w:pPr>
        <w:spacing w:after="0" w:line="240" w:lineRule="auto"/>
        <w:jc w:val="center"/>
        <w:outlineLvl w:val="0"/>
        <w:rPr>
          <w:rFonts w:ascii="Arial" w:eastAsia="Calibri" w:hAnsi="Arial"/>
          <w:b/>
          <w:bCs/>
          <w:sz w:val="24"/>
          <w:szCs w:val="20"/>
          <w:lang w:eastAsia="ru-RU"/>
        </w:rPr>
      </w:pPr>
      <w:r>
        <w:rPr>
          <w:rFonts w:ascii="Arial" w:eastAsia="Calibri" w:hAnsi="Arial"/>
          <w:b/>
          <w:bCs/>
          <w:sz w:val="24"/>
          <w:szCs w:val="20"/>
          <w:lang w:eastAsia="ru-RU"/>
        </w:rPr>
        <w:t>Сотников Максим Александрович</w:t>
      </w:r>
    </w:p>
    <w:p w:rsidR="00517711" w:rsidRDefault="00F815BE">
      <w:pPr>
        <w:spacing w:line="240" w:lineRule="auto"/>
        <w:jc w:val="center"/>
        <w:rPr>
          <w:rFonts w:ascii="Arial" w:eastAsia="Calibri" w:hAnsi="Arial"/>
          <w:bCs/>
          <w:sz w:val="24"/>
          <w:szCs w:val="20"/>
          <w:lang w:eastAsia="ru-RU"/>
        </w:rPr>
      </w:pPr>
      <w:r>
        <w:rPr>
          <w:rFonts w:ascii="Arial" w:eastAsia="Calibri" w:hAnsi="Arial"/>
          <w:bCs/>
          <w:sz w:val="24"/>
          <w:szCs w:val="20"/>
          <w:lang w:eastAsia="ru-RU"/>
        </w:rPr>
        <w:t>БПЮП 14-01 группы, 4 курса Институт права</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spacing w:after="0" w:line="240" w:lineRule="auto"/>
        <w:jc w:val="center"/>
        <w:rPr>
          <w:rFonts w:ascii="Times New Roman" w:hAnsi="Times New Roman"/>
          <w:color w:val="000000"/>
          <w:sz w:val="20"/>
          <w:szCs w:val="20"/>
        </w:rPr>
      </w:pPr>
      <w:r>
        <w:rPr>
          <w:rFonts w:ascii="Times New Roman" w:hAnsi="Times New Roman"/>
          <w:color w:val="000000" w:themeColor="text1"/>
          <w:sz w:val="20"/>
          <w:szCs w:val="20"/>
          <w:lang w:val="en-US"/>
        </w:rPr>
        <w:t>E</w:t>
      </w:r>
      <w:r>
        <w:rPr>
          <w:rFonts w:ascii="Times New Roman" w:hAnsi="Times New Roman"/>
          <w:color w:val="000000" w:themeColor="text1"/>
          <w:sz w:val="20"/>
          <w:szCs w:val="20"/>
        </w:rPr>
        <w:t>-</w:t>
      </w:r>
      <w:r>
        <w:rPr>
          <w:rFonts w:ascii="Times New Roman" w:hAnsi="Times New Roman"/>
          <w:color w:val="000000" w:themeColor="text1"/>
          <w:sz w:val="20"/>
          <w:szCs w:val="20"/>
          <w:lang w:val="en-US"/>
        </w:rPr>
        <w:t>mail</w:t>
      </w:r>
      <w:r>
        <w:rPr>
          <w:rFonts w:ascii="Times New Roman" w:hAnsi="Times New Roman"/>
          <w:color w:val="000000" w:themeColor="text1"/>
          <w:sz w:val="20"/>
          <w:szCs w:val="20"/>
        </w:rPr>
        <w:t xml:space="preserve">: </w:t>
      </w:r>
      <w:hyperlink r:id="rId205" w:history="1">
        <w:r>
          <w:rPr>
            <w:rStyle w:val="aa"/>
            <w:color w:val="000000" w:themeColor="text1"/>
            <w:sz w:val="20"/>
            <w:szCs w:val="20"/>
            <w:lang w:val="en-US"/>
          </w:rPr>
          <w:t>amur</w:t>
        </w:r>
        <w:r>
          <w:rPr>
            <w:rStyle w:val="aa"/>
            <w:color w:val="000000" w:themeColor="text1"/>
            <w:sz w:val="20"/>
            <w:szCs w:val="20"/>
          </w:rPr>
          <w:t>_</w:t>
        </w:r>
        <w:r>
          <w:rPr>
            <w:rStyle w:val="aa"/>
            <w:color w:val="000000" w:themeColor="text1"/>
            <w:sz w:val="20"/>
            <w:szCs w:val="20"/>
            <w:lang w:val="en-US"/>
          </w:rPr>
          <w:t>vl</w:t>
        </w:r>
        <w:r>
          <w:rPr>
            <w:rStyle w:val="aa"/>
            <w:color w:val="000000" w:themeColor="text1"/>
            <w:sz w:val="20"/>
            <w:szCs w:val="20"/>
          </w:rPr>
          <w:t>@</w:t>
        </w:r>
        <w:r>
          <w:rPr>
            <w:rStyle w:val="aa"/>
            <w:color w:val="000000" w:themeColor="text1"/>
            <w:sz w:val="20"/>
            <w:szCs w:val="20"/>
            <w:lang w:val="en-US"/>
          </w:rPr>
          <w:t>mail</w:t>
        </w:r>
        <w:r>
          <w:rPr>
            <w:rStyle w:val="aa"/>
            <w:color w:val="000000" w:themeColor="text1"/>
            <w:sz w:val="20"/>
            <w:szCs w:val="20"/>
          </w:rPr>
          <w:t>.</w:t>
        </w:r>
        <w:r>
          <w:rPr>
            <w:rStyle w:val="aa"/>
            <w:color w:val="000000" w:themeColor="text1"/>
            <w:sz w:val="20"/>
            <w:szCs w:val="20"/>
            <w:lang w:val="en-US"/>
          </w:rPr>
          <w:t>ru</w:t>
        </w:r>
      </w:hyperlink>
      <w:r>
        <w:rPr>
          <w:rFonts w:ascii="Times New Roman" w:hAnsi="Times New Roman"/>
          <w:color w:val="000000" w:themeColor="text1"/>
          <w:sz w:val="20"/>
          <w:szCs w:val="20"/>
        </w:rPr>
        <w:t>; тел.: +79242372800</w:t>
      </w:r>
    </w:p>
    <w:p w:rsidR="00517711" w:rsidRDefault="00F815BE">
      <w:pPr>
        <w:spacing w:line="240" w:lineRule="auto"/>
        <w:jc w:val="center"/>
        <w:rPr>
          <w:rFonts w:ascii="Times New Roman" w:hAnsi="Times New Roman"/>
          <w:color w:val="000000"/>
          <w:sz w:val="20"/>
          <w:szCs w:val="20"/>
        </w:rPr>
      </w:pPr>
      <w:r>
        <w:rPr>
          <w:rFonts w:ascii="Times New Roman" w:hAnsi="Times New Roman"/>
          <w:color w:val="000000" w:themeColor="text1"/>
          <w:sz w:val="20"/>
          <w:szCs w:val="20"/>
        </w:rPr>
        <w:t>ул. Гоголя, 41, г. Владивосток, Приморский край, Россия, 690014</w:t>
      </w:r>
    </w:p>
    <w:p w:rsidR="00517711" w:rsidRDefault="00F815BE">
      <w:pPr>
        <w:spacing w:after="0" w:line="240" w:lineRule="auto"/>
        <w:ind w:firstLine="709"/>
        <w:jc w:val="both"/>
        <w:rPr>
          <w:rFonts w:ascii="Times New Roman" w:hAnsi="Times New Roman"/>
          <w:i/>
          <w:szCs w:val="24"/>
        </w:rPr>
      </w:pPr>
      <w:r>
        <w:rPr>
          <w:rFonts w:ascii="Times New Roman" w:hAnsi="Times New Roman"/>
          <w:i/>
        </w:rPr>
        <w:t xml:space="preserve">В настоящее время демократические принципы уголовного процесса: гласность, состязательность, устность являются его основой. Особая роль в системе обеспечения демократических принципов уголовного процесса отводится институту суда присяжных заседателей. </w:t>
      </w:r>
      <w:r>
        <w:rPr>
          <w:rFonts w:ascii="Times New Roman" w:hAnsi="Times New Roman"/>
          <w:i/>
          <w:szCs w:val="24"/>
        </w:rPr>
        <w:t>Для совершенствования института суда присяжных заседателей в Российской Федерации необходимо постоянно изучать судебные системы развитых стран, брать всё передовое, приемлемое для нашего общества и внедрять в законодательном порядке.</w:t>
      </w:r>
    </w:p>
    <w:p w:rsidR="00517711" w:rsidRDefault="00F815BE">
      <w:pPr>
        <w:spacing w:line="240" w:lineRule="auto"/>
        <w:ind w:firstLine="709"/>
        <w:jc w:val="both"/>
        <w:rPr>
          <w:rFonts w:ascii="Times New Roman" w:hAnsi="Times New Roman"/>
          <w:i/>
        </w:rPr>
      </w:pPr>
      <w:r>
        <w:rPr>
          <w:rFonts w:ascii="Times New Roman" w:hAnsi="Times New Roman"/>
          <w:b/>
          <w:i/>
        </w:rPr>
        <w:t xml:space="preserve">Ключевые слова и словосочетания: </w:t>
      </w:r>
      <w:r>
        <w:rPr>
          <w:rFonts w:ascii="Times New Roman" w:hAnsi="Times New Roman"/>
          <w:i/>
        </w:rPr>
        <w:t>суд присяжных заседателей, гласность, демократические принципы, состязательность, международный опыт, зарубежные судебные системы.</w:t>
      </w:r>
    </w:p>
    <w:p w:rsidR="00517711" w:rsidRDefault="00F815BE">
      <w:pPr>
        <w:keepNext/>
        <w:spacing w:before="240" w:after="240" w:line="240" w:lineRule="auto"/>
        <w:jc w:val="center"/>
        <w:outlineLvl w:val="0"/>
        <w:rPr>
          <w:rFonts w:ascii="Book Antiqua" w:hAnsi="Book Antiqua"/>
          <w:b/>
          <w:bCs/>
          <w:caps/>
          <w:sz w:val="26"/>
          <w:szCs w:val="26"/>
          <w:lang w:val="en-US"/>
        </w:rPr>
      </w:pPr>
      <w:r>
        <w:rPr>
          <w:rFonts w:ascii="Book Antiqua" w:hAnsi="Book Antiqua"/>
          <w:b/>
          <w:bCs/>
          <w:caps/>
          <w:sz w:val="26"/>
          <w:szCs w:val="26"/>
          <w:lang w:val="en-US"/>
        </w:rPr>
        <w:t>Legal regulation of the jury trial in the Russian Federation and foreign countries: a comparative legal aspect</w:t>
      </w:r>
    </w:p>
    <w:p w:rsidR="00517711" w:rsidRDefault="00F815BE">
      <w:pPr>
        <w:spacing w:after="0" w:line="240" w:lineRule="auto"/>
        <w:ind w:firstLine="709"/>
        <w:jc w:val="both"/>
        <w:rPr>
          <w:rFonts w:ascii="Times New Roman" w:hAnsi="Times New Roman"/>
          <w:i/>
          <w:lang w:val="en-US"/>
        </w:rPr>
      </w:pPr>
      <w:r>
        <w:rPr>
          <w:rFonts w:ascii="Times New Roman" w:hAnsi="Times New Roman"/>
          <w:i/>
          <w:lang w:val="en-US"/>
        </w:rPr>
        <w:t>At present, the democratic principles of the criminal process: publicity, adversariality, oralism are the basis of the criminal process. A special role in the system of ensuring democratic principles of the criminal process is assigned to the institution of the jury. To improve the institution of the jury in the Russian Federation, it is necessary to constantly study the judicial systems of developed countries, take all the best, acceptable to our society and implement it in legislation.</w:t>
      </w:r>
    </w:p>
    <w:p w:rsidR="00517711" w:rsidRDefault="00F815BE">
      <w:pPr>
        <w:spacing w:after="0" w:line="240" w:lineRule="auto"/>
        <w:ind w:firstLine="709"/>
        <w:jc w:val="both"/>
        <w:rPr>
          <w:rFonts w:ascii="Times New Roman" w:hAnsi="Times New Roman"/>
          <w:i/>
          <w:lang w:val="en-US"/>
        </w:rPr>
      </w:pPr>
      <w:r>
        <w:rPr>
          <w:rFonts w:ascii="Times New Roman" w:hAnsi="Times New Roman"/>
          <w:b/>
          <w:i/>
          <w:lang w:val="en-US"/>
        </w:rPr>
        <w:t>Key words:</w:t>
      </w:r>
      <w:r>
        <w:rPr>
          <w:rFonts w:ascii="Times New Roman" w:hAnsi="Times New Roman"/>
          <w:i/>
          <w:lang w:val="en-US"/>
        </w:rPr>
        <w:t xml:space="preserve"> jury trial, publicity, democratic principles, competitiveness, international experience, foreign judicial systems.</w:t>
      </w:r>
    </w:p>
    <w:p w:rsidR="00517711" w:rsidRDefault="00517711">
      <w:pPr>
        <w:spacing w:after="0" w:line="240" w:lineRule="auto"/>
        <w:ind w:firstLine="709"/>
        <w:jc w:val="both"/>
        <w:rPr>
          <w:rFonts w:ascii="Times New Roman" w:hAnsi="Times New Roman"/>
          <w:i/>
          <w:sz w:val="20"/>
          <w:szCs w:val="24"/>
          <w:lang w:val="en-US"/>
        </w:rPr>
      </w:pP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Актуальность данной темы обусловлена возрождением в Российской Федерации института суда присяжных заседателей, который является, по сути, единственной формой отправления правосудия, совершаемой самим народом. Возрождение института суда присяжных заседателей в нашей стране было </w:t>
      </w:r>
      <w:r>
        <w:rPr>
          <w:rFonts w:ascii="Times New Roman" w:hAnsi="Times New Roman"/>
          <w:sz w:val="20"/>
          <w:szCs w:val="20"/>
        </w:rPr>
        <w:lastRenderedPageBreak/>
        <w:t>связано с необходимостью выведения института правосудия из-под политического контроля и укрепления состязательности судебных процессов. Наличие суда присяжных является одной из форм отправления правосудия, совершаемой при помощи самого народа, вносит в судебный процесс состязательность, гласность, равноправие сторон.</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Суд присяжных по сравнению с обычной формой судопроизводства обладает большой коллегиальностью и независимостью от узковедомственных соображений, стимулирует состязательность уголовного процесса, способствует уменьшению риска судебных ошибок и злоупотреблений при осуществлении правосудия [1, с. 89].</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Как в царское время, так и в современное, государственная власть озабочена необходимостью расширения репрессий. На оправдательный приговор в делах, где имеется интерес государства (публичные и частно-публичные дела), не приходится полагаться. Такие приговоры в большей степени были бы возможны в суде присяжных.</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Ежегодно из 1 миллиона подсудимых перед судом присяжных предстают 590-600 человек (0.06%). При этом в других странах из всех дел, направленных в суды, присяжными заседателями рассматривается в США - 4% дел, в Великобритании - 2%, Австрии - 2%, Франции - до 1% [2]. Это весьма существенное различие.</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Экспертным сообществом постоянно обсуждается необходимость реформирования суда присяжных. В настоящее время претворяется в жизнь интересная и спорная идея – формирование коллегии присяжных заседателей не только в областных, но и в районных судах для рассмотрения тяжких и особо тяжких преступлений. Законопроект предлагает с введением суда присяжных на уровне субъектов РФ сократить его численность с 12 до 8 человек, а на уровне районов муниципалитета – до 6 человек.</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Проблемами, существующими в современном суде присяжных заседателей, являются сложности при формировании коллегий суда присяжных, большие денежные расходы бюджета, затягивание сроков рассмотрения дел, отмена вердиктов присяжных вышестоящим судом. Нередко присяжным сложно получить адекватное представление об обстоятельствах дела. Но если ввести</w:t>
      </w:r>
      <w:r>
        <w:rPr>
          <w:sz w:val="20"/>
          <w:szCs w:val="20"/>
        </w:rPr>
        <w:t xml:space="preserve"> </w:t>
      </w:r>
      <w:r>
        <w:rPr>
          <w:rFonts w:ascii="Times New Roman" w:hAnsi="Times New Roman"/>
          <w:sz w:val="20"/>
          <w:szCs w:val="20"/>
        </w:rPr>
        <w:t>рассмотрение их совместно с профессиональным судьёй, возможно манипулирование присяжными за счёт доверия, как непреднамеренно, так и умышленно.</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Названные обстоятельства вызывают необходимость обращения к правовым основам суда присяжных заседателей современных зарубежных стран, их изучение для применения передового опыта в российском законодательстве, что и составляют научную новизну исследования.</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Целью данной статьи является исследование правового регулирования института суда присяжных в современных зарубежных странах и сопоставление с соответствующим регулированием института суда присяжных заседателей РФ.</w:t>
      </w:r>
    </w:p>
    <w:p w:rsidR="00517711" w:rsidRDefault="00F815BE">
      <w:pPr>
        <w:spacing w:after="0" w:line="240" w:lineRule="auto"/>
        <w:ind w:firstLine="720"/>
        <w:jc w:val="both"/>
        <w:rPr>
          <w:rFonts w:ascii="Times New Roman" w:hAnsi="Times New Roman"/>
          <w:sz w:val="20"/>
          <w:szCs w:val="20"/>
        </w:rPr>
      </w:pPr>
      <w:r>
        <w:rPr>
          <w:rFonts w:ascii="Times New Roman" w:hAnsi="Times New Roman"/>
          <w:sz w:val="20"/>
          <w:szCs w:val="20"/>
        </w:rPr>
        <w:t>Исходя из поставленной цели, необходимо решить следующие задачи: охарактеризовать правовое регулирование института суда присяжных в современных зарубежных государствах и возможность их применения в законодательстве Российской Федерации. В качестве методов исследования применялись сравнительно-правовой и формально-логический метод.</w:t>
      </w:r>
    </w:p>
    <w:p w:rsidR="00517711" w:rsidRDefault="00F815BE">
      <w:pPr>
        <w:spacing w:after="0" w:line="240" w:lineRule="auto"/>
        <w:ind w:firstLine="720"/>
        <w:jc w:val="both"/>
        <w:rPr>
          <w:rFonts w:ascii="Times New Roman" w:hAnsi="Times New Roman"/>
          <w:sz w:val="20"/>
          <w:szCs w:val="20"/>
        </w:rPr>
      </w:pPr>
      <w:r>
        <w:rPr>
          <w:rFonts w:ascii="Times New Roman" w:hAnsi="Times New Roman"/>
          <w:sz w:val="20"/>
          <w:szCs w:val="20"/>
        </w:rPr>
        <w:t xml:space="preserve">Суды присяжных заседателей возникли ещё в средние века в Англии в соответствии с  Кларендонской ассизой 1166 года Генриха </w:t>
      </w:r>
      <w:r>
        <w:rPr>
          <w:rFonts w:ascii="Times New Roman" w:hAnsi="Times New Roman"/>
          <w:sz w:val="20"/>
          <w:szCs w:val="20"/>
          <w:lang w:val="en-US"/>
        </w:rPr>
        <w:t>II</w:t>
      </w:r>
      <w:r>
        <w:rPr>
          <w:rFonts w:ascii="Times New Roman" w:hAnsi="Times New Roman"/>
          <w:sz w:val="20"/>
          <w:szCs w:val="20"/>
        </w:rPr>
        <w:t xml:space="preserve"> Плантагенета. В основу данного института отправления правосудия положен принцип политического равенства судьи и подсудимого. Эта модель принесоа состязательность в уголовный процесс, обеспечила определённый контроль общества над ним. Позднее эта модель судопроизводства была перенесена в США. И хотя там она приобрела свои самобытные черты, сходство характерных признаков позволяет называть её англо-американской моделью судопроизводства с участием суда присяжных. Английский суд присяжных состоит из 2 коллегий: 1) коронные судьи, которые решают вопрос права; 2) присяжные заседатели от 6 до 12 человек, решающие вопросы факта.</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По английскому законодательству вердикт присяжных заседателей является основанием для вынесения приговора. Но если присяжные не учли в вердикте указаний председательствующего, то последний имеет право вернуть их в совещательную комнату для вынесения уточнения в вопросный лист. Подобное требование существует и в ст. 345 УПК РФ.</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 США суд, который формировался по англо-американской правовой системе, состоит из 2 коллегий. Коренные судьи решают вопросы права, присяжные заседатель – вопросы факта. В разных штатах количество присяжных заседателей регулируется законодательством данного штата от 12 до 6 человек [3, с. 35].</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Некоторые зарубежные страны уменьшают численный состав присяжных заседателей, считая, что меньшая группа более эффективна в вынесении вердикта. Однако исследования показывают, что уменьшение числа присяжных увеличивает вероятность оправдания виновного более чем вдвое – от 6,15% до 13,95%. Вероятность осуждения невиновного также увеличивается наполовину – от 2,21% до 3,25% [3, с. 36].</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 американском процессе суду присяжных заседателей подсудны все дела, за которые назначается срок наказания свыше 6-ти месяцев лишения свободы. Судебное разбирательство строится на основе состязательности. Обвинительная речь и прения сторон не выделяются, затем исследуются доказательства.</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Для доступности судебного процесса для присяжных заседателей во вступительных речах стороны чётко обозначают свои цели. Прямым и перекрёстным допросами детально обозначают все факты. Повторными допросами устраняют все противоречия.</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Соединение судебного следствия и прение сторон в единую стадию судебного процесса позволяет присяжным лучше понять доказательство дела.</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lastRenderedPageBreak/>
        <w:t>Присяжные заседатели должны единогласно вынести приговор, иначе коллегия распускается, и дело слушается вновь.</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Англо-американская модель судопроизводства максимально соответствует суду присяжных заседателей и ее положительный опыт может быть использован в реформировании судебной системы Российской Федерации.</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Правовая система Франции относится к романо-германской правовой семье. Решающая роль в ней отводится законодательным и правовым актам, а не судебной практике. Суд состоит из 3 магистратов и 9 присяжных заседателей и рассматривает дела о тяжких преступлениях. Вердикты суда присяжных заседателей обжалованию не подлежат.</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 отличие от англо-американской системы континентальная модель не устанавливает чёткое деление обстоятельств на исследуемые с участием и без участия присяжных. Вследствие этого она приобрела следующие особенности. Во-первых, хотя присяжные и не наделяются правом разрешения гражданского иска, обстоятельства причинённого ущерба, все доказательства исследуются до вынесения вердикта присяжными заседателями. Гражданский истец имеет право представлять доказательства в ходе судебного следствия, участвовать в допросах с разрешения коронного судьи. Во-вторых, пределы судебного следствия гораздо шире, чем у англо-американской модели. Эта особенность обусловлена следующими обстоятельствами: а) влияние относимости доказательств, нет жёстких правил; б) сильное воздействие оказывает розыскное начало, неограниченное судебно следствие.</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 отличие от англо-американской модели, континентальная модель суда присяжных не приемлет признание подсудимым своей вины, отказа прокурора от обвинения. Но французский суд не имеет разделения коронных судей и присяжных заседателей.</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Законодательство ставит стороны состязания в неравное положение защитника по сравнению с обвинителем, который имеет статус главной стороны. Прокурор в этом случае является и обвинителем, и органом надзора за законностью. Такой порядок способствует возникновению предубеждения у присяжных заседателей и вынесению ошибочного вердикта.</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 Австрии суд присяжных рассматривает в составе 3 профессиональных судей и 8 присяжных заседателей. Председательствующий при длительном процессе может привлекать до 2 запасных судей и 4 запасных заседателей [4, с. 1570]. При рассмотрении дел по осуждению несовершеннолетних в состав суда привлекаются 4 присяжных заседателя – сотрудники опеки по делам несовершеннолетних, учителя или воспитатели. Не менее 2 из них должны быть одного пола с обвиняемым.</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 качестве присяжных заседателей не могут привлекаться адвокаты, священнослужители, члены правительства, дантисты, врачи, аптекари, лица, занятые на работе не менее 5 дней в неделю. Это положение с одной стороны облегчает вызов присяжных, с другой – нарушается право граждан участвовать в свободном волеизъявлении.</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Председательствующему даны широкие дискреционные полномочия: он имеет право вызывать и допрашивать новых свидетелей, назначать экспертизу, требовать иные доказательства.</w:t>
      </w:r>
      <w:r>
        <w:rPr>
          <w:sz w:val="20"/>
          <w:szCs w:val="20"/>
        </w:rPr>
        <w:t xml:space="preserve"> </w:t>
      </w:r>
      <w:r>
        <w:rPr>
          <w:rFonts w:ascii="Times New Roman" w:hAnsi="Times New Roman"/>
          <w:sz w:val="20"/>
          <w:szCs w:val="20"/>
        </w:rPr>
        <w:t>Судебное заседание в отличие от российского порядка начинается с того, что оглашается обвинительный акт председательствующим или членами суда.</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Председательствующий первым преступает к допросу подсудимого. И в отличие от правил в российском процессе, председательствующий первым допрашивает свидетеля. Присяжные заседатели имеют право задавать вопросы любым лицам, которые допрашиваются в судебном следствии. Они могут потребовать предъявить доказательства, провести очную ставку. Преимущество австрийского порядка судебного следствия суда присяжных перед российскими – это большое преимущество в объёме прав председательствующего и присяжных заседателей. Но с другой стороны в российской процедуре больше состязательности. В российском суде присяжных в отличие от австрийского постановка вопросов присяжным осуществляется после прений сторон и последнего слова подсудимого. Постановка вопросов присяжным заседателям отличается тем, что они задаются по ходу совершения процессуальных действий. После подписания вопросов они оглашаются в зале суда, иначе процессуальные действия незаконны. В российском суде предполагается первоначальное обсуждение проекта вопросов и последующее утверждение вопросного листа председательствующим.</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Российскому порядку производства в суде присяжных заседателей присущи многие элементы этой модели: разделение судебного следствия и прений, структура вопросного листа.</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Отдельные элементы австрийской модели, такие как проверка вердикта совместно со сторонами, расширенные полномочия присяжных и другие достойны для изучения и использования в российском делопроизводстве суда присяжных.</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 Японии для рассмотрения уголовных дел создается смешанное жюри из профессиональных судей и граждан по европейскому образцу. По закону обвиняемый не может отказаться от рассмотрении его дела судом присяжных.</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Жюри состоит из 3 профессиональных судей и 6 народных заседателей. При признании обвиняемым своей вины в содеянном преступлении, жюри состоит из 1 профессионального судьи и 4 народных заседателей.</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 осуществлении правосудия Япония идёт своим путём, максимально расширяя участие граждан в уголовном процессе. Использует в осуществлении правосудия элементы, как англо-саксонского суда присяжных, так и суда шефферов.</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lastRenderedPageBreak/>
        <w:t>Изучив и обобщив изложенные в работе материалы о континентальной модели судебного следствия в суде присяжных, отмечен целый ряд свойств, присущих ей, которые не соответствуют сущности традиционного суда присяжных. Только некоторые из признаков после определённой адаптации могут быть использованы в судебном процессе Российской Федерации.</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Англо-американская модель судопроизводства наоборот основана на процессуальных правилах, максимально соответствующих сущности института суда присяжных. Поэтому многие её особенности могут быть задействованы в российской модели судопроизводства в суде присяжных заседателей.</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Обращение к правовым основам суда присяжных заседателей современных зарубежных государств, изучение его передового опыта и внедрение его в наше законодательство поможет в совершенствовании института суда присяжных заседателей Российской Федерации.</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__________________________________________________________________________</w:t>
      </w:r>
    </w:p>
    <w:p w:rsidR="00517711" w:rsidRDefault="00F815BE">
      <w:pPr>
        <w:spacing w:after="0" w:line="240" w:lineRule="auto"/>
        <w:ind w:firstLine="284"/>
        <w:jc w:val="both"/>
        <w:rPr>
          <w:rFonts w:ascii="Times New Roman" w:hAnsi="Times New Roman"/>
          <w:sz w:val="20"/>
          <w:szCs w:val="20"/>
        </w:rPr>
      </w:pPr>
      <w:r>
        <w:rPr>
          <w:rFonts w:ascii="Times New Roman" w:hAnsi="Times New Roman"/>
          <w:sz w:val="20"/>
          <w:szCs w:val="20"/>
        </w:rPr>
        <w:t>1. Горян Э.В., Нетрусов Ю.Ю. Представление интересов государства в Международном суде ООН: процессуальные аспекты / Э.В. Горян, Ю.Ю. Нетрусов // Международное право. - 2015. - №4. - С.87-102.</w:t>
      </w:r>
    </w:p>
    <w:p w:rsidR="00517711" w:rsidRDefault="00F815BE">
      <w:pPr>
        <w:spacing w:after="0" w:line="240" w:lineRule="auto"/>
        <w:ind w:firstLine="284"/>
        <w:jc w:val="both"/>
        <w:rPr>
          <w:rFonts w:ascii="Times New Roman" w:hAnsi="Times New Roman"/>
          <w:sz w:val="20"/>
          <w:szCs w:val="20"/>
        </w:rPr>
      </w:pPr>
      <w:r>
        <w:rPr>
          <w:rFonts w:ascii="Times New Roman" w:hAnsi="Times New Roman"/>
          <w:sz w:val="20"/>
          <w:szCs w:val="20"/>
        </w:rPr>
        <w:t xml:space="preserve">2. Митин А.А. Судебная статистика за 2015 год. Рассмотрение уголовных дел по первой инстанции / А.А. Митин // [Электронный ресурс]. – Режим доступа: </w:t>
      </w:r>
      <w:hyperlink r:id="rId206" w:history="1">
        <w:r>
          <w:rPr>
            <w:rFonts w:ascii="Times New Roman" w:hAnsi="Times New Roman"/>
            <w:sz w:val="20"/>
            <w:szCs w:val="20"/>
          </w:rPr>
          <w:t>https://pravorub.ru/articles/71396.html</w:t>
        </w:r>
      </w:hyperlink>
      <w:r>
        <w:rPr>
          <w:rFonts w:ascii="Times New Roman" w:hAnsi="Times New Roman"/>
          <w:sz w:val="20"/>
          <w:szCs w:val="20"/>
        </w:rPr>
        <w:t>.</w:t>
      </w:r>
    </w:p>
    <w:p w:rsidR="00517711" w:rsidRDefault="00F815BE">
      <w:pPr>
        <w:spacing w:after="0" w:line="240" w:lineRule="auto"/>
        <w:ind w:firstLine="284"/>
        <w:jc w:val="both"/>
        <w:rPr>
          <w:rFonts w:ascii="Times New Roman" w:hAnsi="Times New Roman"/>
          <w:sz w:val="20"/>
          <w:szCs w:val="20"/>
        </w:rPr>
      </w:pPr>
      <w:r>
        <w:rPr>
          <w:rFonts w:ascii="Times New Roman" w:hAnsi="Times New Roman"/>
          <w:sz w:val="20"/>
          <w:szCs w:val="20"/>
        </w:rPr>
        <w:t>3. Коломенская С. Состав и численность коллегии присяжных заседателей в США / С. Коломенская // Российская юстиция. – 2007. - №9. - С. 35-37.</w:t>
      </w:r>
    </w:p>
    <w:p w:rsidR="00517711" w:rsidRDefault="00F815BE">
      <w:pPr>
        <w:spacing w:after="0" w:line="240" w:lineRule="auto"/>
        <w:ind w:firstLine="284"/>
        <w:jc w:val="both"/>
        <w:rPr>
          <w:rFonts w:ascii="Times New Roman" w:hAnsi="Times New Roman"/>
          <w:sz w:val="20"/>
          <w:szCs w:val="20"/>
        </w:rPr>
      </w:pPr>
      <w:r>
        <w:rPr>
          <w:rFonts w:ascii="Times New Roman" w:hAnsi="Times New Roman"/>
          <w:sz w:val="20"/>
          <w:szCs w:val="20"/>
        </w:rPr>
        <w:t>4. Насонов С.А. Континентальная модель производства в суде присяжных: генезис и особенности процедуры / С.А. Насонов // Право и политика. – 2015. - №11. - С. 1567-1572.</w:t>
      </w:r>
    </w:p>
    <w:p w:rsidR="00517711" w:rsidRDefault="00517711">
      <w:pPr>
        <w:rPr>
          <w:rFonts w:ascii="Book Antiqua" w:hAnsi="Book Antiqua"/>
          <w:b/>
          <w:bCs/>
          <w:sz w:val="24"/>
          <w:szCs w:val="20"/>
          <w:lang w:eastAsia="ru-RU"/>
        </w:rPr>
      </w:pPr>
    </w:p>
    <w:p w:rsidR="00517711" w:rsidRDefault="00F815BE">
      <w:pPr>
        <w:keepNext/>
        <w:pageBreakBefore/>
        <w:spacing w:after="240" w:line="240" w:lineRule="auto"/>
        <w:jc w:val="center"/>
        <w:outlineLvl w:val="0"/>
        <w:rPr>
          <w:rFonts w:ascii="Book Antiqua" w:hAnsi="Book Antiqua"/>
          <w:b/>
          <w:bCs/>
          <w:caps/>
          <w:sz w:val="24"/>
          <w:szCs w:val="20"/>
          <w:lang w:eastAsia="ru-RU"/>
        </w:rPr>
      </w:pPr>
      <w:r>
        <w:rPr>
          <w:rFonts w:ascii="Book Antiqua" w:hAnsi="Book Antiqua"/>
          <w:b/>
          <w:bCs/>
          <w:sz w:val="24"/>
          <w:szCs w:val="20"/>
          <w:lang w:eastAsia="ru-RU"/>
        </w:rPr>
        <w:lastRenderedPageBreak/>
        <w:t>Секция</w:t>
      </w:r>
      <w:r>
        <w:rPr>
          <w:rFonts w:ascii="Book Antiqua" w:hAnsi="Book Antiqua"/>
          <w:b/>
          <w:bCs/>
          <w:caps/>
          <w:sz w:val="24"/>
          <w:szCs w:val="20"/>
          <w:lang w:eastAsia="ru-RU"/>
        </w:rPr>
        <w:t>. Международные отношения и приграничное сотрудничество в АТР, опыт, проблемы и перспективы развития</w:t>
      </w: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Международное право</w:t>
      </w:r>
    </w:p>
    <w:p w:rsidR="00517711" w:rsidRDefault="00F815BE">
      <w:pPr>
        <w:spacing w:after="0" w:line="240" w:lineRule="auto"/>
        <w:jc w:val="both"/>
        <w:rPr>
          <w:rFonts w:ascii="Times New Roman" w:eastAsia="Calibri" w:hAnsi="Times New Roman"/>
          <w:sz w:val="20"/>
          <w:szCs w:val="20"/>
        </w:rPr>
      </w:pPr>
      <w:r>
        <w:rPr>
          <w:rFonts w:ascii="Times New Roman" w:eastAsia="Calibri" w:hAnsi="Times New Roman"/>
          <w:sz w:val="20"/>
          <w:szCs w:val="20"/>
        </w:rPr>
        <w:t>УДК 34.096</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Основания и предпосылки признания Россией народа айну коренным малочисленным народом</w:t>
      </w:r>
    </w:p>
    <w:p w:rsidR="00517711" w:rsidRDefault="00F815BE">
      <w:pPr>
        <w:spacing w:after="0" w:line="240" w:lineRule="auto"/>
        <w:jc w:val="center"/>
        <w:rPr>
          <w:rFonts w:ascii="Arial" w:eastAsia="Calibri" w:hAnsi="Arial"/>
          <w:b/>
          <w:bCs/>
          <w:sz w:val="24"/>
          <w:szCs w:val="20"/>
          <w:lang w:eastAsia="ru-RU"/>
        </w:rPr>
      </w:pPr>
      <w:r>
        <w:rPr>
          <w:rFonts w:ascii="Arial" w:eastAsia="Calibri" w:hAnsi="Arial"/>
          <w:b/>
          <w:bCs/>
          <w:sz w:val="24"/>
          <w:szCs w:val="20"/>
          <w:lang w:eastAsia="ru-RU"/>
        </w:rPr>
        <w:t xml:space="preserve">Гайнудинов Роман Александрович, </w:t>
      </w:r>
    </w:p>
    <w:p w:rsidR="00517711" w:rsidRDefault="00F815BE">
      <w:pPr>
        <w:spacing w:line="240" w:lineRule="auto"/>
        <w:jc w:val="center"/>
        <w:rPr>
          <w:rFonts w:ascii="Arial" w:eastAsia="Calibri" w:hAnsi="Arial"/>
          <w:bCs/>
          <w:sz w:val="24"/>
          <w:szCs w:val="20"/>
          <w:lang w:eastAsia="ru-RU"/>
        </w:rPr>
      </w:pPr>
      <w:r>
        <w:rPr>
          <w:rFonts w:ascii="Arial" w:eastAsia="Calibri" w:hAnsi="Arial"/>
          <w:bCs/>
          <w:sz w:val="24"/>
          <w:szCs w:val="20"/>
          <w:lang w:eastAsia="ru-RU"/>
        </w:rPr>
        <w:t>бакалавр, Институт Права</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spacing w:after="0" w:line="240" w:lineRule="auto"/>
        <w:jc w:val="center"/>
        <w:rPr>
          <w:rFonts w:ascii="Times New Roman" w:hAnsi="Times New Roman"/>
          <w:sz w:val="20"/>
          <w:szCs w:val="24"/>
        </w:rPr>
      </w:pPr>
      <w:r>
        <w:rPr>
          <w:rFonts w:ascii="Times New Roman" w:hAnsi="Times New Roman"/>
          <w:sz w:val="20"/>
          <w:szCs w:val="24"/>
          <w:lang w:val="en-US"/>
        </w:rPr>
        <w:t>E</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 xml:space="preserve">: </w:t>
      </w:r>
      <w:r>
        <w:rPr>
          <w:rFonts w:ascii="Times New Roman" w:hAnsi="Times New Roman"/>
          <w:sz w:val="20"/>
          <w:szCs w:val="24"/>
          <w:lang w:val="en-US"/>
        </w:rPr>
        <w:t>kamikadze</w:t>
      </w:r>
      <w:r>
        <w:rPr>
          <w:rFonts w:ascii="Times New Roman" w:hAnsi="Times New Roman"/>
          <w:sz w:val="20"/>
          <w:szCs w:val="24"/>
        </w:rPr>
        <w:t>-</w:t>
      </w:r>
      <w:r>
        <w:rPr>
          <w:rFonts w:ascii="Times New Roman" w:hAnsi="Times New Roman"/>
          <w:sz w:val="20"/>
          <w:szCs w:val="24"/>
          <w:lang w:val="en-US"/>
        </w:rPr>
        <w:t>roman</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w:t>
      </w:r>
      <w:r>
        <w:rPr>
          <w:rFonts w:ascii="Times New Roman" w:hAnsi="Times New Roman"/>
          <w:sz w:val="20"/>
          <w:szCs w:val="24"/>
          <w:lang w:val="en-US"/>
        </w:rPr>
        <w:t>ru</w:t>
      </w:r>
      <w:r>
        <w:rPr>
          <w:rFonts w:ascii="Times New Roman" w:hAnsi="Times New Roman"/>
          <w:sz w:val="20"/>
          <w:szCs w:val="24"/>
        </w:rPr>
        <w:t>; тел.: +74232404081</w:t>
      </w:r>
    </w:p>
    <w:p w:rsidR="00517711" w:rsidRDefault="00F815BE">
      <w:pPr>
        <w:spacing w:line="240" w:lineRule="auto"/>
        <w:jc w:val="center"/>
        <w:rPr>
          <w:rFonts w:ascii="Times New Roman" w:hAnsi="Times New Roman"/>
          <w:sz w:val="20"/>
          <w:szCs w:val="24"/>
        </w:rPr>
      </w:pPr>
      <w:r>
        <w:rPr>
          <w:rFonts w:ascii="Times New Roman" w:hAnsi="Times New Roman"/>
          <w:sz w:val="20"/>
          <w:szCs w:val="24"/>
        </w:rPr>
        <w:t>Ул. Гоголя, 39а, г. Владивосток, Приморский край, Россия 690014</w:t>
      </w:r>
    </w:p>
    <w:p w:rsidR="00517711" w:rsidRDefault="00F815BE">
      <w:pPr>
        <w:spacing w:after="0" w:line="240" w:lineRule="auto"/>
        <w:ind w:firstLine="708"/>
        <w:jc w:val="both"/>
        <w:rPr>
          <w:rFonts w:ascii="Times New Roman" w:hAnsi="Times New Roman"/>
          <w:i/>
          <w:szCs w:val="24"/>
        </w:rPr>
      </w:pPr>
      <w:r>
        <w:rPr>
          <w:rFonts w:ascii="Times New Roman" w:hAnsi="Times New Roman"/>
          <w:i/>
          <w:szCs w:val="24"/>
        </w:rPr>
        <w:t>В статье анализируются основания и предпосылки признания Россией народа айну коренным малочисленным народом. Описывается краткая этнографическая характеристика народа айну. Раскрывается правовой статус коренных малочисленных народов согласно российскому законодательству. Описывается порядок признания народа айну коренным малочисленным народом согласно российскому законодательству. На основании имеющийся информации проводится анализ на соответствие критериям народа айну коренному малочисленному народу.</w:t>
      </w:r>
    </w:p>
    <w:p w:rsidR="00517711" w:rsidRDefault="00F815BE">
      <w:pPr>
        <w:spacing w:line="240" w:lineRule="auto"/>
        <w:ind w:firstLine="708"/>
        <w:jc w:val="both"/>
        <w:rPr>
          <w:rFonts w:ascii="Times New Roman" w:hAnsi="Times New Roman"/>
          <w:i/>
          <w:szCs w:val="24"/>
        </w:rPr>
      </w:pPr>
      <w:r>
        <w:rPr>
          <w:rFonts w:ascii="Times New Roman" w:hAnsi="Times New Roman"/>
          <w:b/>
          <w:szCs w:val="24"/>
        </w:rPr>
        <w:t xml:space="preserve">Ключевые слова и словосочетания: </w:t>
      </w:r>
      <w:r>
        <w:rPr>
          <w:rFonts w:ascii="Times New Roman" w:hAnsi="Times New Roman"/>
          <w:i/>
          <w:szCs w:val="24"/>
        </w:rPr>
        <w:t>коренные народы, признание народов, национальные меньшинства, народ айну, российское законодательство.</w:t>
      </w:r>
    </w:p>
    <w:p w:rsidR="00517711" w:rsidRDefault="00F815BE">
      <w:pPr>
        <w:keepNext/>
        <w:spacing w:before="240" w:after="240" w:line="240" w:lineRule="auto"/>
        <w:jc w:val="center"/>
        <w:outlineLvl w:val="0"/>
        <w:rPr>
          <w:rFonts w:ascii="Book Antiqua" w:eastAsia="Calibri" w:hAnsi="Book Antiqua"/>
          <w:b/>
          <w:bCs/>
          <w:caps/>
          <w:sz w:val="26"/>
          <w:szCs w:val="20"/>
          <w:lang w:val="en-US"/>
        </w:rPr>
      </w:pPr>
      <w:r>
        <w:rPr>
          <w:rFonts w:ascii="Book Antiqua" w:eastAsia="Calibri" w:hAnsi="Book Antiqua"/>
          <w:b/>
          <w:bCs/>
          <w:caps/>
          <w:sz w:val="26"/>
          <w:szCs w:val="20"/>
          <w:lang w:val="en-US"/>
        </w:rPr>
        <w:t>Grounds and prerequisites of Russia's recognition of the Ainu people as indigenous people</w:t>
      </w:r>
    </w:p>
    <w:p w:rsidR="00517711" w:rsidRDefault="00F815BE">
      <w:pPr>
        <w:spacing w:after="0" w:line="240" w:lineRule="auto"/>
        <w:ind w:firstLine="708"/>
        <w:jc w:val="both"/>
        <w:rPr>
          <w:rFonts w:ascii="Times New Roman" w:hAnsi="Times New Roman"/>
          <w:i/>
          <w:szCs w:val="24"/>
          <w:lang w:val="en-US"/>
        </w:rPr>
      </w:pPr>
      <w:r>
        <w:rPr>
          <w:rFonts w:ascii="Times New Roman" w:hAnsi="Times New Roman"/>
          <w:i/>
          <w:szCs w:val="24"/>
          <w:lang w:val="en-US"/>
        </w:rPr>
        <w:t>The article analyzes the grounds and prerequisites of Russia's recognition of the Ainu people as a small indigenous people. A brief ethnographic description of the Ainu people is described. The legal status of indigenous minorities is disclosed in accordance with Russian legislation. The order of recognition of the Ainu people by indigenous small people is described in accordance with Russian legislation. Based on the available information, an analysis is carried out to ensure that the Ainu people meet the criteria of the indigenous small people.</w:t>
      </w:r>
    </w:p>
    <w:p w:rsidR="00517711" w:rsidRDefault="00F815BE">
      <w:pPr>
        <w:spacing w:line="240" w:lineRule="auto"/>
        <w:ind w:firstLine="708"/>
        <w:jc w:val="both"/>
        <w:rPr>
          <w:rFonts w:ascii="Times New Roman" w:hAnsi="Times New Roman"/>
          <w:szCs w:val="24"/>
          <w:lang w:val="en-US"/>
        </w:rPr>
      </w:pPr>
      <w:r>
        <w:rPr>
          <w:rFonts w:ascii="Times New Roman" w:hAnsi="Times New Roman"/>
          <w:b/>
          <w:szCs w:val="24"/>
          <w:lang w:val="en-US"/>
        </w:rPr>
        <w:t xml:space="preserve">Keywords: </w:t>
      </w:r>
      <w:r>
        <w:rPr>
          <w:rFonts w:ascii="Times New Roman" w:hAnsi="Times New Roman"/>
          <w:i/>
          <w:szCs w:val="24"/>
          <w:lang w:val="en-US"/>
        </w:rPr>
        <w:t>indigenous peoples; recognition of nation, national minorities, Ainu people, Russian legislation.</w:t>
      </w:r>
    </w:p>
    <w:p w:rsidR="00517711" w:rsidRDefault="00F815BE">
      <w:pPr>
        <w:spacing w:after="0" w:line="240" w:lineRule="auto"/>
        <w:ind w:firstLine="708"/>
        <w:jc w:val="both"/>
        <w:rPr>
          <w:rFonts w:ascii="Times New Roman" w:hAnsi="Times New Roman"/>
          <w:sz w:val="20"/>
          <w:szCs w:val="24"/>
        </w:rPr>
      </w:pPr>
      <w:r>
        <w:rPr>
          <w:rFonts w:ascii="Times New Roman" w:hAnsi="Times New Roman"/>
          <w:sz w:val="20"/>
          <w:szCs w:val="24"/>
        </w:rPr>
        <w:t xml:space="preserve">Актуальность темы исследования объясняется следующими факторами. Народ айну является древнейшим населением японских островов. В современном обществе сложилось мнение о том, что Япония населена этническими японцами, и такая точка зрения признается верной. Изучая историю японского государства, можно обратить внимание на то, что это история завоевания различных этнических групп. Япония являлась колониальной державой и, как все колониальные державы, проводила политику дискриминации в отношении народов, которые стали частью Японии. Одним из таких народов стал айну. Вследствие миграции айну поселились в низовьях Амура, на берегах Камчатки, острове Сахалин и Курильских островах. На протяжении полутора тысяч лет народ айну находился в состоянии войны с Японией, итогом которой стало порабощение айну японцами. Результат порабощения не прошел бесследно. Японцы старались подавить волю айнов, всячески унижая их этническое достоинство. Только в XVIII в. правительство Японии решило пересмотреть свою политику в отношении данного народа и начало проводить политику ассимиляции в отношении айну. На территории, где проживали айну, были отправлены специальные комиссии, задачей которых являлось: отмена жестоких законов в отношении айну, постройка школ и больниц, а также приобщение к японским традициям. В июне 2008 года в Японии был принят закон, который признавал народ айну коренными жителями островов, но закрепление за ними прав не произошло. После принятия закона было объявлено о создании экспертной группы для выработки направления государственной политики по улучшению положения айну. В Российской Федерации народ айну не имеет статуса коренного малочисленного народа, что имеет серьезные с международно-правовой точки зрения последствия. В частности, между Российской Федерацией и Японией до сих пор не решен территориальный спор о принадлежности так называемых «северных территорий» - четырех островов Курильской гряды, на которых также проживали </w:t>
      </w:r>
      <w:r>
        <w:rPr>
          <w:rFonts w:ascii="Times New Roman" w:hAnsi="Times New Roman"/>
          <w:sz w:val="20"/>
          <w:szCs w:val="24"/>
        </w:rPr>
        <w:lastRenderedPageBreak/>
        <w:t>проживают айну. Россия всячески отвергает факт территориального спора, ссылаясь на общепризнанные и закрепленные в Уставе ООН итоги Второй мировой войны. Сложность решения курильского спора обуславливается и тем, что в случае передачи Японии островов Итуруп и Кунашира, она будет контролировать пролив Екатерины, а это в свою очередь приведет к тому, что Япония сможет обеспечить беспрепятственный проход военно-морским силам США в данном регионе, а это, в свою очередь, негативно скажется на обороноспособности Российской Федерации. Невольно айну стали участниками территориального спора за Курильские острова, который может остаться нерешенным еще очень долго время. Все вышесказанное и определяет актуальность исследования.</w:t>
      </w:r>
    </w:p>
    <w:p w:rsidR="00517711" w:rsidRDefault="00F815BE">
      <w:pPr>
        <w:spacing w:after="0" w:line="240" w:lineRule="auto"/>
        <w:ind w:firstLine="708"/>
        <w:jc w:val="both"/>
        <w:rPr>
          <w:rFonts w:ascii="Times New Roman" w:hAnsi="Times New Roman"/>
          <w:sz w:val="20"/>
          <w:szCs w:val="24"/>
        </w:rPr>
      </w:pPr>
      <w:r>
        <w:rPr>
          <w:rFonts w:ascii="Times New Roman" w:hAnsi="Times New Roman"/>
          <w:sz w:val="20"/>
          <w:szCs w:val="24"/>
        </w:rPr>
        <w:t>Научную новизну представляет выдвигаемый нами тезис о необходимости скорейшего решения вопроса о признании айну коренных малочисленным народом, что предоставит России возможность использовать это как аргумент в отношениях с Японией по широкому спектру вопросов, включая территориальные. Для разработки представленной научной гипотезы были использованы труды российских и зарубежных ученых, в частности Э.В. Горян и Ю.Ю. Нетрусова, а также многих других.</w:t>
      </w:r>
    </w:p>
    <w:p w:rsidR="00517711" w:rsidRDefault="00F815BE">
      <w:pPr>
        <w:spacing w:after="0" w:line="240" w:lineRule="auto"/>
        <w:ind w:firstLine="708"/>
        <w:jc w:val="both"/>
        <w:rPr>
          <w:rFonts w:ascii="Times New Roman" w:hAnsi="Times New Roman"/>
          <w:sz w:val="20"/>
          <w:szCs w:val="24"/>
        </w:rPr>
      </w:pPr>
      <w:r>
        <w:rPr>
          <w:rFonts w:ascii="Times New Roman" w:hAnsi="Times New Roman"/>
          <w:sz w:val="20"/>
          <w:szCs w:val="24"/>
        </w:rPr>
        <w:t>Цель исследования заключается в обосновании признания народа айну коренным малочисленным народом. Для достижения данной цели были поставлены задачи изучения оснований и предпосылок (этномологических, социальных и правовых) признания айну. В исследовании использовались историко-правовой, формально-логический и системно-структурный методы научного познания.</w:t>
      </w:r>
    </w:p>
    <w:p w:rsidR="00517711" w:rsidRDefault="00F815BE">
      <w:pPr>
        <w:spacing w:after="0" w:line="240" w:lineRule="auto"/>
        <w:ind w:firstLine="708"/>
        <w:jc w:val="both"/>
        <w:rPr>
          <w:rFonts w:ascii="Times New Roman" w:hAnsi="Times New Roman"/>
          <w:sz w:val="20"/>
          <w:szCs w:val="24"/>
        </w:rPr>
      </w:pPr>
      <w:r>
        <w:rPr>
          <w:rFonts w:ascii="Times New Roman" w:hAnsi="Times New Roman"/>
          <w:sz w:val="20"/>
          <w:szCs w:val="24"/>
        </w:rPr>
        <w:t>Согласно многочисленным источникам, древнейшим народом, населявшим японские острова, были айну. На сегодняшний день существует множество теорий о происхождении народа айну, так как доподлинно неизвестно откуда прибыли представители данного народа на японский архипелаг. Традиционно теории о происхождении рассматриваемого народа выделяются на три группы: 1) айну происходят из индоевпропейской семьи (сторонниками этой теории были известные историки С. Мураяма и Д. Бэчелор); 2) айну прибыли на японские острова с юга и являются представителями австронезийской расы (основная в советской этнографии теория, выдвинутая Л.Я. Штернбергом); 3) айну прибыли на японские острова с севера (из Сибири) и относятся к палеоазиатским народностям (этой теории придерживаются японские этнологи). История народа айну начинается с эпохи Сацумон (</w:t>
      </w:r>
      <w:r>
        <w:rPr>
          <w:rFonts w:ascii="Times New Roman" w:hAnsi="Times New Roman"/>
          <w:sz w:val="20"/>
          <w:szCs w:val="24"/>
          <w:lang w:val="en-US"/>
        </w:rPr>
        <w:t>VI</w:t>
      </w:r>
      <w:r>
        <w:rPr>
          <w:rFonts w:ascii="Times New Roman" w:hAnsi="Times New Roman"/>
          <w:sz w:val="20"/>
          <w:szCs w:val="24"/>
        </w:rPr>
        <w:t xml:space="preserve">- </w:t>
      </w:r>
      <w:r>
        <w:rPr>
          <w:rFonts w:ascii="Times New Roman" w:hAnsi="Times New Roman"/>
          <w:sz w:val="20"/>
          <w:szCs w:val="24"/>
          <w:lang w:val="en-US"/>
        </w:rPr>
        <w:t>XIII</w:t>
      </w:r>
      <w:r>
        <w:rPr>
          <w:rFonts w:ascii="Times New Roman" w:hAnsi="Times New Roman"/>
          <w:sz w:val="20"/>
          <w:szCs w:val="24"/>
        </w:rPr>
        <w:t xml:space="preserve"> вв.): именно в этот период произошло его формирование в носителей культуры Сацумон с примесью охотской культуры [1, с. 139]. Также айну являются основателями самой древнейшей культуры, следы которой были обнаружены в Японии - культуры Дзёмон (13000 год до н.э. по 300 до н.э.) [2, с. 146].</w:t>
      </w:r>
    </w:p>
    <w:p w:rsidR="00517711" w:rsidRDefault="00F815BE">
      <w:pPr>
        <w:spacing w:after="0" w:line="240" w:lineRule="auto"/>
        <w:ind w:firstLine="708"/>
        <w:jc w:val="both"/>
        <w:rPr>
          <w:rFonts w:ascii="Times New Roman" w:hAnsi="Times New Roman"/>
          <w:sz w:val="20"/>
          <w:szCs w:val="24"/>
        </w:rPr>
      </w:pPr>
      <w:r>
        <w:rPr>
          <w:rFonts w:ascii="Times New Roman" w:hAnsi="Times New Roman"/>
          <w:sz w:val="20"/>
          <w:szCs w:val="24"/>
        </w:rPr>
        <w:t>Российская Федерация – это самое большое многонациональное государство в мире, где проживает больше ста народов и как любой народ обладает своими уникальными материальной и духовной культуры. Преобладающее большинство народов страны на протяжении веков сложились как этнические общности на территории России, и в этом смысле они являются коренными народами, сыгравшими историческую роль в формировании российской государственности. Благодаря объединяющей роли русского народа на территории России сохранились уникальное единство и многообразие, духовная общность и союз различных народов.</w:t>
      </w:r>
    </w:p>
    <w:p w:rsidR="00517711" w:rsidRDefault="00F815BE">
      <w:pPr>
        <w:spacing w:after="0" w:line="240" w:lineRule="auto"/>
        <w:ind w:firstLine="708"/>
        <w:jc w:val="both"/>
        <w:rPr>
          <w:rFonts w:ascii="Times New Roman" w:hAnsi="Times New Roman"/>
          <w:sz w:val="20"/>
          <w:szCs w:val="24"/>
        </w:rPr>
      </w:pPr>
      <w:r>
        <w:rPr>
          <w:rFonts w:ascii="Times New Roman" w:hAnsi="Times New Roman"/>
          <w:sz w:val="20"/>
          <w:szCs w:val="24"/>
        </w:rPr>
        <w:t>Федеральный закон «О гарантиях прав коренных малочисленных народов Российской Федерации» в соответствии с Конституцией Российской Федерации, общепризнанными принципами и нормами международного права и международными договорами Российской Федерации устанавливает правовые основы гарантий самобытного социально-экономического и культурного развития коренных малочисленных народов (далее – КМН) Российской Федерации, защиты их исконной среды обитания, традиционных образа жизни, хозяйствования и промыслов. Под КМН понимаются народы, которые традиционно проживают на территориях расселения своих предков, а также ведут и сохраняют традиционный образ жизни и промыслы, и насчитывающие в Российской Федерации менее 50 тысяч человек и осознающие себя самостоятельными этническими общностями. В данном определении содержатся следующие признаки КМН: 1) проживание на территориях традиционного расселения своих предков; 2) сохранение традиционного образа жизни, хозяйствования и промыслов; 3) численность должна составлять менее 50 тысяч человек; 4) осознание себя самостоятельными этническими общностями. Сфера действия рассматриваемого федерального закона распространяется как на лиц, относящихся к КМН и ведущий традиционный образ жизни, так и на лиц, не относящихся к КМН, но постоянно проживающих в местах традиционного проживания и традиционной хозяйственной деятельности малочисленных народов.</w:t>
      </w:r>
    </w:p>
    <w:p w:rsidR="00517711" w:rsidRDefault="00F815BE">
      <w:pPr>
        <w:spacing w:after="0" w:line="240" w:lineRule="auto"/>
        <w:ind w:firstLine="708"/>
        <w:jc w:val="both"/>
        <w:rPr>
          <w:rFonts w:ascii="Times New Roman" w:hAnsi="Times New Roman"/>
          <w:sz w:val="20"/>
          <w:szCs w:val="24"/>
        </w:rPr>
      </w:pPr>
      <w:r>
        <w:rPr>
          <w:rFonts w:ascii="Times New Roman" w:hAnsi="Times New Roman"/>
          <w:sz w:val="20"/>
          <w:szCs w:val="24"/>
        </w:rPr>
        <w:t>Согласно части 4 статьи 15 Конституции Российской Федерации, общепризнанные принципы и нормы международного права и международные договоры РФ являются составной частью ее правовой системы. Следовательно, нормы регулирующие правовой статус человека и гражданина, а также КМН, устанавливаются международными договорами РФ. Существует несколько документов, регулирующих правовой статус КМН на международном уровне: Декларация о правах лиц, принадлежащих к национальным или этническим, религиозным и языковым меньшинствам; Декларация ООН о правах коренных народов и не ратифицированные Россией Конвенция об обеспечении прав лиц, принадлежащих к национальным меньшинствам, а также Конвенция о коренных народах и народах, ведущих племенной образ жизни в независимых странах (далее - Конвенция №169).</w:t>
      </w:r>
    </w:p>
    <w:p w:rsidR="00517711" w:rsidRDefault="00F815BE">
      <w:pPr>
        <w:tabs>
          <w:tab w:val="left" w:pos="3559"/>
        </w:tabs>
        <w:spacing w:after="0" w:line="240" w:lineRule="auto"/>
        <w:ind w:firstLine="709"/>
        <w:jc w:val="both"/>
        <w:rPr>
          <w:rFonts w:ascii="Times New Roman" w:hAnsi="Times New Roman"/>
          <w:sz w:val="20"/>
          <w:szCs w:val="24"/>
          <w:shd w:val="clear" w:color="auto" w:fill="FFFFFF"/>
        </w:rPr>
      </w:pPr>
      <w:r>
        <w:rPr>
          <w:rFonts w:ascii="Times New Roman" w:hAnsi="Times New Roman"/>
          <w:sz w:val="20"/>
          <w:szCs w:val="24"/>
          <w:shd w:val="clear" w:color="auto" w:fill="FFFFFF"/>
        </w:rPr>
        <w:t xml:space="preserve">Конвенция №169 устанавливает четкие критерии определения коренных народов (ст. 1a-1b): это «народы, ведущие племенной образ жизни в независимых странах, социальные, культурные и экономические условия которых отличают их от других групп национального сообщества и положение которых регулируется полностью или частично их собственными обычаями или традициями, или специальным законодательством»; а </w:t>
      </w:r>
      <w:r>
        <w:rPr>
          <w:rFonts w:ascii="Times New Roman" w:hAnsi="Times New Roman"/>
          <w:sz w:val="20"/>
          <w:szCs w:val="24"/>
          <w:shd w:val="clear" w:color="auto" w:fill="FFFFFF"/>
        </w:rPr>
        <w:lastRenderedPageBreak/>
        <w:t>также «народы в независимых странах, которые рассматриваются как коренные ввиду того, что они являются потомками тех, кто населял страну или географическую область, частью которой является данная страна, в период ее завоевания или колонизации или в период установления существующих государственных границ, и которые, независимо от их правового положения, сохраняют некоторые или все свои социальные, экономические, культурные и политические институты». Очевидно, что в соответствии с п. 1b Конвенции №169 сегодняшние потомки айну могут быть признаны как коренной народ и реализовывать присущие коренным народам права и свободы, в частности: 1) право участвовать в подготовке, осуществлении и оценке планов и программ национального и регионального развития, которые могут непосредственно их касаться (ч. 1 ст. 7); 2) право собственности и владения на земли, которые они традиционно занимают, а также право пользования землями, которые заняты не только ими, но к которым у них есть традиционный доступ для осуществления их жизненно необходимой и традиционной деятельности (ч. 1 ст. 14); 3) право на природные ресурсы, относящиеся к их землям (ч. 1 ст. 15); 4) право возвращения на свои традиционные земли (ч. 3 ст. 16) и другие.</w:t>
      </w:r>
    </w:p>
    <w:p w:rsidR="00517711" w:rsidRDefault="00F815BE">
      <w:pPr>
        <w:spacing w:after="0" w:line="240" w:lineRule="auto"/>
        <w:ind w:firstLine="708"/>
        <w:jc w:val="both"/>
        <w:rPr>
          <w:rFonts w:ascii="Times New Roman" w:hAnsi="Times New Roman"/>
          <w:sz w:val="20"/>
          <w:szCs w:val="24"/>
        </w:rPr>
      </w:pPr>
      <w:r>
        <w:rPr>
          <w:rFonts w:ascii="Times New Roman" w:hAnsi="Times New Roman"/>
          <w:sz w:val="20"/>
          <w:szCs w:val="24"/>
        </w:rPr>
        <w:t>В качестве обязательного элемента процедура признания включает ходатайство органов власти субъекта Российской Федерации (рассмотревшего и поддержавшего инициативу лидеров конкретного сообщества), на территории которого проживают представители данного сообщества, в правительство Российской Федерации – шаг, который затем инициирует рассмотрение ходатайства, экспертную оценку соответствия конкретного случая существующим подходам в международном праве и российском законодательстве и аргументированное решение по данному случаю. Существенным моментом такого рода экспертной оценки, по мнению С. Соколовского, помимо соответствия данной группы критериям и признакам коренного населения, является территориальный аспект, а именно рассмотрение характера и связи между данной группой населения и занимаемыми ею территориями, включая легитимность владения землями, историю договорных отношений и некоторых других немаловажных аспектов. Автор не уточнил, какая экспертиза будет проводиться в рассматриваем случае, но, исходя из формулировки, можно предположить, что будут проводиться экспертизы на соответствие правовому статусу коренного малочисленного народа, историческая экспертиза, связанная с установлением факта принадлежности земель КМН, а также об их языке, культуре, традициях. И необходимо будет провести исследование влияния изменений исконной среды обитания коренных малочисленных народов и социально-культурной ситуации на развитие этноса. Важным моментом выступает тот факт, что рекомендации этнологической экспертизы не имеют юридической силы [3; 4].</w:t>
      </w:r>
    </w:p>
    <w:p w:rsidR="00517711" w:rsidRDefault="00F815BE">
      <w:pPr>
        <w:spacing w:after="0" w:line="240" w:lineRule="auto"/>
        <w:ind w:firstLine="708"/>
        <w:jc w:val="both"/>
        <w:rPr>
          <w:rFonts w:ascii="Times New Roman" w:hAnsi="Times New Roman"/>
          <w:sz w:val="20"/>
          <w:szCs w:val="24"/>
        </w:rPr>
      </w:pPr>
      <w:r>
        <w:rPr>
          <w:rFonts w:ascii="Times New Roman" w:hAnsi="Times New Roman"/>
          <w:sz w:val="20"/>
          <w:szCs w:val="24"/>
        </w:rPr>
        <w:t>Согласно федеральному закону «О гарантиях прав коренных малочисленных народов» предлагаем рассмотреть конкретные основания признания народа айну коренным малочисленным народом. Сопоставим имеющуюся информацию с законодательно установленными критериями. Первый критерий - проживание на территории своих предков. Народ айну будет положительно соответствовать данному критерию на основании того, что исторически признанными территориями расселения айну считаются: низовья Амура, берега Камчатки, остров Сахалин и Курилы. Второй критерий – сохранение традиционного образа жизни, хозяйствования и промыслов. Этот критерий требует экспертной оценки, так как айну занимались собирательством, рыболовством и охотой. Под традиционным образом жизни, скорее всего, будет пониматься проживание вдали от крупных городов и наличие больших природных территорий для занятия собирательством, охотой и рыболовством. Третий критерий - численность должна составлять менее 50 тысяч человек. В данном случае соответствие имеет место, т.к. согласно переписи населения за 2010 год, айну составили 109 человек [5, с. 21]. И последний критерий – осознание себя самостоятельными этническими общностями. В этом аспекте ответ будет положительным, т.к. народ айну является исторически возникшим и обладающим общей этничностью народом.</w:t>
      </w:r>
    </w:p>
    <w:p w:rsidR="00517711" w:rsidRDefault="00F815BE">
      <w:pPr>
        <w:spacing w:after="0" w:line="240" w:lineRule="auto"/>
        <w:ind w:firstLine="708"/>
        <w:jc w:val="both"/>
        <w:rPr>
          <w:rFonts w:ascii="Times New Roman" w:hAnsi="Times New Roman"/>
          <w:sz w:val="20"/>
          <w:szCs w:val="24"/>
        </w:rPr>
      </w:pPr>
      <w:r>
        <w:rPr>
          <w:rFonts w:ascii="Times New Roman" w:hAnsi="Times New Roman"/>
          <w:sz w:val="20"/>
          <w:szCs w:val="24"/>
        </w:rPr>
        <w:t>Поэтому вышеуказанное позволяет сделать вывод о наличии предпосылок и всех оснований для признания айну коренным малочисленным народом в соответствии с законодательством Российской Федерации.</w:t>
      </w:r>
    </w:p>
    <w:p w:rsidR="00517711" w:rsidRDefault="00F815BE">
      <w:pPr>
        <w:spacing w:after="0" w:line="240" w:lineRule="auto"/>
        <w:ind w:firstLine="708"/>
        <w:jc w:val="both"/>
        <w:rPr>
          <w:rFonts w:ascii="Times New Roman" w:hAnsi="Times New Roman"/>
          <w:sz w:val="20"/>
          <w:szCs w:val="24"/>
        </w:rPr>
      </w:pPr>
      <w:r>
        <w:rPr>
          <w:rFonts w:ascii="Times New Roman" w:hAnsi="Times New Roman"/>
          <w:sz w:val="20"/>
          <w:szCs w:val="24"/>
        </w:rPr>
        <w:t>_____________________________________</w:t>
      </w:r>
    </w:p>
    <w:p w:rsidR="00517711" w:rsidRDefault="00517711">
      <w:pPr>
        <w:spacing w:after="0" w:line="240" w:lineRule="auto"/>
        <w:jc w:val="both"/>
        <w:rPr>
          <w:rFonts w:ascii="Times New Roman" w:hAnsi="Times New Roman"/>
          <w:sz w:val="20"/>
          <w:szCs w:val="24"/>
        </w:rPr>
      </w:pPr>
    </w:p>
    <w:p w:rsidR="00517711" w:rsidRDefault="00F815BE">
      <w:pPr>
        <w:spacing w:after="0" w:line="240" w:lineRule="auto"/>
        <w:ind w:left="360" w:firstLine="348"/>
        <w:jc w:val="both"/>
        <w:rPr>
          <w:rFonts w:ascii="Times New Roman" w:hAnsi="Times New Roman"/>
          <w:sz w:val="20"/>
          <w:szCs w:val="24"/>
        </w:rPr>
      </w:pPr>
      <w:r>
        <w:rPr>
          <w:rFonts w:ascii="Times New Roman" w:hAnsi="Times New Roman"/>
          <w:sz w:val="20"/>
          <w:szCs w:val="24"/>
        </w:rPr>
        <w:t>1. Горян Э.В., Нетрусов Ю.Ю. Признание Россией айну коренным малочисленным народом как фактор решения территориального спора с Японией // Территория новых возможностей. Вестник Владивостокского государственного университета экономики и сервиса. - 2017. - Т. 9. - №  4. - С. 135-149.</w:t>
      </w:r>
    </w:p>
    <w:p w:rsidR="00517711" w:rsidRDefault="00F815BE">
      <w:pPr>
        <w:spacing w:after="0" w:line="240" w:lineRule="auto"/>
        <w:ind w:left="360" w:firstLine="348"/>
        <w:jc w:val="both"/>
        <w:rPr>
          <w:rFonts w:ascii="Times New Roman" w:hAnsi="Times New Roman"/>
          <w:sz w:val="20"/>
          <w:szCs w:val="24"/>
        </w:rPr>
      </w:pPr>
      <w:r>
        <w:rPr>
          <w:rFonts w:ascii="Times New Roman" w:hAnsi="Times New Roman"/>
          <w:sz w:val="20"/>
          <w:szCs w:val="24"/>
        </w:rPr>
        <w:t>2. Елкин М.Е. Процесс ассимиляции и современное положение айнов в японском обществе // Культура. Духовность. Общество. Национальный исследовательский Томский политехнический университет. - 2015. - № 18. - С. 146–150.</w:t>
      </w:r>
    </w:p>
    <w:p w:rsidR="00517711" w:rsidRDefault="00F815BE">
      <w:pPr>
        <w:spacing w:after="0" w:line="240" w:lineRule="auto"/>
        <w:ind w:left="360" w:firstLine="348"/>
        <w:jc w:val="both"/>
        <w:rPr>
          <w:rFonts w:ascii="Times New Roman" w:hAnsi="Times New Roman"/>
          <w:sz w:val="20"/>
          <w:szCs w:val="24"/>
        </w:rPr>
      </w:pPr>
      <w:r>
        <w:rPr>
          <w:rFonts w:ascii="Times New Roman" w:hAnsi="Times New Roman"/>
          <w:sz w:val="20"/>
          <w:szCs w:val="24"/>
        </w:rPr>
        <w:t>3. Этнологическая экспертиза в России [Электронный ресурс]. – Режим доступа: https://www.spri.cam.ac.uk/events/russianoil/presentations/murashko.ru.pdf</w:t>
      </w:r>
    </w:p>
    <w:p w:rsidR="00517711" w:rsidRDefault="00F815BE">
      <w:pPr>
        <w:spacing w:after="0" w:line="240" w:lineRule="auto"/>
        <w:ind w:left="360" w:firstLine="348"/>
        <w:jc w:val="both"/>
        <w:rPr>
          <w:rFonts w:ascii="Times New Roman" w:hAnsi="Times New Roman"/>
          <w:sz w:val="20"/>
          <w:szCs w:val="24"/>
        </w:rPr>
      </w:pPr>
      <w:r>
        <w:rPr>
          <w:rFonts w:ascii="Times New Roman" w:hAnsi="Times New Roman"/>
          <w:sz w:val="20"/>
          <w:szCs w:val="24"/>
        </w:rPr>
        <w:t>4. Соколовский С. Политика признания коренных народов в международном праве и в законодательстве Российской Федерации / С. Соколовский [Электронный ресурс]. – Режим доступа: https://avdet.org/ru/2018/01/24/politika-priznaniya-korennyh-narodov-v-mezhdunarodnom-prave-i-v-zakonodatelstve-rossijskoj-federatsii/</w:t>
      </w:r>
    </w:p>
    <w:p w:rsidR="00517711" w:rsidRDefault="00F815BE">
      <w:pPr>
        <w:spacing w:after="0" w:line="240" w:lineRule="auto"/>
        <w:ind w:left="360" w:firstLine="348"/>
        <w:jc w:val="both"/>
        <w:rPr>
          <w:rFonts w:ascii="Times New Roman" w:hAnsi="Times New Roman"/>
          <w:sz w:val="20"/>
          <w:szCs w:val="24"/>
        </w:rPr>
      </w:pPr>
      <w:r>
        <w:rPr>
          <w:rFonts w:ascii="Times New Roman" w:hAnsi="Times New Roman"/>
          <w:sz w:val="20"/>
          <w:szCs w:val="24"/>
        </w:rPr>
        <w:t>5. Горян Э.В. Роль органов местного самоуправления Японии в обеспечении прав коренного народа айну // Административное и муниципальное право. — 2017. - № 9. - С.20-31.</w:t>
      </w: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lastRenderedPageBreak/>
        <w:t>Рубрика: Международные отношения</w:t>
      </w:r>
    </w:p>
    <w:p w:rsidR="00517711" w:rsidRDefault="00F815BE">
      <w:pPr>
        <w:shd w:val="clear" w:color="auto" w:fill="FFFFFF"/>
        <w:spacing w:after="0" w:line="240" w:lineRule="auto"/>
        <w:outlineLvl w:val="2"/>
        <w:rPr>
          <w:rStyle w:val="word"/>
          <w:rFonts w:ascii="Times New Roman" w:hAnsi="Times New Roman"/>
          <w:color w:val="000000"/>
          <w:sz w:val="20"/>
          <w:szCs w:val="24"/>
        </w:rPr>
      </w:pPr>
      <w:r>
        <w:rPr>
          <w:rStyle w:val="word"/>
          <w:rFonts w:ascii="Times New Roman" w:hAnsi="Times New Roman"/>
          <w:color w:val="000000"/>
          <w:sz w:val="20"/>
          <w:szCs w:val="24"/>
        </w:rPr>
        <w:t>УДК 327.5</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СОТРУДНИЧЕСТВО РОССИИ И КИТАЯ В СФЕРЕ ОБРАЗОВАНИЯ: ПЕРСПЕКТИВЫ РАЗВИТИЯ</w:t>
      </w:r>
    </w:p>
    <w:p w:rsidR="00517711" w:rsidRDefault="00F815BE">
      <w:pPr>
        <w:pStyle w:val="af6"/>
        <w:spacing w:before="0" w:beforeAutospacing="0" w:after="0" w:afterAutospacing="0"/>
        <w:jc w:val="center"/>
        <w:rPr>
          <w:rFonts w:ascii="Arial" w:eastAsia="Calibri" w:hAnsi="Arial"/>
          <w:b/>
          <w:bCs/>
          <w:szCs w:val="20"/>
        </w:rPr>
      </w:pPr>
      <w:r>
        <w:rPr>
          <w:rFonts w:ascii="Arial" w:eastAsia="Calibri" w:hAnsi="Arial"/>
          <w:b/>
          <w:bCs/>
          <w:szCs w:val="20"/>
        </w:rPr>
        <w:t>Грибанова Ангелина Александровна,</w:t>
      </w:r>
    </w:p>
    <w:p w:rsidR="00517711" w:rsidRDefault="00F815BE">
      <w:pPr>
        <w:pStyle w:val="af6"/>
        <w:spacing w:before="0" w:beforeAutospacing="0" w:after="240" w:afterAutospacing="0"/>
        <w:jc w:val="center"/>
        <w:rPr>
          <w:rFonts w:ascii="Arial" w:eastAsia="Calibri" w:hAnsi="Arial"/>
          <w:bCs/>
          <w:szCs w:val="20"/>
        </w:rPr>
      </w:pPr>
      <w:r>
        <w:rPr>
          <w:rFonts w:ascii="Arial" w:eastAsia="Calibri" w:hAnsi="Arial"/>
          <w:bCs/>
          <w:szCs w:val="20"/>
        </w:rPr>
        <w:t>бакалавр 3 курса, кафедра теории и истории российского и зарубежного права</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pStyle w:val="af6"/>
        <w:spacing w:before="0" w:beforeAutospacing="0" w:after="0" w:afterAutospacing="0"/>
        <w:jc w:val="center"/>
        <w:rPr>
          <w:sz w:val="20"/>
        </w:rPr>
      </w:pPr>
      <w:r>
        <w:rPr>
          <w:sz w:val="20"/>
          <w:lang w:val="en-US"/>
        </w:rPr>
        <w:t>E</w:t>
      </w:r>
      <w:r>
        <w:rPr>
          <w:sz w:val="20"/>
        </w:rPr>
        <w:t>-</w:t>
      </w:r>
      <w:r>
        <w:rPr>
          <w:sz w:val="20"/>
          <w:lang w:val="en-US"/>
        </w:rPr>
        <w:t>mail</w:t>
      </w:r>
      <w:r>
        <w:rPr>
          <w:sz w:val="20"/>
        </w:rPr>
        <w:t xml:space="preserve">: </w:t>
      </w:r>
      <w:r>
        <w:rPr>
          <w:sz w:val="20"/>
          <w:lang w:val="en-US"/>
        </w:rPr>
        <w:t>msangelin</w:t>
      </w:r>
      <w:r>
        <w:rPr>
          <w:sz w:val="20"/>
        </w:rPr>
        <w:t>.</w:t>
      </w:r>
      <w:r>
        <w:rPr>
          <w:sz w:val="20"/>
          <w:lang w:val="en-US"/>
        </w:rPr>
        <w:t>gribanova</w:t>
      </w:r>
      <w:r>
        <w:rPr>
          <w:sz w:val="20"/>
        </w:rPr>
        <w:t>@</w:t>
      </w:r>
      <w:r>
        <w:rPr>
          <w:sz w:val="20"/>
          <w:lang w:val="en-US"/>
        </w:rPr>
        <w:t>mail</w:t>
      </w:r>
      <w:r>
        <w:rPr>
          <w:sz w:val="20"/>
        </w:rPr>
        <w:t>.</w:t>
      </w:r>
      <w:r>
        <w:rPr>
          <w:sz w:val="20"/>
          <w:lang w:val="en-US"/>
        </w:rPr>
        <w:t>ru</w:t>
      </w:r>
      <w:r>
        <w:rPr>
          <w:sz w:val="20"/>
        </w:rPr>
        <w:t>; тел.: +79294294001</w:t>
      </w:r>
    </w:p>
    <w:p w:rsidR="00517711" w:rsidRDefault="00F815BE">
      <w:pPr>
        <w:pStyle w:val="af6"/>
        <w:spacing w:before="0" w:beforeAutospacing="0" w:after="240" w:afterAutospacing="0"/>
        <w:jc w:val="center"/>
        <w:rPr>
          <w:sz w:val="20"/>
        </w:rPr>
      </w:pPr>
      <w:r>
        <w:rPr>
          <w:sz w:val="20"/>
        </w:rPr>
        <w:t>ул. Гоголя 41, г. Владивосток, Приморский край, Россия, 690014</w:t>
      </w:r>
    </w:p>
    <w:p w:rsidR="00517711" w:rsidRDefault="00F815BE">
      <w:pPr>
        <w:pStyle w:val="af6"/>
        <w:spacing w:before="0" w:beforeAutospacing="0" w:after="0" w:afterAutospacing="0"/>
        <w:ind w:firstLine="708"/>
        <w:rPr>
          <w:i/>
          <w:sz w:val="22"/>
        </w:rPr>
      </w:pPr>
      <w:r>
        <w:rPr>
          <w:i/>
          <w:sz w:val="22"/>
        </w:rPr>
        <w:t xml:space="preserve">Сотрудничество на современном этапе в различных сферах между Россией и Китаем постоянно развивается. В докладе основное внимание уделяется </w:t>
      </w:r>
      <w:r>
        <w:rPr>
          <w:i/>
          <w:color w:val="000000"/>
          <w:sz w:val="22"/>
        </w:rPr>
        <w:t xml:space="preserve">историческому опыту российско-китайского студенческого обмена, действующего на протяжении многих лет и пополняющегося с каждым годом новыми студентами, желающими воспользоваться образовательными программами. </w:t>
      </w:r>
      <w:r>
        <w:rPr>
          <w:i/>
          <w:sz w:val="22"/>
        </w:rPr>
        <w:t>В свою очередь повышение образовательной и культурной грамотности молодежи имеет большое влияние на развитие международных связей приграничных территорий соседних стран.</w:t>
      </w:r>
    </w:p>
    <w:p w:rsidR="00517711" w:rsidRDefault="00F815BE">
      <w:pPr>
        <w:pStyle w:val="af6"/>
        <w:spacing w:before="0" w:beforeAutospacing="0" w:after="0" w:afterAutospacing="0"/>
        <w:ind w:firstLine="708"/>
        <w:rPr>
          <w:b/>
          <w:i/>
          <w:sz w:val="22"/>
        </w:rPr>
      </w:pPr>
      <w:r>
        <w:rPr>
          <w:b/>
          <w:i/>
          <w:sz w:val="22"/>
        </w:rPr>
        <w:t xml:space="preserve">Ключевые слова и словосочетания: </w:t>
      </w:r>
    </w:p>
    <w:p w:rsidR="00517711" w:rsidRDefault="00F815BE">
      <w:pPr>
        <w:pStyle w:val="af6"/>
        <w:spacing w:before="0" w:beforeAutospacing="0" w:after="0" w:afterAutospacing="0"/>
        <w:rPr>
          <w:i/>
          <w:sz w:val="22"/>
        </w:rPr>
      </w:pPr>
      <w:r>
        <w:rPr>
          <w:i/>
          <w:iCs/>
          <w:sz w:val="22"/>
        </w:rPr>
        <w:t>Международный студенческий обмен</w:t>
      </w:r>
      <w:r>
        <w:rPr>
          <w:i/>
          <w:sz w:val="22"/>
        </w:rPr>
        <w:t>, сотрудничество Россией и Китаем, совместная научно-образовательная деятельность,</w:t>
      </w:r>
      <w:r>
        <w:rPr>
          <w:sz w:val="22"/>
        </w:rPr>
        <w:t xml:space="preserve"> </w:t>
      </w:r>
      <w:r>
        <w:rPr>
          <w:i/>
          <w:sz w:val="22"/>
        </w:rPr>
        <w:t>трансграничное высшее образование, языковая интеграция.</w:t>
      </w:r>
    </w:p>
    <w:p w:rsidR="00517711" w:rsidRDefault="00F815BE">
      <w:pPr>
        <w:keepNext/>
        <w:spacing w:before="240" w:after="240" w:line="240" w:lineRule="auto"/>
        <w:jc w:val="center"/>
        <w:outlineLvl w:val="0"/>
        <w:rPr>
          <w:rFonts w:ascii="Book Antiqua" w:eastAsia="Calibri" w:hAnsi="Book Antiqua"/>
          <w:b/>
          <w:bCs/>
          <w:caps/>
          <w:sz w:val="26"/>
          <w:szCs w:val="20"/>
          <w:lang w:val="en-US"/>
        </w:rPr>
      </w:pPr>
      <w:r>
        <w:rPr>
          <w:rFonts w:ascii="Book Antiqua" w:eastAsia="Calibri" w:hAnsi="Book Antiqua"/>
          <w:b/>
          <w:bCs/>
          <w:caps/>
          <w:sz w:val="26"/>
          <w:szCs w:val="20"/>
          <w:lang w:val="en-US"/>
        </w:rPr>
        <w:t>COOPERATION BETWEEN RUSSIA AND CHINA IN EDUCATION SPHERE: THE PROSPECTS OF DEVELOPMENT</w:t>
      </w:r>
    </w:p>
    <w:p w:rsidR="00517711" w:rsidRDefault="00F815BE">
      <w:pPr>
        <w:pStyle w:val="af6"/>
        <w:spacing w:before="0" w:beforeAutospacing="0" w:after="0" w:afterAutospacing="0"/>
        <w:jc w:val="center"/>
        <w:rPr>
          <w:rFonts w:ascii="Arial" w:eastAsia="Calibri" w:hAnsi="Arial"/>
          <w:b/>
          <w:bCs/>
          <w:lang w:val="en-US" w:eastAsia="en-US"/>
        </w:rPr>
      </w:pPr>
      <w:r>
        <w:rPr>
          <w:rFonts w:ascii="Arial" w:eastAsia="Calibri" w:hAnsi="Arial"/>
          <w:b/>
          <w:bCs/>
          <w:lang w:val="en-US" w:eastAsia="en-US"/>
        </w:rPr>
        <w:t>Gribanova Angelina Alexandrovna,</w:t>
      </w:r>
    </w:p>
    <w:p w:rsidR="00517711" w:rsidRDefault="00F815BE">
      <w:pPr>
        <w:pStyle w:val="af6"/>
        <w:spacing w:before="0" w:beforeAutospacing="0" w:after="240" w:afterAutospacing="0"/>
        <w:jc w:val="center"/>
        <w:rPr>
          <w:rFonts w:ascii="Arial" w:eastAsia="Calibri" w:hAnsi="Arial"/>
          <w:bCs/>
          <w:lang w:val="en-US" w:eastAsia="en-US"/>
        </w:rPr>
      </w:pPr>
      <w:r>
        <w:rPr>
          <w:rFonts w:ascii="Arial" w:eastAsia="Calibri" w:hAnsi="Arial"/>
          <w:bCs/>
          <w:lang w:val="en-US" w:eastAsia="en-US"/>
        </w:rPr>
        <w:t>bachelor of the 3 year, department of theory and history of Russian and foreign law</w:t>
      </w:r>
    </w:p>
    <w:p w:rsidR="00517711" w:rsidRDefault="00F815BE">
      <w:pPr>
        <w:spacing w:after="0" w:line="240" w:lineRule="auto"/>
        <w:jc w:val="center"/>
        <w:rPr>
          <w:rFonts w:ascii="Times New Roman" w:eastAsia="Calibri" w:hAnsi="Times New Roman"/>
          <w:i/>
          <w:sz w:val="21"/>
          <w:szCs w:val="21"/>
          <w:lang w:val="en-US"/>
        </w:rPr>
      </w:pPr>
      <w:r>
        <w:rPr>
          <w:rFonts w:ascii="Times New Roman" w:eastAsia="Calibri" w:hAnsi="Times New Roman"/>
          <w:i/>
          <w:sz w:val="21"/>
          <w:szCs w:val="21"/>
          <w:lang w:val="en-US"/>
        </w:rPr>
        <w:t xml:space="preserve">Vladivostok state university of economics and service </w:t>
      </w:r>
    </w:p>
    <w:p w:rsidR="00517711" w:rsidRDefault="00F815BE">
      <w:pPr>
        <w:spacing w:line="240" w:lineRule="auto"/>
        <w:jc w:val="center"/>
        <w:rPr>
          <w:rFonts w:ascii="Times New Roman" w:eastAsia="Calibri" w:hAnsi="Times New Roman"/>
          <w:i/>
          <w:sz w:val="21"/>
          <w:szCs w:val="21"/>
          <w:lang w:val="en-US"/>
        </w:rPr>
      </w:pPr>
      <w:r>
        <w:rPr>
          <w:rFonts w:ascii="Times New Roman" w:eastAsia="Calibri" w:hAnsi="Times New Roman"/>
          <w:i/>
          <w:sz w:val="21"/>
          <w:szCs w:val="21"/>
          <w:lang w:val="en-US"/>
        </w:rPr>
        <w:t>Russia. Vladivostok</w:t>
      </w:r>
    </w:p>
    <w:p w:rsidR="00517711" w:rsidRDefault="00F815BE">
      <w:pPr>
        <w:pStyle w:val="af6"/>
        <w:spacing w:before="0" w:beforeAutospacing="0" w:after="0" w:afterAutospacing="0"/>
        <w:ind w:firstLine="708"/>
        <w:rPr>
          <w:i/>
          <w:sz w:val="22"/>
          <w:lang w:val="en-US"/>
        </w:rPr>
      </w:pPr>
      <w:r>
        <w:rPr>
          <w:i/>
          <w:sz w:val="22"/>
          <w:lang w:val="en-US"/>
        </w:rPr>
        <w:t>Cooperation between Russia and China is developing in different spheres nowadays. The report focuses on historical experience of students exchange between these two countries, so the number of students which want to use educational programs is increasing every year. In it’s turn, increasing of educational and cultural knowledge of young people influence international relations between two bordering countries.</w:t>
      </w:r>
    </w:p>
    <w:p w:rsidR="00517711" w:rsidRDefault="00F815BE">
      <w:pPr>
        <w:pStyle w:val="af6"/>
        <w:spacing w:before="0" w:beforeAutospacing="0" w:after="0" w:afterAutospacing="0"/>
        <w:ind w:firstLine="708"/>
        <w:rPr>
          <w:rStyle w:val="word"/>
          <w:b/>
          <w:i/>
          <w:sz w:val="22"/>
          <w:lang w:val="en-US"/>
        </w:rPr>
      </w:pPr>
      <w:r>
        <w:rPr>
          <w:b/>
          <w:i/>
          <w:sz w:val="22"/>
          <w:lang w:val="en-US"/>
        </w:rPr>
        <w:t xml:space="preserve">Key words and phrases: </w:t>
      </w:r>
      <w:r>
        <w:rPr>
          <w:i/>
          <w:sz w:val="22"/>
          <w:lang w:val="en-US"/>
        </w:rPr>
        <w:t>i</w:t>
      </w:r>
      <w:r>
        <w:rPr>
          <w:rStyle w:val="word"/>
          <w:i/>
          <w:color w:val="000000"/>
          <w:sz w:val="22"/>
          <w:lang w:val="en-US"/>
        </w:rPr>
        <w:t>nternational student exchange, cooperation between Russia and China, mutual science-educational activity, cross-border high education, language integration.</w:t>
      </w:r>
    </w:p>
    <w:p w:rsidR="00517711" w:rsidRDefault="00517711">
      <w:pPr>
        <w:pStyle w:val="ae"/>
        <w:ind w:firstLine="709"/>
        <w:jc w:val="both"/>
        <w:rPr>
          <w:rStyle w:val="word"/>
          <w:rFonts w:ascii="Times New Roman" w:hAnsi="Times New Roman"/>
          <w:color w:val="000000"/>
          <w:sz w:val="24"/>
          <w:szCs w:val="24"/>
          <w:lang w:val="en-US"/>
        </w:rPr>
      </w:pPr>
    </w:p>
    <w:p w:rsidR="00517711" w:rsidRDefault="00F815BE">
      <w:pPr>
        <w:spacing w:before="20" w:after="20" w:line="240" w:lineRule="auto"/>
        <w:ind w:firstLine="708"/>
        <w:jc w:val="both"/>
        <w:rPr>
          <w:rFonts w:ascii="Times New Roman" w:hAnsi="Times New Roman"/>
          <w:color w:val="000000"/>
          <w:sz w:val="20"/>
          <w:szCs w:val="20"/>
        </w:rPr>
      </w:pPr>
      <w:r>
        <w:rPr>
          <w:rFonts w:ascii="Times New Roman" w:hAnsi="Times New Roman"/>
          <w:color w:val="000000" w:themeColor="text1"/>
          <w:sz w:val="20"/>
          <w:szCs w:val="20"/>
        </w:rPr>
        <w:t>Трансграничное высшее образование в современном мире стало важным способом глобализации образования в целом. Программы международного студенческого обмена с целью повышения образовательной и культурной грамотности, а также мобильности молодежи, стали огромной частью одного из направлений политики стран всего мира. В настоящее время получение образования за рубежом дает возможность студенту получить не только качественные образовательные услуги, но и расширить рамки своего социокультурного сознания.</w:t>
      </w:r>
      <w:hyperlink r:id="rId207" w:history="1">
        <w:r>
          <w:rPr>
            <w:rStyle w:val="aa"/>
            <w:color w:val="000000" w:themeColor="text1"/>
            <w:sz w:val="20"/>
            <w:szCs w:val="20"/>
          </w:rPr>
          <w:t>[1]</w:t>
        </w:r>
      </w:hyperlink>
      <w:r>
        <w:rPr>
          <w:rStyle w:val="aa"/>
          <w:color w:val="000000" w:themeColor="text1"/>
          <w:sz w:val="20"/>
          <w:szCs w:val="20"/>
        </w:rPr>
        <w:t>.</w:t>
      </w:r>
    </w:p>
    <w:p w:rsidR="00517711" w:rsidRDefault="00F815BE">
      <w:pPr>
        <w:pStyle w:val="af6"/>
        <w:spacing w:before="30" w:beforeAutospacing="0" w:after="30" w:afterAutospacing="0"/>
        <w:ind w:firstLine="708"/>
        <w:jc w:val="both"/>
        <w:rPr>
          <w:color w:val="000000"/>
          <w:sz w:val="20"/>
          <w:szCs w:val="20"/>
        </w:rPr>
      </w:pPr>
      <w:r>
        <w:rPr>
          <w:color w:val="000000" w:themeColor="text1"/>
          <w:sz w:val="20"/>
          <w:szCs w:val="20"/>
        </w:rPr>
        <w:t xml:space="preserve">Отношения России и Китая в области образования были налажены еще в 1949 г., после провозглашения Китайской Народной Республики и плодотворно осуществлялись вплоть до 1966 г. В этот период учебные заведения Китая всех видов изучали педагогическую теорию и опыт СССР. Советская помощь сыграла большую роль в создании широкой сети производственного обучения, а также профессионально-технического образования. С 1949-1959 гг. в учебных заведениях КНР работало более 760 советских преподавателей. При их участии на территориях учебных заведений было создано 560 лабораторий и 337 кафедр. Помимо это, Китай впервые принял иностранных студентов в 1950-х годах, как и СССР. Тогда число иностранных студентов составляло всего 33 студента из стран Восточной Европы. В период с 1950-1970 гг. число студентов, прибывших в Китай для образования, возросло до 10 тыс. чел.  После 1992 года процесс привлечения заметно активизировался, так как начали расти объемы культурного и образовательного обменов, в связи с запуском реформ открытости. </w:t>
      </w:r>
      <w:hyperlink r:id="rId208" w:history="1">
        <w:r>
          <w:rPr>
            <w:rStyle w:val="aa"/>
            <w:color w:val="000000" w:themeColor="text1"/>
            <w:sz w:val="20"/>
            <w:szCs w:val="20"/>
          </w:rPr>
          <w:t>[2]</w:t>
        </w:r>
      </w:hyperlink>
      <w:r>
        <w:rPr>
          <w:rStyle w:val="aa"/>
          <w:color w:val="000000" w:themeColor="text1"/>
          <w:sz w:val="20"/>
          <w:szCs w:val="20"/>
        </w:rPr>
        <w:t>.</w:t>
      </w:r>
    </w:p>
    <w:p w:rsidR="00517711" w:rsidRDefault="00F815BE">
      <w:pPr>
        <w:spacing w:before="30" w:after="30" w:line="240" w:lineRule="auto"/>
        <w:ind w:firstLine="708"/>
        <w:jc w:val="both"/>
        <w:rPr>
          <w:rFonts w:ascii="Times New Roman" w:eastAsia="TimesNewRomanPSMT" w:hAnsi="Times New Roman"/>
          <w:color w:val="000000"/>
          <w:sz w:val="20"/>
          <w:szCs w:val="20"/>
        </w:rPr>
      </w:pPr>
      <w:r>
        <w:rPr>
          <w:rFonts w:ascii="Times New Roman" w:hAnsi="Times New Roman"/>
          <w:color w:val="000000" w:themeColor="text1"/>
          <w:sz w:val="20"/>
          <w:szCs w:val="20"/>
        </w:rPr>
        <w:lastRenderedPageBreak/>
        <w:t>После смещения в апреле 1959 г. Мао-Цзе-Дуна с поста председателя КНР началось охлаждение в отношениях Китая и СССР. Только в 1983 г. после многолетнего разрыва контакты между странами в образовательной сфере возобновились.</w:t>
      </w:r>
      <w:r>
        <w:rPr>
          <w:rFonts w:ascii="Times New Roman" w:eastAsia="TimesNewRomanPSMT" w:hAnsi="Times New Roman"/>
          <w:color w:val="000000" w:themeColor="text1"/>
          <w:sz w:val="20"/>
          <w:szCs w:val="20"/>
        </w:rPr>
        <w:t xml:space="preserve"> Нормализация политических отношений между двумя государствами в конце 1980-х – начале 1990-х гг. создала предпосылки для развития образовательных связей и ведения постоянного партнерского диалога между Россией и Китаем. В этот период наблюдался настоящий бум в изучении русского и китайского языков в приграничных районах двух стран.</w:t>
      </w:r>
      <w:hyperlink r:id="rId209" w:history="1">
        <w:r>
          <w:rPr>
            <w:rStyle w:val="aa"/>
            <w:rFonts w:eastAsia="TimesNewRomanPSMT"/>
            <w:color w:val="000000" w:themeColor="text1"/>
            <w:sz w:val="20"/>
            <w:szCs w:val="20"/>
          </w:rPr>
          <w:t>[3]</w:t>
        </w:r>
      </w:hyperlink>
      <w:r>
        <w:rPr>
          <w:rFonts w:ascii="Times New Roman" w:eastAsia="TimesNewRomanPSMT" w:hAnsi="Times New Roman"/>
          <w:color w:val="000000" w:themeColor="text1"/>
          <w:sz w:val="20"/>
          <w:szCs w:val="20"/>
        </w:rPr>
        <w:t>.</w:t>
      </w:r>
    </w:p>
    <w:p w:rsidR="00517711" w:rsidRDefault="00F815BE">
      <w:pPr>
        <w:spacing w:before="30" w:after="30" w:line="240" w:lineRule="auto"/>
        <w:ind w:firstLine="708"/>
        <w:jc w:val="both"/>
        <w:rPr>
          <w:rFonts w:ascii="Times New Roman" w:eastAsia="TimesNewRomanPSMT" w:hAnsi="Times New Roman"/>
          <w:color w:val="000000"/>
          <w:sz w:val="20"/>
          <w:szCs w:val="20"/>
        </w:rPr>
      </w:pPr>
      <w:r>
        <w:rPr>
          <w:rFonts w:ascii="Times New Roman" w:eastAsia="TimesNewRomanPSMT" w:hAnsi="Times New Roman"/>
          <w:color w:val="000000" w:themeColor="text1"/>
          <w:sz w:val="20"/>
          <w:szCs w:val="20"/>
        </w:rPr>
        <w:t>В 1989 г. был подписан договор об образовательном, научном и культурном сотрудничестве между Хунаньским педагогическим университетом и Казанским (Приволжским) федеральным университетом (КФУ), который был продлен в 2005 г.</w:t>
      </w:r>
    </w:p>
    <w:p w:rsidR="00517711" w:rsidRDefault="00F815BE">
      <w:pPr>
        <w:spacing w:before="30" w:after="30" w:line="240" w:lineRule="auto"/>
        <w:jc w:val="both"/>
        <w:rPr>
          <w:rFonts w:ascii="Times New Roman" w:eastAsia="TimesNewRomanPSMT" w:hAnsi="Times New Roman"/>
          <w:color w:val="000000"/>
          <w:sz w:val="20"/>
          <w:szCs w:val="20"/>
        </w:rPr>
      </w:pPr>
      <w:r>
        <w:rPr>
          <w:rFonts w:ascii="Times New Roman" w:eastAsia="TimesNewRomanPSMT" w:hAnsi="Times New Roman"/>
          <w:color w:val="000000" w:themeColor="text1"/>
          <w:sz w:val="20"/>
          <w:szCs w:val="20"/>
        </w:rPr>
        <w:t xml:space="preserve">Так же в рамках международной деятельности сотрудничает с китайскими вузами Казанский национальный исследовательский технологический университет (бывший КГТУ). Еще в 1989 г. он подписал соглашение с Центрально-китайским преподавательским университетом (пр. Хубей г. Ухань), в 1992 г. с Тяньцзинским университетом легкой промышленности и Пекинским политехническим университетом. Здесь же следует отметить, что в рамках стратегического проекта опорных вузов, выделен ряд университетов регионального значения, каждый из которых в той или иной степени осуществляет международную деятельность и имеет партнерские отношения с Китаем. Так же плотное сотрудничество с китайскими вузами осуществляют МГУ и СПбГУ, который является </w:t>
      </w:r>
      <w:r>
        <w:rPr>
          <w:rFonts w:ascii="Times New Roman" w:hAnsi="Times New Roman"/>
          <w:color w:val="000000" w:themeColor="text1"/>
          <w:sz w:val="20"/>
          <w:szCs w:val="20"/>
        </w:rPr>
        <w:t>единственным российским вузом, подписавшим прямое соглашение непосредственно с Министерством образования КНР в 2015 г</w:t>
      </w:r>
      <w:r>
        <w:rPr>
          <w:rFonts w:ascii="Times New Roman" w:hAnsi="Times New Roman"/>
          <w:color w:val="000000" w:themeColor="text1"/>
          <w:spacing w:val="3"/>
          <w:sz w:val="20"/>
          <w:szCs w:val="20"/>
          <w:shd w:val="clear" w:color="auto" w:fill="FFFFFF"/>
        </w:rPr>
        <w:t>. СПбГУ имеет долговременные партнерские отношения с вузами КНР, так же в университете на протяжении 150 лет преподают китайский язык.</w:t>
      </w:r>
      <w:hyperlink r:id="rId210" w:history="1">
        <w:r>
          <w:rPr>
            <w:rStyle w:val="aa"/>
            <w:color w:val="000000" w:themeColor="text1"/>
            <w:spacing w:val="3"/>
            <w:sz w:val="20"/>
            <w:szCs w:val="20"/>
            <w:shd w:val="clear" w:color="auto" w:fill="FFFFFF"/>
          </w:rPr>
          <w:t>[4]</w:t>
        </w:r>
      </w:hyperlink>
      <w:r>
        <w:rPr>
          <w:rStyle w:val="aa"/>
          <w:color w:val="000000" w:themeColor="text1"/>
          <w:spacing w:val="3"/>
          <w:sz w:val="20"/>
          <w:szCs w:val="20"/>
          <w:shd w:val="clear" w:color="auto" w:fill="FFFFFF"/>
        </w:rPr>
        <w:t>.</w:t>
      </w:r>
    </w:p>
    <w:p w:rsidR="00517711" w:rsidRDefault="00F815BE">
      <w:pPr>
        <w:spacing w:before="30" w:after="30" w:line="240" w:lineRule="auto"/>
        <w:ind w:firstLine="708"/>
        <w:jc w:val="both"/>
        <w:rPr>
          <w:rFonts w:ascii="Times New Roman" w:hAnsi="Times New Roman"/>
          <w:color w:val="000000"/>
          <w:sz w:val="20"/>
          <w:szCs w:val="20"/>
        </w:rPr>
      </w:pPr>
      <w:r>
        <w:rPr>
          <w:rFonts w:ascii="Times New Roman" w:eastAsia="TimesNewRomanPSMT" w:hAnsi="Times New Roman"/>
          <w:color w:val="000000" w:themeColor="text1"/>
          <w:sz w:val="20"/>
          <w:szCs w:val="20"/>
        </w:rPr>
        <w:t>В 1990 г. отделение китаеведения восточного факультета Дальневосточного государственного университета (ДВГУ) трансформировалось в факультет. Число студентов, изучивших в университете китайский язык (включая студентов невостоковедческих специальностей), стремительно увеличивалось и к концу 90-х годов составляло 1500 чел. ДВГУ ( с 2011 г. ДВФУ), стабильно оставаясь третьим в России признанным центром подготовки китаеведов (после Института стран Азии и Африки при МГУ и Восточного факультета Санкт-Петербургского государственного университета), по решению Госкомитета по делам образования КНР этот университет с сентября 1999 г. стал основой для создания второго в России центра по приему экзаменов на уровень знания китайского языка как иностранного – HSK.</w:t>
      </w:r>
      <w:hyperlink r:id="rId211" w:history="1">
        <w:r>
          <w:rPr>
            <w:rStyle w:val="aa"/>
            <w:rFonts w:eastAsia="TimesNewRomanPSMT"/>
            <w:color w:val="000000" w:themeColor="text1"/>
            <w:sz w:val="20"/>
            <w:szCs w:val="20"/>
          </w:rPr>
          <w:t>[3]</w:t>
        </w:r>
      </w:hyperlink>
      <w:r>
        <w:rPr>
          <w:rStyle w:val="aa"/>
          <w:rFonts w:eastAsia="TimesNewRomanPSMT"/>
          <w:color w:val="000000" w:themeColor="text1"/>
          <w:sz w:val="20"/>
          <w:szCs w:val="20"/>
        </w:rPr>
        <w:t>.</w:t>
      </w:r>
    </w:p>
    <w:p w:rsidR="00517711" w:rsidRDefault="00F815BE">
      <w:pPr>
        <w:spacing w:before="30" w:after="30" w:line="240" w:lineRule="auto"/>
        <w:ind w:firstLine="708"/>
        <w:jc w:val="both"/>
        <w:rPr>
          <w:rFonts w:ascii="Times New Roman" w:eastAsia="TimesNewRomanPSMT" w:hAnsi="Times New Roman"/>
          <w:color w:val="000000"/>
          <w:sz w:val="20"/>
          <w:szCs w:val="20"/>
        </w:rPr>
      </w:pPr>
      <w:r>
        <w:rPr>
          <w:rFonts w:ascii="Times New Roman" w:eastAsia="TimesNewRomanPSMT" w:hAnsi="Times New Roman"/>
          <w:color w:val="000000" w:themeColor="text1"/>
          <w:sz w:val="20"/>
          <w:szCs w:val="20"/>
        </w:rPr>
        <w:t>С 1995 г. китайский язык стали профессионально изучать в техническом университете и университете экономики и сервиса (с 1996 г.) во Владивостоке, в педагогическом университете Хабаровска, педагогическом институте в Благовещенске и в Амурском государственном университете. Во многих вузах стали появляться отделения русского языка для иностранцев, где большая доля студентов составляли китайцы. Начиная с 1998 г. Вятский социально-экономический институт ведет углубленную подготовку студентов факультета «мировая экономика» по китайскому языку, где занятия со студентами проводят преподаватели Шеньянского университета.</w:t>
      </w:r>
      <w:hyperlink r:id="rId212" w:history="1">
        <w:r>
          <w:rPr>
            <w:rStyle w:val="aa"/>
            <w:rFonts w:eastAsia="TimesNewRomanPSMT"/>
            <w:color w:val="000000" w:themeColor="text1"/>
            <w:sz w:val="20"/>
            <w:szCs w:val="20"/>
          </w:rPr>
          <w:t>[3]</w:t>
        </w:r>
      </w:hyperlink>
      <w:r>
        <w:rPr>
          <w:rStyle w:val="aa"/>
          <w:rFonts w:eastAsia="TimesNewRomanPSMT"/>
          <w:color w:val="000000" w:themeColor="text1"/>
          <w:sz w:val="20"/>
          <w:szCs w:val="20"/>
        </w:rPr>
        <w:t>.</w:t>
      </w:r>
    </w:p>
    <w:p w:rsidR="00517711" w:rsidRDefault="00F815BE">
      <w:pPr>
        <w:spacing w:before="30" w:after="30" w:line="240" w:lineRule="auto"/>
        <w:ind w:firstLine="708"/>
        <w:jc w:val="both"/>
        <w:rPr>
          <w:rFonts w:ascii="Times New Roman" w:hAnsi="Times New Roman"/>
          <w:color w:val="000000"/>
          <w:sz w:val="20"/>
          <w:szCs w:val="20"/>
        </w:rPr>
      </w:pPr>
      <w:r>
        <w:rPr>
          <w:rFonts w:ascii="Times New Roman" w:eastAsia="TimesNewRomanPSMT" w:hAnsi="Times New Roman"/>
          <w:color w:val="000000" w:themeColor="text1"/>
          <w:sz w:val="20"/>
          <w:szCs w:val="20"/>
        </w:rPr>
        <w:t xml:space="preserve">С целью увеличения российско-китайского образовательного обмена и улучшения его качества с 2001 г. практикуется организация ежегодных выставок китайских и российских вузов для большей интеграции образования двух стран. Первая была проведена в Пекине, на которой приняли участие около 40 вузов, и уже в 2002 г. были организованы две такие выставки: в феврале на базе Шанхайского университета иностранных языков состоялась выставка-конференция «Российские университеты в начале 3 тысячелетия», а в мае в Москве и Санкт-Петербурге – «Китайские Университеты XXI века». </w:t>
      </w:r>
      <w:r>
        <w:rPr>
          <w:rFonts w:ascii="Times New Roman" w:hAnsi="Times New Roman"/>
          <w:color w:val="000000" w:themeColor="text1"/>
          <w:sz w:val="20"/>
          <w:szCs w:val="20"/>
        </w:rPr>
        <w:t>В 2010 году в сентябре был открыт Китайский культурный центр в г. Москва. Так же существует Красноярская региональная общественная организация «Китайская община» при поддержке посольства КНР в России. Она проводит ряд мероприятий для укрепления российско-китайских отношений и знакомства с культурой китайского народа.</w:t>
      </w:r>
      <w:hyperlink r:id="rId213" w:history="1">
        <w:r>
          <w:rPr>
            <w:rStyle w:val="aa"/>
            <w:color w:val="000000" w:themeColor="text1"/>
            <w:sz w:val="20"/>
            <w:szCs w:val="20"/>
          </w:rPr>
          <w:t>[3]</w:t>
        </w:r>
      </w:hyperlink>
      <w:r>
        <w:rPr>
          <w:rFonts w:ascii="Times New Roman" w:hAnsi="Times New Roman"/>
          <w:color w:val="000000" w:themeColor="text1"/>
          <w:sz w:val="20"/>
          <w:szCs w:val="20"/>
        </w:rPr>
        <w:t xml:space="preserve"> , </w:t>
      </w:r>
      <w:hyperlink r:id="rId214" w:history="1">
        <w:r>
          <w:rPr>
            <w:rStyle w:val="aa"/>
            <w:color w:val="000000" w:themeColor="text1"/>
            <w:sz w:val="20"/>
            <w:szCs w:val="20"/>
          </w:rPr>
          <w:t>[4]</w:t>
        </w:r>
      </w:hyperlink>
      <w:r>
        <w:rPr>
          <w:rStyle w:val="aa"/>
          <w:color w:val="000000" w:themeColor="text1"/>
          <w:sz w:val="20"/>
          <w:szCs w:val="20"/>
        </w:rPr>
        <w:t>.</w:t>
      </w:r>
    </w:p>
    <w:p w:rsidR="00517711" w:rsidRDefault="00F815BE">
      <w:pPr>
        <w:spacing w:before="30" w:after="30" w:line="240" w:lineRule="auto"/>
        <w:ind w:firstLine="708"/>
        <w:jc w:val="both"/>
        <w:rPr>
          <w:rFonts w:ascii="Times New Roman" w:eastAsia="TimesNewRomanPSMT" w:hAnsi="Times New Roman"/>
          <w:color w:val="000000"/>
          <w:sz w:val="20"/>
          <w:szCs w:val="20"/>
        </w:rPr>
      </w:pPr>
      <w:r>
        <w:rPr>
          <w:rFonts w:ascii="Times New Roman" w:hAnsi="Times New Roman"/>
          <w:color w:val="000000" w:themeColor="text1"/>
          <w:sz w:val="20"/>
          <w:szCs w:val="20"/>
        </w:rPr>
        <w:t xml:space="preserve">В целях поддержания ежегодного взаимодействия были проведены Годы национальных языков в 2009-2010 годах, в рамках межвузовского партнерства в 2013 г. в г. Даляне (КНР) была проведена встреча ректоров технических университетов России и университетов Китая, а также </w:t>
      </w:r>
      <w:r>
        <w:rPr>
          <w:rFonts w:ascii="Times New Roman" w:hAnsi="Times New Roman"/>
          <w:color w:val="000000" w:themeColor="text1"/>
          <w:sz w:val="20"/>
          <w:szCs w:val="20"/>
          <w:lang w:val="en-US"/>
        </w:rPr>
        <w:t>IV</w:t>
      </w:r>
      <w:r>
        <w:rPr>
          <w:rFonts w:ascii="Times New Roman" w:hAnsi="Times New Roman"/>
          <w:color w:val="000000" w:themeColor="text1"/>
          <w:sz w:val="20"/>
          <w:szCs w:val="20"/>
        </w:rPr>
        <w:t xml:space="preserve"> дальневосточный творческий фестиваль студентов и молодежи медицинских вузов в г. Владивостоке.</w:t>
      </w:r>
      <w:hyperlink r:id="rId215" w:history="1">
        <w:r>
          <w:rPr>
            <w:rStyle w:val="aa"/>
            <w:color w:val="000000" w:themeColor="text1"/>
            <w:sz w:val="20"/>
            <w:szCs w:val="20"/>
          </w:rPr>
          <w:t>[5]</w:t>
        </w:r>
      </w:hyperlink>
      <w:r>
        <w:rPr>
          <w:rStyle w:val="aa"/>
          <w:color w:val="000000" w:themeColor="text1"/>
          <w:sz w:val="20"/>
          <w:szCs w:val="20"/>
        </w:rPr>
        <w:t>.</w:t>
      </w:r>
    </w:p>
    <w:p w:rsidR="00517711" w:rsidRDefault="00F815BE">
      <w:pPr>
        <w:pStyle w:val="af6"/>
        <w:spacing w:before="30" w:beforeAutospacing="0" w:after="30" w:afterAutospacing="0"/>
        <w:ind w:firstLine="708"/>
        <w:jc w:val="both"/>
        <w:rPr>
          <w:color w:val="000000"/>
          <w:sz w:val="20"/>
          <w:szCs w:val="20"/>
        </w:rPr>
      </w:pPr>
      <w:r>
        <w:rPr>
          <w:color w:val="000000" w:themeColor="text1"/>
          <w:sz w:val="20"/>
          <w:szCs w:val="20"/>
        </w:rPr>
        <w:t>В настоящее время общее образовательное пространство Российской Федерации и Китайской Народной Республики неуклонно и интенсивно развивается, что можно заметить по числу студентов, участвующих в международном студенческом обмене между двумя странами, а так же растущее число совместных проектов. По данным ЮНЕСКО об иностранных студентах в странах-реципиентах в середине 1990-х гг. численность студентов- россиян, обучавшихся в зарубежных вузах, составляла 13 тыс. человек, а в 2006 году их количество увеличилось до 2,5 млн. Среди стран лидеров на первом месте является Китай- 395 тыс. чел. Вузы РФ так же принимают большое число китайских студентов. По данным Центра социологических исследований Минобрнауки в 2013-2014 году в России их было свыше- 18, 2 тыс. чел. в 2015-2016 гг. число увеличилось на 10%.</w:t>
      </w:r>
      <w:hyperlink r:id="rId216" w:history="1">
        <w:r>
          <w:rPr>
            <w:rStyle w:val="aa"/>
            <w:color w:val="000000" w:themeColor="text1"/>
            <w:sz w:val="20"/>
            <w:szCs w:val="20"/>
          </w:rPr>
          <w:t>[6]</w:t>
        </w:r>
      </w:hyperlink>
      <w:r>
        <w:rPr>
          <w:rStyle w:val="aa"/>
          <w:color w:val="000000" w:themeColor="text1"/>
          <w:sz w:val="20"/>
          <w:szCs w:val="20"/>
        </w:rPr>
        <w:t>.</w:t>
      </w:r>
    </w:p>
    <w:p w:rsidR="00517711" w:rsidRDefault="00F815BE">
      <w:pPr>
        <w:pStyle w:val="af6"/>
        <w:spacing w:before="30" w:beforeAutospacing="0" w:after="30" w:afterAutospacing="0"/>
        <w:ind w:firstLine="708"/>
        <w:jc w:val="both"/>
        <w:rPr>
          <w:color w:val="000000"/>
          <w:sz w:val="20"/>
          <w:szCs w:val="20"/>
        </w:rPr>
      </w:pPr>
      <w:r>
        <w:rPr>
          <w:color w:val="000000" w:themeColor="text1"/>
          <w:sz w:val="20"/>
          <w:szCs w:val="20"/>
        </w:rPr>
        <w:t>В связи с укрепляющимися отношениями между Россией и Китаем последние годы, процент российских студентов, обучающихся в китайских университетах, ежегодно растет. В настоящее время российские граждане обучаются почти в 100 высших учебных заведениях, расположенных в 22 провинциях, 4 городах центрального подчинения, и в 3 автономных районах.</w:t>
      </w:r>
      <w:hyperlink r:id="rId217" w:history="1">
        <w:r>
          <w:rPr>
            <w:rStyle w:val="aa"/>
            <w:color w:val="000000" w:themeColor="text1"/>
            <w:sz w:val="20"/>
            <w:szCs w:val="20"/>
          </w:rPr>
          <w:t>[7]</w:t>
        </w:r>
      </w:hyperlink>
      <w:r>
        <w:rPr>
          <w:rStyle w:val="aa"/>
          <w:color w:val="000000" w:themeColor="text1"/>
          <w:sz w:val="20"/>
          <w:szCs w:val="20"/>
        </w:rPr>
        <w:t>.</w:t>
      </w:r>
    </w:p>
    <w:p w:rsidR="00517711" w:rsidRDefault="00F815BE">
      <w:pPr>
        <w:pStyle w:val="af6"/>
        <w:spacing w:before="30" w:beforeAutospacing="0" w:after="30" w:afterAutospacing="0"/>
        <w:ind w:firstLine="708"/>
        <w:jc w:val="both"/>
        <w:rPr>
          <w:color w:val="000000"/>
          <w:sz w:val="20"/>
          <w:szCs w:val="20"/>
        </w:rPr>
      </w:pPr>
      <w:r>
        <w:rPr>
          <w:color w:val="000000" w:themeColor="text1"/>
          <w:sz w:val="20"/>
          <w:szCs w:val="20"/>
        </w:rPr>
        <w:lastRenderedPageBreak/>
        <w:t xml:space="preserve">По словам заместителя министра образования и науки РФ Людмилы Огородовой, </w:t>
      </w:r>
      <w:r>
        <w:rPr>
          <w:color w:val="000000" w:themeColor="text1"/>
          <w:sz w:val="20"/>
          <w:szCs w:val="20"/>
          <w:shd w:val="clear" w:color="auto" w:fill="FFFFFF"/>
        </w:rPr>
        <w:t>за последние несколько лет отношения стратегического партнерства между Китаем и Россией получили огромное развитие, как в сфере высшего образования, так и в сфере научно-конструкторской деятельности. На момент 2016 года 150 российских вузов поддерживают партнерские отношения с 600 китайскими вузами в сферах, обладающих стратегическим значением. Было подписано более 900 соглашений, так же было создано 8 союзов вузов России и Китая</w:t>
      </w:r>
      <w:r>
        <w:rPr>
          <w:color w:val="000000" w:themeColor="text1"/>
          <w:sz w:val="20"/>
          <w:szCs w:val="20"/>
        </w:rPr>
        <w:t xml:space="preserve">. </w:t>
      </w:r>
      <w:hyperlink r:id="rId218" w:history="1">
        <w:r>
          <w:rPr>
            <w:rStyle w:val="aa"/>
            <w:color w:val="000000" w:themeColor="text1"/>
            <w:sz w:val="20"/>
            <w:szCs w:val="20"/>
          </w:rPr>
          <w:t>[8]</w:t>
        </w:r>
      </w:hyperlink>
      <w:r>
        <w:rPr>
          <w:rStyle w:val="aa"/>
          <w:color w:val="000000" w:themeColor="text1"/>
          <w:sz w:val="20"/>
          <w:szCs w:val="20"/>
        </w:rPr>
        <w:t>.</w:t>
      </w:r>
    </w:p>
    <w:p w:rsidR="00517711" w:rsidRDefault="00F815BE">
      <w:pPr>
        <w:pStyle w:val="af6"/>
        <w:spacing w:before="30" w:beforeAutospacing="0" w:after="30" w:afterAutospacing="0"/>
        <w:ind w:firstLine="708"/>
        <w:jc w:val="both"/>
        <w:rPr>
          <w:color w:val="000000"/>
          <w:sz w:val="20"/>
          <w:szCs w:val="20"/>
        </w:rPr>
      </w:pPr>
      <w:r>
        <w:rPr>
          <w:color w:val="000000" w:themeColor="text1"/>
          <w:sz w:val="20"/>
          <w:szCs w:val="20"/>
        </w:rPr>
        <w:t>Многие университеты Китая, особенно те, что расположены в северо-восточной части страны с 2013 года выбирают в качестве стипендиальной поддержки российских студентов, поступающих в китайские вузы с целью получения высшего образования. Так же российских студентов поощряют стипендиями правительства Китая, что не входит в финансовую поддержку от конкретного университета. Помимо этого, ранее с Китаем были достигнуты договоренности, особенно касающиеся поддержания деятельности языковых центров в Китае и классов Конфуция в России. К 2020 году увеличение обмена студентами между этими странами планируется достигнуть 100 тыс. чел. в год.  С целью взаимной интернационализации культур и языка Россия и Китай не прекращает сотрудничать в сфере проведения мероприятий, которые касаются осведомления молодого поколения о значимости изучения русского и китайского языков.</w:t>
      </w:r>
      <w:hyperlink r:id="rId219" w:history="1">
        <w:r>
          <w:rPr>
            <w:rStyle w:val="aa"/>
            <w:color w:val="000000" w:themeColor="text1"/>
            <w:sz w:val="20"/>
            <w:szCs w:val="20"/>
          </w:rPr>
          <w:t>[9]</w:t>
        </w:r>
      </w:hyperlink>
      <w:r>
        <w:rPr>
          <w:color w:val="000000" w:themeColor="text1"/>
          <w:sz w:val="20"/>
          <w:szCs w:val="20"/>
        </w:rPr>
        <w:t xml:space="preserve"> , </w:t>
      </w:r>
      <w:hyperlink r:id="rId220" w:history="1">
        <w:r>
          <w:rPr>
            <w:rStyle w:val="aa"/>
            <w:color w:val="000000" w:themeColor="text1"/>
            <w:sz w:val="20"/>
            <w:szCs w:val="20"/>
          </w:rPr>
          <w:t>[5]</w:t>
        </w:r>
      </w:hyperlink>
      <w:r>
        <w:rPr>
          <w:rStyle w:val="aa"/>
          <w:color w:val="000000" w:themeColor="text1"/>
          <w:sz w:val="20"/>
          <w:szCs w:val="20"/>
        </w:rPr>
        <w:t>.</w:t>
      </w:r>
    </w:p>
    <w:p w:rsidR="00517711" w:rsidRDefault="00F815BE">
      <w:pPr>
        <w:spacing w:after="0"/>
        <w:ind w:firstLine="708"/>
        <w:rPr>
          <w:rFonts w:ascii="Times New Roman" w:hAnsi="Times New Roman"/>
          <w:color w:val="000000"/>
          <w:sz w:val="20"/>
          <w:szCs w:val="20"/>
          <w:lang w:val="en-US"/>
        </w:rPr>
      </w:pPr>
      <w:r>
        <w:rPr>
          <w:rFonts w:ascii="Times New Roman" w:hAnsi="Times New Roman"/>
          <w:color w:val="000000" w:themeColor="text1"/>
          <w:sz w:val="20"/>
          <w:szCs w:val="20"/>
        </w:rPr>
        <w:t>Стоит отметить, что престиж совместных образовательных программ РФ и КНР с каждым годом увеличивается, что приводит к росту объема международного студенческого обмена. Именно плодотворное сотрудничество между государствами, вузами и культурами привели к тому, что на современном этапе российские студенты чаще ставят в приоритет высшее образование в Китае, а число российских учащихся в вузах Китая возросло с 5000 чел. в 2012 г. до 16000 чел. в 2016 г и продолжает расти. Благодаря многолетнему сотрудничеству и большому историческому опыту партнёрского диалога прослеживается постоянное повышение образовательной и культурной грамотности молодежи, что в свою очередь имеет большое влияние на развитие международных связей двух стран .</w:t>
      </w:r>
      <w:hyperlink r:id="rId221" w:history="1">
        <w:r>
          <w:rPr>
            <w:rStyle w:val="aa"/>
            <w:color w:val="000000" w:themeColor="text1"/>
            <w:sz w:val="20"/>
            <w:szCs w:val="20"/>
            <w:lang w:val="en-US"/>
          </w:rPr>
          <w:t>[10]</w:t>
        </w:r>
      </w:hyperlink>
      <w:r>
        <w:rPr>
          <w:rStyle w:val="aa"/>
          <w:color w:val="000000" w:themeColor="text1"/>
          <w:sz w:val="20"/>
          <w:szCs w:val="20"/>
          <w:lang w:val="en-US"/>
        </w:rPr>
        <w:t>.</w:t>
      </w:r>
      <w:r>
        <w:rPr>
          <w:rFonts w:ascii="Times New Roman" w:hAnsi="Times New Roman"/>
          <w:color w:val="000000" w:themeColor="text1"/>
          <w:sz w:val="20"/>
          <w:szCs w:val="20"/>
          <w:lang w:val="en-US"/>
        </w:rPr>
        <w:t xml:space="preserve">   </w:t>
      </w:r>
    </w:p>
    <w:p w:rsidR="00517711" w:rsidRDefault="00517711">
      <w:pPr>
        <w:pBdr>
          <w:bottom w:val="single" w:sz="12" w:space="2" w:color="auto"/>
        </w:pBdr>
        <w:spacing w:after="0" w:line="240" w:lineRule="auto"/>
        <w:ind w:firstLine="709"/>
        <w:jc w:val="both"/>
        <w:rPr>
          <w:rStyle w:val="word"/>
          <w:rFonts w:ascii="Times New Roman" w:hAnsi="Times New Roman"/>
          <w:color w:val="000000"/>
          <w:sz w:val="20"/>
          <w:szCs w:val="20"/>
          <w:lang w:val="en-US"/>
        </w:rPr>
      </w:pPr>
    </w:p>
    <w:p w:rsidR="00517711" w:rsidRDefault="00F815BE">
      <w:pPr>
        <w:pStyle w:val="af4"/>
        <w:numPr>
          <w:ilvl w:val="0"/>
          <w:numId w:val="59"/>
        </w:numPr>
        <w:spacing w:before="20" w:after="20"/>
        <w:jc w:val="both"/>
        <w:rPr>
          <w:rFonts w:ascii="Times New Roman" w:hAnsi="Times New Roman"/>
          <w:sz w:val="20"/>
          <w:szCs w:val="20"/>
          <w:lang w:val="en-US" w:eastAsia="ru-RU"/>
        </w:rPr>
      </w:pPr>
      <w:r>
        <w:rPr>
          <w:rFonts w:ascii="Times New Roman" w:hAnsi="Times New Roman"/>
          <w:sz w:val="20"/>
          <w:szCs w:val="20"/>
          <w:lang w:val="en-US" w:eastAsia="ru-RU"/>
        </w:rPr>
        <w:t xml:space="preserve">Varghese N.V. Globalization of higher education and cross-border student mobility / Varghese N.V.// Research papers IIEP.-2008.-PP.5-6 </w:t>
      </w:r>
    </w:p>
    <w:p w:rsidR="00517711" w:rsidRDefault="00F815BE">
      <w:pPr>
        <w:pStyle w:val="af4"/>
        <w:numPr>
          <w:ilvl w:val="0"/>
          <w:numId w:val="59"/>
        </w:numPr>
        <w:spacing w:before="20" w:after="20"/>
        <w:jc w:val="both"/>
        <w:rPr>
          <w:rFonts w:ascii="Times New Roman" w:hAnsi="Times New Roman"/>
          <w:sz w:val="20"/>
          <w:szCs w:val="20"/>
          <w:lang w:eastAsia="ru-RU"/>
        </w:rPr>
      </w:pPr>
      <w:r>
        <w:rPr>
          <w:rFonts w:ascii="Times New Roman" w:hAnsi="Times New Roman"/>
          <w:sz w:val="20"/>
          <w:szCs w:val="20"/>
          <w:lang w:eastAsia="ru-RU"/>
        </w:rPr>
        <w:t xml:space="preserve">Анохина Е.С. Иностранные студенты в Китае и проблемы урегулирования их пребывания в стране [Электронный ресурс] / Е.С. Анохина // Вестник Томского государственного университета. История. – 2015. - № 3. – Режим доступа: </w:t>
      </w:r>
      <w:hyperlink r:id="rId222" w:history="1">
        <w:r>
          <w:rPr>
            <w:rFonts w:ascii="Times New Roman" w:hAnsi="Times New Roman"/>
            <w:sz w:val="20"/>
            <w:szCs w:val="20"/>
            <w:lang w:eastAsia="ru-RU"/>
          </w:rPr>
          <w:t>https://cyberleninka.ru/article/v/inostrannye-studenty-v-kitae-i-problemy-regulirovaniya-ih-prebyvaniya-v-strane</w:t>
        </w:r>
      </w:hyperlink>
      <w:r>
        <w:rPr>
          <w:rFonts w:ascii="Times New Roman" w:hAnsi="Times New Roman"/>
          <w:sz w:val="20"/>
          <w:szCs w:val="20"/>
          <w:lang w:eastAsia="ru-RU"/>
        </w:rPr>
        <w:t>.</w:t>
      </w:r>
    </w:p>
    <w:p w:rsidR="00517711" w:rsidRDefault="00F815BE">
      <w:pPr>
        <w:pStyle w:val="af4"/>
        <w:numPr>
          <w:ilvl w:val="0"/>
          <w:numId w:val="59"/>
        </w:numPr>
        <w:spacing w:before="20" w:after="20"/>
        <w:jc w:val="both"/>
        <w:rPr>
          <w:rFonts w:ascii="Times New Roman" w:hAnsi="Times New Roman"/>
          <w:sz w:val="20"/>
          <w:szCs w:val="20"/>
          <w:lang w:eastAsia="ru-RU"/>
        </w:rPr>
      </w:pPr>
      <w:r>
        <w:rPr>
          <w:rFonts w:ascii="Times New Roman" w:hAnsi="Times New Roman"/>
          <w:sz w:val="20"/>
          <w:szCs w:val="20"/>
          <w:lang w:eastAsia="ru-RU"/>
        </w:rPr>
        <w:t xml:space="preserve">Касимова А.Р. Российско-Китайские отношения в области науки и образования на современном этапе [Электронный ресурс] / А.Р. Касимова // Интернет-журнал «Статистика и Экономика». – 2013. -  № 4. – Режим доступа: </w:t>
      </w:r>
      <w:hyperlink r:id="rId223" w:history="1">
        <w:r>
          <w:rPr>
            <w:rFonts w:ascii="Times New Roman" w:hAnsi="Times New Roman"/>
            <w:sz w:val="20"/>
            <w:szCs w:val="20"/>
            <w:lang w:eastAsia="ru-RU"/>
          </w:rPr>
          <w:t>https://statecon.rea.ru/jour/article/download/202/184</w:t>
        </w:r>
      </w:hyperlink>
    </w:p>
    <w:p w:rsidR="00517711" w:rsidRDefault="00F815BE">
      <w:pPr>
        <w:pStyle w:val="af4"/>
        <w:numPr>
          <w:ilvl w:val="0"/>
          <w:numId w:val="59"/>
        </w:numPr>
        <w:spacing w:before="20" w:after="20"/>
        <w:jc w:val="both"/>
        <w:rPr>
          <w:rFonts w:ascii="Times New Roman" w:hAnsi="Times New Roman"/>
          <w:sz w:val="20"/>
          <w:szCs w:val="20"/>
          <w:lang w:eastAsia="ru-RU"/>
        </w:rPr>
      </w:pPr>
      <w:r>
        <w:rPr>
          <w:rFonts w:ascii="Times New Roman" w:hAnsi="Times New Roman"/>
          <w:sz w:val="20"/>
          <w:szCs w:val="20"/>
          <w:lang w:eastAsia="ru-RU"/>
        </w:rPr>
        <w:t xml:space="preserve">Трубицына К.С. Взаимоотношения России и Китая в области культуры в XXI в [Электронный ресурс] / К.С. Трубицына // Научно-практические конференции ученых и студентов. Публикации Scopus и Web of Science. Авторские и коллективные монографии РИНЦ. - Режим доступа: </w:t>
      </w:r>
      <w:hyperlink r:id="rId224" w:history="1">
        <w:r>
          <w:rPr>
            <w:rFonts w:ascii="Times New Roman" w:hAnsi="Times New Roman"/>
            <w:sz w:val="20"/>
            <w:szCs w:val="20"/>
            <w:lang w:eastAsia="ru-RU"/>
          </w:rPr>
          <w:t>https://sibac.info/studconf/science/ii/27289</w:t>
        </w:r>
      </w:hyperlink>
    </w:p>
    <w:p w:rsidR="00517711" w:rsidRDefault="00F815BE">
      <w:pPr>
        <w:pStyle w:val="af4"/>
        <w:numPr>
          <w:ilvl w:val="0"/>
          <w:numId w:val="59"/>
        </w:numPr>
        <w:spacing w:before="20" w:after="20"/>
        <w:jc w:val="both"/>
        <w:rPr>
          <w:rFonts w:ascii="Times New Roman" w:hAnsi="Times New Roman"/>
          <w:sz w:val="20"/>
          <w:szCs w:val="20"/>
          <w:lang w:eastAsia="ru-RU"/>
        </w:rPr>
      </w:pPr>
      <w:r>
        <w:rPr>
          <w:rFonts w:ascii="Times New Roman" w:hAnsi="Times New Roman"/>
          <w:sz w:val="20"/>
          <w:szCs w:val="20"/>
          <w:lang w:eastAsia="ru-RU"/>
        </w:rPr>
        <w:t xml:space="preserve">Сотрудничество между Россией и Китаем в области образования [Электронный ресурс] // Министерство Образования и Науки Российской Федерации (МИНОБРНАУКИ.РФ). – Режим доступа: </w:t>
      </w:r>
      <w:hyperlink r:id="rId225" w:history="1">
        <w:r>
          <w:rPr>
            <w:rFonts w:ascii="Times New Roman" w:hAnsi="Times New Roman"/>
            <w:sz w:val="20"/>
            <w:szCs w:val="20"/>
            <w:lang w:eastAsia="ru-RU"/>
          </w:rPr>
          <w:t>https://xn--80abucjiibhv9a.xn--p1ai/m/%D0%BD%D0%BE%D0%B2%D0%BE%D1%81%D1%82%D0%B8/5691</w:t>
        </w:r>
      </w:hyperlink>
      <w:r>
        <w:rPr>
          <w:rFonts w:ascii="Times New Roman" w:hAnsi="Times New Roman"/>
          <w:sz w:val="20"/>
          <w:szCs w:val="20"/>
          <w:lang w:eastAsia="ru-RU"/>
        </w:rPr>
        <w:t xml:space="preserve"> </w:t>
      </w:r>
    </w:p>
    <w:p w:rsidR="00517711" w:rsidRDefault="00F815BE">
      <w:pPr>
        <w:pStyle w:val="af4"/>
        <w:numPr>
          <w:ilvl w:val="0"/>
          <w:numId w:val="59"/>
        </w:numPr>
        <w:spacing w:before="20" w:after="20"/>
        <w:jc w:val="both"/>
        <w:rPr>
          <w:rFonts w:ascii="Times New Roman" w:hAnsi="Times New Roman"/>
          <w:sz w:val="20"/>
          <w:szCs w:val="20"/>
          <w:lang w:eastAsia="ru-RU"/>
        </w:rPr>
      </w:pPr>
      <w:r>
        <w:rPr>
          <w:rFonts w:ascii="Times New Roman" w:hAnsi="Times New Roman"/>
          <w:sz w:val="20"/>
          <w:szCs w:val="20"/>
          <w:lang w:eastAsia="ru-RU"/>
        </w:rPr>
        <w:t xml:space="preserve">Лю Цзея. Развитие российско-китайских отношений в области образования [Электронный ресурс] / Лю Цзея // Интернет-журнал «Образование и Наука». – 2013.- № 10. – Режим доступа: </w:t>
      </w:r>
      <w:hyperlink r:id="rId226" w:history="1">
        <w:r>
          <w:rPr>
            <w:rFonts w:ascii="Times New Roman" w:hAnsi="Times New Roman"/>
            <w:sz w:val="20"/>
            <w:szCs w:val="20"/>
            <w:lang w:eastAsia="ru-RU"/>
          </w:rPr>
          <w:t>https://www.edscience.ru/jour/article/view/235/230</w:t>
        </w:r>
      </w:hyperlink>
      <w:r>
        <w:rPr>
          <w:rFonts w:ascii="Times New Roman" w:hAnsi="Times New Roman"/>
          <w:sz w:val="20"/>
          <w:szCs w:val="20"/>
          <w:lang w:eastAsia="ru-RU"/>
        </w:rPr>
        <w:t xml:space="preserve">  </w:t>
      </w:r>
    </w:p>
    <w:p w:rsidR="00517711" w:rsidRDefault="00F815BE">
      <w:pPr>
        <w:pStyle w:val="af4"/>
        <w:numPr>
          <w:ilvl w:val="0"/>
          <w:numId w:val="59"/>
        </w:numPr>
        <w:spacing w:before="20" w:after="20"/>
        <w:jc w:val="both"/>
        <w:rPr>
          <w:rFonts w:ascii="Times New Roman" w:hAnsi="Times New Roman"/>
          <w:sz w:val="20"/>
          <w:szCs w:val="20"/>
          <w:lang w:eastAsia="ru-RU"/>
        </w:rPr>
      </w:pPr>
      <w:r>
        <w:rPr>
          <w:rFonts w:ascii="Times New Roman" w:hAnsi="Times New Roman"/>
          <w:sz w:val="20"/>
          <w:szCs w:val="20"/>
          <w:lang w:eastAsia="ru-RU"/>
        </w:rPr>
        <w:t xml:space="preserve">Арефьев А. Л. Российские студенты в Китае [Электронный ресурс] / А.Л. Арефьев, К.А. Любская // Интернет-журнал «Демоскоп Weekly». – 2017. - №715-716. – Режим доступа: </w:t>
      </w:r>
      <w:hyperlink r:id="rId227" w:history="1">
        <w:r>
          <w:rPr>
            <w:rFonts w:ascii="Times New Roman" w:hAnsi="Times New Roman"/>
            <w:sz w:val="20"/>
            <w:szCs w:val="20"/>
            <w:lang w:eastAsia="ru-RU"/>
          </w:rPr>
          <w:t>www.demoscope.ru/weekly/2017/0715/demoscope715.pdf</w:t>
        </w:r>
      </w:hyperlink>
    </w:p>
    <w:p w:rsidR="00517711" w:rsidRDefault="00F815BE">
      <w:pPr>
        <w:pStyle w:val="af4"/>
        <w:numPr>
          <w:ilvl w:val="0"/>
          <w:numId w:val="59"/>
        </w:numPr>
        <w:spacing w:before="20" w:after="20"/>
        <w:jc w:val="both"/>
        <w:rPr>
          <w:rFonts w:ascii="Times New Roman" w:hAnsi="Times New Roman"/>
          <w:sz w:val="20"/>
          <w:szCs w:val="20"/>
          <w:lang w:eastAsia="ru-RU"/>
        </w:rPr>
      </w:pPr>
      <w:r>
        <w:rPr>
          <w:rFonts w:ascii="Times New Roman" w:hAnsi="Times New Roman"/>
          <w:sz w:val="20"/>
          <w:szCs w:val="20"/>
          <w:lang w:eastAsia="ru-RU"/>
        </w:rPr>
        <w:t xml:space="preserve">Как развивается российско-китайское сотрудничество в сфере образования: интервью с заместителем министра образования и науки РФ Людмилой Огородовой [Электронный ресурс] // ИНОСМИ.РУ. – Режим доступа: </w:t>
      </w:r>
      <w:hyperlink r:id="rId228" w:history="1">
        <w:r>
          <w:rPr>
            <w:rFonts w:ascii="Times New Roman" w:hAnsi="Times New Roman"/>
            <w:sz w:val="20"/>
            <w:szCs w:val="20"/>
            <w:lang w:eastAsia="ru-RU"/>
          </w:rPr>
          <w:t>https://inosmi.ru/social/20171220/241048517.html</w:t>
        </w:r>
      </w:hyperlink>
      <w:r>
        <w:rPr>
          <w:rFonts w:ascii="Times New Roman" w:hAnsi="Times New Roman"/>
          <w:sz w:val="20"/>
          <w:szCs w:val="20"/>
          <w:lang w:eastAsia="ru-RU"/>
        </w:rPr>
        <w:t xml:space="preserve">.  </w:t>
      </w:r>
    </w:p>
    <w:p w:rsidR="00517711" w:rsidRDefault="00F815BE">
      <w:pPr>
        <w:pStyle w:val="af4"/>
        <w:numPr>
          <w:ilvl w:val="0"/>
          <w:numId w:val="59"/>
        </w:numPr>
        <w:spacing w:before="20" w:after="20"/>
        <w:jc w:val="both"/>
        <w:rPr>
          <w:rFonts w:ascii="Times New Roman" w:hAnsi="Times New Roman"/>
          <w:iCs/>
          <w:sz w:val="20"/>
          <w:szCs w:val="20"/>
          <w:lang w:val="en-US" w:eastAsia="ru-RU"/>
        </w:rPr>
      </w:pPr>
      <w:r>
        <w:rPr>
          <w:rFonts w:ascii="Times New Roman" w:hAnsi="Times New Roman"/>
          <w:sz w:val="20"/>
          <w:szCs w:val="20"/>
          <w:lang w:val="en-US" w:eastAsia="ru-RU"/>
        </w:rPr>
        <w:t xml:space="preserve">Tim Studt. Chinese&amp;Russian Approaches to Higher Education [Electronic resources] // Laboratory Equipment: </w:t>
      </w:r>
      <w:r>
        <w:rPr>
          <w:rFonts w:ascii="Times New Roman" w:hAnsi="Times New Roman"/>
          <w:i/>
          <w:sz w:val="20"/>
          <w:szCs w:val="20"/>
          <w:lang w:val="en-US" w:eastAsia="ru-RU"/>
        </w:rPr>
        <w:t>Russia plans to close some struggling institutions while China looks to continue expanding the excellence of their academic programs.</w:t>
      </w:r>
      <w:r>
        <w:rPr>
          <w:rFonts w:ascii="Times New Roman" w:hAnsi="Times New Roman"/>
          <w:i/>
          <w:lang w:val="en-US" w:eastAsia="ru-RU"/>
        </w:rPr>
        <w:t xml:space="preserve"> – URL: </w:t>
      </w:r>
      <w:hyperlink r:id="rId229" w:history="1">
        <w:r>
          <w:rPr>
            <w:rFonts w:ascii="Times New Roman" w:hAnsi="Times New Roman"/>
            <w:sz w:val="20"/>
            <w:szCs w:val="20"/>
            <w:lang w:val="en-US" w:eastAsia="ru-RU"/>
          </w:rPr>
          <w:t>https://laboratoryequipment.com/article/2013/04/chinese-russian-approaches-higher-education</w:t>
        </w:r>
      </w:hyperlink>
      <w:r>
        <w:rPr>
          <w:rFonts w:ascii="Times New Roman" w:hAnsi="Times New Roman"/>
          <w:i/>
          <w:sz w:val="20"/>
          <w:szCs w:val="20"/>
          <w:lang w:val="en-US" w:eastAsia="ru-RU"/>
        </w:rPr>
        <w:t xml:space="preserve">. </w:t>
      </w:r>
    </w:p>
    <w:p w:rsidR="00517711" w:rsidRDefault="00F815BE">
      <w:pPr>
        <w:pStyle w:val="af4"/>
        <w:numPr>
          <w:ilvl w:val="0"/>
          <w:numId w:val="59"/>
        </w:numPr>
        <w:spacing w:before="20" w:after="20"/>
        <w:jc w:val="both"/>
        <w:rPr>
          <w:rFonts w:ascii="Times New Roman" w:hAnsi="Times New Roman"/>
          <w:sz w:val="20"/>
          <w:szCs w:val="20"/>
          <w:lang w:eastAsia="ru-RU"/>
        </w:rPr>
      </w:pPr>
      <w:r>
        <w:rPr>
          <w:rFonts w:ascii="Times New Roman" w:hAnsi="Times New Roman"/>
          <w:sz w:val="20"/>
          <w:szCs w:val="20"/>
          <w:lang w:eastAsia="ru-RU"/>
        </w:rPr>
        <w:t xml:space="preserve">Stefanovich M. Русские выбирают учебу за рубежом, а не в России. Почему студенты предпочитают обучение в зарубежных вузах учебе в России? [Электронный ресурс] // M. Stefanovich // hotcourses </w:t>
      </w:r>
      <w:r>
        <w:rPr>
          <w:rFonts w:ascii="Times New Roman" w:hAnsi="Times New Roman"/>
          <w:sz w:val="20"/>
          <w:szCs w:val="20"/>
          <w:lang w:eastAsia="ru-RU"/>
        </w:rPr>
        <w:lastRenderedPageBreak/>
        <w:t xml:space="preserve">Russia. – Режим доступа: </w:t>
      </w:r>
      <w:hyperlink r:id="rId230" w:history="1">
        <w:r>
          <w:rPr>
            <w:rFonts w:ascii="Times New Roman" w:hAnsi="Times New Roman"/>
            <w:sz w:val="20"/>
            <w:szCs w:val="20"/>
            <w:lang w:eastAsia="ru-RU"/>
          </w:rPr>
          <w:t>https://www.hotcourses.ru/study-abroad-info/latest-news/russian-students-choose-education-abroad/</w:t>
        </w:r>
      </w:hyperlink>
      <w:r>
        <w:rPr>
          <w:rFonts w:ascii="Times New Roman" w:hAnsi="Times New Roman"/>
          <w:sz w:val="20"/>
          <w:szCs w:val="20"/>
          <w:lang w:eastAsia="ru-RU"/>
        </w:rPr>
        <w:t xml:space="preserve">. </w:t>
      </w:r>
    </w:p>
    <w:p w:rsidR="00517711" w:rsidRDefault="00F815BE">
      <w:pPr>
        <w:keepNext/>
        <w:spacing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Международные отношения</w:t>
      </w:r>
    </w:p>
    <w:p w:rsidR="00517711" w:rsidRDefault="00F815BE">
      <w:pPr>
        <w:shd w:val="clear" w:color="auto" w:fill="FFFFFF"/>
        <w:spacing w:before="20" w:after="20" w:line="240" w:lineRule="auto"/>
        <w:outlineLvl w:val="2"/>
        <w:rPr>
          <w:rStyle w:val="word"/>
          <w:rFonts w:ascii="Times New Roman" w:hAnsi="Times New Roman"/>
          <w:sz w:val="20"/>
          <w:szCs w:val="24"/>
        </w:rPr>
      </w:pPr>
      <w:r>
        <w:rPr>
          <w:rStyle w:val="word"/>
          <w:rFonts w:ascii="Times New Roman" w:hAnsi="Times New Roman"/>
          <w:sz w:val="20"/>
          <w:szCs w:val="24"/>
        </w:rPr>
        <w:t>УДК 327</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ПОЛИТИКА «МЯГКОЙ СИЛЫ» В ДВУСТОРОННИХ ОТНОШЕНИЯХ РОССИИ И КИТАЯ</w:t>
      </w:r>
    </w:p>
    <w:p w:rsidR="00517711" w:rsidRDefault="00F815BE">
      <w:pPr>
        <w:pStyle w:val="af6"/>
        <w:spacing w:before="0" w:beforeAutospacing="0" w:after="0" w:afterAutospacing="0"/>
        <w:jc w:val="center"/>
        <w:rPr>
          <w:rFonts w:ascii="Arial" w:eastAsia="Calibri" w:hAnsi="Arial"/>
          <w:b/>
          <w:bCs/>
          <w:szCs w:val="20"/>
        </w:rPr>
      </w:pPr>
      <w:r>
        <w:rPr>
          <w:rFonts w:ascii="Arial" w:eastAsia="Calibri" w:hAnsi="Arial"/>
          <w:b/>
          <w:bCs/>
          <w:szCs w:val="20"/>
        </w:rPr>
        <w:t>Демченко Сергей Дмитриевич,</w:t>
      </w:r>
    </w:p>
    <w:p w:rsidR="00517711" w:rsidRDefault="00F815BE">
      <w:pPr>
        <w:pStyle w:val="af6"/>
        <w:spacing w:before="0" w:beforeAutospacing="0" w:after="240" w:afterAutospacing="0"/>
        <w:jc w:val="center"/>
        <w:rPr>
          <w:rFonts w:ascii="Arial" w:eastAsia="Calibri" w:hAnsi="Arial"/>
          <w:bCs/>
          <w:szCs w:val="20"/>
        </w:rPr>
      </w:pPr>
      <w:r>
        <w:rPr>
          <w:rFonts w:ascii="Arial" w:eastAsia="Calibri" w:hAnsi="Arial"/>
          <w:bCs/>
          <w:szCs w:val="20"/>
        </w:rPr>
        <w:t>бакалавр 3 курса, кафедра теории и истории российского и зарубежного права</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pStyle w:val="af6"/>
        <w:spacing w:before="20" w:beforeAutospacing="0" w:after="20" w:afterAutospacing="0"/>
        <w:jc w:val="center"/>
        <w:rPr>
          <w:sz w:val="20"/>
        </w:rPr>
      </w:pPr>
      <w:r>
        <w:rPr>
          <w:color w:val="000000" w:themeColor="text1"/>
          <w:sz w:val="20"/>
          <w:lang w:val="en-US"/>
        </w:rPr>
        <w:t>E</w:t>
      </w:r>
      <w:r>
        <w:rPr>
          <w:color w:val="000000" w:themeColor="text1"/>
          <w:sz w:val="20"/>
        </w:rPr>
        <w:t>-</w:t>
      </w:r>
      <w:r>
        <w:rPr>
          <w:color w:val="000000" w:themeColor="text1"/>
          <w:sz w:val="20"/>
          <w:lang w:val="en-US"/>
        </w:rPr>
        <w:t>mail</w:t>
      </w:r>
      <w:r>
        <w:rPr>
          <w:color w:val="000000" w:themeColor="text1"/>
          <w:sz w:val="20"/>
        </w:rPr>
        <w:t xml:space="preserve">: </w:t>
      </w:r>
      <w:hyperlink r:id="rId231" w:history="1">
        <w:r>
          <w:rPr>
            <w:rStyle w:val="aa"/>
            <w:color w:val="000000" w:themeColor="text1"/>
            <w:sz w:val="20"/>
            <w:lang w:val="en-US"/>
          </w:rPr>
          <w:t>Sergey</w:t>
        </w:r>
        <w:r>
          <w:rPr>
            <w:rStyle w:val="aa"/>
            <w:color w:val="000000" w:themeColor="text1"/>
            <w:sz w:val="20"/>
          </w:rPr>
          <w:t>.</w:t>
        </w:r>
        <w:r>
          <w:rPr>
            <w:rStyle w:val="aa"/>
            <w:color w:val="000000" w:themeColor="text1"/>
            <w:sz w:val="20"/>
            <w:lang w:val="en-US"/>
          </w:rPr>
          <w:t>Demchenko</w:t>
        </w:r>
        <w:r>
          <w:rPr>
            <w:rStyle w:val="aa"/>
            <w:color w:val="000000" w:themeColor="text1"/>
            <w:sz w:val="20"/>
          </w:rPr>
          <w:t>@</w:t>
        </w:r>
        <w:r>
          <w:rPr>
            <w:rStyle w:val="aa"/>
            <w:color w:val="000000" w:themeColor="text1"/>
            <w:sz w:val="20"/>
            <w:lang w:val="en-US"/>
          </w:rPr>
          <w:t>vvsu</w:t>
        </w:r>
        <w:r>
          <w:rPr>
            <w:rStyle w:val="aa"/>
            <w:color w:val="000000" w:themeColor="text1"/>
            <w:sz w:val="20"/>
          </w:rPr>
          <w:t>.</w:t>
        </w:r>
        <w:r>
          <w:rPr>
            <w:rStyle w:val="aa"/>
            <w:color w:val="000000" w:themeColor="text1"/>
            <w:sz w:val="20"/>
            <w:lang w:val="en-US"/>
          </w:rPr>
          <w:t>ru</w:t>
        </w:r>
      </w:hyperlink>
      <w:r>
        <w:rPr>
          <w:color w:val="000000" w:themeColor="text1"/>
          <w:sz w:val="20"/>
        </w:rPr>
        <w:t xml:space="preserve"> </w:t>
      </w:r>
      <w:r>
        <w:rPr>
          <w:sz w:val="20"/>
        </w:rPr>
        <w:t>; тел.: +79502882600</w:t>
      </w:r>
    </w:p>
    <w:p w:rsidR="00517711" w:rsidRDefault="00F815BE">
      <w:pPr>
        <w:pStyle w:val="af6"/>
        <w:spacing w:before="0" w:beforeAutospacing="0" w:after="240" w:afterAutospacing="0"/>
        <w:jc w:val="center"/>
        <w:rPr>
          <w:sz w:val="20"/>
        </w:rPr>
      </w:pPr>
      <w:r>
        <w:rPr>
          <w:sz w:val="20"/>
        </w:rPr>
        <w:t>ул. Гоголя 41, г. Владивосток, Приморский край, Россия, 690014</w:t>
      </w:r>
    </w:p>
    <w:p w:rsidR="00517711" w:rsidRDefault="00F815BE">
      <w:pPr>
        <w:pStyle w:val="af6"/>
        <w:spacing w:before="0" w:beforeAutospacing="0" w:after="0" w:afterAutospacing="0"/>
        <w:ind w:firstLine="708"/>
        <w:rPr>
          <w:i/>
          <w:sz w:val="22"/>
        </w:rPr>
      </w:pPr>
      <w:r>
        <w:rPr>
          <w:i/>
          <w:sz w:val="22"/>
        </w:rPr>
        <w:t>Российско-Китайские отношения являются беспрецедентным примером ведения двусторонней политики, что, в какой-то мере является заслугой использования «Мягкой силы». Сотрудничество между Россией и Китаем переходит на новый уровень. Актуальность и значимость изучения использования «Мягкой силы» в международных отношениях доказывается продолжающимся развитием двусторонних отношений между давними партнерами – Россией и Китаем.</w:t>
      </w:r>
    </w:p>
    <w:p w:rsidR="00517711" w:rsidRDefault="00F815BE">
      <w:pPr>
        <w:pStyle w:val="af6"/>
        <w:spacing w:before="0" w:beforeAutospacing="0" w:after="0" w:afterAutospacing="0"/>
        <w:ind w:firstLine="708"/>
        <w:rPr>
          <w:b/>
          <w:i/>
          <w:sz w:val="22"/>
        </w:rPr>
      </w:pPr>
      <w:r>
        <w:rPr>
          <w:b/>
          <w:i/>
          <w:sz w:val="22"/>
        </w:rPr>
        <w:t xml:space="preserve">Ключевые слова и словосочетания: </w:t>
      </w:r>
    </w:p>
    <w:p w:rsidR="00517711" w:rsidRDefault="00F815BE">
      <w:pPr>
        <w:pStyle w:val="af6"/>
        <w:spacing w:before="0" w:beforeAutospacing="0" w:after="0" w:afterAutospacing="0"/>
        <w:ind w:firstLine="708"/>
        <w:rPr>
          <w:i/>
          <w:sz w:val="22"/>
        </w:rPr>
      </w:pPr>
      <w:r>
        <w:rPr>
          <w:i/>
          <w:sz w:val="22"/>
        </w:rPr>
        <w:t>Мягкая сила, политика, сотрудничество России с Китаем.</w:t>
      </w:r>
    </w:p>
    <w:p w:rsidR="00517711" w:rsidRDefault="00F815BE">
      <w:pPr>
        <w:keepNext/>
        <w:spacing w:before="240" w:after="240" w:line="240" w:lineRule="auto"/>
        <w:jc w:val="center"/>
        <w:outlineLvl w:val="0"/>
        <w:rPr>
          <w:rFonts w:ascii="Book Antiqua" w:eastAsia="Calibri" w:hAnsi="Book Antiqua"/>
          <w:b/>
          <w:bCs/>
          <w:caps/>
          <w:sz w:val="26"/>
          <w:szCs w:val="20"/>
          <w:lang w:val="en-US"/>
        </w:rPr>
      </w:pPr>
      <w:r>
        <w:rPr>
          <w:rFonts w:ascii="Book Antiqua" w:eastAsia="Calibri" w:hAnsi="Book Antiqua"/>
          <w:b/>
          <w:bCs/>
          <w:caps/>
          <w:sz w:val="26"/>
          <w:szCs w:val="20"/>
          <w:lang w:val="en-US"/>
        </w:rPr>
        <w:t>THE «SOFT POWER» POLICY IN BILETERAL RELATIONS BETWEEN RUSSIA AND CHINA</w:t>
      </w:r>
    </w:p>
    <w:p w:rsidR="00517711" w:rsidRDefault="00F815BE">
      <w:pPr>
        <w:pStyle w:val="af6"/>
        <w:spacing w:before="20" w:beforeAutospacing="0" w:after="20" w:afterAutospacing="0"/>
        <w:jc w:val="center"/>
        <w:rPr>
          <w:rFonts w:ascii="Arial" w:eastAsia="Calibri" w:hAnsi="Arial"/>
          <w:b/>
          <w:bCs/>
          <w:lang w:val="en-US" w:eastAsia="en-US"/>
        </w:rPr>
      </w:pPr>
      <w:r>
        <w:rPr>
          <w:rFonts w:ascii="Arial" w:eastAsia="Calibri" w:hAnsi="Arial"/>
          <w:b/>
          <w:bCs/>
          <w:lang w:val="en-US" w:eastAsia="en-US"/>
        </w:rPr>
        <w:t>Demchenko Sergey Dmitrievich,</w:t>
      </w:r>
    </w:p>
    <w:p w:rsidR="00517711" w:rsidRDefault="00F815BE">
      <w:pPr>
        <w:pStyle w:val="af6"/>
        <w:spacing w:before="0" w:beforeAutospacing="0" w:after="240" w:afterAutospacing="0"/>
        <w:jc w:val="center"/>
        <w:rPr>
          <w:rFonts w:ascii="Arial" w:eastAsia="Calibri" w:hAnsi="Arial"/>
          <w:bCs/>
          <w:szCs w:val="20"/>
          <w:lang w:val="en-US"/>
        </w:rPr>
      </w:pPr>
      <w:r>
        <w:rPr>
          <w:rFonts w:ascii="Arial" w:eastAsia="Calibri" w:hAnsi="Arial"/>
          <w:bCs/>
          <w:szCs w:val="20"/>
          <w:lang w:val="en-US"/>
        </w:rPr>
        <w:t>bachelor of the 3rd year, department of theory and history of Russian and foreign law</w:t>
      </w:r>
    </w:p>
    <w:p w:rsidR="00517711" w:rsidRDefault="00F815BE">
      <w:pPr>
        <w:spacing w:after="0" w:line="240" w:lineRule="auto"/>
        <w:jc w:val="center"/>
        <w:rPr>
          <w:rFonts w:ascii="Times New Roman" w:eastAsia="Calibri" w:hAnsi="Times New Roman"/>
          <w:i/>
          <w:sz w:val="21"/>
          <w:szCs w:val="21"/>
          <w:lang w:val="en-US"/>
        </w:rPr>
      </w:pPr>
      <w:r>
        <w:rPr>
          <w:rFonts w:ascii="Times New Roman" w:eastAsia="Calibri" w:hAnsi="Times New Roman"/>
          <w:i/>
          <w:sz w:val="21"/>
          <w:szCs w:val="21"/>
          <w:lang w:val="en-US"/>
        </w:rPr>
        <w:t xml:space="preserve">Vladivostok state university of economics and service </w:t>
      </w:r>
    </w:p>
    <w:p w:rsidR="00517711" w:rsidRDefault="00F815BE">
      <w:pPr>
        <w:spacing w:line="240" w:lineRule="auto"/>
        <w:jc w:val="center"/>
        <w:rPr>
          <w:rFonts w:ascii="Times New Roman" w:eastAsia="Calibri" w:hAnsi="Times New Roman"/>
          <w:i/>
          <w:sz w:val="21"/>
          <w:szCs w:val="21"/>
          <w:lang w:val="en-US"/>
        </w:rPr>
      </w:pPr>
      <w:r>
        <w:rPr>
          <w:rFonts w:ascii="Times New Roman" w:eastAsia="Calibri" w:hAnsi="Times New Roman"/>
          <w:i/>
          <w:sz w:val="21"/>
          <w:szCs w:val="21"/>
          <w:lang w:val="en-US"/>
        </w:rPr>
        <w:t>Russia. Vladivostok</w:t>
      </w:r>
    </w:p>
    <w:p w:rsidR="00517711" w:rsidRDefault="00F815BE">
      <w:pPr>
        <w:pStyle w:val="af6"/>
        <w:spacing w:before="0" w:beforeAutospacing="0" w:after="0" w:afterAutospacing="0"/>
        <w:ind w:firstLine="708"/>
        <w:rPr>
          <w:i/>
          <w:sz w:val="22"/>
          <w:lang w:val="en-US"/>
        </w:rPr>
      </w:pPr>
      <w:r>
        <w:rPr>
          <w:i/>
          <w:sz w:val="22"/>
          <w:lang w:val="en-US"/>
        </w:rPr>
        <w:t>Relations between Russia and China are unprecedented example of bilateral diplomacy, to some extend because of «Soft power». Cooperation between Russia and China elevates to a next level. Topic of «Soft power» used as a tool in international relationship is a relevant and meaningful because of the further development of relations between Russia and China.</w:t>
      </w:r>
      <w:r>
        <w:rPr>
          <w:i/>
          <w:lang w:val="en-US"/>
        </w:rPr>
        <w:tab/>
      </w:r>
    </w:p>
    <w:p w:rsidR="00517711" w:rsidRDefault="00F815BE">
      <w:pPr>
        <w:pStyle w:val="af6"/>
        <w:spacing w:before="0" w:beforeAutospacing="0" w:after="0" w:afterAutospacing="0"/>
        <w:ind w:firstLine="708"/>
        <w:rPr>
          <w:b/>
          <w:i/>
          <w:sz w:val="22"/>
          <w:lang w:val="en-US"/>
        </w:rPr>
      </w:pPr>
      <w:r>
        <w:rPr>
          <w:b/>
          <w:i/>
          <w:sz w:val="22"/>
          <w:lang w:val="en-US"/>
        </w:rPr>
        <w:t>Key words and phrases:</w:t>
      </w:r>
    </w:p>
    <w:p w:rsidR="00517711" w:rsidRDefault="00F815BE">
      <w:pPr>
        <w:pStyle w:val="af6"/>
        <w:spacing w:before="0" w:beforeAutospacing="0" w:after="0" w:afterAutospacing="0"/>
        <w:ind w:firstLine="708"/>
        <w:rPr>
          <w:i/>
          <w:sz w:val="22"/>
          <w:lang w:val="en-US"/>
        </w:rPr>
      </w:pPr>
      <w:r>
        <w:rPr>
          <w:i/>
          <w:sz w:val="22"/>
          <w:lang w:val="en-US"/>
        </w:rPr>
        <w:t>Soft power, politics, cooperation between Russia and China.</w:t>
      </w:r>
    </w:p>
    <w:p w:rsidR="00517711" w:rsidRDefault="00517711">
      <w:pPr>
        <w:pStyle w:val="af6"/>
        <w:spacing w:before="0" w:beforeAutospacing="0" w:after="0" w:afterAutospacing="0"/>
        <w:ind w:firstLine="708"/>
        <w:rPr>
          <w:rStyle w:val="word"/>
          <w:i/>
          <w:sz w:val="22"/>
          <w:lang w:val="en-US"/>
        </w:rPr>
      </w:pPr>
    </w:p>
    <w:p w:rsidR="00517711" w:rsidRDefault="00F815BE">
      <w:pPr>
        <w:pStyle w:val="ae"/>
        <w:spacing w:before="20" w:after="20"/>
        <w:ind w:firstLine="709"/>
        <w:jc w:val="both"/>
        <w:rPr>
          <w:rStyle w:val="word"/>
          <w:rFonts w:ascii="Times New Roman" w:hAnsi="Times New Roman"/>
          <w:sz w:val="20"/>
          <w:szCs w:val="24"/>
        </w:rPr>
      </w:pPr>
      <w:r>
        <w:rPr>
          <w:rStyle w:val="word"/>
          <w:rFonts w:ascii="Times New Roman" w:hAnsi="Times New Roman"/>
          <w:sz w:val="20"/>
          <w:szCs w:val="24"/>
        </w:rPr>
        <w:t>Термин «Мягкая сила» был выдвинут и введен в обращение американским ученым, профессором Гарвардского института управления им. Джона Ф. Кеннеди, Джозефом С. Наем – младшим. Джозеф Най создал в 90х годах 20го века новую систему или концепцию такого воздействи</w:t>
      </w:r>
      <w:r>
        <w:rPr>
          <w:rFonts w:ascii="Times New Roman" w:hAnsi="Times New Roman"/>
          <w:sz w:val="20"/>
          <w:szCs w:val="24"/>
        </w:rPr>
        <w:t xml:space="preserve">я государства – участника международных отношений, которое незаметно на первый взгляд, но играет решающую роль во всех аспектах политической жизни данного государства. Несмотря на то, что еще в 80х годах 20го века, до того, как понятие «Мягкая сила» стало общеизвестным, директор Центра исследований стратегии и международных отношений университета в Американском городе Джорджтауне Р.С. Клайн разделил международное влияние государство на материальную мощь и духовную силу, идея Джозефа Ная разительно отличалась и привнесла много нового в понимание международных отношений. [1, с. 149] Практически единственным заимствованием у Клайна можно считать разделение силы государств в концепции Джозефа Ная. По его мнению, воздействие государства в сфере международной политики делится на 2 разительно отличающихся друг от друга способа: «Мягкую силу» и «Жесткую силу» которые и являются воплощением духовной и материальной мощи соответственно. [2, с. 99] В «Жесткую силу» по определению входят такие меры воздействия как: угрозы применения военной силы и, собственно, её применение, дипломатические угрозы, экономическое давление, такое как введение санкций, экономические блокады, то есть меры, буквально заставляющие другие суверенные государства изменить свой политический курс и действовать так, как хочет государство, применившее эту «силу». «Мягкая сила» же в концепции Джозефа Ная намного сложнее и рассчитывает во </w:t>
      </w:r>
      <w:r>
        <w:rPr>
          <w:rFonts w:ascii="Times New Roman" w:hAnsi="Times New Roman"/>
          <w:sz w:val="20"/>
          <w:szCs w:val="24"/>
        </w:rPr>
        <w:lastRenderedPageBreak/>
        <w:t xml:space="preserve">многом на реакцию общественности на то или иное событие. В свою очередь «Мягкая сила» и настроена на то, чтобы изменять взгляды людей на те или иные действия государства, что в свою очередь позволяет достигнуть </w:t>
      </w:r>
      <w:r>
        <w:rPr>
          <w:rStyle w:val="word"/>
          <w:rFonts w:ascii="Times New Roman" w:hAnsi="Times New Roman"/>
          <w:sz w:val="20"/>
          <w:szCs w:val="24"/>
        </w:rPr>
        <w:t>нужного эффекта. Со стороны государства применение «Мягкой силы» является намного более затратным и сложным путем для достижения своих целей, а само влияние силы более медленное и рассеянное, хотя способ её применения намного более громоздкий, использование</w:t>
      </w:r>
      <w:r>
        <w:rPr>
          <w:rFonts w:ascii="Times New Roman" w:hAnsi="Times New Roman"/>
          <w:sz w:val="20"/>
          <w:szCs w:val="24"/>
        </w:rPr>
        <w:t xml:space="preserve"> «Мягкой силы» позволяет избавится от недостатков «Жесткой силы» вроде нежелательных последствий после войны или экономических санкций. [2, с. 99]</w:t>
      </w:r>
    </w:p>
    <w:p w:rsidR="00517711" w:rsidRDefault="00F815BE">
      <w:pPr>
        <w:pStyle w:val="ae"/>
        <w:spacing w:before="20" w:after="20"/>
        <w:ind w:firstLine="709"/>
        <w:jc w:val="both"/>
        <w:rPr>
          <w:rStyle w:val="word"/>
          <w:rFonts w:ascii="Times New Roman" w:hAnsi="Times New Roman"/>
          <w:sz w:val="20"/>
          <w:szCs w:val="24"/>
        </w:rPr>
      </w:pPr>
      <w:r>
        <w:rPr>
          <w:rStyle w:val="word"/>
          <w:rFonts w:ascii="Times New Roman" w:hAnsi="Times New Roman"/>
          <w:sz w:val="20"/>
          <w:szCs w:val="24"/>
        </w:rPr>
        <w:t>Некоторые исследователи предполагают использование «Мягкой силы» как социального конструкта. Иными словами, «Мягкая сила», на их взгляд, не принимается как материальная величина, которую можно измерить, а ее влияние невозможно сравнить с непосредственным эф</w:t>
      </w:r>
      <w:r>
        <w:rPr>
          <w:rFonts w:ascii="Times New Roman" w:hAnsi="Times New Roman"/>
          <w:sz w:val="20"/>
          <w:szCs w:val="24"/>
        </w:rPr>
        <w:t>фектом от того или иного политического решения. Таким образом, вместо того, чтобы ответить на вопрос «как сильно «Мягкая сила» влияет на что – либо» критики отвечают на вопрос «что из себя представляет «Мягкая сила» в общем и целом» [3, с. 216]</w:t>
      </w:r>
    </w:p>
    <w:p w:rsidR="00517711" w:rsidRDefault="00F815BE">
      <w:pPr>
        <w:pStyle w:val="ae"/>
        <w:spacing w:before="20" w:after="20"/>
        <w:ind w:firstLine="709"/>
        <w:jc w:val="both"/>
        <w:rPr>
          <w:rStyle w:val="word"/>
          <w:rFonts w:ascii="Times New Roman" w:hAnsi="Times New Roman"/>
          <w:sz w:val="20"/>
          <w:szCs w:val="24"/>
        </w:rPr>
      </w:pPr>
      <w:r>
        <w:rPr>
          <w:rStyle w:val="word"/>
          <w:rFonts w:ascii="Times New Roman" w:hAnsi="Times New Roman"/>
          <w:sz w:val="20"/>
          <w:szCs w:val="24"/>
        </w:rPr>
        <w:t xml:space="preserve">Несмотря на кардинальные отличия между двумя «силами», разницу в их возможностях и методах их использования, «Мягкая» и «Жесткая» сила находятся в тесной взаимозависимости, и несмотря на равную стратегическую значимость и силу должны находится в гармонии и </w:t>
      </w:r>
      <w:r>
        <w:rPr>
          <w:rFonts w:ascii="Times New Roman" w:hAnsi="Times New Roman"/>
          <w:sz w:val="20"/>
          <w:szCs w:val="24"/>
        </w:rPr>
        <w:t>применятся в мерах, эквивалентных друг другу, так как именно от этого зависит возможность процветания страны. [1, с. 150]</w:t>
      </w:r>
    </w:p>
    <w:p w:rsidR="00517711" w:rsidRDefault="00F815BE">
      <w:pPr>
        <w:pStyle w:val="ae"/>
        <w:spacing w:before="20" w:after="20"/>
        <w:ind w:firstLine="709"/>
        <w:jc w:val="both"/>
        <w:rPr>
          <w:rStyle w:val="word"/>
          <w:rFonts w:ascii="Times New Roman" w:hAnsi="Times New Roman"/>
          <w:sz w:val="20"/>
          <w:szCs w:val="24"/>
        </w:rPr>
      </w:pPr>
      <w:r>
        <w:rPr>
          <w:rStyle w:val="word"/>
          <w:rFonts w:ascii="Times New Roman" w:hAnsi="Times New Roman"/>
          <w:sz w:val="20"/>
          <w:szCs w:val="24"/>
        </w:rPr>
        <w:t>Китай, по мнению экспертов, в том числе создателя самого понятия «Мягкой силы» - Джозефа Ная, является эталоном в области применения этого политического инструмента. Историю этого феномена можно отследить к концу 20 века, однако официально государственные в</w:t>
      </w:r>
      <w:r>
        <w:rPr>
          <w:rFonts w:ascii="Times New Roman" w:hAnsi="Times New Roman"/>
          <w:sz w:val="20"/>
          <w:szCs w:val="24"/>
        </w:rPr>
        <w:t>ласти признали и начали компанию по поддержке «Мягкой силы» в 2007 году на 17 съезде коммунистической партии Китая, где была провозглашена цель «создать китайскую «Мягкую силу». Именно тогда, изложенная некогда Джозефом Наем идея, была конкретизирована, изложена на бумаге и представлена правительством в национальной программе Китая. [1, с. 150]</w:t>
      </w:r>
    </w:p>
    <w:p w:rsidR="00517711" w:rsidRDefault="00F815BE">
      <w:pPr>
        <w:pStyle w:val="ae"/>
        <w:spacing w:before="20" w:after="20"/>
        <w:ind w:firstLine="709"/>
        <w:jc w:val="both"/>
        <w:rPr>
          <w:rStyle w:val="word"/>
          <w:rFonts w:ascii="Times New Roman" w:hAnsi="Times New Roman"/>
          <w:sz w:val="20"/>
          <w:szCs w:val="24"/>
        </w:rPr>
      </w:pPr>
      <w:r>
        <w:rPr>
          <w:rStyle w:val="word"/>
          <w:rFonts w:ascii="Times New Roman" w:hAnsi="Times New Roman"/>
          <w:sz w:val="20"/>
          <w:szCs w:val="24"/>
        </w:rPr>
        <w:t>Влияние «Мягкой силы» на ту или иную страну, напрямую зависит от количества ресурсов, выделяемых на достижение поставленных целей. Детально рассмотрев и проанализировав политический курс и внутригосударственную обстановку Китая, можно взять конкретный, и оч</w:t>
      </w:r>
      <w:r>
        <w:rPr>
          <w:rFonts w:ascii="Times New Roman" w:hAnsi="Times New Roman"/>
          <w:sz w:val="20"/>
          <w:szCs w:val="24"/>
        </w:rPr>
        <w:t>ень показательный пример применения «Мягкой силы» - распространения институтов Конфуция. Институты Конфуция, в первую очередь открыто позиционируемые как заведения для популяризации китайского языка и китайской культуры, распространения знаний, основанных на достижениях Китайской цивилизации, также рассчитаны на укрепление международных связей - пункт, являющийся особо важным для международных отношений. Из этого можно сделать очевидный вывод – институты Конфуция – проявление «Мягкой силы» Китаем, соответственно, чем больше институтов в конкретной стране, тем сильнее влияние, оказываемое «Мягкой силой» Китая на данную страну. [4]</w:t>
      </w:r>
    </w:p>
    <w:p w:rsidR="00517711" w:rsidRDefault="00F815BE">
      <w:pPr>
        <w:spacing w:before="20" w:after="20" w:line="240" w:lineRule="auto"/>
        <w:ind w:firstLine="709"/>
        <w:jc w:val="both"/>
        <w:rPr>
          <w:rStyle w:val="word"/>
          <w:rFonts w:ascii="Times New Roman" w:hAnsi="Times New Roman"/>
          <w:sz w:val="20"/>
          <w:szCs w:val="24"/>
        </w:rPr>
      </w:pPr>
      <w:r>
        <w:rPr>
          <w:rStyle w:val="word"/>
          <w:rFonts w:ascii="Times New Roman" w:hAnsi="Times New Roman"/>
          <w:sz w:val="20"/>
          <w:szCs w:val="24"/>
        </w:rPr>
        <w:t>Количество институтов Конфуция в мире достигло полутысячи, продолжая, при этом, постоянно увеличиваться. [5] Часть из этих учреждений находится в Российской Федерации[6], которая, в свою очередь, находится в пятерке стран с наибольшим количеством институтов</w:t>
      </w:r>
      <w:r>
        <w:rPr>
          <w:rFonts w:ascii="Times New Roman" w:hAnsi="Times New Roman"/>
          <w:sz w:val="20"/>
          <w:szCs w:val="24"/>
        </w:rPr>
        <w:t xml:space="preserve"> Конфуция. Анализируя данную информацию можно прийти к выводу о том, что Китай заинтересован в сотрудничестве с Россией, вследствие чего Китайские власти и выделяют огромные ресурсы, прежде всего, на многоуровневое культурное воздействие путем использования «Мягкой силы», считая Россию достойным кандидатом на место долговременного партнера. </w:t>
      </w:r>
    </w:p>
    <w:p w:rsidR="00517711" w:rsidRDefault="00F815BE">
      <w:pPr>
        <w:spacing w:before="20" w:after="20" w:line="240" w:lineRule="auto"/>
        <w:ind w:firstLine="709"/>
        <w:jc w:val="both"/>
        <w:rPr>
          <w:rStyle w:val="word"/>
          <w:rFonts w:ascii="Times New Roman" w:hAnsi="Times New Roman"/>
          <w:sz w:val="20"/>
          <w:szCs w:val="24"/>
        </w:rPr>
      </w:pPr>
      <w:r>
        <w:rPr>
          <w:rStyle w:val="word"/>
          <w:rFonts w:ascii="Times New Roman" w:hAnsi="Times New Roman"/>
          <w:sz w:val="20"/>
          <w:szCs w:val="24"/>
        </w:rPr>
        <w:t xml:space="preserve">Сотрудничество России и Китая уходит корнями в Советскую эпоху. Со времен создания коммунистического блока и разделения мира на два враждующих лагеря и до современных реалий коммунистический Китай в большинстве своём являлся надёжным соседом для Советского </w:t>
      </w:r>
      <w:r>
        <w:rPr>
          <w:rFonts w:ascii="Times New Roman" w:hAnsi="Times New Roman"/>
          <w:sz w:val="20"/>
          <w:szCs w:val="24"/>
        </w:rPr>
        <w:t>Союза, а, после, и для Российской Федерации. Стабильные отношения поддерживались путём взаимного продвижения и пропаганды культуры. Подобное суждение приводит к выводу, что именно благодаря тому, что связи, необходимые для сотрудничества двух держав были налажены, а культуры взаимно уважаемы, еще век назад, что, по своей сущности и является «Мягкой силой», сейчас мы видим сближение двух государств на абсолютно ином, доселе невиданном уровне.</w:t>
      </w:r>
    </w:p>
    <w:p w:rsidR="00517711" w:rsidRDefault="00F815BE">
      <w:pPr>
        <w:spacing w:before="20" w:after="20" w:line="240" w:lineRule="auto"/>
        <w:ind w:firstLine="709"/>
        <w:jc w:val="both"/>
        <w:rPr>
          <w:rStyle w:val="word"/>
          <w:rFonts w:ascii="Times New Roman" w:hAnsi="Times New Roman"/>
          <w:sz w:val="20"/>
          <w:szCs w:val="24"/>
        </w:rPr>
      </w:pPr>
      <w:r>
        <w:rPr>
          <w:rStyle w:val="word"/>
          <w:rFonts w:ascii="Times New Roman" w:hAnsi="Times New Roman"/>
          <w:sz w:val="20"/>
          <w:szCs w:val="24"/>
        </w:rPr>
        <w:t>Наряду с сотрудничеством в сфере образования и культуры, обоюдно продвигаемым обеими странами, существует и претворяется в жизнь ряд жизненно важных для обоих государств двусторонних договоренностей, таких как «Поворот на Восток» и «Шелковый путь» [7], явля</w:t>
      </w:r>
      <w:r>
        <w:rPr>
          <w:rFonts w:ascii="Times New Roman" w:hAnsi="Times New Roman"/>
          <w:sz w:val="20"/>
          <w:szCs w:val="24"/>
        </w:rPr>
        <w:t>ющихся обоюдовыгодными для обоих наций, являющие собой пример проявления «Мягкой силы» с обеих сторон и открывающие все больше возможностей для сотрудничества.</w:t>
      </w:r>
    </w:p>
    <w:p w:rsidR="00517711" w:rsidRDefault="00F815BE">
      <w:pPr>
        <w:spacing w:before="20" w:after="20" w:line="240" w:lineRule="auto"/>
        <w:ind w:firstLine="709"/>
        <w:jc w:val="both"/>
        <w:rPr>
          <w:rStyle w:val="word"/>
          <w:rFonts w:ascii="Times New Roman" w:hAnsi="Times New Roman"/>
          <w:sz w:val="20"/>
          <w:szCs w:val="24"/>
        </w:rPr>
      </w:pPr>
      <w:r>
        <w:rPr>
          <w:rStyle w:val="word"/>
          <w:rFonts w:ascii="Times New Roman" w:hAnsi="Times New Roman"/>
          <w:sz w:val="20"/>
          <w:szCs w:val="24"/>
        </w:rPr>
        <w:t>Россия, со своей стороны, также нуждается в Китае в роли экономического и геополитического партнера, выстраивая сотрудничество с Китайской стороной на основе дружбы, открытости, и взаимовыгодных условий. Это наглядно демонстрируют встречи в 2015 году лидера</w:t>
      </w:r>
      <w:r>
        <w:rPr>
          <w:rFonts w:ascii="Times New Roman" w:hAnsi="Times New Roman"/>
          <w:sz w:val="20"/>
          <w:szCs w:val="24"/>
        </w:rPr>
        <w:t xml:space="preserve"> Российской Федерации Владимира Путина и главы Китайской Народной Республики Си Цзиньпина, на которых были обсуждены актуальные, для обеих стран, вопросы. [8]</w:t>
      </w:r>
    </w:p>
    <w:p w:rsidR="00517711" w:rsidRDefault="00F815BE">
      <w:pPr>
        <w:spacing w:before="20" w:after="20" w:line="240" w:lineRule="auto"/>
        <w:ind w:firstLine="709"/>
        <w:jc w:val="both"/>
        <w:rPr>
          <w:rStyle w:val="word"/>
          <w:rFonts w:ascii="Times New Roman" w:hAnsi="Times New Roman"/>
          <w:sz w:val="20"/>
          <w:szCs w:val="24"/>
        </w:rPr>
      </w:pPr>
      <w:r>
        <w:rPr>
          <w:rStyle w:val="word"/>
          <w:rFonts w:ascii="Times New Roman" w:hAnsi="Times New Roman"/>
          <w:sz w:val="20"/>
          <w:szCs w:val="24"/>
        </w:rPr>
        <w:t>Влияние «Мягкой силы» с обеих сторон также явно заметно ещё и по тому, что и Китай, и Россия находятся в одних и тех же международных блоках, таких как БРИКС и ШОС, демонстрируя приверженность общим идеям и продвигая общие интересы на международной арене. А</w:t>
      </w:r>
      <w:r>
        <w:rPr>
          <w:rFonts w:ascii="Times New Roman" w:hAnsi="Times New Roman"/>
          <w:sz w:val="20"/>
          <w:szCs w:val="24"/>
        </w:rPr>
        <w:t xml:space="preserve">нализ этой информации позволяет сделать вывод о том, что Китайской Народной Республике намного более выгодно сотрудничать с соседской сверхдержавой в Азиатско-Тихоокеанском регионе не только базируясь на старых связях, завязанных на борьбе </w:t>
      </w:r>
      <w:r>
        <w:rPr>
          <w:rFonts w:ascii="Times New Roman" w:hAnsi="Times New Roman"/>
          <w:sz w:val="20"/>
          <w:szCs w:val="24"/>
        </w:rPr>
        <w:lastRenderedPageBreak/>
        <w:t>против запада, но и на взаимно – перспективных отношениях, основанных на схожих, во многом, интересах с Российской Федерацией.</w:t>
      </w:r>
    </w:p>
    <w:p w:rsidR="00517711" w:rsidRDefault="00F815BE">
      <w:pPr>
        <w:spacing w:before="20" w:after="20" w:line="240" w:lineRule="auto"/>
        <w:ind w:firstLine="709"/>
        <w:jc w:val="both"/>
        <w:rPr>
          <w:rStyle w:val="word"/>
          <w:rFonts w:ascii="Times New Roman" w:hAnsi="Times New Roman"/>
          <w:sz w:val="20"/>
          <w:szCs w:val="24"/>
        </w:rPr>
      </w:pPr>
      <w:r>
        <w:rPr>
          <w:rStyle w:val="word"/>
          <w:rFonts w:ascii="Times New Roman" w:hAnsi="Times New Roman"/>
          <w:sz w:val="20"/>
          <w:szCs w:val="24"/>
        </w:rPr>
        <w:t xml:space="preserve">В настоящий момент «Мягкая сила» играет всё большую роль в отношениях Китая с другими акторами на международной арене. Россия, не являясь исключением и, будучи геополитическим, экономическим, а также партнером Китая в сфере культуры, испытывает на себе все </w:t>
      </w:r>
      <w:r>
        <w:rPr>
          <w:rFonts w:ascii="Times New Roman" w:hAnsi="Times New Roman"/>
          <w:sz w:val="20"/>
          <w:szCs w:val="24"/>
        </w:rPr>
        <w:t xml:space="preserve">эффекты этой политики, проводимой Китайскими властями, отвечая, в свою очередь, тем же. В течении последних двух десятков лет, отношения России и Китая вышли на новый уровень. Взаимодействие, происходившее некогда только на политическом уровне, переросло в многогранное благоприятное для обеих сторон сотрудничество во всех сферах функционирования государств, сопровождающееся ростом взаимосвязанности культурных аспектов двух наций. «Мягкая сила» в отношениях России и Китая сыграла и продолжает играть наиважнейшую роль в политической и социально – культурной и экономической жизни стран, позволяя тем самым и дальше продолжать сотрудничество на выгодных, для обоих государств, условиях. </w:t>
      </w:r>
    </w:p>
    <w:p w:rsidR="00517711" w:rsidRDefault="00517711">
      <w:pPr>
        <w:spacing w:before="20" w:after="20" w:line="240" w:lineRule="auto"/>
        <w:ind w:firstLine="709"/>
        <w:jc w:val="both"/>
        <w:rPr>
          <w:rStyle w:val="word"/>
          <w:rFonts w:ascii="Times New Roman" w:hAnsi="Times New Roman"/>
          <w:sz w:val="20"/>
          <w:szCs w:val="24"/>
        </w:rPr>
      </w:pPr>
    </w:p>
    <w:p w:rsidR="00517711" w:rsidRDefault="00F815BE">
      <w:pPr>
        <w:pStyle w:val="af4"/>
        <w:numPr>
          <w:ilvl w:val="0"/>
          <w:numId w:val="32"/>
        </w:numPr>
        <w:spacing w:after="0" w:line="240" w:lineRule="auto"/>
        <w:jc w:val="both"/>
        <w:rPr>
          <w:rFonts w:ascii="Times New Roman" w:hAnsi="Times New Roman"/>
          <w:sz w:val="20"/>
          <w:szCs w:val="20"/>
          <w:lang w:eastAsia="ru-RU"/>
        </w:rPr>
      </w:pPr>
      <w:r>
        <w:rPr>
          <w:rFonts w:ascii="Times New Roman" w:hAnsi="Times New Roman"/>
          <w:sz w:val="20"/>
          <w:szCs w:val="20"/>
          <w:lang w:eastAsia="ru-RU"/>
        </w:rPr>
        <w:t xml:space="preserve">Лю Цзайци «Мягкая сила» в стратегии развития Китая [Электронный ресурс] // Сетевой портал журнала «ПОЛИС». - Режим доступа: </w:t>
      </w:r>
      <w:hyperlink r:id="rId232" w:history="1">
        <w:r>
          <w:rPr>
            <w:rFonts w:ascii="Times New Roman" w:hAnsi="Times New Roman"/>
            <w:sz w:val="20"/>
            <w:szCs w:val="20"/>
            <w:lang w:eastAsia="ru-RU"/>
          </w:rPr>
          <w:t>http://www.polisportal.ru/files/File/puvlication/LZ_soft_power.pdf</w:t>
        </w:r>
      </w:hyperlink>
      <w:r>
        <w:rPr>
          <w:rFonts w:ascii="Times New Roman" w:hAnsi="Times New Roman"/>
          <w:sz w:val="20"/>
          <w:szCs w:val="20"/>
          <w:lang w:eastAsia="ru-RU"/>
        </w:rPr>
        <w:t xml:space="preserve"> </w:t>
      </w:r>
    </w:p>
    <w:p w:rsidR="00517711" w:rsidRDefault="00F815BE">
      <w:pPr>
        <w:pStyle w:val="af4"/>
        <w:numPr>
          <w:ilvl w:val="0"/>
          <w:numId w:val="32"/>
        </w:numPr>
        <w:spacing w:after="0" w:line="240" w:lineRule="auto"/>
        <w:jc w:val="both"/>
        <w:rPr>
          <w:rFonts w:ascii="Times New Roman" w:hAnsi="Times New Roman"/>
          <w:sz w:val="20"/>
          <w:szCs w:val="20"/>
          <w:lang w:val="en-US" w:eastAsia="ru-RU"/>
        </w:rPr>
      </w:pPr>
      <w:r>
        <w:rPr>
          <w:rFonts w:ascii="Times New Roman" w:hAnsi="Times New Roman"/>
          <w:sz w:val="20"/>
          <w:szCs w:val="20"/>
          <w:lang w:val="en-US" w:eastAsia="ru-RU"/>
        </w:rPr>
        <w:t>Joseph S. Nye, Jr. Soft Power: The Means to Success in World Politics. – J. S. Nye Jr.-Public affairs New York, 2004.</w:t>
      </w:r>
    </w:p>
    <w:p w:rsidR="00517711" w:rsidRDefault="00F815BE">
      <w:pPr>
        <w:pStyle w:val="af4"/>
        <w:numPr>
          <w:ilvl w:val="0"/>
          <w:numId w:val="32"/>
        </w:numPr>
        <w:spacing w:after="0" w:line="240" w:lineRule="auto"/>
        <w:jc w:val="both"/>
        <w:rPr>
          <w:rFonts w:ascii="Times New Roman" w:hAnsi="Times New Roman"/>
          <w:sz w:val="20"/>
          <w:szCs w:val="20"/>
          <w:lang w:val="en-US" w:eastAsia="ru-RU"/>
        </w:rPr>
      </w:pPr>
      <w:r>
        <w:rPr>
          <w:rFonts w:ascii="Times New Roman" w:hAnsi="Times New Roman"/>
          <w:sz w:val="20"/>
          <w:szCs w:val="20"/>
          <w:lang w:val="en-US" w:eastAsia="ru-RU"/>
        </w:rPr>
        <w:t xml:space="preserve">William A. Callahan. Identity and Security in China: The Negative Soft Power of the China Dream [Electronic resources] // Political Studies Association.-URL: </w:t>
      </w:r>
      <w:hyperlink r:id="rId233" w:history="1">
        <w:r>
          <w:rPr>
            <w:rFonts w:ascii="Times New Roman" w:hAnsi="Times New Roman"/>
            <w:sz w:val="20"/>
            <w:szCs w:val="20"/>
            <w:lang w:val="en-US" w:eastAsia="ru-RU"/>
          </w:rPr>
          <w:t>http://journals.sagepub.com/doi/abs/10.1111/1467-9256.12088</w:t>
        </w:r>
      </w:hyperlink>
    </w:p>
    <w:p w:rsidR="00517711" w:rsidRDefault="00F815BE">
      <w:pPr>
        <w:pStyle w:val="af4"/>
        <w:numPr>
          <w:ilvl w:val="0"/>
          <w:numId w:val="32"/>
        </w:numPr>
        <w:spacing w:after="0" w:line="240" w:lineRule="auto"/>
        <w:jc w:val="both"/>
        <w:rPr>
          <w:rFonts w:ascii="Times New Roman" w:hAnsi="Times New Roman"/>
          <w:sz w:val="20"/>
          <w:szCs w:val="20"/>
          <w:lang w:eastAsia="ru-RU"/>
        </w:rPr>
      </w:pPr>
      <w:r>
        <w:rPr>
          <w:rFonts w:ascii="Times New Roman" w:hAnsi="Times New Roman"/>
          <w:sz w:val="20"/>
          <w:szCs w:val="20"/>
          <w:lang w:eastAsia="ru-RU"/>
        </w:rPr>
        <w:t xml:space="preserve">Миссия и задачи Института Конфуция Дальневосточного федерального университета [Электронный ресурс] //Институт Конфуция ДВФУ. - Режим доступа: </w:t>
      </w:r>
      <w:hyperlink r:id="rId234" w:history="1">
        <w:r>
          <w:rPr>
            <w:rFonts w:ascii="Times New Roman" w:hAnsi="Times New Roman"/>
            <w:sz w:val="20"/>
            <w:szCs w:val="20"/>
            <w:lang w:eastAsia="ru-RU"/>
          </w:rPr>
          <w:t>http://confucius.dvfu.ru/dvgu/missiya-i-tsel</w:t>
        </w:r>
      </w:hyperlink>
    </w:p>
    <w:p w:rsidR="00517711" w:rsidRDefault="00F815BE">
      <w:pPr>
        <w:pStyle w:val="af4"/>
        <w:numPr>
          <w:ilvl w:val="0"/>
          <w:numId w:val="32"/>
        </w:numPr>
        <w:spacing w:after="0" w:line="240" w:lineRule="auto"/>
        <w:outlineLvl w:val="2"/>
        <w:rPr>
          <w:rFonts w:ascii="Times New Roman" w:hAnsi="Times New Roman"/>
          <w:sz w:val="20"/>
          <w:szCs w:val="20"/>
          <w:lang w:eastAsia="ru-RU"/>
        </w:rPr>
      </w:pPr>
      <w:r>
        <w:rPr>
          <w:rFonts w:ascii="Times New Roman" w:hAnsi="Times New Roman"/>
          <w:sz w:val="20"/>
          <w:szCs w:val="20"/>
          <w:lang w:eastAsia="ru-RU"/>
        </w:rPr>
        <w:t xml:space="preserve">Число институтов Конфуция в мире достигло 500 [Электронный ресурс] // СИНЬХУА Новости. - Режим доступа: </w:t>
      </w:r>
      <w:hyperlink r:id="rId235" w:history="1">
        <w:r>
          <w:rPr>
            <w:rFonts w:ascii="Times New Roman" w:hAnsi="Times New Roman"/>
            <w:sz w:val="20"/>
            <w:szCs w:val="20"/>
            <w:lang w:eastAsia="ru-RU"/>
          </w:rPr>
          <w:t>http://russian.news.cn/2015-12/04/c_134882882.htm</w:t>
        </w:r>
      </w:hyperlink>
    </w:p>
    <w:p w:rsidR="00517711" w:rsidRDefault="00F815BE">
      <w:pPr>
        <w:pStyle w:val="af4"/>
        <w:numPr>
          <w:ilvl w:val="0"/>
          <w:numId w:val="32"/>
        </w:numPr>
        <w:spacing w:after="0" w:line="240" w:lineRule="auto"/>
        <w:outlineLvl w:val="2"/>
        <w:rPr>
          <w:rFonts w:ascii="Times New Roman" w:hAnsi="Times New Roman"/>
          <w:sz w:val="20"/>
          <w:szCs w:val="20"/>
          <w:lang w:val="en-US" w:eastAsia="ru-RU"/>
        </w:rPr>
      </w:pPr>
      <w:r>
        <w:rPr>
          <w:rFonts w:ascii="Times New Roman" w:hAnsi="Times New Roman"/>
          <w:sz w:val="20"/>
          <w:szCs w:val="20"/>
          <w:lang w:val="en-US" w:eastAsia="ru-RU"/>
        </w:rPr>
        <w:t xml:space="preserve">Qu Yingpu, Zhao Huanxin, Cheng Yingqi Confucius institutes go beyond borders [Electronic resources] //  Chinadaily USA.-URL: </w:t>
      </w:r>
      <w:hyperlink r:id="rId236" w:history="1">
        <w:r>
          <w:rPr>
            <w:rFonts w:ascii="Times New Roman" w:hAnsi="Times New Roman"/>
            <w:sz w:val="20"/>
            <w:szCs w:val="20"/>
            <w:lang w:val="en-US" w:eastAsia="ru-RU"/>
          </w:rPr>
          <w:t>http://usa.chinadaily.com.cn/epaper/2012-12/03/content_15980161.htm</w:t>
        </w:r>
      </w:hyperlink>
    </w:p>
    <w:p w:rsidR="00517711" w:rsidRDefault="00F815BE">
      <w:pPr>
        <w:pStyle w:val="af4"/>
        <w:numPr>
          <w:ilvl w:val="0"/>
          <w:numId w:val="32"/>
        </w:numPr>
        <w:spacing w:after="0" w:line="240" w:lineRule="auto"/>
        <w:outlineLvl w:val="2"/>
        <w:rPr>
          <w:rFonts w:ascii="Times New Roman" w:hAnsi="Times New Roman"/>
          <w:sz w:val="20"/>
          <w:szCs w:val="20"/>
          <w:lang w:eastAsia="ru-RU"/>
        </w:rPr>
      </w:pPr>
      <w:r>
        <w:rPr>
          <w:rFonts w:ascii="Times New Roman" w:hAnsi="Times New Roman"/>
          <w:sz w:val="20"/>
          <w:szCs w:val="20"/>
          <w:lang w:eastAsia="ru-RU"/>
        </w:rPr>
        <w:t xml:space="preserve">Караганов С.А К великому океану - 4: поворот на восток предварительные итоги и новые задачи: доклад для международной конференции/под редакцией Бордачева Т.В. – Москва: Международный дискуссионный клуб «ВАЛДАЙ», 2016 Режим доступа: </w:t>
      </w:r>
      <w:hyperlink r:id="rId237" w:history="1">
        <w:r>
          <w:rPr>
            <w:rFonts w:ascii="Times New Roman" w:hAnsi="Times New Roman"/>
            <w:sz w:val="20"/>
            <w:szCs w:val="20"/>
            <w:lang w:eastAsia="ru-RU"/>
          </w:rPr>
          <w:t>http://ru.valdaiclub.com/files/11701/</w:t>
        </w:r>
      </w:hyperlink>
    </w:p>
    <w:p w:rsidR="00517711" w:rsidRDefault="00F815BE">
      <w:pPr>
        <w:pStyle w:val="af4"/>
        <w:numPr>
          <w:ilvl w:val="0"/>
          <w:numId w:val="32"/>
        </w:numPr>
        <w:spacing w:after="0" w:line="240" w:lineRule="auto"/>
        <w:jc w:val="both"/>
        <w:rPr>
          <w:rFonts w:ascii="Times New Roman" w:hAnsi="Times New Roman"/>
          <w:sz w:val="20"/>
          <w:szCs w:val="20"/>
          <w:lang w:eastAsia="ru-RU"/>
        </w:rPr>
      </w:pPr>
      <w:r>
        <w:rPr>
          <w:rFonts w:ascii="Times New Roman" w:hAnsi="Times New Roman"/>
          <w:sz w:val="20"/>
          <w:szCs w:val="20"/>
          <w:lang w:eastAsia="ru-RU"/>
        </w:rPr>
        <w:t xml:space="preserve">Встреча Владимира Путина с Председателем КНР Си Цзиньпином [Электронный ресурс] //Kremlin.ru.  - Режим доступа: </w:t>
      </w:r>
      <w:hyperlink r:id="rId238" w:history="1">
        <w:r>
          <w:rPr>
            <w:rFonts w:ascii="Times New Roman" w:hAnsi="Times New Roman"/>
            <w:sz w:val="20"/>
            <w:szCs w:val="20"/>
            <w:lang w:eastAsia="ru-RU"/>
          </w:rPr>
          <w:t>http://kremlin.ru/events/president/news/56046</w:t>
        </w:r>
      </w:hyperlink>
    </w:p>
    <w:p w:rsidR="00517711" w:rsidRDefault="00517711">
      <w:pPr>
        <w:pStyle w:val="af4"/>
        <w:spacing w:before="20" w:after="20"/>
        <w:ind w:left="0"/>
        <w:jc w:val="both"/>
      </w:pPr>
    </w:p>
    <w:p w:rsidR="00517711" w:rsidRDefault="00517711">
      <w:pPr>
        <w:spacing w:after="0" w:line="240" w:lineRule="auto"/>
        <w:ind w:left="360" w:hanging="74"/>
        <w:jc w:val="both"/>
        <w:rPr>
          <w:rFonts w:ascii="Times New Roman" w:hAnsi="Times New Roman"/>
          <w:sz w:val="24"/>
          <w:szCs w:val="24"/>
        </w:rPr>
      </w:pP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Международные отношения. Международное уголовное право</w:t>
      </w:r>
    </w:p>
    <w:p w:rsidR="00517711" w:rsidRDefault="00F815BE">
      <w:pPr>
        <w:spacing w:after="0" w:line="240" w:lineRule="auto"/>
        <w:jc w:val="both"/>
        <w:rPr>
          <w:sz w:val="18"/>
          <w:szCs w:val="24"/>
        </w:rPr>
      </w:pPr>
      <w:r>
        <w:rPr>
          <w:rFonts w:ascii="Times New Roman" w:hAnsi="Times New Roman"/>
          <w:sz w:val="20"/>
          <w:szCs w:val="24"/>
        </w:rPr>
        <w:t>УДК 341.44</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Международное сотрудничество и перспективы по вопросам экстрадиции в Российской Федерации</w:t>
      </w:r>
    </w:p>
    <w:p w:rsidR="00517711" w:rsidRDefault="00F815BE">
      <w:pPr>
        <w:spacing w:after="0" w:line="240" w:lineRule="auto"/>
        <w:jc w:val="center"/>
        <w:rPr>
          <w:rFonts w:ascii="Arial" w:eastAsia="Calibri" w:hAnsi="Arial"/>
          <w:b/>
          <w:bCs/>
          <w:sz w:val="24"/>
          <w:szCs w:val="20"/>
          <w:lang w:eastAsia="ru-RU"/>
        </w:rPr>
      </w:pPr>
      <w:r>
        <w:rPr>
          <w:rFonts w:ascii="Arial" w:eastAsia="Calibri" w:hAnsi="Arial"/>
          <w:b/>
          <w:bCs/>
          <w:sz w:val="24"/>
          <w:szCs w:val="20"/>
          <w:lang w:eastAsia="ru-RU"/>
        </w:rPr>
        <w:t>Линская Дарья Викторовна,</w:t>
      </w:r>
    </w:p>
    <w:p w:rsidR="00517711" w:rsidRDefault="00F815BE">
      <w:pPr>
        <w:spacing w:line="240" w:lineRule="auto"/>
        <w:jc w:val="center"/>
        <w:rPr>
          <w:rFonts w:ascii="Arial" w:eastAsia="Calibri" w:hAnsi="Arial"/>
          <w:bCs/>
          <w:sz w:val="24"/>
          <w:szCs w:val="20"/>
          <w:lang w:eastAsia="ru-RU"/>
        </w:rPr>
      </w:pPr>
      <w:r>
        <w:rPr>
          <w:rFonts w:ascii="Arial" w:eastAsia="Calibri" w:hAnsi="Arial"/>
          <w:bCs/>
          <w:sz w:val="24"/>
          <w:szCs w:val="20"/>
          <w:lang w:eastAsia="ru-RU"/>
        </w:rPr>
        <w:t>Бакалавр</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tabs>
          <w:tab w:val="left" w:pos="2805"/>
          <w:tab w:val="center" w:pos="4819"/>
        </w:tabs>
        <w:spacing w:line="240" w:lineRule="auto"/>
        <w:rPr>
          <w:rFonts w:ascii="Times New Roman" w:eastAsia="Calibri" w:hAnsi="Times New Roman"/>
          <w:i/>
          <w:sz w:val="21"/>
          <w:szCs w:val="21"/>
        </w:rPr>
      </w:pPr>
      <w:r>
        <w:rPr>
          <w:rFonts w:ascii="Times New Roman" w:eastAsia="Calibri" w:hAnsi="Times New Roman"/>
          <w:i/>
          <w:sz w:val="21"/>
          <w:szCs w:val="21"/>
        </w:rPr>
        <w:tab/>
      </w:r>
      <w:r>
        <w:rPr>
          <w:rFonts w:ascii="Times New Roman" w:eastAsia="Calibri" w:hAnsi="Times New Roman"/>
          <w:i/>
          <w:sz w:val="21"/>
          <w:szCs w:val="21"/>
        </w:rPr>
        <w:tab/>
        <w:t>Россия. Владивосток</w:t>
      </w:r>
    </w:p>
    <w:p w:rsidR="00517711" w:rsidRDefault="00F815BE">
      <w:pPr>
        <w:spacing w:after="0" w:line="240" w:lineRule="auto"/>
        <w:jc w:val="center"/>
        <w:rPr>
          <w:sz w:val="18"/>
          <w:szCs w:val="24"/>
        </w:rPr>
      </w:pPr>
      <w:r>
        <w:rPr>
          <w:rFonts w:ascii="Times New Roman" w:hAnsi="Times New Roman"/>
          <w:sz w:val="20"/>
          <w:szCs w:val="24"/>
          <w:lang w:val="en-US"/>
        </w:rPr>
        <w:t>E</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 xml:space="preserve">: </w:t>
      </w:r>
      <w:r>
        <w:rPr>
          <w:rFonts w:ascii="Times New Roman" w:hAnsi="Times New Roman"/>
          <w:sz w:val="20"/>
          <w:szCs w:val="24"/>
          <w:lang w:val="en-US"/>
        </w:rPr>
        <w:t>Darya</w:t>
      </w:r>
      <w:r>
        <w:rPr>
          <w:rFonts w:ascii="Times New Roman" w:hAnsi="Times New Roman"/>
          <w:sz w:val="20"/>
          <w:szCs w:val="24"/>
        </w:rPr>
        <w:t>.</w:t>
      </w:r>
      <w:r>
        <w:rPr>
          <w:rFonts w:ascii="Times New Roman" w:hAnsi="Times New Roman"/>
          <w:sz w:val="20"/>
          <w:szCs w:val="24"/>
          <w:lang w:val="en-US"/>
        </w:rPr>
        <w:t>Linskaya</w:t>
      </w:r>
      <w:r>
        <w:rPr>
          <w:rFonts w:ascii="Times New Roman" w:hAnsi="Times New Roman"/>
          <w:sz w:val="20"/>
          <w:szCs w:val="24"/>
        </w:rPr>
        <w:t>97@</w:t>
      </w:r>
      <w:r>
        <w:rPr>
          <w:rFonts w:ascii="Times New Roman" w:hAnsi="Times New Roman"/>
          <w:sz w:val="20"/>
          <w:szCs w:val="24"/>
          <w:lang w:val="en-US"/>
        </w:rPr>
        <w:t>vvsu</w:t>
      </w:r>
      <w:r>
        <w:rPr>
          <w:rFonts w:ascii="Times New Roman" w:hAnsi="Times New Roman"/>
          <w:sz w:val="20"/>
          <w:szCs w:val="24"/>
        </w:rPr>
        <w:t>.</w:t>
      </w:r>
      <w:r>
        <w:rPr>
          <w:rFonts w:ascii="Times New Roman" w:hAnsi="Times New Roman"/>
          <w:sz w:val="20"/>
          <w:szCs w:val="24"/>
          <w:lang w:val="en-US"/>
        </w:rPr>
        <w:t>ru</w:t>
      </w:r>
      <w:r>
        <w:rPr>
          <w:rFonts w:ascii="Times New Roman" w:hAnsi="Times New Roman"/>
          <w:sz w:val="20"/>
          <w:szCs w:val="24"/>
        </w:rPr>
        <w:t>; тел.: +79146682864</w:t>
      </w:r>
    </w:p>
    <w:p w:rsidR="00517711" w:rsidRDefault="00F815BE">
      <w:pPr>
        <w:spacing w:line="240" w:lineRule="auto"/>
        <w:jc w:val="center"/>
        <w:rPr>
          <w:sz w:val="18"/>
          <w:szCs w:val="24"/>
        </w:rPr>
      </w:pPr>
      <w:r>
        <w:rPr>
          <w:rFonts w:ascii="Times New Roman" w:hAnsi="Times New Roman"/>
          <w:sz w:val="20"/>
          <w:szCs w:val="24"/>
        </w:rPr>
        <w:t>ул. Гоголя 41, г. Владивосток, Приморский край, Россия, 690014</w:t>
      </w:r>
    </w:p>
    <w:p w:rsidR="00517711" w:rsidRDefault="00F815BE">
      <w:pPr>
        <w:spacing w:after="0" w:line="240" w:lineRule="auto"/>
        <w:ind w:firstLine="708"/>
        <w:jc w:val="both"/>
        <w:rPr>
          <w:sz w:val="20"/>
          <w:szCs w:val="24"/>
        </w:rPr>
      </w:pPr>
      <w:r>
        <w:rPr>
          <w:rFonts w:ascii="Times New Roman" w:hAnsi="Times New Roman"/>
          <w:i/>
          <w:szCs w:val="24"/>
        </w:rPr>
        <w:t>Процесс выдачи преступника - экстрадиция, носит характер правовой взаимопомощи, так как регулирования вопросов в данной сфере происходит посредством международных, уголовных актов, что помогает реализовать процедуру, сотрудничая с другой страной для общей борьбы с преступностью. В данной статье рассмотрены формулировки понятия и основные перспективы экстрадиции, как института взаимодействия между государствами на международном уровне.</w:t>
      </w:r>
    </w:p>
    <w:p w:rsidR="00517711" w:rsidRDefault="00F815BE">
      <w:pPr>
        <w:spacing w:after="0" w:line="240" w:lineRule="auto"/>
        <w:ind w:firstLine="708"/>
        <w:jc w:val="both"/>
        <w:rPr>
          <w:sz w:val="20"/>
          <w:szCs w:val="24"/>
        </w:rPr>
      </w:pPr>
      <w:r>
        <w:rPr>
          <w:rFonts w:ascii="Times New Roman" w:hAnsi="Times New Roman"/>
          <w:b/>
          <w:i/>
          <w:szCs w:val="24"/>
        </w:rPr>
        <w:t xml:space="preserve">Ключевые слова и словосочетания: </w:t>
      </w:r>
    </w:p>
    <w:p w:rsidR="00517711" w:rsidRDefault="00F815BE">
      <w:pPr>
        <w:spacing w:after="0" w:line="240" w:lineRule="auto"/>
        <w:jc w:val="both"/>
        <w:rPr>
          <w:sz w:val="20"/>
          <w:szCs w:val="24"/>
        </w:rPr>
      </w:pPr>
      <w:r>
        <w:rPr>
          <w:rFonts w:ascii="Times New Roman" w:hAnsi="Times New Roman"/>
          <w:i/>
          <w:szCs w:val="24"/>
        </w:rPr>
        <w:t>экстрадиция, международное сотрудничество, перспективы международного сотрудничества в сфере экстрадиции.</w:t>
      </w:r>
    </w:p>
    <w:p w:rsidR="00517711" w:rsidRDefault="00F815BE">
      <w:pPr>
        <w:keepNext/>
        <w:spacing w:before="240" w:after="240" w:line="240" w:lineRule="auto"/>
        <w:jc w:val="center"/>
        <w:outlineLvl w:val="0"/>
        <w:rPr>
          <w:rFonts w:ascii="Book Antiqua" w:eastAsia="Calibri" w:hAnsi="Book Antiqua"/>
          <w:b/>
          <w:bCs/>
          <w:caps/>
          <w:sz w:val="26"/>
          <w:szCs w:val="20"/>
          <w:lang w:val="en-US"/>
        </w:rPr>
      </w:pPr>
      <w:r>
        <w:rPr>
          <w:rFonts w:ascii="Book Antiqua" w:eastAsia="Calibri" w:hAnsi="Book Antiqua"/>
          <w:b/>
          <w:bCs/>
          <w:caps/>
          <w:sz w:val="26"/>
          <w:szCs w:val="20"/>
          <w:lang w:val="en-US"/>
        </w:rPr>
        <w:lastRenderedPageBreak/>
        <w:t>International cooperation and prospects on extradition in Russian Federation</w:t>
      </w:r>
    </w:p>
    <w:p w:rsidR="00517711" w:rsidRDefault="00F815BE">
      <w:pPr>
        <w:spacing w:after="0" w:line="240" w:lineRule="auto"/>
        <w:ind w:firstLine="708"/>
        <w:jc w:val="both"/>
        <w:rPr>
          <w:sz w:val="20"/>
          <w:szCs w:val="24"/>
          <w:lang w:val="en-US"/>
        </w:rPr>
      </w:pPr>
      <w:r>
        <w:rPr>
          <w:rFonts w:ascii="Times New Roman" w:hAnsi="Times New Roman"/>
          <w:i/>
          <w:szCs w:val="24"/>
          <w:lang w:val="en-US"/>
        </w:rPr>
        <w:t>The process of expulsion of a criminal is an extradition, is a mutual legal assistance, because of the regulation of issues in this area through international, criminal acts. It helps to implement the procedure in practice, cooperating with another country for the common fight against crimes. This article is focused on the term and the main prospects of extradition as an institution of interaction between states on the international level.</w:t>
      </w:r>
    </w:p>
    <w:p w:rsidR="00517711" w:rsidRDefault="00F815BE">
      <w:pPr>
        <w:spacing w:after="0" w:line="240" w:lineRule="auto"/>
        <w:ind w:firstLine="708"/>
        <w:jc w:val="both"/>
        <w:rPr>
          <w:sz w:val="20"/>
          <w:szCs w:val="24"/>
          <w:lang w:val="en-US"/>
        </w:rPr>
      </w:pPr>
      <w:r>
        <w:rPr>
          <w:rFonts w:ascii="Times New Roman" w:hAnsi="Times New Roman"/>
          <w:b/>
          <w:i/>
          <w:szCs w:val="24"/>
          <w:lang w:val="en-US"/>
        </w:rPr>
        <w:t>Key words and phrases:</w:t>
      </w:r>
    </w:p>
    <w:p w:rsidR="00517711" w:rsidRDefault="00F815BE">
      <w:pPr>
        <w:spacing w:after="0" w:line="240" w:lineRule="auto"/>
        <w:jc w:val="both"/>
        <w:rPr>
          <w:sz w:val="20"/>
          <w:szCs w:val="24"/>
          <w:lang w:val="en-US"/>
        </w:rPr>
      </w:pPr>
      <w:r>
        <w:rPr>
          <w:rFonts w:ascii="Times New Roman" w:hAnsi="Times New Roman"/>
          <w:i/>
          <w:szCs w:val="24"/>
          <w:lang w:val="en-US"/>
        </w:rPr>
        <w:t>extradition, international cooperation, prospects of international cooperation on extradition.</w:t>
      </w:r>
    </w:p>
    <w:p w:rsidR="00517711" w:rsidRDefault="00517711">
      <w:pPr>
        <w:spacing w:after="0" w:line="240" w:lineRule="auto"/>
        <w:jc w:val="both"/>
        <w:rPr>
          <w:rFonts w:ascii="Times New Roman" w:hAnsi="Times New Roman"/>
          <w:sz w:val="20"/>
          <w:szCs w:val="24"/>
          <w:lang w:val="en-US"/>
        </w:rPr>
      </w:pPr>
    </w:p>
    <w:p w:rsidR="00517711" w:rsidRDefault="00F815BE">
      <w:pPr>
        <w:spacing w:after="0" w:line="240" w:lineRule="auto"/>
        <w:ind w:firstLine="708"/>
        <w:jc w:val="both"/>
        <w:rPr>
          <w:sz w:val="18"/>
          <w:szCs w:val="24"/>
        </w:rPr>
      </w:pPr>
      <w:r>
        <w:rPr>
          <w:rFonts w:ascii="Times New Roman" w:hAnsi="Times New Roman"/>
          <w:sz w:val="20"/>
          <w:szCs w:val="24"/>
        </w:rPr>
        <w:t>Понятие «экстрадиция» носит характер выдачи и передачи задержанного человека другому государству с целью проведения расследования и суда за его возможные преступления в государстве, обращающемся с данным заявлением. Государство, осуществляющее запрос, может быть государством, чьим гражданином является преступник или на территории которого совершено противоправное деяние. Мотивом данного сотрудничества является желание привлечь к уголовной ответственности подозреваемое лицо, совершившее преступление или ряд правонарушений.</w:t>
      </w:r>
    </w:p>
    <w:p w:rsidR="00517711" w:rsidRDefault="00F815BE">
      <w:pPr>
        <w:spacing w:after="0" w:line="240" w:lineRule="auto"/>
        <w:ind w:firstLine="708"/>
        <w:jc w:val="both"/>
        <w:rPr>
          <w:sz w:val="18"/>
          <w:szCs w:val="24"/>
        </w:rPr>
      </w:pPr>
      <w:r>
        <w:rPr>
          <w:rFonts w:ascii="Times New Roman" w:hAnsi="Times New Roman"/>
          <w:sz w:val="20"/>
          <w:szCs w:val="24"/>
        </w:rPr>
        <w:t>Выдача лица, совершившего преступление, помогает достичь целей уголовного процесса, восстановить права, подвергшиеся нарушению, справедливость и обеспечить обязанное действие, как наказание виновного, не обращая внимание на споры территорий разных государств.</w:t>
      </w:r>
    </w:p>
    <w:p w:rsidR="00517711" w:rsidRDefault="00F815BE">
      <w:pPr>
        <w:spacing w:after="0" w:line="240" w:lineRule="auto"/>
        <w:ind w:firstLine="708"/>
        <w:jc w:val="both"/>
        <w:rPr>
          <w:sz w:val="18"/>
          <w:szCs w:val="24"/>
        </w:rPr>
      </w:pPr>
      <w:r>
        <w:rPr>
          <w:rFonts w:ascii="Times New Roman" w:hAnsi="Times New Roman"/>
          <w:sz w:val="20"/>
          <w:szCs w:val="24"/>
        </w:rPr>
        <w:t>Экстрадиция несет собой характер акта правовой взаимной помощи с процедурой предоставления преступника под наделенную полномочиями юрисдикцию для исполнения решения, принятого судом.</w:t>
      </w:r>
    </w:p>
    <w:p w:rsidR="00517711" w:rsidRDefault="00F815BE">
      <w:pPr>
        <w:spacing w:after="0" w:line="240" w:lineRule="auto"/>
        <w:ind w:firstLine="708"/>
        <w:jc w:val="both"/>
        <w:rPr>
          <w:sz w:val="18"/>
          <w:szCs w:val="24"/>
        </w:rPr>
      </w:pPr>
      <w:r>
        <w:rPr>
          <w:rFonts w:ascii="Times New Roman" w:hAnsi="Times New Roman"/>
          <w:sz w:val="20"/>
          <w:szCs w:val="24"/>
        </w:rPr>
        <w:t xml:space="preserve">Прежде всего осуществление данной процедуры проводится в соответствии с правилами Европейской конвенции 1957 года о выдаче, а также двух протоколов, дополняемых её. Существует ещё Минская конвенция государств-участников СНГ 1993 года «О правовой помощи и правовых отношениях по гражданским, семейным и уголовным делам. Двусторонние договоры между государствами особенно облегчают процедуру экстрадиции. </w:t>
      </w:r>
    </w:p>
    <w:p w:rsidR="00517711" w:rsidRDefault="00F815BE">
      <w:pPr>
        <w:spacing w:after="0" w:line="240" w:lineRule="auto"/>
        <w:ind w:firstLine="708"/>
        <w:jc w:val="both"/>
        <w:rPr>
          <w:sz w:val="18"/>
          <w:szCs w:val="24"/>
        </w:rPr>
      </w:pPr>
      <w:r>
        <w:rPr>
          <w:rFonts w:ascii="Times New Roman" w:hAnsi="Times New Roman"/>
          <w:sz w:val="20"/>
          <w:szCs w:val="24"/>
        </w:rPr>
        <w:t xml:space="preserve">Россия практически каждый год заключает такие договоры со многими государствами, что позволяет проводить сотрудничество в уголовной сфере, как выдачу подозреваемых и осужденных людей. </w:t>
      </w:r>
    </w:p>
    <w:p w:rsidR="00517711" w:rsidRDefault="00F815BE">
      <w:pPr>
        <w:spacing w:after="0" w:line="240" w:lineRule="auto"/>
        <w:ind w:firstLine="708"/>
        <w:jc w:val="both"/>
        <w:rPr>
          <w:sz w:val="18"/>
          <w:szCs w:val="24"/>
        </w:rPr>
      </w:pPr>
      <w:r>
        <w:rPr>
          <w:rFonts w:ascii="Times New Roman" w:hAnsi="Times New Roman"/>
          <w:sz w:val="20"/>
          <w:szCs w:val="24"/>
        </w:rPr>
        <w:t xml:space="preserve">Практически 80 государств являются партнерами с Генеральной прокуратурой Российской Федерации в уголовном судопроизводстве. </w:t>
      </w:r>
    </w:p>
    <w:p w:rsidR="00517711" w:rsidRDefault="00F815BE">
      <w:pPr>
        <w:spacing w:after="0" w:line="240" w:lineRule="auto"/>
        <w:ind w:firstLine="708"/>
        <w:jc w:val="both"/>
        <w:rPr>
          <w:sz w:val="18"/>
          <w:szCs w:val="24"/>
        </w:rPr>
      </w:pPr>
      <w:r>
        <w:rPr>
          <w:rFonts w:ascii="Times New Roman" w:hAnsi="Times New Roman"/>
          <w:sz w:val="20"/>
          <w:szCs w:val="24"/>
        </w:rPr>
        <w:t>Также ежегодно сотрудничество по вопросам экстрадиции расширяется в географическом плане. Лица, совершающие преступления, стараются прятаться от органов власти в таких государствах, с которыми Российская Федерация не поддерживает политику выдачи и не имеет международных договоров. Только с 2012 года принято решение о попытке завязать такие отношения с такими странами, как Объединенные Арабские Эмираты, Бразилия, Камбоджа, Чили и другие.</w:t>
      </w:r>
    </w:p>
    <w:p w:rsidR="00517711" w:rsidRDefault="00F815BE">
      <w:pPr>
        <w:spacing w:after="0" w:line="240" w:lineRule="auto"/>
        <w:ind w:firstLine="708"/>
        <w:jc w:val="both"/>
        <w:rPr>
          <w:sz w:val="18"/>
          <w:szCs w:val="24"/>
        </w:rPr>
      </w:pPr>
      <w:r>
        <w:rPr>
          <w:rFonts w:ascii="Times New Roman" w:hAnsi="Times New Roman"/>
          <w:sz w:val="20"/>
          <w:szCs w:val="24"/>
        </w:rPr>
        <w:t xml:space="preserve">В уголовном кодексе Российской Федерации существует статья, которая говорит о том, что преступники, совершившие преступления на чужой территории, не подлежат экстрадиции. И поэтому примеров выдачи в РФ нет, но есть в мировой истории случай 2001 года, когда, например, Сербия в тайне и в обход своей Конституции подвергло бывшего президента С. Милошевича экстрадиции. Он был обвинен в военных преступлениях Косово в 1999 году. </w:t>
      </w:r>
    </w:p>
    <w:p w:rsidR="00517711" w:rsidRDefault="00F815BE">
      <w:pPr>
        <w:spacing w:after="0" w:line="240" w:lineRule="auto"/>
        <w:ind w:firstLine="708"/>
        <w:jc w:val="both"/>
        <w:rPr>
          <w:sz w:val="18"/>
          <w:szCs w:val="24"/>
        </w:rPr>
      </w:pPr>
      <w:r>
        <w:rPr>
          <w:rFonts w:ascii="Times New Roman" w:hAnsi="Times New Roman"/>
          <w:sz w:val="20"/>
          <w:szCs w:val="24"/>
        </w:rPr>
        <w:t>В России же своих граждан, совершивших преступления, наказывают по законам РФ, что подтверждает суверенность страны. Это защищает людей от возможного несправедливого привлечения к ответственности в государствах, где было совершено противоправное деяние. Только в соответствии с Уголовным Кодексом РФ решается состав преступления и меры наказания данного лица.</w:t>
      </w:r>
    </w:p>
    <w:p w:rsidR="00517711" w:rsidRDefault="00F815BE">
      <w:pPr>
        <w:spacing w:after="0" w:line="240" w:lineRule="auto"/>
        <w:ind w:firstLine="708"/>
        <w:jc w:val="both"/>
        <w:rPr>
          <w:sz w:val="18"/>
          <w:szCs w:val="24"/>
        </w:rPr>
      </w:pPr>
      <w:r>
        <w:rPr>
          <w:rFonts w:ascii="Times New Roman" w:hAnsi="Times New Roman"/>
          <w:sz w:val="20"/>
          <w:szCs w:val="24"/>
        </w:rPr>
        <w:t>Следует отметить, что проблема выдачи и экстрадиции в целом связана с тем, что государства не выдают лиц, у которых есть их гражданство, потому что в любой стране свои формулировки этого понятия. Например, в Норвегии есть дополнение, что экстрадиции не подлежат лица, постоянно проживающие в этой стране. В Нидерландах понятие гражданство включает как собственный народ, так и иностранных людей, которые приехали сюда для проживания [1, c.22].</w:t>
      </w:r>
    </w:p>
    <w:p w:rsidR="00517711" w:rsidRDefault="00F815BE">
      <w:pPr>
        <w:spacing w:after="0" w:line="240" w:lineRule="auto"/>
        <w:ind w:firstLine="708"/>
        <w:jc w:val="both"/>
        <w:rPr>
          <w:sz w:val="18"/>
          <w:szCs w:val="24"/>
        </w:rPr>
      </w:pPr>
      <w:r>
        <w:rPr>
          <w:rFonts w:ascii="Times New Roman" w:hAnsi="Times New Roman"/>
          <w:sz w:val="20"/>
          <w:szCs w:val="24"/>
        </w:rPr>
        <w:t xml:space="preserve">В России же более активно используют выдачу из России. За 2017 год примерно 600 иностранных лиц были выданы для проведения суда над ними или исполнения приговора. Главное управление международно-правового сотрудничества Генпрокуратуры оставляет за собой такие решения, которые связаны с согласием или отказом в проведении процедуры экстрадиции, а в Европе принимает решение только суд, который рассматривает обе стороны для вынесения приговора. </w:t>
      </w:r>
    </w:p>
    <w:p w:rsidR="00517711" w:rsidRDefault="00F815BE">
      <w:pPr>
        <w:spacing w:after="0" w:line="240" w:lineRule="auto"/>
        <w:ind w:firstLine="708"/>
        <w:jc w:val="both"/>
        <w:rPr>
          <w:sz w:val="18"/>
          <w:szCs w:val="24"/>
        </w:rPr>
      </w:pPr>
      <w:r>
        <w:rPr>
          <w:rFonts w:ascii="Times New Roman" w:hAnsi="Times New Roman"/>
          <w:sz w:val="20"/>
          <w:szCs w:val="24"/>
        </w:rPr>
        <w:t xml:space="preserve">Чтобы наиболее точно объяснить всю суть сотрудничества в данной сфере между государствами, нужно уточнить, что прежде чем направляется запрос, есть ряд условий, принятых в мировом сообществе. Первое условие включает в себя то, что противоправное деяние входит в список преступлений, за которые выдача лица, обвиняемого в совершении данного действия, более возможна. В договоре между Китаем и Россией 1995 года есть несколько определений того, какие деяния считаются такими, за которыми следует </w:t>
      </w:r>
      <w:r>
        <w:rPr>
          <w:rFonts w:ascii="Times New Roman" w:hAnsi="Times New Roman"/>
          <w:sz w:val="20"/>
          <w:szCs w:val="24"/>
        </w:rPr>
        <w:lastRenderedPageBreak/>
        <w:t xml:space="preserve">экстрадиция. В договоре между Индией и Россией 1998 года есть перечень преступлений, влекущих за собой выдачу. </w:t>
      </w:r>
    </w:p>
    <w:p w:rsidR="00517711" w:rsidRDefault="00F815BE">
      <w:pPr>
        <w:spacing w:after="0" w:line="240" w:lineRule="auto"/>
        <w:ind w:firstLine="708"/>
        <w:jc w:val="both"/>
        <w:rPr>
          <w:sz w:val="18"/>
          <w:szCs w:val="24"/>
        </w:rPr>
      </w:pPr>
      <w:r>
        <w:rPr>
          <w:rFonts w:ascii="Times New Roman" w:hAnsi="Times New Roman"/>
          <w:sz w:val="20"/>
          <w:szCs w:val="24"/>
        </w:rPr>
        <w:t xml:space="preserve">Второе условие предполагает под собой то, что в обоих государствах данное деяние считается преступлением по национальным законодательствам. Например, в 1993 году Испания отправила запрос в Бельгию о выдаче двух обвиняемых лиц. Однако Бельгия в процедуре экстрадиции отказали в связи с тем, что в национальных законах этого государства данное деяние преступлением не считается, поэтому участие двух лиц в вооруженной группе считалось политическим преступлением, а за них процесс выдачи преступников категорически запрещен [2, c.141]. </w:t>
      </w:r>
    </w:p>
    <w:p w:rsidR="00517711" w:rsidRDefault="00F815BE">
      <w:pPr>
        <w:spacing w:after="0" w:line="240" w:lineRule="auto"/>
        <w:ind w:firstLine="708"/>
        <w:jc w:val="both"/>
        <w:rPr>
          <w:sz w:val="18"/>
          <w:szCs w:val="24"/>
        </w:rPr>
      </w:pPr>
      <w:r>
        <w:rPr>
          <w:rFonts w:ascii="Times New Roman" w:hAnsi="Times New Roman"/>
          <w:sz w:val="20"/>
          <w:szCs w:val="24"/>
        </w:rPr>
        <w:t xml:space="preserve">Третье условие считается то, что выданное лицо не подвергается преследованию. За другие преступления преступник не должен нести ответственность, только лишь за то, что ему присудили ранее. Зачастую это условие претерпевает несоблюдения обеих сторон, так как существуют договоренности между ними. </w:t>
      </w:r>
    </w:p>
    <w:p w:rsidR="00517711" w:rsidRDefault="00F815BE">
      <w:pPr>
        <w:spacing w:after="0" w:line="240" w:lineRule="auto"/>
        <w:ind w:firstLine="708"/>
        <w:jc w:val="both"/>
        <w:rPr>
          <w:sz w:val="18"/>
          <w:szCs w:val="24"/>
        </w:rPr>
      </w:pPr>
      <w:r>
        <w:rPr>
          <w:rFonts w:ascii="Times New Roman" w:hAnsi="Times New Roman"/>
          <w:sz w:val="20"/>
          <w:szCs w:val="24"/>
        </w:rPr>
        <w:t xml:space="preserve">Бывает так, что сотрудничество между государствами осложнено их взаимными отношениями или многосторонностью. Поэтому некоторые условия и вопросы по поводу договоров экстрадиции могут быть вовсе упущены. Чтобы с этим справиться, существует принцип взаимности между странами. Россия может выдать государству иностранное лицо или лицо без гражданства для исполнения приговора или преследования за те преступления, которые и в российском законодательстве считаются наказуемыми и в стране, которая отправила запрос [3, c. 383]. Этот принцип предполагает, что, пребывая в похожей ситуации, государство, запрашивающее преступника, поступит в отношении Российской Федерации так же. </w:t>
      </w:r>
    </w:p>
    <w:p w:rsidR="00517711" w:rsidRDefault="00F815BE">
      <w:pPr>
        <w:spacing w:after="0" w:line="240" w:lineRule="auto"/>
        <w:ind w:firstLine="708"/>
        <w:jc w:val="both"/>
        <w:rPr>
          <w:sz w:val="18"/>
          <w:szCs w:val="24"/>
        </w:rPr>
      </w:pPr>
      <w:r>
        <w:rPr>
          <w:rFonts w:ascii="Times New Roman" w:hAnsi="Times New Roman"/>
          <w:sz w:val="20"/>
          <w:szCs w:val="24"/>
        </w:rPr>
        <w:t xml:space="preserve">Основания для такого принципа содержатся в дипломатическом сотрудничестве, что подразумевает собой, что Министерство иностранных дел России принципиально солидарно о выдаче данного преступника. В 2000 году произошел такой случай, что Генеральную прокуратуру РФ пришло заявление от иностранного посольства с требованием о проведении процедуры экстрадиции относительно гражданина Эквадора, который проводил махинации с банковскими кредитами. В выдаче было отказано, так как принципиального требования от Министерства иностранных дел не было. </w:t>
      </w:r>
    </w:p>
    <w:p w:rsidR="00517711" w:rsidRDefault="00F815BE">
      <w:pPr>
        <w:spacing w:after="0" w:line="240" w:lineRule="auto"/>
        <w:ind w:firstLine="708"/>
        <w:jc w:val="both"/>
        <w:rPr>
          <w:sz w:val="18"/>
          <w:szCs w:val="24"/>
        </w:rPr>
      </w:pPr>
      <w:r>
        <w:rPr>
          <w:rFonts w:ascii="Times New Roman" w:hAnsi="Times New Roman"/>
          <w:sz w:val="20"/>
          <w:szCs w:val="24"/>
        </w:rPr>
        <w:t xml:space="preserve">В российском законодательстве процедура экстрадиции заключена в главе 54 УПК РФ, называемая как выдача лица для уголовного преследования или исполнения приговора. В данном документе говорится о Генеральной Прокуратуре России, как главный орган, занимающийся вопросами выдачи иностранных граждан и лиц, не имеющих гражданства. Исполнительную власть несет за собой Федеральная служба исполнения наказаний, которая проводит сам процесс экстрадиции и следует указаниям Генпрокуратуры РФ. В данную службу каждый год присылают около 1400 постановлений об экстрадиции граждан. </w:t>
      </w:r>
    </w:p>
    <w:p w:rsidR="00517711" w:rsidRDefault="00F815BE">
      <w:pPr>
        <w:spacing w:after="0" w:line="240" w:lineRule="auto"/>
        <w:ind w:firstLine="708"/>
        <w:jc w:val="both"/>
        <w:rPr>
          <w:sz w:val="18"/>
          <w:szCs w:val="24"/>
        </w:rPr>
      </w:pPr>
      <w:r>
        <w:rPr>
          <w:rFonts w:ascii="Times New Roman" w:hAnsi="Times New Roman"/>
          <w:sz w:val="20"/>
          <w:szCs w:val="24"/>
        </w:rPr>
        <w:t>В современности существует две системы экстрадиции, которые приняты странами СНГ и Европы, что вызывает взаимную практику или наоборот непонимание и конкуренцию принятых норм. Проблема экстрадиции часто заключается в том, что бывшие советские республики имеют или пишут новые свои уголовные акты. В связи с этим, данная проблема актуальна и в основном, решается с помощью старых связей и договоров между министерствами безопасности, прокуратурами и учреждениями внутренних дел. Так как между такими государствами, становящимися всё больше суверенными, не существует подписанных соглашений, они вынуждены действовать по старым контактам.</w:t>
      </w:r>
    </w:p>
    <w:p w:rsidR="00517711" w:rsidRDefault="00F815BE">
      <w:pPr>
        <w:spacing w:after="0" w:line="240" w:lineRule="auto"/>
        <w:ind w:firstLine="708"/>
        <w:jc w:val="both"/>
        <w:rPr>
          <w:sz w:val="18"/>
          <w:szCs w:val="24"/>
        </w:rPr>
      </w:pPr>
      <w:r>
        <w:rPr>
          <w:rFonts w:ascii="Times New Roman" w:hAnsi="Times New Roman"/>
          <w:sz w:val="20"/>
          <w:szCs w:val="24"/>
        </w:rPr>
        <w:t>Другая, не менее важная проблема процесса выдачи преступников связана с тем, что иностранцам зачастую дают убежище тогда, как они преследуются в другом государстве. Если лицо совершило политическое преступление, оно пользуется данной услугой, а вот если общие деяния, убежище, в основном, не предоставляется. С другой стороны, политическое преступление выявить сложно, так как в практике такое понятие не принято. Политические оценки, собственные убеждения и интересы, а также правовые нормы, принятые в государстве, в основном становятся основания для проведения экстрадиции или выдачи убежища нуждающемуся лицу [4, c.318].</w:t>
      </w:r>
    </w:p>
    <w:p w:rsidR="00517711" w:rsidRDefault="00F815BE">
      <w:pPr>
        <w:spacing w:after="0" w:line="240" w:lineRule="auto"/>
        <w:ind w:firstLine="708"/>
        <w:jc w:val="both"/>
        <w:rPr>
          <w:sz w:val="18"/>
          <w:szCs w:val="24"/>
        </w:rPr>
      </w:pPr>
      <w:r>
        <w:rPr>
          <w:rFonts w:ascii="Times New Roman" w:hAnsi="Times New Roman"/>
          <w:sz w:val="20"/>
          <w:szCs w:val="24"/>
        </w:rPr>
        <w:t>Существует много и общепринятых принципов, находящихся в доработке, но в мире им следуют, особенно таким, как:</w:t>
      </w:r>
    </w:p>
    <w:p w:rsidR="00517711" w:rsidRDefault="00F815BE">
      <w:pPr>
        <w:spacing w:after="0" w:line="240" w:lineRule="auto"/>
        <w:ind w:firstLine="708"/>
        <w:jc w:val="both"/>
        <w:rPr>
          <w:sz w:val="18"/>
          <w:szCs w:val="24"/>
        </w:rPr>
      </w:pPr>
      <w:r>
        <w:rPr>
          <w:rFonts w:ascii="Times New Roman" w:hAnsi="Times New Roman"/>
          <w:sz w:val="20"/>
          <w:szCs w:val="24"/>
        </w:rPr>
        <w:t>- следование правам человека в соглашениях и договоренностях, соблюдение пактов о правах человека [5, c. 49];</w:t>
      </w:r>
    </w:p>
    <w:p w:rsidR="00517711" w:rsidRDefault="00F815BE">
      <w:pPr>
        <w:spacing w:after="0" w:line="240" w:lineRule="auto"/>
        <w:ind w:firstLine="708"/>
        <w:jc w:val="both"/>
        <w:rPr>
          <w:sz w:val="18"/>
          <w:szCs w:val="24"/>
        </w:rPr>
      </w:pPr>
      <w:r>
        <w:rPr>
          <w:rFonts w:ascii="Times New Roman" w:hAnsi="Times New Roman"/>
          <w:sz w:val="20"/>
          <w:szCs w:val="24"/>
        </w:rPr>
        <w:t>- включение в национальное законодательство прав человека, которые прописаны в международных конвенциях и общемировым соглашениям об экстрадиции;</w:t>
      </w:r>
    </w:p>
    <w:p w:rsidR="00517711" w:rsidRDefault="00F815BE">
      <w:pPr>
        <w:spacing w:after="0" w:line="240" w:lineRule="auto"/>
        <w:ind w:firstLine="708"/>
        <w:jc w:val="both"/>
        <w:rPr>
          <w:sz w:val="18"/>
          <w:szCs w:val="24"/>
        </w:rPr>
      </w:pPr>
      <w:r>
        <w:rPr>
          <w:rFonts w:ascii="Times New Roman" w:hAnsi="Times New Roman"/>
          <w:sz w:val="20"/>
          <w:szCs w:val="24"/>
        </w:rPr>
        <w:t>- внимательность к такому аспекту, как смертная казнь, так как в мире многие государства относятся к этому отрицательно и даже прописывают в своих национальных документах о невозможности проведения процедуры выдачи, если в последствии осужденный будет подвергнут данному наказанию.</w:t>
      </w:r>
    </w:p>
    <w:p w:rsidR="00517711" w:rsidRDefault="00F815BE">
      <w:pPr>
        <w:spacing w:after="0" w:line="240" w:lineRule="auto"/>
        <w:ind w:firstLine="708"/>
        <w:jc w:val="both"/>
        <w:rPr>
          <w:sz w:val="18"/>
          <w:szCs w:val="24"/>
        </w:rPr>
      </w:pPr>
      <w:r>
        <w:rPr>
          <w:rFonts w:ascii="Times New Roman" w:hAnsi="Times New Roman"/>
          <w:sz w:val="20"/>
          <w:szCs w:val="24"/>
        </w:rPr>
        <w:t xml:space="preserve">Как вариант решения проблем в данной сфере можно составить общий, единый и обязательный механизм процедуры экстрадиции, которому будут следовать все государства мирового сообщества, чтобы обеспечить общую борьбу с преступностью. Так как в настоящее время законы, касающиеся данного процесса, не имеют единого образа, существует конфронтация мнений между государствами, а это порождает эффективность экстрадиции, как института правовой взаимопомощи между странами. </w:t>
      </w:r>
    </w:p>
    <w:p w:rsidR="00517711" w:rsidRDefault="00F815BE">
      <w:pPr>
        <w:spacing w:after="0" w:line="240" w:lineRule="auto"/>
        <w:ind w:firstLine="708"/>
        <w:jc w:val="both"/>
        <w:rPr>
          <w:sz w:val="18"/>
          <w:szCs w:val="24"/>
        </w:rPr>
      </w:pPr>
      <w:r>
        <w:rPr>
          <w:rFonts w:ascii="Times New Roman" w:hAnsi="Times New Roman"/>
          <w:sz w:val="20"/>
          <w:szCs w:val="24"/>
        </w:rPr>
        <w:t>___________________________________</w:t>
      </w:r>
    </w:p>
    <w:p w:rsidR="00517711" w:rsidRDefault="00F815BE">
      <w:pPr>
        <w:numPr>
          <w:ilvl w:val="0"/>
          <w:numId w:val="58"/>
        </w:numPr>
        <w:spacing w:after="0" w:line="240" w:lineRule="auto"/>
        <w:jc w:val="both"/>
        <w:rPr>
          <w:sz w:val="18"/>
          <w:szCs w:val="24"/>
        </w:rPr>
      </w:pPr>
      <w:r>
        <w:rPr>
          <w:rFonts w:ascii="Times New Roman" w:hAnsi="Times New Roman"/>
          <w:sz w:val="20"/>
          <w:szCs w:val="24"/>
        </w:rPr>
        <w:t>Сафаров Н.А. Европейская система экстрадиции: некоторые проблемы реформы / Н. А. Сафаров // Московский журнал международного права. – 2006. – 74 с.</w:t>
      </w:r>
    </w:p>
    <w:p w:rsidR="00517711" w:rsidRDefault="00F815BE">
      <w:pPr>
        <w:numPr>
          <w:ilvl w:val="0"/>
          <w:numId w:val="58"/>
        </w:numPr>
        <w:spacing w:after="0" w:line="240" w:lineRule="auto"/>
        <w:ind w:left="0" w:firstLine="709"/>
        <w:jc w:val="both"/>
        <w:rPr>
          <w:sz w:val="18"/>
          <w:szCs w:val="24"/>
        </w:rPr>
      </w:pPr>
      <w:r>
        <w:rPr>
          <w:rFonts w:ascii="Times New Roman" w:hAnsi="Times New Roman"/>
          <w:sz w:val="20"/>
          <w:szCs w:val="24"/>
        </w:rPr>
        <w:lastRenderedPageBreak/>
        <w:t>Васильев Ю.Г. Институт выдачи преступников в современном международном праве.: автореф. дис. /Васильев Юрий Газимович. – М., 2003. – 207 с</w:t>
      </w:r>
    </w:p>
    <w:p w:rsidR="00517711" w:rsidRDefault="00F815BE">
      <w:pPr>
        <w:numPr>
          <w:ilvl w:val="0"/>
          <w:numId w:val="58"/>
        </w:numPr>
        <w:spacing w:after="0" w:line="240" w:lineRule="auto"/>
        <w:ind w:left="0" w:firstLine="709"/>
        <w:jc w:val="both"/>
        <w:rPr>
          <w:sz w:val="18"/>
          <w:szCs w:val="24"/>
        </w:rPr>
      </w:pPr>
      <w:r>
        <w:rPr>
          <w:rFonts w:ascii="Times New Roman" w:hAnsi="Times New Roman"/>
          <w:sz w:val="20"/>
          <w:szCs w:val="24"/>
        </w:rPr>
        <w:t>Волеводз А.Г. Международный розыск, арест и конфискация полученных преступным путем денежных средств и имущества: Правовые основы и методика.: автореф. дис. док. юрид. Наук /Волеводз Александр Григорьевич. – М., 2000. – 477 с.</w:t>
      </w:r>
    </w:p>
    <w:p w:rsidR="00517711" w:rsidRDefault="00F815BE">
      <w:pPr>
        <w:numPr>
          <w:ilvl w:val="0"/>
          <w:numId w:val="58"/>
        </w:numPr>
        <w:spacing w:after="0" w:line="240" w:lineRule="auto"/>
        <w:ind w:left="0" w:firstLine="709"/>
        <w:jc w:val="both"/>
        <w:rPr>
          <w:sz w:val="18"/>
          <w:szCs w:val="24"/>
        </w:rPr>
      </w:pPr>
      <w:r>
        <w:rPr>
          <w:rFonts w:ascii="Times New Roman" w:hAnsi="Times New Roman"/>
          <w:sz w:val="20"/>
          <w:szCs w:val="24"/>
        </w:rPr>
        <w:t>Колосов Ю.М. Международное публичное право: учебник для студ. вузов / Ю. М. Колосов, Э. С. Кривчикова. – М.: МГИМО, 2000. – 610 с.</w:t>
      </w:r>
    </w:p>
    <w:p w:rsidR="00517711" w:rsidRDefault="00F815BE">
      <w:pPr>
        <w:rPr>
          <w:rFonts w:ascii="Times New Roman" w:hAnsi="Times New Roman"/>
          <w:sz w:val="20"/>
          <w:szCs w:val="24"/>
        </w:rPr>
      </w:pPr>
      <w:r>
        <w:rPr>
          <w:rFonts w:ascii="Times New Roman" w:hAnsi="Times New Roman"/>
          <w:sz w:val="20"/>
          <w:szCs w:val="24"/>
        </w:rPr>
        <w:t>Шинкевич Д.В. Экстрадиция в уголовном судопроизводстве: учеб. пособие для студ. вузов / – Красноярск: СибЮИ МВД России, 2008. – 75 с.</w:t>
      </w: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Международные отношения и приграничное сотрудничество в АТР: опыт, проблемы и перспективы развития.</w:t>
      </w:r>
    </w:p>
    <w:p w:rsidR="00517711" w:rsidRDefault="00F815BE">
      <w:pPr>
        <w:spacing w:after="0" w:line="240" w:lineRule="auto"/>
        <w:rPr>
          <w:rFonts w:ascii="Times New Roman" w:hAnsi="Times New Roman"/>
          <w:sz w:val="20"/>
          <w:szCs w:val="24"/>
        </w:rPr>
      </w:pPr>
      <w:r>
        <w:rPr>
          <w:rFonts w:ascii="Times New Roman" w:hAnsi="Times New Roman"/>
          <w:sz w:val="20"/>
          <w:szCs w:val="24"/>
        </w:rPr>
        <w:t>УДК 327.5</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Развитие Российско-Китайских отношений в сфере туризма</w:t>
      </w:r>
    </w:p>
    <w:p w:rsidR="00517711" w:rsidRDefault="00F815BE">
      <w:pPr>
        <w:spacing w:after="0" w:line="240" w:lineRule="auto"/>
        <w:ind w:firstLine="709"/>
        <w:jc w:val="center"/>
        <w:rPr>
          <w:rFonts w:ascii="Arial" w:eastAsia="Calibri" w:hAnsi="Arial"/>
          <w:b/>
          <w:bCs/>
          <w:sz w:val="24"/>
          <w:szCs w:val="20"/>
          <w:lang w:eastAsia="ru-RU"/>
        </w:rPr>
      </w:pPr>
      <w:r>
        <w:rPr>
          <w:rFonts w:ascii="Arial" w:eastAsia="Calibri" w:hAnsi="Arial"/>
          <w:b/>
          <w:bCs/>
          <w:sz w:val="24"/>
          <w:szCs w:val="20"/>
          <w:lang w:eastAsia="ru-RU"/>
        </w:rPr>
        <w:t>Ряжнова Ангелина Александровна,</w:t>
      </w:r>
    </w:p>
    <w:p w:rsidR="00517711" w:rsidRDefault="00F815BE">
      <w:pPr>
        <w:spacing w:after="0" w:line="240" w:lineRule="auto"/>
        <w:ind w:firstLine="709"/>
        <w:jc w:val="center"/>
        <w:rPr>
          <w:rFonts w:ascii="Arial" w:eastAsia="Calibri" w:hAnsi="Arial"/>
          <w:bCs/>
          <w:sz w:val="24"/>
          <w:szCs w:val="20"/>
          <w:lang w:eastAsia="ru-RU"/>
        </w:rPr>
      </w:pPr>
      <w:r>
        <w:rPr>
          <w:rFonts w:ascii="Arial" w:eastAsia="Calibri" w:hAnsi="Arial"/>
          <w:bCs/>
          <w:sz w:val="24"/>
          <w:szCs w:val="20"/>
          <w:lang w:eastAsia="ru-RU"/>
        </w:rPr>
        <w:t>Бакалавр 3 курса</w:t>
      </w:r>
    </w:p>
    <w:p w:rsidR="00517711" w:rsidRDefault="00F815BE">
      <w:pPr>
        <w:spacing w:line="240" w:lineRule="auto"/>
        <w:ind w:firstLine="709"/>
        <w:jc w:val="center"/>
        <w:rPr>
          <w:rFonts w:ascii="Arial" w:eastAsia="Calibri" w:hAnsi="Arial"/>
          <w:bCs/>
          <w:sz w:val="24"/>
          <w:szCs w:val="20"/>
          <w:lang w:eastAsia="ru-RU"/>
        </w:rPr>
      </w:pPr>
      <w:r>
        <w:rPr>
          <w:rFonts w:ascii="Arial" w:eastAsia="Calibri" w:hAnsi="Arial"/>
          <w:bCs/>
          <w:sz w:val="24"/>
          <w:szCs w:val="20"/>
          <w:lang w:eastAsia="ru-RU"/>
        </w:rPr>
        <w:t>Кафедры Теории и истории российского и зарубежного права</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spacing w:after="0" w:line="240" w:lineRule="auto"/>
        <w:ind w:firstLine="709"/>
        <w:jc w:val="center"/>
        <w:rPr>
          <w:rFonts w:ascii="Times New Roman" w:hAnsi="Times New Roman"/>
          <w:sz w:val="20"/>
          <w:szCs w:val="20"/>
        </w:rPr>
      </w:pPr>
      <w:r>
        <w:rPr>
          <w:rFonts w:ascii="Times New Roman" w:hAnsi="Times New Roman"/>
          <w:sz w:val="20"/>
          <w:szCs w:val="20"/>
          <w:lang w:val="en-US"/>
        </w:rPr>
        <w:t>E</w:t>
      </w:r>
      <w:r>
        <w:rPr>
          <w:rFonts w:ascii="Times New Roman" w:hAnsi="Times New Roman"/>
          <w:sz w:val="20"/>
          <w:szCs w:val="20"/>
        </w:rPr>
        <w:t>-</w:t>
      </w:r>
      <w:r>
        <w:rPr>
          <w:rFonts w:ascii="Times New Roman" w:hAnsi="Times New Roman"/>
          <w:sz w:val="20"/>
          <w:szCs w:val="20"/>
          <w:lang w:val="en-US"/>
        </w:rPr>
        <w:t>mail</w:t>
      </w:r>
      <w:r>
        <w:rPr>
          <w:rFonts w:ascii="Times New Roman" w:hAnsi="Times New Roman"/>
          <w:sz w:val="20"/>
          <w:szCs w:val="20"/>
        </w:rPr>
        <w:t xml:space="preserve">: </w:t>
      </w:r>
      <w:hyperlink r:id="rId239" w:history="1">
        <w:r>
          <w:rPr>
            <w:rStyle w:val="aa"/>
            <w:color w:val="000000" w:themeColor="text1"/>
            <w:sz w:val="20"/>
            <w:szCs w:val="20"/>
            <w:lang w:val="en-US"/>
          </w:rPr>
          <w:t>ryazhnova</w:t>
        </w:r>
        <w:r>
          <w:rPr>
            <w:rStyle w:val="aa"/>
            <w:color w:val="000000" w:themeColor="text1"/>
            <w:sz w:val="20"/>
            <w:szCs w:val="20"/>
          </w:rPr>
          <w:t>.</w:t>
        </w:r>
        <w:r>
          <w:rPr>
            <w:rStyle w:val="aa"/>
            <w:color w:val="000000" w:themeColor="text1"/>
            <w:sz w:val="20"/>
            <w:szCs w:val="20"/>
            <w:lang w:val="en-US"/>
          </w:rPr>
          <w:t>angeli</w:t>
        </w:r>
        <w:r>
          <w:rPr>
            <w:rStyle w:val="aa"/>
            <w:color w:val="000000" w:themeColor="text1"/>
            <w:sz w:val="20"/>
            <w:szCs w:val="20"/>
          </w:rPr>
          <w:t>@</w:t>
        </w:r>
        <w:r>
          <w:rPr>
            <w:rStyle w:val="aa"/>
            <w:color w:val="000000" w:themeColor="text1"/>
            <w:sz w:val="20"/>
            <w:szCs w:val="20"/>
            <w:lang w:val="en-US"/>
          </w:rPr>
          <w:t>mail</w:t>
        </w:r>
        <w:r>
          <w:rPr>
            <w:rStyle w:val="aa"/>
            <w:color w:val="000000" w:themeColor="text1"/>
            <w:sz w:val="20"/>
            <w:szCs w:val="20"/>
          </w:rPr>
          <w:t>.</w:t>
        </w:r>
        <w:r>
          <w:rPr>
            <w:rStyle w:val="aa"/>
            <w:color w:val="000000" w:themeColor="text1"/>
            <w:sz w:val="20"/>
            <w:szCs w:val="20"/>
            <w:lang w:val="en-US"/>
          </w:rPr>
          <w:t>ru</w:t>
        </w:r>
      </w:hyperlink>
      <w:r>
        <w:rPr>
          <w:rStyle w:val="aa"/>
          <w:color w:val="000000" w:themeColor="text1"/>
          <w:sz w:val="20"/>
          <w:szCs w:val="20"/>
        </w:rPr>
        <w:t>.</w:t>
      </w:r>
      <w:r>
        <w:rPr>
          <w:rFonts w:ascii="Times New Roman" w:hAnsi="Times New Roman"/>
          <w:color w:val="000000" w:themeColor="text1"/>
          <w:sz w:val="20"/>
          <w:szCs w:val="20"/>
        </w:rPr>
        <w:t xml:space="preserve"> </w:t>
      </w:r>
      <w:r>
        <w:rPr>
          <w:rFonts w:ascii="Times New Roman" w:hAnsi="Times New Roman"/>
          <w:sz w:val="20"/>
          <w:szCs w:val="20"/>
        </w:rPr>
        <w:t>Тел: +79143309888</w:t>
      </w:r>
    </w:p>
    <w:p w:rsidR="00517711" w:rsidRDefault="00F815BE">
      <w:pPr>
        <w:spacing w:line="240" w:lineRule="auto"/>
        <w:ind w:firstLine="709"/>
        <w:jc w:val="center"/>
        <w:rPr>
          <w:rFonts w:ascii="Times New Roman" w:hAnsi="Times New Roman"/>
          <w:sz w:val="20"/>
          <w:szCs w:val="20"/>
        </w:rPr>
      </w:pPr>
      <w:r>
        <w:rPr>
          <w:rFonts w:ascii="Times New Roman" w:hAnsi="Times New Roman"/>
          <w:sz w:val="20"/>
          <w:szCs w:val="20"/>
        </w:rPr>
        <w:t>Ул. Гоголя 41, г. Владивосток, Приморский край, Россия, 690014</w:t>
      </w:r>
    </w:p>
    <w:p w:rsidR="00517711" w:rsidRDefault="00F815BE">
      <w:pPr>
        <w:spacing w:after="0" w:line="240" w:lineRule="auto"/>
        <w:ind w:firstLine="709"/>
        <w:jc w:val="both"/>
        <w:rPr>
          <w:rFonts w:ascii="Times New Roman" w:hAnsi="Times New Roman"/>
          <w:i/>
          <w:szCs w:val="24"/>
        </w:rPr>
      </w:pPr>
      <w:r>
        <w:rPr>
          <w:rFonts w:ascii="Times New Roman" w:hAnsi="Times New Roman"/>
          <w:i/>
          <w:szCs w:val="24"/>
        </w:rPr>
        <w:t>Для современной России актуальным является вопрос международного туризма. Особенно интересна тема международного туризма в пограничных районах. Дальний Восток России имеет богатейший потенциал для развития российско-китайского туризма. Развитие туризма между двумя соседствующими странами поможет создать еще один мощный кластер в российско-китайских отношениях. Ключевым компонентом в туристических отношениях станет развитие экологического туризма.</w:t>
      </w:r>
    </w:p>
    <w:p w:rsidR="00517711" w:rsidRDefault="00F815BE">
      <w:pPr>
        <w:spacing w:after="0" w:line="240" w:lineRule="auto"/>
        <w:ind w:firstLine="709"/>
        <w:jc w:val="both"/>
        <w:rPr>
          <w:rFonts w:ascii="Times New Roman" w:hAnsi="Times New Roman"/>
          <w:i/>
          <w:szCs w:val="24"/>
        </w:rPr>
      </w:pPr>
      <w:r>
        <w:rPr>
          <w:rFonts w:ascii="Times New Roman" w:hAnsi="Times New Roman"/>
          <w:b/>
          <w:i/>
          <w:szCs w:val="24"/>
        </w:rPr>
        <w:t>Ключевые слова и словосочетания:</w:t>
      </w:r>
      <w:r>
        <w:rPr>
          <w:rFonts w:ascii="Times New Roman" w:hAnsi="Times New Roman"/>
          <w:i/>
          <w:szCs w:val="24"/>
        </w:rPr>
        <w:t xml:space="preserve"> международный туризм, международные отношения, российско-китайский туризм, инвестиционная политика, экологический туризм.</w:t>
      </w:r>
    </w:p>
    <w:p w:rsidR="00517711" w:rsidRDefault="00F815BE">
      <w:pPr>
        <w:keepNext/>
        <w:spacing w:before="240" w:after="240" w:line="240" w:lineRule="auto"/>
        <w:jc w:val="center"/>
        <w:outlineLvl w:val="0"/>
        <w:rPr>
          <w:rFonts w:ascii="Book Antiqua" w:eastAsia="Calibri" w:hAnsi="Book Antiqua"/>
          <w:b/>
          <w:bCs/>
          <w:caps/>
          <w:sz w:val="26"/>
          <w:szCs w:val="20"/>
          <w:lang w:val="en-US"/>
        </w:rPr>
      </w:pPr>
      <w:r>
        <w:rPr>
          <w:rFonts w:ascii="Book Antiqua" w:eastAsia="Calibri" w:hAnsi="Book Antiqua"/>
          <w:b/>
          <w:bCs/>
          <w:caps/>
          <w:sz w:val="26"/>
          <w:szCs w:val="20"/>
          <w:lang w:val="en-US"/>
        </w:rPr>
        <w:t>Development of Russian-Chinese relations in the sphere of tourism</w:t>
      </w:r>
    </w:p>
    <w:p w:rsidR="00517711" w:rsidRDefault="00F815BE">
      <w:pPr>
        <w:spacing w:after="0" w:line="240" w:lineRule="auto"/>
        <w:ind w:firstLine="709"/>
        <w:jc w:val="center"/>
        <w:rPr>
          <w:rFonts w:ascii="Arial" w:eastAsia="Calibri" w:hAnsi="Arial"/>
          <w:b/>
          <w:bCs/>
          <w:sz w:val="24"/>
          <w:szCs w:val="20"/>
          <w:lang w:val="en-US" w:eastAsia="ru-RU"/>
        </w:rPr>
      </w:pPr>
      <w:r>
        <w:rPr>
          <w:rFonts w:ascii="Arial" w:eastAsia="Calibri" w:hAnsi="Arial"/>
          <w:b/>
          <w:bCs/>
          <w:sz w:val="24"/>
          <w:szCs w:val="20"/>
          <w:lang w:val="en-US" w:eastAsia="ru-RU"/>
        </w:rPr>
        <w:t>Ryazhnova Angelina Aleksandrovna,</w:t>
      </w:r>
    </w:p>
    <w:p w:rsidR="00517711" w:rsidRDefault="00F815BE">
      <w:pPr>
        <w:spacing w:after="0" w:line="240" w:lineRule="auto"/>
        <w:ind w:firstLine="709"/>
        <w:jc w:val="center"/>
        <w:rPr>
          <w:rFonts w:ascii="Arial" w:eastAsia="Calibri" w:hAnsi="Arial"/>
          <w:bCs/>
          <w:sz w:val="24"/>
          <w:szCs w:val="20"/>
          <w:lang w:val="en-US" w:eastAsia="ru-RU"/>
        </w:rPr>
      </w:pPr>
      <w:r>
        <w:rPr>
          <w:rFonts w:ascii="Arial" w:eastAsia="Calibri" w:hAnsi="Arial"/>
          <w:bCs/>
          <w:sz w:val="24"/>
          <w:szCs w:val="20"/>
          <w:lang w:val="en-US" w:eastAsia="ru-RU"/>
        </w:rPr>
        <w:t>Bachelor of the 3nd year</w:t>
      </w:r>
    </w:p>
    <w:p w:rsidR="00517711" w:rsidRDefault="00F815BE">
      <w:pPr>
        <w:spacing w:line="240" w:lineRule="auto"/>
        <w:ind w:firstLine="709"/>
        <w:jc w:val="center"/>
        <w:rPr>
          <w:rFonts w:ascii="Arial" w:eastAsia="Calibri" w:hAnsi="Arial"/>
          <w:bCs/>
          <w:sz w:val="24"/>
          <w:szCs w:val="20"/>
          <w:lang w:val="en-US" w:eastAsia="ru-RU"/>
        </w:rPr>
      </w:pPr>
      <w:r>
        <w:rPr>
          <w:rFonts w:ascii="Arial" w:eastAsia="Calibri" w:hAnsi="Arial"/>
          <w:bCs/>
          <w:sz w:val="24"/>
          <w:szCs w:val="20"/>
          <w:lang w:val="en-US" w:eastAsia="ru-RU"/>
        </w:rPr>
        <w:t>Department of theory and history of Russian and foreign law</w:t>
      </w:r>
    </w:p>
    <w:p w:rsidR="00517711" w:rsidRDefault="00F815BE">
      <w:pPr>
        <w:spacing w:after="0" w:line="240" w:lineRule="auto"/>
        <w:jc w:val="center"/>
        <w:rPr>
          <w:rFonts w:ascii="Times New Roman" w:eastAsia="Calibri" w:hAnsi="Times New Roman"/>
          <w:i/>
          <w:sz w:val="21"/>
          <w:szCs w:val="21"/>
          <w:lang w:val="en-US"/>
        </w:rPr>
      </w:pPr>
      <w:r>
        <w:rPr>
          <w:rFonts w:ascii="Times New Roman" w:eastAsia="Calibri" w:hAnsi="Times New Roman"/>
          <w:i/>
          <w:sz w:val="21"/>
          <w:szCs w:val="21"/>
          <w:lang w:val="en-US"/>
        </w:rPr>
        <w:t xml:space="preserve">Vladivostok state university of economics and service </w:t>
      </w:r>
    </w:p>
    <w:p w:rsidR="00517711" w:rsidRDefault="00F815BE">
      <w:pPr>
        <w:spacing w:line="240" w:lineRule="auto"/>
        <w:jc w:val="center"/>
        <w:rPr>
          <w:rFonts w:ascii="Times New Roman" w:eastAsia="Calibri" w:hAnsi="Times New Roman"/>
          <w:i/>
          <w:sz w:val="21"/>
          <w:szCs w:val="21"/>
          <w:lang w:val="en-US"/>
        </w:rPr>
      </w:pPr>
      <w:r>
        <w:rPr>
          <w:rFonts w:ascii="Times New Roman" w:eastAsia="Calibri" w:hAnsi="Times New Roman"/>
          <w:i/>
          <w:sz w:val="21"/>
          <w:szCs w:val="21"/>
          <w:lang w:val="en-US"/>
        </w:rPr>
        <w:t>Russia. Vladivostok</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i/>
          <w:szCs w:val="24"/>
          <w:lang w:val="en-US"/>
        </w:rPr>
        <w:t>For modern Russia, the issue of international tourism is topical. Particularly interesting is the theme of international tourism in the border areas. The Russian Far East has a rich potential for the development of Russian-Chinese tourism. The development of tourism between the two neighboring countries will help create another powerful cluster in Russian-Chinese relations. The key component in tourism relations will be the development of eco-tourism.</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b/>
          <w:i/>
          <w:szCs w:val="24"/>
          <w:lang w:val="en-US"/>
        </w:rPr>
        <w:t>Keywords</w:t>
      </w:r>
      <w:r>
        <w:rPr>
          <w:rFonts w:ascii="Times New Roman" w:hAnsi="Times New Roman"/>
          <w:i/>
          <w:szCs w:val="24"/>
          <w:lang w:val="en-US"/>
        </w:rPr>
        <w:t>: international tourism, international relations, Russian-Chinese tourism, investment policy, ecotourism.</w:t>
      </w:r>
    </w:p>
    <w:p w:rsidR="00517711" w:rsidRDefault="00517711">
      <w:pPr>
        <w:spacing w:after="0" w:line="240" w:lineRule="auto"/>
        <w:ind w:firstLine="709"/>
        <w:jc w:val="both"/>
        <w:rPr>
          <w:rFonts w:ascii="Times New Roman" w:hAnsi="Times New Roman"/>
          <w:sz w:val="16"/>
          <w:szCs w:val="24"/>
          <w:lang w:val="en-US"/>
        </w:rPr>
      </w:pP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Актуальность международного туризма обусловлена той важной ролью, которую играет туризм в международных отношениях, а также необходимостью исследования условий и особенностей активного и стабильного развития туризма в современном мире. Особенно интересным в этой связи представляется изучение именно российско-китайского туризма, учитывая важность Китая как одного из перспективнейших партнеров России в области туризма и инвестиционную политику КНР, направленную на развитие туризма и рекреации. Туристские отношения между Россией и Китаем важно изучать на примере пограничных зон двух </w:t>
      </w:r>
      <w:r>
        <w:rPr>
          <w:rFonts w:ascii="Times New Roman" w:hAnsi="Times New Roman"/>
          <w:sz w:val="20"/>
          <w:szCs w:val="24"/>
        </w:rPr>
        <w:lastRenderedPageBreak/>
        <w:t>соседствующих стран, учитывая необходимость исследования условий эффективности экологического туризма в условиях наличия огромного российского потенциала в этой сфере и китайские возможности и желание развивать туризм. Изучение данной проблемы также поможет выявить основные проблемы туристского пространства на территории нашей страны и его совместного развития с иностранными инвесторами [1].</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Развитие туризма напрямую зависит от мер, которые государства принимают в области международной политики. В 2000 году Российская Федерация и Китайская народная республика подписали соглашение, которое отменило визовый режим для туристов. Это событие вызвало большое одобрение туристов и привлекло новые туристические потоки.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основе Российско-Китайского сотрудничества в сфере туризма лежат экологические проекты. Китай проявляет большой интерес к пограничным районам Дальнего Востока из-за богатого природного потенциала региона. Китайцы уверены, одним из перспективных направлений туризма является экологический туризм. Идея охраны природы стала одним из аспектов международной политики наших стран. Россия и Китай содействуют в рамках охраны природы и улучшения благосостояния местного населения [2].</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Совместная работа России и Китая над экологическими проблемами началась уже давно. В 2005 году на Китайском заводе произошла авария, химические продукты загрязнили реку Сунгари. По словам министра охраны окружающей среды Китая, именно эта трагедия дала толчок к совместному сотрудничеству в экологической сфере. Страны приняли меры для очищения реки и восстановления популяции обитающих там рыб.</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2014 году Россия и Китай решили совместно оценивать экологические риски, которые могут возникнуть при реализации различных инфраструктурных проектов.</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марте 2016 года страны решили восстанавливать популяцию осетровых рыб в Амуре. Они решили запретить промышленную добычу этих видов рыб. Были согласованы совместные рыбоохранные проекты и мероприятия.</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Безусловно защита водных ресурсов не единственный вопрос, над которым работают страны. С 8 по 10 марта 2016 года в Китайском национальном парке Чанбайшань прошло мероприятие, направленное на изучение Амурского тигра и мест его обитания. Это мероприятие позволило специалистам обменяться опытом, получить новые знания и укрепить партнерские отношения. В современном мире сохранение популяции амурского тигра является важнейшей задачей, с которой Россия и Китай совместно справляются.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Китай и Россия довольно много сотрудничают в сфере сохранения природы, данное сотрудничество постоянно развивается и требует активного участия профильных институтов обеих стран [3].</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Перспективным развитием экологического туризма может стать совместное освоение острова Большой Уссурийский.  «Остров Большой Уссурийский должен остаться листом чистой бумаги» такую стратегию обозначил глава КНР Си Цзинь Пин. Развивать на острове промышленные центры Китай не планирует. Остров решено объявить туристической территорией.  Россия и Китай поставили перед собой цель создать на острове Большой Уссурийский туристско-рекреационный объект международного значения.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Уникальные природные ресурсы острова Большого Уссурийского и акватории Амура являются достаточным основанием для того, чтобы совместными усилиями обеих стран создать зоны туристско-рекреационного типа.</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В целях более эффективного развития российско-китайских отношений в сфере туризма главами Российской Федерации и Китайской Народной Республики 2012 год был объявлен годом российского туризма в Китаем, а 2013 год был объявлен годом китайского туризма в России. В 2012 году был создан Российско-Китайский туристический форум. Этот форум стал местом встречи представителей обеих стран для обсуждения перспективных направлений туризма.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2014 году стартовал проект Russian Tourism Road Show «Успешная Россия». Проект создан для того, чтобы предложить уникальные туристические маршруты современной России гостям из Китая.</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Для России развитие туризма особенно важно, т.к. данная отрасль является благоприятной средой для функционирования предприятий малого бизнеса, способных развиваться без значительных бюджетных ассигнований для привлечения инвестиций в широких масштабах и в короткие сроки.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Правительство России утвердило программу по развитию туризма до 2020 г. Эта программа призвана повысить конкурентоспособность туристско-рекреационного комплекса страны, а также качество туристических услуг, увеличить внутренний и въездной турпотоки, улучшить имидж нашей страны, благоприятной для туризма [4].</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связи с этим одной из актуальных задач для туроператоров двух стран является усиление профессиональной и систематической работы по презентации и рекламе этих туристических ресурсов. Представители государственных органов двух стран высоко оценивают усилия, предпринимаемые для расширения инвестиций в туристической отрасли, строительства, реконструкции и модернизации туристических объектов. Сотрудничество в области туризма между северо-восточными регионами Китая и российскими Дальним Востоком и Восточной Сибирью имеет большое значение для будущих экономических и межкультурных связей двух стран.</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Туристы из поднебесной с каждым годом проявляют всё больший и больший интерес к культуре и природе России. В настоящее время Китай занимает второе место по наплыву туристов в Россию, а Россия находится на третьем месте по числу прибывающих туристов в Китай.</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lastRenderedPageBreak/>
        <w:t>Изучая таблицу 1, мы понимаем, что динамика роста китайского потока туристов в Россию, как показали прошедшие годы, выросла на 67%. За девять месяцев 2017 года Россию посетило порядка 840 тыс. туристов из Китая в рамках безвизового обмена [5].</w:t>
      </w:r>
    </w:p>
    <w:p w:rsidR="00517711" w:rsidRDefault="00517711">
      <w:pPr>
        <w:spacing w:after="0" w:line="240" w:lineRule="auto"/>
        <w:ind w:firstLine="709"/>
        <w:jc w:val="both"/>
        <w:rPr>
          <w:rFonts w:ascii="Times New Roman" w:hAnsi="Times New Roman"/>
          <w:sz w:val="20"/>
          <w:szCs w:val="24"/>
        </w:rPr>
      </w:pPr>
    </w:p>
    <w:p w:rsidR="00517711" w:rsidRDefault="00F815BE">
      <w:pPr>
        <w:pStyle w:val="aff0"/>
      </w:pPr>
      <w:r>
        <w:t>Таблица 1</w:t>
      </w:r>
    </w:p>
    <w:tbl>
      <w:tblPr>
        <w:tblStyle w:val="af1"/>
        <w:tblW w:w="0" w:type="auto"/>
        <w:tblInd w:w="108" w:type="dxa"/>
        <w:tblLook w:val="04A0" w:firstRow="1" w:lastRow="0" w:firstColumn="1" w:lastColumn="0" w:noHBand="0" w:noVBand="1"/>
      </w:tblPr>
      <w:tblGrid>
        <w:gridCol w:w="3101"/>
        <w:gridCol w:w="3209"/>
        <w:gridCol w:w="3329"/>
      </w:tblGrid>
      <w:tr w:rsidR="00517711">
        <w:tc>
          <w:tcPr>
            <w:tcW w:w="3101" w:type="dxa"/>
          </w:tcPr>
          <w:p w:rsidR="00517711" w:rsidRDefault="00F815BE">
            <w:pPr>
              <w:pStyle w:val="13"/>
            </w:pPr>
            <w:r>
              <w:t>Год</w:t>
            </w:r>
          </w:p>
        </w:tc>
        <w:tc>
          <w:tcPr>
            <w:tcW w:w="3209" w:type="dxa"/>
          </w:tcPr>
          <w:p w:rsidR="00517711" w:rsidRDefault="00F815BE">
            <w:pPr>
              <w:pStyle w:val="13"/>
            </w:pPr>
            <w:r>
              <w:t>Количество туристов</w:t>
            </w:r>
          </w:p>
        </w:tc>
        <w:tc>
          <w:tcPr>
            <w:tcW w:w="3329" w:type="dxa"/>
          </w:tcPr>
          <w:p w:rsidR="00517711" w:rsidRDefault="00F815BE">
            <w:pPr>
              <w:pStyle w:val="13"/>
            </w:pPr>
            <w:r>
              <w:t>Изменение числовое, в %</w:t>
            </w:r>
          </w:p>
        </w:tc>
      </w:tr>
      <w:tr w:rsidR="00517711">
        <w:tc>
          <w:tcPr>
            <w:tcW w:w="3101" w:type="dxa"/>
          </w:tcPr>
          <w:p w:rsidR="00517711" w:rsidRDefault="00F815BE">
            <w:pPr>
              <w:pStyle w:val="aff1"/>
            </w:pPr>
            <w:r>
              <w:t>2008-2009</w:t>
            </w:r>
          </w:p>
        </w:tc>
        <w:tc>
          <w:tcPr>
            <w:tcW w:w="3209" w:type="dxa"/>
          </w:tcPr>
          <w:p w:rsidR="00517711" w:rsidRDefault="00F815BE">
            <w:pPr>
              <w:pStyle w:val="aff1"/>
            </w:pPr>
            <w:r>
              <w:t>127 155 – 115 870</w:t>
            </w:r>
          </w:p>
        </w:tc>
        <w:tc>
          <w:tcPr>
            <w:tcW w:w="3329" w:type="dxa"/>
          </w:tcPr>
          <w:p w:rsidR="00517711" w:rsidRDefault="00F815BE">
            <w:pPr>
              <w:pStyle w:val="aff1"/>
            </w:pPr>
            <w:r>
              <w:t>-9</w:t>
            </w:r>
          </w:p>
        </w:tc>
      </w:tr>
      <w:tr w:rsidR="00517711">
        <w:tc>
          <w:tcPr>
            <w:tcW w:w="3101" w:type="dxa"/>
          </w:tcPr>
          <w:p w:rsidR="00517711" w:rsidRDefault="00F815BE">
            <w:pPr>
              <w:pStyle w:val="aff1"/>
            </w:pPr>
            <w:r>
              <w:t>2009-2010</w:t>
            </w:r>
          </w:p>
        </w:tc>
        <w:tc>
          <w:tcPr>
            <w:tcW w:w="3209" w:type="dxa"/>
          </w:tcPr>
          <w:p w:rsidR="00517711" w:rsidRDefault="00F815BE">
            <w:pPr>
              <w:pStyle w:val="aff1"/>
            </w:pPr>
            <w:r>
              <w:t>115 870 – 158 061</w:t>
            </w:r>
          </w:p>
        </w:tc>
        <w:tc>
          <w:tcPr>
            <w:tcW w:w="3329" w:type="dxa"/>
          </w:tcPr>
          <w:p w:rsidR="00517711" w:rsidRDefault="00F815BE">
            <w:pPr>
              <w:pStyle w:val="aff1"/>
            </w:pPr>
            <w:r>
              <w:t>-11</w:t>
            </w:r>
          </w:p>
        </w:tc>
      </w:tr>
      <w:tr w:rsidR="00517711">
        <w:tc>
          <w:tcPr>
            <w:tcW w:w="3101" w:type="dxa"/>
          </w:tcPr>
          <w:p w:rsidR="00517711" w:rsidRDefault="00F815BE">
            <w:pPr>
              <w:pStyle w:val="aff1"/>
            </w:pPr>
            <w:r>
              <w:t>2010-2011</w:t>
            </w:r>
          </w:p>
        </w:tc>
        <w:tc>
          <w:tcPr>
            <w:tcW w:w="3209" w:type="dxa"/>
          </w:tcPr>
          <w:p w:rsidR="00517711" w:rsidRDefault="00F815BE">
            <w:pPr>
              <w:pStyle w:val="aff1"/>
            </w:pPr>
            <w:r>
              <w:t>158 061 – 234 127</w:t>
            </w:r>
          </w:p>
        </w:tc>
        <w:tc>
          <w:tcPr>
            <w:tcW w:w="3329" w:type="dxa"/>
          </w:tcPr>
          <w:p w:rsidR="00517711" w:rsidRDefault="00F815BE">
            <w:pPr>
              <w:pStyle w:val="aff1"/>
            </w:pPr>
            <w:r>
              <w:t>48</w:t>
            </w:r>
          </w:p>
        </w:tc>
      </w:tr>
      <w:tr w:rsidR="00517711">
        <w:tc>
          <w:tcPr>
            <w:tcW w:w="3101" w:type="dxa"/>
          </w:tcPr>
          <w:p w:rsidR="00517711" w:rsidRDefault="00F815BE">
            <w:pPr>
              <w:pStyle w:val="aff1"/>
            </w:pPr>
            <w:r>
              <w:t>2011-2012</w:t>
            </w:r>
          </w:p>
        </w:tc>
        <w:tc>
          <w:tcPr>
            <w:tcW w:w="3209" w:type="dxa"/>
          </w:tcPr>
          <w:p w:rsidR="00517711" w:rsidRDefault="00F815BE">
            <w:pPr>
              <w:pStyle w:val="aff1"/>
            </w:pPr>
            <w:r>
              <w:t>234 127 – 343 357</w:t>
            </w:r>
          </w:p>
        </w:tc>
        <w:tc>
          <w:tcPr>
            <w:tcW w:w="3329" w:type="dxa"/>
          </w:tcPr>
          <w:p w:rsidR="00517711" w:rsidRDefault="00F815BE">
            <w:pPr>
              <w:pStyle w:val="aff1"/>
            </w:pPr>
            <w:r>
              <w:t>47</w:t>
            </w:r>
          </w:p>
        </w:tc>
      </w:tr>
      <w:tr w:rsidR="00517711">
        <w:tc>
          <w:tcPr>
            <w:tcW w:w="3101" w:type="dxa"/>
          </w:tcPr>
          <w:p w:rsidR="00517711" w:rsidRDefault="00F815BE">
            <w:pPr>
              <w:pStyle w:val="aff1"/>
            </w:pPr>
            <w:r>
              <w:t>2012-2013 (за 9- месяцев)</w:t>
            </w:r>
          </w:p>
        </w:tc>
        <w:tc>
          <w:tcPr>
            <w:tcW w:w="3209" w:type="dxa"/>
          </w:tcPr>
          <w:p w:rsidR="00517711" w:rsidRDefault="00F815BE">
            <w:pPr>
              <w:pStyle w:val="aff1"/>
            </w:pPr>
            <w:r>
              <w:t>343 357 – 326 526</w:t>
            </w:r>
          </w:p>
        </w:tc>
        <w:tc>
          <w:tcPr>
            <w:tcW w:w="3329" w:type="dxa"/>
          </w:tcPr>
          <w:p w:rsidR="00517711" w:rsidRDefault="00F815BE">
            <w:pPr>
              <w:pStyle w:val="aff1"/>
            </w:pPr>
            <w:r>
              <w:t>-5</w:t>
            </w:r>
          </w:p>
        </w:tc>
      </w:tr>
    </w:tbl>
    <w:p w:rsidR="00517711" w:rsidRDefault="00517711">
      <w:pPr>
        <w:spacing w:after="0" w:line="240" w:lineRule="auto"/>
        <w:ind w:firstLine="709"/>
        <w:jc w:val="both"/>
        <w:rPr>
          <w:rFonts w:ascii="Times New Roman" w:hAnsi="Times New Roman"/>
          <w:sz w:val="20"/>
          <w:szCs w:val="24"/>
        </w:rPr>
      </w:pP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Ссылаясь на статистические данные Федерального агентства по туризму Российской Федерации, приводим таблицу 2 посещения российских туристов Китая в период </w:t>
      </w:r>
      <w:r>
        <w:rPr>
          <w:rFonts w:ascii="Times New Roman" w:hAnsi="Times New Roman"/>
          <w:sz w:val="20"/>
          <w:szCs w:val="24"/>
        </w:rPr>
        <w:br/>
        <w:t>с 2008-2013 гг.</w:t>
      </w:r>
    </w:p>
    <w:p w:rsidR="00517711" w:rsidRDefault="00517711">
      <w:pPr>
        <w:spacing w:after="0" w:line="240" w:lineRule="auto"/>
        <w:ind w:firstLine="709"/>
        <w:jc w:val="both"/>
        <w:rPr>
          <w:rFonts w:ascii="Times New Roman" w:hAnsi="Times New Roman"/>
          <w:sz w:val="20"/>
          <w:szCs w:val="24"/>
        </w:rPr>
      </w:pPr>
    </w:p>
    <w:p w:rsidR="00517711" w:rsidRDefault="00F815BE">
      <w:pPr>
        <w:pStyle w:val="aff0"/>
      </w:pPr>
      <w:r>
        <w:t>Таблица 2</w:t>
      </w:r>
    </w:p>
    <w:tbl>
      <w:tblPr>
        <w:tblStyle w:val="af1"/>
        <w:tblW w:w="0" w:type="auto"/>
        <w:tblInd w:w="108" w:type="dxa"/>
        <w:tblLook w:val="04A0" w:firstRow="1" w:lastRow="0" w:firstColumn="1" w:lastColumn="0" w:noHBand="0" w:noVBand="1"/>
      </w:tblPr>
      <w:tblGrid>
        <w:gridCol w:w="3176"/>
        <w:gridCol w:w="3285"/>
        <w:gridCol w:w="3178"/>
      </w:tblGrid>
      <w:tr w:rsidR="00517711">
        <w:tc>
          <w:tcPr>
            <w:tcW w:w="3176" w:type="dxa"/>
          </w:tcPr>
          <w:p w:rsidR="00517711" w:rsidRDefault="00F815BE">
            <w:pPr>
              <w:pStyle w:val="13"/>
            </w:pPr>
            <w:r>
              <w:t>Год</w:t>
            </w:r>
          </w:p>
        </w:tc>
        <w:tc>
          <w:tcPr>
            <w:tcW w:w="3285" w:type="dxa"/>
          </w:tcPr>
          <w:p w:rsidR="00517711" w:rsidRDefault="00F815BE">
            <w:pPr>
              <w:pStyle w:val="13"/>
            </w:pPr>
            <w:r>
              <w:t>Количество туристов</w:t>
            </w:r>
          </w:p>
        </w:tc>
        <w:tc>
          <w:tcPr>
            <w:tcW w:w="3178" w:type="dxa"/>
          </w:tcPr>
          <w:p w:rsidR="00517711" w:rsidRDefault="00F815BE">
            <w:pPr>
              <w:pStyle w:val="13"/>
            </w:pPr>
            <w:r>
              <w:t>Изменение числовое, в %</w:t>
            </w:r>
          </w:p>
        </w:tc>
      </w:tr>
      <w:tr w:rsidR="00517711">
        <w:tc>
          <w:tcPr>
            <w:tcW w:w="3176" w:type="dxa"/>
          </w:tcPr>
          <w:p w:rsidR="00517711" w:rsidRDefault="00F815BE">
            <w:pPr>
              <w:pStyle w:val="aff1"/>
            </w:pPr>
            <w:r>
              <w:t>2008-2009</w:t>
            </w:r>
          </w:p>
        </w:tc>
        <w:tc>
          <w:tcPr>
            <w:tcW w:w="3285" w:type="dxa"/>
          </w:tcPr>
          <w:p w:rsidR="00517711" w:rsidRDefault="00F815BE">
            <w:pPr>
              <w:pStyle w:val="aff1"/>
            </w:pPr>
            <w:r>
              <w:t>127155 – 115870</w:t>
            </w:r>
          </w:p>
        </w:tc>
        <w:tc>
          <w:tcPr>
            <w:tcW w:w="3178" w:type="dxa"/>
          </w:tcPr>
          <w:p w:rsidR="00517711" w:rsidRDefault="00F815BE">
            <w:pPr>
              <w:pStyle w:val="aff1"/>
            </w:pPr>
            <w:r>
              <w:t>-51</w:t>
            </w:r>
          </w:p>
        </w:tc>
      </w:tr>
      <w:tr w:rsidR="00517711">
        <w:tc>
          <w:tcPr>
            <w:tcW w:w="3176" w:type="dxa"/>
          </w:tcPr>
          <w:p w:rsidR="00517711" w:rsidRDefault="00F815BE">
            <w:pPr>
              <w:pStyle w:val="aff1"/>
            </w:pPr>
            <w:r>
              <w:t>2009-2010</w:t>
            </w:r>
          </w:p>
        </w:tc>
        <w:tc>
          <w:tcPr>
            <w:tcW w:w="3285" w:type="dxa"/>
          </w:tcPr>
          <w:p w:rsidR="00517711" w:rsidRDefault="00F815BE">
            <w:pPr>
              <w:pStyle w:val="aff1"/>
            </w:pPr>
            <w:r>
              <w:t>115870 – 158061</w:t>
            </w:r>
          </w:p>
        </w:tc>
        <w:tc>
          <w:tcPr>
            <w:tcW w:w="3178" w:type="dxa"/>
          </w:tcPr>
          <w:p w:rsidR="00517711" w:rsidRDefault="00F815BE">
            <w:pPr>
              <w:pStyle w:val="aff1"/>
            </w:pPr>
            <w:r>
              <w:t>44</w:t>
            </w:r>
          </w:p>
        </w:tc>
      </w:tr>
      <w:tr w:rsidR="00517711">
        <w:tc>
          <w:tcPr>
            <w:tcW w:w="3176" w:type="dxa"/>
          </w:tcPr>
          <w:p w:rsidR="00517711" w:rsidRDefault="00F815BE">
            <w:pPr>
              <w:pStyle w:val="aff1"/>
            </w:pPr>
            <w:r>
              <w:t>2010-2011</w:t>
            </w:r>
          </w:p>
        </w:tc>
        <w:tc>
          <w:tcPr>
            <w:tcW w:w="3285" w:type="dxa"/>
          </w:tcPr>
          <w:p w:rsidR="00517711" w:rsidRDefault="00F815BE">
            <w:pPr>
              <w:pStyle w:val="aff1"/>
            </w:pPr>
            <w:r>
              <w:t>158061 – 234127</w:t>
            </w:r>
          </w:p>
        </w:tc>
        <w:tc>
          <w:tcPr>
            <w:tcW w:w="3178" w:type="dxa"/>
          </w:tcPr>
          <w:p w:rsidR="00517711" w:rsidRDefault="00F815BE">
            <w:pPr>
              <w:pStyle w:val="aff1"/>
            </w:pPr>
            <w:r>
              <w:t>4</w:t>
            </w:r>
          </w:p>
        </w:tc>
      </w:tr>
      <w:tr w:rsidR="00517711">
        <w:tc>
          <w:tcPr>
            <w:tcW w:w="3176" w:type="dxa"/>
          </w:tcPr>
          <w:p w:rsidR="00517711" w:rsidRDefault="00F815BE">
            <w:pPr>
              <w:pStyle w:val="aff1"/>
            </w:pPr>
            <w:r>
              <w:t>2011-2012</w:t>
            </w:r>
          </w:p>
        </w:tc>
        <w:tc>
          <w:tcPr>
            <w:tcW w:w="3285" w:type="dxa"/>
          </w:tcPr>
          <w:p w:rsidR="00517711" w:rsidRDefault="00F815BE">
            <w:pPr>
              <w:pStyle w:val="aff1"/>
            </w:pPr>
            <w:r>
              <w:t>234127 – 343357</w:t>
            </w:r>
          </w:p>
        </w:tc>
        <w:tc>
          <w:tcPr>
            <w:tcW w:w="3178" w:type="dxa"/>
          </w:tcPr>
          <w:p w:rsidR="00517711" w:rsidRDefault="00F815BE">
            <w:pPr>
              <w:pStyle w:val="aff1"/>
            </w:pPr>
            <w:r>
              <w:t>-12</w:t>
            </w:r>
          </w:p>
        </w:tc>
      </w:tr>
      <w:tr w:rsidR="00517711">
        <w:tc>
          <w:tcPr>
            <w:tcW w:w="3176" w:type="dxa"/>
          </w:tcPr>
          <w:p w:rsidR="00517711" w:rsidRDefault="00F815BE">
            <w:pPr>
              <w:pStyle w:val="aff1"/>
            </w:pPr>
            <w:r>
              <w:t>2012-2013 (за 9 месяцев)</w:t>
            </w:r>
          </w:p>
        </w:tc>
        <w:tc>
          <w:tcPr>
            <w:tcW w:w="3285" w:type="dxa"/>
          </w:tcPr>
          <w:p w:rsidR="00517711" w:rsidRDefault="00F815BE">
            <w:pPr>
              <w:pStyle w:val="aff1"/>
            </w:pPr>
            <w:r>
              <w:t>343357 - 326526</w:t>
            </w:r>
          </w:p>
        </w:tc>
        <w:tc>
          <w:tcPr>
            <w:tcW w:w="3178" w:type="dxa"/>
          </w:tcPr>
          <w:p w:rsidR="00517711" w:rsidRDefault="00F815BE">
            <w:pPr>
              <w:pStyle w:val="aff1"/>
            </w:pPr>
            <w:r>
              <w:t>-41</w:t>
            </w:r>
          </w:p>
        </w:tc>
      </w:tr>
    </w:tbl>
    <w:p w:rsidR="00517711" w:rsidRDefault="00517711">
      <w:pPr>
        <w:spacing w:after="0" w:line="240" w:lineRule="auto"/>
        <w:ind w:firstLine="709"/>
        <w:jc w:val="both"/>
        <w:rPr>
          <w:rFonts w:ascii="Times New Roman" w:hAnsi="Times New Roman"/>
          <w:sz w:val="20"/>
          <w:szCs w:val="20"/>
        </w:rPr>
      </w:pP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Изучая таблицы, мы понимаем, что количество российских туристов снижается, а количество китайских туристов в Россию растет [6].</w:t>
      </w:r>
    </w:p>
    <w:p w:rsidR="00517711" w:rsidRDefault="00F815BE">
      <w:pPr>
        <w:spacing w:after="0" w:line="240" w:lineRule="auto"/>
        <w:ind w:firstLine="709"/>
        <w:jc w:val="both"/>
        <w:rPr>
          <w:sz w:val="20"/>
          <w:szCs w:val="20"/>
        </w:rPr>
      </w:pPr>
      <w:r>
        <w:rPr>
          <w:rFonts w:ascii="Times New Roman" w:hAnsi="Times New Roman"/>
          <w:sz w:val="20"/>
          <w:szCs w:val="20"/>
        </w:rPr>
        <w:t>Постоянный рост Туристического потока увеличился благодаря проведению годов туризма. В связи с этим России необходимы совместные туристические проекты, которые помогут создать эффективные туристические зоны, помогут сохранить природу и привнесут иностранный капитал в нашу страну. Благодаря строительству инфраструктуры и улучшению качества обслуживания, развитие сотрудничества в сфере туризма между Китаем и Россией укрепляется и набирает силу.</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 целом, нынешнее активное развитие экскурсионного туризма между Россией и Китаем внушает большие надежды и, похоже, дает хорошие шансы всем участникам рынка [7].</w:t>
      </w:r>
    </w:p>
    <w:p w:rsidR="00517711" w:rsidRDefault="00517711">
      <w:pPr>
        <w:pBdr>
          <w:bottom w:val="single" w:sz="12" w:space="1" w:color="auto"/>
        </w:pBdr>
        <w:spacing w:after="0" w:line="240" w:lineRule="auto"/>
        <w:jc w:val="both"/>
        <w:rPr>
          <w:rFonts w:ascii="Times New Roman" w:hAnsi="Times New Roman"/>
          <w:sz w:val="20"/>
          <w:szCs w:val="20"/>
        </w:rPr>
      </w:pP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1. [Электронный ресурс]. – Режим доступа: </w:t>
      </w:r>
      <w:hyperlink r:id="rId240" w:history="1">
        <w:r>
          <w:rPr>
            <w:rFonts w:ascii="Times New Roman" w:hAnsi="Times New Roman"/>
            <w:sz w:val="20"/>
            <w:szCs w:val="20"/>
          </w:rPr>
          <w:t>http://www.politrussia.com/ecology/rossiya-i-kitay-809</w:t>
        </w:r>
      </w:hyperlink>
      <w:r>
        <w:rPr>
          <w:rFonts w:ascii="Times New Roman" w:hAnsi="Times New Roman"/>
          <w:sz w:val="20"/>
          <w:szCs w:val="20"/>
        </w:rPr>
        <w:t>.</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2. [Электронный ресурс]. – Режим доступа: </w:t>
      </w:r>
      <w:hyperlink r:id="rId241" w:history="1">
        <w:r>
          <w:rPr>
            <w:rFonts w:ascii="Times New Roman" w:hAnsi="Times New Roman"/>
            <w:sz w:val="20"/>
            <w:szCs w:val="20"/>
          </w:rPr>
          <w:t>https://www.youtube.com/ watch?v=TjIFxwQtw4k</w:t>
        </w:r>
      </w:hyperlink>
      <w:r>
        <w:rPr>
          <w:rFonts w:ascii="Times New Roman" w:hAnsi="Times New Roman"/>
          <w:sz w:val="20"/>
          <w:szCs w:val="20"/>
        </w:rPr>
        <w:t>.</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3. [Электронный ресурс]. – Режим доступа: </w:t>
      </w:r>
      <w:hyperlink r:id="rId242" w:history="1">
        <w:r>
          <w:rPr>
            <w:rFonts w:ascii="Times New Roman" w:hAnsi="Times New Roman"/>
            <w:sz w:val="20"/>
            <w:szCs w:val="20"/>
          </w:rPr>
          <w:t>http://www.visit-russia.ru/rossiysko-kitayskiy-turizm</w:t>
        </w:r>
      </w:hyperlink>
      <w:r>
        <w:rPr>
          <w:rFonts w:ascii="Times New Roman" w:hAnsi="Times New Roman"/>
          <w:sz w:val="20"/>
          <w:szCs w:val="20"/>
        </w:rPr>
        <w:t>.</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4. [Электронный ресурс]. – Режим доступа: </w:t>
      </w:r>
      <w:hyperlink r:id="rId243" w:history="1">
        <w:r>
          <w:rPr>
            <w:rFonts w:ascii="Times New Roman" w:hAnsi="Times New Roman"/>
            <w:sz w:val="20"/>
            <w:szCs w:val="20"/>
          </w:rPr>
          <w:t>http://www.tass.ru/turizm-v-rossii/3799857</w:t>
        </w:r>
      </w:hyperlink>
      <w:r>
        <w:rPr>
          <w:rFonts w:ascii="Times New Roman" w:hAnsi="Times New Roman"/>
          <w:sz w:val="20"/>
          <w:szCs w:val="20"/>
        </w:rPr>
        <w:t>.</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5. [Электронный ресурс]. – Режим доступа: </w:t>
      </w:r>
      <w:hyperlink r:id="rId244" w:history="1">
        <w:r>
          <w:rPr>
            <w:rFonts w:ascii="Times New Roman" w:hAnsi="Times New Roman"/>
            <w:sz w:val="20"/>
            <w:szCs w:val="20"/>
          </w:rPr>
          <w:t>http://www.xn--b1ae2adf4f.xn--p1ai/article/42327-kitayskie-smi-tuppotok-iz-kitaya-v-possiyu-vypos-na-31.html</w:t>
        </w:r>
      </w:hyperlink>
      <w:r>
        <w:rPr>
          <w:rFonts w:ascii="Times New Roman" w:hAnsi="Times New Roman"/>
          <w:sz w:val="20"/>
          <w:szCs w:val="20"/>
        </w:rPr>
        <w:t>.</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6. [Электронный ресурс]. – Режим доступа: </w:t>
      </w:r>
      <w:hyperlink r:id="rId245" w:history="1">
        <w:r>
          <w:rPr>
            <w:rFonts w:ascii="Times New Roman" w:hAnsi="Times New Roman"/>
            <w:sz w:val="20"/>
            <w:szCs w:val="20"/>
          </w:rPr>
          <w:t>https://www.pglu.ru/</w:t>
        </w:r>
      </w:hyperlink>
      <w:r>
        <w:rPr>
          <w:rFonts w:ascii="Times New Roman" w:hAnsi="Times New Roman"/>
          <w:sz w:val="20"/>
          <w:szCs w:val="20"/>
        </w:rPr>
        <w:t xml:space="preserve"> upload/iblock/c3d/uch_2014_v_17.pdf.</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7. [Электронный ресурс]. – Режим доступа: </w:t>
      </w:r>
      <w:hyperlink r:id="rId246" w:history="1">
        <w:r>
          <w:rPr>
            <w:rStyle w:val="aa"/>
            <w:color w:val="000000" w:themeColor="text1"/>
            <w:sz w:val="20"/>
            <w:szCs w:val="20"/>
          </w:rPr>
          <w:t>http://www.tass.ru/obschestvo/4698873</w:t>
        </w:r>
      </w:hyperlink>
      <w:r>
        <w:rPr>
          <w:rFonts w:ascii="Times New Roman" w:hAnsi="Times New Roman"/>
          <w:sz w:val="20"/>
          <w:szCs w:val="20"/>
        </w:rPr>
        <w:t>.</w:t>
      </w:r>
    </w:p>
    <w:p w:rsidR="00517711" w:rsidRDefault="00517711">
      <w:pPr>
        <w:keepNext/>
        <w:spacing w:before="120" w:after="120" w:line="240" w:lineRule="auto"/>
        <w:outlineLvl w:val="3"/>
        <w:rPr>
          <w:rFonts w:ascii="Times New Roman" w:eastAsia="Calibri" w:hAnsi="Times New Roman"/>
          <w:b/>
          <w:bCs/>
          <w:sz w:val="20"/>
          <w:szCs w:val="28"/>
        </w:rPr>
      </w:pPr>
    </w:p>
    <w:p w:rsidR="00517711" w:rsidRDefault="00F815BE">
      <w:pPr>
        <w:rPr>
          <w:rFonts w:ascii="Times New Roman" w:hAnsi="Times New Roman"/>
          <w:b/>
          <w:color w:val="000000"/>
          <w:sz w:val="20"/>
          <w:szCs w:val="24"/>
        </w:rPr>
      </w:pPr>
      <w:r>
        <w:rPr>
          <w:rFonts w:ascii="Times New Roman" w:hAnsi="Times New Roman"/>
          <w:b/>
          <w:color w:val="000000"/>
          <w:sz w:val="20"/>
          <w:szCs w:val="24"/>
        </w:rPr>
        <w:t>Рубрика: Международные отношения и приграничное сотрудничество в АТР: опыт, проблемы и перспективы развития</w:t>
      </w:r>
    </w:p>
    <w:p w:rsidR="00517711" w:rsidRDefault="00F815BE">
      <w:pPr>
        <w:spacing w:after="0" w:line="240" w:lineRule="auto"/>
        <w:rPr>
          <w:rFonts w:ascii="Times New Roman" w:hAnsi="Times New Roman"/>
          <w:sz w:val="20"/>
        </w:rPr>
      </w:pPr>
      <w:r>
        <w:rPr>
          <w:rFonts w:ascii="Times New Roman" w:hAnsi="Times New Roman"/>
          <w:sz w:val="20"/>
        </w:rPr>
        <w:t>УДК 341.1/8</w:t>
      </w:r>
    </w:p>
    <w:p w:rsidR="00517711" w:rsidRDefault="00517711">
      <w:pPr>
        <w:spacing w:after="0" w:line="240" w:lineRule="auto"/>
        <w:rPr>
          <w:rFonts w:ascii="Times New Roman" w:hAnsi="Times New Roman"/>
          <w:sz w:val="24"/>
        </w:rPr>
      </w:pPr>
    </w:p>
    <w:p w:rsidR="00517711" w:rsidRDefault="00F815BE">
      <w:pPr>
        <w:spacing w:after="0" w:line="240" w:lineRule="auto"/>
        <w:jc w:val="center"/>
        <w:rPr>
          <w:rFonts w:ascii="Book Antiqua" w:hAnsi="Book Antiqua"/>
          <w:b/>
          <w:sz w:val="26"/>
          <w:szCs w:val="26"/>
        </w:rPr>
      </w:pPr>
      <w:r>
        <w:rPr>
          <w:rFonts w:ascii="Book Antiqua" w:hAnsi="Book Antiqua"/>
          <w:b/>
          <w:sz w:val="26"/>
          <w:szCs w:val="26"/>
        </w:rPr>
        <w:t>ВЗАИМОДЕЙСТВИЕ МЕЖДУНАРОДНОГО ПУБЛИЧНОГО И ЧАСТНОГО ПРАВА (НА ПРИМЕРЕ ПРАВОВОГО РЕГУЛИРОВАНИЯ СОТРУДНИЧЕСТВА РФ И КНР ПО ПОСТАВКЕ ГАЗА)</w:t>
      </w:r>
    </w:p>
    <w:p w:rsidR="00517711" w:rsidRDefault="00517711">
      <w:pPr>
        <w:spacing w:after="0" w:line="240" w:lineRule="auto"/>
        <w:jc w:val="center"/>
        <w:rPr>
          <w:rFonts w:ascii="Times New Roman" w:hAnsi="Times New Roman"/>
          <w:b/>
          <w:sz w:val="24"/>
        </w:rPr>
      </w:pPr>
    </w:p>
    <w:p w:rsidR="00517711" w:rsidRDefault="00F815BE">
      <w:pPr>
        <w:spacing w:after="0" w:line="240" w:lineRule="auto"/>
        <w:jc w:val="center"/>
        <w:rPr>
          <w:rFonts w:ascii="Arial" w:hAnsi="Arial" w:cs="Arial"/>
          <w:b/>
          <w:sz w:val="24"/>
        </w:rPr>
      </w:pPr>
      <w:r>
        <w:rPr>
          <w:rFonts w:ascii="Arial" w:hAnsi="Arial" w:cs="Arial"/>
          <w:b/>
          <w:sz w:val="24"/>
        </w:rPr>
        <w:t>Сокорутова Лилия Гаврильевна,</w:t>
      </w:r>
    </w:p>
    <w:p w:rsidR="00517711" w:rsidRDefault="00F815BE">
      <w:pPr>
        <w:spacing w:after="0" w:line="240" w:lineRule="auto"/>
        <w:jc w:val="center"/>
        <w:rPr>
          <w:rFonts w:ascii="Arial" w:hAnsi="Arial" w:cs="Arial"/>
          <w:sz w:val="24"/>
        </w:rPr>
      </w:pPr>
      <w:r>
        <w:rPr>
          <w:rFonts w:ascii="Arial" w:hAnsi="Arial" w:cs="Arial"/>
          <w:sz w:val="24"/>
        </w:rPr>
        <w:t>бакалавр</w:t>
      </w:r>
    </w:p>
    <w:p w:rsidR="00517711" w:rsidRDefault="00517711">
      <w:pPr>
        <w:spacing w:after="0" w:line="240" w:lineRule="auto"/>
        <w:jc w:val="center"/>
        <w:rPr>
          <w:rFonts w:ascii="Times New Roman" w:hAnsi="Times New Roman"/>
          <w:i/>
          <w:sz w:val="21"/>
          <w:szCs w:val="21"/>
        </w:rPr>
      </w:pPr>
    </w:p>
    <w:p w:rsidR="00517711" w:rsidRDefault="00F815BE">
      <w:pPr>
        <w:spacing w:after="0" w:line="240" w:lineRule="auto"/>
        <w:jc w:val="center"/>
        <w:rPr>
          <w:rFonts w:ascii="Times New Roman" w:hAnsi="Times New Roman"/>
          <w:i/>
          <w:sz w:val="21"/>
          <w:szCs w:val="21"/>
        </w:rPr>
      </w:pPr>
      <w:r>
        <w:rPr>
          <w:rFonts w:ascii="Times New Roman" w:hAnsi="Times New Roman"/>
          <w:i/>
          <w:sz w:val="21"/>
          <w:szCs w:val="21"/>
        </w:rPr>
        <w:t>Владивостокский государственный университет экономики и сервиса</w:t>
      </w:r>
    </w:p>
    <w:p w:rsidR="00517711" w:rsidRDefault="00F815BE">
      <w:pPr>
        <w:spacing w:after="0" w:line="240" w:lineRule="auto"/>
        <w:jc w:val="center"/>
        <w:rPr>
          <w:rFonts w:ascii="Times New Roman" w:hAnsi="Times New Roman"/>
          <w:i/>
          <w:sz w:val="21"/>
          <w:szCs w:val="21"/>
        </w:rPr>
      </w:pPr>
      <w:r>
        <w:rPr>
          <w:rFonts w:ascii="Times New Roman" w:hAnsi="Times New Roman"/>
          <w:i/>
          <w:sz w:val="21"/>
          <w:szCs w:val="21"/>
        </w:rPr>
        <w:t>Россия, Владивосток</w:t>
      </w:r>
    </w:p>
    <w:p w:rsidR="00517711" w:rsidRDefault="00517711">
      <w:pPr>
        <w:spacing w:after="0" w:line="240" w:lineRule="auto"/>
        <w:jc w:val="center"/>
        <w:rPr>
          <w:rFonts w:ascii="Times New Roman" w:hAnsi="Times New Roman"/>
          <w:sz w:val="21"/>
          <w:szCs w:val="21"/>
        </w:rPr>
      </w:pPr>
    </w:p>
    <w:p w:rsidR="00517711" w:rsidRPr="00BD6187" w:rsidRDefault="00F815BE">
      <w:pPr>
        <w:spacing w:after="0" w:line="240" w:lineRule="auto"/>
        <w:jc w:val="center"/>
        <w:rPr>
          <w:rFonts w:ascii="Times New Roman" w:hAnsi="Times New Roman"/>
          <w:color w:val="000000"/>
        </w:rPr>
      </w:pPr>
      <w:r>
        <w:rPr>
          <w:rFonts w:ascii="Times New Roman" w:hAnsi="Times New Roman"/>
          <w:color w:val="000000" w:themeColor="text1"/>
          <w:lang w:val="en-US"/>
        </w:rPr>
        <w:t>E</w:t>
      </w:r>
      <w:r w:rsidRPr="00BD6187">
        <w:rPr>
          <w:rFonts w:ascii="Times New Roman" w:hAnsi="Times New Roman"/>
          <w:color w:val="000000" w:themeColor="text1"/>
        </w:rPr>
        <w:t>-</w:t>
      </w:r>
      <w:r>
        <w:rPr>
          <w:rFonts w:ascii="Times New Roman" w:hAnsi="Times New Roman"/>
          <w:color w:val="000000" w:themeColor="text1"/>
          <w:lang w:val="en-US"/>
        </w:rPr>
        <w:t>mail</w:t>
      </w:r>
      <w:r w:rsidRPr="00BD6187">
        <w:rPr>
          <w:rFonts w:ascii="Times New Roman" w:hAnsi="Times New Roman"/>
          <w:color w:val="000000" w:themeColor="text1"/>
        </w:rPr>
        <w:t xml:space="preserve">: </w:t>
      </w:r>
      <w:hyperlink r:id="rId247" w:history="1">
        <w:r>
          <w:rPr>
            <w:rStyle w:val="aa"/>
            <w:rFonts w:ascii="Times New Roman" w:hAnsi="Times New Roman"/>
            <w:color w:val="000000" w:themeColor="text1"/>
            <w:lang w:val="en-US"/>
          </w:rPr>
          <w:t>sokorutovaaa</w:t>
        </w:r>
        <w:r w:rsidRPr="00BD6187">
          <w:rPr>
            <w:rStyle w:val="aa"/>
            <w:rFonts w:ascii="Times New Roman" w:hAnsi="Times New Roman"/>
            <w:color w:val="000000" w:themeColor="text1"/>
          </w:rPr>
          <w:t>@</w:t>
        </w:r>
        <w:r>
          <w:rPr>
            <w:rStyle w:val="aa"/>
            <w:rFonts w:ascii="Times New Roman" w:hAnsi="Times New Roman"/>
            <w:color w:val="000000" w:themeColor="text1"/>
            <w:lang w:val="en-US"/>
          </w:rPr>
          <w:t>bk</w:t>
        </w:r>
        <w:r w:rsidRPr="00BD6187">
          <w:rPr>
            <w:rStyle w:val="aa"/>
            <w:rFonts w:ascii="Times New Roman" w:hAnsi="Times New Roman"/>
            <w:color w:val="000000" w:themeColor="text1"/>
          </w:rPr>
          <w:t>.</w:t>
        </w:r>
        <w:r>
          <w:rPr>
            <w:rStyle w:val="aa"/>
            <w:rFonts w:ascii="Times New Roman" w:hAnsi="Times New Roman"/>
            <w:color w:val="000000" w:themeColor="text1"/>
            <w:lang w:val="en-US"/>
          </w:rPr>
          <w:t>ru</w:t>
        </w:r>
      </w:hyperlink>
      <w:r w:rsidRPr="00BD6187">
        <w:rPr>
          <w:rFonts w:ascii="Times New Roman" w:hAnsi="Times New Roman"/>
          <w:color w:val="000000" w:themeColor="text1"/>
        </w:rPr>
        <w:t xml:space="preserve">; </w:t>
      </w:r>
      <w:r>
        <w:rPr>
          <w:rFonts w:ascii="Times New Roman" w:hAnsi="Times New Roman"/>
          <w:color w:val="000000" w:themeColor="text1"/>
        </w:rPr>
        <w:t>тел</w:t>
      </w:r>
      <w:r w:rsidRPr="00BD6187">
        <w:rPr>
          <w:rFonts w:ascii="Times New Roman" w:hAnsi="Times New Roman"/>
          <w:color w:val="000000" w:themeColor="text1"/>
        </w:rPr>
        <w:t>.:+79996158660</w:t>
      </w:r>
    </w:p>
    <w:p w:rsidR="00517711" w:rsidRDefault="00F815BE">
      <w:pPr>
        <w:spacing w:after="0" w:line="240" w:lineRule="auto"/>
        <w:jc w:val="center"/>
        <w:rPr>
          <w:rFonts w:ascii="Times New Roman" w:hAnsi="Times New Roman"/>
          <w:color w:val="000000"/>
        </w:rPr>
      </w:pPr>
      <w:r>
        <w:rPr>
          <w:rFonts w:ascii="Times New Roman" w:hAnsi="Times New Roman"/>
          <w:color w:val="000000" w:themeColor="text1"/>
        </w:rPr>
        <w:t>ул. Гоголя, 41, г. Владивосток, Приморский край, Россия, 690014</w:t>
      </w:r>
    </w:p>
    <w:p w:rsidR="00517711" w:rsidRDefault="00F815BE">
      <w:pPr>
        <w:tabs>
          <w:tab w:val="left" w:pos="4290"/>
        </w:tabs>
        <w:spacing w:after="0" w:line="240" w:lineRule="auto"/>
        <w:rPr>
          <w:rFonts w:ascii="Times New Roman" w:hAnsi="Times New Roman"/>
          <w:b/>
          <w:sz w:val="2"/>
          <w:szCs w:val="2"/>
        </w:rPr>
      </w:pPr>
      <w:r>
        <w:rPr>
          <w:rFonts w:ascii="Times New Roman" w:hAnsi="Times New Roman"/>
          <w:b/>
          <w:sz w:val="2"/>
          <w:szCs w:val="2"/>
        </w:rPr>
        <w:tab/>
      </w:r>
    </w:p>
    <w:p w:rsidR="00517711" w:rsidRDefault="00F815BE">
      <w:pPr>
        <w:spacing w:after="0" w:line="240" w:lineRule="auto"/>
        <w:jc w:val="center"/>
        <w:rPr>
          <w:rFonts w:ascii="Arial" w:hAnsi="Arial" w:cs="Arial"/>
          <w:b/>
          <w:sz w:val="24"/>
        </w:rPr>
      </w:pPr>
      <w:r>
        <w:rPr>
          <w:rFonts w:ascii="Arial" w:hAnsi="Arial" w:cs="Arial"/>
          <w:b/>
          <w:sz w:val="24"/>
        </w:rPr>
        <w:t>Литвинова Светлана Федоровна,</w:t>
      </w:r>
    </w:p>
    <w:p w:rsidR="00517711" w:rsidRDefault="00F815BE">
      <w:pPr>
        <w:spacing w:after="0" w:line="240" w:lineRule="auto"/>
        <w:jc w:val="center"/>
        <w:rPr>
          <w:rFonts w:ascii="Arial" w:hAnsi="Arial" w:cs="Arial"/>
          <w:sz w:val="24"/>
        </w:rPr>
      </w:pPr>
      <w:r>
        <w:rPr>
          <w:rFonts w:ascii="Arial" w:hAnsi="Arial" w:cs="Arial"/>
          <w:sz w:val="24"/>
        </w:rPr>
        <w:t>научный руководитель</w:t>
      </w:r>
    </w:p>
    <w:p w:rsidR="00517711" w:rsidRDefault="00517711">
      <w:pPr>
        <w:spacing w:after="0" w:line="240" w:lineRule="auto"/>
        <w:jc w:val="center"/>
        <w:rPr>
          <w:rFonts w:ascii="Times New Roman" w:hAnsi="Times New Roman"/>
          <w:sz w:val="24"/>
        </w:rPr>
      </w:pPr>
    </w:p>
    <w:p w:rsidR="00517711" w:rsidRDefault="00F815BE">
      <w:pPr>
        <w:spacing w:after="0" w:line="240" w:lineRule="auto"/>
        <w:jc w:val="center"/>
        <w:rPr>
          <w:rFonts w:ascii="Times New Roman" w:hAnsi="Times New Roman"/>
          <w:sz w:val="20"/>
        </w:rPr>
      </w:pPr>
      <w:r>
        <w:rPr>
          <w:rFonts w:ascii="Times New Roman" w:hAnsi="Times New Roman"/>
          <w:sz w:val="20"/>
        </w:rPr>
        <w:t xml:space="preserve">Кандидат юридических наук, доцент кафедры гражданско-правовых дисциплин, </w:t>
      </w:r>
    </w:p>
    <w:p w:rsidR="00517711" w:rsidRDefault="00F815BE">
      <w:pPr>
        <w:spacing w:after="0" w:line="240" w:lineRule="auto"/>
        <w:jc w:val="center"/>
        <w:rPr>
          <w:rFonts w:ascii="Times New Roman" w:hAnsi="Times New Roman"/>
          <w:sz w:val="24"/>
        </w:rPr>
      </w:pPr>
      <w:r>
        <w:rPr>
          <w:rFonts w:ascii="Times New Roman" w:hAnsi="Times New Roman"/>
          <w:sz w:val="20"/>
        </w:rPr>
        <w:t>Институт права</w:t>
      </w:r>
    </w:p>
    <w:p w:rsidR="00517711" w:rsidRDefault="00517711">
      <w:pPr>
        <w:spacing w:after="0" w:line="240" w:lineRule="auto"/>
        <w:jc w:val="center"/>
        <w:rPr>
          <w:rFonts w:ascii="Times New Roman" w:hAnsi="Times New Roman"/>
          <w:sz w:val="24"/>
        </w:rPr>
      </w:pPr>
    </w:p>
    <w:p w:rsidR="00517711" w:rsidRDefault="00F815BE">
      <w:pPr>
        <w:spacing w:after="0" w:line="240" w:lineRule="auto"/>
        <w:ind w:firstLine="709"/>
        <w:jc w:val="both"/>
        <w:rPr>
          <w:rFonts w:ascii="Times New Roman" w:hAnsi="Times New Roman"/>
          <w:i/>
        </w:rPr>
      </w:pPr>
      <w:r>
        <w:rPr>
          <w:rFonts w:ascii="Times New Roman" w:hAnsi="Times New Roman"/>
          <w:i/>
        </w:rPr>
        <w:t>Отношения между Российской Федерацией и Китайской Народной Республикой характеризуются высокой динамикой развития, прочной правовой базой, разветвленной организационной структурой и активными связями на всех уровнях, поэтому данная тема актуальна на сегодняшний день.</w:t>
      </w:r>
      <w:r>
        <w:rPr>
          <w:sz w:val="20"/>
        </w:rPr>
        <w:t xml:space="preserve"> </w:t>
      </w:r>
      <w:r>
        <w:rPr>
          <w:rFonts w:ascii="Times New Roman" w:hAnsi="Times New Roman"/>
          <w:i/>
        </w:rPr>
        <w:t>Сотрудничество в газовой сфере имеет преобладающее значение и в значительной степени определяет благоприятное развитие двусторонних отношений.</w:t>
      </w:r>
    </w:p>
    <w:p w:rsidR="00517711" w:rsidRDefault="00F815BE">
      <w:pPr>
        <w:spacing w:after="0" w:line="240" w:lineRule="auto"/>
        <w:ind w:firstLine="709"/>
        <w:jc w:val="both"/>
        <w:rPr>
          <w:rFonts w:ascii="Times New Roman" w:hAnsi="Times New Roman"/>
          <w:i/>
        </w:rPr>
      </w:pPr>
      <w:r>
        <w:rPr>
          <w:rFonts w:ascii="Times New Roman" w:hAnsi="Times New Roman"/>
          <w:b/>
          <w:i/>
        </w:rPr>
        <w:t>Ключевые слова и словосочетания:</w:t>
      </w:r>
      <w:r>
        <w:rPr>
          <w:rFonts w:ascii="Times New Roman" w:hAnsi="Times New Roman"/>
          <w:i/>
        </w:rPr>
        <w:t xml:space="preserve"> сотрудничество КНР и РФ, газовая сфера</w:t>
      </w:r>
    </w:p>
    <w:p w:rsidR="00517711" w:rsidRDefault="00517711">
      <w:pPr>
        <w:spacing w:after="0" w:line="240" w:lineRule="auto"/>
        <w:ind w:firstLine="709"/>
        <w:jc w:val="both"/>
        <w:rPr>
          <w:rFonts w:ascii="Times New Roman" w:hAnsi="Times New Roman"/>
          <w:i/>
          <w:sz w:val="24"/>
        </w:rPr>
      </w:pPr>
    </w:p>
    <w:p w:rsidR="00517711" w:rsidRDefault="00F815BE">
      <w:pPr>
        <w:spacing w:after="0" w:line="240" w:lineRule="auto"/>
        <w:ind w:firstLine="709"/>
        <w:jc w:val="both"/>
        <w:rPr>
          <w:rFonts w:ascii="Book Antiqua" w:hAnsi="Book Antiqua"/>
          <w:b/>
          <w:sz w:val="26"/>
          <w:szCs w:val="26"/>
          <w:lang w:val="en-US"/>
        </w:rPr>
      </w:pPr>
      <w:r>
        <w:rPr>
          <w:rFonts w:ascii="Book Antiqua" w:hAnsi="Book Antiqua"/>
          <w:b/>
          <w:sz w:val="26"/>
          <w:szCs w:val="26"/>
          <w:lang w:val="en-US"/>
        </w:rPr>
        <w:t>INTERACTION OF THE INTERNATIONAL PUBLIC AND PRIVATE LAW (ON AN EXAMPLE OF LEGAL REGULATION OF COOPERATION OF THE RUSSIAN FEDERATION AND THE PEOPLES REPUBLIC OF CHINA ON GAS DELIVERY)</w:t>
      </w:r>
    </w:p>
    <w:p w:rsidR="00517711" w:rsidRDefault="00517711">
      <w:pPr>
        <w:spacing w:after="0" w:line="240" w:lineRule="auto"/>
        <w:ind w:firstLine="709"/>
        <w:jc w:val="both"/>
        <w:rPr>
          <w:rFonts w:ascii="Times New Roman" w:hAnsi="Times New Roman"/>
          <w:i/>
          <w:sz w:val="24"/>
          <w:lang w:val="en-US"/>
        </w:rPr>
      </w:pPr>
    </w:p>
    <w:p w:rsidR="00517711" w:rsidRDefault="00F815BE">
      <w:pPr>
        <w:spacing w:after="0" w:line="240" w:lineRule="auto"/>
        <w:ind w:firstLine="709"/>
        <w:jc w:val="both"/>
        <w:rPr>
          <w:rFonts w:ascii="Times New Roman" w:hAnsi="Times New Roman"/>
          <w:i/>
          <w:lang w:val="en-US"/>
        </w:rPr>
      </w:pPr>
      <w:r>
        <w:rPr>
          <w:rFonts w:ascii="Times New Roman" w:hAnsi="Times New Roman"/>
          <w:i/>
          <w:lang w:val="en-US"/>
        </w:rPr>
        <w:t>Relations between the Russian Federation and the People's Republic of China are characterized by high dynamics of development, a solid legal framework, extensive organizational and active ties at all levels, and therefore topical relevance to date. Cooperation in the gas sphere is of paramount importance and, in the form of a degree, determines the favorable development of bilateral relations.</w:t>
      </w:r>
    </w:p>
    <w:p w:rsidR="00517711" w:rsidRDefault="00F815BE">
      <w:pPr>
        <w:spacing w:after="0" w:line="240" w:lineRule="auto"/>
        <w:ind w:firstLine="709"/>
        <w:jc w:val="both"/>
        <w:rPr>
          <w:rFonts w:ascii="Times New Roman" w:hAnsi="Times New Roman"/>
          <w:i/>
          <w:lang w:val="en-US"/>
        </w:rPr>
      </w:pPr>
      <w:r>
        <w:rPr>
          <w:rFonts w:ascii="Times New Roman" w:hAnsi="Times New Roman"/>
          <w:b/>
          <w:i/>
          <w:lang w:val="en-US"/>
        </w:rPr>
        <w:t>Keywords:</w:t>
      </w:r>
      <w:r>
        <w:rPr>
          <w:sz w:val="20"/>
          <w:lang w:val="en-US"/>
        </w:rPr>
        <w:t xml:space="preserve"> </w:t>
      </w:r>
      <w:r>
        <w:rPr>
          <w:rFonts w:ascii="Times New Roman" w:hAnsi="Times New Roman"/>
          <w:i/>
          <w:lang w:val="en-US"/>
        </w:rPr>
        <w:t>cooperation between China and Russia, the gas sphere</w:t>
      </w:r>
    </w:p>
    <w:p w:rsidR="00517711" w:rsidRDefault="00517711">
      <w:pPr>
        <w:spacing w:after="0" w:line="240" w:lineRule="auto"/>
        <w:ind w:firstLine="709"/>
        <w:jc w:val="both"/>
        <w:rPr>
          <w:rFonts w:ascii="Times New Roman" w:hAnsi="Times New Roman"/>
          <w:i/>
          <w:sz w:val="24"/>
          <w:lang w:val="en-US"/>
        </w:rPr>
      </w:pP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Международное публичное право и международное частное право тесно связаны между собой. Связь международного публичного права и международного частного права заключается в следующем нормы международного публичного и международного частного права служат одной и той же цели - созданию правовых условий развития международного сотрудничества в различных областях. В обоих случаях речь идет о международных отношениях в широком смысле этого слова, то есть выходящих за пределы одного государства, связанных с двумя или несколькими государствами. В качестве источника международного частного права часто применяются нормы, сформулированные первоначально в качестве правил международного договора, а затем трансформированные в нормы внутреннего законодательства [1].</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Большую значимость в формировании внешнеэкономических связей РФ и КНР играют межгосударственные соглашения, договоры, в которых, в свою очередь, устанавливаются основные нормы и условия взаимной торговли, также в них определяются объем поставок, экономические обоснования, установленные стадии и периоды их реализации.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9 октября 2014 года Правительство РФ издало распоряжение о подписании Соглашения между Правительством РФ и Правительством КНР о сотрудничестве в сфере поставок природного газа из РФ в КНР по «восточному» маршруту [5]. В содержании, которого отмечалось «В соответствии с пунктом 1 статьи 11 Федерального закона "О международных договорах Российской Федерации" одобрить представленный Минэнерго России согласованный с МИДом России и другими заинтересованными федеральными органами исполнительной власти проект Соглашения между Правительством РФ и Правительством КНР о сотрудничестве в сфере поставок природного газа из РФ в КНР по «восточному» маршруту. Поручить Минэнерго России провести с участием МИДа России переговоры с Китайской Стороной и по достижении договоренности подписать от имени Правительства Российской Федерации указанное Соглашение, разрешив вносить в прилагаемый проект изменения, не имеющие принципиального характера». К распоряжению прилагался проект соглашения, который в последствии не изменялся.</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lastRenderedPageBreak/>
        <w:t>Соглашение между Правительством РФ и Правительством КНР о сотрудничестве в сфере поставок природного газа из РФ в КНР по «восточному» маршруту» было принято и подписано сторонами в г. Москва 13 октября 2014 года [7].</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Целью настоящего соглашения является укрепления взаимодействия сторон в энергетической сфере, а также определение основных условий сотрудничества в части поставок природного газа из РФ в КНР по «восточному» маршруту, включая трансграничный участок газопровода через реку Амур (Хэйлунцзян) в районе городов Благовещенск (РФ) и Хэйхэ (КНР).</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Следует отметить, что данное соглашение официально опубликовано и находится в общем доступе.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Состоит оно из 21 статьи, подписано в двух экземплярах на русском и китайском языках, причем оба имеют одинаковую силу.</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В соглашение дается определение восточного маршрута. Согласно статье 1 Соглашения «трансграничный участок газопровода начинается на газоизмерительной станции, расположенной на территории РФ, и заканчивается на газокомпрессорной станции Хэйхэ, расположенной на территории КНР, и не включает газоизмерительную станцию и газокомпрессорную станцию Хэйхэ».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рамках соглашения признают необходимость проектирование, строительстве и эксплуатации газотранспортной инфраструктуры и берут обязательства содействовать в этом назначенными для реализации проекта, а также устанавливают уполномоченные на реализацию вышеуказанного содействия организации от российской стороны – открытое акционерное общество «Газпром» и от китайской стороны – Китайская национальная нефтегазовая корпорация.</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Статья 5 возлагает на участников данного соглашения в период строительства, а также при необходимости и на период эксплуатации газопровода, выделить закрытые зоны, которые будут находиться под контролем пограничных, таможенных и других уполномоченных органов.</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рассматриваемом соглашении стороны согласовали изложены условия составления списков персонала для работы на объекте (ст.6), а в 7 статье данного соглашения стороны устанавливают право собственности на трансграничный участок, в том числе ст.9 информирует нас о том, что в период осуществления проектно-изыскательских работ, строительства и эксплуатации подводного перехода, уполномоченным организациями и другим разрешается использовать необходимые средства связи.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Строительство подводного перехода не должно изменять направление водного потока, вызывать изменения русла реки Амур (Хэйлунцзян) и ее фарватера, береговой линии и отражаться на безопасности судоходства (ст.8).</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статье 10 говорится о том, что уполномоченные организации совместно разрабатывают план локализации и ликвидации аварий.</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Важным положением в договоре являются расчётные отношения, которые приветствуют и поощряют использование уполномоченными организациями национальных валют Российской Федерации и Китайской Народной Республики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Стороны также урегулировали ряд таможенных, налоговых отношений. Так, согласно ст.12-15 обговариваются условия уплаты налогов, таможенных пошлин и сборов за таможенные операции. Следует обратить внимание, что оба государства обеспечивают освобождение от налога на добавленную стоимость, а также таможенных пошлин в пределах разумного.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Статья 16 обязывает стороны оказывать содействие уполномоченным организациям по расширению их сотрудничества в газовой сфере. В настоящей статья уточняется о поставках через западный участок границы РФ и КНР.</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Статья 17 назначает компетентные органы, осуществляющие координацию и контроль за деятельностью с российской стороны - Министерство энергетики Российской Федерации, а с китайской стороны - Государственное энергетическое управление Китайской Народной Республики.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Статья 18 устанавливает императивную норму, которая обязывает стороны «соблюдать режим конфиденциальности в отношении информации, полученной от другой стороны» [7].</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19- 20 статьях соглашения описываются пути решения разногласий и внесения изменений. Изменения в настоящее соглашение вносится путем подписание отдельных договоров, а разногласия решаются путем консультаций [7].</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Заключительная статья 21 утверждает «вступление в силу с даты получения по дипломатическим каналам последнего письменного уведомления о выполнении Сторонами внутригосударственных процедур, необходимых для его вступления в силу, и действует в течение 40 лет».  В дополнение в этой же статье оговаривается, что «по окончании указанного срока действие настоящего соглашения автоматически продлевается на последующие 5-летние периоды, если ни одна из Сторон письменно не уведомит другую сторону, по крайней мере, за шесть месяцев до истечения соответствующего периода о своем намерении прекратить действие настоящего Соглашения».</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Соглашении между Правительством РФ и Правительством КНР о сотрудничестве в сфере поставок природного газа из РФ в КНР по «восточному» маршруту предусмотрена институциональная форма сотрудничества в рамках межправительственной комиссии.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 Межправительственные комиссии по торгово-экономическому сотрудничеству с зарубежными странами (далее – МПК), комитеты и рабочие группы, работающие в рамках МПК, создаются для эффективного взаимодействия, формируют и осуществляют функции для развития двустороннего </w:t>
      </w:r>
      <w:r>
        <w:rPr>
          <w:rFonts w:ascii="Times New Roman" w:hAnsi="Times New Roman"/>
          <w:sz w:val="20"/>
          <w:szCs w:val="24"/>
        </w:rPr>
        <w:lastRenderedPageBreak/>
        <w:t>сотрудничества РФ с зарубежными странами, будучи успешным механизмом для решения задач, представляющих обоюдный интерес. Благодаря работе МПК развивается двустороннее сотрудничество в сфере инвестиций, упрощается система налогообложения и таможенные процедуры [3].</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О Российско-китайской комиссии по энергетическому сотрудничеству:</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Председателем Российской части МПК является Дворкович Аркадий Владимирович, заместитель Председателя Правительства РФ. Председатель иностранной части МПК – Чжан Гаоли, заместитель Председателя Госсовета Китая. Последняя встреча была 12 апреля 2017 г. г. Москва, а заседание проходило 30 мая 2016 г. г. Сочи [6].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30 мая 2016 г. в Сочи проведено 13-е заседание Российско-Китайской комиссии по энергетическому сотрудничеству под председательством Заместителя Председателя Правительства Российской Федерации А.В.Дворковича и Заместителя Премьера Государственного Совета КНР Чжан Гаоли.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Действует межпарламентская комиссия по сотрудничеству Федерального Собрания Российской Федерации с Всекитайским собранием народных представителей. На регулярной основе осуществляется обмен делегациями по линии профильных парламентских комитетов и комиссий, а также депутатских групп российско-китайской дружбы [4].</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Соглашение между Правительством Российской Федерации и Правительством Китайской Народной Республики о сотрудничестве в сфере поставок природного газа из Российской Федерации в Китайскую Народную Республику по «восточному» маршруту предусматривает сотрудничество в рамках МПК. Состав комиссии определен Минэкономразвития РФ совместно с МИД РФ, в него входят члены Правительства России, их заместители, а также руководители федеральных служб и федеральных агентств.</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21 мая 2014 г. российская компания «Газпром» и китайская CNPC подписали 30-летний договор купли-продажи природного газа, общая стоимость которого оценивается в 400 млрд долл. Объём поставок составит 38 млрд куб. м газа в год. После чего А.Миллер заявил, что все принципиальные вопросы решены, такого контракта нет ни с одной компанией. [2]. Также представители газовых компаний в присутствии президента РФ Владимира Путина и председателя КНР Си Цзиньпина подписали меморандум о взаимопонимании в сфере поставок природного газа по «восточному маршруту».</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данной работе были рассмотрено сотрудничество РФ и КНР, сложившееся на сегодняшний момент, в сфере поставок природного газа, межгосударственное регулирование настоящих отношений.</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В результате проведенного исследования были сделаны следующие выводы: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Во-первых, в соглашении урегулированы следующие вопросы: маршрут газопровода,</w:t>
      </w:r>
    </w:p>
    <w:p w:rsidR="00517711" w:rsidRDefault="00F815BE">
      <w:pPr>
        <w:spacing w:after="0" w:line="240" w:lineRule="auto"/>
        <w:jc w:val="both"/>
        <w:rPr>
          <w:rFonts w:ascii="Times New Roman" w:hAnsi="Times New Roman"/>
          <w:sz w:val="20"/>
          <w:szCs w:val="24"/>
        </w:rPr>
      </w:pPr>
      <w:r>
        <w:rPr>
          <w:rFonts w:ascii="Times New Roman" w:hAnsi="Times New Roman"/>
          <w:sz w:val="20"/>
          <w:szCs w:val="24"/>
        </w:rPr>
        <w:t>проектирование, строительство и эксплуатации газотранспортной инфраструктуры таможенные и налоговые процедуры, уполномоченные организации и др.;</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Во-вторых, для эффективной реализации межгосударственных договоренностей в сфере энергетического сотрудничества международным сообществом используется такая форма взаимодействия официальных лиц и представителей бизнеса (осуществляющих деятельность в рамках таких соглашений), как МПК. В РФ создание, деятельность МПК регулируется Министерством экономического развития РФ. Соглашение между Правительством Российской Федерации и Правительством Китайской Народной Республики о сотрудничестве в сфере поставок природного газа из Российской Федерации в Китайскую Народную Республику по «восточному» маршруту предусматривает сотрудничество в рамках МПК. Состав комиссии определен Минэкономразвития РФ совместно с МИД РФ, в него входят члены Правительства России, их заместители, а также руководители федеральных служб и федеральных агентств. Российско-китайская комиссия осуществляет деятельность в рамках ежегодных заседаний.</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В-третьих, между российской компанией «Газпром» и китайской корпорацией CNPC подписали 30-летний договор купли-продажи природного газа- это крупнейший контракт для «Газпрома».</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Принятое Соглашение между Правительством РФ и Правительством КНР о сотрудничестве в сфере поставок природного газа из РФ в КНР по «восточному» маршруту» и последующий подписанный договор купли-продажи природного газа между российской компанией «Газпром» и китайской корпорацией CNPC является ярким примером взаимодействия международного публичного права и международного частного права.</w:t>
      </w:r>
    </w:p>
    <w:p w:rsidR="00517711" w:rsidRDefault="00F815BE">
      <w:pPr>
        <w:spacing w:after="0" w:line="240" w:lineRule="auto"/>
        <w:jc w:val="both"/>
        <w:rPr>
          <w:rFonts w:ascii="Times New Roman" w:hAnsi="Times New Roman"/>
          <w:sz w:val="20"/>
          <w:szCs w:val="24"/>
        </w:rPr>
      </w:pPr>
      <w:r>
        <w:rPr>
          <w:rFonts w:ascii="Times New Roman" w:hAnsi="Times New Roman"/>
          <w:sz w:val="20"/>
          <w:szCs w:val="24"/>
        </w:rPr>
        <w:t xml:space="preserve">            ______________________________________</w:t>
      </w:r>
    </w:p>
    <w:p w:rsidR="00517711" w:rsidRDefault="00F815BE">
      <w:pPr>
        <w:pStyle w:val="af4"/>
        <w:numPr>
          <w:ilvl w:val="0"/>
          <w:numId w:val="83"/>
        </w:numPr>
        <w:tabs>
          <w:tab w:val="left" w:pos="1134"/>
        </w:tabs>
        <w:spacing w:after="0" w:line="240" w:lineRule="auto"/>
        <w:ind w:left="0" w:firstLine="709"/>
        <w:jc w:val="both"/>
        <w:rPr>
          <w:rFonts w:ascii="Times New Roman" w:hAnsi="Times New Roman"/>
          <w:sz w:val="20"/>
          <w:szCs w:val="24"/>
        </w:rPr>
      </w:pPr>
      <w:r>
        <w:rPr>
          <w:rFonts w:ascii="Times New Roman" w:hAnsi="Times New Roman"/>
          <w:sz w:val="20"/>
          <w:szCs w:val="24"/>
        </w:rPr>
        <w:t xml:space="preserve">Батычко В.Т. Международное частное право. Конспект лекций. Таганрог: ТТИ ЮФУ, 2011. – [Электронный ресурс] // Режим доступа: http://www.aup.ru/books/m233/2_6.htm </w:t>
      </w:r>
    </w:p>
    <w:p w:rsidR="00517711" w:rsidRDefault="00F815BE">
      <w:pPr>
        <w:pStyle w:val="af4"/>
        <w:numPr>
          <w:ilvl w:val="0"/>
          <w:numId w:val="83"/>
        </w:numPr>
        <w:tabs>
          <w:tab w:val="left" w:pos="1134"/>
        </w:tabs>
        <w:spacing w:after="0" w:line="240" w:lineRule="auto"/>
        <w:ind w:left="0" w:firstLine="709"/>
        <w:jc w:val="both"/>
        <w:rPr>
          <w:rFonts w:ascii="Times New Roman" w:hAnsi="Times New Roman"/>
          <w:sz w:val="20"/>
          <w:szCs w:val="24"/>
        </w:rPr>
      </w:pPr>
      <w:r>
        <w:rPr>
          <w:rFonts w:ascii="Times New Roman" w:hAnsi="Times New Roman"/>
          <w:sz w:val="20"/>
          <w:szCs w:val="24"/>
        </w:rPr>
        <w:t xml:space="preserve">Газпром и CNPC подписали контракт о поставках газа в Китай. 21 мая 2014 // ИТАР-ТАСС: информационное агентство. [Электронный ресурс] // Режим доступа: http://itar-tass.com/politika/1201812 (дата обращения: 22.02.2018).  </w:t>
      </w:r>
    </w:p>
    <w:p w:rsidR="00517711" w:rsidRDefault="00F815BE">
      <w:pPr>
        <w:pStyle w:val="af4"/>
        <w:numPr>
          <w:ilvl w:val="0"/>
          <w:numId w:val="83"/>
        </w:numPr>
        <w:tabs>
          <w:tab w:val="left" w:pos="1134"/>
        </w:tabs>
        <w:spacing w:after="0" w:line="240" w:lineRule="auto"/>
        <w:ind w:left="0" w:firstLine="709"/>
        <w:jc w:val="both"/>
        <w:rPr>
          <w:rFonts w:ascii="Times New Roman" w:hAnsi="Times New Roman"/>
          <w:sz w:val="20"/>
          <w:szCs w:val="24"/>
        </w:rPr>
      </w:pPr>
      <w:r>
        <w:rPr>
          <w:rFonts w:ascii="Times New Roman" w:hAnsi="Times New Roman"/>
          <w:sz w:val="20"/>
          <w:szCs w:val="24"/>
        </w:rPr>
        <w:t>Межправительственные комиссии [Электронный ресурс] // Портал внешнеэкономического развития Министерства экономического развития РФ. – Режим доступа:http://www.ved.gov.ru/rus_export/non_financial_measures/institutional_arrangements/</w:t>
      </w:r>
    </w:p>
    <w:p w:rsidR="00517711" w:rsidRDefault="00F815BE">
      <w:pPr>
        <w:pStyle w:val="af4"/>
        <w:numPr>
          <w:ilvl w:val="0"/>
          <w:numId w:val="83"/>
        </w:numPr>
        <w:tabs>
          <w:tab w:val="left" w:pos="1134"/>
        </w:tabs>
        <w:spacing w:after="0" w:line="240" w:lineRule="auto"/>
        <w:ind w:left="0" w:firstLine="709"/>
        <w:jc w:val="both"/>
        <w:rPr>
          <w:rFonts w:ascii="Times New Roman" w:hAnsi="Times New Roman"/>
          <w:sz w:val="20"/>
          <w:szCs w:val="24"/>
        </w:rPr>
      </w:pPr>
      <w:r>
        <w:rPr>
          <w:rFonts w:ascii="Times New Roman" w:hAnsi="Times New Roman"/>
          <w:sz w:val="20"/>
          <w:szCs w:val="24"/>
        </w:rPr>
        <w:t>О российско-китайских отношениях стратегического партнерства. 16.06.16. Сайт Министерства иностранных дел РФ. – Режим доступа: http://www.mid.ru/ru/maps/cn/-/asset_publisher/WhKWb5DVBqKA/content/id/2320455</w:t>
      </w:r>
    </w:p>
    <w:p w:rsidR="00517711" w:rsidRDefault="00F815BE">
      <w:pPr>
        <w:pStyle w:val="af4"/>
        <w:numPr>
          <w:ilvl w:val="0"/>
          <w:numId w:val="83"/>
        </w:numPr>
        <w:tabs>
          <w:tab w:val="left" w:pos="1134"/>
        </w:tabs>
        <w:spacing w:after="0" w:line="240" w:lineRule="auto"/>
        <w:ind w:left="0" w:firstLine="709"/>
        <w:jc w:val="both"/>
        <w:rPr>
          <w:rFonts w:ascii="Times New Roman" w:hAnsi="Times New Roman"/>
          <w:sz w:val="20"/>
          <w:szCs w:val="24"/>
        </w:rPr>
      </w:pPr>
      <w:r>
        <w:rPr>
          <w:rFonts w:ascii="Times New Roman" w:hAnsi="Times New Roman"/>
          <w:sz w:val="20"/>
          <w:szCs w:val="24"/>
        </w:rPr>
        <w:t xml:space="preserve">Распоряжение Правительства РФ от 09.10.2014 №2015-р «О подписании Соглашения между Правительством Российской Федерации и Правительством Китайской Народной Республики о сотрудничестве </w:t>
      </w:r>
      <w:r>
        <w:rPr>
          <w:rFonts w:ascii="Times New Roman" w:hAnsi="Times New Roman"/>
          <w:sz w:val="20"/>
          <w:szCs w:val="24"/>
        </w:rPr>
        <w:lastRenderedPageBreak/>
        <w:t>в сфере поставок природного газа из Российской Федерации в Китайскую Народную Республику по "восточному" маршруту» [Электронный ресурс] // СПС Консультант. – Режим доступа: http://www.consultant.ru/cons/cgi/online.cgi?req=doc;base=EXP;n=600856#08213370732226899</w:t>
      </w:r>
    </w:p>
    <w:p w:rsidR="00517711" w:rsidRDefault="00F815BE">
      <w:pPr>
        <w:pStyle w:val="af4"/>
        <w:numPr>
          <w:ilvl w:val="0"/>
          <w:numId w:val="83"/>
        </w:numPr>
        <w:tabs>
          <w:tab w:val="left" w:pos="1134"/>
        </w:tabs>
        <w:spacing w:after="0" w:line="240" w:lineRule="auto"/>
        <w:ind w:left="0" w:firstLine="709"/>
        <w:jc w:val="both"/>
        <w:rPr>
          <w:rFonts w:ascii="Times New Roman" w:hAnsi="Times New Roman"/>
          <w:sz w:val="20"/>
          <w:szCs w:val="24"/>
        </w:rPr>
      </w:pPr>
      <w:r>
        <w:rPr>
          <w:rFonts w:ascii="Times New Roman" w:hAnsi="Times New Roman"/>
          <w:sz w:val="20"/>
          <w:szCs w:val="24"/>
        </w:rPr>
        <w:t>Российско-Китайская комиссия по энергетическому сотрудничеству [Электронный ресурс] // Портал внешнеэкономического развития Министерства экономического развития РФ. – Режим доступа: http://www.ved.gov.ru/exportcountries/cn/cn_ru_relations/cn_ru_mpk/</w:t>
      </w:r>
    </w:p>
    <w:p w:rsidR="00517711" w:rsidRDefault="00F815BE">
      <w:pPr>
        <w:pStyle w:val="af4"/>
        <w:numPr>
          <w:ilvl w:val="0"/>
          <w:numId w:val="83"/>
        </w:numPr>
        <w:tabs>
          <w:tab w:val="left" w:pos="1134"/>
        </w:tabs>
        <w:spacing w:after="0" w:line="240" w:lineRule="auto"/>
        <w:ind w:left="0" w:firstLine="709"/>
        <w:jc w:val="both"/>
        <w:rPr>
          <w:rFonts w:ascii="Times New Roman" w:hAnsi="Times New Roman"/>
          <w:sz w:val="20"/>
          <w:szCs w:val="24"/>
        </w:rPr>
      </w:pPr>
      <w:r>
        <w:rPr>
          <w:rFonts w:ascii="Times New Roman" w:hAnsi="Times New Roman"/>
          <w:sz w:val="20"/>
          <w:szCs w:val="24"/>
        </w:rPr>
        <w:t>Соглашение между Правительством Российской Федерации и Правительством Китайской Народной Республики о сотрудничестве в сфере поставок природного газа из Российской Федерации в Китайскую Народную Республику по "восточному" маршруту [Электронный ресурс] // Сайт Министерства иностранных дел РФ. – Режим доступа: http://www.mid.ru/foreign_policy/international_contracts/2_contract/-/storage-viewer/bilateral/page-40/44106</w:t>
      </w:r>
    </w:p>
    <w:p w:rsidR="00517711" w:rsidRDefault="00517711">
      <w:pPr>
        <w:spacing w:after="0" w:line="240" w:lineRule="auto"/>
        <w:ind w:firstLine="709"/>
        <w:jc w:val="both"/>
        <w:rPr>
          <w:rFonts w:ascii="Times New Roman" w:hAnsi="Times New Roman"/>
          <w:sz w:val="24"/>
        </w:rPr>
      </w:pPr>
    </w:p>
    <w:p w:rsidR="00517711" w:rsidRDefault="00517711">
      <w:pPr>
        <w:keepNext/>
        <w:spacing w:before="120" w:after="120" w:line="240" w:lineRule="auto"/>
        <w:outlineLvl w:val="3"/>
        <w:rPr>
          <w:rFonts w:ascii="Times New Roman" w:eastAsia="Calibri" w:hAnsi="Times New Roman"/>
          <w:b/>
          <w:bCs/>
          <w:sz w:val="20"/>
          <w:szCs w:val="28"/>
        </w:rPr>
      </w:pPr>
    </w:p>
    <w:p w:rsidR="00517711" w:rsidRDefault="00517711">
      <w:pPr>
        <w:keepNext/>
        <w:spacing w:before="120" w:after="120" w:line="240" w:lineRule="auto"/>
        <w:outlineLvl w:val="3"/>
        <w:rPr>
          <w:rFonts w:ascii="Times New Roman" w:eastAsia="Calibri" w:hAnsi="Times New Roman"/>
          <w:b/>
          <w:bCs/>
          <w:sz w:val="20"/>
          <w:szCs w:val="28"/>
        </w:rPr>
      </w:pP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Международные отношения и приграничное сотрудничество в АТР: опыт, проблемы и перспективы развития</w:t>
      </w:r>
    </w:p>
    <w:p w:rsidR="00517711" w:rsidRDefault="00F815BE">
      <w:pPr>
        <w:shd w:val="clear" w:color="auto" w:fill="FFFFFF"/>
        <w:spacing w:after="0" w:line="240" w:lineRule="auto"/>
        <w:outlineLvl w:val="2"/>
        <w:rPr>
          <w:rStyle w:val="word"/>
          <w:rFonts w:ascii="Times New Roman" w:hAnsi="Times New Roman"/>
          <w:color w:val="000000"/>
          <w:sz w:val="20"/>
          <w:szCs w:val="24"/>
        </w:rPr>
      </w:pPr>
      <w:r>
        <w:rPr>
          <w:rStyle w:val="word"/>
          <w:rFonts w:ascii="Times New Roman" w:hAnsi="Times New Roman"/>
          <w:color w:val="000000"/>
          <w:sz w:val="20"/>
          <w:szCs w:val="24"/>
        </w:rPr>
        <w:t>УДК 327</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Территориальный спор между Китаем и Японией на современном этапе</w:t>
      </w:r>
    </w:p>
    <w:p w:rsidR="00517711" w:rsidRDefault="00F815BE">
      <w:pPr>
        <w:pStyle w:val="af6"/>
        <w:spacing w:before="0" w:beforeAutospacing="0" w:after="0" w:afterAutospacing="0"/>
        <w:jc w:val="center"/>
        <w:rPr>
          <w:rFonts w:ascii="Arial" w:eastAsia="Calibri" w:hAnsi="Arial"/>
          <w:b/>
          <w:bCs/>
          <w:szCs w:val="20"/>
        </w:rPr>
      </w:pPr>
      <w:r>
        <w:rPr>
          <w:rFonts w:ascii="Arial" w:eastAsia="Calibri" w:hAnsi="Arial"/>
          <w:b/>
          <w:bCs/>
          <w:szCs w:val="20"/>
        </w:rPr>
        <w:t>Шевченко Мария Валерьевна,</w:t>
      </w:r>
    </w:p>
    <w:p w:rsidR="00517711" w:rsidRDefault="00F815BE">
      <w:pPr>
        <w:pStyle w:val="af6"/>
        <w:spacing w:before="0" w:beforeAutospacing="0" w:after="240" w:afterAutospacing="0"/>
        <w:jc w:val="center"/>
        <w:rPr>
          <w:rFonts w:ascii="Arial" w:eastAsia="Calibri" w:hAnsi="Arial"/>
          <w:bCs/>
          <w:szCs w:val="20"/>
        </w:rPr>
      </w:pPr>
      <w:r>
        <w:rPr>
          <w:rFonts w:ascii="Arial" w:eastAsia="Calibri" w:hAnsi="Arial"/>
          <w:bCs/>
          <w:szCs w:val="20"/>
        </w:rPr>
        <w:t>бакалавр 3 курса, кафедра теории и истории российского и зарубежного права</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pStyle w:val="af6"/>
        <w:spacing w:before="0" w:beforeAutospacing="0" w:after="0" w:afterAutospacing="0"/>
        <w:jc w:val="center"/>
        <w:rPr>
          <w:sz w:val="20"/>
        </w:rPr>
      </w:pPr>
      <w:r>
        <w:rPr>
          <w:sz w:val="20"/>
          <w:lang w:val="en-US"/>
        </w:rPr>
        <w:t>E</w:t>
      </w:r>
      <w:r>
        <w:rPr>
          <w:sz w:val="20"/>
        </w:rPr>
        <w:t>-</w:t>
      </w:r>
      <w:r>
        <w:rPr>
          <w:sz w:val="20"/>
          <w:lang w:val="en-US"/>
        </w:rPr>
        <w:t>mail</w:t>
      </w:r>
      <w:r>
        <w:rPr>
          <w:sz w:val="20"/>
        </w:rPr>
        <w:t xml:space="preserve">: </w:t>
      </w:r>
      <w:r>
        <w:rPr>
          <w:sz w:val="20"/>
          <w:lang w:val="en-US"/>
        </w:rPr>
        <w:t>manya</w:t>
      </w:r>
      <w:r>
        <w:rPr>
          <w:sz w:val="20"/>
        </w:rPr>
        <w:t>_5246@</w:t>
      </w:r>
      <w:r>
        <w:rPr>
          <w:sz w:val="20"/>
          <w:lang w:val="en-US"/>
        </w:rPr>
        <w:t>mail</w:t>
      </w:r>
      <w:r>
        <w:rPr>
          <w:sz w:val="20"/>
        </w:rPr>
        <w:t>.</w:t>
      </w:r>
      <w:r>
        <w:rPr>
          <w:sz w:val="20"/>
          <w:lang w:val="en-US"/>
        </w:rPr>
        <w:t>ru</w:t>
      </w:r>
      <w:r>
        <w:rPr>
          <w:sz w:val="20"/>
        </w:rPr>
        <w:t>; тел.: +79841400474</w:t>
      </w:r>
    </w:p>
    <w:p w:rsidR="00517711" w:rsidRDefault="00F815BE">
      <w:pPr>
        <w:pStyle w:val="af6"/>
        <w:spacing w:before="0" w:beforeAutospacing="0" w:after="240" w:afterAutospacing="0"/>
        <w:jc w:val="center"/>
        <w:rPr>
          <w:sz w:val="20"/>
        </w:rPr>
      </w:pPr>
      <w:r>
        <w:rPr>
          <w:sz w:val="20"/>
        </w:rPr>
        <w:t>ул. Гоголя 41, г. Владивосток, Приморский край, Россия, 690014</w:t>
      </w:r>
    </w:p>
    <w:p w:rsidR="00517711" w:rsidRDefault="00F815BE">
      <w:pPr>
        <w:spacing w:after="0" w:line="240" w:lineRule="auto"/>
        <w:ind w:firstLine="708"/>
        <w:jc w:val="both"/>
        <w:rPr>
          <w:rFonts w:ascii="Times New Roman" w:hAnsi="Times New Roman"/>
          <w:i/>
          <w:szCs w:val="24"/>
        </w:rPr>
      </w:pPr>
      <w:r>
        <w:rPr>
          <w:rFonts w:ascii="Times New Roman" w:hAnsi="Times New Roman"/>
          <w:i/>
          <w:szCs w:val="24"/>
        </w:rPr>
        <w:t>Азиатско-Тихоокеанский регион является одним из самых динамично развивающихся регионов с постоянными притоками инвестиций, но, как и во всех регионах есть свои «камни преткновении». В данной работе автор исследует территориальный конфликт между Китаем и Японией на примере архипелага Сенкаку, историю его возникновения, позиции сторон и влияние конфликта на  современную обстановку в Азиатско-Тихоокеанском регионе. Целью работы является поиск альтернативного решения спора, которое приведет к улучшению  отношений между акторами  конфликта, что в свою очередь благоприятно скажется на обстановке в АТР в целом.</w:t>
      </w:r>
    </w:p>
    <w:p w:rsidR="00517711" w:rsidRDefault="00F815BE">
      <w:pPr>
        <w:spacing w:after="0" w:line="240" w:lineRule="auto"/>
        <w:ind w:firstLine="708"/>
        <w:jc w:val="both"/>
        <w:rPr>
          <w:rFonts w:ascii="Times New Roman" w:hAnsi="Times New Roman"/>
          <w:i/>
          <w:szCs w:val="24"/>
        </w:rPr>
      </w:pPr>
      <w:r>
        <w:rPr>
          <w:rFonts w:ascii="Times New Roman" w:hAnsi="Times New Roman"/>
          <w:b/>
          <w:i/>
          <w:szCs w:val="24"/>
        </w:rPr>
        <w:t>Ключевые слова и словосочетания:</w:t>
      </w:r>
      <w:r>
        <w:rPr>
          <w:rFonts w:ascii="Times New Roman" w:hAnsi="Times New Roman"/>
          <w:i/>
          <w:szCs w:val="24"/>
        </w:rPr>
        <w:t xml:space="preserve"> территориальный конфликт, понятие спора, виды оспариваемой территории, современная обстановка, отношения между странами, исследование спора</w:t>
      </w:r>
    </w:p>
    <w:p w:rsidR="00517711" w:rsidRDefault="00F815BE">
      <w:pPr>
        <w:spacing w:after="0" w:line="360" w:lineRule="auto"/>
        <w:ind w:firstLine="708"/>
        <w:jc w:val="center"/>
        <w:rPr>
          <w:rFonts w:ascii="Times New Roman" w:hAnsi="Times New Roman"/>
          <w:b/>
          <w:sz w:val="28"/>
          <w:szCs w:val="24"/>
          <w:lang w:val="en-US"/>
        </w:rPr>
      </w:pPr>
      <w:r>
        <w:rPr>
          <w:rFonts w:ascii="Book Antiqua" w:eastAsia="Calibri" w:hAnsi="Book Antiqua"/>
          <w:b/>
          <w:bCs/>
          <w:caps/>
          <w:sz w:val="26"/>
          <w:szCs w:val="20"/>
          <w:lang w:val="en-US"/>
        </w:rPr>
        <w:t>Territorial dispute between China and Japan at the present stage</w:t>
      </w:r>
    </w:p>
    <w:p w:rsidR="00517711" w:rsidRDefault="00F815BE">
      <w:pPr>
        <w:spacing w:after="0" w:line="240" w:lineRule="auto"/>
        <w:ind w:firstLine="708"/>
        <w:jc w:val="center"/>
        <w:rPr>
          <w:rFonts w:ascii="Arial" w:eastAsia="Calibri" w:hAnsi="Arial"/>
          <w:b/>
          <w:bCs/>
          <w:sz w:val="24"/>
          <w:szCs w:val="20"/>
          <w:lang w:val="en-US" w:eastAsia="ru-RU"/>
        </w:rPr>
      </w:pPr>
      <w:r>
        <w:rPr>
          <w:rFonts w:ascii="Arial" w:eastAsia="Calibri" w:hAnsi="Arial"/>
          <w:b/>
          <w:bCs/>
          <w:sz w:val="24"/>
          <w:szCs w:val="20"/>
          <w:lang w:val="en-US" w:eastAsia="ru-RU"/>
        </w:rPr>
        <w:t>Shevchenko Maria Valeryevna</w:t>
      </w:r>
    </w:p>
    <w:p w:rsidR="00517711" w:rsidRDefault="00F815BE">
      <w:pPr>
        <w:spacing w:line="240" w:lineRule="auto"/>
        <w:ind w:firstLine="708"/>
        <w:jc w:val="center"/>
        <w:rPr>
          <w:rFonts w:ascii="Arial" w:eastAsia="Calibri" w:hAnsi="Arial"/>
          <w:bCs/>
          <w:sz w:val="24"/>
          <w:szCs w:val="20"/>
          <w:lang w:val="en-US" w:eastAsia="ru-RU"/>
        </w:rPr>
      </w:pPr>
      <w:r>
        <w:rPr>
          <w:rFonts w:ascii="Arial" w:eastAsia="Calibri" w:hAnsi="Arial"/>
          <w:bCs/>
          <w:sz w:val="24"/>
          <w:szCs w:val="20"/>
          <w:lang w:val="en-US" w:eastAsia="ru-RU"/>
        </w:rPr>
        <w:t>bachelor of the 3th year, BMO-15, Institute of law</w:t>
      </w:r>
    </w:p>
    <w:p w:rsidR="00517711" w:rsidRDefault="00F815BE">
      <w:pPr>
        <w:spacing w:after="0" w:line="240" w:lineRule="auto"/>
        <w:jc w:val="center"/>
        <w:rPr>
          <w:rFonts w:ascii="Times New Roman" w:eastAsia="Calibri" w:hAnsi="Times New Roman"/>
          <w:i/>
          <w:sz w:val="21"/>
          <w:szCs w:val="21"/>
          <w:lang w:val="en-US"/>
        </w:rPr>
      </w:pPr>
      <w:r>
        <w:rPr>
          <w:rFonts w:ascii="Times New Roman" w:eastAsia="Calibri" w:hAnsi="Times New Roman"/>
          <w:i/>
          <w:sz w:val="21"/>
          <w:szCs w:val="21"/>
          <w:lang w:val="en-US"/>
        </w:rPr>
        <w:t>Department of theory and history of Russian and foreign law</w:t>
      </w:r>
    </w:p>
    <w:p w:rsidR="00517711" w:rsidRDefault="00F815BE">
      <w:pPr>
        <w:spacing w:after="0" w:line="240" w:lineRule="auto"/>
        <w:jc w:val="center"/>
        <w:rPr>
          <w:rFonts w:ascii="Times New Roman" w:eastAsia="Calibri" w:hAnsi="Times New Roman"/>
          <w:i/>
          <w:sz w:val="21"/>
          <w:szCs w:val="21"/>
          <w:lang w:val="en-US"/>
        </w:rPr>
      </w:pPr>
      <w:r>
        <w:rPr>
          <w:rFonts w:ascii="Times New Roman" w:eastAsia="Calibri" w:hAnsi="Times New Roman"/>
          <w:i/>
          <w:sz w:val="21"/>
          <w:szCs w:val="21"/>
          <w:lang w:val="en-US"/>
        </w:rPr>
        <w:t>Vladivostok State University of Economics and Service</w:t>
      </w:r>
    </w:p>
    <w:p w:rsidR="00517711" w:rsidRDefault="00F815BE">
      <w:pPr>
        <w:spacing w:line="240" w:lineRule="auto"/>
        <w:jc w:val="center"/>
        <w:rPr>
          <w:rFonts w:ascii="Times New Roman" w:eastAsia="Calibri" w:hAnsi="Times New Roman"/>
          <w:i/>
          <w:sz w:val="21"/>
          <w:szCs w:val="21"/>
          <w:lang w:val="en-US"/>
        </w:rPr>
      </w:pPr>
      <w:r>
        <w:rPr>
          <w:rFonts w:ascii="Times New Roman" w:eastAsia="Calibri" w:hAnsi="Times New Roman"/>
          <w:i/>
          <w:sz w:val="21"/>
          <w:szCs w:val="21"/>
          <w:lang w:val="en-US"/>
        </w:rPr>
        <w:t>Russia. Vladivostok.</w:t>
      </w:r>
    </w:p>
    <w:p w:rsidR="00517711" w:rsidRDefault="00F815BE">
      <w:pPr>
        <w:pStyle w:val="ae"/>
        <w:ind w:firstLine="709"/>
        <w:jc w:val="both"/>
        <w:rPr>
          <w:rFonts w:ascii="Times New Roman" w:hAnsi="Times New Roman"/>
          <w:i/>
          <w:szCs w:val="24"/>
          <w:lang w:val="en-US"/>
        </w:rPr>
      </w:pPr>
      <w:r>
        <w:rPr>
          <w:rFonts w:ascii="Times New Roman" w:hAnsi="Times New Roman"/>
          <w:i/>
          <w:szCs w:val="24"/>
          <w:lang w:val="en-US"/>
        </w:rPr>
        <w:t>The Asia-Pacific region is one of the most dynamically developing regions with constant inflows of investments, but, as in all regions, there are "stumbling stones". In this paper, the author explores the territorial conflict between China and Japan on the example of the Senkaku archipelago, the history of its origin, the positions of the parties and the impact of the conflict on the current situation in the Asia-Pacific region. The aim of the work is to find an alternative solution to the dispute, which will lead to better relations between the actors in the conflict, which in turn will have a favorable effect on the situation in the APR as a whole.</w:t>
      </w:r>
    </w:p>
    <w:p w:rsidR="00517711" w:rsidRDefault="00F815BE">
      <w:pPr>
        <w:pStyle w:val="ae"/>
        <w:ind w:firstLine="709"/>
        <w:jc w:val="both"/>
        <w:rPr>
          <w:rStyle w:val="word"/>
          <w:rFonts w:ascii="Times New Roman" w:hAnsi="Times New Roman"/>
          <w:i/>
          <w:szCs w:val="24"/>
          <w:lang w:val="en-US"/>
        </w:rPr>
      </w:pPr>
      <w:r>
        <w:rPr>
          <w:rFonts w:ascii="Times New Roman" w:hAnsi="Times New Roman"/>
          <w:b/>
          <w:i/>
          <w:szCs w:val="24"/>
          <w:lang w:val="en-US"/>
        </w:rPr>
        <w:lastRenderedPageBreak/>
        <w:t>Key words</w:t>
      </w:r>
      <w:r>
        <w:rPr>
          <w:rFonts w:ascii="Times New Roman" w:hAnsi="Times New Roman"/>
          <w:i/>
          <w:szCs w:val="24"/>
          <w:lang w:val="en-US"/>
        </w:rPr>
        <w:t>: territorial conflict, concept of conflict, types of disputed territory, contemporary situation, relations between countries, dispute analysis</w:t>
      </w:r>
    </w:p>
    <w:p w:rsidR="00517711" w:rsidRDefault="00517711">
      <w:pPr>
        <w:pStyle w:val="af6"/>
        <w:spacing w:before="0" w:beforeAutospacing="0"/>
        <w:ind w:firstLine="708"/>
        <w:contextualSpacing/>
        <w:jc w:val="both"/>
        <w:rPr>
          <w:color w:val="000000"/>
          <w:sz w:val="20"/>
          <w:lang w:val="en-US"/>
        </w:rPr>
      </w:pPr>
    </w:p>
    <w:p w:rsidR="00517711" w:rsidRDefault="00F815BE">
      <w:pPr>
        <w:pStyle w:val="af6"/>
        <w:spacing w:before="0" w:beforeAutospacing="0"/>
        <w:ind w:firstLine="708"/>
        <w:contextualSpacing/>
        <w:jc w:val="both"/>
        <w:rPr>
          <w:color w:val="000000"/>
          <w:sz w:val="20"/>
        </w:rPr>
      </w:pPr>
      <w:r>
        <w:rPr>
          <w:color w:val="000000"/>
          <w:sz w:val="20"/>
        </w:rPr>
        <w:t xml:space="preserve">Территориальный спор — это спор между государствами по поводу государственной принадлежности определенной территории. Предметом территориальных споров выступает право, связанное с установлением правового режима и принадлежности территории. </w:t>
      </w:r>
    </w:p>
    <w:p w:rsidR="00517711" w:rsidRDefault="00F815BE">
      <w:pPr>
        <w:pStyle w:val="af6"/>
        <w:ind w:firstLine="708"/>
        <w:contextualSpacing/>
        <w:jc w:val="both"/>
        <w:rPr>
          <w:color w:val="000000"/>
          <w:sz w:val="20"/>
        </w:rPr>
      </w:pPr>
      <w:r>
        <w:rPr>
          <w:color w:val="000000"/>
          <w:sz w:val="20"/>
        </w:rPr>
        <w:t>Современное международное право с точки зрения правового режима позволяет разделить территорию на три вида: государственная территория, пространства с международным режимом, пространства со смешанным правовым режимом. Территория как объект спора имеет огромное значение для государства: наряду с населением она является материальной основой его существования, определяя перспективы экономического и политического уровня развития.</w:t>
      </w:r>
      <w:r>
        <w:rPr>
          <w:sz w:val="20"/>
        </w:rPr>
        <w:t xml:space="preserve"> [1,с.42.]</w:t>
      </w:r>
    </w:p>
    <w:p w:rsidR="00517711" w:rsidRDefault="00F815BE">
      <w:pPr>
        <w:pStyle w:val="af6"/>
        <w:ind w:firstLine="708"/>
        <w:contextualSpacing/>
        <w:jc w:val="both"/>
        <w:rPr>
          <w:color w:val="000000"/>
          <w:sz w:val="20"/>
        </w:rPr>
      </w:pPr>
      <w:r>
        <w:rPr>
          <w:color w:val="000000" w:themeColor="text1"/>
          <w:sz w:val="20"/>
        </w:rPr>
        <w:t xml:space="preserve">История отношений Китая и Японии никогда не была спокойной, их соперничество зародилось с самого обоснования стран. Сотрудничество нередко перерождалось в конфликты, но факт взаимодействия приводил их к экономическому, политическому, культурному развитию. На данном этапе это крупнейшие державы, на которых держится, и от которых зависит весь  Азиатско-Тихоокеанский регион. </w:t>
      </w:r>
      <w:hyperlink r:id="rId248" w:history="1">
        <w:r>
          <w:rPr>
            <w:rStyle w:val="aa"/>
            <w:color w:val="000000" w:themeColor="text1"/>
            <w:sz w:val="20"/>
          </w:rPr>
          <w:t>[2]</w:t>
        </w:r>
      </w:hyperlink>
      <w:r>
        <w:rPr>
          <w:color w:val="000000" w:themeColor="text1"/>
          <w:sz w:val="20"/>
        </w:rPr>
        <w:t>.</w:t>
      </w:r>
    </w:p>
    <w:p w:rsidR="00517711" w:rsidRDefault="00F815BE">
      <w:pPr>
        <w:pStyle w:val="af6"/>
        <w:ind w:firstLine="708"/>
        <w:contextualSpacing/>
        <w:jc w:val="both"/>
        <w:rPr>
          <w:color w:val="000000"/>
          <w:sz w:val="20"/>
        </w:rPr>
      </w:pPr>
      <w:r>
        <w:rPr>
          <w:color w:val="000000" w:themeColor="text1"/>
          <w:sz w:val="20"/>
        </w:rPr>
        <w:t>Китай и Япония многие десятилетия никак не поделят спорные острова Дяоюйдао (Сенкаку). Оба государства считают их своими, ссылаясь на исторические справки. Было проведено множество переговоров и встреч на высшем уровне, но вопрос так и остался нерешенным.</w:t>
      </w:r>
    </w:p>
    <w:p w:rsidR="00517711" w:rsidRDefault="00F815BE">
      <w:pPr>
        <w:pStyle w:val="af6"/>
        <w:ind w:firstLine="708"/>
        <w:contextualSpacing/>
        <w:jc w:val="both"/>
        <w:rPr>
          <w:color w:val="000000"/>
          <w:sz w:val="20"/>
        </w:rPr>
      </w:pPr>
      <w:r>
        <w:rPr>
          <w:color w:val="000000" w:themeColor="text1"/>
          <w:sz w:val="20"/>
        </w:rPr>
        <w:t>Обострившийся спор Японии и Китая из-за группы необитаемых островов  уже негативно сказывается на работе компаний разных секторов экономики — от туризма до автомобилестроения. Эксперты предполагают, что последствия данного конфликта могут вызвать миллионные убытки у компаний, а также усугубить положение ведущих экономик Азии.</w:t>
      </w:r>
      <w:hyperlink r:id="rId249" w:history="1">
        <w:r>
          <w:rPr>
            <w:rStyle w:val="aa"/>
            <w:color w:val="000000" w:themeColor="text1"/>
            <w:sz w:val="20"/>
          </w:rPr>
          <w:t>[3]</w:t>
        </w:r>
      </w:hyperlink>
      <w:r>
        <w:rPr>
          <w:color w:val="000000" w:themeColor="text1"/>
          <w:sz w:val="20"/>
        </w:rPr>
        <w:t>.</w:t>
      </w:r>
    </w:p>
    <w:p w:rsidR="00517711" w:rsidRDefault="00F815BE">
      <w:pPr>
        <w:pStyle w:val="af6"/>
        <w:ind w:firstLine="708"/>
        <w:contextualSpacing/>
        <w:jc w:val="both"/>
        <w:rPr>
          <w:color w:val="000000"/>
          <w:sz w:val="20"/>
        </w:rPr>
      </w:pPr>
      <w:r>
        <w:rPr>
          <w:color w:val="000000" w:themeColor="text1"/>
          <w:sz w:val="20"/>
        </w:rPr>
        <w:t>Как показало исследование американского банка JPMorgan Chase, от островного спора между Японией и Китаем пострадал не только автопром, но и туристический бизнес. Поток в Японию китайских туристов за первый квартал этого года сократился на 70 процентов, в результате чего выручка Японии от китайских туристов снизилась на 845 млн. долларов. Японское деловое сообщество надеется на то, что политики смогут найти компромиссное решение, и торговые отношения между Японией и Китаем восстановятся.</w:t>
      </w:r>
    </w:p>
    <w:p w:rsidR="00517711" w:rsidRDefault="00F815BE">
      <w:pPr>
        <w:pStyle w:val="af6"/>
        <w:ind w:firstLine="708"/>
        <w:contextualSpacing/>
        <w:jc w:val="both"/>
        <w:rPr>
          <w:color w:val="000000"/>
          <w:sz w:val="20"/>
        </w:rPr>
      </w:pPr>
      <w:r>
        <w:rPr>
          <w:color w:val="000000" w:themeColor="text1"/>
          <w:sz w:val="20"/>
        </w:rPr>
        <w:t xml:space="preserve">Позиция Японии в этом споре такова: во-первых, Япония утверждает, что она наблюдала за островами в течение 10 лет в 19 веке и решила, что они являются необитаемыми. А в 1895 году Япония установила суверенитет и официально включила острова в японскую территорию. Во-вторых, после окончания Второй мировой войны Япония отказалась от претензий на острова, включая Тайвань и архипелаг был передан во владения Америке по «Сан-францисскому мирному договору»  в 1951 году.  В 1971 году США вернули острова Японии, признав, архипелаг крайней точкой Окинава и исконно Японской землей.  Япония заявляет, Китай не был против сделки в Сан-Франциско, дополняя, что  интерес Китая вырос лишь тогда, когда возник вопрос о нефтяных залежах на данной территории. </w:t>
      </w:r>
    </w:p>
    <w:p w:rsidR="00517711" w:rsidRDefault="00F815BE">
      <w:pPr>
        <w:pStyle w:val="af6"/>
        <w:ind w:firstLine="708"/>
        <w:contextualSpacing/>
        <w:jc w:val="both"/>
        <w:rPr>
          <w:color w:val="000000"/>
          <w:sz w:val="20"/>
        </w:rPr>
      </w:pPr>
      <w:r>
        <w:rPr>
          <w:color w:val="000000" w:themeColor="text1"/>
          <w:sz w:val="20"/>
        </w:rPr>
        <w:t xml:space="preserve">Китай заявляет, что острова были частью его территории с древних времен, служа важными рыболовными угодьями, которыми управляет область Тайваня. Тайвань уступили Японии в Соглашении относительно Симоносеки в 1895 после Японо-китайской войны. </w:t>
      </w:r>
    </w:p>
    <w:p w:rsidR="00517711" w:rsidRDefault="00F815BE">
      <w:pPr>
        <w:pStyle w:val="af6"/>
        <w:ind w:firstLine="708"/>
        <w:contextualSpacing/>
        <w:jc w:val="both"/>
        <w:rPr>
          <w:color w:val="000000"/>
          <w:sz w:val="20"/>
        </w:rPr>
      </w:pPr>
      <w:r>
        <w:rPr>
          <w:color w:val="000000" w:themeColor="text1"/>
          <w:sz w:val="20"/>
        </w:rPr>
        <w:t xml:space="preserve">Когда Тайвань был возвращен относительно Сан-Франциского соглашения , Китай заявляет, что острова должны были быть также возвращены .Пекин заявляет, что лидер Гоминьдана Тайваня Чан Кайши не поднимал вопрос,  о возвращении Окинавы, потому что он зависел от США. </w:t>
      </w:r>
      <w:hyperlink r:id="rId250" w:history="1">
        <w:r>
          <w:rPr>
            <w:rStyle w:val="aa"/>
            <w:color w:val="000000" w:themeColor="text1"/>
            <w:sz w:val="20"/>
          </w:rPr>
          <w:t>[4]</w:t>
        </w:r>
      </w:hyperlink>
      <w:r>
        <w:rPr>
          <w:color w:val="000000" w:themeColor="text1"/>
          <w:sz w:val="20"/>
        </w:rPr>
        <w:t>.</w:t>
      </w:r>
    </w:p>
    <w:p w:rsidR="00517711" w:rsidRDefault="00F815BE">
      <w:pPr>
        <w:pStyle w:val="af6"/>
        <w:ind w:firstLine="708"/>
        <w:contextualSpacing/>
        <w:jc w:val="both"/>
        <w:rPr>
          <w:color w:val="000000"/>
          <w:sz w:val="20"/>
        </w:rPr>
      </w:pPr>
      <w:r>
        <w:rPr>
          <w:color w:val="000000" w:themeColor="text1"/>
          <w:sz w:val="20"/>
        </w:rPr>
        <w:t xml:space="preserve">Опрос Pew Research Center (2014) показал, что 85% жителей Страны восходящего солнца беспокоит перспектива военного конфликта, к которому могут привести территориальные споры китайцев с соседями. </w:t>
      </w:r>
      <w:hyperlink r:id="rId251" w:history="1">
        <w:r>
          <w:rPr>
            <w:rStyle w:val="aa"/>
            <w:color w:val="000000" w:themeColor="text1"/>
            <w:sz w:val="20"/>
          </w:rPr>
          <w:t>[5]</w:t>
        </w:r>
      </w:hyperlink>
      <w:r>
        <w:rPr>
          <w:color w:val="000000" w:themeColor="text1"/>
          <w:sz w:val="20"/>
        </w:rPr>
        <w:t>.</w:t>
      </w:r>
      <w:r>
        <w:rPr>
          <w:color w:val="000000" w:themeColor="text1"/>
          <w:sz w:val="20"/>
        </w:rPr>
        <w:tab/>
        <w:t>В прошлом году почти две трети китайцев (62,4%) считали отношения между КНР и Японией плохими. В Японии подобных пессимистов 44,9%. Кстати, эта статистика все же свидетельствует о росте позитивных настроений. В 2016 году отношения между двумя странами считали плохими 78,2% и 71,9% китайцев и японцев соответственно.</w:t>
      </w:r>
      <w:hyperlink r:id="rId252" w:history="1">
        <w:r>
          <w:rPr>
            <w:rStyle w:val="aa"/>
            <w:color w:val="000000" w:themeColor="text1"/>
            <w:sz w:val="20"/>
          </w:rPr>
          <w:t>[6]</w:t>
        </w:r>
      </w:hyperlink>
      <w:r>
        <w:rPr>
          <w:color w:val="000000" w:themeColor="text1"/>
          <w:sz w:val="20"/>
        </w:rPr>
        <w:t>.</w:t>
      </w:r>
    </w:p>
    <w:p w:rsidR="00517711" w:rsidRDefault="00F815BE">
      <w:pPr>
        <w:pStyle w:val="af6"/>
        <w:ind w:firstLine="708"/>
        <w:contextualSpacing/>
        <w:jc w:val="both"/>
        <w:rPr>
          <w:color w:val="000000"/>
          <w:sz w:val="20"/>
        </w:rPr>
      </w:pPr>
      <w:r>
        <w:rPr>
          <w:color w:val="000000" w:themeColor="text1"/>
          <w:sz w:val="20"/>
        </w:rPr>
        <w:t>Япония в этом году намеревается всесторонне улучшать отношения с Китаем. Об этом, как сообщило агентство Kyodo</w:t>
      </w:r>
      <w:hyperlink r:id="rId253" w:history="1">
        <w:r>
          <w:rPr>
            <w:rStyle w:val="aa"/>
            <w:color w:val="000000" w:themeColor="text1"/>
            <w:sz w:val="20"/>
          </w:rPr>
          <w:t>[7]</w:t>
        </w:r>
      </w:hyperlink>
      <w:r>
        <w:rPr>
          <w:color w:val="000000" w:themeColor="text1"/>
          <w:sz w:val="20"/>
        </w:rPr>
        <w:t>, в Пекине на переговорах с главой МИД Китая Ван И глава японского внешнеполитического ведомства Таро Коно заявил: «В этом году мы хотели бы всесторонне улучшить отношения». Китайская сторона оценила такую позицию японского правительства .Напомним, что Китай и Япония в 2018 году отмечают 40-ю годовщину подписания соглашения о мире и дружбе.</w:t>
      </w:r>
      <w:hyperlink r:id="rId254" w:history="1">
        <w:r>
          <w:rPr>
            <w:rStyle w:val="aa"/>
            <w:color w:val="000000" w:themeColor="text1"/>
            <w:sz w:val="20"/>
          </w:rPr>
          <w:t>[8]</w:t>
        </w:r>
      </w:hyperlink>
      <w:r>
        <w:rPr>
          <w:color w:val="000000" w:themeColor="text1"/>
          <w:sz w:val="20"/>
        </w:rPr>
        <w:t>.</w:t>
      </w:r>
    </w:p>
    <w:p w:rsidR="00517711" w:rsidRDefault="00F815BE">
      <w:pPr>
        <w:pStyle w:val="af6"/>
        <w:ind w:firstLine="708"/>
        <w:contextualSpacing/>
        <w:jc w:val="both"/>
        <w:rPr>
          <w:color w:val="000000"/>
          <w:sz w:val="20"/>
        </w:rPr>
      </w:pPr>
      <w:r>
        <w:rPr>
          <w:color w:val="000000" w:themeColor="text1"/>
          <w:sz w:val="20"/>
        </w:rPr>
        <w:t xml:space="preserve">Что касается мнения других стран, Лондон, например, заявляет, что сотрудничество двух стран были  бы идеально подходящими для выгоды друг друга. Но Япония боится роста Китая, потому что китайская экономика намного динамичнее, чем Японская . И Китай обеспокоен тем, что Япония выступает как островная нация, выступающая в качестве непотопляемого американского авианосца расположенного недалеко от своего побережья. </w:t>
      </w:r>
    </w:p>
    <w:p w:rsidR="00517711" w:rsidRDefault="00F815BE">
      <w:pPr>
        <w:pStyle w:val="af6"/>
        <w:ind w:firstLine="708"/>
        <w:contextualSpacing/>
        <w:jc w:val="both"/>
        <w:rPr>
          <w:color w:val="000000"/>
          <w:sz w:val="20"/>
        </w:rPr>
      </w:pPr>
      <w:r>
        <w:rPr>
          <w:color w:val="000000" w:themeColor="text1"/>
          <w:sz w:val="20"/>
        </w:rPr>
        <w:t>Также Лондон утверждает что в течении прошлого года националисты обеих стран вели словесную войну над спорным архипелагом .Новый премьер-министр Японии Синдзо Абэ встревожил китайских лидеров ,своими призывами пересмотреть свою приверженность пацифизму, который был закреплен в послевоенное время конституцией введенной США и сделать школьную программу более патриотичной. А это может значить только то, что будущее поколение будет настойчивее в вопросе  отстаивания спорных островов.</w:t>
      </w:r>
      <w:hyperlink r:id="rId255" w:history="1">
        <w:r>
          <w:rPr>
            <w:rStyle w:val="aa"/>
            <w:color w:val="000000" w:themeColor="text1"/>
            <w:sz w:val="20"/>
          </w:rPr>
          <w:t>[9]</w:t>
        </w:r>
      </w:hyperlink>
      <w:r>
        <w:rPr>
          <w:color w:val="000000" w:themeColor="text1"/>
          <w:sz w:val="20"/>
        </w:rPr>
        <w:t>.</w:t>
      </w:r>
    </w:p>
    <w:p w:rsidR="00517711" w:rsidRDefault="00F815BE">
      <w:pPr>
        <w:pStyle w:val="af6"/>
        <w:ind w:firstLine="708"/>
        <w:contextualSpacing/>
        <w:jc w:val="both"/>
        <w:rPr>
          <w:color w:val="000000"/>
          <w:sz w:val="20"/>
        </w:rPr>
      </w:pPr>
      <w:r>
        <w:rPr>
          <w:color w:val="000000" w:themeColor="text1"/>
          <w:sz w:val="20"/>
        </w:rPr>
        <w:lastRenderedPageBreak/>
        <w:t>Из данной статьи можно сделать вывод, что на данный момент Китай сможет оставаться ведущей державой в регионе, только если будет продолжать сотрудничество с Японией ,также и для Японии сотрудничество с Китаем в сфере торговли и инвестиций является неотъемлемой частью экономического развития.</w:t>
      </w:r>
    </w:p>
    <w:p w:rsidR="00517711" w:rsidRDefault="00F815BE">
      <w:pPr>
        <w:pStyle w:val="af6"/>
        <w:ind w:firstLine="708"/>
        <w:contextualSpacing/>
        <w:jc w:val="both"/>
        <w:rPr>
          <w:color w:val="000000"/>
          <w:sz w:val="20"/>
        </w:rPr>
      </w:pPr>
      <w:r>
        <w:rPr>
          <w:color w:val="000000" w:themeColor="text1"/>
          <w:sz w:val="20"/>
        </w:rPr>
        <w:t>По-мнению Америки а регионе ,лишенном правил ,подобных тем, которые были между Соединенными Штатами и Советским Союзом, когда их корабли и самолеты пересекали пути друг друга, вероятность смертельной аварии была очень высока. В дополнение к радиолокационным предупреждениям, стороны обменялись угрозами, а Япония заявила, что их истребители будут стрелять из трассирующих пулей вблизи китайских самолетов, если они будут нарушать воздушное пространство архипелага. На что, отставной, но влиятельный китайский генерал армии ответил, что подобный акт станет «первым выстрелом»</w:t>
      </w:r>
    </w:p>
    <w:p w:rsidR="00517711" w:rsidRDefault="00F815BE">
      <w:pPr>
        <w:pStyle w:val="af6"/>
        <w:ind w:firstLine="708"/>
        <w:contextualSpacing/>
        <w:jc w:val="both"/>
        <w:rPr>
          <w:color w:val="000000"/>
          <w:sz w:val="20"/>
        </w:rPr>
      </w:pPr>
      <w:r>
        <w:rPr>
          <w:color w:val="000000" w:themeColor="text1"/>
          <w:sz w:val="20"/>
        </w:rPr>
        <w:t>Америка считает, проблема кризиса заключается в том, что он кажется неразрешимым. Япония не вернет острова Китаю, и Китай не сможет отступить. Соединенным Штатам необходимо найти способ поддержать своего друга, не отчуждая Пекин, жесткий баланс, особенно когда в Китае есть предположение, что «черная рука» Америки выигрывает от «плохой крови» между двумя соседями.</w:t>
      </w:r>
      <w:hyperlink r:id="rId256" w:history="1">
        <w:r>
          <w:rPr>
            <w:rStyle w:val="aa"/>
            <w:color w:val="000000" w:themeColor="text1"/>
            <w:sz w:val="20"/>
          </w:rPr>
          <w:t>[10]</w:t>
        </w:r>
      </w:hyperlink>
      <w:r>
        <w:rPr>
          <w:color w:val="000000" w:themeColor="text1"/>
          <w:sz w:val="20"/>
        </w:rPr>
        <w:t>.</w:t>
      </w:r>
    </w:p>
    <w:p w:rsidR="00517711" w:rsidRDefault="00F815BE">
      <w:pPr>
        <w:pStyle w:val="af6"/>
        <w:ind w:firstLine="708"/>
        <w:contextualSpacing/>
        <w:jc w:val="both"/>
        <w:rPr>
          <w:color w:val="000000"/>
          <w:sz w:val="20"/>
        </w:rPr>
      </w:pPr>
      <w:r>
        <w:rPr>
          <w:color w:val="000000" w:themeColor="text1"/>
          <w:sz w:val="20"/>
        </w:rPr>
        <w:t>Китай, в свою очередь, против вмешательства каких-либо стран в данный спор. Считая, что Китай и Япония сами уладят конфликт.</w:t>
      </w:r>
      <w:r>
        <w:rPr>
          <w:color w:val="000000" w:themeColor="text1"/>
          <w:sz w:val="22"/>
          <w:szCs w:val="28"/>
        </w:rPr>
        <w:t xml:space="preserve"> </w:t>
      </w:r>
      <w:r>
        <w:rPr>
          <w:color w:val="000000" w:themeColor="text1"/>
          <w:sz w:val="20"/>
        </w:rPr>
        <w:t>Так же хочется отметить, что Япония надеется на поддержку США, и поэтому руководит процессом, ведь в случае экстренной ситуации Японии не хватит вооруженной силы противостоять Китаю.</w:t>
      </w:r>
    </w:p>
    <w:p w:rsidR="00517711" w:rsidRDefault="00F815BE">
      <w:pPr>
        <w:pStyle w:val="af6"/>
        <w:ind w:firstLine="708"/>
        <w:contextualSpacing/>
        <w:jc w:val="both"/>
        <w:rPr>
          <w:color w:val="000000"/>
          <w:sz w:val="20"/>
        </w:rPr>
      </w:pPr>
      <w:r>
        <w:rPr>
          <w:color w:val="000000" w:themeColor="text1"/>
          <w:sz w:val="20"/>
        </w:rPr>
        <w:t>Альтернативным решением конфликта может стать соглашение о признании обоих государств, спорную  территорию - свободной экономической зоной. А также, реализация плана по совместному развитию данных островов, на выгодных условиях, как для Японии, так и для Китая, с целью улучшения экономического благополучия региона. Строительство совместных нефтедобывающих станций на данной территории. Ведь партнерство двух сильнейших стран в АТР может способствовать только улучшению положения стран на мировой арене, а также способствовать развитию архипелага.</w:t>
      </w:r>
    </w:p>
    <w:p w:rsidR="00517711" w:rsidRDefault="00F815BE">
      <w:pPr>
        <w:pStyle w:val="af6"/>
        <w:ind w:firstLine="708"/>
        <w:contextualSpacing/>
        <w:jc w:val="both"/>
        <w:rPr>
          <w:color w:val="000000"/>
          <w:sz w:val="20"/>
        </w:rPr>
      </w:pPr>
      <w:r>
        <w:rPr>
          <w:color w:val="000000" w:themeColor="text1"/>
          <w:sz w:val="20"/>
        </w:rPr>
        <w:t xml:space="preserve">На данный момент, подводя итог, можно отметить конфликт является сложным, то с временным утиханием, то  с мощным обострением, на протяжении всех веков существования этих государств архипелаг Сенкаку/Дяоюйдао был и остается огромным вопросом между </w:t>
      </w:r>
      <w:r>
        <w:rPr>
          <w:color w:val="000000"/>
          <w:sz w:val="20"/>
        </w:rPr>
        <w:t>странами, что не позволяет всецело взаимодействовать и сотрудничать двум главным государствам в АТР. Как только страну будут готовы пойти хоть на малейшие уступки с обеих сторон, и выдвигать предложения о мирном урегулировании спор будет решен и только в лучшую сторону для обоих государств.</w:t>
      </w:r>
    </w:p>
    <w:p w:rsidR="00517711" w:rsidRDefault="00517711">
      <w:pPr>
        <w:pBdr>
          <w:bottom w:val="single" w:sz="12" w:space="2" w:color="auto"/>
        </w:pBdr>
        <w:spacing w:after="0" w:line="240" w:lineRule="auto"/>
        <w:jc w:val="both"/>
        <w:rPr>
          <w:rStyle w:val="word"/>
          <w:rFonts w:ascii="Times New Roman" w:hAnsi="Times New Roman"/>
          <w:color w:val="000000"/>
          <w:sz w:val="20"/>
          <w:szCs w:val="24"/>
        </w:rPr>
      </w:pPr>
    </w:p>
    <w:p w:rsidR="00517711" w:rsidRDefault="00F815BE">
      <w:pPr>
        <w:pStyle w:val="af6"/>
        <w:widowControl w:val="0"/>
        <w:numPr>
          <w:ilvl w:val="0"/>
          <w:numId w:val="34"/>
        </w:numPr>
        <w:spacing w:before="0" w:beforeAutospacing="0" w:after="0" w:afterAutospacing="0"/>
        <w:ind w:left="0" w:firstLine="0"/>
        <w:contextualSpacing/>
        <w:jc w:val="both"/>
        <w:rPr>
          <w:sz w:val="20"/>
          <w:szCs w:val="20"/>
        </w:rPr>
      </w:pPr>
      <w:r>
        <w:rPr>
          <w:sz w:val="20"/>
          <w:szCs w:val="20"/>
        </w:rPr>
        <w:t>Бабурин С.Н. Территория государства: Правовые и геополитические проблемы/ Учебное пособие для студенческих вузов/ С.Н. Бабурин/ Изд-во Московского университета.-1997.- 7–65с.</w:t>
      </w:r>
    </w:p>
    <w:p w:rsidR="00517711" w:rsidRDefault="00F815BE">
      <w:pPr>
        <w:pStyle w:val="af6"/>
        <w:widowControl w:val="0"/>
        <w:numPr>
          <w:ilvl w:val="0"/>
          <w:numId w:val="34"/>
        </w:numPr>
        <w:spacing w:after="0" w:afterAutospacing="0"/>
        <w:ind w:left="0" w:firstLine="0"/>
        <w:contextualSpacing/>
        <w:jc w:val="both"/>
        <w:rPr>
          <w:sz w:val="20"/>
          <w:szCs w:val="20"/>
        </w:rPr>
      </w:pPr>
      <w:r>
        <w:rPr>
          <w:sz w:val="20"/>
          <w:szCs w:val="20"/>
        </w:rPr>
        <w:t>Попов А. Почему Китай и Япония конфликтуют [Электронный ресурс]/А.Попов //Интернет-журнал «livejournal».- 2016. - Режим доступа: https://popoffich.livejournal.com/144388.html</w:t>
      </w:r>
    </w:p>
    <w:p w:rsidR="00517711" w:rsidRDefault="00F815BE">
      <w:pPr>
        <w:pStyle w:val="af6"/>
        <w:widowControl w:val="0"/>
        <w:numPr>
          <w:ilvl w:val="0"/>
          <w:numId w:val="34"/>
        </w:numPr>
        <w:spacing w:after="0" w:afterAutospacing="0"/>
        <w:ind w:left="0" w:firstLine="0"/>
        <w:contextualSpacing/>
        <w:jc w:val="both"/>
        <w:rPr>
          <w:sz w:val="20"/>
          <w:szCs w:val="20"/>
        </w:rPr>
      </w:pPr>
      <w:r>
        <w:rPr>
          <w:sz w:val="20"/>
          <w:szCs w:val="20"/>
        </w:rPr>
        <w:t>Василенков С. Япония нашла свою землю» и в Китае [Электронный ресурс] / С. Василенков //Интернет-журнал «Pravda.ru».-2013.-Режим доступа: https://www.pravda.ru/world/asia/fareast/30-05-2013/1158832-senkaku-0/</w:t>
      </w:r>
    </w:p>
    <w:p w:rsidR="00517711" w:rsidRDefault="00F815BE">
      <w:pPr>
        <w:pStyle w:val="af6"/>
        <w:widowControl w:val="0"/>
        <w:numPr>
          <w:ilvl w:val="0"/>
          <w:numId w:val="34"/>
        </w:numPr>
        <w:spacing w:after="0" w:afterAutospacing="0"/>
        <w:ind w:left="0" w:firstLine="0"/>
        <w:contextualSpacing/>
        <w:jc w:val="both"/>
        <w:rPr>
          <w:sz w:val="20"/>
          <w:szCs w:val="20"/>
          <w:lang w:val="en-US"/>
        </w:rPr>
      </w:pPr>
      <w:r>
        <w:rPr>
          <w:sz w:val="20"/>
          <w:szCs w:val="20"/>
          <w:lang w:val="en-US"/>
        </w:rPr>
        <w:t xml:space="preserve">How uninhabited islands soured China-Japan ties [Electronic resources] //BBC News-2014.-URL: http://www.bbc.com/news/world-asia-pacific-11341139 </w:t>
      </w:r>
    </w:p>
    <w:p w:rsidR="00517711" w:rsidRDefault="00F815BE">
      <w:pPr>
        <w:pStyle w:val="af6"/>
        <w:widowControl w:val="0"/>
        <w:numPr>
          <w:ilvl w:val="0"/>
          <w:numId w:val="34"/>
        </w:numPr>
        <w:spacing w:after="0" w:afterAutospacing="0"/>
        <w:ind w:left="0" w:firstLine="0"/>
        <w:contextualSpacing/>
        <w:jc w:val="both"/>
        <w:rPr>
          <w:sz w:val="20"/>
          <w:szCs w:val="20"/>
          <w:lang w:val="en-US"/>
        </w:rPr>
      </w:pPr>
      <w:r>
        <w:rPr>
          <w:sz w:val="20"/>
          <w:szCs w:val="20"/>
          <w:lang w:val="en-US"/>
        </w:rPr>
        <w:t>Pew Research Center [Electronic resources]//URL: http://www.pewresearch.org/</w:t>
      </w:r>
    </w:p>
    <w:p w:rsidR="00517711" w:rsidRDefault="00F815BE">
      <w:pPr>
        <w:pStyle w:val="af6"/>
        <w:widowControl w:val="0"/>
        <w:numPr>
          <w:ilvl w:val="0"/>
          <w:numId w:val="34"/>
        </w:numPr>
        <w:spacing w:after="0" w:afterAutospacing="0"/>
        <w:ind w:left="0" w:firstLine="0"/>
        <w:contextualSpacing/>
        <w:jc w:val="both"/>
        <w:rPr>
          <w:sz w:val="20"/>
          <w:szCs w:val="20"/>
        </w:rPr>
      </w:pPr>
      <w:r>
        <w:rPr>
          <w:sz w:val="20"/>
          <w:szCs w:val="20"/>
        </w:rPr>
        <w:t>Мануков С. Китай и Япония: военные шахматы с многовековой историей [Электронный ресурс]/С.Мануков//Интернет-журнал «EurAsia Daily».-2018.-Режим доступа:                    https://eadaily.com/ru/news/2018/03/16/kitay-i-yaponiya-voennye-shahmaty-s-mnogovekovoy-istoriey</w:t>
      </w:r>
    </w:p>
    <w:p w:rsidR="00517711" w:rsidRDefault="00F815BE">
      <w:pPr>
        <w:pStyle w:val="af6"/>
        <w:widowControl w:val="0"/>
        <w:numPr>
          <w:ilvl w:val="0"/>
          <w:numId w:val="34"/>
        </w:numPr>
        <w:spacing w:after="0" w:afterAutospacing="0"/>
        <w:ind w:left="0" w:firstLine="0"/>
        <w:contextualSpacing/>
        <w:jc w:val="both"/>
        <w:rPr>
          <w:sz w:val="20"/>
          <w:szCs w:val="20"/>
          <w:lang w:val="en-US"/>
        </w:rPr>
      </w:pPr>
      <w:r>
        <w:rPr>
          <w:sz w:val="20"/>
          <w:szCs w:val="20"/>
          <w:lang w:val="en-US"/>
        </w:rPr>
        <w:t xml:space="preserve">KYODO News [Electronic resources]// URL: http://www.kyodonews.jp/english/ </w:t>
      </w:r>
    </w:p>
    <w:p w:rsidR="00517711" w:rsidRDefault="00F815BE">
      <w:pPr>
        <w:pStyle w:val="af6"/>
        <w:widowControl w:val="0"/>
        <w:numPr>
          <w:ilvl w:val="0"/>
          <w:numId w:val="34"/>
        </w:numPr>
        <w:shd w:val="clear" w:color="auto" w:fill="FFFFFF"/>
        <w:spacing w:after="0" w:afterAutospacing="0"/>
        <w:ind w:left="0" w:firstLine="0"/>
        <w:contextualSpacing/>
        <w:jc w:val="both"/>
        <w:rPr>
          <w:sz w:val="20"/>
          <w:szCs w:val="20"/>
        </w:rPr>
      </w:pPr>
      <w:r>
        <w:rPr>
          <w:sz w:val="20"/>
          <w:szCs w:val="20"/>
        </w:rPr>
        <w:t>Япония хочет всесторонне улучшить отношения с Китаем в 2018 году[Электронный ресурс]//Интернет-журнал «TACC».-2018.-Режим доступа:</w:t>
      </w:r>
      <w:hyperlink r:id="rId257" w:history="1">
        <w:r>
          <w:rPr>
            <w:sz w:val="20"/>
            <w:szCs w:val="20"/>
          </w:rPr>
          <w:t>http://tass.ru/mezhdunarodnaya-panorama/4908861</w:t>
        </w:r>
      </w:hyperlink>
    </w:p>
    <w:p w:rsidR="00517711" w:rsidRDefault="00F815BE">
      <w:pPr>
        <w:pStyle w:val="af4"/>
        <w:numPr>
          <w:ilvl w:val="0"/>
          <w:numId w:val="34"/>
        </w:numPr>
        <w:shd w:val="clear" w:color="auto" w:fill="FFFFFF"/>
        <w:spacing w:after="0" w:line="240" w:lineRule="auto"/>
        <w:ind w:left="0" w:firstLine="0"/>
        <w:jc w:val="both"/>
        <w:rPr>
          <w:rFonts w:ascii="Times New Roman" w:hAnsi="Times New Roman"/>
          <w:sz w:val="20"/>
          <w:szCs w:val="20"/>
          <w:lang w:val="en-US" w:eastAsia="ru-RU"/>
        </w:rPr>
      </w:pPr>
      <w:r>
        <w:rPr>
          <w:rFonts w:ascii="Times New Roman" w:hAnsi="Times New Roman"/>
          <w:sz w:val="20"/>
          <w:szCs w:val="20"/>
          <w:lang w:val="en-US" w:eastAsia="ru-RU"/>
        </w:rPr>
        <w:t xml:space="preserve">In Asia, Ill Will Runs Deep[Electronic resources] // «The New York Times».-2013.- URL: </w:t>
      </w:r>
      <w:hyperlink r:id="rId258" w:history="1">
        <w:r>
          <w:rPr>
            <w:rFonts w:ascii="Times New Roman" w:hAnsi="Times New Roman"/>
            <w:sz w:val="20"/>
            <w:szCs w:val="20"/>
            <w:lang w:val="en-US" w:eastAsia="ru-RU"/>
          </w:rPr>
          <w:t>https://www.nytimes.com/2013/01/07/opinion/why-china-and-japan-cant-get-along.html</w:t>
        </w:r>
      </w:hyperlink>
    </w:p>
    <w:p w:rsidR="00517711" w:rsidRDefault="00F815BE">
      <w:pPr>
        <w:pStyle w:val="af6"/>
        <w:widowControl w:val="0"/>
        <w:numPr>
          <w:ilvl w:val="0"/>
          <w:numId w:val="34"/>
        </w:numPr>
        <w:shd w:val="clear" w:color="auto" w:fill="FFFFFF"/>
        <w:spacing w:after="0" w:afterAutospacing="0"/>
        <w:ind w:left="0" w:firstLine="0"/>
        <w:contextualSpacing/>
        <w:jc w:val="both"/>
        <w:rPr>
          <w:sz w:val="20"/>
          <w:szCs w:val="20"/>
          <w:lang w:val="en-US"/>
        </w:rPr>
      </w:pPr>
      <w:r>
        <w:rPr>
          <w:sz w:val="20"/>
          <w:szCs w:val="20"/>
          <w:lang w:val="en-US"/>
        </w:rPr>
        <w:t>Pomfret John. Japan and Cnina’s island argument is a U.S concern[Electronic resources]//  /The Washington Post».-2013.-URL: https://www.washingtonpost.com/opinions/japan-and-chinas-island-argument-is-a-us-concern/2013/02/05/fbc7ed62-6999-11e2-af53-7b2b2a7510a8_story.html?utm_term=.55a493df4ca8</w:t>
      </w: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Международные отношения и приграничное сотрудничество в АТР: опыт, проблемы и перспективы развития</w:t>
      </w:r>
    </w:p>
    <w:p w:rsidR="00517711" w:rsidRDefault="00F815BE">
      <w:pPr>
        <w:shd w:val="clear" w:color="auto" w:fill="FFFFFF"/>
        <w:spacing w:after="0" w:line="240" w:lineRule="auto"/>
        <w:jc w:val="both"/>
        <w:rPr>
          <w:rFonts w:ascii="Times New Roman" w:hAnsi="Times New Roman"/>
          <w:sz w:val="20"/>
          <w:szCs w:val="24"/>
        </w:rPr>
      </w:pPr>
      <w:r>
        <w:rPr>
          <w:rFonts w:ascii="Times New Roman" w:hAnsi="Times New Roman"/>
          <w:sz w:val="20"/>
          <w:szCs w:val="24"/>
        </w:rPr>
        <w:t>УДК 327</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lastRenderedPageBreak/>
        <w:t>Японо-китайское экономическое сотрудничество, влияние Японии на рост экономики Китая</w:t>
      </w:r>
    </w:p>
    <w:p w:rsidR="00517711" w:rsidRDefault="00F815BE">
      <w:pPr>
        <w:widowControl w:val="0"/>
        <w:tabs>
          <w:tab w:val="left" w:pos="1665"/>
        </w:tabs>
        <w:spacing w:after="0" w:line="240" w:lineRule="auto"/>
        <w:ind w:firstLine="709"/>
        <w:jc w:val="center"/>
        <w:rPr>
          <w:rFonts w:ascii="Arial" w:eastAsia="Calibri" w:hAnsi="Arial"/>
          <w:b/>
          <w:bCs/>
          <w:sz w:val="24"/>
          <w:szCs w:val="20"/>
          <w:lang w:eastAsia="ru-RU"/>
        </w:rPr>
      </w:pPr>
      <w:r>
        <w:rPr>
          <w:rFonts w:ascii="Arial" w:eastAsia="Calibri" w:hAnsi="Arial"/>
          <w:b/>
          <w:bCs/>
          <w:sz w:val="24"/>
          <w:szCs w:val="20"/>
          <w:lang w:eastAsia="ru-RU"/>
        </w:rPr>
        <w:t>Шульга Надежда Геннадьевна,</w:t>
      </w:r>
    </w:p>
    <w:p w:rsidR="00517711" w:rsidRDefault="00F815BE">
      <w:pPr>
        <w:widowControl w:val="0"/>
        <w:tabs>
          <w:tab w:val="left" w:pos="1665"/>
        </w:tabs>
        <w:spacing w:after="0" w:line="240" w:lineRule="auto"/>
        <w:ind w:firstLine="709"/>
        <w:jc w:val="center"/>
        <w:rPr>
          <w:rFonts w:ascii="Arial" w:eastAsia="Calibri" w:hAnsi="Arial"/>
          <w:bCs/>
          <w:sz w:val="24"/>
          <w:szCs w:val="20"/>
          <w:lang w:eastAsia="ru-RU"/>
        </w:rPr>
      </w:pPr>
      <w:r>
        <w:rPr>
          <w:rFonts w:ascii="Arial" w:eastAsia="Calibri" w:hAnsi="Arial"/>
          <w:bCs/>
          <w:sz w:val="24"/>
          <w:szCs w:val="20"/>
          <w:lang w:eastAsia="ru-RU"/>
        </w:rPr>
        <w:t>бакалавр 4 курса</w:t>
      </w:r>
    </w:p>
    <w:p w:rsidR="00517711" w:rsidRDefault="00F815BE">
      <w:pPr>
        <w:widowControl w:val="0"/>
        <w:tabs>
          <w:tab w:val="left" w:pos="1665"/>
        </w:tabs>
        <w:spacing w:line="240" w:lineRule="auto"/>
        <w:ind w:firstLine="709"/>
        <w:jc w:val="center"/>
        <w:rPr>
          <w:rFonts w:ascii="Arial" w:eastAsia="Calibri" w:hAnsi="Arial"/>
          <w:bCs/>
          <w:sz w:val="24"/>
          <w:szCs w:val="20"/>
          <w:lang w:eastAsia="ru-RU"/>
        </w:rPr>
      </w:pPr>
      <w:r>
        <w:rPr>
          <w:rFonts w:ascii="Arial" w:eastAsia="Calibri" w:hAnsi="Arial"/>
          <w:bCs/>
          <w:sz w:val="24"/>
          <w:szCs w:val="20"/>
          <w:lang w:eastAsia="ru-RU"/>
        </w:rPr>
        <w:t>кафедра теории и истории российского и зарубежного права</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widowControl w:val="0"/>
        <w:tabs>
          <w:tab w:val="left" w:pos="1665"/>
        </w:tabs>
        <w:spacing w:after="0" w:line="240" w:lineRule="auto"/>
        <w:ind w:firstLine="709"/>
        <w:jc w:val="center"/>
        <w:rPr>
          <w:rFonts w:ascii="Times New Roman" w:hAnsi="Times New Roman"/>
          <w:sz w:val="20"/>
          <w:szCs w:val="20"/>
        </w:rPr>
      </w:pPr>
      <w:r>
        <w:rPr>
          <w:rFonts w:ascii="Times New Roman" w:hAnsi="Times New Roman"/>
          <w:sz w:val="20"/>
          <w:szCs w:val="20"/>
          <w:lang w:val="en-US"/>
        </w:rPr>
        <w:t>E</w:t>
      </w:r>
      <w:r>
        <w:rPr>
          <w:rFonts w:ascii="Times New Roman" w:hAnsi="Times New Roman"/>
          <w:sz w:val="20"/>
          <w:szCs w:val="20"/>
        </w:rPr>
        <w:t>-</w:t>
      </w:r>
      <w:r>
        <w:rPr>
          <w:rFonts w:ascii="Times New Roman" w:hAnsi="Times New Roman"/>
          <w:sz w:val="20"/>
          <w:szCs w:val="20"/>
          <w:lang w:val="en-US"/>
        </w:rPr>
        <w:t>mail</w:t>
      </w:r>
      <w:r>
        <w:rPr>
          <w:rFonts w:ascii="Times New Roman" w:hAnsi="Times New Roman"/>
          <w:sz w:val="20"/>
          <w:szCs w:val="20"/>
        </w:rPr>
        <w:t xml:space="preserve">: </w:t>
      </w:r>
      <w:hyperlink r:id="rId259" w:history="1">
        <w:r>
          <w:rPr>
            <w:rStyle w:val="aa"/>
            <w:sz w:val="20"/>
            <w:szCs w:val="20"/>
            <w:lang w:val="en-US"/>
          </w:rPr>
          <w:t>sh</w:t>
        </w:r>
        <w:r>
          <w:rPr>
            <w:rStyle w:val="aa"/>
            <w:sz w:val="20"/>
            <w:szCs w:val="20"/>
          </w:rPr>
          <w:t>-</w:t>
        </w:r>
        <w:r>
          <w:rPr>
            <w:rStyle w:val="aa"/>
            <w:sz w:val="20"/>
            <w:szCs w:val="20"/>
            <w:lang w:val="en-US"/>
          </w:rPr>
          <w:t>nadusha</w:t>
        </w:r>
        <w:r>
          <w:rPr>
            <w:rStyle w:val="aa"/>
            <w:sz w:val="20"/>
            <w:szCs w:val="20"/>
          </w:rPr>
          <w:t>2010@</w:t>
        </w:r>
        <w:r>
          <w:rPr>
            <w:rStyle w:val="aa"/>
            <w:sz w:val="20"/>
            <w:szCs w:val="20"/>
            <w:lang w:val="en-US"/>
          </w:rPr>
          <w:t>yandex</w:t>
        </w:r>
        <w:r>
          <w:rPr>
            <w:rStyle w:val="aa"/>
            <w:sz w:val="20"/>
            <w:szCs w:val="20"/>
          </w:rPr>
          <w:t>.</w:t>
        </w:r>
        <w:r>
          <w:rPr>
            <w:rStyle w:val="aa"/>
            <w:sz w:val="20"/>
            <w:szCs w:val="20"/>
            <w:lang w:val="en-US"/>
          </w:rPr>
          <w:t>ru</w:t>
        </w:r>
      </w:hyperlink>
      <w:r>
        <w:rPr>
          <w:rFonts w:ascii="Times New Roman" w:hAnsi="Times New Roman"/>
          <w:sz w:val="20"/>
          <w:szCs w:val="20"/>
        </w:rPr>
        <w:t>; тел.: +79662734249</w:t>
      </w:r>
    </w:p>
    <w:p w:rsidR="00517711" w:rsidRDefault="00F815BE">
      <w:pPr>
        <w:widowControl w:val="0"/>
        <w:tabs>
          <w:tab w:val="left" w:pos="1665"/>
        </w:tabs>
        <w:spacing w:line="240" w:lineRule="auto"/>
        <w:ind w:firstLine="709"/>
        <w:jc w:val="center"/>
        <w:rPr>
          <w:rFonts w:ascii="Times New Roman" w:hAnsi="Times New Roman"/>
          <w:sz w:val="20"/>
          <w:szCs w:val="20"/>
        </w:rPr>
      </w:pPr>
      <w:r>
        <w:rPr>
          <w:rFonts w:ascii="Times New Roman" w:hAnsi="Times New Roman"/>
          <w:sz w:val="20"/>
          <w:szCs w:val="20"/>
        </w:rPr>
        <w:t>Ул. Гоголя, 41, г. Владивосток, Приморский край, Россия, 690014</w:t>
      </w:r>
    </w:p>
    <w:p w:rsidR="00517711" w:rsidRDefault="00F815BE">
      <w:pPr>
        <w:widowControl w:val="0"/>
        <w:tabs>
          <w:tab w:val="left" w:pos="1665"/>
        </w:tabs>
        <w:spacing w:after="0" w:line="240" w:lineRule="auto"/>
        <w:ind w:firstLine="709"/>
        <w:jc w:val="both"/>
        <w:rPr>
          <w:rFonts w:ascii="Times New Roman" w:hAnsi="Times New Roman"/>
          <w:i/>
          <w:szCs w:val="24"/>
        </w:rPr>
      </w:pPr>
      <w:r>
        <w:rPr>
          <w:rFonts w:ascii="Times New Roman" w:hAnsi="Times New Roman"/>
          <w:i/>
          <w:szCs w:val="24"/>
        </w:rPr>
        <w:t xml:space="preserve">Китай и Япония – страны соседи. На протяжении длительного исторического периода они враждовали и только в  70-х годах ХХ века подписали мирный договор. К этому моменту Китай в отличии от Японии имел слаборазвитую экономику. </w:t>
      </w:r>
    </w:p>
    <w:p w:rsidR="00517711" w:rsidRDefault="00F815BE">
      <w:pPr>
        <w:widowControl w:val="0"/>
        <w:tabs>
          <w:tab w:val="left" w:pos="1665"/>
        </w:tabs>
        <w:spacing w:after="0" w:line="240" w:lineRule="auto"/>
        <w:ind w:firstLine="709"/>
        <w:jc w:val="both"/>
        <w:rPr>
          <w:rFonts w:ascii="Times New Roman" w:hAnsi="Times New Roman"/>
          <w:i/>
          <w:szCs w:val="24"/>
        </w:rPr>
      </w:pPr>
      <w:r>
        <w:rPr>
          <w:rFonts w:ascii="Times New Roman" w:hAnsi="Times New Roman"/>
          <w:i/>
          <w:szCs w:val="24"/>
        </w:rPr>
        <w:t xml:space="preserve">В данной статье рассматривается, за счет чего Китай получил возможность поднять уровень своей экономики, и какую роль сыграла в этом процессе Япония. </w:t>
      </w:r>
    </w:p>
    <w:p w:rsidR="00517711" w:rsidRDefault="00F815BE">
      <w:pPr>
        <w:widowControl w:val="0"/>
        <w:tabs>
          <w:tab w:val="left" w:pos="1665"/>
        </w:tabs>
        <w:spacing w:after="0" w:line="240" w:lineRule="auto"/>
        <w:ind w:firstLine="709"/>
        <w:jc w:val="both"/>
        <w:rPr>
          <w:rFonts w:ascii="Times New Roman" w:hAnsi="Times New Roman"/>
          <w:i/>
          <w:szCs w:val="24"/>
        </w:rPr>
      </w:pPr>
      <w:r>
        <w:rPr>
          <w:rFonts w:ascii="Times New Roman" w:hAnsi="Times New Roman"/>
          <w:b/>
          <w:i/>
          <w:szCs w:val="24"/>
        </w:rPr>
        <w:t xml:space="preserve">Ключевые слова и словосочетания: </w:t>
      </w:r>
      <w:r>
        <w:rPr>
          <w:rFonts w:ascii="Times New Roman" w:hAnsi="Times New Roman"/>
          <w:i/>
          <w:szCs w:val="24"/>
        </w:rPr>
        <w:t>Япония, Китай, сотрудничество, экономика, экономическая помощь.</w:t>
      </w:r>
    </w:p>
    <w:p w:rsidR="00517711" w:rsidRDefault="00517711">
      <w:pPr>
        <w:widowControl w:val="0"/>
        <w:tabs>
          <w:tab w:val="left" w:pos="1665"/>
        </w:tabs>
        <w:spacing w:after="0" w:line="240" w:lineRule="auto"/>
        <w:ind w:firstLine="709"/>
        <w:rPr>
          <w:rFonts w:ascii="Times New Roman" w:hAnsi="Times New Roman"/>
          <w:b/>
          <w:i/>
          <w:szCs w:val="24"/>
        </w:rPr>
      </w:pPr>
    </w:p>
    <w:p w:rsidR="00517711" w:rsidRDefault="00F815BE">
      <w:pPr>
        <w:widowControl w:val="0"/>
        <w:tabs>
          <w:tab w:val="left" w:pos="1665"/>
        </w:tabs>
        <w:spacing w:after="0" w:line="240" w:lineRule="auto"/>
        <w:ind w:firstLine="709"/>
        <w:jc w:val="both"/>
        <w:rPr>
          <w:rFonts w:ascii="Times New Roman" w:hAnsi="Times New Roman"/>
          <w:i/>
          <w:szCs w:val="24"/>
          <w:lang w:val="en-US"/>
        </w:rPr>
      </w:pPr>
      <w:r>
        <w:rPr>
          <w:rFonts w:ascii="Times New Roman" w:hAnsi="Times New Roman"/>
          <w:i/>
          <w:szCs w:val="24"/>
          <w:lang w:val="en-US"/>
        </w:rPr>
        <w:t>China and Japan – neighboring nations. During long historical time they were enemies, and only in 70</w:t>
      </w:r>
      <w:r>
        <w:rPr>
          <w:rFonts w:ascii="Times New Roman" w:hAnsi="Times New Roman"/>
          <w:i/>
          <w:szCs w:val="24"/>
          <w:vertAlign w:val="superscript"/>
          <w:lang w:val="en-US"/>
        </w:rPr>
        <w:t>th</w:t>
      </w:r>
      <w:r>
        <w:rPr>
          <w:rFonts w:ascii="Times New Roman" w:hAnsi="Times New Roman"/>
          <w:i/>
          <w:szCs w:val="24"/>
          <w:lang w:val="en-US"/>
        </w:rPr>
        <w:t xml:space="preserve"> 20 century these countries signed peace treaty. By that moment China, different from Japan, had weak economy.</w:t>
      </w:r>
    </w:p>
    <w:p w:rsidR="00517711" w:rsidRDefault="00F815BE">
      <w:pPr>
        <w:widowControl w:val="0"/>
        <w:tabs>
          <w:tab w:val="left" w:pos="1665"/>
        </w:tabs>
        <w:spacing w:after="0" w:line="240" w:lineRule="auto"/>
        <w:ind w:firstLine="709"/>
        <w:jc w:val="both"/>
        <w:rPr>
          <w:rFonts w:ascii="Times New Roman" w:hAnsi="Times New Roman"/>
          <w:i/>
          <w:szCs w:val="24"/>
          <w:lang w:val="en-US"/>
        </w:rPr>
      </w:pPr>
      <w:r>
        <w:rPr>
          <w:rFonts w:ascii="Times New Roman" w:hAnsi="Times New Roman"/>
          <w:i/>
          <w:szCs w:val="24"/>
          <w:lang w:val="en-US"/>
        </w:rPr>
        <w:t>In that article is considered how China got the possibility to raise the level of it’s economics, and which role played in this process Japan.</w:t>
      </w:r>
    </w:p>
    <w:p w:rsidR="00517711" w:rsidRDefault="00F815BE">
      <w:pPr>
        <w:widowControl w:val="0"/>
        <w:tabs>
          <w:tab w:val="left" w:pos="1665"/>
        </w:tabs>
        <w:spacing w:after="0" w:line="240" w:lineRule="auto"/>
        <w:ind w:firstLine="709"/>
        <w:rPr>
          <w:rFonts w:ascii="Times New Roman" w:hAnsi="Times New Roman"/>
          <w:i/>
          <w:szCs w:val="24"/>
          <w:lang w:val="en-US"/>
        </w:rPr>
      </w:pPr>
      <w:r>
        <w:rPr>
          <w:rFonts w:ascii="Times New Roman" w:hAnsi="Times New Roman"/>
          <w:b/>
          <w:i/>
          <w:szCs w:val="24"/>
          <w:lang w:val="en-US"/>
        </w:rPr>
        <w:t xml:space="preserve"> Keywords and phrases: </w:t>
      </w:r>
      <w:r>
        <w:rPr>
          <w:rFonts w:ascii="Times New Roman" w:hAnsi="Times New Roman"/>
          <w:i/>
          <w:szCs w:val="24"/>
          <w:lang w:val="en-US"/>
        </w:rPr>
        <w:t>Japan, China, cooperation, economics, economic aid.</w:t>
      </w:r>
    </w:p>
    <w:p w:rsidR="00517711" w:rsidRDefault="00517711">
      <w:pPr>
        <w:shd w:val="clear" w:color="auto" w:fill="FFFFFF"/>
        <w:spacing w:after="0" w:line="240" w:lineRule="auto"/>
        <w:ind w:firstLine="709"/>
        <w:jc w:val="both"/>
        <w:rPr>
          <w:rFonts w:ascii="Times New Roman" w:hAnsi="Times New Roman"/>
          <w:sz w:val="20"/>
          <w:szCs w:val="20"/>
          <w:lang w:val="en-US"/>
        </w:rPr>
      </w:pP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Японо-китайское экономическое сотрудничество, влияние Японии на рост экономики Китая.</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В настоящее время Китай и Япония – крупные экономики мира, занимающие соответственно второе и третье место. Они являются крупными торговыми партнерами, и товарооборот между ними все время растет. Так, в 2010 году объем двусторонней торговли составил 230 млрд. долл., прямые инвестиции Японии в китайскую экономику – около 70 млрд. долл.  На территории КНР действует более 25 тыс. компаний с японским капиталом [2]. Китай, в свою очередь, является крупным импортером японских товаров. Однако такое соотношение сил в экономике было не всегда, и если в Японии с начала ХХ века началось стремительное развитие экономики, а затем и самых передовых технологий то Китай довольно долго можно  было считать государством со слаборазвитой экономикой. Рассмотрим, как Китай смог выйти на столь высокий уровень экономического развития, и какую роль в этом сыграли Японские инвестиции.</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Помимо географической близости двух стран и взаимодополняющей природой их экономик, действует ряд факторов, стимулирующих интеграцию:</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1. Высокие темпы экономического роста в Китае, стимулирующие спрос на японский экспорт в Китае и китайский экспорт в Японии.</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2. Процессы либерализации торговли двух стран и вступление Китая в ВТО.</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3. Масштабные японские прямые инвестиции в китайскую экономику, способствующие интеграции отраслей промышленности Китая в глобальные производственные сети Японии и расширению внутриотраслевой торговли между двумя странами [4].</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 xml:space="preserve"> Начиная с 70-х годов, началось стремительное экономическое развитие Китая, которое в значительной степени  опиралось на иностранные инвестиции и заимствованные технологии в экономике и управлении. Рассмотрим, что послужило основой этого развития.</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Одним из существенных, однако, малоизученных каналов поступления иностранных инвестиций, прежде всего «залогового характера», являлись инвестиции из Японии, которые предоставлялись в форме официальной помощи развитию.</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 xml:space="preserve">После Второй мировой войны Япония, обязанная по условиям мирного договора выплачивать репарации жертвам японской агрессии на Тихом океане, е, постепенно стала превращаться в донора официальной помощи развитию (official development assistance, ODA). Начиная с 1950-х гг., когда официальная помощь развитию стала играть роль дополнения к послевоенным репарациям, ее размеры непрерывно возрастали, и уже начиная с 1970-х гг. льготные (йеновые, или низкопроцентные) займы и гранты из Токио превратились в важный источник международного экономического динамизма, в первую очередь в развивающихся странах Азиатско-Тихоокеанского региона. К началу 1990-х гг. экономическое сотрудничество в форме официальной помощи развитию стало своего рода визитной карточкой Японии. Японская официальная помощь развитию принадлежит к числу важнейших феноменов современной истории. С 1954 по 2010 г. 189 </w:t>
      </w:r>
      <w:r>
        <w:rPr>
          <w:rFonts w:ascii="Times New Roman" w:hAnsi="Times New Roman"/>
          <w:sz w:val="20"/>
          <w:szCs w:val="20"/>
        </w:rPr>
        <w:lastRenderedPageBreak/>
        <w:t>суверенных стран и зависимых территорий в то или иное время входили в число бенефициариев японских льготных кредитов и грантов. На фоне других реципиентов особое место занимала Китайская Народная Республика, доля которой в общей сумме японской помощи развивающимся странам составила почти 20%. В течение 1979–2008 гг. Китай получил по этому каналу около 45 млрд долл. США (40,5 млрд – в виде долгосрочных займов и 4,5 млрд – в виде грантов). Доля Японии в общем объеме средств, предоставлявшихся Китаю развитыми государствами – членами Комитета помощи развитию (КПР при ОЭСР), превышала 60% (Приложение 1 табл. 1). В частности, более 60% иностранных студентов и стажеров, обучавшихся в Японии по линии технического сотрудничества за счет ее правительства, составляла китайская молодежь.</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Сотрудничество Японии с Китаем, было основано на стремлении использовать возможности повышения собственной значимости в глобальной и региональной политике и направлено на усиление своего влияния на формирование новой архитектуры международной безопасности и соразвития мира [5, с. 50]. Так же экономическая помощь со стороны Японии стала одним из важных компонентов, формирующих общую конфликтную среду: если для Японии официальная помощь Китаю являлась инструментом экономического и политического влияния, то со стороны Китая она воспринималась как замена военных репараций, а, следовательно, с китайской точки зрения, Япония, раз начав предоставлять займы и гранты Китаю, не имела права, во-первых, их приостанавливать и, во-вторых, оказывать политическое давление на Китай [3, с.50].</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Анализируется период двухсторонних отношений на этапе оказания официальной помощи развитию Японией Китаю с 1979 по 2008 гг. его можно разделить на три этапа: первый – энтузиазм и эйфория среди деловых кругов и населения; второй – фаза относительно стабильного инерционного развития; третий – разочарование политическими результатами оказания помощи Китаю, сокращение и фактическое завершение почти всех программ. Рассмотрим эти этапы более подробно.</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 xml:space="preserve"> Как было отмечено ранее, официальная помощь развитию имела под собой две основы: геоэкономическую и гуманитарную. Гуманитарная выражалась в том, что среди широких кругов японского населения поддержка официальной помощи развитию Китаю реально основывалась на моральных обязательствах по отношению к бывшей жертве агрессии. Чувство вины за жестокости в Китае в 1930–1940-х гг. обострялось тем, что с незапамятных времен Китайская империя была главным источником искусства, культуры и религии для японцев. Военные интервенции в страну, которая, в сущности, породила японскую цивилизацию, всерьез воспринимались японскими массами как грубая несправедливость и требовали щедрой компенсации. </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Геоэкономическая подразумевала, что финансовое содействие Китаю это инвестиции особой важности [16, p. 95], с экономической точки зрения, официальная помощи развитию была предназначена играть роль «смазки» при продвижении и защите собственных японских разнообразных интересов. Главной задачей японского делового сообщества стало «новое открытие» Китая. Щедрые трансферты в Китай могли стать основой для превращения его в ведущую экономическую базу за рубежом, как оно и было долгое время до конца Второй мировой войны. Помимо прямого доступа к китайским товарным и инвестиционным рынкам, интересы японских корпораций были связаны с тем, что, во-первых, финансовые вливания помогут модернизировать архаичную инфраструктуру Китая до уровня, приемлемого для крупномасштабных частных инвестиций японских транс-национальных корпораций [3, с. 60], во-вторых, японские компании получат крупные заказы на реализацию инфраструктурных проектов в Китае.</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 xml:space="preserve">Японская помощь ведет свое происхождение от послевоенных репарационных платежей, которые начались в 1950-х гг. и которые Япония обязана была выплачивать нациям Тихоокеанской Азии, пострадавшим от ее агрессии. Почти все эти государства тогда только что обрели независимость, и почти все из них впоследствии вошли в состав Ассоциации стран Юго-Восточной Азии (АСЕАН). Однако Китай, будучи главной жертвой, не мог воспользоваться японскими фондами до восстановления дипломатических отношений между Токио и Пекином. Лишь в 1972 г. при переговорах о нормализации китайское коммунистическое руководство заявило о намерении возобновить отношения с Японией «с чистого листа». При этом Мао Цзэдун отказался от финансовых претензий к Японии. Официальное заявление китайского руководства о том, что в трагедии Китая в 1930–1940-е гг. виновата только японская военщина, оказалась благом для Японии, избавив ее от угрозы финансового краха, так как КНР могла бы выставить астрономический счет за массовые разрушения и за гибель более  10 млн китайцев от рук японских военных. Политическое решение китайского руководства «начать с чистого листа» помогло разорвать официальные связи между Японией и «мятежной» китайской провинцией Тайвань и облегчить признание КНР Японией в качестве легитимного члена международного сообщества [4]. В 1978 г., когда был подписан китайско-японский договор о мире и дружбе, Дэн Сяопин практически открыто потребовал возмещения ущерба от бывшей державы-агрессора. Японское руководство, со своей стороны, тоже явно понимало необходимость существенной материальной поддержки прагматикам, которые пришли к власти в соседнем государстве. </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 xml:space="preserve">В декабре 1979 г. премьер-министр М. Охира в рамках так называемой дипломатии подарков предложил Китаю пакет низкопроцентных займов в размере 330 млрд иен (около 1,4 млрд долл.) для выполнения очередного китайского пятилетнего плана (1979–1983 гг.) [12, p. 194]. Характерно, что ни в каких официальных документах связь между несостоявшимися репарациями и начавшейся официальной помощью развития не упоминалась. Тем не менее понималось, что эта и последующие программы являлись именно заменителем репараций «дешевым способом избежать выплаты реальных репараций» [15]. При этом основная часть официальной помощи развития финансировалась не из госбюджета, а из специальной Программы </w:t>
      </w:r>
      <w:r>
        <w:rPr>
          <w:rFonts w:ascii="Times New Roman" w:hAnsi="Times New Roman"/>
          <w:sz w:val="20"/>
          <w:szCs w:val="20"/>
        </w:rPr>
        <w:lastRenderedPageBreak/>
        <w:t>финансовых инвестиций и кредитов, источником фондов для которой являлись почтово-сберегательные кассы, аккумулирующие сбережения населения [1].</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 xml:space="preserve">В конечном итоге Китай стал крупным реципиентов льготных фондов из Японии, потребляя ежегодно более 10% всех средств, выделяемых ими. На первоначальной стадии японо-китайского сближения бизнес-сообщество Японии было очень увлечено инвестиционными возможностями в соседнем государстве. На фоне радикальных экономических реформ Дэн Сяопина японские фирмы подписали в Китае десятки контрактов. Китайская сторона тоже возлагала большие надежды на эти инвестиционные сделки. В Пекине очень рассчитывали на то, что приток частного капитала из технологически продвинутой Японии сыграет ведущую роль в модернизации китайской экономики. Однако, когда дело дошло до стадии реализации проектов, оказалось, что Китай явно не подготовлен для крупномасштабных инвестиций по ряду причин – из-за той же устарелой инфраструктуры, укоренившейся коррупции, бюрократической волокиты и просто из-за разницы в менталитетах. Китайское правительство не смогло реализовать заключаемые инвестиционные контракты [11], которые один за другим начали расторгаться. Таким образом, частные японские фирмы объективно оказались не в состоянии привнести в экономику соседней державы капиталы и технологии, на которые, прежде всего, рассчитывал Китай. </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 xml:space="preserve">Китай стал единственным из развивающихся государств, получающим займы и субсидии (гранты) на основе пятилетних планов помощи, а не на основе обычных соглашений, рассчитанных на год. Более того, эти планы коррелировались с собственными китайскими пятилетними планами развития народного хозяйства. Другими словами, Япония, страна с рыночной экономикой, строила свои отношения с Китаем в соответствии с социалистическими принципами планирования. В общей сложности четыре пятилетних плана помощи были реализованы с 1979 г. до конца XX столетия, и каждый был намного больше по размерам предыдущего. Первый пакет, согласованный М. Охирой (1979–1983 гг.), составлял около 1,4 млрд долл. Вторая программа, подготовленная правительством Я. Накасонэ (1984–1989 гг.), – 2,1 млрд долл. Третий пакет (1990– 1995 гг.) предусматривал выплату займов и грантов на сумму 5,4 млрд долл. Наконец, четвертый, последний пакет (1996–2000 гг.), был разбит на две части (3 и 2 года соответственно), причем только по первому трехлетнему периоду выплаты должны были достигнуть 5,8 млрд долл. Важность этих программ подчеркивалась тем фактом, что они персонально представлялись премьер-министрами Японии руководителям Китая, минуя обычный бюрократический уровень протокола [20]. </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 xml:space="preserve">В 1998 и 1999 гг. в соответствии в предыдущими соглашениями (первая часть четвертого пакета помощи) китайскому правительству из Токио было перечислено 1,158 млрд и 1,226 млрд долл. соответственно. Казалось, что помощь Пекину в принципе не может быть сокращена, будучи «священным ресурсом» японской дипломатии. Но уже в середине 1990-х гг. появились предпосылки к спаду в отношениях между Китаем в Японией  [13, p. 112]. Так среди японского населения ощущалось беспокойство, связанное с китайскими программами военной модернизации. Имелось подозрение о том, что рост китайских военных расходов косвенно финансировался за счет средств, поступающих из Токио. Дополнительным раздражающим фактором стало приписываемое Китаю вмешательство во внутренние дела Японии. На этом фоне японское общественное мнение было крайне недовольно жесткими, недружественными заявлениями Председателя Цзян Цзэминя в ходе его официального визита в Японию в 1998 г., который настойчиво требовал от Японии новых формальных извинений за военное прошлое и в то же время не произнес ни одного доброго слова относительно двух предыдущих десятилетий японской помощи. Его бескомпромиссные формулировки убеждали японцев в том, что Китай не ценит помощь из Токио и принимает ее как нечто должное [10, р. 94], что свидетельствовало о том, что вообще в долгосрочной перспективе не следует быть уверенным в дружелюбии и благодарности со стороны наций-реципиентов. </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 xml:space="preserve">В мае 2000 г. глава МИД Японии Ехэй Коно в первый раз предупредил своего китайского коллегу, что Япония может начать урезание программ субсидирования соседней державы. Пекинские власти не смогли адекватно воспринять растущее раздражение в Японии, позволив своим «исследовательским» судам несколько раз нарушить японскую эксклюзивную экономическую зону. Японские СМИ сочли китайские действия провокационными и еще более активно начали призывать правительство заканчивать с ежегодной и бесполезной перекачкой японских средств на инфраструктурные проекты на китайской территории. Нарушения морских границ Японии китайскими кораблями привели к временному замораживанию целевого займа Китаю (на сумму 17,2 млрд иен), предназначенного для модернизации железнодорожной сети вокруг Пекина и аэропорта в Сиане. Это заставило китайское правительство реагировать, и в ходе официального визита премьер-министра Китая Чжу Жунцзи в Токио в октябре 2000 г. он в несвойственной для китайских политиков манере высоко оценивал содействие со стороны Японии, открыто назвав его «важной помощью в развитии китайской экономики и строительстве китайского государства». </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 xml:space="preserve">В январе 2002 г. новый Кабинет министров под руководством Дзюнъитиро Коидзуми, не связанный более пятилетными соглашениями, объявил о решении снизить объем помощи Китаю на 25%. В списке ведущих реципиентов фондов из Японии КНР впервые отошла на 3-е место вслед за Индонезией и Вьетнамом [9, р. 165]. </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 xml:space="preserve">Осенью 2004 г. внешнеполитическое ведомство Японии сообщило о планах окончательного прекращения помощи Китаю. Упреждая это заявление, министр иностранных дел Китая на саммите АСЕАН во Вьентьяне заявил, что его страна сможет обойтись без японской помощи и будет полагаться на собственные финансовые ресурсы [6]. </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lastRenderedPageBreak/>
        <w:t>В марте 2005 г. китайский премьер-министр Вэнь Цзябао обратился к своему японскому коллеге с призывом «хорошо закончить то, что хорошо началось», другими словами, призвал завершить многолетнее экономическое сотрудничество безболезненно, не создавая атмосферу скандала [11]. Япония отнеслась к китайской просьбе с пониманием, и в 2005 финансовом году КНР получила последнюю крупную помощь (1064 млн долл.), после чего к 2008 г. остались только гранты, связанные с экологией и энергосбережением. Кабинеты Демократической партии, пришедшей к власти в 2009 г., не стали восстанавливать крупномасштабное сотрудничество с Китаем. Например, в 2010 г. через Банк международного сотрудничества было переведено только 56 млн долл. Более того, министр иностранных дел Сэйдзи Маэхара распорядился сократить даже эти незначительные платежи (хотя Япония продолжала выполнять свои обязательства в рамках существующих проектов) [22, р. 291]. Таким образом, тридцатилетняя история китайско-японского экономического сотрудничества завершилась.</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 xml:space="preserve">Отметим, что в отличии от геоэкономического «гуманитарное» измерение в японской помощи Китаю проявилось лишь к началу 1990-х гг. когда диапазон японских программ в Китае расширился за счет направлений, связанных с насущными потребностями населения Китая, такими как доступ к чистой воде, улучшение санитарных условий, строительство объектов социальной инфраструктуры. В 1990-х гг. началось сотрудничество в области защиты окружающей среды, в котором Япония могла применить свой богатый накопленный опыт. Уже в 1995 г. премьер-социалист Мураяма озвучил термин «безопасность человека» в качестве одной из целей японской официальной помощи развитию и внешней политики в целом. В 1999 г. этот термин был многократно использован в «Голубой книге» внешнеполитического ведомства, а в 2003 г. политика «безопасности человека» была официально закреплена в новой редакции Хартии ОПР [7]. </w:t>
      </w:r>
    </w:p>
    <w:p w:rsidR="00517711" w:rsidRDefault="00F815BE">
      <w:pPr>
        <w:shd w:val="clear" w:color="auto" w:fill="FFFFFF"/>
        <w:spacing w:after="0" w:line="240" w:lineRule="auto"/>
        <w:ind w:firstLine="709"/>
        <w:contextualSpacing/>
        <w:jc w:val="both"/>
        <w:rPr>
          <w:rFonts w:ascii="Times New Roman" w:hAnsi="Times New Roman"/>
          <w:sz w:val="20"/>
          <w:szCs w:val="20"/>
        </w:rPr>
      </w:pPr>
      <w:r>
        <w:rPr>
          <w:rFonts w:ascii="Times New Roman" w:hAnsi="Times New Roman"/>
          <w:sz w:val="20"/>
          <w:szCs w:val="20"/>
        </w:rPr>
        <w:t xml:space="preserve">В заключении можно сказать, что Япония извлекла ощутимую пользу от потраченных за тридцать лет 45 млрд. долл. на помощь в Китае, если в 1980-х годах он был всего лишь незначительным торговым агентом, то к 2010 году стал даже более важным торговым контрагентом чем Соединенные Штаты Америки. Так же для Японии экономическая помощь Китаю была необходимой предпосылкой стимулирования японского экспорта и долгосрочных инвестиций, и, судя по исключительно быстрому росту хозяйственных связей в 1980–2000-х гг., эти издержки себя вполне оправдали. Всего через десять лет с начала действия программ сотрудничества уже слышны были китайские обвинения в адрес Японии в том, что она посредством официальной помощи развитию смогла достичь таких экономических преимуществ в Китае, каких не могла добиться посредством военной интервенции в 1930–1940-х гг. </w:t>
      </w:r>
    </w:p>
    <w:p w:rsidR="00517711" w:rsidRDefault="00517711">
      <w:pPr>
        <w:shd w:val="clear" w:color="auto" w:fill="FFFFFF"/>
        <w:spacing w:after="0" w:line="240" w:lineRule="auto"/>
        <w:ind w:firstLine="709"/>
        <w:contextualSpacing/>
        <w:jc w:val="both"/>
        <w:rPr>
          <w:rFonts w:ascii="Times New Roman" w:hAnsi="Times New Roman"/>
          <w:sz w:val="20"/>
          <w:szCs w:val="20"/>
        </w:rPr>
      </w:pPr>
    </w:p>
    <w:p w:rsidR="00517711" w:rsidRDefault="00F815BE">
      <w:pPr>
        <w:pStyle w:val="Default"/>
        <w:numPr>
          <w:ilvl w:val="0"/>
          <w:numId w:val="35"/>
        </w:numPr>
        <w:tabs>
          <w:tab w:val="left" w:pos="1134"/>
        </w:tabs>
        <w:ind w:left="0" w:firstLine="709"/>
        <w:jc w:val="both"/>
        <w:rPr>
          <w:rFonts w:cs="Calibri"/>
          <w:color w:val="auto"/>
          <w:sz w:val="20"/>
          <w:szCs w:val="20"/>
          <w:lang w:eastAsia="en-US"/>
        </w:rPr>
      </w:pPr>
      <w:r>
        <w:rPr>
          <w:rFonts w:cs="Calibri"/>
          <w:noProof/>
          <w:color w:val="auto"/>
          <w:sz w:val="20"/>
          <w:szCs w:val="20"/>
        </w:rPr>
        <mc:AlternateContent>
          <mc:Choice Requires="wps">
            <w:drawing>
              <wp:anchor distT="0" distB="0" distL="114300" distR="114300" simplePos="0" relativeHeight="251687936" behindDoc="0" locked="0" layoutInCell="1" allowOverlap="1">
                <wp:simplePos x="0" y="0"/>
                <wp:positionH relativeFrom="column">
                  <wp:posOffset>461008</wp:posOffset>
                </wp:positionH>
                <wp:positionV relativeFrom="paragraph">
                  <wp:posOffset>-1903</wp:posOffset>
                </wp:positionV>
                <wp:extent cx="2066923" cy="0"/>
                <wp:effectExtent l="0" t="0" r="9523" b="19048"/>
                <wp:wrapNone/>
                <wp:docPr id="98" name="Прямая со стрелкой 52"/>
                <wp:cNvGraphicFramePr/>
                <a:graphic xmlns:a="http://schemas.openxmlformats.org/drawingml/2006/main">
                  <a:graphicData uri="http://schemas.microsoft.com/office/word/2010/wordprocessingShape">
                    <wps:wsp>
                      <wps:cNvCnPr/>
                      <wps:spPr bwMode="auto">
                        <a:xfrm>
                          <a:off x="0" y="0"/>
                          <a:ext cx="2066925"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191C1D01" id="Прямая со стрелкой 52" o:spid="_x0000_s1026" type="#_x0000_t32" style="position:absolute;margin-left:36.3pt;margin-top:-.15pt;width:162.75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"/>
            </w:pict>
          </mc:Fallback>
        </mc:AlternateContent>
      </w:r>
      <w:r>
        <w:rPr>
          <w:rFonts w:cs="Calibri"/>
          <w:color w:val="auto"/>
          <w:sz w:val="20"/>
          <w:szCs w:val="20"/>
          <w:lang w:eastAsia="en-US"/>
        </w:rPr>
        <w:t xml:space="preserve">Время Востока [Электронный ресурс] // Институт стратегического анализа и прогноза (ИСАП). – 17 May, 2009. – Режим доступа: </w:t>
      </w:r>
      <w:hyperlink r:id="rId260" w:history="1">
        <w:r>
          <w:rPr>
            <w:rFonts w:cs="Calibri"/>
            <w:sz w:val="20"/>
            <w:szCs w:val="20"/>
            <w:lang w:eastAsia="en-US"/>
          </w:rPr>
          <w:t>http://www.easttime.ru</w:t>
        </w:r>
      </w:hyperlink>
      <w:r>
        <w:rPr>
          <w:rFonts w:cs="Calibri"/>
          <w:color w:val="auto"/>
          <w:sz w:val="20"/>
          <w:szCs w:val="20"/>
          <w:lang w:eastAsia="en-US"/>
        </w:rPr>
        <w:t xml:space="preserve"> (дата обращения: 05.06.2012).</w:t>
      </w:r>
    </w:p>
    <w:p w:rsidR="00517711" w:rsidRDefault="00F815BE">
      <w:pPr>
        <w:pStyle w:val="af4"/>
        <w:numPr>
          <w:ilvl w:val="0"/>
          <w:numId w:val="35"/>
        </w:numPr>
        <w:tabs>
          <w:tab w:val="left" w:pos="1134"/>
        </w:tabs>
        <w:spacing w:after="0" w:line="240" w:lineRule="auto"/>
        <w:ind w:left="0" w:firstLine="709"/>
        <w:jc w:val="both"/>
        <w:rPr>
          <w:rFonts w:ascii="Times New Roman" w:eastAsia="Calibri" w:hAnsi="Times New Roman"/>
          <w:sz w:val="20"/>
          <w:szCs w:val="20"/>
        </w:rPr>
      </w:pPr>
      <w:r>
        <w:rPr>
          <w:rFonts w:ascii="Times New Roman" w:eastAsia="Calibri" w:hAnsi="Times New Roman"/>
          <w:sz w:val="20"/>
          <w:szCs w:val="20"/>
        </w:rPr>
        <w:t>К. Идэ. Модернизация Китая и вклад Японии / Доклад в Институте Дальнего Востока РАН. – 15.03.2011.</w:t>
      </w:r>
    </w:p>
    <w:p w:rsidR="00517711" w:rsidRDefault="00F815BE">
      <w:pPr>
        <w:pStyle w:val="af4"/>
        <w:numPr>
          <w:ilvl w:val="0"/>
          <w:numId w:val="35"/>
        </w:numPr>
        <w:tabs>
          <w:tab w:val="left" w:pos="1134"/>
        </w:tabs>
        <w:spacing w:after="0" w:line="240" w:lineRule="auto"/>
        <w:ind w:left="0" w:firstLine="709"/>
        <w:jc w:val="both"/>
        <w:rPr>
          <w:rFonts w:ascii="Times New Roman" w:eastAsia="Calibri" w:hAnsi="Times New Roman"/>
          <w:sz w:val="20"/>
          <w:szCs w:val="20"/>
        </w:rPr>
      </w:pPr>
      <w:r>
        <w:rPr>
          <w:rFonts w:ascii="Times New Roman" w:eastAsia="Calibri" w:hAnsi="Times New Roman"/>
          <w:sz w:val="20"/>
          <w:szCs w:val="20"/>
        </w:rPr>
        <w:t>Михеев В. В. Китай и Япония на фоне глобальных тенденций // Мировая экономика и международные отношения. – 2007. – №4. – С. 50-60.</w:t>
      </w:r>
    </w:p>
    <w:p w:rsidR="00517711" w:rsidRDefault="00F815BE">
      <w:pPr>
        <w:pStyle w:val="af4"/>
        <w:numPr>
          <w:ilvl w:val="0"/>
          <w:numId w:val="35"/>
        </w:numPr>
        <w:shd w:val="clear" w:color="auto" w:fill="FFFFFF"/>
        <w:tabs>
          <w:tab w:val="left" w:pos="1134"/>
        </w:tabs>
        <w:spacing w:after="0" w:line="240" w:lineRule="auto"/>
        <w:ind w:left="0" w:firstLine="709"/>
        <w:jc w:val="both"/>
        <w:rPr>
          <w:rFonts w:ascii="Times New Roman" w:eastAsia="Calibri" w:hAnsi="Times New Roman"/>
          <w:sz w:val="20"/>
          <w:szCs w:val="20"/>
        </w:rPr>
      </w:pPr>
      <w:r>
        <w:rPr>
          <w:rFonts w:ascii="Times New Roman" w:eastAsia="Calibri" w:hAnsi="Times New Roman"/>
          <w:sz w:val="20"/>
          <w:szCs w:val="20"/>
        </w:rPr>
        <w:t xml:space="preserve">А. Сёмин // Сетевой журнал «Новое Восточное Обозрение». – 2011. – 06 апреля. </w:t>
      </w:r>
    </w:p>
    <w:p w:rsidR="00517711" w:rsidRDefault="00F815BE">
      <w:pPr>
        <w:pStyle w:val="af4"/>
        <w:numPr>
          <w:ilvl w:val="0"/>
          <w:numId w:val="35"/>
        </w:numPr>
        <w:tabs>
          <w:tab w:val="left" w:pos="1134"/>
        </w:tabs>
        <w:spacing w:after="0" w:line="240" w:lineRule="auto"/>
        <w:ind w:left="0" w:firstLine="709"/>
        <w:jc w:val="both"/>
        <w:rPr>
          <w:rFonts w:ascii="Times New Roman" w:eastAsia="Calibri" w:hAnsi="Times New Roman"/>
          <w:sz w:val="20"/>
          <w:szCs w:val="20"/>
        </w:rPr>
      </w:pPr>
      <w:r>
        <w:rPr>
          <w:rFonts w:ascii="Times New Roman" w:eastAsia="Calibri" w:hAnsi="Times New Roman"/>
          <w:sz w:val="20"/>
          <w:szCs w:val="20"/>
        </w:rPr>
        <w:t>Стрельцов Д. В. Официальная помощь развитию – важнейший фактор внешней политики Японии / под ред. Э. В. Молодяковой // «Внешняя политика Японии: история и современность». – М.: Восточная литература, 2008. – 319 с.</w:t>
      </w:r>
    </w:p>
    <w:p w:rsidR="00517711" w:rsidRDefault="00F815BE">
      <w:pPr>
        <w:numPr>
          <w:ilvl w:val="0"/>
          <w:numId w:val="35"/>
        </w:numPr>
        <w:shd w:val="clear" w:color="auto" w:fill="FFFFFF"/>
        <w:tabs>
          <w:tab w:val="left" w:pos="42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0"/>
          <w:szCs w:val="20"/>
        </w:rPr>
      </w:pPr>
      <w:r>
        <w:rPr>
          <w:rFonts w:ascii="Times New Roman" w:hAnsi="Times New Roman"/>
          <w:sz w:val="20"/>
          <w:szCs w:val="20"/>
        </w:rPr>
        <w:t>Asahi Evening News. – 25 October, 2000.</w:t>
      </w:r>
    </w:p>
    <w:p w:rsidR="00517711" w:rsidRDefault="00F815BE">
      <w:pPr>
        <w:numPr>
          <w:ilvl w:val="0"/>
          <w:numId w:val="35"/>
        </w:numPr>
        <w:shd w:val="clear" w:color="auto" w:fill="FFFFFF"/>
        <w:tabs>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Asahi Shinbun. – 15 November, 2000.</w:t>
      </w:r>
    </w:p>
    <w:p w:rsidR="00517711" w:rsidRDefault="00F815BE">
      <w:pPr>
        <w:numPr>
          <w:ilvl w:val="0"/>
          <w:numId w:val="35"/>
        </w:numPr>
        <w:tabs>
          <w:tab w:val="left" w:pos="1134"/>
        </w:tabs>
        <w:spacing w:after="0" w:line="240" w:lineRule="auto"/>
        <w:ind w:left="0" w:firstLine="709"/>
        <w:jc w:val="both"/>
        <w:rPr>
          <w:rFonts w:ascii="Times New Roman" w:hAnsi="Times New Roman"/>
          <w:sz w:val="20"/>
          <w:szCs w:val="20"/>
          <w:lang w:val="en-US"/>
        </w:rPr>
      </w:pPr>
      <w:r>
        <w:rPr>
          <w:rFonts w:ascii="Times New Roman" w:hAnsi="Times New Roman"/>
          <w:sz w:val="20"/>
          <w:szCs w:val="20"/>
          <w:lang w:val="en-US"/>
        </w:rPr>
        <w:t>Chinese – Japanese relations in the 21st century / ed. Soderberg Marie. – London and New York: Routledge, 2002. – 224 p.</w:t>
      </w:r>
    </w:p>
    <w:p w:rsidR="00517711" w:rsidRDefault="00F815BE">
      <w:pPr>
        <w:numPr>
          <w:ilvl w:val="0"/>
          <w:numId w:val="35"/>
        </w:numPr>
        <w:shd w:val="clear" w:color="auto" w:fill="FFFFFF"/>
        <w:tabs>
          <w:tab w:val="left" w:pos="42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0"/>
          <w:szCs w:val="20"/>
          <w:lang w:val="en-US"/>
        </w:rPr>
      </w:pPr>
      <w:r>
        <w:rPr>
          <w:rFonts w:ascii="Times New Roman" w:hAnsi="Times New Roman"/>
          <w:sz w:val="20"/>
          <w:szCs w:val="20"/>
          <w:lang w:val="en-US"/>
        </w:rPr>
        <w:t>Drifte R. Japan’s foreign policy in the 1990s: From economic superpower to what power? – Basingstoke: Macmillan Press, 1996. – 209 p.</w:t>
      </w:r>
    </w:p>
    <w:p w:rsidR="00517711" w:rsidRDefault="00F815BE">
      <w:pPr>
        <w:numPr>
          <w:ilvl w:val="0"/>
          <w:numId w:val="35"/>
        </w:numPr>
        <w:tabs>
          <w:tab w:val="left" w:pos="1134"/>
        </w:tabs>
        <w:spacing w:after="0" w:line="240" w:lineRule="auto"/>
        <w:ind w:left="0" w:firstLine="709"/>
        <w:jc w:val="both"/>
        <w:rPr>
          <w:rFonts w:ascii="Times New Roman" w:hAnsi="Times New Roman"/>
          <w:sz w:val="20"/>
          <w:szCs w:val="20"/>
          <w:lang w:val="en-US"/>
        </w:rPr>
      </w:pPr>
      <w:r>
        <w:rPr>
          <w:rFonts w:ascii="Times New Roman" w:hAnsi="Times New Roman"/>
          <w:sz w:val="20"/>
          <w:szCs w:val="20"/>
          <w:lang w:val="en-US"/>
        </w:rPr>
        <w:t>Drifte R. The ending of Japan’s ODA loan programs to China – all is well that ends well? // Asia-Pacific Review. – 2006. – Vol. 13. – №1. – Pp. 94-117.</w:t>
      </w:r>
    </w:p>
    <w:p w:rsidR="00517711" w:rsidRDefault="00F815BE">
      <w:pPr>
        <w:pStyle w:val="af4"/>
        <w:numPr>
          <w:ilvl w:val="0"/>
          <w:numId w:val="35"/>
        </w:numPr>
        <w:tabs>
          <w:tab w:val="left" w:pos="1134"/>
        </w:tabs>
        <w:spacing w:after="0" w:line="240" w:lineRule="auto"/>
        <w:ind w:left="0" w:firstLine="709"/>
        <w:jc w:val="both"/>
        <w:rPr>
          <w:rFonts w:ascii="Times New Roman" w:eastAsia="Calibri" w:hAnsi="Times New Roman"/>
          <w:sz w:val="20"/>
          <w:szCs w:val="20"/>
          <w:lang w:val="en-US"/>
        </w:rPr>
      </w:pPr>
      <w:r>
        <w:rPr>
          <w:rFonts w:ascii="Times New Roman" w:eastAsia="Calibri" w:hAnsi="Times New Roman"/>
          <w:sz w:val="20"/>
          <w:szCs w:val="20"/>
          <w:lang w:val="en-US"/>
        </w:rPr>
        <w:t>Japan’s international relations: Politics, economics and security / eds. Hook Glenn et. Al. – London and New York: Routledge, 2005. – 576 p.</w:t>
      </w:r>
    </w:p>
    <w:p w:rsidR="00517711" w:rsidRDefault="00F815BE">
      <w:pPr>
        <w:pStyle w:val="af4"/>
        <w:numPr>
          <w:ilvl w:val="0"/>
          <w:numId w:val="35"/>
        </w:numPr>
        <w:tabs>
          <w:tab w:val="left" w:pos="1134"/>
        </w:tabs>
        <w:spacing w:after="0" w:line="240" w:lineRule="auto"/>
        <w:ind w:left="0" w:firstLine="709"/>
        <w:jc w:val="both"/>
        <w:rPr>
          <w:rFonts w:ascii="Times New Roman" w:eastAsia="Calibri" w:hAnsi="Times New Roman"/>
          <w:sz w:val="20"/>
          <w:szCs w:val="20"/>
          <w:lang w:val="en-US"/>
        </w:rPr>
      </w:pPr>
      <w:r>
        <w:rPr>
          <w:rFonts w:ascii="Times New Roman" w:eastAsia="Calibri" w:hAnsi="Times New Roman"/>
          <w:sz w:val="20"/>
          <w:szCs w:val="20"/>
          <w:lang w:val="en-US"/>
        </w:rPr>
        <w:t>Katada S. Japan’s two-track approach: The forces behindcompeting trends // Asian Survey. – 2002. – Vol. 42. – № 2. – Pp. 320-342.</w:t>
      </w:r>
    </w:p>
    <w:p w:rsidR="00517711" w:rsidRDefault="00F815BE">
      <w:pPr>
        <w:pStyle w:val="af4"/>
        <w:numPr>
          <w:ilvl w:val="0"/>
          <w:numId w:val="35"/>
        </w:numPr>
        <w:tabs>
          <w:tab w:val="left" w:pos="851"/>
          <w:tab w:val="left" w:pos="1134"/>
        </w:tabs>
        <w:spacing w:after="0" w:line="240" w:lineRule="auto"/>
        <w:ind w:left="0" w:firstLine="709"/>
        <w:jc w:val="both"/>
        <w:rPr>
          <w:rFonts w:ascii="Times New Roman" w:eastAsia="Calibri" w:hAnsi="Times New Roman"/>
          <w:sz w:val="20"/>
          <w:szCs w:val="20"/>
        </w:rPr>
      </w:pPr>
      <w:r>
        <w:rPr>
          <w:rFonts w:ascii="Times New Roman" w:eastAsia="Calibri" w:hAnsi="Times New Roman"/>
          <w:sz w:val="20"/>
          <w:szCs w:val="20"/>
          <w:lang w:val="en-US"/>
        </w:rPr>
        <w:t xml:space="preserve">Katada S. Old visions and new actors in foreign aid politics: Explaining changes in Japanese ODA to China // Japanese aid and construction of global development: Inescapable solutions / eds. </w:t>
      </w:r>
      <w:r>
        <w:rPr>
          <w:rFonts w:ascii="Times New Roman" w:eastAsia="Calibri" w:hAnsi="Times New Roman"/>
          <w:sz w:val="20"/>
          <w:szCs w:val="20"/>
        </w:rPr>
        <w:t>Leheny, David and Warren, Key, London: Routledge, 2012. – 304 p.</w:t>
      </w:r>
    </w:p>
    <w:p w:rsidR="00517711" w:rsidRDefault="00F815BE">
      <w:pPr>
        <w:numPr>
          <w:ilvl w:val="0"/>
          <w:numId w:val="35"/>
        </w:numPr>
        <w:shd w:val="clear" w:color="auto" w:fill="FFFFFF"/>
        <w:tabs>
          <w:tab w:val="left" w:pos="1134"/>
        </w:tabs>
        <w:spacing w:after="0" w:line="240" w:lineRule="auto"/>
        <w:ind w:left="0" w:firstLine="709"/>
        <w:jc w:val="both"/>
        <w:rPr>
          <w:rFonts w:ascii="Times New Roman" w:hAnsi="Times New Roman"/>
          <w:sz w:val="20"/>
          <w:szCs w:val="20"/>
          <w:lang w:val="en-US"/>
        </w:rPr>
      </w:pPr>
      <w:r>
        <w:rPr>
          <w:rFonts w:ascii="Times New Roman" w:hAnsi="Times New Roman"/>
          <w:sz w:val="20"/>
          <w:szCs w:val="20"/>
          <w:lang w:val="en-US"/>
        </w:rPr>
        <w:t>Kurusu K. Japan as an active agent for global norms; The political dynamism behind the acceptance and promotion of human security // Asia-Pacific Review. – 2011. – Vol. 18. – №2. – Pp. 115-137.</w:t>
      </w:r>
    </w:p>
    <w:p w:rsidR="00517711" w:rsidRDefault="00F815BE">
      <w:pPr>
        <w:pStyle w:val="af4"/>
        <w:numPr>
          <w:ilvl w:val="0"/>
          <w:numId w:val="35"/>
        </w:numPr>
        <w:tabs>
          <w:tab w:val="left" w:pos="1134"/>
        </w:tabs>
        <w:spacing w:after="0" w:line="240" w:lineRule="auto"/>
        <w:ind w:left="0" w:firstLine="709"/>
        <w:jc w:val="both"/>
        <w:rPr>
          <w:rFonts w:ascii="Times New Roman" w:eastAsia="Calibri" w:hAnsi="Times New Roman"/>
          <w:sz w:val="20"/>
          <w:szCs w:val="20"/>
          <w:lang w:val="en-US"/>
        </w:rPr>
      </w:pPr>
      <w:r>
        <w:rPr>
          <w:rFonts w:ascii="Times New Roman" w:eastAsia="Calibri" w:hAnsi="Times New Roman"/>
          <w:sz w:val="20"/>
          <w:szCs w:val="20"/>
          <w:lang w:val="en-US"/>
        </w:rPr>
        <w:t>Naisbitt J. Megatrends Asia: The eight Asian megatrends that are changing the world. – London: Nicholas Brealy Publishing, 1995. – 271 p.</w:t>
      </w:r>
    </w:p>
    <w:p w:rsidR="00517711" w:rsidRDefault="00F815BE">
      <w:pPr>
        <w:pStyle w:val="af4"/>
        <w:numPr>
          <w:ilvl w:val="0"/>
          <w:numId w:val="35"/>
        </w:numPr>
        <w:tabs>
          <w:tab w:val="left" w:pos="1134"/>
        </w:tabs>
        <w:spacing w:after="0" w:line="240" w:lineRule="auto"/>
        <w:ind w:left="0" w:firstLine="709"/>
        <w:jc w:val="both"/>
        <w:rPr>
          <w:rFonts w:ascii="Times New Roman" w:eastAsia="Calibri" w:hAnsi="Times New Roman"/>
          <w:sz w:val="20"/>
          <w:szCs w:val="20"/>
          <w:lang w:val="en-US"/>
        </w:rPr>
      </w:pPr>
      <w:r>
        <w:rPr>
          <w:rFonts w:ascii="Times New Roman" w:eastAsia="Calibri" w:hAnsi="Times New Roman"/>
          <w:sz w:val="20"/>
          <w:szCs w:val="20"/>
          <w:lang w:val="en-US"/>
        </w:rPr>
        <w:t>Rozman G. China’s changing images of Japan, 1989 – 2001: The struggle to balance partnership and rivalry // International Relations of the Asia-Pacific, 2002. – № 1. – Pp. 95-129.</w:t>
      </w:r>
    </w:p>
    <w:p w:rsidR="00517711" w:rsidRDefault="00F815BE">
      <w:pPr>
        <w:numPr>
          <w:ilvl w:val="0"/>
          <w:numId w:val="35"/>
        </w:numPr>
        <w:shd w:val="clear" w:color="auto" w:fill="FFFFFF"/>
        <w:tabs>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The Epoch Times. – 3 March, 2011.</w:t>
      </w:r>
    </w:p>
    <w:p w:rsidR="00517711" w:rsidRDefault="00F815BE">
      <w:pPr>
        <w:numPr>
          <w:ilvl w:val="0"/>
          <w:numId w:val="35"/>
        </w:numPr>
        <w:shd w:val="clear" w:color="auto" w:fill="FFFFFF"/>
        <w:tabs>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The Japan Times. – 19 January, 2002.</w:t>
      </w:r>
    </w:p>
    <w:p w:rsidR="00517711" w:rsidRDefault="00F815BE">
      <w:pPr>
        <w:numPr>
          <w:ilvl w:val="0"/>
          <w:numId w:val="35"/>
        </w:numPr>
        <w:shd w:val="clear" w:color="auto" w:fill="FFFFFF"/>
        <w:tabs>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lastRenderedPageBreak/>
        <w:t>The Japan Times. – 29 November, 2004.</w:t>
      </w:r>
    </w:p>
    <w:p w:rsidR="00517711" w:rsidRDefault="00F815BE">
      <w:pPr>
        <w:pStyle w:val="af4"/>
        <w:numPr>
          <w:ilvl w:val="0"/>
          <w:numId w:val="35"/>
        </w:numPr>
        <w:tabs>
          <w:tab w:val="left" w:pos="1134"/>
        </w:tabs>
        <w:spacing w:after="0" w:line="240" w:lineRule="auto"/>
        <w:ind w:left="0" w:firstLine="709"/>
        <w:jc w:val="both"/>
        <w:rPr>
          <w:rFonts w:ascii="Times New Roman" w:eastAsia="Calibri" w:hAnsi="Times New Roman"/>
          <w:sz w:val="20"/>
          <w:szCs w:val="20"/>
        </w:rPr>
      </w:pPr>
      <w:r>
        <w:rPr>
          <w:rFonts w:ascii="Times New Roman" w:eastAsia="Calibri" w:hAnsi="Times New Roman"/>
          <w:sz w:val="20"/>
          <w:szCs w:val="20"/>
        </w:rPr>
        <w:t>The Japan Times. – 30 May, 2005.</w:t>
      </w:r>
    </w:p>
    <w:p w:rsidR="00517711" w:rsidRDefault="00F815BE">
      <w:pPr>
        <w:numPr>
          <w:ilvl w:val="0"/>
          <w:numId w:val="35"/>
        </w:numPr>
        <w:shd w:val="clear" w:color="auto" w:fill="FFFFFF"/>
        <w:tabs>
          <w:tab w:val="left" w:pos="1134"/>
        </w:tabs>
        <w:spacing w:after="0" w:line="240" w:lineRule="auto"/>
        <w:ind w:left="0" w:firstLine="709"/>
        <w:jc w:val="both"/>
        <w:rPr>
          <w:rFonts w:ascii="Times New Roman" w:hAnsi="Times New Roman"/>
          <w:sz w:val="20"/>
          <w:szCs w:val="20"/>
          <w:lang w:val="en-US"/>
        </w:rPr>
      </w:pPr>
      <w:r>
        <w:rPr>
          <w:rFonts w:ascii="Times New Roman" w:hAnsi="Times New Roman"/>
          <w:sz w:val="20"/>
          <w:szCs w:val="20"/>
          <w:lang w:val="en-US"/>
        </w:rPr>
        <w:t>Tong X. Japan's ODA and the Peoples' Republic of China: Strategic aid?: presented at the international conference on Japan’s ODA to East Asian nation (Bangkok, 21 – 22 March). – 1991.</w:t>
      </w:r>
    </w:p>
    <w:p w:rsidR="00517711" w:rsidRDefault="00F815BE">
      <w:pPr>
        <w:numPr>
          <w:ilvl w:val="0"/>
          <w:numId w:val="35"/>
        </w:numPr>
        <w:shd w:val="clear" w:color="auto" w:fill="FFFFFF"/>
        <w:tabs>
          <w:tab w:val="left" w:pos="1134"/>
        </w:tabs>
        <w:spacing w:after="0" w:line="240" w:lineRule="auto"/>
        <w:ind w:left="0" w:firstLine="709"/>
        <w:jc w:val="both"/>
        <w:rPr>
          <w:rFonts w:ascii="Times New Roman" w:hAnsi="Times New Roman"/>
          <w:sz w:val="20"/>
          <w:szCs w:val="20"/>
          <w:lang w:val="en-US"/>
        </w:rPr>
      </w:pPr>
      <w:r>
        <w:rPr>
          <w:rFonts w:ascii="Times New Roman" w:hAnsi="Times New Roman"/>
          <w:sz w:val="20"/>
          <w:szCs w:val="20"/>
          <w:lang w:val="en-US"/>
        </w:rPr>
        <w:t>Yahuda M. The international politics of the Asia – Pacific, London and New York: Routledge, 2011. – 368 p.</w:t>
      </w:r>
    </w:p>
    <w:p w:rsidR="00517711" w:rsidRDefault="00517711">
      <w:pPr>
        <w:pStyle w:val="af6"/>
        <w:widowControl w:val="0"/>
        <w:shd w:val="clear" w:color="auto" w:fill="FFFFFF"/>
        <w:spacing w:after="0"/>
        <w:contextualSpacing/>
        <w:jc w:val="both"/>
        <w:rPr>
          <w:bCs/>
          <w:color w:val="000000"/>
          <w:sz w:val="20"/>
          <w:szCs w:val="20"/>
          <w:lang w:val="en-US"/>
        </w:rPr>
      </w:pPr>
    </w:p>
    <w:p w:rsidR="00517711" w:rsidRDefault="00517711">
      <w:pPr>
        <w:pStyle w:val="af6"/>
        <w:widowControl w:val="0"/>
        <w:shd w:val="clear" w:color="auto" w:fill="FFFFFF"/>
        <w:spacing w:after="0"/>
        <w:jc w:val="both"/>
        <w:outlineLvl w:val="0"/>
        <w:rPr>
          <w:bCs/>
          <w:color w:val="1E1E1E"/>
          <w:sz w:val="20"/>
          <w:szCs w:val="20"/>
          <w:lang w:val="en-US"/>
        </w:rPr>
      </w:pPr>
    </w:p>
    <w:p w:rsidR="00517711" w:rsidRDefault="00517711">
      <w:pPr>
        <w:spacing w:after="0" w:line="240" w:lineRule="auto"/>
        <w:jc w:val="both"/>
        <w:rPr>
          <w:rFonts w:ascii="Times New Roman" w:hAnsi="Times New Roman"/>
          <w:sz w:val="20"/>
          <w:szCs w:val="20"/>
          <w:lang w:val="en-US"/>
        </w:rPr>
      </w:pPr>
    </w:p>
    <w:p w:rsidR="00517711" w:rsidRDefault="00517711">
      <w:pPr>
        <w:spacing w:after="0" w:line="240" w:lineRule="auto"/>
        <w:ind w:firstLine="709"/>
        <w:jc w:val="both"/>
        <w:rPr>
          <w:rFonts w:ascii="Times New Roman" w:hAnsi="Times New Roman"/>
          <w:sz w:val="20"/>
          <w:szCs w:val="20"/>
          <w:lang w:val="en-US"/>
        </w:rPr>
      </w:pPr>
    </w:p>
    <w:p w:rsidR="00517711" w:rsidRDefault="00517711">
      <w:pPr>
        <w:spacing w:after="0" w:line="240" w:lineRule="auto"/>
        <w:ind w:firstLine="709"/>
        <w:jc w:val="both"/>
        <w:rPr>
          <w:rFonts w:ascii="Times New Roman" w:hAnsi="Times New Roman"/>
          <w:sz w:val="24"/>
          <w:szCs w:val="24"/>
          <w:lang w:val="en-US"/>
        </w:rPr>
      </w:pPr>
    </w:p>
    <w:p w:rsidR="00517711" w:rsidRDefault="00517711">
      <w:pPr>
        <w:rPr>
          <w:rFonts w:ascii="Book Antiqua" w:hAnsi="Book Antiqua"/>
          <w:b/>
          <w:bCs/>
          <w:sz w:val="24"/>
          <w:szCs w:val="20"/>
          <w:lang w:val="en-US" w:eastAsia="ru-RU"/>
        </w:rPr>
      </w:pPr>
    </w:p>
    <w:p w:rsidR="00517711" w:rsidRDefault="00F815BE">
      <w:pPr>
        <w:keepNext/>
        <w:pageBreakBefore/>
        <w:spacing w:after="240" w:line="240" w:lineRule="auto"/>
        <w:jc w:val="center"/>
        <w:outlineLvl w:val="0"/>
        <w:rPr>
          <w:rFonts w:ascii="Book Antiqua" w:hAnsi="Book Antiqua"/>
          <w:b/>
          <w:bCs/>
          <w:caps/>
          <w:sz w:val="24"/>
          <w:szCs w:val="20"/>
          <w:lang w:eastAsia="ru-RU"/>
        </w:rPr>
      </w:pPr>
      <w:r>
        <w:rPr>
          <w:rFonts w:ascii="Book Antiqua" w:hAnsi="Book Antiqua"/>
          <w:b/>
          <w:bCs/>
          <w:sz w:val="24"/>
          <w:szCs w:val="20"/>
          <w:lang w:eastAsia="ru-RU"/>
        </w:rPr>
        <w:lastRenderedPageBreak/>
        <w:t>Секция</w:t>
      </w:r>
      <w:r>
        <w:rPr>
          <w:rFonts w:ascii="Book Antiqua" w:hAnsi="Book Antiqua"/>
          <w:b/>
          <w:bCs/>
          <w:caps/>
          <w:sz w:val="24"/>
          <w:szCs w:val="20"/>
          <w:lang w:eastAsia="ru-RU"/>
        </w:rPr>
        <w:t>. Перспективы развития сервисной деятельности</w:t>
      </w:r>
    </w:p>
    <w:p w:rsidR="00517711" w:rsidRDefault="00F815BE">
      <w:pPr>
        <w:keepNext/>
        <w:spacing w:before="120" w:after="120" w:line="240" w:lineRule="auto"/>
        <w:outlineLvl w:val="3"/>
        <w:rPr>
          <w:rFonts w:ascii="Times New Roman" w:eastAsia="Calibri" w:hAnsi="Times New Roman" w:cs="Times New Roman"/>
          <w:b/>
          <w:bCs/>
          <w:sz w:val="20"/>
          <w:szCs w:val="28"/>
        </w:rPr>
      </w:pPr>
      <w:r>
        <w:rPr>
          <w:rFonts w:ascii="Times New Roman" w:eastAsia="Calibri" w:hAnsi="Times New Roman" w:cs="Times New Roman"/>
          <w:b/>
          <w:bCs/>
          <w:sz w:val="20"/>
          <w:szCs w:val="28"/>
        </w:rPr>
        <w:t>Рубрика: Перспективы развития сервисной деятельности</w:t>
      </w:r>
    </w:p>
    <w:p w:rsidR="00517711" w:rsidRDefault="00F815BE">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УДК: 656.7: 377.35</w:t>
      </w:r>
    </w:p>
    <w:p w:rsidR="00517711" w:rsidRDefault="00F815BE">
      <w:pPr>
        <w:keepNext/>
        <w:spacing w:before="240" w:after="240" w:line="240" w:lineRule="auto"/>
        <w:jc w:val="center"/>
        <w:outlineLvl w:val="0"/>
        <w:rPr>
          <w:rFonts w:ascii="Book Antiqua" w:hAnsi="Book Antiqua" w:cs="Times New Roman"/>
          <w:b/>
          <w:bCs/>
          <w:caps/>
          <w:sz w:val="26"/>
          <w:szCs w:val="26"/>
        </w:rPr>
      </w:pPr>
      <w:r>
        <w:rPr>
          <w:rFonts w:ascii="Book Antiqua" w:hAnsi="Book Antiqua" w:cs="Times New Roman"/>
          <w:b/>
          <w:bCs/>
          <w:caps/>
          <w:sz w:val="26"/>
          <w:szCs w:val="26"/>
        </w:rPr>
        <w:t>Реализация системного подхода при обеспечении качества образовательного процесса авиационного учебного центра</w:t>
      </w:r>
    </w:p>
    <w:p w:rsidR="00517711" w:rsidRDefault="00F815BE">
      <w:pPr>
        <w:spacing w:after="0"/>
        <w:ind w:firstLine="709"/>
        <w:jc w:val="center"/>
        <w:rPr>
          <w:rFonts w:ascii="Arial" w:eastAsia="Calibri" w:hAnsi="Arial" w:cs="Times New Roman"/>
          <w:b/>
          <w:bCs/>
          <w:sz w:val="24"/>
          <w:szCs w:val="20"/>
          <w:lang w:eastAsia="ru-RU"/>
        </w:rPr>
      </w:pPr>
      <w:r>
        <w:rPr>
          <w:rFonts w:ascii="Arial" w:eastAsia="Calibri" w:hAnsi="Arial" w:cs="Times New Roman"/>
          <w:b/>
          <w:bCs/>
          <w:sz w:val="24"/>
          <w:szCs w:val="20"/>
          <w:lang w:eastAsia="ru-RU"/>
        </w:rPr>
        <w:t>Большакова Юлия Алексеевна</w:t>
      </w:r>
    </w:p>
    <w:p w:rsidR="00517711" w:rsidRDefault="00F815BE">
      <w:pPr>
        <w:spacing w:after="0"/>
        <w:ind w:firstLine="709"/>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бакалавр 4 курса, кафедра дизайна и технологий</w:t>
      </w:r>
    </w:p>
    <w:p w:rsidR="00517711" w:rsidRDefault="00517711">
      <w:pPr>
        <w:spacing w:after="0"/>
        <w:ind w:firstLine="709"/>
        <w:jc w:val="center"/>
        <w:rPr>
          <w:rFonts w:ascii="Arial" w:eastAsia="Calibri" w:hAnsi="Arial" w:cs="Times New Roman"/>
          <w:bCs/>
          <w:sz w:val="24"/>
          <w:szCs w:val="20"/>
          <w:lang w:eastAsia="ru-RU"/>
        </w:rPr>
      </w:pPr>
    </w:p>
    <w:p w:rsidR="00517711" w:rsidRDefault="00F815BE">
      <w:pPr>
        <w:spacing w:after="0"/>
        <w:ind w:firstLine="709"/>
        <w:jc w:val="center"/>
        <w:rPr>
          <w:rFonts w:ascii="Arial" w:eastAsia="Calibri" w:hAnsi="Arial" w:cs="Times New Roman"/>
          <w:b/>
          <w:bCs/>
          <w:sz w:val="24"/>
          <w:szCs w:val="20"/>
          <w:lang w:eastAsia="ru-RU"/>
        </w:rPr>
      </w:pPr>
      <w:r>
        <w:rPr>
          <w:rFonts w:ascii="Arial" w:eastAsia="Calibri" w:hAnsi="Arial" w:cs="Times New Roman"/>
          <w:b/>
          <w:bCs/>
          <w:sz w:val="24"/>
          <w:szCs w:val="20"/>
          <w:lang w:eastAsia="ru-RU"/>
        </w:rPr>
        <w:t>Шеромова Ирина Александровна</w:t>
      </w:r>
    </w:p>
    <w:p w:rsidR="00517711" w:rsidRDefault="00F815BE">
      <w:pPr>
        <w:spacing w:after="0"/>
        <w:ind w:firstLine="709"/>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Доктор технических наук, профессор, кафедра дизайна и технологий</w:t>
      </w:r>
    </w:p>
    <w:p w:rsidR="00517711" w:rsidRDefault="00F815BE">
      <w:pPr>
        <w:spacing w:before="240"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Владивостокский государственный университет экономики и сервиса</w:t>
      </w: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Россия, Владивосток</w:t>
      </w:r>
    </w:p>
    <w:p w:rsidR="00517711" w:rsidRDefault="00517711">
      <w:pPr>
        <w:spacing w:after="0" w:line="240" w:lineRule="auto"/>
        <w:jc w:val="center"/>
        <w:rPr>
          <w:rFonts w:ascii="Times New Roman" w:eastAsia="Calibri" w:hAnsi="Times New Roman" w:cs="Times New Roman"/>
          <w:i/>
          <w:sz w:val="21"/>
          <w:szCs w:val="21"/>
        </w:rPr>
      </w:pPr>
    </w:p>
    <w:p w:rsidR="00517711" w:rsidRDefault="00F815BE">
      <w:pPr>
        <w:spacing w:after="0"/>
        <w:ind w:firstLine="709"/>
        <w:jc w:val="center"/>
        <w:rPr>
          <w:rFonts w:ascii="Times New Roman" w:hAnsi="Times New Roman" w:cs="Times New Roman"/>
          <w:sz w:val="20"/>
          <w:szCs w:val="20"/>
        </w:rPr>
      </w:pPr>
      <w:r>
        <w:rPr>
          <w:rFonts w:ascii="Times New Roman" w:hAnsi="Times New Roman" w:cs="Times New Roman"/>
          <w:sz w:val="20"/>
          <w:szCs w:val="20"/>
          <w:lang w:val="en-US"/>
        </w:rPr>
        <w:t>E</w:t>
      </w:r>
      <w:r>
        <w:rPr>
          <w:rFonts w:ascii="Times New Roman" w:hAnsi="Times New Roman" w:cs="Times New Roman"/>
          <w:sz w:val="20"/>
          <w:szCs w:val="20"/>
        </w:rPr>
        <w:t>-</w:t>
      </w:r>
      <w:r>
        <w:rPr>
          <w:rFonts w:ascii="Times New Roman" w:hAnsi="Times New Roman" w:cs="Times New Roman"/>
          <w:sz w:val="20"/>
          <w:szCs w:val="20"/>
          <w:lang w:val="en-US"/>
        </w:rPr>
        <w:t>mail</w:t>
      </w:r>
      <w:r>
        <w:rPr>
          <w:rFonts w:ascii="Times New Roman" w:hAnsi="Times New Roman" w:cs="Times New Roman"/>
          <w:sz w:val="20"/>
          <w:szCs w:val="20"/>
        </w:rPr>
        <w:t xml:space="preserve">: </w:t>
      </w:r>
      <w:r>
        <w:rPr>
          <w:rFonts w:ascii="Times New Roman" w:hAnsi="Times New Roman" w:cs="Times New Roman"/>
          <w:sz w:val="20"/>
          <w:szCs w:val="20"/>
          <w:lang w:val="en-US"/>
        </w:rPr>
        <w:t>Julia</w:t>
      </w:r>
      <w:r>
        <w:rPr>
          <w:rFonts w:ascii="Times New Roman" w:hAnsi="Times New Roman" w:cs="Times New Roman"/>
          <w:sz w:val="20"/>
          <w:szCs w:val="20"/>
        </w:rPr>
        <w:t>18.11@</w:t>
      </w:r>
      <w:r>
        <w:rPr>
          <w:rFonts w:ascii="Times New Roman" w:hAnsi="Times New Roman" w:cs="Times New Roman"/>
          <w:sz w:val="20"/>
          <w:szCs w:val="20"/>
          <w:lang w:val="en-US"/>
        </w:rPr>
        <w:t>mail</w:t>
      </w:r>
      <w:r>
        <w:rPr>
          <w:rFonts w:ascii="Times New Roman" w:hAnsi="Times New Roman" w:cs="Times New Roman"/>
          <w:sz w:val="20"/>
          <w:szCs w:val="20"/>
        </w:rPr>
        <w:t>.</w:t>
      </w:r>
      <w:r>
        <w:rPr>
          <w:rFonts w:ascii="Times New Roman" w:hAnsi="Times New Roman" w:cs="Times New Roman"/>
          <w:sz w:val="20"/>
          <w:szCs w:val="20"/>
          <w:lang w:val="en-US"/>
        </w:rPr>
        <w:t>ru</w:t>
      </w:r>
      <w:r>
        <w:rPr>
          <w:rFonts w:ascii="Times New Roman" w:hAnsi="Times New Roman" w:cs="Times New Roman"/>
          <w:sz w:val="20"/>
          <w:szCs w:val="20"/>
        </w:rPr>
        <w:t>; тел: 89147355111</w:t>
      </w:r>
    </w:p>
    <w:p w:rsidR="00517711" w:rsidRDefault="00F815BE">
      <w:pPr>
        <w:spacing w:after="0"/>
        <w:ind w:firstLine="709"/>
        <w:jc w:val="center"/>
        <w:rPr>
          <w:rFonts w:ascii="Times New Roman" w:hAnsi="Times New Roman" w:cs="Times New Roman"/>
          <w:sz w:val="20"/>
          <w:szCs w:val="20"/>
        </w:rPr>
      </w:pPr>
      <w:r>
        <w:rPr>
          <w:rFonts w:ascii="Times New Roman" w:hAnsi="Times New Roman" w:cs="Times New Roman"/>
          <w:sz w:val="20"/>
          <w:szCs w:val="20"/>
        </w:rPr>
        <w:t>ул. Гоголя, 41, г. Владивосток, Приморский край, Россия, 690014</w:t>
      </w:r>
    </w:p>
    <w:p w:rsidR="00517711" w:rsidRDefault="00517711">
      <w:pPr>
        <w:spacing w:after="0" w:line="240" w:lineRule="auto"/>
        <w:ind w:firstLine="709"/>
        <w:jc w:val="both"/>
        <w:rPr>
          <w:rFonts w:ascii="Times New Roman" w:hAnsi="Times New Roman" w:cs="Times New Roman"/>
          <w:sz w:val="24"/>
          <w:szCs w:val="24"/>
        </w:rPr>
      </w:pPr>
    </w:p>
    <w:p w:rsidR="00517711" w:rsidRDefault="00F815BE">
      <w:pPr>
        <w:spacing w:after="0" w:line="240" w:lineRule="auto"/>
        <w:ind w:firstLine="709"/>
        <w:jc w:val="both"/>
        <w:rPr>
          <w:rFonts w:ascii="Times New Roman" w:hAnsi="Times New Roman" w:cs="Times New Roman"/>
          <w:i/>
          <w:shd w:val="clear" w:color="auto" w:fill="FFFFFF"/>
        </w:rPr>
      </w:pPr>
      <w:r>
        <w:rPr>
          <w:rFonts w:ascii="Times New Roman" w:hAnsi="Times New Roman" w:cs="Times New Roman"/>
          <w:i/>
        </w:rPr>
        <w:t>В условиях экономических преобразований постоянно изменяются потребности в определённых профессиях и специальностях на рынке труда. В связи с этим, система реализации определенного подхода к организации профессионального образования должна стремительно реагировать на эти изменения. Также, с изменением уровня развития общества и социальных условий к качеству образования предъявляются все новые и новые требования, особенно к сложным и специфическим организованным отраслям деятельности. Гражданская авиация России является сложной, широко разветвленной системой, состоящей из предприятий-авиаперевозчиков, деятельность которых требует наличия высококвалифицированных авиаспециалистов и авиаперсонала, профессиональная подготовка которых должна соответствовать требованиям международного уровня. Именно поэтому эта специфическая сфера требует определенного внимания и разработки эффективной программы образования, с целью подготовки квалифицированного авиаперсонала.</w:t>
      </w:r>
    </w:p>
    <w:p w:rsidR="00517711" w:rsidRDefault="00F815BE">
      <w:pPr>
        <w:spacing w:after="0" w:line="240" w:lineRule="auto"/>
        <w:ind w:firstLine="709"/>
        <w:jc w:val="both"/>
        <w:rPr>
          <w:rFonts w:ascii="Times New Roman" w:hAnsi="Times New Roman" w:cs="Times New Roman"/>
          <w:i/>
        </w:rPr>
      </w:pPr>
      <w:r>
        <w:rPr>
          <w:rFonts w:ascii="Times New Roman" w:hAnsi="Times New Roman" w:cs="Times New Roman"/>
          <w:b/>
          <w:i/>
        </w:rPr>
        <w:t>Ключевые слова:</w:t>
      </w:r>
      <w:r>
        <w:rPr>
          <w:rFonts w:ascii="Times New Roman" w:hAnsi="Times New Roman" w:cs="Times New Roman"/>
          <w:i/>
        </w:rPr>
        <w:t xml:space="preserve"> Авиационные учебные центры, особенности образовательного процесса, качество образования, системный подход.</w:t>
      </w:r>
    </w:p>
    <w:p w:rsidR="00517711" w:rsidRDefault="00F815BE">
      <w:pPr>
        <w:keepNext/>
        <w:spacing w:before="240" w:after="240" w:line="240" w:lineRule="auto"/>
        <w:jc w:val="center"/>
        <w:outlineLvl w:val="0"/>
        <w:rPr>
          <w:rFonts w:ascii="Book Antiqua" w:hAnsi="Book Antiqua" w:cs="Times New Roman"/>
          <w:b/>
          <w:bCs/>
          <w:caps/>
          <w:sz w:val="26"/>
          <w:szCs w:val="26"/>
          <w:lang w:val="en-US"/>
        </w:rPr>
      </w:pPr>
      <w:r>
        <w:rPr>
          <w:rFonts w:ascii="Book Antiqua" w:hAnsi="Book Antiqua" w:cs="Times New Roman"/>
          <w:b/>
          <w:bCs/>
          <w:caps/>
          <w:sz w:val="26"/>
          <w:szCs w:val="26"/>
          <w:lang w:val="en-US"/>
        </w:rPr>
        <w:t>Implementation of the system approach while ensuring the quality of the educational process of the aviation training center</w:t>
      </w:r>
    </w:p>
    <w:p w:rsidR="00517711" w:rsidRDefault="00F815BE">
      <w:pPr>
        <w:spacing w:after="0" w:line="240" w:lineRule="auto"/>
        <w:ind w:firstLine="709"/>
        <w:jc w:val="both"/>
        <w:rPr>
          <w:rFonts w:ascii="Times New Roman" w:hAnsi="Times New Roman" w:cs="Times New Roman"/>
          <w:i/>
          <w:lang w:val="en-US"/>
        </w:rPr>
      </w:pPr>
      <w:r>
        <w:rPr>
          <w:rFonts w:ascii="Times New Roman" w:hAnsi="Times New Roman" w:cs="Times New Roman"/>
          <w:i/>
          <w:lang w:val="en-US"/>
        </w:rPr>
        <w:t>Under the conditions of economic transformations, the needs for certain professions and specialties in the labor market are constantly changing.  In this regard, the system of realizing a certain approach to the organization of vocational education must respond quickly to these changes.  Also, with a change in the level of development of society and social conditions, new requirements are being imposed on the quality of education, especially to complex and specific organized sectors of activity.  Civil aviation of Russia is a complex, widely ramified system, consisting of air carrier companies, whose activities require the availability of highly qualified aviation specialists and aviation personnel whose professional training must meet the requirements of the international level.  That is why this specific field requires some attention and the development of an effective education program, in order to train qualified air personnel.</w:t>
      </w:r>
    </w:p>
    <w:p w:rsidR="00517711" w:rsidRDefault="00517711">
      <w:pPr>
        <w:spacing w:after="0" w:line="240" w:lineRule="auto"/>
        <w:ind w:firstLine="709"/>
        <w:jc w:val="both"/>
        <w:rPr>
          <w:rFonts w:ascii="Times New Roman" w:hAnsi="Times New Roman" w:cs="Times New Roman"/>
          <w:i/>
          <w:lang w:val="en-US"/>
        </w:rPr>
      </w:pPr>
    </w:p>
    <w:p w:rsidR="00517711" w:rsidRDefault="00F815BE">
      <w:pPr>
        <w:spacing w:after="0" w:line="240" w:lineRule="auto"/>
        <w:ind w:firstLine="709"/>
        <w:jc w:val="both"/>
        <w:rPr>
          <w:rFonts w:ascii="Times New Roman" w:hAnsi="Times New Roman" w:cs="Times New Roman"/>
          <w:i/>
          <w:lang w:val="en-US"/>
        </w:rPr>
      </w:pPr>
      <w:r>
        <w:rPr>
          <w:rFonts w:ascii="Times New Roman" w:hAnsi="Times New Roman" w:cs="Times New Roman"/>
          <w:b/>
          <w:i/>
          <w:lang w:val="en-US"/>
        </w:rPr>
        <w:t>Keywords:</w:t>
      </w:r>
      <w:r>
        <w:rPr>
          <w:rFonts w:ascii="Times New Roman" w:hAnsi="Times New Roman" w:cs="Times New Roman"/>
          <w:i/>
          <w:lang w:val="en-US"/>
        </w:rPr>
        <w:t xml:space="preserve"> Aviation training centers, features of the educational process, quality of education, system approach.</w:t>
      </w:r>
    </w:p>
    <w:p w:rsidR="00517711" w:rsidRDefault="00517711">
      <w:pPr>
        <w:spacing w:after="0" w:line="240" w:lineRule="auto"/>
        <w:ind w:firstLine="709"/>
        <w:jc w:val="both"/>
        <w:rPr>
          <w:rFonts w:ascii="Times New Roman" w:hAnsi="Times New Roman" w:cs="Times New Roman"/>
          <w:i/>
          <w:sz w:val="20"/>
          <w:szCs w:val="20"/>
          <w:lang w:val="en-US"/>
        </w:rPr>
      </w:pPr>
    </w:p>
    <w:p w:rsidR="00517711" w:rsidRDefault="00F815BE">
      <w:pPr>
        <w:spacing w:after="0" w:line="240" w:lineRule="auto"/>
        <w:ind w:firstLine="709"/>
        <w:jc w:val="both"/>
        <w:rPr>
          <w:rFonts w:ascii="Times New Roman" w:hAnsi="Times New Roman" w:cs="Times New Roman"/>
          <w:b/>
          <w:sz w:val="20"/>
          <w:szCs w:val="20"/>
          <w:shd w:val="clear" w:color="auto" w:fill="FFFFFF"/>
        </w:rPr>
      </w:pPr>
      <w:r>
        <w:rPr>
          <w:rFonts w:ascii="Times New Roman" w:hAnsi="Times New Roman" w:cs="Times New Roman"/>
          <w:sz w:val="20"/>
          <w:szCs w:val="20"/>
        </w:rPr>
        <w:t xml:space="preserve">Актуальность данной статьи обусловлена тем, что </w:t>
      </w:r>
      <w:r>
        <w:rPr>
          <w:rFonts w:ascii="Times New Roman" w:hAnsi="Times New Roman" w:cs="Times New Roman"/>
          <w:sz w:val="20"/>
          <w:szCs w:val="20"/>
          <w:shd w:val="clear" w:color="auto" w:fill="FFFFFF"/>
        </w:rPr>
        <w:t xml:space="preserve">в контексте современных подходов обеспечение качества стало одним из основных направлений развития образования, как в России, так и за рубежом. Это </w:t>
      </w:r>
      <w:r>
        <w:rPr>
          <w:rFonts w:ascii="Times New Roman" w:hAnsi="Times New Roman" w:cs="Times New Roman"/>
          <w:sz w:val="20"/>
          <w:szCs w:val="20"/>
          <w:shd w:val="clear" w:color="auto" w:fill="FFFFFF"/>
        </w:rPr>
        <w:lastRenderedPageBreak/>
        <w:t>одинаково важно для всех субъектов образовательной деятельности, в том числе и авиационных учебных центров (АУЦ), обеспечивающих подготовку, переподготовку и повышение квалификации авиаперсонала. П</w:t>
      </w:r>
      <w:r>
        <w:rPr>
          <w:rStyle w:val="affe"/>
          <w:rFonts w:ascii="Times New Roman" w:hAnsi="Times New Roman" w:cs="Times New Roman"/>
          <w:sz w:val="20"/>
          <w:szCs w:val="20"/>
          <w:shd w:val="clear" w:color="auto" w:fill="FFFFFF"/>
        </w:rPr>
        <w:t xml:space="preserve">рофессиональное обучение </w:t>
      </w:r>
      <w:r>
        <w:rPr>
          <w:rFonts w:ascii="Times New Roman" w:hAnsi="Times New Roman" w:cs="Times New Roman"/>
          <w:sz w:val="20"/>
          <w:szCs w:val="20"/>
          <w:shd w:val="clear" w:color="auto" w:fill="FFFFFF"/>
        </w:rPr>
        <w:t>является важнейшим средством профессионального развития авиаперсонала</w:t>
      </w:r>
      <w:r>
        <w:rPr>
          <w:rStyle w:val="affe"/>
          <w:rFonts w:ascii="Times New Roman" w:hAnsi="Times New Roman" w:cs="Times New Roman"/>
          <w:sz w:val="20"/>
          <w:szCs w:val="20"/>
          <w:shd w:val="clear" w:color="auto" w:fill="FFFFFF"/>
        </w:rPr>
        <w:t xml:space="preserve">. </w:t>
      </w:r>
      <w:r>
        <w:rPr>
          <w:rFonts w:ascii="Times New Roman" w:hAnsi="Times New Roman" w:cs="Times New Roman"/>
          <w:sz w:val="20"/>
          <w:szCs w:val="20"/>
          <w:shd w:val="clear" w:color="auto" w:fill="FFFFFF"/>
        </w:rPr>
        <w:t xml:space="preserve">При этом важно помнить, что </w:t>
      </w:r>
      <w:r>
        <w:rPr>
          <w:rFonts w:ascii="Times New Roman" w:hAnsi="Times New Roman" w:cs="Times New Roman"/>
          <w:sz w:val="20"/>
          <w:szCs w:val="20"/>
        </w:rPr>
        <w:t xml:space="preserve">качественная профессиональная подготовка авиаспециалистов может быть достигнута только на основе применения системного подхода к обеспечению качества образовательного процесса, реализуемого АУЦ. </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themeColor="text1"/>
          <w:sz w:val="20"/>
          <w:szCs w:val="20"/>
          <w:shd w:val="clear" w:color="auto" w:fill="FFFFFF"/>
        </w:rPr>
        <w:t>Целью данной статьи является анализ особенностей реализации системного подхода к формированию системы качества и анализ качества образовательного процесса авиационного учебного центра.</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themeColor="text1"/>
          <w:sz w:val="20"/>
          <w:szCs w:val="20"/>
          <w:shd w:val="clear" w:color="auto" w:fill="FFFFFF"/>
        </w:rPr>
        <w:t xml:space="preserve">Для достижения поставленной цели необходимо решить следующие задачи: </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bookmarkStart w:id="19" w:name="_Hlk510265443"/>
      <w:r>
        <w:rPr>
          <w:rFonts w:ascii="Times New Roman" w:hAnsi="Times New Roman" w:cs="Times New Roman"/>
          <w:color w:val="000000" w:themeColor="text1"/>
          <w:sz w:val="20"/>
          <w:szCs w:val="20"/>
          <w:shd w:val="clear" w:color="auto" w:fill="FFFFFF"/>
        </w:rPr>
        <w:t>-</w:t>
      </w:r>
      <w:bookmarkEnd w:id="19"/>
      <w:r>
        <w:rPr>
          <w:rFonts w:ascii="Times New Roman" w:hAnsi="Times New Roman" w:cs="Times New Roman"/>
          <w:color w:val="000000" w:themeColor="text1"/>
          <w:sz w:val="20"/>
          <w:szCs w:val="20"/>
          <w:shd w:val="clear" w:color="auto" w:fill="FFFFFF"/>
        </w:rPr>
        <w:t xml:space="preserve"> исследовать особенности организации учебного процесса авиационных учебных центров;</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themeColor="text1"/>
          <w:sz w:val="20"/>
          <w:szCs w:val="20"/>
          <w:shd w:val="clear" w:color="auto" w:fill="FFFFFF"/>
        </w:rPr>
        <w:t>- рассмотреть основные аспекты и элементы системы качества в АУЦ;</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themeColor="text1"/>
          <w:sz w:val="20"/>
          <w:szCs w:val="20"/>
          <w:shd w:val="clear" w:color="auto" w:fill="FFFFFF"/>
        </w:rPr>
        <w:t>- проанализировать качество учебного процесса в авиационных учебных центрах.</w:t>
      </w:r>
    </w:p>
    <w:p w:rsidR="00517711" w:rsidRDefault="00F815BE">
      <w:pPr>
        <w:pStyle w:val="ConsPlusNormal"/>
        <w:ind w:firstLine="709"/>
        <w:rPr>
          <w:rFonts w:ascii="Times New Roman" w:hAnsi="Times New Roman" w:cs="Times New Roman"/>
          <w:sz w:val="20"/>
        </w:rPr>
      </w:pPr>
      <w:r>
        <w:rPr>
          <w:rFonts w:ascii="Times New Roman" w:hAnsi="Times New Roman" w:cs="Times New Roman"/>
          <w:sz w:val="20"/>
        </w:rPr>
        <w:t>Принято считать, что авиационный учебный центр – это юридическое лицо или его структурное подразделение, осуществляющее подготовку авиационного персонала и имеющее сертификат авиационного учебного центра.</w:t>
      </w:r>
    </w:p>
    <w:p w:rsidR="00517711" w:rsidRDefault="00F815BE">
      <w:pPr>
        <w:tabs>
          <w:tab w:val="left" w:pos="709"/>
        </w:tabs>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Известно, что предметом деятельности АУЦ является образовательная деятельность в области дополнительного образования и/или профессиональной подготовки(профессионального обучения) авиационного персонала. </w:t>
      </w:r>
    </w:p>
    <w:p w:rsidR="00517711" w:rsidRDefault="00F815BE">
      <w:pPr>
        <w:pStyle w:val="ConsPlusNormal"/>
        <w:ind w:firstLine="709"/>
        <w:rPr>
          <w:rFonts w:ascii="Times New Roman" w:hAnsi="Times New Roman" w:cs="Times New Roman"/>
          <w:sz w:val="20"/>
        </w:rPr>
      </w:pPr>
      <w:r>
        <w:rPr>
          <w:rFonts w:ascii="Times New Roman" w:hAnsi="Times New Roman" w:cs="Times New Roman"/>
          <w:sz w:val="20"/>
        </w:rPr>
        <w:t xml:space="preserve">Подготовка авиаперсонала в АУЦ предусматривает  реализацию программ профессиональной подготовки и дополнительных образовательных программ, направленных, в том числе: </w:t>
      </w:r>
    </w:p>
    <w:p w:rsidR="00517711" w:rsidRDefault="00F815BE">
      <w:pPr>
        <w:pStyle w:val="ConsPlusNormal"/>
        <w:ind w:firstLine="709"/>
        <w:rPr>
          <w:rFonts w:ascii="Times New Roman" w:hAnsi="Times New Roman" w:cs="Times New Roman"/>
          <w:sz w:val="20"/>
        </w:rPr>
      </w:pPr>
      <w:r>
        <w:rPr>
          <w:rFonts w:ascii="Times New Roman" w:hAnsi="Times New Roman" w:cs="Times New Roman"/>
          <w:sz w:val="20"/>
        </w:rPr>
        <w:t xml:space="preserve">- на приобретение слушателями необходимых для получения свидетельств авиационного персонала знаний, умений и навыков; </w:t>
      </w:r>
    </w:p>
    <w:p w:rsidR="00517711" w:rsidRDefault="00F815BE">
      <w:pPr>
        <w:pStyle w:val="ConsPlusNormal"/>
        <w:ind w:firstLine="709"/>
        <w:rPr>
          <w:rFonts w:ascii="Times New Roman" w:hAnsi="Times New Roman" w:cs="Times New Roman"/>
          <w:sz w:val="20"/>
        </w:rPr>
      </w:pPr>
      <w:r>
        <w:rPr>
          <w:rFonts w:ascii="Times New Roman" w:hAnsi="Times New Roman" w:cs="Times New Roman"/>
          <w:sz w:val="20"/>
        </w:rPr>
        <w:t xml:space="preserve">- на поддержание у слушателей из числа лиц авиаперсонала специальных знаний, умений и навыков, необходимых для выполнения функций, предусмотренных их профессиональных обязанностей; </w:t>
      </w:r>
    </w:p>
    <w:p w:rsidR="00517711" w:rsidRDefault="00F815BE">
      <w:pPr>
        <w:pStyle w:val="ConsPlusNormal"/>
        <w:ind w:firstLine="709"/>
        <w:rPr>
          <w:rFonts w:ascii="Times New Roman" w:hAnsi="Times New Roman" w:cs="Times New Roman"/>
          <w:sz w:val="20"/>
        </w:rPr>
      </w:pPr>
      <w:r>
        <w:rPr>
          <w:rFonts w:ascii="Times New Roman" w:hAnsi="Times New Roman" w:cs="Times New Roman"/>
          <w:sz w:val="20"/>
        </w:rPr>
        <w:t xml:space="preserve">- на приобретение слушателями из числа лиц авиаперсонала специальных знаний, умений и навыков, необходимых для получения дополнительных квалификационных компетенций, в том числе требуемых при оформлении соответствующих профессиональным обязанностям допусков; </w:t>
      </w:r>
    </w:p>
    <w:p w:rsidR="00517711" w:rsidRDefault="00F815BE">
      <w:pPr>
        <w:pStyle w:val="ConsPlusNormal"/>
        <w:ind w:firstLine="709"/>
        <w:rPr>
          <w:rFonts w:ascii="Times New Roman" w:hAnsi="Times New Roman" w:cs="Times New Roman"/>
          <w:sz w:val="20"/>
        </w:rPr>
      </w:pPr>
      <w:r>
        <w:rPr>
          <w:rFonts w:ascii="Times New Roman" w:hAnsi="Times New Roman" w:cs="Times New Roman"/>
          <w:sz w:val="20"/>
        </w:rPr>
        <w:t xml:space="preserve">- на приобретение слушателями из числа лиц авиационного персонала специальных знаний, умений и навыков, предъявляемых в соответствии с требованиями воздушного законодательства к кандидатам на замещение должностей; </w:t>
      </w:r>
    </w:p>
    <w:p w:rsidR="00517711" w:rsidRDefault="00F815BE">
      <w:pPr>
        <w:pStyle w:val="ConsPlusNormal"/>
        <w:ind w:firstLine="709"/>
        <w:rPr>
          <w:rFonts w:ascii="Times New Roman" w:hAnsi="Times New Roman" w:cs="Times New Roman"/>
          <w:sz w:val="20"/>
        </w:rPr>
      </w:pPr>
      <w:r>
        <w:rPr>
          <w:rFonts w:ascii="Times New Roman" w:hAnsi="Times New Roman" w:cs="Times New Roman"/>
          <w:sz w:val="20"/>
        </w:rPr>
        <w:t>- на поддержание у должностных лиц из числа авиационного персонала специальных знаний, умений и навыков, необходимых в соответствии с требованиями воздушного законодательства для замещения должностей[3].</w:t>
      </w:r>
    </w:p>
    <w:p w:rsidR="00517711" w:rsidRDefault="00F815BE">
      <w:pPr>
        <w:tabs>
          <w:tab w:val="left" w:pos="709"/>
        </w:tabs>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Направление подготовки авиационного персонала – это совокупность образовательных программ, объединенных по двум или более родственным признакам.  По видам обучения различают следующие направления подготовки: подготовка; периодическая подготовка (повышение квалификации); переподготовка; тренажерная подготовка. Также направления подготовки могут выделяться по таким признакам как: категории авиационного персонала; виды, классы, типы воздушных судов; вид, класс (тип) оборудования; иные совокупные признаки.</w:t>
      </w:r>
    </w:p>
    <w:p w:rsidR="00517711" w:rsidRDefault="00F815BE">
      <w:pPr>
        <w:pStyle w:val="formattext"/>
        <w:shd w:val="clear" w:color="auto" w:fill="FFFFFF"/>
        <w:spacing w:before="0" w:beforeAutospacing="0" w:after="0" w:afterAutospacing="0"/>
        <w:ind w:firstLine="709"/>
        <w:rPr>
          <w:rStyle w:val="apple-converted-space"/>
          <w:color w:val="000000"/>
          <w:sz w:val="20"/>
          <w:szCs w:val="20"/>
          <w:shd w:val="clear" w:color="auto" w:fill="FFFFFF"/>
        </w:rPr>
      </w:pPr>
      <w:r>
        <w:rPr>
          <w:spacing w:val="2"/>
          <w:sz w:val="20"/>
          <w:szCs w:val="20"/>
        </w:rPr>
        <w:t xml:space="preserve">В соответствии с </w:t>
      </w:r>
      <w:hyperlink r:id="rId261" w:history="1">
        <w:r>
          <w:rPr>
            <w:rStyle w:val="aa"/>
            <w:spacing w:val="2"/>
            <w:sz w:val="20"/>
            <w:szCs w:val="20"/>
          </w:rPr>
          <w:t>Воздушным кодексом Российской Федерации</w:t>
        </w:r>
      </w:hyperlink>
      <w:r>
        <w:rPr>
          <w:rStyle w:val="aa"/>
          <w:spacing w:val="2"/>
          <w:sz w:val="20"/>
          <w:szCs w:val="20"/>
        </w:rPr>
        <w:t xml:space="preserve"> в</w:t>
      </w:r>
      <w:r>
        <w:rPr>
          <w:spacing w:val="2"/>
          <w:sz w:val="20"/>
          <w:szCs w:val="20"/>
        </w:rPr>
        <w:t>се авиационные учебные центры, осуществляющие свою деятельность в гражданской авиации, обязательно должны проходить сертификацию в установленные сроки[4].</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Требования к организации процесса подготовки авиационного персонала, соблюдение которых необходимо для прохождения процедуры сертификации, </w:t>
      </w:r>
      <w:r>
        <w:rPr>
          <w:rFonts w:ascii="Times New Roman" w:hAnsi="Times New Roman" w:cs="Times New Roman"/>
          <w:color w:val="000000" w:themeColor="text1"/>
          <w:sz w:val="20"/>
          <w:szCs w:val="20"/>
          <w:shd w:val="clear" w:color="auto" w:fill="FFFFFF"/>
        </w:rPr>
        <w:t xml:space="preserve">устанавливаются </w:t>
      </w:r>
      <w:r>
        <w:rPr>
          <w:rFonts w:ascii="Times New Roman" w:hAnsi="Times New Roman" w:cs="Times New Roman"/>
          <w:sz w:val="20"/>
          <w:szCs w:val="20"/>
        </w:rPr>
        <w:t>воздушным законодательством РФ, отраслевыми стандартами, а также рекомендуемой практикой ИКАО.</w:t>
      </w:r>
    </w:p>
    <w:p w:rsidR="00517711" w:rsidRDefault="00F815BE">
      <w:pPr>
        <w:pStyle w:val="formattext"/>
        <w:shd w:val="clear" w:color="auto" w:fill="FFFFFF"/>
        <w:spacing w:before="0" w:beforeAutospacing="0" w:after="0" w:afterAutospacing="0"/>
        <w:ind w:firstLine="709"/>
        <w:rPr>
          <w:sz w:val="20"/>
          <w:szCs w:val="20"/>
        </w:rPr>
      </w:pPr>
      <w:r>
        <w:rPr>
          <w:sz w:val="20"/>
          <w:szCs w:val="20"/>
        </w:rPr>
        <w:t>Основным внутренним документом АУЦ, регламентирующим соблюдение требований законодательства на всех этапах подготовки, предусмотренных образовательными программами и в соответствии с которым осуществляется подготовка авиационного персонала, является руководство по организации образовательного процесса. Данный документ разрабатывается в АУЦ и утверждается его руководителем.</w:t>
      </w:r>
    </w:p>
    <w:p w:rsidR="00517711" w:rsidRDefault="00F815BE">
      <w:pPr>
        <w:pStyle w:val="formattext"/>
        <w:shd w:val="clear" w:color="auto" w:fill="FFFFFF"/>
        <w:spacing w:before="0" w:beforeAutospacing="0" w:after="0" w:afterAutospacing="0"/>
        <w:ind w:firstLine="709"/>
        <w:rPr>
          <w:sz w:val="20"/>
          <w:szCs w:val="20"/>
        </w:rPr>
      </w:pPr>
      <w:r>
        <w:rPr>
          <w:sz w:val="20"/>
          <w:szCs w:val="20"/>
        </w:rPr>
        <w:t xml:space="preserve">Процесс подготовки авиационного персонала может предусматривать, в общем случае, четыре этапа: </w:t>
      </w:r>
    </w:p>
    <w:p w:rsidR="00517711" w:rsidRDefault="00F815BE">
      <w:pPr>
        <w:pStyle w:val="formattext"/>
        <w:shd w:val="clear" w:color="auto" w:fill="FFFFFF"/>
        <w:spacing w:before="0" w:beforeAutospacing="0" w:after="0" w:afterAutospacing="0"/>
        <w:ind w:firstLine="709"/>
        <w:rPr>
          <w:sz w:val="20"/>
          <w:szCs w:val="20"/>
        </w:rPr>
      </w:pPr>
      <w:r>
        <w:rPr>
          <w:sz w:val="20"/>
          <w:szCs w:val="20"/>
        </w:rPr>
        <w:t xml:space="preserve">- этап теоретической подготовки; </w:t>
      </w:r>
    </w:p>
    <w:p w:rsidR="00517711" w:rsidRDefault="00F815BE">
      <w:pPr>
        <w:pStyle w:val="formattext"/>
        <w:shd w:val="clear" w:color="auto" w:fill="FFFFFF"/>
        <w:spacing w:before="0" w:beforeAutospacing="0" w:after="0" w:afterAutospacing="0"/>
        <w:ind w:firstLine="709"/>
        <w:rPr>
          <w:sz w:val="20"/>
          <w:szCs w:val="20"/>
        </w:rPr>
      </w:pPr>
      <w:r>
        <w:rPr>
          <w:sz w:val="20"/>
          <w:szCs w:val="20"/>
        </w:rPr>
        <w:t>- этап тренажерной подготовки;</w:t>
      </w:r>
    </w:p>
    <w:p w:rsidR="00517711" w:rsidRDefault="00F815BE">
      <w:pPr>
        <w:pStyle w:val="formattext"/>
        <w:shd w:val="clear" w:color="auto" w:fill="FFFFFF"/>
        <w:spacing w:before="0" w:beforeAutospacing="0" w:after="0" w:afterAutospacing="0"/>
        <w:ind w:firstLine="709"/>
        <w:rPr>
          <w:sz w:val="20"/>
          <w:szCs w:val="20"/>
        </w:rPr>
      </w:pPr>
      <w:r>
        <w:rPr>
          <w:sz w:val="20"/>
          <w:szCs w:val="20"/>
        </w:rPr>
        <w:t xml:space="preserve">- этап летной подготовки; </w:t>
      </w:r>
    </w:p>
    <w:p w:rsidR="00517711" w:rsidRDefault="00F815BE">
      <w:pPr>
        <w:pStyle w:val="formattext"/>
        <w:shd w:val="clear" w:color="auto" w:fill="FFFFFF"/>
        <w:spacing w:before="0" w:beforeAutospacing="0" w:after="0" w:afterAutospacing="0"/>
        <w:ind w:firstLine="709"/>
        <w:rPr>
          <w:sz w:val="20"/>
          <w:szCs w:val="20"/>
        </w:rPr>
      </w:pPr>
      <w:r>
        <w:rPr>
          <w:sz w:val="20"/>
          <w:szCs w:val="20"/>
        </w:rPr>
        <w:t>- этап стажировки.</w:t>
      </w:r>
    </w:p>
    <w:p w:rsidR="00517711" w:rsidRDefault="00F815BE">
      <w:pPr>
        <w:pStyle w:val="HTML"/>
        <w:ind w:firstLine="709"/>
        <w:rPr>
          <w:rFonts w:ascii="Times New Roman" w:hAnsi="Times New Roman" w:cs="Times New Roman"/>
        </w:rPr>
      </w:pPr>
      <w:r>
        <w:rPr>
          <w:rFonts w:ascii="Times New Roman" w:hAnsi="Times New Roman" w:cs="Times New Roman"/>
          <w:color w:val="000000"/>
        </w:rPr>
        <w:t>Теоретическая подготовка имеет целью формирование, поддержание и совершенствование у обучаемых специальных знаний, в соответствии с установленными требованиями. О</w:t>
      </w:r>
      <w:r>
        <w:rPr>
          <w:rFonts w:ascii="Times New Roman" w:hAnsi="Times New Roman" w:cs="Times New Roman"/>
        </w:rPr>
        <w:t xml:space="preserve">существляется она в соответствии с образовательными программами, определяющими конкретное содержание и объем теоретической подготовки. При реализации теоретической подготовки могут предусматриваться следующие формы обучения или их сочетание: очная, заочная, очно-заочная (вечерняя), экстернат. При этом могут применяться такие виды учебных занятий, как лекции, семинарские и практические занятия, лабораторные работы, консультации, выездные занятия, самостоятельная работа, контрольные работы, стажировки. Обучение </w:t>
      </w:r>
      <w:r>
        <w:rPr>
          <w:rFonts w:ascii="Times New Roman" w:hAnsi="Times New Roman" w:cs="Times New Roman"/>
        </w:rPr>
        <w:lastRenderedPageBreak/>
        <w:t xml:space="preserve">может проводиться с применением любых методов, обеспечивающих эффективное проведение занятий, в том числе с использованием электронного обучения и дистанционных образовательных технологий. </w:t>
      </w:r>
    </w:p>
    <w:p w:rsidR="00517711" w:rsidRDefault="00F815BE">
      <w:pPr>
        <w:pStyle w:val="HTML"/>
        <w:ind w:firstLine="709"/>
        <w:rPr>
          <w:rFonts w:ascii="Times New Roman" w:hAnsi="Times New Roman" w:cs="Times New Roman"/>
        </w:rPr>
      </w:pPr>
      <w:r>
        <w:rPr>
          <w:rFonts w:ascii="Times New Roman" w:hAnsi="Times New Roman" w:cs="Times New Roman"/>
          <w:color w:val="000000"/>
        </w:rPr>
        <w:t xml:space="preserve">Целью тренажерной подготовки </w:t>
      </w:r>
      <w:r>
        <w:rPr>
          <w:rStyle w:val="bookmark"/>
          <w:rFonts w:ascii="Times New Roman" w:hAnsi="Times New Roman" w:cs="Times New Roman"/>
          <w:color w:val="000000"/>
        </w:rPr>
        <w:t>авиационного</w:t>
      </w:r>
      <w:r>
        <w:rPr>
          <w:rFonts w:ascii="Times New Roman" w:hAnsi="Times New Roman" w:cs="Times New Roman"/>
          <w:color w:val="000000"/>
        </w:rPr>
        <w:t xml:space="preserve"> персонала является приобретение, поддержание и совершенствование практических умений и навыков с помощью авиационных тренажеров </w:t>
      </w:r>
      <w:r>
        <w:rPr>
          <w:rFonts w:ascii="Times New Roman" w:hAnsi="Times New Roman" w:cs="Times New Roman"/>
        </w:rPr>
        <w:t>соответствующего класса (вида)</w:t>
      </w:r>
      <w:r>
        <w:rPr>
          <w:rFonts w:ascii="Times New Roman" w:hAnsi="Times New Roman" w:cs="Times New Roman"/>
          <w:color w:val="000000"/>
        </w:rPr>
        <w:t>, сертифицированных в установленном порядке. Р</w:t>
      </w:r>
      <w:r>
        <w:rPr>
          <w:rFonts w:ascii="Times New Roman" w:hAnsi="Times New Roman" w:cs="Times New Roman"/>
        </w:rPr>
        <w:t>еализуемые в АУЦ направления подготовки определяют конкретные требования к характеристикам тренажеров и их классу (виду).</w:t>
      </w:r>
    </w:p>
    <w:p w:rsidR="00517711" w:rsidRDefault="00F815BE">
      <w:pPr>
        <w:pStyle w:val="HTML"/>
        <w:ind w:firstLine="709"/>
        <w:rPr>
          <w:rFonts w:ascii="Times New Roman" w:hAnsi="Times New Roman" w:cs="Times New Roman"/>
        </w:rPr>
      </w:pPr>
      <w:r>
        <w:rPr>
          <w:rFonts w:ascii="Times New Roman" w:hAnsi="Times New Roman" w:cs="Times New Roman"/>
          <w:color w:val="000000"/>
        </w:rPr>
        <w:t xml:space="preserve">Летная подготовка имеет цель выработать у обучаемых практические умения и навыки в реальных условиях выполнения полета. </w:t>
      </w:r>
      <w:r>
        <w:rPr>
          <w:rFonts w:ascii="Times New Roman" w:hAnsi="Times New Roman" w:cs="Times New Roman"/>
        </w:rPr>
        <w:t xml:space="preserve">Летная подготовка осуществляется на базе учебно-летного подразделения АУЦ. Требования к организации летной подготовки, в том числе, требования к персоналу, воздушным судам, аэродрому, всем видам обеспечения полетов, определяются воздушным законодательством Российской Федерации, регламентирующим подготовку и выполнение учебно-тренировочных полетов. Конкретное содержание и объем летной подготовки определяются образовательными программами. </w:t>
      </w:r>
    </w:p>
    <w:p w:rsidR="00517711" w:rsidRDefault="00F815BE">
      <w:pPr>
        <w:pStyle w:val="formattext"/>
        <w:shd w:val="clear" w:color="auto" w:fill="FFFFFF"/>
        <w:spacing w:before="0" w:beforeAutospacing="0" w:after="0" w:afterAutospacing="0"/>
        <w:ind w:firstLine="709"/>
        <w:rPr>
          <w:sz w:val="20"/>
          <w:szCs w:val="20"/>
        </w:rPr>
      </w:pPr>
      <w:r>
        <w:rPr>
          <w:sz w:val="20"/>
          <w:szCs w:val="20"/>
        </w:rPr>
        <w:t>В качестве одного из разделов образовательной программы может быть предусмотрена стажировка, которая направлена на формирование и закрепление на практике знаний, умений и навыков, полученных при теоретической подготовке. Осуществляется стажировка в соответствии с договорами с предприятиями и организациями, а ее конкретное содержание и объем определяются образовательной программой, а ее программа в обязательном порядке должна быть согласована с руководителем предприятия (организации), где она будет проводиться. По итогам стажировки обучаемому необходимо оформить отчет о ее прохождении, форма которого определяется программой стажировки[3].</w:t>
      </w:r>
    </w:p>
    <w:p w:rsidR="00517711" w:rsidRDefault="00F815BE">
      <w:pPr>
        <w:shd w:val="clear" w:color="auto" w:fill="FFFFFF"/>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sz w:val="20"/>
          <w:szCs w:val="20"/>
        </w:rPr>
        <w:t>На основе всего вышеперечисленного, можно сделать вывод о том, что образовательный процесс в авиационных учебных центрах – это целенаправленный, социально обусловленный и педагогически организованный процесс развития личности авиаперсонала по определенным этапам и в соответствии с заявленными параметрами. Кроме того, образовательный процесс можно рассматривать как систему, качество результатов функционирования которой зависит от эффективности функционирования всех ее элементов. При этом элементами системы являются преподавательский состав, учебно-методическое обеспечение образовательного процесса, материально-техническая база учебного заведения, его инфраструктура и деятельность руководства.</w:t>
      </w:r>
      <w:r>
        <w:rPr>
          <w:rFonts w:ascii="Times New Roman" w:hAnsi="Times New Roman" w:cs="Times New Roman"/>
          <w:color w:val="000000"/>
          <w:sz w:val="20"/>
          <w:szCs w:val="20"/>
        </w:rPr>
        <w:t xml:space="preserve"> </w:t>
      </w:r>
    </w:p>
    <w:p w:rsidR="00517711" w:rsidRDefault="00F815BE">
      <w:pPr>
        <w:shd w:val="clear" w:color="auto" w:fill="FFFFFF"/>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sz w:val="20"/>
          <w:szCs w:val="20"/>
        </w:rPr>
        <w:t>Можно считать неоспоримым тот факт, что преподаватель является главным элементом в образовательном процессе. В связи с этим политика обеспечения качества должна начинаться с формирования преподавательского корпуса. От качества преподавателя зависят содержание образования, качество учебных программ, выбор методики обучения, уровень конкурентоспособности выпускников на рынке труда и другие составляющие качества образования. При этом преподаватель не только передает знания, но и формирует личность обучаемого, его мировоззрение и духовность. Поэтому качество преподавателя - понятие комплексное, включающее в себя уровень его компетентности; наличие соответствующих знаний и опыта; потребность и способность заниматься преподавательской деятельностью; наблюдательность (способность подмечать существенные, характерные особенности учеников); коммуникабельность (способность устанавливать контакты с внешней и внутренней средой); известность; научно-исследовательская активность; наличие научной школы[2].</w:t>
      </w:r>
      <w:r>
        <w:rPr>
          <w:rFonts w:ascii="Times New Roman" w:hAnsi="Times New Roman" w:cs="Times New Roman"/>
          <w:sz w:val="20"/>
          <w:szCs w:val="20"/>
        </w:rPr>
        <w:t xml:space="preserve"> Важным условием формирования качества преподавателя является система мотивации преподавательского состава. Система мотивации преподавательского состава АУЦ должна быть выстроена таким образом, чтобы максимально стимулировать достижение требуемого уровня результатов обучения. Это может быть достигнуто, в том числе, введением дополнительных выплат по результатам итоговой аттестации слушателей образовательных программ, внедрением элементов соревновательности среди преподавательского состава, материального и морального поощрения победителей различных конкурсов, включая конкурсы, проводимые внутри учебного центра, и др. При этом результаты обучения могут и должны оцениваться не только по качеству знаний,  умений и навыков, демонстрируемых слушателями во время прохождения итоговой аттестации, но и по востребованности выпускников, их конкурентоспособности на рынке труда, по реальным достижениям выпускников учебного центра. Следует отметить, что достижение необходимого уровня результатов обучения невозможно без наличия у слушателей базовых знаний, умений и навыков, что предопределяет тщательный отбор кандидатов, особенно на программы профессиональной подготовки, например, программа профессиональной подготовки бортпроводников.</w:t>
      </w:r>
    </w:p>
    <w:p w:rsidR="00517711" w:rsidRDefault="00F815BE">
      <w:pPr>
        <w:widowControl w:val="0"/>
        <w:spacing w:after="0" w:line="240" w:lineRule="auto"/>
        <w:ind w:firstLine="709"/>
        <w:jc w:val="both"/>
        <w:rPr>
          <w:rFonts w:ascii="Times New Roman" w:hAnsi="Times New Roman" w:cs="Times New Roman"/>
          <w:sz w:val="20"/>
          <w:szCs w:val="20"/>
        </w:rPr>
      </w:pPr>
      <w:r>
        <w:rPr>
          <w:rFonts w:ascii="Times New Roman" w:eastAsia="Calibri" w:hAnsi="Times New Roman" w:cs="Times New Roman"/>
          <w:color w:val="000000" w:themeColor="text1"/>
          <w:sz w:val="20"/>
          <w:szCs w:val="20"/>
        </w:rPr>
        <w:t xml:space="preserve">Материально-техническая база АУЦ, необходимая  для реализации программ подготовки авиационных специалистов, включает в себя помещения для проведения учебных занятий, оснащенные всем необходимым учебным и тренажерным оборудованием и техническими средствами обучения, помещения для хранения учебной литературы, наглядных пособий и технических средств обучения, специально оборудованные помещения для размещения обучающего персонала, а также иные сооружения, имущество и оборудование, используемые в целях материально-технического обеспечения образовательного процесса АУЦ и создания социально-бытовых условий для слушателей и персонала. </w:t>
      </w:r>
    </w:p>
    <w:p w:rsidR="00517711" w:rsidRDefault="00F815BE">
      <w:pPr>
        <w:pStyle w:val="af6"/>
        <w:spacing w:before="0" w:beforeAutospacing="0" w:after="0" w:afterAutospacing="0"/>
        <w:ind w:firstLine="709"/>
        <w:rPr>
          <w:sz w:val="20"/>
          <w:szCs w:val="20"/>
        </w:rPr>
      </w:pPr>
      <w:r>
        <w:rPr>
          <w:sz w:val="20"/>
          <w:szCs w:val="20"/>
        </w:rPr>
        <w:t xml:space="preserve">Учебно-методическое обеспечение учебного центра необходимо для эффективного проведения всех видов подготовки и включает в себя учебные программы по всем реализуемым образовательным программам (курсам). Качество учебных программ определяется, прежде всего, соответствием их содержательной части потребностям авиакомпаний и других авиапредприятий, сотрудниками которых являются или станут слушатели образовательных программ разного уровня. Учебные программы должны дополняться учебно-наглядными пособиями, включающими тексты лекций, презентационные материалы, контрольные вопросы, </w:t>
      </w:r>
      <w:r>
        <w:rPr>
          <w:sz w:val="20"/>
          <w:szCs w:val="20"/>
        </w:rPr>
        <w:lastRenderedPageBreak/>
        <w:t>контрольные и экзаменационные тесты, р</w:t>
      </w:r>
      <w:r>
        <w:rPr>
          <w:rFonts w:eastAsia="Calibri"/>
          <w:color w:val="000000" w:themeColor="text1"/>
          <w:sz w:val="20"/>
          <w:szCs w:val="20"/>
        </w:rPr>
        <w:t>азрабатываемые штатными п</w:t>
      </w:r>
      <w:r>
        <w:rPr>
          <w:bCs/>
          <w:sz w:val="20"/>
          <w:szCs w:val="20"/>
          <w:shd w:val="clear" w:color="auto" w:fill="FFFFFF"/>
        </w:rPr>
        <w:t>реподавателями и специалист</w:t>
      </w:r>
      <w:bookmarkStart w:id="20" w:name="_Hlk509836196"/>
      <w:r>
        <w:rPr>
          <w:bCs/>
          <w:sz w:val="20"/>
          <w:szCs w:val="20"/>
          <w:shd w:val="clear" w:color="auto" w:fill="FFFFFF"/>
        </w:rPr>
        <w:t>ами авиакомпании</w:t>
      </w:r>
      <w:bookmarkEnd w:id="20"/>
      <w:r>
        <w:rPr>
          <w:bCs/>
          <w:sz w:val="20"/>
          <w:szCs w:val="20"/>
          <w:shd w:val="clear" w:color="auto" w:fill="FFFFFF"/>
        </w:rPr>
        <w:t xml:space="preserve"> по направлениям подготовки.</w:t>
      </w:r>
      <w:r>
        <w:rPr>
          <w:sz w:val="20"/>
          <w:szCs w:val="20"/>
        </w:rPr>
        <w:t xml:space="preserve"> Оснащение учебных кабинетов и лабораторий учебными пособиями и современными техническими средствами обучения обеспечивает наглядность обучения и возможность формирования у слушателей необходимых профессиональных компетенций. </w:t>
      </w:r>
    </w:p>
    <w:p w:rsidR="00517711" w:rsidRDefault="00F815BE">
      <w:pPr>
        <w:pStyle w:val="af6"/>
        <w:spacing w:before="0" w:beforeAutospacing="0" w:after="0" w:afterAutospacing="0"/>
        <w:ind w:firstLine="709"/>
        <w:rPr>
          <w:color w:val="000000"/>
          <w:sz w:val="20"/>
          <w:szCs w:val="20"/>
        </w:rPr>
      </w:pPr>
      <w:r>
        <w:rPr>
          <w:color w:val="000000"/>
          <w:sz w:val="20"/>
          <w:szCs w:val="20"/>
        </w:rPr>
        <w:t>Руководство АУЦ должно осуществлять организацию обучения, и, в полной мере, нести ответственность, в том числе персональную за качество обучения. При этом необходимо осуществлять контроль за использованием установленных методов обучения, правильным использованием оборудования, технических средств обучения, вести учет обучения и подготовки преподавательского состава, инструкторов, обеспечивать функционирование системы обеспечения качества, проводить подготовку системы управления безопасностью полетов, а также обеспечивать соблюдение правил подготовки и выполнения полетов</w:t>
      </w:r>
      <w:r>
        <w:rPr>
          <w:rFonts w:eastAsia="Calibri"/>
          <w:color w:val="000000" w:themeColor="text1"/>
          <w:sz w:val="20"/>
          <w:szCs w:val="20"/>
        </w:rPr>
        <w:t>[4]. Важным аспектом деятельности руководства должна стать инновационная составляющая, которую необходимо ориентировать, прежде всего, на внедрение новых методов организации образовательной деятельности и внедрение инновационных форм, методов  и средств обучения.</w:t>
      </w:r>
    </w:p>
    <w:p w:rsidR="00517711" w:rsidRDefault="00F815BE">
      <w:pPr>
        <w:spacing w:after="0" w:line="240" w:lineRule="auto"/>
        <w:ind w:firstLine="709"/>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Исходя из вышеизложенного, качество образовательного процесса в АУЦ целесообразно рассматривать не только как результат деятельности, но и как процесс, направленный на достижение запланированных результатов с учетом внутреннего потенциала и внешних условий объекта. Исходя из такого подхода и учитывая структуру и перечень элементов образовательного процесса как системы, можно выделить следующие групповые показатели качества образовательного процесса в АУЦ: качество преподавательского и инструкторского состава; обеспеченность и состояние материально-технической базы; </w:t>
      </w:r>
      <w:r>
        <w:rPr>
          <w:rFonts w:ascii="Times New Roman" w:hAnsi="Times New Roman" w:cs="Times New Roman"/>
          <w:color w:val="000000" w:themeColor="text1"/>
          <w:sz w:val="20"/>
          <w:szCs w:val="20"/>
          <w:shd w:val="clear" w:color="auto" w:fill="FFFFFF"/>
        </w:rPr>
        <w:t xml:space="preserve">учебно-методическое обеспечение образовательных программ всех уровней и видов подготовки, реализуемых в учебном центре; </w:t>
      </w:r>
      <w:r>
        <w:rPr>
          <w:rFonts w:ascii="Times New Roman" w:hAnsi="Times New Roman" w:cs="Times New Roman"/>
          <w:sz w:val="20"/>
          <w:szCs w:val="20"/>
          <w:shd w:val="clear" w:color="auto" w:fill="FFFFFF"/>
        </w:rPr>
        <w:t>система мотивации преподавательского и инструкторского состава; качество учебных программ; качество слушателей (наличие базовых знаний, умений и навыков); качество инфраструктуры;  качество знаний; инновационная деятельность руководства; внедрение процессных инноваций; востребованность выпускников; конкурентоспособность выпускников на рынке труда;  достижения выпускников[1].</w:t>
      </w:r>
    </w:p>
    <w:p w:rsidR="00517711" w:rsidRDefault="00F815BE">
      <w:pPr>
        <w:spacing w:after="120" w:line="240" w:lineRule="auto"/>
        <w:ind w:firstLine="709"/>
        <w:jc w:val="both"/>
        <w:rPr>
          <w:rFonts w:ascii="Times New Roman" w:hAnsi="Times New Roman" w:cs="Times New Roman"/>
          <w:sz w:val="20"/>
          <w:szCs w:val="20"/>
        </w:rPr>
      </w:pPr>
      <w:r>
        <w:rPr>
          <w:rFonts w:ascii="Times New Roman" w:hAnsi="Times New Roman" w:cs="Times New Roman"/>
          <w:sz w:val="20"/>
          <w:szCs w:val="20"/>
        </w:rPr>
        <w:t>Таким образом, комплексным критерием эффективного функционирования системы образовательного процесса в АУЦ должно быть достижение высококачественных результатов обучения. При этом при оценке эффективности деятельности отдельных элементов системы следует руководствоваться приведенным перечнем групповых показателей качества образовательного процесса АУЦ, комплексный анализ которых позволит выявить проблемы подготовки в целом. Результаты данного анализа послужат основой для разработки грамотной и эффективной программы совершенствования образовательного процесса в авиационных учебных центрах, что, в конечном итоге, позволит достичь требуемого уровня качества подготовки авиаперсонала.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noProof/>
          <w:sz w:val="20"/>
          <w:szCs w:val="20"/>
          <w:lang w:eastAsia="ru-RU"/>
        </w:rPr>
        <mc:AlternateContent>
          <mc:Choice Requires="wps">
            <w:drawing>
              <wp:anchor distT="0" distB="0" distL="114300" distR="114300" simplePos="0" relativeHeight="251716608" behindDoc="0" locked="0" layoutInCell="1" allowOverlap="1">
                <wp:simplePos x="0" y="0"/>
                <wp:positionH relativeFrom="column">
                  <wp:posOffset>502920</wp:posOffset>
                </wp:positionH>
                <wp:positionV relativeFrom="paragraph">
                  <wp:posOffset>80010</wp:posOffset>
                </wp:positionV>
                <wp:extent cx="2826383" cy="0"/>
                <wp:effectExtent l="13333" t="12699" r="8253" b="6348"/>
                <wp:wrapNone/>
                <wp:docPr id="99" name="Прямая со стрелкой 63"/>
                <wp:cNvGraphicFramePr/>
                <a:graphic xmlns:a="http://schemas.openxmlformats.org/drawingml/2006/main">
                  <a:graphicData uri="http://schemas.microsoft.com/office/word/2010/wordprocessingShape">
                    <wps:wsp>
                      <wps:cNvCnPr/>
                      <wps:spPr bwMode="auto">
                        <a:xfrm>
                          <a:off x="0" y="0"/>
                          <a:ext cx="2826385"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773DC6C5" id="Прямая со стрелкой 63" o:spid="_x0000_s1026" type="#_x0000_t32" style="position:absolute;margin-left:39.6pt;margin-top:6.3pt;width:222.55pt;height:0;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"/>
            </w:pict>
          </mc:Fallback>
        </mc:AlternateContent>
      </w:r>
    </w:p>
    <w:p w:rsidR="00517711" w:rsidRDefault="00F815BE">
      <w:pPr>
        <w:pStyle w:val="af4"/>
        <w:numPr>
          <w:ilvl w:val="0"/>
          <w:numId w:val="61"/>
        </w:numPr>
        <w:spacing w:after="0" w:line="240" w:lineRule="auto"/>
        <w:ind w:left="0" w:firstLine="709"/>
        <w:jc w:val="both"/>
        <w:rPr>
          <w:rFonts w:ascii="Times New Roman" w:hAnsi="Times New Roman"/>
          <w:sz w:val="20"/>
          <w:szCs w:val="20"/>
        </w:rPr>
      </w:pPr>
      <w:r>
        <w:rPr>
          <w:rFonts w:ascii="Times New Roman" w:hAnsi="Times New Roman"/>
          <w:sz w:val="20"/>
          <w:szCs w:val="20"/>
        </w:rPr>
        <w:t>Звонников В.И. Документированная система менеджмента качества. Концепция системы менеджмента качества университетского образования: справ.-метод. пособие/ Гос. ун-т управления, М., 2006г.</w:t>
      </w:r>
    </w:p>
    <w:p w:rsidR="00517711" w:rsidRDefault="00F815BE">
      <w:pPr>
        <w:pStyle w:val="af4"/>
        <w:numPr>
          <w:ilvl w:val="0"/>
          <w:numId w:val="61"/>
        </w:numPr>
        <w:spacing w:after="0" w:line="240" w:lineRule="auto"/>
        <w:ind w:left="0" w:firstLine="709"/>
        <w:jc w:val="both"/>
        <w:rPr>
          <w:rFonts w:ascii="Times New Roman" w:hAnsi="Times New Roman"/>
          <w:sz w:val="20"/>
          <w:szCs w:val="20"/>
        </w:rPr>
      </w:pPr>
      <w:r>
        <w:rPr>
          <w:rFonts w:ascii="Times New Roman" w:hAnsi="Times New Roman"/>
          <w:sz w:val="20"/>
          <w:szCs w:val="20"/>
          <w:shd w:val="clear" w:color="auto" w:fill="FFFFFF"/>
        </w:rPr>
        <w:t>Османова А.М. Основные факторы качества социального образования в современном вузе  // Современные проблемы науки и образования / А.М. Османова – 2015 г. – № 2-2.</w:t>
      </w:r>
    </w:p>
    <w:p w:rsidR="00517711" w:rsidRDefault="00F815BE">
      <w:pPr>
        <w:pStyle w:val="af4"/>
        <w:numPr>
          <w:ilvl w:val="0"/>
          <w:numId w:val="61"/>
        </w:numPr>
        <w:spacing w:after="0" w:line="240" w:lineRule="auto"/>
        <w:ind w:left="0" w:firstLine="709"/>
        <w:jc w:val="both"/>
        <w:rPr>
          <w:rFonts w:ascii="Times New Roman" w:hAnsi="Times New Roman"/>
          <w:sz w:val="20"/>
          <w:szCs w:val="20"/>
        </w:rPr>
      </w:pPr>
      <w:r>
        <w:rPr>
          <w:rFonts w:ascii="Times New Roman" w:hAnsi="Times New Roman"/>
          <w:sz w:val="20"/>
          <w:szCs w:val="20"/>
          <w:shd w:val="clear" w:color="auto" w:fill="FFFFFF"/>
        </w:rPr>
        <w:t xml:space="preserve">Федеральные авиационные правила. Сертификация авиационных учебных центров. </w:t>
      </w:r>
      <w:r>
        <w:rPr>
          <w:rFonts w:ascii="Times New Roman" w:hAnsi="Times New Roman"/>
          <w:sz w:val="20"/>
          <w:szCs w:val="20"/>
        </w:rPr>
        <w:t>Проект Ассоциации АУЦ в редакции №4 от 26.03.2012.</w:t>
      </w:r>
    </w:p>
    <w:p w:rsidR="00517711" w:rsidRDefault="00F815BE">
      <w:pPr>
        <w:pStyle w:val="af4"/>
        <w:numPr>
          <w:ilvl w:val="0"/>
          <w:numId w:val="61"/>
        </w:numPr>
        <w:spacing w:after="0" w:line="240" w:lineRule="auto"/>
        <w:ind w:left="0" w:firstLine="709"/>
        <w:jc w:val="both"/>
        <w:rPr>
          <w:rFonts w:ascii="Times New Roman" w:hAnsi="Times New Roman"/>
          <w:sz w:val="20"/>
          <w:szCs w:val="20"/>
        </w:rPr>
      </w:pPr>
      <w:r>
        <w:rPr>
          <w:rFonts w:ascii="Times New Roman" w:hAnsi="Times New Roman"/>
          <w:sz w:val="20"/>
          <w:szCs w:val="20"/>
          <w:shd w:val="clear" w:color="auto" w:fill="FFFFFF"/>
        </w:rPr>
        <w:t>Федеральные авиационные правила. «Требования к образовательным организациям и организациям, осуществляющим обучение специалистов соответствующего уровня согласно перечням специалистов авиационного персонала. Форма и порядок выдачи документа, подтверждающего соответствие образовательных организаций и организаций, осуществляющих обучение специалистов соответствующего уровня согласно перечням специалистов авиационного персонала, требованиям федеральных авиационных правил» (утв. приказом Министерства транспорта РФ от 29 сентября 2015 г. № 289).</w:t>
      </w: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Экономика и управление народным хозяйством</w:t>
      </w:r>
    </w:p>
    <w:p w:rsidR="00517711" w:rsidRDefault="00F815BE">
      <w:pPr>
        <w:spacing w:after="0"/>
        <w:rPr>
          <w:rFonts w:ascii="Times New Roman" w:hAnsi="Times New Roman"/>
          <w:sz w:val="20"/>
        </w:rPr>
      </w:pPr>
      <w:r>
        <w:rPr>
          <w:rFonts w:ascii="Times New Roman" w:hAnsi="Times New Roman"/>
          <w:sz w:val="20"/>
        </w:rPr>
        <w:t>УДК621.311:658.871</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Повышение энергетической эффективности торговых центров</w:t>
      </w:r>
    </w:p>
    <w:p w:rsidR="00517711" w:rsidRDefault="00F815BE">
      <w:pPr>
        <w:tabs>
          <w:tab w:val="left" w:pos="567"/>
          <w:tab w:val="right" w:leader="dot" w:pos="9355"/>
        </w:tabs>
        <w:spacing w:after="0" w:line="240" w:lineRule="auto"/>
        <w:ind w:firstLine="709"/>
        <w:jc w:val="center"/>
        <w:rPr>
          <w:rFonts w:ascii="Arial" w:eastAsia="Calibri" w:hAnsi="Arial"/>
          <w:b/>
          <w:bCs/>
          <w:sz w:val="24"/>
          <w:szCs w:val="20"/>
          <w:lang w:eastAsia="ru-RU"/>
        </w:rPr>
      </w:pPr>
      <w:r>
        <w:rPr>
          <w:rFonts w:ascii="Arial" w:eastAsia="Calibri" w:hAnsi="Arial"/>
          <w:b/>
          <w:bCs/>
          <w:sz w:val="24"/>
          <w:szCs w:val="20"/>
          <w:lang w:eastAsia="ru-RU"/>
        </w:rPr>
        <w:t xml:space="preserve">Бондаренко Вероника Евгеньевна, </w:t>
      </w:r>
    </w:p>
    <w:p w:rsidR="00517711" w:rsidRDefault="00F815BE">
      <w:pPr>
        <w:tabs>
          <w:tab w:val="left" w:pos="567"/>
          <w:tab w:val="right" w:leader="dot" w:pos="9355"/>
        </w:tabs>
        <w:spacing w:line="240" w:lineRule="auto"/>
        <w:ind w:firstLine="709"/>
        <w:jc w:val="center"/>
        <w:rPr>
          <w:rFonts w:ascii="Arial" w:eastAsia="Calibri" w:hAnsi="Arial"/>
          <w:bCs/>
          <w:sz w:val="24"/>
          <w:szCs w:val="20"/>
          <w:lang w:eastAsia="ru-RU"/>
        </w:rPr>
      </w:pPr>
      <w:r>
        <w:rPr>
          <w:rFonts w:ascii="Arial" w:eastAsia="Calibri" w:hAnsi="Arial"/>
          <w:bCs/>
          <w:sz w:val="24"/>
          <w:szCs w:val="20"/>
          <w:lang w:eastAsia="ru-RU"/>
        </w:rPr>
        <w:t>бакалавр</w:t>
      </w:r>
    </w:p>
    <w:p w:rsidR="00517711" w:rsidRDefault="00F815BE">
      <w:pPr>
        <w:tabs>
          <w:tab w:val="left" w:pos="567"/>
          <w:tab w:val="right" w:leader="dot" w:pos="9355"/>
        </w:tabs>
        <w:spacing w:after="0" w:line="240" w:lineRule="auto"/>
        <w:ind w:firstLine="709"/>
        <w:jc w:val="center"/>
        <w:rPr>
          <w:rFonts w:ascii="Times New Roman" w:hAnsi="Times New Roman"/>
          <w:sz w:val="24"/>
          <w:szCs w:val="16"/>
        </w:rPr>
      </w:pPr>
      <w:r>
        <w:rPr>
          <w:rFonts w:ascii="Times New Roman" w:hAnsi="Times New Roman"/>
          <w:sz w:val="24"/>
          <w:szCs w:val="16"/>
          <w:lang w:val="en-US"/>
        </w:rPr>
        <w:t>E</w:t>
      </w:r>
      <w:r>
        <w:rPr>
          <w:rFonts w:ascii="Times New Roman" w:hAnsi="Times New Roman"/>
          <w:sz w:val="24"/>
          <w:szCs w:val="16"/>
        </w:rPr>
        <w:t>-</w:t>
      </w:r>
      <w:r>
        <w:rPr>
          <w:rFonts w:ascii="Times New Roman" w:hAnsi="Times New Roman"/>
          <w:sz w:val="24"/>
          <w:szCs w:val="16"/>
          <w:lang w:val="en-US"/>
        </w:rPr>
        <w:t>mail</w:t>
      </w:r>
      <w:r>
        <w:rPr>
          <w:rFonts w:ascii="Times New Roman" w:hAnsi="Times New Roman"/>
          <w:sz w:val="24"/>
          <w:szCs w:val="16"/>
        </w:rPr>
        <w:t>: 79532070437@</w:t>
      </w:r>
      <w:r>
        <w:rPr>
          <w:rFonts w:ascii="Times New Roman" w:hAnsi="Times New Roman"/>
          <w:sz w:val="24"/>
          <w:szCs w:val="16"/>
          <w:lang w:val="en-US"/>
        </w:rPr>
        <w:t>yandex</w:t>
      </w:r>
      <w:r>
        <w:rPr>
          <w:rFonts w:ascii="Times New Roman" w:hAnsi="Times New Roman"/>
          <w:sz w:val="24"/>
          <w:szCs w:val="16"/>
        </w:rPr>
        <w:t>.</w:t>
      </w:r>
      <w:r>
        <w:rPr>
          <w:rFonts w:ascii="Times New Roman" w:hAnsi="Times New Roman"/>
          <w:sz w:val="24"/>
          <w:szCs w:val="16"/>
          <w:lang w:val="en-US"/>
        </w:rPr>
        <w:t>ru</w:t>
      </w:r>
      <w:r>
        <w:rPr>
          <w:rFonts w:ascii="Times New Roman" w:hAnsi="Times New Roman"/>
          <w:sz w:val="24"/>
          <w:szCs w:val="16"/>
        </w:rPr>
        <w:t>; тел. +79532070437</w:t>
      </w:r>
    </w:p>
    <w:p w:rsidR="00517711" w:rsidRDefault="00F815BE">
      <w:pPr>
        <w:tabs>
          <w:tab w:val="left" w:pos="567"/>
          <w:tab w:val="right" w:leader="dot" w:pos="9355"/>
        </w:tabs>
        <w:spacing w:after="0" w:line="240" w:lineRule="auto"/>
        <w:ind w:firstLine="709"/>
        <w:jc w:val="center"/>
        <w:rPr>
          <w:rFonts w:ascii="Arial" w:eastAsia="Calibri" w:hAnsi="Arial"/>
          <w:b/>
          <w:bCs/>
          <w:sz w:val="24"/>
          <w:szCs w:val="20"/>
          <w:lang w:eastAsia="ru-RU"/>
        </w:rPr>
      </w:pPr>
      <w:r>
        <w:rPr>
          <w:rFonts w:ascii="Arial" w:eastAsia="Calibri" w:hAnsi="Arial"/>
          <w:b/>
          <w:bCs/>
          <w:sz w:val="24"/>
          <w:szCs w:val="20"/>
          <w:lang w:eastAsia="ru-RU"/>
        </w:rPr>
        <w:t>Терская Людмила Александровна,</w:t>
      </w:r>
    </w:p>
    <w:p w:rsidR="00517711" w:rsidRDefault="00F815BE">
      <w:pPr>
        <w:tabs>
          <w:tab w:val="left" w:pos="567"/>
          <w:tab w:val="right" w:leader="dot" w:pos="9355"/>
        </w:tabs>
        <w:spacing w:line="240" w:lineRule="auto"/>
        <w:ind w:firstLine="709"/>
        <w:jc w:val="center"/>
        <w:rPr>
          <w:rFonts w:ascii="Arial" w:eastAsia="Calibri" w:hAnsi="Arial"/>
          <w:bCs/>
          <w:sz w:val="24"/>
          <w:szCs w:val="20"/>
          <w:lang w:eastAsia="ru-RU"/>
        </w:rPr>
      </w:pPr>
      <w:r>
        <w:rPr>
          <w:rFonts w:ascii="Arial" w:eastAsia="Calibri" w:hAnsi="Arial"/>
          <w:bCs/>
          <w:sz w:val="24"/>
          <w:szCs w:val="20"/>
          <w:lang w:eastAsia="ru-RU"/>
        </w:rPr>
        <w:t>научный руководитель, доцент кафедры дизайна и технологий, доц., канд. техн. наук</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 xml:space="preserve">Владивостокский государственный университет экономики и сервиса </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tabs>
          <w:tab w:val="left" w:pos="567"/>
          <w:tab w:val="right" w:leader="dot" w:pos="9355"/>
        </w:tabs>
        <w:spacing w:after="0" w:line="240" w:lineRule="auto"/>
        <w:ind w:firstLine="709"/>
        <w:jc w:val="center"/>
        <w:rPr>
          <w:rFonts w:ascii="Times New Roman" w:hAnsi="Times New Roman"/>
          <w:sz w:val="20"/>
          <w:szCs w:val="16"/>
        </w:rPr>
      </w:pPr>
      <w:r>
        <w:rPr>
          <w:rFonts w:ascii="Times New Roman" w:hAnsi="Times New Roman"/>
          <w:sz w:val="20"/>
          <w:szCs w:val="16"/>
        </w:rPr>
        <w:lastRenderedPageBreak/>
        <w:t>terskayal@mail.ru; 8(423)2404-103</w:t>
      </w:r>
    </w:p>
    <w:p w:rsidR="00517711" w:rsidRDefault="00F815BE">
      <w:pPr>
        <w:tabs>
          <w:tab w:val="left" w:pos="567"/>
          <w:tab w:val="right" w:leader="dot" w:pos="9355"/>
        </w:tabs>
        <w:spacing w:after="0" w:line="240" w:lineRule="auto"/>
        <w:ind w:firstLine="709"/>
        <w:jc w:val="center"/>
        <w:rPr>
          <w:rFonts w:ascii="Times New Roman" w:hAnsi="Times New Roman"/>
          <w:sz w:val="20"/>
          <w:szCs w:val="16"/>
        </w:rPr>
      </w:pPr>
      <w:r>
        <w:rPr>
          <w:rFonts w:ascii="Times New Roman" w:hAnsi="Times New Roman"/>
          <w:sz w:val="20"/>
          <w:szCs w:val="16"/>
        </w:rPr>
        <w:t>ул. Гоголя, 41, г. Владивосток, Приморский край, Россия, 690014</w:t>
      </w:r>
    </w:p>
    <w:p w:rsidR="00517711" w:rsidRDefault="00F815BE">
      <w:pPr>
        <w:tabs>
          <w:tab w:val="left" w:pos="567"/>
          <w:tab w:val="right" w:leader="dot" w:pos="9638"/>
        </w:tabs>
        <w:spacing w:before="240" w:after="0" w:line="240" w:lineRule="auto"/>
        <w:ind w:firstLine="709"/>
        <w:jc w:val="both"/>
        <w:rPr>
          <w:rFonts w:ascii="Times New Roman" w:hAnsi="Times New Roman"/>
          <w:i/>
          <w:szCs w:val="16"/>
        </w:rPr>
      </w:pPr>
      <w:r>
        <w:rPr>
          <w:rFonts w:ascii="Times New Roman" w:hAnsi="Times New Roman"/>
          <w:i/>
          <w:szCs w:val="16"/>
        </w:rPr>
        <w:t>Статья посвящена анализу тенденций повышения энергетической эффективности торговых центров. Определены общие характеристики торгового центра, рассмотрена сущность понятия «энергетическая эффективность». Обоснована необходимость проведения энергоаудита для решения вопроса энергоэффективности здания. Для выявления мировых тенденций повышения энергоэффективности деятельности организаций проанализирован зарубежный опыт. Выявлены современные решения снижения объемов энергопотребления в торговых центрах.</w:t>
      </w:r>
    </w:p>
    <w:p w:rsidR="00517711" w:rsidRDefault="00F815BE">
      <w:pPr>
        <w:tabs>
          <w:tab w:val="left" w:pos="567"/>
          <w:tab w:val="right" w:leader="dot" w:pos="9638"/>
        </w:tabs>
        <w:spacing w:after="0" w:line="240" w:lineRule="auto"/>
        <w:ind w:firstLine="709"/>
        <w:jc w:val="both"/>
        <w:rPr>
          <w:rFonts w:ascii="Times New Roman" w:hAnsi="Times New Roman"/>
          <w:szCs w:val="16"/>
        </w:rPr>
      </w:pPr>
      <w:r>
        <w:rPr>
          <w:rFonts w:ascii="Times New Roman" w:hAnsi="Times New Roman"/>
          <w:b/>
          <w:i/>
          <w:szCs w:val="16"/>
        </w:rPr>
        <w:t xml:space="preserve">Ключевые слова и словосочетания: </w:t>
      </w:r>
      <w:r>
        <w:rPr>
          <w:rFonts w:ascii="Times New Roman" w:hAnsi="Times New Roman"/>
          <w:i/>
          <w:szCs w:val="16"/>
        </w:rPr>
        <w:t>энергетическая эффективность, энергосбережение, энергоресурсы, энергопотребение, торговые центры.</w:t>
      </w:r>
    </w:p>
    <w:p w:rsidR="00517711" w:rsidRDefault="00F815BE">
      <w:pPr>
        <w:keepNext/>
        <w:spacing w:before="240" w:after="240" w:line="240" w:lineRule="auto"/>
        <w:jc w:val="center"/>
        <w:outlineLvl w:val="0"/>
        <w:rPr>
          <w:rFonts w:ascii="Book Antiqua" w:eastAsia="Calibri" w:hAnsi="Book Antiqua"/>
          <w:b/>
          <w:bCs/>
          <w:caps/>
          <w:sz w:val="26"/>
          <w:szCs w:val="20"/>
          <w:lang w:val="en-US"/>
        </w:rPr>
      </w:pPr>
      <w:r>
        <w:rPr>
          <w:rFonts w:ascii="Book Antiqua" w:eastAsia="Calibri" w:hAnsi="Book Antiqua"/>
          <w:b/>
          <w:bCs/>
          <w:caps/>
          <w:sz w:val="26"/>
          <w:szCs w:val="20"/>
          <w:lang w:val="en-US"/>
        </w:rPr>
        <w:t>Improving the energy efficiency of shopping centers</w:t>
      </w:r>
    </w:p>
    <w:p w:rsidR="00517711" w:rsidRDefault="00F815BE">
      <w:pPr>
        <w:tabs>
          <w:tab w:val="left" w:pos="567"/>
          <w:tab w:val="right" w:leader="dot" w:pos="9355"/>
        </w:tabs>
        <w:spacing w:after="0" w:line="240" w:lineRule="auto"/>
        <w:ind w:firstLine="709"/>
        <w:jc w:val="both"/>
        <w:rPr>
          <w:rFonts w:ascii="Times New Roman" w:hAnsi="Times New Roman"/>
          <w:i/>
          <w:szCs w:val="16"/>
          <w:lang w:val="en-US"/>
        </w:rPr>
      </w:pPr>
      <w:r>
        <w:rPr>
          <w:rFonts w:ascii="Times New Roman" w:hAnsi="Times New Roman"/>
          <w:i/>
          <w:szCs w:val="16"/>
          <w:lang w:val="en-US"/>
        </w:rPr>
        <w:t>The article is devoted to the analysis of tendencies of increase of energy efficiency of shopping centers. The general characteristics of the shopping center are defined, the essence of the concept of "energy efficiency".</w:t>
      </w:r>
      <w:r>
        <w:rPr>
          <w:sz w:val="20"/>
          <w:lang w:val="en-US"/>
        </w:rPr>
        <w:t xml:space="preserve"> </w:t>
      </w:r>
      <w:r>
        <w:rPr>
          <w:rFonts w:ascii="Times New Roman" w:hAnsi="Times New Roman"/>
          <w:i/>
          <w:szCs w:val="16"/>
          <w:lang w:val="en-US"/>
        </w:rPr>
        <w:t>The necessity of conducting energy audit for solving the issue of energy efficiency of the building is substantiated.</w:t>
      </w:r>
      <w:r>
        <w:rPr>
          <w:sz w:val="20"/>
          <w:lang w:val="en-US"/>
        </w:rPr>
        <w:t xml:space="preserve"> </w:t>
      </w:r>
      <w:r>
        <w:rPr>
          <w:rFonts w:ascii="Times New Roman" w:hAnsi="Times New Roman"/>
          <w:i/>
          <w:szCs w:val="24"/>
          <w:lang w:val="en-US"/>
        </w:rPr>
        <w:t>The study analyzed foreign experience of increasing the energy efficiency of organizations. The basic world tendencies of increase of energy efficiency of organizations are determined.</w:t>
      </w:r>
      <w:r>
        <w:rPr>
          <w:sz w:val="20"/>
          <w:lang w:val="en-US"/>
        </w:rPr>
        <w:t xml:space="preserve"> </w:t>
      </w:r>
      <w:r>
        <w:rPr>
          <w:rFonts w:ascii="Times New Roman" w:hAnsi="Times New Roman"/>
          <w:i/>
          <w:szCs w:val="16"/>
          <w:lang w:val="en-US"/>
        </w:rPr>
        <w:t>Modern solutions for reducing energy consumption in shopping centers have been identified.</w:t>
      </w:r>
    </w:p>
    <w:p w:rsidR="00517711" w:rsidRDefault="00F815BE">
      <w:pPr>
        <w:tabs>
          <w:tab w:val="left" w:pos="567"/>
          <w:tab w:val="right" w:leader="dot" w:pos="9355"/>
        </w:tabs>
        <w:spacing w:line="240" w:lineRule="auto"/>
        <w:ind w:firstLine="709"/>
        <w:jc w:val="both"/>
        <w:rPr>
          <w:rFonts w:ascii="Times New Roman" w:hAnsi="Times New Roman"/>
          <w:szCs w:val="16"/>
          <w:lang w:val="en-US"/>
        </w:rPr>
      </w:pPr>
      <w:r>
        <w:rPr>
          <w:rFonts w:ascii="Times New Roman" w:hAnsi="Times New Roman"/>
          <w:b/>
          <w:i/>
          <w:szCs w:val="16"/>
          <w:lang w:val="en-US"/>
        </w:rPr>
        <w:t>Keywords</w:t>
      </w:r>
      <w:r>
        <w:rPr>
          <w:rFonts w:ascii="Times New Roman" w:hAnsi="Times New Roman"/>
          <w:b/>
          <w:szCs w:val="16"/>
          <w:lang w:val="en-US"/>
        </w:rPr>
        <w:t xml:space="preserve">: </w:t>
      </w:r>
      <w:r>
        <w:rPr>
          <w:rFonts w:ascii="Times New Roman" w:hAnsi="Times New Roman"/>
          <w:szCs w:val="16"/>
          <w:lang w:val="en-US"/>
        </w:rPr>
        <w:t>energy efficiency, energy saving, energy resources,</w:t>
      </w:r>
      <w:r>
        <w:rPr>
          <w:sz w:val="20"/>
          <w:lang w:val="en-US"/>
        </w:rPr>
        <w:t xml:space="preserve"> </w:t>
      </w:r>
      <w:r>
        <w:rPr>
          <w:rFonts w:ascii="Times New Roman" w:hAnsi="Times New Roman"/>
          <w:szCs w:val="16"/>
          <w:lang w:val="en-US"/>
        </w:rPr>
        <w:t>energy consumption, shopping centers.</w:t>
      </w:r>
    </w:p>
    <w:p w:rsidR="00517711" w:rsidRDefault="00F815BE">
      <w:pPr>
        <w:tabs>
          <w:tab w:val="left" w:pos="567"/>
          <w:tab w:val="right" w:leader="dot" w:pos="9355"/>
        </w:tabs>
        <w:spacing w:after="0" w:line="240" w:lineRule="auto"/>
        <w:ind w:firstLine="709"/>
        <w:jc w:val="both"/>
        <w:rPr>
          <w:rFonts w:ascii="Times New Roman" w:hAnsi="Times New Roman"/>
          <w:sz w:val="20"/>
          <w:szCs w:val="16"/>
        </w:rPr>
      </w:pPr>
      <w:r>
        <w:rPr>
          <w:rFonts w:ascii="Times New Roman" w:hAnsi="Times New Roman"/>
          <w:sz w:val="20"/>
          <w:szCs w:val="16"/>
        </w:rPr>
        <w:t xml:space="preserve">Вопросы энергоэффективности и энергосбережения в условиях климатических и экологических проблем современности становятся все более актуальными и, в первую очередь, для владельцев торговых заведений, административных зданий, объектов социальной сферы и промышленных предприятий. Задачи повышения энергоэффективности здания торгового центра, а, следовательно, снижение издержек на энергопотребление, стоят сегодня перед каждым руководителем торгового центра. </w:t>
      </w:r>
    </w:p>
    <w:p w:rsidR="00517711" w:rsidRDefault="00F815BE">
      <w:pPr>
        <w:tabs>
          <w:tab w:val="left" w:pos="567"/>
          <w:tab w:val="right" w:leader="dot" w:pos="9355"/>
        </w:tabs>
        <w:spacing w:after="0" w:line="240" w:lineRule="auto"/>
        <w:ind w:firstLine="709"/>
        <w:jc w:val="both"/>
        <w:rPr>
          <w:rFonts w:ascii="Times New Roman" w:hAnsi="Times New Roman"/>
          <w:sz w:val="20"/>
          <w:szCs w:val="16"/>
        </w:rPr>
      </w:pPr>
      <w:r>
        <w:rPr>
          <w:rFonts w:ascii="Times New Roman" w:hAnsi="Times New Roman"/>
          <w:sz w:val="20"/>
          <w:szCs w:val="16"/>
        </w:rPr>
        <w:t>В сокращении затрат на энергоресурсы заинтересованы три стороны: владелец объекта, который стремится снизить расходы на энергопотребление в целом; арендаторы, которые заинтересованы платить меньше за энергетические ресурсы; потенциальные покупатели, на стоимость покупок которых влияет арендная плата за помещение в торговом центре.</w:t>
      </w:r>
    </w:p>
    <w:p w:rsidR="00517711" w:rsidRDefault="00F815BE">
      <w:pPr>
        <w:tabs>
          <w:tab w:val="left" w:pos="567"/>
          <w:tab w:val="right" w:leader="dot" w:pos="9355"/>
        </w:tabs>
        <w:spacing w:after="0" w:line="240" w:lineRule="auto"/>
        <w:ind w:firstLine="709"/>
        <w:jc w:val="both"/>
        <w:rPr>
          <w:rFonts w:ascii="Times New Roman" w:hAnsi="Times New Roman"/>
          <w:sz w:val="20"/>
          <w:szCs w:val="16"/>
        </w:rPr>
      </w:pPr>
      <w:r>
        <w:rPr>
          <w:rFonts w:ascii="Times New Roman" w:hAnsi="Times New Roman"/>
          <w:sz w:val="20"/>
          <w:szCs w:val="16"/>
        </w:rPr>
        <w:t>Цель настоящего исследования – анализ тенденций повышения энергетической эффективности торговых центров. Для реализации поставленной цели необходимо было решить следующие задачи: определить общие характеристики торгового центра; рассмотреть сущность понятия «энергетической эффективности»; выявить современные решения снижения объемов энергопотребления.</w:t>
      </w:r>
    </w:p>
    <w:p w:rsidR="00517711" w:rsidRDefault="00F815BE">
      <w:pPr>
        <w:tabs>
          <w:tab w:val="left" w:pos="567"/>
          <w:tab w:val="right" w:leader="dot" w:pos="9355"/>
        </w:tabs>
        <w:spacing w:after="0" w:line="240" w:lineRule="auto"/>
        <w:ind w:firstLine="709"/>
        <w:jc w:val="both"/>
        <w:rPr>
          <w:rFonts w:ascii="Times New Roman" w:hAnsi="Times New Roman"/>
          <w:sz w:val="20"/>
          <w:szCs w:val="16"/>
        </w:rPr>
      </w:pPr>
      <w:r>
        <w:rPr>
          <w:rFonts w:ascii="Times New Roman" w:hAnsi="Times New Roman"/>
          <w:sz w:val="20"/>
          <w:szCs w:val="16"/>
        </w:rPr>
        <w:t>Торговый центр – группа торговых предприятий, спланированных, построенных, владеемых и управляемых как единое целое, соответствующих по своему местонахождению, величине и типу магазинов обслуживаемой ими торговой зоне и предоставляющих в границах своей территории возможности для стоянки автомобилей в прямом соответствии с типами и размерами входящих в нее магазинов [1-3]. Современный торговый центр может представлять собой большой торгово-развлекательный комплекс — многоэтажное здание, в котором кроме магазинов могут находиться также кафе, бары, казино, кинотеатр, боулинг. Как правило, комплекс оборудован эскалаторами, лифтами, снабжён парковкой для личного транспорта покупателей и расположен около станций метро и остановок общественного транспорта или в спальных районах города. Такой торгово-развлекательный комплекс может представлять собой образец сосредоточия современной массовой культуры.</w:t>
      </w:r>
    </w:p>
    <w:p w:rsidR="00517711" w:rsidRDefault="00F815BE">
      <w:pPr>
        <w:tabs>
          <w:tab w:val="left" w:pos="567"/>
          <w:tab w:val="right" w:leader="dot" w:pos="9355"/>
        </w:tabs>
        <w:spacing w:after="0" w:line="240" w:lineRule="auto"/>
        <w:jc w:val="both"/>
        <w:rPr>
          <w:rFonts w:ascii="Times New Roman" w:hAnsi="Times New Roman"/>
          <w:sz w:val="20"/>
          <w:szCs w:val="16"/>
        </w:rPr>
      </w:pPr>
      <w:r>
        <w:rPr>
          <w:rFonts w:ascii="Times New Roman" w:hAnsi="Times New Roman"/>
          <w:sz w:val="20"/>
          <w:szCs w:val="24"/>
          <w:lang w:eastAsia="ru-RU"/>
        </w:rPr>
        <w:tab/>
        <w:t xml:space="preserve">Федеральный закон «Об энергосбережении и о повышении энергетической эффективности, и о внесении изменений в отдельные законодательные акты Российской Федерации» содержит следующее определение энергетической эффективности </w:t>
      </w:r>
      <w:r>
        <w:rPr>
          <w:rFonts w:ascii="Times New Roman" w:hAnsi="Times New Roman"/>
          <w:sz w:val="20"/>
          <w:szCs w:val="16"/>
        </w:rPr>
        <w:t xml:space="preserve">– это «характеристики, отражающие отношение полезного эффекта от использования энергетических ресурсов к затратам энергетических ресурсов, произведенным в целях получения такого эффекта» [4]. Следует отметить, что вопросы снижения издержек являются наиболее актуальными для большинства коммерческих организаций, в том числе крупных торговых центров, и сегодня одним из популярных методов оптимизации затрат стали инновационные технологии, увеличивающие энергоэффективность объекта и, соответственно, повышающие его конкурентоспособность. При этом, значительно сократить затраты и минимизировать работу по обслуживанию в течение всего жизненного цикла объекта позволяет внедрение современных технологических решений еще на этапе проектирования торгового центра. Однако на практике чаще приходиться работать над снижением операционных расходов уже после завершения строительства и запуска торгового комплекса. </w:t>
      </w:r>
    </w:p>
    <w:p w:rsidR="00517711" w:rsidRDefault="00F815BE">
      <w:pPr>
        <w:tabs>
          <w:tab w:val="left" w:pos="567"/>
          <w:tab w:val="right" w:leader="dot" w:pos="9355"/>
        </w:tabs>
        <w:spacing w:after="0" w:line="240" w:lineRule="auto"/>
        <w:ind w:firstLine="709"/>
        <w:jc w:val="both"/>
        <w:rPr>
          <w:rFonts w:ascii="Times New Roman" w:hAnsi="Times New Roman"/>
          <w:sz w:val="20"/>
          <w:szCs w:val="16"/>
        </w:rPr>
      </w:pPr>
      <w:r>
        <w:rPr>
          <w:rFonts w:ascii="Times New Roman" w:hAnsi="Times New Roman"/>
          <w:sz w:val="20"/>
          <w:szCs w:val="16"/>
        </w:rPr>
        <w:t xml:space="preserve">Первое, что требуется сделать для решения вопроса энергоэффективности здания – провести его энергоаудит [4]. Базовое измерение потребляемой электроэнергии по каждому виду инженерного оборудования дает возможность выявить слабые участки и определить наиболее рациональные пути для оптимизации </w:t>
      </w:r>
      <w:r>
        <w:rPr>
          <w:rFonts w:ascii="Times New Roman" w:hAnsi="Times New Roman"/>
          <w:sz w:val="20"/>
          <w:szCs w:val="16"/>
        </w:rPr>
        <w:lastRenderedPageBreak/>
        <w:t>процессов, и, как следствие, – эффективное использование ресурсов. Снизить объемы энергопотребления возможно с помощью ряда следующих решений:</w:t>
      </w:r>
    </w:p>
    <w:p w:rsidR="00517711" w:rsidRDefault="00F815BE">
      <w:pPr>
        <w:tabs>
          <w:tab w:val="left" w:pos="567"/>
          <w:tab w:val="right" w:leader="dot" w:pos="9355"/>
        </w:tabs>
        <w:spacing w:after="0" w:line="240" w:lineRule="auto"/>
        <w:ind w:firstLine="709"/>
        <w:jc w:val="both"/>
        <w:rPr>
          <w:rFonts w:ascii="Times New Roman" w:hAnsi="Times New Roman"/>
          <w:sz w:val="20"/>
          <w:szCs w:val="16"/>
        </w:rPr>
      </w:pPr>
      <w:r>
        <w:rPr>
          <w:rFonts w:ascii="Times New Roman" w:hAnsi="Times New Roman"/>
          <w:sz w:val="20"/>
          <w:szCs w:val="16"/>
        </w:rPr>
        <w:t xml:space="preserve">– контроль за потреблением электроэнергии в торговом центре целесообразно проводить через автоматизированную систему управления зданием (АСУЗ), по принципу «умный дом». Электронная система позволяет через диспетчерский пункт контролировать систему вентиляции, освещение, электропотребление, противопожарное оборудование и систему безопасности, а также управляет системой воздушных потоков и обеспечивает комфортную температуру в помещениях; </w:t>
      </w:r>
    </w:p>
    <w:p w:rsidR="00517711" w:rsidRDefault="00F815BE">
      <w:pPr>
        <w:tabs>
          <w:tab w:val="left" w:pos="567"/>
          <w:tab w:val="right" w:leader="dot" w:pos="9355"/>
        </w:tabs>
        <w:spacing w:after="0" w:line="240" w:lineRule="auto"/>
        <w:ind w:firstLine="709"/>
        <w:jc w:val="both"/>
        <w:rPr>
          <w:rFonts w:ascii="Times New Roman" w:hAnsi="Times New Roman"/>
          <w:sz w:val="20"/>
          <w:szCs w:val="16"/>
        </w:rPr>
      </w:pPr>
      <w:r>
        <w:rPr>
          <w:rFonts w:ascii="Times New Roman" w:hAnsi="Times New Roman"/>
          <w:sz w:val="20"/>
          <w:szCs w:val="16"/>
        </w:rPr>
        <w:t xml:space="preserve">– при проектировании входной группы торгового центра хорошим решением являются револьверные (крутящиеся) двери, которые надежно защищают помещение от сквозняков и потери тепла; </w:t>
      </w:r>
    </w:p>
    <w:p w:rsidR="00517711" w:rsidRDefault="00F815BE">
      <w:pPr>
        <w:tabs>
          <w:tab w:val="left" w:pos="567"/>
          <w:tab w:val="right" w:leader="dot" w:pos="9355"/>
        </w:tabs>
        <w:spacing w:after="0" w:line="240" w:lineRule="auto"/>
        <w:ind w:firstLine="709"/>
        <w:jc w:val="both"/>
        <w:rPr>
          <w:rFonts w:ascii="Times New Roman" w:hAnsi="Times New Roman"/>
          <w:sz w:val="20"/>
          <w:szCs w:val="16"/>
        </w:rPr>
      </w:pPr>
      <w:r>
        <w:rPr>
          <w:rFonts w:ascii="Times New Roman" w:hAnsi="Times New Roman"/>
          <w:sz w:val="20"/>
          <w:szCs w:val="16"/>
        </w:rPr>
        <w:t>– в системах кондиционирования могут оказаться выгодными абсорбционные машины и холодонакопительные системы с использованием льда, намораживаемого ночью, когда электроэнергия обходится дешевле;</w:t>
      </w:r>
    </w:p>
    <w:p w:rsidR="00517711" w:rsidRDefault="00F815BE">
      <w:pPr>
        <w:tabs>
          <w:tab w:val="left" w:pos="567"/>
          <w:tab w:val="right" w:leader="dot" w:pos="9355"/>
        </w:tabs>
        <w:spacing w:after="0" w:line="240" w:lineRule="auto"/>
        <w:ind w:firstLine="709"/>
        <w:jc w:val="both"/>
        <w:rPr>
          <w:rFonts w:ascii="Times New Roman" w:hAnsi="Times New Roman"/>
          <w:sz w:val="20"/>
          <w:szCs w:val="16"/>
        </w:rPr>
      </w:pPr>
      <w:r>
        <w:rPr>
          <w:rFonts w:ascii="Times New Roman" w:hAnsi="Times New Roman"/>
          <w:sz w:val="20"/>
          <w:szCs w:val="16"/>
        </w:rPr>
        <w:t>– применение светодиодных источников света позволит получить экономию не только за счет снижения потребления электроэнергии и мощности, но и за счет уменьшения расходов на охлаждение воздуха в летний период, т.к. тепловыделение у светодиодов практически отсутствует;</w:t>
      </w:r>
    </w:p>
    <w:p w:rsidR="00517711" w:rsidRDefault="00F815BE">
      <w:pPr>
        <w:tabs>
          <w:tab w:val="left" w:pos="567"/>
          <w:tab w:val="right" w:leader="dot" w:pos="9355"/>
        </w:tabs>
        <w:spacing w:after="0" w:line="240" w:lineRule="auto"/>
        <w:ind w:firstLine="709"/>
        <w:jc w:val="both"/>
        <w:rPr>
          <w:rFonts w:ascii="Times New Roman" w:hAnsi="Times New Roman"/>
          <w:sz w:val="20"/>
          <w:szCs w:val="16"/>
        </w:rPr>
      </w:pPr>
      <w:r>
        <w:rPr>
          <w:rFonts w:ascii="Times New Roman" w:hAnsi="Times New Roman"/>
          <w:sz w:val="20"/>
          <w:szCs w:val="16"/>
        </w:rPr>
        <w:t>– светопрозрачные (светопропускающие) конструкции обеспечивают теплоизоляцию, необходимую естественную освещенность и возможность визуального контакта с окружающей средой. Таким конструкциями могут выступать окна и остекленные двери, светопро-зрачные фасады, витражи витрины, элементы остекления крыш, остекленные лифтовые шахты [6].</w:t>
      </w:r>
    </w:p>
    <w:p w:rsidR="00517711" w:rsidRDefault="00F815BE">
      <w:pPr>
        <w:tabs>
          <w:tab w:val="left" w:pos="567"/>
          <w:tab w:val="right" w:leader="dot" w:pos="9355"/>
        </w:tabs>
        <w:spacing w:after="0" w:line="240" w:lineRule="auto"/>
        <w:ind w:firstLine="709"/>
        <w:jc w:val="both"/>
        <w:rPr>
          <w:rFonts w:ascii="Times New Roman" w:hAnsi="Times New Roman"/>
          <w:sz w:val="20"/>
          <w:szCs w:val="16"/>
        </w:rPr>
      </w:pPr>
      <w:r>
        <w:rPr>
          <w:rFonts w:ascii="Times New Roman" w:hAnsi="Times New Roman"/>
          <w:sz w:val="20"/>
          <w:szCs w:val="16"/>
        </w:rPr>
        <w:t>– в течение дня количество посетителей, находящихся в ТЦ, постоянно меняется, а, следовательно, весьма существенно меняется и содержание углекислого газа в воздухе. Поэтому, реализация «вентиляции по запросу» на основе показаний датчика СО2 приносит ощутимое снижение.</w:t>
      </w:r>
    </w:p>
    <w:p w:rsidR="00517711" w:rsidRDefault="00F815BE">
      <w:pPr>
        <w:tabs>
          <w:tab w:val="left" w:pos="567"/>
          <w:tab w:val="right" w:leader="dot" w:pos="9355"/>
        </w:tabs>
        <w:spacing w:after="0" w:line="240" w:lineRule="auto"/>
        <w:ind w:firstLine="709"/>
        <w:jc w:val="both"/>
        <w:rPr>
          <w:rFonts w:ascii="Times New Roman" w:hAnsi="Times New Roman"/>
          <w:sz w:val="20"/>
          <w:szCs w:val="16"/>
        </w:rPr>
      </w:pPr>
      <w:r>
        <w:rPr>
          <w:rFonts w:ascii="Times New Roman" w:hAnsi="Times New Roman"/>
          <w:sz w:val="20"/>
          <w:szCs w:val="16"/>
        </w:rPr>
        <w:t>– тепловые насосы позволяют эффективно использовать тепло природных ресурсов для обогрева помещения зимой и для охлаждения помещений летом.</w:t>
      </w:r>
    </w:p>
    <w:p w:rsidR="00517711" w:rsidRDefault="00F815BE">
      <w:pPr>
        <w:tabs>
          <w:tab w:val="left" w:pos="567"/>
          <w:tab w:val="right" w:leader="dot" w:pos="9355"/>
        </w:tabs>
        <w:spacing w:after="0" w:line="240" w:lineRule="auto"/>
        <w:ind w:firstLine="709"/>
        <w:jc w:val="both"/>
        <w:rPr>
          <w:rFonts w:ascii="Times New Roman" w:hAnsi="Times New Roman"/>
          <w:sz w:val="20"/>
          <w:szCs w:val="16"/>
        </w:rPr>
      </w:pPr>
      <w:r>
        <w:rPr>
          <w:rFonts w:ascii="Times New Roman" w:hAnsi="Times New Roman"/>
          <w:sz w:val="20"/>
          <w:szCs w:val="16"/>
        </w:rPr>
        <w:t>Данные решения являются достаточно эффективными, их реализация поможет снизить потребление энергоресурсов и повысить энергоэффективность торгового центра в целом.</w:t>
      </w:r>
    </w:p>
    <w:p w:rsidR="00517711" w:rsidRDefault="00F815BE">
      <w:pPr>
        <w:tabs>
          <w:tab w:val="left" w:pos="567"/>
          <w:tab w:val="right" w:leader="dot" w:pos="9355"/>
        </w:tabs>
        <w:spacing w:after="0" w:line="240" w:lineRule="auto"/>
        <w:ind w:firstLine="709"/>
        <w:jc w:val="both"/>
        <w:rPr>
          <w:rFonts w:ascii="Times New Roman" w:hAnsi="Times New Roman"/>
          <w:sz w:val="20"/>
          <w:szCs w:val="16"/>
        </w:rPr>
      </w:pPr>
      <w:r>
        <w:rPr>
          <w:rFonts w:ascii="Times New Roman" w:hAnsi="Times New Roman"/>
          <w:sz w:val="20"/>
          <w:szCs w:val="16"/>
        </w:rPr>
        <w:t>Еще одним путем повышения энергоэффективности торговых центров может быть применение возобновляемых источников энергии. Так, например, геотермальная энергия, накопленная в недрах земли, может быть использована для работы водонагревательных установок, систем отопления, кондиционирования благодаря технологии теплового насоса или геотермальных зондов. Солнечная энергия может использоваться как для горячего водоснабжения (солнечные коллекторы), так и для производства электроэнергии (фотогальванические панели).</w:t>
      </w:r>
    </w:p>
    <w:p w:rsidR="00517711" w:rsidRDefault="00F815BE">
      <w:pPr>
        <w:tabs>
          <w:tab w:val="left" w:pos="567"/>
          <w:tab w:val="right" w:leader="dot" w:pos="9355"/>
        </w:tabs>
        <w:spacing w:after="0" w:line="240" w:lineRule="auto"/>
        <w:ind w:firstLine="709"/>
        <w:jc w:val="both"/>
        <w:rPr>
          <w:rFonts w:ascii="Times New Roman" w:hAnsi="Times New Roman"/>
          <w:sz w:val="20"/>
          <w:szCs w:val="16"/>
        </w:rPr>
      </w:pPr>
      <w:r>
        <w:rPr>
          <w:rFonts w:ascii="Times New Roman" w:hAnsi="Times New Roman"/>
          <w:sz w:val="20"/>
          <w:szCs w:val="16"/>
        </w:rPr>
        <w:t>В исследовании был проанализирован зарубежный опыт повышения энергоэффективности деятельности организаций [7-11]. Основные мировые тенденции повышения энергоэффективности деятельности организаций [8] представлены на рисунке.</w:t>
      </w:r>
    </w:p>
    <w:p w:rsidR="00517711" w:rsidRDefault="00517711">
      <w:pPr>
        <w:tabs>
          <w:tab w:val="left" w:pos="567"/>
          <w:tab w:val="right" w:leader="dot" w:pos="9355"/>
        </w:tabs>
        <w:spacing w:after="0" w:line="240" w:lineRule="auto"/>
        <w:jc w:val="both"/>
        <w:rPr>
          <w:rFonts w:ascii="Times New Roman" w:hAnsi="Times New Roman"/>
          <w:sz w:val="20"/>
          <w:szCs w:val="16"/>
        </w:rPr>
      </w:pPr>
    </w:p>
    <w:p w:rsidR="00517711" w:rsidRDefault="00517711">
      <w:pPr>
        <w:tabs>
          <w:tab w:val="left" w:pos="567"/>
          <w:tab w:val="right" w:leader="dot" w:pos="9355"/>
        </w:tabs>
        <w:spacing w:after="0" w:line="240" w:lineRule="auto"/>
        <w:ind w:firstLine="709"/>
        <w:jc w:val="both"/>
        <w:rPr>
          <w:rFonts w:ascii="Times New Roman" w:hAnsi="Times New Roman"/>
          <w:sz w:val="24"/>
          <w:szCs w:val="16"/>
        </w:rPr>
      </w:pPr>
    </w:p>
    <w:p w:rsidR="00517711" w:rsidRDefault="00F815BE">
      <w:pPr>
        <w:tabs>
          <w:tab w:val="left" w:pos="567"/>
          <w:tab w:val="right" w:leader="dot" w:pos="9355"/>
        </w:tabs>
        <w:spacing w:after="0" w:line="240" w:lineRule="auto"/>
        <w:jc w:val="center"/>
        <w:rPr>
          <w:rFonts w:ascii="Times New Roman" w:hAnsi="Times New Roman"/>
          <w:sz w:val="24"/>
          <w:szCs w:val="16"/>
        </w:rPr>
      </w:pPr>
      <w:r>
        <w:rPr>
          <w:rFonts w:ascii="Times New Roman" w:hAnsi="Times New Roman"/>
          <w:noProof/>
          <w:sz w:val="24"/>
          <w:szCs w:val="16"/>
          <w:lang w:eastAsia="ru-RU"/>
        </w:rPr>
        <w:drawing>
          <wp:inline distT="0" distB="0" distL="0" distR="0">
            <wp:extent cx="6019164" cy="2560320"/>
            <wp:effectExtent l="0" t="0" r="633" b="0"/>
            <wp:docPr id="100" name="Рисунок 57" descr="зарубе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1" descr="зарубеж"/>
                    <pic:cNvPicPr>
                      <a:picLocks noChangeAspect="1"/>
                    </pic:cNvPicPr>
                  </pic:nvPicPr>
                  <pic:blipFill>
                    <a:blip r:embed="rId262"/>
                    <a:srcRect b="16694"/>
                    <a:stretch/>
                  </pic:blipFill>
                  <pic:spPr bwMode="auto">
                    <a:xfrm>
                      <a:off x="0" y="0"/>
                      <a:ext cx="6019165" cy="2560320"/>
                    </a:xfrm>
                    <a:prstGeom prst="rect">
                      <a:avLst/>
                    </a:prstGeom>
                    <a:noFill/>
                    <a:ln>
                      <a:noFill/>
                    </a:ln>
                  </pic:spPr>
                </pic:pic>
              </a:graphicData>
            </a:graphic>
          </wp:inline>
        </w:drawing>
      </w:r>
    </w:p>
    <w:p w:rsidR="00517711" w:rsidRDefault="00517711">
      <w:pPr>
        <w:tabs>
          <w:tab w:val="left" w:pos="567"/>
          <w:tab w:val="right" w:leader="dot" w:pos="9355"/>
        </w:tabs>
        <w:spacing w:after="0" w:line="240" w:lineRule="auto"/>
        <w:ind w:firstLine="709"/>
        <w:jc w:val="center"/>
        <w:rPr>
          <w:rFonts w:ascii="Times New Roman" w:hAnsi="Times New Roman"/>
          <w:sz w:val="24"/>
          <w:szCs w:val="16"/>
        </w:rPr>
      </w:pPr>
    </w:p>
    <w:p w:rsidR="00517711" w:rsidRDefault="00F815BE">
      <w:pPr>
        <w:tabs>
          <w:tab w:val="left" w:pos="567"/>
          <w:tab w:val="right" w:leader="dot" w:pos="9355"/>
        </w:tabs>
        <w:spacing w:after="0" w:line="240" w:lineRule="auto"/>
        <w:ind w:firstLine="709"/>
        <w:jc w:val="center"/>
        <w:rPr>
          <w:rFonts w:ascii="Times New Roman" w:hAnsi="Times New Roman"/>
          <w:sz w:val="20"/>
          <w:szCs w:val="20"/>
        </w:rPr>
      </w:pPr>
      <w:r>
        <w:rPr>
          <w:rFonts w:ascii="Times New Roman" w:hAnsi="Times New Roman"/>
          <w:sz w:val="20"/>
          <w:szCs w:val="20"/>
        </w:rPr>
        <w:t>Рис.1. Основные мировые тенденции повышения энергоэффективности деятельность организаций</w:t>
      </w:r>
    </w:p>
    <w:p w:rsidR="00517711" w:rsidRDefault="00517711">
      <w:pPr>
        <w:tabs>
          <w:tab w:val="left" w:pos="567"/>
          <w:tab w:val="right" w:leader="dot" w:pos="9355"/>
        </w:tabs>
        <w:spacing w:after="0" w:line="240" w:lineRule="auto"/>
        <w:ind w:firstLine="709"/>
        <w:jc w:val="both"/>
        <w:rPr>
          <w:rFonts w:ascii="Times New Roman" w:hAnsi="Times New Roman"/>
          <w:sz w:val="20"/>
          <w:szCs w:val="20"/>
        </w:rPr>
      </w:pPr>
    </w:p>
    <w:p w:rsidR="00517711" w:rsidRDefault="00F815BE">
      <w:pPr>
        <w:tabs>
          <w:tab w:val="left" w:pos="567"/>
          <w:tab w:val="right" w:leader="dot" w:pos="9355"/>
        </w:tabs>
        <w:spacing w:after="0" w:line="240" w:lineRule="auto"/>
        <w:ind w:firstLine="709"/>
        <w:jc w:val="both"/>
        <w:rPr>
          <w:rFonts w:ascii="Times New Roman" w:hAnsi="Times New Roman"/>
          <w:sz w:val="20"/>
          <w:szCs w:val="20"/>
        </w:rPr>
      </w:pPr>
      <w:r>
        <w:rPr>
          <w:rFonts w:ascii="Times New Roman" w:hAnsi="Times New Roman"/>
          <w:sz w:val="20"/>
          <w:szCs w:val="20"/>
        </w:rPr>
        <w:t>В Германии происходит активное развитие ветро- и солнечной энергетики. Энергия ветра используется в Германии очень давно, почти по всей стране. В последние годы (в связи с разработкой установки для размещения на воде) для выработки ветряной энергии используется не только суша, но и морские просторы. Ветер вырабатывает около 8% всей энергии Германии.</w:t>
      </w:r>
      <w:r>
        <w:rPr>
          <w:sz w:val="20"/>
          <w:szCs w:val="20"/>
        </w:rPr>
        <w:t xml:space="preserve"> </w:t>
      </w:r>
      <w:r>
        <w:rPr>
          <w:rFonts w:ascii="Times New Roman" w:hAnsi="Times New Roman"/>
          <w:sz w:val="20"/>
          <w:szCs w:val="20"/>
        </w:rPr>
        <w:t xml:space="preserve">Также в Германии в последние годы расширяется применение солнечных фотоэлементов для выработки энергии и солнечных коллекторов для обеспечения </w:t>
      </w:r>
      <w:r>
        <w:rPr>
          <w:rFonts w:ascii="Times New Roman" w:hAnsi="Times New Roman"/>
          <w:sz w:val="20"/>
          <w:szCs w:val="20"/>
        </w:rPr>
        <w:lastRenderedPageBreak/>
        <w:t xml:space="preserve">домов горячей водой и теплом без преобразования тепла в электроэнергию. Государство субсидирует их приобретение населением посредством выдачи недорогих кредитов. Исходя из вышеизложенного, можно сделать вывод о том, что Германия идет по пути активного развития альтернативных (возобновляемых) источников энергии. </w:t>
      </w:r>
    </w:p>
    <w:p w:rsidR="00517711" w:rsidRDefault="00F815BE">
      <w:pPr>
        <w:tabs>
          <w:tab w:val="left" w:pos="567"/>
          <w:tab w:val="right" w:leader="dot" w:pos="9355"/>
        </w:tabs>
        <w:spacing w:after="0" w:line="240" w:lineRule="auto"/>
        <w:ind w:firstLine="709"/>
        <w:jc w:val="both"/>
        <w:rPr>
          <w:rFonts w:ascii="Times New Roman" w:hAnsi="Times New Roman"/>
          <w:sz w:val="20"/>
          <w:szCs w:val="20"/>
        </w:rPr>
      </w:pPr>
      <w:r>
        <w:rPr>
          <w:rFonts w:ascii="Times New Roman" w:hAnsi="Times New Roman"/>
          <w:sz w:val="20"/>
          <w:szCs w:val="20"/>
        </w:rPr>
        <w:t>В США отдельное направление достижения положительных результатов в ресурсо- и энергосбережении состоит в расширении использования вторичного сырья и материалов на основе активизации функционирования рынка промышленных отходов. Отходы широко используются в черной и цветной металлургии, автомобилестроении, производстве бытовой техники и строительстве.</w:t>
      </w:r>
    </w:p>
    <w:p w:rsidR="00517711" w:rsidRDefault="00F815BE">
      <w:pPr>
        <w:tabs>
          <w:tab w:val="left" w:pos="567"/>
          <w:tab w:val="right" w:leader="dot" w:pos="9355"/>
        </w:tabs>
        <w:spacing w:after="0" w:line="240" w:lineRule="auto"/>
        <w:ind w:firstLine="709"/>
        <w:jc w:val="both"/>
        <w:rPr>
          <w:rFonts w:ascii="Times New Roman" w:hAnsi="Times New Roman"/>
          <w:sz w:val="20"/>
          <w:szCs w:val="20"/>
        </w:rPr>
      </w:pPr>
      <w:r>
        <w:rPr>
          <w:rFonts w:ascii="Times New Roman" w:hAnsi="Times New Roman"/>
          <w:sz w:val="20"/>
          <w:szCs w:val="20"/>
        </w:rPr>
        <w:t xml:space="preserve">В Великобритании среди приоритетных направлений повышения энергоэффективности и энергосбережения национальной экономики также является развитие альтернативных источников энергии; получение энергии из низкоуглеродных источников; принятие государственных мер стимулирующего характера. То есть направление повышения энергоэффективности торговых центров с помощью возобновляемых источников энергии созвучно мировым тенденциям. </w:t>
      </w:r>
    </w:p>
    <w:p w:rsidR="00517711" w:rsidRDefault="00F815BE">
      <w:pPr>
        <w:tabs>
          <w:tab w:val="left" w:pos="567"/>
          <w:tab w:val="right" w:leader="dot" w:pos="9355"/>
        </w:tabs>
        <w:spacing w:after="0" w:line="240" w:lineRule="auto"/>
        <w:ind w:firstLine="709"/>
        <w:jc w:val="both"/>
        <w:rPr>
          <w:rFonts w:ascii="Times New Roman" w:hAnsi="Times New Roman"/>
          <w:sz w:val="20"/>
          <w:szCs w:val="20"/>
        </w:rPr>
      </w:pPr>
      <w:r>
        <w:rPr>
          <w:rFonts w:ascii="Times New Roman" w:hAnsi="Times New Roman"/>
          <w:sz w:val="20"/>
          <w:szCs w:val="20"/>
        </w:rPr>
        <w:t xml:space="preserve">В заключении следует отметить и необходимость мыслить «экологически», начиная с этапа проектирования торгового центра, чтобы повысить его энергоэффективность и, следовательно, сократить эксплуатационные расходы здания, такие энергосберегающие решения, как хорошая теплоизоляция, эффективное электрооборудование, «умные» системы освещения, возобновляемые источники энергии, система технического управления зданием помогут избежать излишнего энергопотребления в торговом центре. </w:t>
      </w:r>
    </w:p>
    <w:p w:rsidR="00517711" w:rsidRDefault="00F815BE">
      <w:pPr>
        <w:tabs>
          <w:tab w:val="left" w:pos="567"/>
          <w:tab w:val="right" w:leader="dot" w:pos="9355"/>
        </w:tabs>
        <w:spacing w:after="0" w:line="240" w:lineRule="auto"/>
        <w:ind w:firstLine="709"/>
        <w:jc w:val="both"/>
        <w:rPr>
          <w:rFonts w:ascii="Times New Roman" w:hAnsi="Times New Roman"/>
          <w:sz w:val="20"/>
          <w:szCs w:val="20"/>
        </w:rPr>
      </w:pPr>
      <w:r>
        <w:rPr>
          <w:rFonts w:ascii="Times New Roman" w:hAnsi="Times New Roman"/>
          <w:sz w:val="20"/>
          <w:szCs w:val="20"/>
        </w:rPr>
        <w:t>___________________________</w:t>
      </w:r>
    </w:p>
    <w:p w:rsidR="00517711" w:rsidRDefault="00F815BE">
      <w:pPr>
        <w:pStyle w:val="af4"/>
        <w:numPr>
          <w:ilvl w:val="0"/>
          <w:numId w:val="57"/>
        </w:numPr>
        <w:tabs>
          <w:tab w:val="left" w:pos="567"/>
          <w:tab w:val="right" w:leader="dot" w:pos="9355"/>
        </w:tabs>
        <w:spacing w:after="0" w:line="240" w:lineRule="auto"/>
        <w:jc w:val="both"/>
        <w:rPr>
          <w:rFonts w:ascii="Times New Roman" w:hAnsi="Times New Roman"/>
          <w:color w:val="000000"/>
          <w:sz w:val="20"/>
          <w:szCs w:val="20"/>
          <w:lang w:eastAsia="ru-RU"/>
        </w:rPr>
      </w:pPr>
      <w:r>
        <w:rPr>
          <w:rFonts w:ascii="Times New Roman" w:hAnsi="Times New Roman"/>
          <w:color w:val="000000" w:themeColor="text1"/>
          <w:sz w:val="20"/>
          <w:szCs w:val="20"/>
          <w:lang w:eastAsia="ru-RU"/>
        </w:rPr>
        <w:t xml:space="preserve">   Стукалова И.Б., Токмачева О.С. Торговые центры в РФ: сущность, динамика развития,оценка эффективности.</w:t>
      </w:r>
      <w:r>
        <w:rPr>
          <w:color w:val="000000" w:themeColor="text1"/>
          <w:sz w:val="20"/>
          <w:szCs w:val="20"/>
        </w:rPr>
        <w:t xml:space="preserve"> </w:t>
      </w:r>
      <w:r>
        <w:rPr>
          <w:rFonts w:ascii="Times New Roman" w:hAnsi="Times New Roman"/>
          <w:color w:val="000000" w:themeColor="text1"/>
          <w:sz w:val="20"/>
          <w:szCs w:val="20"/>
          <w:lang w:eastAsia="ru-RU"/>
        </w:rPr>
        <w:t xml:space="preserve">[Электронный ресурс] // Российское предпринимательство. – Режим доступа:  </w:t>
      </w:r>
      <w:hyperlink r:id="rId263" w:history="1">
        <w:r>
          <w:rPr>
            <w:rStyle w:val="aa"/>
            <w:color w:val="000000" w:themeColor="text1"/>
            <w:sz w:val="20"/>
            <w:szCs w:val="20"/>
            <w:lang w:eastAsia="ru-RU"/>
          </w:rPr>
          <w:t>http://journals.creativeconomy.ru/index.php/rp/article/view/244</w:t>
        </w:r>
      </w:hyperlink>
      <w:r>
        <w:rPr>
          <w:rFonts w:ascii="Times New Roman" w:hAnsi="Times New Roman"/>
          <w:color w:val="000000" w:themeColor="text1"/>
          <w:sz w:val="20"/>
          <w:szCs w:val="20"/>
          <w:lang w:eastAsia="ru-RU"/>
        </w:rPr>
        <w:t>.</w:t>
      </w:r>
    </w:p>
    <w:p w:rsidR="00517711" w:rsidRDefault="00F815BE">
      <w:pPr>
        <w:pStyle w:val="af4"/>
        <w:numPr>
          <w:ilvl w:val="0"/>
          <w:numId w:val="57"/>
        </w:numPr>
        <w:spacing w:after="0" w:line="240" w:lineRule="auto"/>
        <w:jc w:val="both"/>
        <w:rPr>
          <w:rFonts w:ascii="Times New Roman" w:hAnsi="Times New Roman"/>
          <w:color w:val="000000"/>
          <w:sz w:val="20"/>
          <w:szCs w:val="20"/>
          <w:lang w:eastAsia="ru-RU"/>
        </w:rPr>
      </w:pPr>
      <w:r>
        <w:rPr>
          <w:rFonts w:ascii="Times New Roman" w:hAnsi="Times New Roman"/>
          <w:color w:val="000000" w:themeColor="text1"/>
          <w:sz w:val="20"/>
          <w:szCs w:val="20"/>
          <w:lang w:eastAsia="ru-RU"/>
        </w:rPr>
        <w:t>Токмачёва О.С. Торговые центры: подходы к определению сущности и классификации с учетом российской специфики // Вестник Российского экономического университета имени Г.В. Плеханова. — 2012. — №7 (49). — С. 93.</w:t>
      </w:r>
    </w:p>
    <w:p w:rsidR="00517711" w:rsidRDefault="00F815BE">
      <w:pPr>
        <w:pStyle w:val="af4"/>
        <w:numPr>
          <w:ilvl w:val="0"/>
          <w:numId w:val="57"/>
        </w:numPr>
        <w:spacing w:after="0" w:line="240" w:lineRule="auto"/>
        <w:jc w:val="both"/>
        <w:rPr>
          <w:rFonts w:ascii="Times New Roman" w:hAnsi="Times New Roman"/>
          <w:color w:val="000000"/>
          <w:sz w:val="20"/>
          <w:szCs w:val="20"/>
          <w:lang w:eastAsia="ru-RU"/>
        </w:rPr>
      </w:pPr>
      <w:r>
        <w:rPr>
          <w:rFonts w:ascii="Times New Roman" w:hAnsi="Times New Roman"/>
          <w:color w:val="000000" w:themeColor="text1"/>
          <w:sz w:val="20"/>
          <w:szCs w:val="20"/>
          <w:lang w:eastAsia="ru-RU"/>
        </w:rPr>
        <w:t>Чкалова О.В., Ефремов А.С. Проблемы российской индустрии торговых центров:    научные подходы к их определениям // Менеджмент в России и за рубежом. — 2007. — № 2. — С. 141-143.</w:t>
      </w:r>
    </w:p>
    <w:p w:rsidR="00517711" w:rsidRDefault="00F815BE">
      <w:pPr>
        <w:pStyle w:val="af4"/>
        <w:numPr>
          <w:ilvl w:val="0"/>
          <w:numId w:val="57"/>
        </w:numPr>
        <w:tabs>
          <w:tab w:val="left" w:pos="567"/>
          <w:tab w:val="right" w:leader="dot" w:pos="9355"/>
        </w:tabs>
        <w:spacing w:after="0" w:line="240" w:lineRule="auto"/>
        <w:jc w:val="both"/>
        <w:rPr>
          <w:rFonts w:ascii="Times New Roman" w:hAnsi="Times New Roman"/>
          <w:color w:val="000000"/>
          <w:sz w:val="20"/>
          <w:szCs w:val="20"/>
          <w:lang w:eastAsia="ru-RU"/>
        </w:rPr>
      </w:pPr>
      <w:r>
        <w:rPr>
          <w:rFonts w:ascii="Times New Roman" w:hAnsi="Times New Roman"/>
          <w:color w:val="000000" w:themeColor="text1"/>
          <w:sz w:val="20"/>
          <w:szCs w:val="20"/>
          <w:lang w:eastAsia="ru-RU"/>
        </w:rPr>
        <w:t xml:space="preserve">   Федеральный закон "Об энергосбережении и о повышении энергетической эффективности, и о внесении изменений в отдельные законодательные акты Российской Федерации" от 23.11.2009 N 261-ФЗ (последняя редакция).</w:t>
      </w:r>
    </w:p>
    <w:p w:rsidR="00517711" w:rsidRDefault="00F815BE">
      <w:pPr>
        <w:pStyle w:val="af4"/>
        <w:numPr>
          <w:ilvl w:val="0"/>
          <w:numId w:val="57"/>
        </w:numPr>
        <w:tabs>
          <w:tab w:val="left" w:pos="567"/>
          <w:tab w:val="right" w:leader="dot" w:pos="9355"/>
        </w:tabs>
        <w:spacing w:after="0" w:line="240" w:lineRule="auto"/>
        <w:jc w:val="both"/>
        <w:rPr>
          <w:rStyle w:val="aa"/>
          <w:color w:val="000000"/>
          <w:sz w:val="20"/>
          <w:szCs w:val="20"/>
        </w:rPr>
      </w:pPr>
      <w:r>
        <w:rPr>
          <w:rFonts w:ascii="Times New Roman" w:hAnsi="Times New Roman"/>
          <w:color w:val="000000" w:themeColor="text1"/>
          <w:sz w:val="20"/>
          <w:szCs w:val="20"/>
          <w:lang w:eastAsia="ru-RU"/>
        </w:rPr>
        <w:t xml:space="preserve">   Экостроительство. Энергоэффективность в ТЦ. [Электронный ресурс] // Ремонт позитивный. – Режим доступа: </w:t>
      </w:r>
      <w:hyperlink r:id="rId264" w:history="1">
        <w:r>
          <w:rPr>
            <w:rStyle w:val="aa"/>
            <w:color w:val="000000" w:themeColor="text1"/>
            <w:sz w:val="20"/>
            <w:szCs w:val="20"/>
            <w:lang w:val="en-US" w:eastAsia="ru-RU"/>
          </w:rPr>
          <w:t>http</w:t>
        </w:r>
        <w:r>
          <w:rPr>
            <w:rStyle w:val="aa"/>
            <w:color w:val="000000" w:themeColor="text1"/>
            <w:sz w:val="20"/>
            <w:szCs w:val="20"/>
            <w:lang w:eastAsia="ru-RU"/>
          </w:rPr>
          <w:t>://</w:t>
        </w:r>
        <w:r>
          <w:rPr>
            <w:rStyle w:val="aa"/>
            <w:color w:val="000000" w:themeColor="text1"/>
            <w:sz w:val="20"/>
            <w:szCs w:val="20"/>
            <w:lang w:val="en-US" w:eastAsia="ru-RU"/>
          </w:rPr>
          <w:t>www</w:t>
        </w:r>
        <w:r>
          <w:rPr>
            <w:rStyle w:val="aa"/>
            <w:color w:val="000000" w:themeColor="text1"/>
            <w:sz w:val="20"/>
            <w:szCs w:val="20"/>
            <w:lang w:eastAsia="ru-RU"/>
          </w:rPr>
          <w:t>.</w:t>
        </w:r>
        <w:r>
          <w:rPr>
            <w:rStyle w:val="aa"/>
            <w:color w:val="000000" w:themeColor="text1"/>
            <w:sz w:val="20"/>
            <w:szCs w:val="20"/>
            <w:lang w:val="en-US" w:eastAsia="ru-RU"/>
          </w:rPr>
          <w:t>remontpozitif</w:t>
        </w:r>
        <w:r>
          <w:rPr>
            <w:rStyle w:val="aa"/>
            <w:color w:val="000000" w:themeColor="text1"/>
            <w:sz w:val="20"/>
            <w:szCs w:val="20"/>
            <w:lang w:eastAsia="ru-RU"/>
          </w:rPr>
          <w:t>.</w:t>
        </w:r>
        <w:r>
          <w:rPr>
            <w:rStyle w:val="aa"/>
            <w:color w:val="000000" w:themeColor="text1"/>
            <w:sz w:val="20"/>
            <w:szCs w:val="20"/>
            <w:lang w:val="en-US" w:eastAsia="ru-RU"/>
          </w:rPr>
          <w:t>ru</w:t>
        </w:r>
        <w:r>
          <w:rPr>
            <w:rStyle w:val="aa"/>
            <w:color w:val="000000" w:themeColor="text1"/>
            <w:sz w:val="20"/>
            <w:szCs w:val="20"/>
            <w:lang w:eastAsia="ru-RU"/>
          </w:rPr>
          <w:t>/</w:t>
        </w:r>
        <w:r>
          <w:rPr>
            <w:rStyle w:val="aa"/>
            <w:color w:val="000000" w:themeColor="text1"/>
            <w:sz w:val="20"/>
            <w:szCs w:val="20"/>
            <w:lang w:val="en-US" w:eastAsia="ru-RU"/>
          </w:rPr>
          <w:t>publ</w:t>
        </w:r>
        <w:r>
          <w:rPr>
            <w:rStyle w:val="aa"/>
            <w:color w:val="000000" w:themeColor="text1"/>
            <w:sz w:val="20"/>
            <w:szCs w:val="20"/>
            <w:lang w:eastAsia="ru-RU"/>
          </w:rPr>
          <w:t>/</w:t>
        </w:r>
        <w:r>
          <w:rPr>
            <w:rStyle w:val="aa"/>
            <w:color w:val="000000" w:themeColor="text1"/>
            <w:sz w:val="20"/>
            <w:szCs w:val="20"/>
            <w:lang w:val="en-US" w:eastAsia="ru-RU"/>
          </w:rPr>
          <w:t>remont</w:t>
        </w:r>
        <w:r>
          <w:rPr>
            <w:rStyle w:val="aa"/>
            <w:color w:val="000000" w:themeColor="text1"/>
            <w:sz w:val="20"/>
            <w:szCs w:val="20"/>
            <w:lang w:eastAsia="ru-RU"/>
          </w:rPr>
          <w:t>_</w:t>
        </w:r>
        <w:r>
          <w:rPr>
            <w:rStyle w:val="aa"/>
            <w:color w:val="000000" w:themeColor="text1"/>
            <w:sz w:val="20"/>
            <w:szCs w:val="20"/>
            <w:lang w:val="en-US" w:eastAsia="ru-RU"/>
          </w:rPr>
          <w:t>i</w:t>
        </w:r>
        <w:r>
          <w:rPr>
            <w:rStyle w:val="aa"/>
            <w:color w:val="000000" w:themeColor="text1"/>
            <w:sz w:val="20"/>
            <w:szCs w:val="20"/>
            <w:lang w:eastAsia="ru-RU"/>
          </w:rPr>
          <w:t>_</w:t>
        </w:r>
        <w:r>
          <w:rPr>
            <w:rStyle w:val="aa"/>
            <w:color w:val="000000" w:themeColor="text1"/>
            <w:sz w:val="20"/>
            <w:szCs w:val="20"/>
            <w:lang w:val="en-US" w:eastAsia="ru-RU"/>
          </w:rPr>
          <w:t>zakon</w:t>
        </w:r>
        <w:r>
          <w:rPr>
            <w:rStyle w:val="aa"/>
            <w:color w:val="000000" w:themeColor="text1"/>
            <w:sz w:val="20"/>
            <w:szCs w:val="20"/>
            <w:lang w:eastAsia="ru-RU"/>
          </w:rPr>
          <w:t>/</w:t>
        </w:r>
        <w:r>
          <w:rPr>
            <w:rStyle w:val="aa"/>
            <w:color w:val="000000" w:themeColor="text1"/>
            <w:sz w:val="20"/>
            <w:szCs w:val="20"/>
            <w:lang w:val="en-US" w:eastAsia="ru-RU"/>
          </w:rPr>
          <w:t>zakony</w:t>
        </w:r>
        <w:r>
          <w:rPr>
            <w:rStyle w:val="aa"/>
            <w:color w:val="000000" w:themeColor="text1"/>
            <w:sz w:val="20"/>
            <w:szCs w:val="20"/>
            <w:lang w:eastAsia="ru-RU"/>
          </w:rPr>
          <w:t>_</w:t>
        </w:r>
        <w:r>
          <w:rPr>
            <w:rStyle w:val="aa"/>
            <w:color w:val="000000" w:themeColor="text1"/>
            <w:sz w:val="20"/>
            <w:szCs w:val="20"/>
            <w:lang w:val="en-US" w:eastAsia="ru-RU"/>
          </w:rPr>
          <w:t>o</w:t>
        </w:r>
        <w:r>
          <w:rPr>
            <w:rStyle w:val="aa"/>
            <w:color w:val="000000" w:themeColor="text1"/>
            <w:sz w:val="20"/>
            <w:szCs w:val="20"/>
            <w:lang w:eastAsia="ru-RU"/>
          </w:rPr>
          <w:t>_</w:t>
        </w:r>
        <w:r>
          <w:rPr>
            <w:rStyle w:val="aa"/>
            <w:color w:val="000000" w:themeColor="text1"/>
            <w:sz w:val="20"/>
            <w:szCs w:val="20"/>
            <w:lang w:val="en-US" w:eastAsia="ru-RU"/>
          </w:rPr>
          <w:t>remonte</w:t>
        </w:r>
        <w:r>
          <w:rPr>
            <w:rStyle w:val="aa"/>
            <w:color w:val="000000" w:themeColor="text1"/>
            <w:sz w:val="20"/>
            <w:szCs w:val="20"/>
            <w:lang w:eastAsia="ru-RU"/>
          </w:rPr>
          <w:t>/</w:t>
        </w:r>
        <w:r>
          <w:rPr>
            <w:rStyle w:val="aa"/>
            <w:color w:val="000000" w:themeColor="text1"/>
            <w:sz w:val="20"/>
            <w:szCs w:val="20"/>
            <w:lang w:val="en-US" w:eastAsia="ru-RU"/>
          </w:rPr>
          <w:t>blagoustrojstvo</w:t>
        </w:r>
        <w:r>
          <w:rPr>
            <w:rStyle w:val="aa"/>
            <w:color w:val="000000" w:themeColor="text1"/>
            <w:sz w:val="20"/>
            <w:szCs w:val="20"/>
            <w:lang w:eastAsia="ru-RU"/>
          </w:rPr>
          <w:t>_</w:t>
        </w:r>
        <w:r>
          <w:rPr>
            <w:rStyle w:val="aa"/>
            <w:color w:val="000000" w:themeColor="text1"/>
            <w:sz w:val="20"/>
            <w:szCs w:val="20"/>
            <w:lang w:val="en-US" w:eastAsia="ru-RU"/>
          </w:rPr>
          <w:t>i</w:t>
        </w:r>
        <w:r>
          <w:rPr>
            <w:rStyle w:val="aa"/>
            <w:color w:val="000000" w:themeColor="text1"/>
            <w:sz w:val="20"/>
            <w:szCs w:val="20"/>
            <w:lang w:eastAsia="ru-RU"/>
          </w:rPr>
          <w:t>_</w:t>
        </w:r>
        <w:r>
          <w:rPr>
            <w:rStyle w:val="aa"/>
            <w:color w:val="000000" w:themeColor="text1"/>
            <w:sz w:val="20"/>
            <w:szCs w:val="20"/>
            <w:lang w:val="en-US" w:eastAsia="ru-RU"/>
          </w:rPr>
          <w:t>soderzh</w:t>
        </w:r>
        <w:r>
          <w:rPr>
            <w:rStyle w:val="aa"/>
            <w:color w:val="000000" w:themeColor="text1"/>
            <w:sz w:val="20"/>
            <w:szCs w:val="20"/>
            <w:lang w:eastAsia="ru-RU"/>
          </w:rPr>
          <w:t xml:space="preserve"> </w:t>
        </w:r>
        <w:r>
          <w:rPr>
            <w:rStyle w:val="aa"/>
            <w:color w:val="000000" w:themeColor="text1"/>
            <w:sz w:val="20"/>
            <w:szCs w:val="20"/>
            <w:lang w:val="en-US" w:eastAsia="ru-RU"/>
          </w:rPr>
          <w:t>anie</w:t>
        </w:r>
        <w:r>
          <w:rPr>
            <w:rStyle w:val="aa"/>
            <w:color w:val="000000" w:themeColor="text1"/>
            <w:sz w:val="20"/>
            <w:szCs w:val="20"/>
            <w:lang w:eastAsia="ru-RU"/>
          </w:rPr>
          <w:t>_</w:t>
        </w:r>
        <w:r>
          <w:rPr>
            <w:rStyle w:val="aa"/>
            <w:color w:val="000000" w:themeColor="text1"/>
            <w:sz w:val="20"/>
            <w:szCs w:val="20"/>
            <w:lang w:val="en-US" w:eastAsia="ru-RU"/>
          </w:rPr>
          <w:t>pridomovoj</w:t>
        </w:r>
        <w:r>
          <w:rPr>
            <w:rStyle w:val="aa"/>
            <w:color w:val="000000" w:themeColor="text1"/>
            <w:sz w:val="20"/>
            <w:szCs w:val="20"/>
            <w:lang w:eastAsia="ru-RU"/>
          </w:rPr>
          <w:t>_</w:t>
        </w:r>
        <w:r>
          <w:rPr>
            <w:rStyle w:val="aa"/>
            <w:color w:val="000000" w:themeColor="text1"/>
            <w:sz w:val="20"/>
            <w:szCs w:val="20"/>
            <w:lang w:val="en-US" w:eastAsia="ru-RU"/>
          </w:rPr>
          <w:t>territorii</w:t>
        </w:r>
        <w:r>
          <w:rPr>
            <w:rStyle w:val="aa"/>
            <w:color w:val="000000" w:themeColor="text1"/>
            <w:sz w:val="20"/>
            <w:szCs w:val="20"/>
            <w:lang w:eastAsia="ru-RU"/>
          </w:rPr>
          <w:t>/48-1-0-1197</w:t>
        </w:r>
      </w:hyperlink>
      <w:r>
        <w:rPr>
          <w:rFonts w:ascii="Times New Roman" w:hAnsi="Times New Roman"/>
          <w:color w:val="000000" w:themeColor="text1"/>
          <w:sz w:val="20"/>
          <w:szCs w:val="20"/>
          <w:lang w:eastAsia="ru-RU"/>
        </w:rPr>
        <w:t>.</w:t>
      </w:r>
    </w:p>
    <w:p w:rsidR="00517711" w:rsidRDefault="00F815BE">
      <w:pPr>
        <w:pStyle w:val="af4"/>
        <w:numPr>
          <w:ilvl w:val="0"/>
          <w:numId w:val="57"/>
        </w:numPr>
        <w:tabs>
          <w:tab w:val="left" w:pos="567"/>
          <w:tab w:val="right" w:leader="dot" w:pos="9355"/>
        </w:tabs>
        <w:spacing w:after="0" w:line="240" w:lineRule="auto"/>
        <w:jc w:val="both"/>
        <w:rPr>
          <w:rStyle w:val="aa"/>
          <w:color w:val="000000"/>
          <w:sz w:val="20"/>
          <w:szCs w:val="20"/>
        </w:rPr>
      </w:pPr>
      <w:r>
        <w:rPr>
          <w:rFonts w:ascii="Times New Roman" w:hAnsi="Times New Roman"/>
          <w:color w:val="000000" w:themeColor="text1"/>
          <w:sz w:val="20"/>
          <w:szCs w:val="20"/>
          <w:lang w:eastAsia="ru-RU"/>
        </w:rPr>
        <w:t xml:space="preserve">   Развитие светопрозрачных конструкций в контексте современной истории энергосбережения. [Электронный ресурс] //</w:t>
      </w:r>
      <w:r>
        <w:rPr>
          <w:color w:val="000000" w:themeColor="text1"/>
          <w:sz w:val="20"/>
          <w:szCs w:val="20"/>
        </w:rPr>
        <w:t xml:space="preserve"> </w:t>
      </w:r>
      <w:r>
        <w:rPr>
          <w:rFonts w:ascii="Times New Roman" w:hAnsi="Times New Roman"/>
          <w:color w:val="000000" w:themeColor="text1"/>
          <w:sz w:val="20"/>
          <w:szCs w:val="20"/>
          <w:lang w:eastAsia="ru-RU"/>
        </w:rPr>
        <w:t xml:space="preserve">Первый энергосберегающий закон. – Режим доступа: </w:t>
      </w:r>
      <w:r>
        <w:rPr>
          <w:rStyle w:val="aa"/>
          <w:color w:val="000000" w:themeColor="text1"/>
          <w:sz w:val="20"/>
          <w:szCs w:val="20"/>
          <w:lang w:val="en-US" w:eastAsia="ru-RU"/>
        </w:rPr>
        <w:t>http</w:t>
      </w:r>
      <w:r>
        <w:rPr>
          <w:rStyle w:val="aa"/>
          <w:color w:val="000000" w:themeColor="text1"/>
          <w:sz w:val="20"/>
          <w:szCs w:val="20"/>
          <w:lang w:eastAsia="ru-RU"/>
        </w:rPr>
        <w:t xml:space="preserve">:// </w:t>
      </w:r>
      <w:r>
        <w:rPr>
          <w:rStyle w:val="aa"/>
          <w:color w:val="000000" w:themeColor="text1"/>
          <w:sz w:val="20"/>
          <w:szCs w:val="20"/>
          <w:lang w:val="en-US" w:eastAsia="ru-RU"/>
        </w:rPr>
        <w:t>www</w:t>
      </w:r>
      <w:r>
        <w:rPr>
          <w:rStyle w:val="aa"/>
          <w:color w:val="000000" w:themeColor="text1"/>
          <w:sz w:val="20"/>
          <w:szCs w:val="20"/>
          <w:lang w:eastAsia="ru-RU"/>
        </w:rPr>
        <w:t xml:space="preserve">. </w:t>
      </w:r>
      <w:r>
        <w:rPr>
          <w:rStyle w:val="aa"/>
          <w:color w:val="000000" w:themeColor="text1"/>
          <w:sz w:val="20"/>
          <w:szCs w:val="20"/>
          <w:lang w:val="en-US" w:eastAsia="ru-RU"/>
        </w:rPr>
        <w:t>abok</w:t>
      </w:r>
      <w:r>
        <w:rPr>
          <w:rStyle w:val="aa"/>
          <w:color w:val="000000" w:themeColor="text1"/>
          <w:sz w:val="20"/>
          <w:szCs w:val="20"/>
          <w:lang w:eastAsia="ru-RU"/>
        </w:rPr>
        <w:t xml:space="preserve">. </w:t>
      </w:r>
      <w:r>
        <w:rPr>
          <w:rStyle w:val="aa"/>
          <w:color w:val="000000" w:themeColor="text1"/>
          <w:sz w:val="20"/>
          <w:szCs w:val="20"/>
          <w:lang w:val="en-US" w:eastAsia="ru-RU"/>
        </w:rPr>
        <w:t>ru</w:t>
      </w:r>
      <w:r>
        <w:rPr>
          <w:rStyle w:val="aa"/>
          <w:color w:val="000000" w:themeColor="text1"/>
          <w:sz w:val="20"/>
          <w:szCs w:val="20"/>
          <w:lang w:eastAsia="ru-RU"/>
        </w:rPr>
        <w:t>/</w:t>
      </w:r>
      <w:r>
        <w:rPr>
          <w:rStyle w:val="aa"/>
          <w:color w:val="000000" w:themeColor="text1"/>
          <w:sz w:val="20"/>
          <w:szCs w:val="20"/>
          <w:lang w:val="en-US" w:eastAsia="ru-RU"/>
        </w:rPr>
        <w:t>for</w:t>
      </w:r>
      <w:r>
        <w:rPr>
          <w:rStyle w:val="aa"/>
          <w:color w:val="000000" w:themeColor="text1"/>
          <w:sz w:val="20"/>
          <w:szCs w:val="20"/>
          <w:lang w:eastAsia="ru-RU"/>
        </w:rPr>
        <w:t>_</w:t>
      </w:r>
      <w:r>
        <w:rPr>
          <w:rStyle w:val="aa"/>
          <w:color w:val="000000" w:themeColor="text1"/>
          <w:sz w:val="20"/>
          <w:szCs w:val="20"/>
          <w:lang w:val="en-US" w:eastAsia="ru-RU"/>
        </w:rPr>
        <w:t>spec</w:t>
      </w:r>
      <w:r>
        <w:rPr>
          <w:rStyle w:val="aa"/>
          <w:color w:val="000000" w:themeColor="text1"/>
          <w:sz w:val="20"/>
          <w:szCs w:val="20"/>
          <w:lang w:eastAsia="ru-RU"/>
        </w:rPr>
        <w:t>/</w:t>
      </w:r>
      <w:r>
        <w:rPr>
          <w:rStyle w:val="aa"/>
          <w:color w:val="000000" w:themeColor="text1"/>
          <w:sz w:val="20"/>
          <w:szCs w:val="20"/>
          <w:lang w:val="en-US" w:eastAsia="ru-RU"/>
        </w:rPr>
        <w:t>articles</w:t>
      </w:r>
      <w:r>
        <w:rPr>
          <w:rStyle w:val="aa"/>
          <w:color w:val="000000" w:themeColor="text1"/>
          <w:sz w:val="20"/>
          <w:szCs w:val="20"/>
          <w:lang w:eastAsia="ru-RU"/>
        </w:rPr>
        <w:t xml:space="preserve">. </w:t>
      </w:r>
      <w:r>
        <w:rPr>
          <w:rStyle w:val="aa"/>
          <w:color w:val="000000" w:themeColor="text1"/>
          <w:sz w:val="20"/>
          <w:szCs w:val="20"/>
          <w:lang w:val="en-US" w:eastAsia="ru-RU"/>
        </w:rPr>
        <w:t>php</w:t>
      </w:r>
      <w:r>
        <w:rPr>
          <w:rStyle w:val="aa"/>
          <w:color w:val="000000" w:themeColor="text1"/>
          <w:sz w:val="20"/>
          <w:szCs w:val="20"/>
          <w:lang w:eastAsia="ru-RU"/>
        </w:rPr>
        <w:t>?</w:t>
      </w:r>
      <w:r>
        <w:rPr>
          <w:rStyle w:val="aa"/>
          <w:color w:val="000000" w:themeColor="text1"/>
          <w:sz w:val="20"/>
          <w:szCs w:val="20"/>
          <w:lang w:val="en-US" w:eastAsia="ru-RU"/>
        </w:rPr>
        <w:t>nid</w:t>
      </w:r>
      <w:r>
        <w:rPr>
          <w:rStyle w:val="aa"/>
          <w:color w:val="000000" w:themeColor="text1"/>
          <w:sz w:val="20"/>
          <w:szCs w:val="20"/>
          <w:lang w:eastAsia="ru-RU"/>
        </w:rPr>
        <w:t>=4996.</w:t>
      </w:r>
    </w:p>
    <w:p w:rsidR="00517711" w:rsidRDefault="00F815BE">
      <w:pPr>
        <w:pStyle w:val="af4"/>
        <w:numPr>
          <w:ilvl w:val="0"/>
          <w:numId w:val="57"/>
        </w:numPr>
        <w:tabs>
          <w:tab w:val="left" w:pos="567"/>
          <w:tab w:val="right" w:leader="dot" w:pos="9355"/>
        </w:tabs>
        <w:spacing w:after="0" w:line="240" w:lineRule="auto"/>
        <w:jc w:val="both"/>
        <w:rPr>
          <w:rFonts w:ascii="Times New Roman" w:hAnsi="Times New Roman"/>
          <w:color w:val="000000"/>
          <w:sz w:val="20"/>
          <w:szCs w:val="20"/>
          <w:u w:val="single"/>
        </w:rPr>
      </w:pPr>
      <w:r>
        <w:rPr>
          <w:rFonts w:ascii="Times New Roman" w:hAnsi="Times New Roman"/>
          <w:color w:val="000000" w:themeColor="text1"/>
          <w:sz w:val="20"/>
          <w:szCs w:val="20"/>
          <w:lang w:eastAsia="ru-RU"/>
        </w:rPr>
        <w:t xml:space="preserve">   Энергоэффективная Германия вчера, сегодня, завтра [Электронный ресурс] // ЮНИДО в России. </w:t>
      </w:r>
      <w:r>
        <w:rPr>
          <w:rFonts w:ascii="Times New Roman" w:hAnsi="Times New Roman"/>
          <w:color w:val="000000" w:themeColor="text1"/>
          <w:sz w:val="20"/>
          <w:szCs w:val="20"/>
          <w:u w:val="single"/>
          <w:lang w:val="en-US"/>
        </w:rPr>
        <w:t>http</w:t>
      </w:r>
      <w:r>
        <w:rPr>
          <w:rFonts w:ascii="Times New Roman" w:hAnsi="Times New Roman"/>
          <w:color w:val="000000" w:themeColor="text1"/>
          <w:sz w:val="20"/>
          <w:szCs w:val="20"/>
          <w:u w:val="single"/>
        </w:rPr>
        <w:t>://</w:t>
      </w:r>
      <w:r>
        <w:rPr>
          <w:rFonts w:ascii="Times New Roman" w:hAnsi="Times New Roman"/>
          <w:color w:val="000000" w:themeColor="text1"/>
          <w:sz w:val="20"/>
          <w:szCs w:val="20"/>
          <w:u w:val="single"/>
          <w:lang w:val="en-US"/>
        </w:rPr>
        <w:t>www</w:t>
      </w:r>
      <w:r>
        <w:rPr>
          <w:rFonts w:ascii="Times New Roman" w:hAnsi="Times New Roman"/>
          <w:color w:val="000000" w:themeColor="text1"/>
          <w:sz w:val="20"/>
          <w:szCs w:val="20"/>
          <w:u w:val="single"/>
        </w:rPr>
        <w:t>.</w:t>
      </w:r>
      <w:r>
        <w:rPr>
          <w:rFonts w:ascii="Times New Roman" w:hAnsi="Times New Roman"/>
          <w:color w:val="000000" w:themeColor="text1"/>
          <w:sz w:val="20"/>
          <w:szCs w:val="20"/>
          <w:u w:val="single"/>
          <w:lang w:val="en-US" w:eastAsia="ru-RU"/>
        </w:rPr>
        <w:t>unido</w:t>
      </w:r>
      <w:r>
        <w:rPr>
          <w:rFonts w:ascii="Times New Roman" w:hAnsi="Times New Roman"/>
          <w:color w:val="000000" w:themeColor="text1"/>
          <w:sz w:val="20"/>
          <w:szCs w:val="20"/>
          <w:u w:val="single"/>
          <w:lang w:eastAsia="ru-RU"/>
        </w:rPr>
        <w:t>-</w:t>
      </w:r>
      <w:r>
        <w:rPr>
          <w:rFonts w:ascii="Times New Roman" w:hAnsi="Times New Roman"/>
          <w:color w:val="000000" w:themeColor="text1"/>
          <w:sz w:val="20"/>
          <w:szCs w:val="20"/>
          <w:u w:val="single"/>
          <w:lang w:val="en-US" w:eastAsia="ru-RU"/>
        </w:rPr>
        <w:t>russia</w:t>
      </w:r>
      <w:r>
        <w:rPr>
          <w:rFonts w:ascii="Times New Roman" w:hAnsi="Times New Roman"/>
          <w:color w:val="000000" w:themeColor="text1"/>
          <w:sz w:val="20"/>
          <w:szCs w:val="20"/>
          <w:u w:val="single"/>
          <w:lang w:eastAsia="ru-RU"/>
        </w:rPr>
        <w:t xml:space="preserve">. </w:t>
      </w:r>
      <w:r>
        <w:rPr>
          <w:rFonts w:ascii="Times New Roman" w:hAnsi="Times New Roman"/>
          <w:color w:val="000000" w:themeColor="text1"/>
          <w:sz w:val="20"/>
          <w:szCs w:val="20"/>
          <w:u w:val="single"/>
          <w:lang w:val="en-US" w:eastAsia="ru-RU"/>
        </w:rPr>
        <w:t>ru</w:t>
      </w:r>
      <w:r>
        <w:rPr>
          <w:rFonts w:ascii="Times New Roman" w:hAnsi="Times New Roman"/>
          <w:color w:val="000000" w:themeColor="text1"/>
          <w:sz w:val="20"/>
          <w:szCs w:val="20"/>
          <w:u w:val="single"/>
          <w:lang w:eastAsia="ru-RU"/>
        </w:rPr>
        <w:t>/</w:t>
      </w:r>
      <w:r>
        <w:rPr>
          <w:rFonts w:ascii="Times New Roman" w:hAnsi="Times New Roman"/>
          <w:color w:val="000000" w:themeColor="text1"/>
          <w:sz w:val="20"/>
          <w:szCs w:val="20"/>
          <w:u w:val="single"/>
          <w:lang w:val="en-US" w:eastAsia="ru-RU"/>
        </w:rPr>
        <w:t>archive</w:t>
      </w:r>
      <w:r>
        <w:rPr>
          <w:rFonts w:ascii="Times New Roman" w:hAnsi="Times New Roman"/>
          <w:color w:val="000000" w:themeColor="text1"/>
          <w:sz w:val="20"/>
          <w:szCs w:val="20"/>
          <w:u w:val="single"/>
          <w:lang w:eastAsia="ru-RU"/>
        </w:rPr>
        <w:t>/</w:t>
      </w:r>
      <w:r>
        <w:rPr>
          <w:rFonts w:ascii="Times New Roman" w:hAnsi="Times New Roman"/>
          <w:color w:val="000000" w:themeColor="text1"/>
          <w:sz w:val="20"/>
          <w:szCs w:val="20"/>
          <w:u w:val="single"/>
          <w:lang w:val="en-US" w:eastAsia="ru-RU"/>
        </w:rPr>
        <w:t>num</w:t>
      </w:r>
      <w:r>
        <w:rPr>
          <w:rFonts w:ascii="Times New Roman" w:hAnsi="Times New Roman"/>
          <w:color w:val="000000" w:themeColor="text1"/>
          <w:sz w:val="20"/>
          <w:szCs w:val="20"/>
          <w:u w:val="single"/>
          <w:lang w:eastAsia="ru-RU"/>
        </w:rPr>
        <w:t>3/</w:t>
      </w:r>
      <w:r>
        <w:rPr>
          <w:rFonts w:ascii="Times New Roman" w:hAnsi="Times New Roman"/>
          <w:color w:val="000000" w:themeColor="text1"/>
          <w:sz w:val="20"/>
          <w:szCs w:val="20"/>
          <w:u w:val="single"/>
          <w:lang w:val="en-US" w:eastAsia="ru-RU"/>
        </w:rPr>
        <w:t>art</w:t>
      </w:r>
      <w:r>
        <w:rPr>
          <w:rFonts w:ascii="Times New Roman" w:hAnsi="Times New Roman"/>
          <w:color w:val="000000" w:themeColor="text1"/>
          <w:sz w:val="20"/>
          <w:szCs w:val="20"/>
          <w:u w:val="single"/>
          <w:lang w:eastAsia="ru-RU"/>
        </w:rPr>
        <w:t>3_6.</w:t>
      </w:r>
    </w:p>
    <w:p w:rsidR="00517711" w:rsidRDefault="00F815BE">
      <w:pPr>
        <w:pStyle w:val="af4"/>
        <w:numPr>
          <w:ilvl w:val="0"/>
          <w:numId w:val="57"/>
        </w:numPr>
        <w:tabs>
          <w:tab w:val="left" w:pos="567"/>
          <w:tab w:val="right" w:leader="dot" w:pos="9355"/>
        </w:tabs>
        <w:spacing w:after="0" w:line="240" w:lineRule="auto"/>
        <w:jc w:val="both"/>
        <w:rPr>
          <w:rFonts w:ascii="Times New Roman" w:hAnsi="Times New Roman"/>
          <w:color w:val="000000"/>
          <w:sz w:val="20"/>
          <w:szCs w:val="20"/>
          <w:u w:val="single"/>
        </w:rPr>
      </w:pPr>
      <w:r>
        <w:rPr>
          <w:rFonts w:ascii="Times New Roman" w:hAnsi="Times New Roman"/>
          <w:color w:val="000000" w:themeColor="text1"/>
          <w:sz w:val="20"/>
          <w:szCs w:val="20"/>
          <w:lang w:eastAsia="ru-RU"/>
        </w:rPr>
        <w:t xml:space="preserve">   Энергосбережение и энергоэффективность. [Электронный ресурс] //Международное сотрудничество в области энергоэффективности.</w:t>
      </w:r>
      <w:r>
        <w:rPr>
          <w:color w:val="000000" w:themeColor="text1"/>
          <w:sz w:val="20"/>
          <w:szCs w:val="20"/>
        </w:rPr>
        <w:t xml:space="preserve"> </w:t>
      </w:r>
      <w:r>
        <w:rPr>
          <w:rFonts w:ascii="Times New Roman" w:hAnsi="Times New Roman"/>
          <w:color w:val="000000" w:themeColor="text1"/>
          <w:sz w:val="20"/>
          <w:szCs w:val="20"/>
          <w:lang w:eastAsia="ru-RU"/>
        </w:rPr>
        <w:t xml:space="preserve">– Режим доступа: </w:t>
      </w:r>
      <w:r>
        <w:rPr>
          <w:rFonts w:ascii="Times New Roman" w:hAnsi="Times New Roman"/>
          <w:color w:val="000000" w:themeColor="text1"/>
          <w:sz w:val="20"/>
          <w:szCs w:val="20"/>
          <w:u w:val="single"/>
          <w:lang w:val="en-US"/>
        </w:rPr>
        <w:t>http</w:t>
      </w:r>
      <w:r>
        <w:rPr>
          <w:rFonts w:ascii="Times New Roman" w:hAnsi="Times New Roman"/>
          <w:color w:val="000000" w:themeColor="text1"/>
          <w:sz w:val="20"/>
          <w:szCs w:val="20"/>
          <w:u w:val="single"/>
        </w:rPr>
        <w:t>://</w:t>
      </w:r>
      <w:r>
        <w:rPr>
          <w:rFonts w:ascii="Times New Roman" w:hAnsi="Times New Roman"/>
          <w:color w:val="000000" w:themeColor="text1"/>
          <w:sz w:val="20"/>
          <w:szCs w:val="20"/>
          <w:u w:val="single"/>
          <w:lang w:val="en-US"/>
        </w:rPr>
        <w:t>minenergo</w:t>
      </w:r>
      <w:r>
        <w:rPr>
          <w:rFonts w:ascii="Times New Roman" w:hAnsi="Times New Roman"/>
          <w:color w:val="000000" w:themeColor="text1"/>
          <w:sz w:val="20"/>
          <w:szCs w:val="20"/>
          <w:u w:val="single"/>
        </w:rPr>
        <w:t>.</w:t>
      </w:r>
      <w:r>
        <w:rPr>
          <w:rFonts w:ascii="Times New Roman" w:hAnsi="Times New Roman"/>
          <w:color w:val="000000" w:themeColor="text1"/>
          <w:sz w:val="20"/>
          <w:szCs w:val="20"/>
          <w:u w:val="single"/>
          <w:lang w:val="en-US"/>
        </w:rPr>
        <w:t>gov</w:t>
      </w:r>
      <w:r>
        <w:rPr>
          <w:rFonts w:ascii="Times New Roman" w:hAnsi="Times New Roman"/>
          <w:color w:val="000000" w:themeColor="text1"/>
          <w:sz w:val="20"/>
          <w:szCs w:val="20"/>
          <w:u w:val="single"/>
        </w:rPr>
        <w:t xml:space="preserve">. </w:t>
      </w:r>
      <w:r>
        <w:rPr>
          <w:rFonts w:ascii="Times New Roman" w:hAnsi="Times New Roman"/>
          <w:color w:val="000000" w:themeColor="text1"/>
          <w:sz w:val="20"/>
          <w:szCs w:val="20"/>
          <w:u w:val="single"/>
          <w:lang w:val="en-US"/>
        </w:rPr>
        <w:t>ru</w:t>
      </w:r>
      <w:r>
        <w:rPr>
          <w:rFonts w:ascii="Times New Roman" w:hAnsi="Times New Roman"/>
          <w:color w:val="000000" w:themeColor="text1"/>
          <w:sz w:val="20"/>
          <w:szCs w:val="20"/>
          <w:u w:val="single"/>
        </w:rPr>
        <w:t>/</w:t>
      </w:r>
      <w:r>
        <w:rPr>
          <w:rFonts w:ascii="Times New Roman" w:hAnsi="Times New Roman"/>
          <w:color w:val="000000" w:themeColor="text1"/>
          <w:sz w:val="20"/>
          <w:szCs w:val="20"/>
          <w:u w:val="single"/>
          <w:lang w:val="en-US"/>
        </w:rPr>
        <w:t>activity</w:t>
      </w:r>
      <w:r>
        <w:rPr>
          <w:rFonts w:ascii="Times New Roman" w:hAnsi="Times New Roman"/>
          <w:color w:val="000000" w:themeColor="text1"/>
          <w:sz w:val="20"/>
          <w:szCs w:val="20"/>
          <w:u w:val="single"/>
        </w:rPr>
        <w:t>/</w:t>
      </w:r>
      <w:r>
        <w:rPr>
          <w:rFonts w:ascii="Times New Roman" w:hAnsi="Times New Roman"/>
          <w:color w:val="000000" w:themeColor="text1"/>
          <w:sz w:val="20"/>
          <w:szCs w:val="20"/>
          <w:u w:val="single"/>
          <w:lang w:val="en-US"/>
        </w:rPr>
        <w:t>energoeffektivnost</w:t>
      </w:r>
      <w:r>
        <w:rPr>
          <w:rFonts w:ascii="Times New Roman" w:hAnsi="Times New Roman"/>
          <w:color w:val="000000" w:themeColor="text1"/>
          <w:sz w:val="20"/>
          <w:szCs w:val="20"/>
          <w:u w:val="single"/>
        </w:rPr>
        <w:t>/</w:t>
      </w:r>
      <w:r>
        <w:rPr>
          <w:rFonts w:ascii="Times New Roman" w:hAnsi="Times New Roman"/>
          <w:color w:val="000000" w:themeColor="text1"/>
          <w:sz w:val="20"/>
          <w:szCs w:val="20"/>
          <w:u w:val="single"/>
          <w:lang w:val="en-US"/>
        </w:rPr>
        <w:t>foreign</w:t>
      </w:r>
      <w:r>
        <w:rPr>
          <w:rFonts w:ascii="Times New Roman" w:hAnsi="Times New Roman"/>
          <w:color w:val="000000" w:themeColor="text1"/>
          <w:sz w:val="20"/>
          <w:szCs w:val="20"/>
          <w:u w:val="single"/>
        </w:rPr>
        <w:t>/</w:t>
      </w:r>
      <w:r>
        <w:rPr>
          <w:rFonts w:ascii="Times New Roman" w:hAnsi="Times New Roman"/>
          <w:color w:val="000000" w:themeColor="text1"/>
          <w:sz w:val="20"/>
          <w:szCs w:val="20"/>
          <w:u w:val="single"/>
          <w:lang w:val="en-US"/>
        </w:rPr>
        <w:t>index</w:t>
      </w:r>
      <w:r>
        <w:rPr>
          <w:rFonts w:ascii="Times New Roman" w:hAnsi="Times New Roman"/>
          <w:color w:val="000000" w:themeColor="text1"/>
          <w:sz w:val="20"/>
          <w:szCs w:val="20"/>
          <w:u w:val="single"/>
        </w:rPr>
        <w:t>.</w:t>
      </w:r>
      <w:r>
        <w:rPr>
          <w:rFonts w:ascii="Times New Roman" w:hAnsi="Times New Roman"/>
          <w:color w:val="000000" w:themeColor="text1"/>
          <w:sz w:val="20"/>
          <w:szCs w:val="20"/>
          <w:u w:val="single"/>
          <w:lang w:val="en-US"/>
        </w:rPr>
        <w:t>php</w:t>
      </w:r>
      <w:r>
        <w:rPr>
          <w:rFonts w:ascii="Times New Roman" w:hAnsi="Times New Roman"/>
          <w:color w:val="000000" w:themeColor="text1"/>
          <w:sz w:val="20"/>
          <w:szCs w:val="20"/>
          <w:u w:val="single"/>
        </w:rPr>
        <w:t>?</w:t>
      </w:r>
      <w:r>
        <w:rPr>
          <w:rFonts w:ascii="Times New Roman" w:hAnsi="Times New Roman"/>
          <w:color w:val="000000" w:themeColor="text1"/>
          <w:sz w:val="20"/>
          <w:szCs w:val="20"/>
          <w:u w:val="single"/>
          <w:lang w:val="en-US"/>
        </w:rPr>
        <w:t>print</w:t>
      </w:r>
      <w:r>
        <w:rPr>
          <w:rFonts w:ascii="Times New Roman" w:hAnsi="Times New Roman"/>
          <w:color w:val="000000" w:themeColor="text1"/>
          <w:sz w:val="20"/>
          <w:szCs w:val="20"/>
          <w:u w:val="single"/>
        </w:rPr>
        <w:t>=</w:t>
      </w:r>
      <w:r>
        <w:rPr>
          <w:rFonts w:ascii="Times New Roman" w:hAnsi="Times New Roman"/>
          <w:color w:val="000000" w:themeColor="text1"/>
          <w:sz w:val="20"/>
          <w:szCs w:val="20"/>
          <w:u w:val="single"/>
          <w:lang w:val="en-US"/>
        </w:rPr>
        <w:t>Y</w:t>
      </w:r>
      <w:r>
        <w:rPr>
          <w:rFonts w:ascii="Times New Roman" w:hAnsi="Times New Roman"/>
          <w:color w:val="000000" w:themeColor="text1"/>
          <w:sz w:val="20"/>
          <w:szCs w:val="20"/>
          <w:u w:val="single"/>
        </w:rPr>
        <w:t>.</w:t>
      </w:r>
    </w:p>
    <w:p w:rsidR="00517711" w:rsidRDefault="00F815BE">
      <w:pPr>
        <w:pStyle w:val="af4"/>
        <w:numPr>
          <w:ilvl w:val="0"/>
          <w:numId w:val="57"/>
        </w:numPr>
        <w:tabs>
          <w:tab w:val="left" w:pos="567"/>
          <w:tab w:val="right" w:leader="dot" w:pos="9355"/>
        </w:tabs>
        <w:spacing w:after="0" w:line="240" w:lineRule="auto"/>
        <w:jc w:val="both"/>
        <w:rPr>
          <w:rFonts w:ascii="Times New Roman" w:hAnsi="Times New Roman"/>
          <w:color w:val="000000"/>
          <w:sz w:val="20"/>
          <w:szCs w:val="20"/>
          <w:lang w:eastAsia="ru-RU"/>
        </w:rPr>
      </w:pPr>
      <w:r>
        <w:rPr>
          <w:rFonts w:ascii="Times New Roman" w:hAnsi="Times New Roman"/>
          <w:color w:val="000000" w:themeColor="text1"/>
          <w:sz w:val="20"/>
          <w:szCs w:val="20"/>
          <w:lang w:eastAsia="ru-RU"/>
        </w:rPr>
        <w:t xml:space="preserve">   Зверев А. В. Энергоэффективность и энергосбережение: мировой опыт для России.М.: МАКС Пресс, 2011.</w:t>
      </w:r>
    </w:p>
    <w:p w:rsidR="00517711" w:rsidRDefault="00F815BE">
      <w:pPr>
        <w:pStyle w:val="af4"/>
        <w:numPr>
          <w:ilvl w:val="0"/>
          <w:numId w:val="57"/>
        </w:numPr>
        <w:tabs>
          <w:tab w:val="left" w:pos="567"/>
          <w:tab w:val="right" w:leader="dot" w:pos="9355"/>
        </w:tabs>
        <w:spacing w:after="0" w:line="240" w:lineRule="auto"/>
        <w:jc w:val="both"/>
        <w:rPr>
          <w:rFonts w:ascii="Times New Roman" w:hAnsi="Times New Roman"/>
          <w:color w:val="000000"/>
          <w:sz w:val="20"/>
          <w:szCs w:val="20"/>
          <w:lang w:eastAsia="ru-RU"/>
        </w:rPr>
      </w:pPr>
      <w:r>
        <w:rPr>
          <w:rFonts w:ascii="Times New Roman" w:hAnsi="Times New Roman"/>
          <w:color w:val="000000" w:themeColor="text1"/>
          <w:sz w:val="20"/>
          <w:szCs w:val="20"/>
          <w:lang w:eastAsia="ru-RU"/>
        </w:rPr>
        <w:t>Седаш Т. Н. Использование зарубежного опыта повышения энергоэффективности в российской экономике. // Финансовая аналитика: проблемы и решения. 2013. № 9.</w:t>
      </w:r>
    </w:p>
    <w:p w:rsidR="00517711" w:rsidRDefault="00F815BE">
      <w:pPr>
        <w:pStyle w:val="af4"/>
        <w:numPr>
          <w:ilvl w:val="0"/>
          <w:numId w:val="57"/>
        </w:numPr>
        <w:tabs>
          <w:tab w:val="left" w:pos="567"/>
          <w:tab w:val="right" w:leader="dot" w:pos="9355"/>
        </w:tabs>
        <w:spacing w:after="0" w:line="240" w:lineRule="auto"/>
        <w:jc w:val="both"/>
        <w:rPr>
          <w:rFonts w:ascii="Times New Roman" w:hAnsi="Times New Roman"/>
          <w:color w:val="000000"/>
          <w:sz w:val="20"/>
          <w:szCs w:val="20"/>
          <w:u w:val="single"/>
        </w:rPr>
      </w:pPr>
      <w:r>
        <w:rPr>
          <w:rFonts w:ascii="Times New Roman" w:hAnsi="Times New Roman"/>
          <w:color w:val="000000" w:themeColor="text1"/>
          <w:sz w:val="20"/>
          <w:szCs w:val="20"/>
          <w:lang w:eastAsia="ru-RU"/>
        </w:rPr>
        <w:t>Энергоэффективность и ВИЭ в Великобритании.</w:t>
      </w:r>
      <w:r>
        <w:rPr>
          <w:color w:val="000000" w:themeColor="text1"/>
          <w:sz w:val="20"/>
          <w:szCs w:val="20"/>
        </w:rPr>
        <w:t xml:space="preserve"> </w:t>
      </w:r>
      <w:r>
        <w:rPr>
          <w:rFonts w:ascii="Times New Roman" w:hAnsi="Times New Roman"/>
          <w:color w:val="000000" w:themeColor="text1"/>
          <w:sz w:val="20"/>
          <w:szCs w:val="20"/>
          <w:lang w:eastAsia="ru-RU"/>
        </w:rPr>
        <w:t xml:space="preserve">[Электронный ресурс] // Политика в области энергоэффективности. – Режим доступа: </w:t>
      </w:r>
      <w:r>
        <w:rPr>
          <w:rFonts w:ascii="Times New Roman" w:hAnsi="Times New Roman"/>
          <w:color w:val="000000" w:themeColor="text1"/>
          <w:sz w:val="20"/>
          <w:szCs w:val="20"/>
          <w:u w:val="single"/>
          <w:lang w:val="en-US"/>
        </w:rPr>
        <w:t>http</w:t>
      </w:r>
      <w:r>
        <w:rPr>
          <w:rFonts w:ascii="Times New Roman" w:hAnsi="Times New Roman"/>
          <w:color w:val="000000" w:themeColor="text1"/>
          <w:sz w:val="20"/>
          <w:szCs w:val="20"/>
          <w:u w:val="single"/>
        </w:rPr>
        <w:t>://</w:t>
      </w:r>
      <w:r>
        <w:rPr>
          <w:rFonts w:ascii="Times New Roman" w:hAnsi="Times New Roman"/>
          <w:color w:val="000000" w:themeColor="text1"/>
          <w:sz w:val="20"/>
          <w:szCs w:val="20"/>
          <w:u w:val="single"/>
          <w:lang w:val="en-US"/>
        </w:rPr>
        <w:t>rosenergo</w:t>
      </w:r>
      <w:r>
        <w:rPr>
          <w:rFonts w:ascii="Times New Roman" w:hAnsi="Times New Roman"/>
          <w:color w:val="000000" w:themeColor="text1"/>
          <w:sz w:val="20"/>
          <w:szCs w:val="20"/>
          <w:u w:val="single"/>
        </w:rPr>
        <w:t xml:space="preserve">. </w:t>
      </w:r>
      <w:r>
        <w:rPr>
          <w:rFonts w:ascii="Times New Roman" w:hAnsi="Times New Roman"/>
          <w:color w:val="000000" w:themeColor="text1"/>
          <w:sz w:val="20"/>
          <w:szCs w:val="20"/>
          <w:u w:val="single"/>
          <w:lang w:val="en-US"/>
        </w:rPr>
        <w:t>gov</w:t>
      </w:r>
      <w:r>
        <w:rPr>
          <w:rFonts w:ascii="Times New Roman" w:hAnsi="Times New Roman"/>
          <w:color w:val="000000" w:themeColor="text1"/>
          <w:sz w:val="20"/>
          <w:szCs w:val="20"/>
          <w:u w:val="single"/>
        </w:rPr>
        <w:t xml:space="preserve">. </w:t>
      </w:r>
      <w:r>
        <w:rPr>
          <w:rFonts w:ascii="Times New Roman" w:hAnsi="Times New Roman"/>
          <w:color w:val="000000" w:themeColor="text1"/>
          <w:sz w:val="20"/>
          <w:szCs w:val="20"/>
          <w:u w:val="single"/>
          <w:lang w:val="en-US"/>
        </w:rPr>
        <w:t>ru</w:t>
      </w:r>
      <w:r>
        <w:rPr>
          <w:rFonts w:ascii="Times New Roman" w:hAnsi="Times New Roman"/>
          <w:color w:val="000000" w:themeColor="text1"/>
          <w:sz w:val="20"/>
          <w:szCs w:val="20"/>
          <w:u w:val="single"/>
        </w:rPr>
        <w:t>/</w:t>
      </w:r>
      <w:r>
        <w:rPr>
          <w:rFonts w:ascii="Times New Roman" w:hAnsi="Times New Roman"/>
          <w:color w:val="000000" w:themeColor="text1"/>
          <w:sz w:val="20"/>
          <w:szCs w:val="20"/>
          <w:u w:val="single"/>
          <w:lang w:val="en-US"/>
        </w:rPr>
        <w:t>upload</w:t>
      </w:r>
      <w:r>
        <w:rPr>
          <w:rFonts w:ascii="Times New Roman" w:hAnsi="Times New Roman"/>
          <w:color w:val="000000" w:themeColor="text1"/>
          <w:sz w:val="20"/>
          <w:szCs w:val="20"/>
          <w:u w:val="single"/>
        </w:rPr>
        <w:t>/</w:t>
      </w:r>
      <w:r>
        <w:rPr>
          <w:rFonts w:ascii="Times New Roman" w:hAnsi="Times New Roman"/>
          <w:color w:val="000000" w:themeColor="text1"/>
          <w:sz w:val="20"/>
          <w:szCs w:val="20"/>
          <w:u w:val="single"/>
          <w:lang w:val="en-US"/>
        </w:rPr>
        <w:t>United</w:t>
      </w:r>
      <w:r>
        <w:rPr>
          <w:rFonts w:ascii="Times New Roman" w:hAnsi="Times New Roman"/>
          <w:color w:val="000000" w:themeColor="text1"/>
          <w:sz w:val="20"/>
          <w:szCs w:val="20"/>
          <w:u w:val="single"/>
        </w:rPr>
        <w:t>_</w:t>
      </w:r>
      <w:r>
        <w:rPr>
          <w:rFonts w:ascii="Times New Roman" w:hAnsi="Times New Roman"/>
          <w:color w:val="000000" w:themeColor="text1"/>
          <w:sz w:val="20"/>
          <w:szCs w:val="20"/>
          <w:u w:val="single"/>
          <w:lang w:val="en-US"/>
        </w:rPr>
        <w:t>Kingdom</w:t>
      </w:r>
      <w:r>
        <w:rPr>
          <w:rFonts w:ascii="Times New Roman" w:hAnsi="Times New Roman"/>
          <w:color w:val="000000" w:themeColor="text1"/>
          <w:sz w:val="20"/>
          <w:szCs w:val="20"/>
          <w:u w:val="single"/>
        </w:rPr>
        <w:t xml:space="preserve">. </w:t>
      </w:r>
      <w:r>
        <w:rPr>
          <w:rFonts w:ascii="Times New Roman" w:hAnsi="Times New Roman"/>
          <w:color w:val="000000" w:themeColor="text1"/>
          <w:sz w:val="20"/>
          <w:szCs w:val="20"/>
          <w:u w:val="single"/>
          <w:lang w:val="en-US"/>
        </w:rPr>
        <w:t>pdf</w:t>
      </w:r>
      <w:r>
        <w:rPr>
          <w:rFonts w:ascii="Times New Roman" w:hAnsi="Times New Roman"/>
          <w:color w:val="000000" w:themeColor="text1"/>
          <w:sz w:val="20"/>
          <w:szCs w:val="20"/>
          <w:u w:val="single"/>
        </w:rPr>
        <w:t>.</w:t>
      </w: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Перспективы развития сервисной деятельности</w:t>
      </w:r>
    </w:p>
    <w:p w:rsidR="00517711" w:rsidRDefault="00F815BE">
      <w:pPr>
        <w:spacing w:after="0"/>
        <w:rPr>
          <w:rFonts w:ascii="Times New Roman" w:hAnsi="Times New Roman"/>
          <w:sz w:val="20"/>
          <w:szCs w:val="24"/>
        </w:rPr>
      </w:pPr>
      <w:r>
        <w:rPr>
          <w:rFonts w:ascii="Times New Roman" w:hAnsi="Times New Roman"/>
          <w:sz w:val="20"/>
          <w:szCs w:val="24"/>
        </w:rPr>
        <w:t>УДК: 656.072.6</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Исследование структуры услуг по неавиационной деятельности, с использованием методов прогнозирования и анализа ассортимента</w:t>
      </w:r>
    </w:p>
    <w:p w:rsidR="00517711" w:rsidRDefault="00F815BE">
      <w:pPr>
        <w:spacing w:after="0"/>
        <w:ind w:firstLine="709"/>
        <w:jc w:val="center"/>
        <w:rPr>
          <w:rFonts w:ascii="Arial" w:eastAsia="Calibri" w:hAnsi="Arial"/>
          <w:b/>
          <w:bCs/>
          <w:sz w:val="24"/>
          <w:szCs w:val="24"/>
        </w:rPr>
      </w:pPr>
      <w:r>
        <w:rPr>
          <w:rFonts w:ascii="Arial" w:eastAsia="Calibri" w:hAnsi="Arial"/>
          <w:b/>
          <w:bCs/>
          <w:sz w:val="24"/>
          <w:szCs w:val="24"/>
        </w:rPr>
        <w:t>Макиевская Юлия Юрьевна</w:t>
      </w:r>
    </w:p>
    <w:p w:rsidR="00517711" w:rsidRDefault="00F815BE">
      <w:pPr>
        <w:ind w:firstLine="709"/>
        <w:jc w:val="center"/>
        <w:rPr>
          <w:rFonts w:ascii="Arial" w:eastAsia="Calibri" w:hAnsi="Arial"/>
          <w:bCs/>
          <w:sz w:val="24"/>
          <w:szCs w:val="20"/>
          <w:lang w:eastAsia="ru-RU"/>
        </w:rPr>
      </w:pPr>
      <w:r>
        <w:rPr>
          <w:rFonts w:ascii="Arial" w:eastAsia="Calibri" w:hAnsi="Arial"/>
          <w:bCs/>
          <w:sz w:val="24"/>
          <w:szCs w:val="20"/>
          <w:lang w:eastAsia="ru-RU"/>
        </w:rPr>
        <w:t>бакалавр 4 курса, кафедра дизайна и технологий</w:t>
      </w:r>
    </w:p>
    <w:p w:rsidR="00517711" w:rsidRDefault="00F815BE">
      <w:pPr>
        <w:spacing w:after="0"/>
        <w:ind w:firstLine="709"/>
        <w:jc w:val="center"/>
        <w:rPr>
          <w:rFonts w:ascii="Arial" w:eastAsia="Calibri" w:hAnsi="Arial"/>
          <w:b/>
          <w:bCs/>
          <w:sz w:val="24"/>
          <w:szCs w:val="24"/>
        </w:rPr>
      </w:pPr>
      <w:r>
        <w:rPr>
          <w:rFonts w:ascii="Arial" w:eastAsia="Calibri" w:hAnsi="Arial"/>
          <w:b/>
          <w:bCs/>
          <w:sz w:val="24"/>
          <w:szCs w:val="24"/>
        </w:rPr>
        <w:t>Шеромова Ирина Александровна</w:t>
      </w:r>
    </w:p>
    <w:p w:rsidR="00517711" w:rsidRDefault="00F815BE">
      <w:pPr>
        <w:ind w:firstLine="709"/>
        <w:jc w:val="center"/>
        <w:rPr>
          <w:rFonts w:ascii="Arial" w:eastAsia="Calibri" w:hAnsi="Arial"/>
          <w:bCs/>
          <w:sz w:val="24"/>
          <w:szCs w:val="20"/>
          <w:lang w:eastAsia="ru-RU"/>
        </w:rPr>
      </w:pPr>
      <w:r>
        <w:rPr>
          <w:rFonts w:ascii="Arial" w:eastAsia="Calibri" w:hAnsi="Arial"/>
          <w:bCs/>
          <w:sz w:val="24"/>
          <w:szCs w:val="20"/>
          <w:lang w:eastAsia="ru-RU"/>
        </w:rPr>
        <w:t>Доктор технических наук, профессор, кафедра дизайна и технологий</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lastRenderedPageBreak/>
        <w:t>Владивостокский государственный университет экономики и сервиса</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spacing w:after="0"/>
        <w:ind w:firstLine="709"/>
        <w:jc w:val="center"/>
        <w:rPr>
          <w:rFonts w:ascii="Times New Roman" w:hAnsi="Times New Roman"/>
          <w:sz w:val="20"/>
          <w:szCs w:val="24"/>
        </w:rPr>
      </w:pPr>
      <w:r>
        <w:rPr>
          <w:rFonts w:ascii="Times New Roman" w:hAnsi="Times New Roman"/>
          <w:sz w:val="20"/>
          <w:szCs w:val="24"/>
          <w:lang w:val="en-US"/>
        </w:rPr>
        <w:t>E</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 xml:space="preserve">: </w:t>
      </w:r>
      <w:r>
        <w:rPr>
          <w:rFonts w:ascii="Times New Roman" w:hAnsi="Times New Roman"/>
          <w:sz w:val="20"/>
          <w:szCs w:val="24"/>
          <w:lang w:val="en-US"/>
        </w:rPr>
        <w:t>Ulyska</w:t>
      </w:r>
      <w:r>
        <w:rPr>
          <w:rFonts w:ascii="Times New Roman" w:hAnsi="Times New Roman"/>
          <w:sz w:val="20"/>
          <w:szCs w:val="24"/>
        </w:rPr>
        <w:t xml:space="preserve">1@ </w:t>
      </w:r>
      <w:r>
        <w:rPr>
          <w:rFonts w:ascii="Times New Roman" w:hAnsi="Times New Roman"/>
          <w:sz w:val="20"/>
          <w:szCs w:val="24"/>
          <w:lang w:val="en-US"/>
        </w:rPr>
        <w:t>mail</w:t>
      </w:r>
      <w:r>
        <w:rPr>
          <w:rFonts w:ascii="Times New Roman" w:hAnsi="Times New Roman"/>
          <w:sz w:val="20"/>
          <w:szCs w:val="24"/>
        </w:rPr>
        <w:t>.</w:t>
      </w:r>
      <w:r>
        <w:rPr>
          <w:rFonts w:ascii="Times New Roman" w:hAnsi="Times New Roman"/>
          <w:sz w:val="20"/>
          <w:szCs w:val="24"/>
          <w:lang w:val="en-US"/>
        </w:rPr>
        <w:t>ru</w:t>
      </w:r>
      <w:r>
        <w:rPr>
          <w:rFonts w:ascii="Times New Roman" w:hAnsi="Times New Roman"/>
          <w:sz w:val="20"/>
          <w:szCs w:val="24"/>
        </w:rPr>
        <w:t>; тел.: 89242440556</w:t>
      </w:r>
    </w:p>
    <w:p w:rsidR="00517711" w:rsidRDefault="00F815BE">
      <w:pPr>
        <w:spacing w:after="0"/>
        <w:ind w:firstLine="709"/>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F815BE">
      <w:pPr>
        <w:spacing w:before="240" w:after="0" w:line="240" w:lineRule="auto"/>
        <w:ind w:firstLine="709"/>
        <w:jc w:val="both"/>
        <w:rPr>
          <w:rFonts w:ascii="Times New Roman" w:hAnsi="Times New Roman"/>
          <w:i/>
          <w:szCs w:val="24"/>
        </w:rPr>
      </w:pPr>
      <w:r>
        <w:rPr>
          <w:rFonts w:ascii="Times New Roman" w:hAnsi="Times New Roman"/>
          <w:i/>
          <w:szCs w:val="24"/>
        </w:rPr>
        <w:t>Для российских аэропортов одной из актуальных проблем повышения конкурентоспособности, привлекательности и комфортности аэропорта, а также увеличения структуры доходов авиапредприятия, является развитие неавиационной деятельности. Именно поэтому существует необходимость построения рациональной структуры услуг и проведения определенной ассортиментной политики, учитывающей специфику авиапредприятия и базирующейся на использовании методов прогнозирования и анализа ассортимента.</w:t>
      </w:r>
    </w:p>
    <w:p w:rsidR="00517711" w:rsidRDefault="00F815BE">
      <w:pPr>
        <w:spacing w:line="240" w:lineRule="auto"/>
        <w:ind w:firstLine="709"/>
        <w:jc w:val="both"/>
        <w:rPr>
          <w:rFonts w:ascii="Times New Roman" w:hAnsi="Times New Roman"/>
          <w:i/>
          <w:szCs w:val="24"/>
        </w:rPr>
      </w:pPr>
      <w:r>
        <w:rPr>
          <w:rFonts w:ascii="Times New Roman" w:hAnsi="Times New Roman"/>
          <w:b/>
          <w:i/>
          <w:szCs w:val="24"/>
        </w:rPr>
        <w:t>Ключевые слова и словосочетания:</w:t>
      </w:r>
      <w:r>
        <w:rPr>
          <w:rFonts w:ascii="Times New Roman" w:hAnsi="Times New Roman"/>
          <w:i/>
          <w:szCs w:val="24"/>
        </w:rPr>
        <w:t xml:space="preserve"> неавиационная деятельность, рациональная структура услуг, ассортиментная политика авиапредприятия, методы прогнозирования и анализа ассортимента.</w:t>
      </w:r>
    </w:p>
    <w:p w:rsidR="00517711" w:rsidRDefault="00F815BE">
      <w:pPr>
        <w:keepNext/>
        <w:spacing w:before="240" w:after="240" w:line="240" w:lineRule="auto"/>
        <w:jc w:val="center"/>
        <w:outlineLvl w:val="0"/>
        <w:rPr>
          <w:rFonts w:ascii="Book Antiqua" w:eastAsia="Calibri" w:hAnsi="Book Antiqua"/>
          <w:b/>
          <w:bCs/>
          <w:caps/>
          <w:sz w:val="26"/>
          <w:szCs w:val="20"/>
          <w:lang w:val="en-US"/>
        </w:rPr>
      </w:pPr>
      <w:r>
        <w:rPr>
          <w:rFonts w:ascii="Book Antiqua" w:eastAsia="Calibri" w:hAnsi="Book Antiqua"/>
          <w:b/>
          <w:bCs/>
          <w:caps/>
          <w:sz w:val="26"/>
          <w:szCs w:val="20"/>
          <w:lang w:val="en-US"/>
        </w:rPr>
        <w:t>The study of the structure of services for non-aviation activities,</w:t>
      </w:r>
      <w:r>
        <w:rPr>
          <w:rFonts w:ascii="Book Antiqua" w:eastAsia="Calibri" w:hAnsi="Book Antiqua"/>
          <w:b/>
          <w:bCs/>
          <w:caps/>
          <w:sz w:val="26"/>
          <w:szCs w:val="20"/>
          <w:lang w:val="en-US"/>
        </w:rPr>
        <w:br/>
        <w:t>using methods of forecasting and assortment analysis</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i/>
          <w:szCs w:val="24"/>
          <w:lang w:val="en-US"/>
        </w:rPr>
        <w:t>For Russian airports, one of the urgent problems of increasing the competitiveness, attractiveness and comfort of the airport, as well as increasing the structure of the revenue of the airline, is the development of non-aviation activities. This is why there is a need to build a rational structure of services and conduct a certain assortment policy that takes into account the specifics of the airline and is based on the use of methods for forecasting and analyzing the assortment.</w:t>
      </w:r>
    </w:p>
    <w:p w:rsidR="00517711" w:rsidRDefault="00F815BE">
      <w:pPr>
        <w:spacing w:line="240" w:lineRule="auto"/>
        <w:ind w:firstLine="709"/>
        <w:jc w:val="both"/>
        <w:rPr>
          <w:rFonts w:ascii="Times New Roman" w:hAnsi="Times New Roman"/>
          <w:i/>
          <w:szCs w:val="24"/>
          <w:lang w:val="en-US"/>
        </w:rPr>
      </w:pPr>
      <w:r>
        <w:rPr>
          <w:rFonts w:ascii="Times New Roman" w:hAnsi="Times New Roman"/>
          <w:b/>
          <w:i/>
          <w:szCs w:val="24"/>
          <w:lang w:val="en-US"/>
        </w:rPr>
        <w:t>Key words:</w:t>
      </w:r>
      <w:r>
        <w:rPr>
          <w:rFonts w:ascii="Times New Roman" w:hAnsi="Times New Roman"/>
          <w:i/>
          <w:szCs w:val="24"/>
          <w:lang w:val="en-US"/>
        </w:rPr>
        <w:t xml:space="preserve"> non-aeronautical activity, rational structure of services, assortment policy of the airline, methods of forecasting and assortment analysis.</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Актуальность данной статьи обусловлена тем, что</w:t>
      </w:r>
      <w:r>
        <w:rPr>
          <w:rFonts w:ascii="Times New Roman" w:hAnsi="Times New Roman"/>
          <w:bCs/>
          <w:sz w:val="20"/>
          <w:szCs w:val="20"/>
        </w:rPr>
        <w:t xml:space="preserve"> в настоящее время деятельность неавиационной направленности является важным видом коммерческой деятельности для российских аэропортов, который открывает множество возможностей и потенциальных источников доходов. </w:t>
      </w:r>
      <w:r>
        <w:rPr>
          <w:rFonts w:ascii="Times New Roman" w:hAnsi="Times New Roman"/>
          <w:sz w:val="20"/>
          <w:szCs w:val="20"/>
        </w:rPr>
        <w:t xml:space="preserve">Оказываемые услуги по неавиационной деятельности воздействуют на конечный результат: величину доходов и рентабельность работы аэропортов. Стоит отметить, что </w:t>
      </w:r>
      <w:r>
        <w:rPr>
          <w:rFonts w:ascii="Times New Roman" w:hAnsi="Times New Roman"/>
          <w:bCs/>
          <w:sz w:val="20"/>
          <w:szCs w:val="20"/>
        </w:rPr>
        <w:t xml:space="preserve">эффективность получения дохода от неавиационной деятельности во многом зависит от ассортиментной политики и структуры услуг, оказываемых на территории авиапредприятия. </w:t>
      </w:r>
      <w:r>
        <w:rPr>
          <w:rFonts w:ascii="Times New Roman" w:hAnsi="Times New Roman"/>
          <w:sz w:val="20"/>
          <w:szCs w:val="20"/>
        </w:rPr>
        <w:t>Именно поэтому, одним из ключевых направлений развития неавиационной деятельности, в том числе неавиационных услуг, на рынке авиаперевозок является организация деятельности аэропортового комплекса и выделение комплекса и структуры услуг, качество и доступность которых повысит привлекательность и рентабельность аэропортов в конкурентной среде.</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Целью данной статьи является исследование структуры неавиационных услуг авиапредприятия, оценка возможности использования методов прогнозирования и анализа ассортимента при формировании ассортимента неавиационных услуг на территории аэропорта.</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Для достижения данной цели, необходимо решить следующие задачи:</w:t>
      </w:r>
    </w:p>
    <w:p w:rsidR="00517711" w:rsidRDefault="00F815BE">
      <w:pPr>
        <w:pStyle w:val="af4"/>
        <w:ind w:left="0" w:firstLine="709"/>
        <w:jc w:val="both"/>
        <w:rPr>
          <w:sz w:val="20"/>
          <w:szCs w:val="20"/>
        </w:rPr>
      </w:pPr>
      <w:r>
        <w:rPr>
          <w:sz w:val="20"/>
          <w:szCs w:val="20"/>
        </w:rPr>
        <w:t>- проанализировать сущность и опыт ведения неавиационной деятельности и формирование структуры услуг в лидирующих мировых аэропортах;</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 исследовать и проанализировать методы прогнозирования и анализа ассортимента предприятия в контексте возможности их применения при формировании структуры услуг авиапредприятия;</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 разработать методику формирования рациональной структуры услуг по неавиационной деятельности аэропорта.</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Основными методами исследования, применяемыми в данной работе, являлись следующие:</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библиографический (анализ литературы и нормативно-справочных документов);</w:t>
      </w:r>
    </w:p>
    <w:p w:rsidR="00517711" w:rsidRDefault="00F815BE">
      <w:pPr>
        <w:pStyle w:val="af6"/>
        <w:spacing w:before="0" w:beforeAutospacing="0" w:after="0" w:afterAutospacing="0"/>
        <w:ind w:firstLine="709"/>
        <w:jc w:val="both"/>
        <w:rPr>
          <w:color w:val="000000"/>
          <w:sz w:val="20"/>
          <w:szCs w:val="20"/>
          <w:lang w:eastAsia="en-US"/>
        </w:rPr>
      </w:pPr>
      <w:r>
        <w:rPr>
          <w:sz w:val="20"/>
          <w:szCs w:val="20"/>
        </w:rPr>
        <w:t>- методы прогнозирования и анализа ассортимента предприятия (</w:t>
      </w:r>
      <w:r>
        <w:rPr>
          <w:color w:val="000000"/>
          <w:sz w:val="20"/>
          <w:szCs w:val="20"/>
          <w:lang w:eastAsia="en-US"/>
        </w:rPr>
        <w:t>анализ рентабельности ассортиментной группы товаров, АВС-анализ, XYZ-анализ, матрица совместных покупок, анализ по адаптированной матрице BCG).</w:t>
      </w:r>
    </w:p>
    <w:p w:rsidR="00517711" w:rsidRDefault="00F815BE">
      <w:pPr>
        <w:shd w:val="clear" w:color="auto" w:fill="FFFFFF"/>
        <w:spacing w:after="0" w:line="240" w:lineRule="auto"/>
        <w:ind w:firstLine="709"/>
        <w:jc w:val="both"/>
        <w:rPr>
          <w:rFonts w:ascii="Times New Roman" w:hAnsi="Times New Roman"/>
          <w:bCs/>
          <w:sz w:val="20"/>
          <w:szCs w:val="20"/>
        </w:rPr>
      </w:pPr>
      <w:r>
        <w:rPr>
          <w:rFonts w:ascii="Times New Roman" w:hAnsi="Times New Roman"/>
          <w:bCs/>
          <w:sz w:val="20"/>
          <w:szCs w:val="20"/>
        </w:rPr>
        <w:t xml:space="preserve">Известно, что неавиационная деятельность аэропортов </w:t>
      </w:r>
      <w:r>
        <w:rPr>
          <w:rFonts w:ascii="Times New Roman" w:hAnsi="Times New Roman"/>
          <w:sz w:val="20"/>
          <w:szCs w:val="20"/>
        </w:rPr>
        <w:t xml:space="preserve">[1] </w:t>
      </w:r>
      <w:r>
        <w:rPr>
          <w:rFonts w:ascii="Times New Roman" w:hAnsi="Times New Roman"/>
          <w:bCs/>
          <w:sz w:val="20"/>
          <w:szCs w:val="20"/>
        </w:rPr>
        <w:t xml:space="preserve">– это деятельность по развитию наземных услуг, предоставляемых пассажирам на территории аэропортов. С одной стороны, она способствует максимизации прибыли аэропорта, с другой стороны, развитая коммерческая инфраструктура повышает качество сервисного обслуживания в аэропорту и уровень удовлетворенности пассажиров.  В каждом конкретном случае распределение объектов коммерческой инфраструктуры зависит от сочетания различных факторов, из которых наиболее значимыми являются: </w:t>
      </w:r>
    </w:p>
    <w:p w:rsidR="00517711" w:rsidRDefault="00F815BE">
      <w:pPr>
        <w:shd w:val="clear" w:color="auto" w:fill="FFFFFF"/>
        <w:spacing w:after="0" w:line="240" w:lineRule="auto"/>
        <w:ind w:firstLine="709"/>
        <w:jc w:val="both"/>
        <w:rPr>
          <w:rFonts w:ascii="Times New Roman" w:hAnsi="Times New Roman"/>
          <w:bCs/>
          <w:sz w:val="20"/>
          <w:szCs w:val="20"/>
        </w:rPr>
      </w:pPr>
      <w:r>
        <w:rPr>
          <w:rFonts w:ascii="Times New Roman" w:hAnsi="Times New Roman"/>
          <w:bCs/>
          <w:sz w:val="20"/>
          <w:szCs w:val="20"/>
        </w:rPr>
        <w:t xml:space="preserve">- величина пассажиропотока; </w:t>
      </w:r>
    </w:p>
    <w:p w:rsidR="00517711" w:rsidRDefault="00F815BE">
      <w:pPr>
        <w:shd w:val="clear" w:color="auto" w:fill="FFFFFF"/>
        <w:spacing w:after="0" w:line="240" w:lineRule="auto"/>
        <w:ind w:firstLine="709"/>
        <w:jc w:val="both"/>
        <w:rPr>
          <w:rFonts w:ascii="Times New Roman" w:hAnsi="Times New Roman"/>
          <w:bCs/>
          <w:sz w:val="20"/>
          <w:szCs w:val="20"/>
        </w:rPr>
      </w:pPr>
      <w:r>
        <w:rPr>
          <w:rFonts w:ascii="Times New Roman" w:hAnsi="Times New Roman"/>
          <w:bCs/>
          <w:sz w:val="20"/>
          <w:szCs w:val="20"/>
        </w:rPr>
        <w:lastRenderedPageBreak/>
        <w:t xml:space="preserve">- структура пассажиропотока (по направлению – внутренние / международные рейсы, по профилю пассажиров – бизнес/туризм); </w:t>
      </w:r>
    </w:p>
    <w:p w:rsidR="00517711" w:rsidRDefault="00F815BE">
      <w:pPr>
        <w:shd w:val="clear" w:color="auto" w:fill="FFFFFF"/>
        <w:spacing w:after="0" w:line="240" w:lineRule="auto"/>
        <w:ind w:firstLine="709"/>
        <w:jc w:val="both"/>
        <w:rPr>
          <w:rFonts w:ascii="Times New Roman" w:hAnsi="Times New Roman"/>
          <w:bCs/>
          <w:sz w:val="20"/>
          <w:szCs w:val="20"/>
        </w:rPr>
      </w:pPr>
      <w:r>
        <w:rPr>
          <w:rFonts w:ascii="Times New Roman" w:hAnsi="Times New Roman"/>
          <w:bCs/>
          <w:sz w:val="20"/>
          <w:szCs w:val="20"/>
        </w:rPr>
        <w:t xml:space="preserve">- основной маршрут движения пассажиров по аэропорту; </w:t>
      </w:r>
    </w:p>
    <w:p w:rsidR="00517711" w:rsidRDefault="00F815BE">
      <w:pPr>
        <w:shd w:val="clear" w:color="auto" w:fill="FFFFFF"/>
        <w:spacing w:after="0" w:line="240" w:lineRule="auto"/>
        <w:ind w:firstLine="709"/>
        <w:jc w:val="both"/>
        <w:rPr>
          <w:rFonts w:ascii="Times New Roman" w:hAnsi="Times New Roman"/>
          <w:bCs/>
          <w:sz w:val="20"/>
          <w:szCs w:val="20"/>
        </w:rPr>
      </w:pPr>
      <w:r>
        <w:rPr>
          <w:rFonts w:ascii="Times New Roman" w:hAnsi="Times New Roman"/>
          <w:bCs/>
          <w:sz w:val="20"/>
          <w:szCs w:val="20"/>
        </w:rPr>
        <w:t>- конструктивные характеристики аэропорта (возможность размещения коммерческой инфраструктуры в «стерильной» зоне, под которой понимается зона между пунктом предполетного досмотра пассажиров и воздушным судном, доступ в которую строго контролируется)</w:t>
      </w:r>
      <w:r>
        <w:rPr>
          <w:rFonts w:ascii="Times New Roman" w:hAnsi="Times New Roman"/>
          <w:sz w:val="20"/>
          <w:szCs w:val="20"/>
        </w:rPr>
        <w:t xml:space="preserve"> [6]</w:t>
      </w:r>
      <w:r>
        <w:rPr>
          <w:rFonts w:ascii="Times New Roman" w:hAnsi="Times New Roman"/>
          <w:bCs/>
          <w:sz w:val="20"/>
          <w:szCs w:val="20"/>
        </w:rPr>
        <w:t xml:space="preserve">. </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Л.П. Волкова [2. с.14] отмечает, что неавиационная деятельность, осуществляемая в зданиях аэропорта и на его территории, различается большим разнообразием. Ее виды и формы определяются потребностями и интересами потребителей, а также существующей инфраструктурой, техническими и экономическими возможностями данного аэропорта. </w: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К основным направлениям развития неавиационной деятельности аэропорта относятся:</w: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ритейл (магазины и розничная торговля);</w: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хоспиталити (услуги общественного питания и услуги гостиниц);</w: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xml:space="preserve">- некоммерческие объекты. </w: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xml:space="preserve">Концепция развития неавиационной деятельности формулируется следующим образом: комфортный аэропорт, узнаваемые региональные бренды, а также тщательно подобранный ассортимент товаров и услуг. </w: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При выборе видов неавиавиационной деятельности представители аэропорта руководствуются определенными стандартами и утвержденным перечнем, определяющим набор обязательных услуг, предоставляемых пассажирам на территории международных аэропортов [5], а также рекомендациями Международной организации гражданской авиации (ИКАО).  </w:t>
      </w:r>
    </w:p>
    <w:p w:rsidR="00517711" w:rsidRDefault="00F815BE">
      <w:pPr>
        <w:spacing w:after="0" w:line="240" w:lineRule="auto"/>
        <w:ind w:firstLine="709"/>
        <w:jc w:val="both"/>
        <w:rPr>
          <w:rFonts w:ascii="Times New Roman" w:hAnsi="Times New Roman"/>
          <w:bCs/>
          <w:sz w:val="20"/>
          <w:szCs w:val="20"/>
        </w:rPr>
      </w:pPr>
      <w:r>
        <w:rPr>
          <w:rFonts w:ascii="Times New Roman" w:hAnsi="Times New Roman"/>
          <w:color w:val="000000"/>
          <w:sz w:val="20"/>
          <w:szCs w:val="20"/>
        </w:rPr>
        <w:t>Также, необходимо помнить, что в целях повышения качества и культуры обслуживания пассажиров в аэропортах рекомендуется расширять спектр предоставление пассажирам дополнительных платных услуг, так как минимального перечня обязательных услуг недостаточно для обеспечения максимального комфорта и удовлетворенности пассажиров</w:t>
      </w:r>
      <w:r>
        <w:rPr>
          <w:rFonts w:ascii="Times New Roman" w:hAnsi="Times New Roman"/>
          <w:sz w:val="20"/>
          <w:szCs w:val="20"/>
        </w:rPr>
        <w:t xml:space="preserve">. </w: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sz w:val="20"/>
          <w:szCs w:val="20"/>
        </w:rPr>
        <w:t xml:space="preserve">Таким образом, процесс формирования рынка неавиационных услуг основан на том, что на территории аэропорта </w:t>
      </w:r>
      <w:r>
        <w:rPr>
          <w:rFonts w:ascii="Times New Roman" w:hAnsi="Times New Roman"/>
          <w:color w:val="000000"/>
          <w:sz w:val="20"/>
          <w:szCs w:val="20"/>
        </w:rPr>
        <w:t>в обязательном порядке должен присутствовать необходимый и достаточный набор услуг, удовлетворяющих потребности пассажиров. Важно помнить, что при выборе дополнительных услуг по неавиационной деятельности необходимо учитывать региональный менталитет, выражаемый в характеристиках спроса и уровне потребностей жителей и гостей региона. Поэтому руководству аэропорта необходимо уметь выдерживать баланс между нормативными требованиями к безопасности и качеству оказываемых услуг и внедрением новых, часто передовых для региона технологий работы и сервисов, с целью привлечения пассажиров и инвесторов.</w:t>
      </w:r>
    </w:p>
    <w:p w:rsidR="00517711" w:rsidRDefault="00F815BE">
      <w:pPr>
        <w:shd w:val="clear" w:color="auto" w:fill="FFFFFF"/>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xml:space="preserve">По данным исследования, проведенным Международным советом европейских аэропортов (ACI Europe) [3], посвященному изучению основных источников получения доходов в зарубежных аэропортах, услуги по неавиационной деятельности приносят аэропортам до 60 % дохода, а в аэропортах России этот показатель значительно ниже и составляет в крупных аэропортах в среднем от 20 до 30%. </w:t>
      </w:r>
    </w:p>
    <w:p w:rsidR="00517711" w:rsidRDefault="00F815BE">
      <w:pPr>
        <w:shd w:val="clear" w:color="auto" w:fill="FFFFFF"/>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Основываясь на результатах данного исследования и опыта ведения неавиационной деятельности в лидирующих зарубежных аэропортах, был сформирован общий перечень услуг по неавиационной деятельности, которые, в общем случае, целесообразно развивать на территории аэропорта:</w:t>
      </w:r>
    </w:p>
    <w:p w:rsidR="00517711" w:rsidRDefault="00F815BE">
      <w:pPr>
        <w:shd w:val="clear" w:color="auto" w:fill="FFFFFF"/>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услуги общественного питания (бары, кафе, рестораны);</w:t>
      </w:r>
    </w:p>
    <w:p w:rsidR="00517711" w:rsidRDefault="00F815BE">
      <w:pPr>
        <w:shd w:val="clear" w:color="auto" w:fill="FFFFFF"/>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услуги связи, почтовых отделений и банкоматов;</w:t>
      </w:r>
    </w:p>
    <w:p w:rsidR="00517711" w:rsidRDefault="00F815BE">
      <w:pPr>
        <w:shd w:val="clear" w:color="auto" w:fill="FFFFFF"/>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xml:space="preserve">- услуги парковки и стоянки; </w:t>
      </w:r>
    </w:p>
    <w:p w:rsidR="00517711" w:rsidRDefault="00F815BE">
      <w:pPr>
        <w:shd w:val="clear" w:color="auto" w:fill="FFFFFF"/>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услуги такси и проката авто;</w:t>
      </w:r>
    </w:p>
    <w:p w:rsidR="00517711" w:rsidRDefault="00F815BE">
      <w:pPr>
        <w:shd w:val="clear" w:color="auto" w:fill="FFFFFF"/>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услуги упаковки багажа и камеры хранения;</w:t>
      </w:r>
    </w:p>
    <w:p w:rsidR="00517711" w:rsidRDefault="00F815BE">
      <w:pPr>
        <w:shd w:val="clear" w:color="auto" w:fill="FFFFFF"/>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услуги комнат отдыха, медитации и релаксации (в том числе комнаты матери и ребенка);</w:t>
      </w:r>
    </w:p>
    <w:p w:rsidR="00517711" w:rsidRDefault="00F815BE">
      <w:pPr>
        <w:shd w:val="clear" w:color="auto" w:fill="FFFFFF"/>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услуги гостиниц и капсульных мотелей;</w:t>
      </w:r>
    </w:p>
    <w:p w:rsidR="00517711" w:rsidRDefault="00F815BE">
      <w:pPr>
        <w:shd w:val="clear" w:color="auto" w:fill="FFFFFF"/>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культурно-развлекательные и досуговые услуги;</w:t>
      </w:r>
    </w:p>
    <w:p w:rsidR="00517711" w:rsidRDefault="00F815BE">
      <w:pPr>
        <w:shd w:val="clear" w:color="auto" w:fill="FFFFFF"/>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детские зоны отдыха;</w:t>
      </w:r>
    </w:p>
    <w:p w:rsidR="00517711" w:rsidRDefault="00F815BE">
      <w:pPr>
        <w:shd w:val="clear" w:color="auto" w:fill="FFFFFF"/>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магазины розничной торговли;</w:t>
      </w:r>
    </w:p>
    <w:p w:rsidR="00517711" w:rsidRDefault="00F815BE">
      <w:pPr>
        <w:shd w:val="clear" w:color="auto" w:fill="FFFFFF"/>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точки по продаже аптечных товаров;</w:t>
      </w:r>
    </w:p>
    <w:p w:rsidR="00517711" w:rsidRDefault="00F815BE">
      <w:pPr>
        <w:shd w:val="clear" w:color="auto" w:fill="FFFFFF"/>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точки по продаже печатной и сувенирной продукции;</w:t>
      </w:r>
    </w:p>
    <w:p w:rsidR="00517711" w:rsidRDefault="00F815BE">
      <w:pPr>
        <w:shd w:val="clear" w:color="auto" w:fill="FFFFFF"/>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услуги красоты;</w:t>
      </w:r>
    </w:p>
    <w:p w:rsidR="00517711" w:rsidRDefault="00F815BE">
      <w:pPr>
        <w:shd w:val="clear" w:color="auto" w:fill="FFFFFF"/>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услуги по ремонту и химчистки одежды;</w:t>
      </w:r>
    </w:p>
    <w:p w:rsidR="00517711" w:rsidRDefault="00F815BE">
      <w:pPr>
        <w:shd w:val="clear" w:color="auto" w:fill="FFFFFF"/>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индивидуальные (тематические) услуги, характерные для каждого конкретного аэропорта.</w:t>
      </w:r>
    </w:p>
    <w:p w:rsidR="00517711" w:rsidRDefault="00F815BE">
      <w:pPr>
        <w:shd w:val="clear" w:color="auto" w:fill="FFFFFF"/>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Данный перечень должен служить основой для определения рациональной структуры неавиационных услуг авиапредприятия при разработке ассортиментной политики. При этом целесообразность и доля присутствия каждой группы услуг на территории аэровокзального комплекса определяется для каждого аэропорта индивидуально, учитывая следующие факторы: величину пассажиропотока, зонирование и конструктивные характеристики аэровокзального комплекса.</w:t>
      </w:r>
    </w:p>
    <w:p w:rsidR="00517711" w:rsidRDefault="00F815BE">
      <w:pPr>
        <w:pStyle w:val="af6"/>
        <w:spacing w:before="0" w:beforeAutospacing="0" w:after="0" w:afterAutospacing="0"/>
        <w:ind w:firstLine="709"/>
        <w:jc w:val="both"/>
        <w:rPr>
          <w:sz w:val="20"/>
          <w:szCs w:val="20"/>
          <w:lang w:eastAsia="en-US"/>
        </w:rPr>
      </w:pPr>
      <w:r>
        <w:rPr>
          <w:sz w:val="20"/>
          <w:szCs w:val="20"/>
          <w:lang w:eastAsia="en-US"/>
        </w:rPr>
        <w:t xml:space="preserve">Ассортиментная политика любого предприятия сводится к управлению ассортиментом его продукции (работ, услуг) и связана с общей рыночной стратегией, и в рамках этой стратегии осуществляется формирование и совершенствование состава и структуры ассортимента продукции. Хорошо продуманная </w:t>
      </w:r>
      <w:r>
        <w:rPr>
          <w:sz w:val="20"/>
          <w:szCs w:val="20"/>
          <w:lang w:eastAsia="en-US"/>
        </w:rPr>
        <w:lastRenderedPageBreak/>
        <w:t>ассортиментная политика не только позволяет оптимизировать процесс обновления ассортимента, но и служит для руководства организации своего рода указателем общей направленности действий.</w:t>
      </w:r>
    </w:p>
    <w:p w:rsidR="00517711" w:rsidRDefault="00F815BE">
      <w:pPr>
        <w:pStyle w:val="af6"/>
        <w:spacing w:before="0" w:beforeAutospacing="0" w:after="0" w:afterAutospacing="0"/>
        <w:ind w:firstLine="709"/>
        <w:jc w:val="both"/>
        <w:rPr>
          <w:sz w:val="20"/>
          <w:szCs w:val="20"/>
          <w:lang w:eastAsia="en-US"/>
        </w:rPr>
      </w:pPr>
      <w:r>
        <w:rPr>
          <w:sz w:val="20"/>
          <w:szCs w:val="20"/>
          <w:lang w:eastAsia="en-US"/>
        </w:rPr>
        <w:t xml:space="preserve">Особенности планирования, формирования и управления структурой услуг и ассортиментом авиапредприятия заключаются, прежде всего, в специфике данного предприятия. Необходимо, чтобы руководство аэропорта своевременно предлагало определенную совокупность услуг, которые бы, соответствуя в целом профилю деятельности и региональной принадлежности аэровокзального комплекса, наиболее полно удовлетворяли требованиям определенных категорий пассажиров. </w:t>
      </w:r>
    </w:p>
    <w:p w:rsidR="00517711" w:rsidRDefault="00F815BE">
      <w:pPr>
        <w:pStyle w:val="af6"/>
        <w:spacing w:before="0" w:beforeAutospacing="0" w:after="0" w:afterAutospacing="0"/>
        <w:ind w:firstLine="709"/>
        <w:jc w:val="both"/>
        <w:rPr>
          <w:sz w:val="20"/>
          <w:szCs w:val="20"/>
          <w:lang w:eastAsia="en-US"/>
        </w:rPr>
      </w:pPr>
      <w:r>
        <w:rPr>
          <w:sz w:val="20"/>
          <w:szCs w:val="20"/>
          <w:lang w:eastAsia="en-US"/>
        </w:rPr>
        <w:t xml:space="preserve">Принято считать, что ассортимент продукции </w:t>
      </w:r>
      <w:r>
        <w:rPr>
          <w:color w:val="000000"/>
          <w:sz w:val="20"/>
          <w:szCs w:val="20"/>
        </w:rPr>
        <w:t xml:space="preserve">[4], </w:t>
      </w:r>
      <w:r>
        <w:rPr>
          <w:sz w:val="20"/>
          <w:szCs w:val="20"/>
          <w:lang w:eastAsia="en-US"/>
        </w:rPr>
        <w:t>— это совокупность сортов и разновидностей какого-либо товара, объединенных и сочетающихся по определенному признаку. Совершенствование ассортимента фактически сводятся к проведению работ по следующим направлениям:</w:t>
      </w:r>
    </w:p>
    <w:p w:rsidR="00517711" w:rsidRDefault="00F815BE">
      <w:pPr>
        <w:pStyle w:val="af6"/>
        <w:spacing w:before="0" w:beforeAutospacing="0" w:after="0" w:afterAutospacing="0"/>
        <w:ind w:firstLine="709"/>
        <w:jc w:val="both"/>
        <w:rPr>
          <w:sz w:val="20"/>
          <w:szCs w:val="20"/>
          <w:lang w:eastAsia="en-US"/>
        </w:rPr>
      </w:pPr>
      <w:r>
        <w:rPr>
          <w:sz w:val="20"/>
          <w:szCs w:val="20"/>
          <w:lang w:eastAsia="en-US"/>
        </w:rPr>
        <w:t xml:space="preserve">- разработка принципиально новых видов продукции (работ, услуг), отличающейся от продукции конкурентов существенной новизной; </w:t>
      </w:r>
    </w:p>
    <w:p w:rsidR="00517711" w:rsidRDefault="00F815BE">
      <w:pPr>
        <w:pStyle w:val="af6"/>
        <w:spacing w:before="0" w:beforeAutospacing="0" w:after="0" w:afterAutospacing="0"/>
        <w:ind w:firstLine="709"/>
        <w:jc w:val="both"/>
        <w:rPr>
          <w:sz w:val="20"/>
          <w:szCs w:val="20"/>
          <w:lang w:eastAsia="en-US"/>
        </w:rPr>
      </w:pPr>
      <w:r>
        <w:rPr>
          <w:sz w:val="20"/>
          <w:szCs w:val="20"/>
          <w:lang w:eastAsia="en-US"/>
        </w:rPr>
        <w:t xml:space="preserve">- разработка продукции (работ, услуг), с улучшенными характеристиками относительно ранее производимых; </w:t>
      </w:r>
    </w:p>
    <w:p w:rsidR="00517711" w:rsidRDefault="00F815BE">
      <w:pPr>
        <w:pStyle w:val="af6"/>
        <w:spacing w:before="0" w:beforeAutospacing="0" w:after="0" w:afterAutospacing="0"/>
        <w:ind w:firstLine="709"/>
        <w:jc w:val="both"/>
        <w:rPr>
          <w:sz w:val="20"/>
          <w:szCs w:val="20"/>
          <w:lang w:eastAsia="en-US"/>
        </w:rPr>
      </w:pPr>
      <w:r>
        <w:rPr>
          <w:sz w:val="20"/>
          <w:szCs w:val="20"/>
          <w:lang w:eastAsia="en-US"/>
        </w:rPr>
        <w:t xml:space="preserve">- сокращение ассортимента продукции (работ, услуг), не пользующейся спросом </w:t>
      </w:r>
      <w:r>
        <w:rPr>
          <w:color w:val="000000"/>
          <w:sz w:val="20"/>
          <w:szCs w:val="20"/>
        </w:rPr>
        <w:t>[4].</w:t>
      </w:r>
    </w:p>
    <w:p w:rsidR="00517711" w:rsidRDefault="00F815BE">
      <w:pPr>
        <w:pStyle w:val="af6"/>
        <w:spacing w:before="0" w:beforeAutospacing="0" w:after="0" w:afterAutospacing="0"/>
        <w:ind w:firstLine="709"/>
        <w:jc w:val="both"/>
        <w:rPr>
          <w:sz w:val="20"/>
          <w:szCs w:val="20"/>
          <w:lang w:eastAsia="en-US"/>
        </w:rPr>
      </w:pPr>
      <w:r>
        <w:rPr>
          <w:sz w:val="20"/>
          <w:szCs w:val="20"/>
          <w:lang w:eastAsia="en-US"/>
        </w:rPr>
        <w:t>При анализе структуры услуг каждого конкретного предприятия, в данном случае авиапредприятия, предполагается изучение удельного веса каждого вида услуг в плановом и фактическом их объеме, то есть плановой и фактической структуры производимых услуг.</w:t>
      </w:r>
    </w:p>
    <w:p w:rsidR="00517711" w:rsidRDefault="00F815BE">
      <w:pPr>
        <w:pStyle w:val="af6"/>
        <w:spacing w:before="0" w:beforeAutospacing="0" w:after="0" w:afterAutospacing="0"/>
        <w:ind w:firstLine="709"/>
        <w:jc w:val="both"/>
        <w:rPr>
          <w:sz w:val="20"/>
          <w:szCs w:val="20"/>
          <w:lang w:eastAsia="en-US"/>
        </w:rPr>
      </w:pPr>
      <w:r>
        <w:rPr>
          <w:sz w:val="20"/>
          <w:szCs w:val="20"/>
          <w:lang w:eastAsia="en-US"/>
        </w:rPr>
        <w:t xml:space="preserve">С целью выявления особенностей формирования ассортиментной политики авиапредприятия были проанализированы общие особенности системы формирования ассортимента, способы управления ассортиментной политикой и способы </w:t>
      </w:r>
      <w:r>
        <w:rPr>
          <w:color w:val="000000"/>
          <w:sz w:val="20"/>
          <w:szCs w:val="20"/>
          <w:lang w:eastAsia="en-US"/>
        </w:rPr>
        <w:t>изъятия из программы неэффективных товаров и услуг. Анализ показал, что важным инструментом при эффективной, грамотной и правильной разработке структуры услуг и сформировании ассортиментной политики выступают  научные методы прогнозирования и исследования структуры ассортимента предприятия [4].</w:t>
      </w:r>
    </w:p>
    <w:p w:rsidR="00517711" w:rsidRDefault="00F815BE">
      <w:pPr>
        <w:pStyle w:val="af6"/>
        <w:spacing w:before="0" w:beforeAutospacing="0" w:after="0" w:afterAutospacing="0"/>
        <w:ind w:firstLine="709"/>
        <w:jc w:val="both"/>
        <w:rPr>
          <w:color w:val="000000"/>
          <w:sz w:val="20"/>
          <w:szCs w:val="20"/>
          <w:lang w:eastAsia="en-US"/>
        </w:rPr>
      </w:pPr>
      <w:r>
        <w:rPr>
          <w:color w:val="000000"/>
          <w:sz w:val="20"/>
          <w:szCs w:val="20"/>
          <w:lang w:eastAsia="en-US"/>
        </w:rPr>
        <w:t xml:space="preserve">Для установления возможности применения данных методов при формировании структуры услуг по неавиационной деятельности аэропорта, в работе были проанализированы существующие методы прогнозирования и исследования структуры ассортимента предприятия </w:t>
      </w:r>
      <w:r>
        <w:rPr>
          <w:color w:val="000000"/>
          <w:sz w:val="20"/>
          <w:szCs w:val="20"/>
        </w:rPr>
        <w:t xml:space="preserve">[4] и выделены </w:t>
      </w:r>
      <w:bookmarkStart w:id="21" w:name="453"/>
      <w:bookmarkEnd w:id="21"/>
      <w:r>
        <w:rPr>
          <w:color w:val="000000"/>
          <w:sz w:val="20"/>
          <w:szCs w:val="20"/>
          <w:lang w:eastAsia="en-US"/>
        </w:rPr>
        <w:t>пять основных методов:</w:t>
      </w:r>
    </w:p>
    <w:p w:rsidR="00517711" w:rsidRDefault="00F815BE">
      <w:pPr>
        <w:pStyle w:val="af6"/>
        <w:spacing w:before="0" w:beforeAutospacing="0" w:after="0" w:afterAutospacing="0"/>
        <w:ind w:firstLine="709"/>
        <w:jc w:val="both"/>
        <w:rPr>
          <w:color w:val="000000"/>
          <w:sz w:val="20"/>
          <w:szCs w:val="20"/>
          <w:lang w:eastAsia="en-US"/>
        </w:rPr>
      </w:pPr>
      <w:r>
        <w:rPr>
          <w:color w:val="000000"/>
          <w:sz w:val="20"/>
          <w:szCs w:val="20"/>
          <w:lang w:eastAsia="en-US"/>
        </w:rPr>
        <w:t>- анализ рентабельности ассортиментной группы товаров;</w:t>
      </w:r>
    </w:p>
    <w:p w:rsidR="00517711" w:rsidRDefault="00F815BE">
      <w:pPr>
        <w:pStyle w:val="af6"/>
        <w:spacing w:before="0" w:beforeAutospacing="0" w:after="0" w:afterAutospacing="0"/>
        <w:ind w:firstLine="709"/>
        <w:jc w:val="both"/>
        <w:rPr>
          <w:color w:val="000000"/>
          <w:sz w:val="20"/>
          <w:szCs w:val="20"/>
          <w:lang w:eastAsia="en-US"/>
        </w:rPr>
      </w:pPr>
      <w:r>
        <w:rPr>
          <w:color w:val="000000"/>
          <w:sz w:val="20"/>
          <w:szCs w:val="20"/>
          <w:lang w:eastAsia="en-US"/>
        </w:rPr>
        <w:t>- АВС-анализ;</w:t>
      </w:r>
    </w:p>
    <w:p w:rsidR="00517711" w:rsidRDefault="00F815BE">
      <w:pPr>
        <w:pStyle w:val="af6"/>
        <w:spacing w:before="0" w:beforeAutospacing="0" w:after="0" w:afterAutospacing="0"/>
        <w:ind w:firstLine="709"/>
        <w:jc w:val="both"/>
        <w:rPr>
          <w:color w:val="000000"/>
          <w:sz w:val="20"/>
          <w:szCs w:val="20"/>
          <w:lang w:eastAsia="en-US"/>
        </w:rPr>
      </w:pPr>
      <w:r>
        <w:rPr>
          <w:color w:val="000000"/>
          <w:sz w:val="20"/>
          <w:szCs w:val="20"/>
          <w:lang w:eastAsia="en-US"/>
        </w:rPr>
        <w:t>- XYZ-анализ</w:t>
      </w:r>
    </w:p>
    <w:p w:rsidR="00517711" w:rsidRDefault="00F815BE">
      <w:pPr>
        <w:pStyle w:val="af6"/>
        <w:spacing w:before="0" w:beforeAutospacing="0" w:after="0" w:afterAutospacing="0"/>
        <w:ind w:firstLine="709"/>
        <w:jc w:val="both"/>
        <w:rPr>
          <w:color w:val="000000"/>
          <w:sz w:val="20"/>
          <w:szCs w:val="20"/>
          <w:lang w:eastAsia="en-US"/>
        </w:rPr>
      </w:pPr>
      <w:r>
        <w:rPr>
          <w:color w:val="000000"/>
          <w:sz w:val="20"/>
          <w:szCs w:val="20"/>
          <w:lang w:eastAsia="en-US"/>
        </w:rPr>
        <w:t>- матрица совместных покупок;</w:t>
      </w:r>
    </w:p>
    <w:p w:rsidR="00517711" w:rsidRDefault="00F815BE">
      <w:pPr>
        <w:pStyle w:val="af6"/>
        <w:spacing w:before="0" w:beforeAutospacing="0" w:after="0" w:afterAutospacing="0"/>
        <w:ind w:firstLine="709"/>
        <w:jc w:val="both"/>
        <w:rPr>
          <w:color w:val="000000"/>
          <w:sz w:val="20"/>
          <w:szCs w:val="20"/>
          <w:lang w:eastAsia="en-US"/>
        </w:rPr>
      </w:pPr>
      <w:r>
        <w:rPr>
          <w:color w:val="000000"/>
          <w:sz w:val="20"/>
          <w:szCs w:val="20"/>
          <w:lang w:eastAsia="en-US"/>
        </w:rPr>
        <w:t>- анализ по адаптированной матрице BCG.</w:t>
      </w:r>
    </w:p>
    <w:p w:rsidR="00517711" w:rsidRDefault="00F815BE">
      <w:pPr>
        <w:pStyle w:val="af6"/>
        <w:spacing w:before="0" w:beforeAutospacing="0" w:after="0" w:afterAutospacing="0"/>
        <w:ind w:firstLine="709"/>
        <w:jc w:val="both"/>
        <w:rPr>
          <w:color w:val="000000"/>
          <w:sz w:val="20"/>
          <w:szCs w:val="20"/>
          <w:lang w:eastAsia="en-US"/>
        </w:rPr>
      </w:pPr>
      <w:r>
        <w:rPr>
          <w:color w:val="000000"/>
          <w:sz w:val="20"/>
          <w:szCs w:val="20"/>
          <w:lang w:eastAsia="en-US"/>
        </w:rPr>
        <w:t>Сравнительная характеристика методов прогнозирования и исследования структуры ассортимента предприятия дана в таблице 1.</w:t>
      </w:r>
    </w:p>
    <w:p w:rsidR="00517711" w:rsidRDefault="00F815BE">
      <w:pPr>
        <w:pStyle w:val="af6"/>
        <w:spacing w:before="0" w:beforeAutospacing="0" w:after="0" w:afterAutospacing="0"/>
        <w:ind w:firstLine="709"/>
        <w:jc w:val="both"/>
        <w:rPr>
          <w:color w:val="000000"/>
          <w:sz w:val="20"/>
          <w:szCs w:val="20"/>
        </w:rPr>
      </w:pPr>
      <w:r>
        <w:rPr>
          <w:color w:val="000000"/>
          <w:sz w:val="20"/>
          <w:szCs w:val="20"/>
        </w:rPr>
        <w:t>Из данных, приведенных в таблице 1, видно, что каждый из методов при исследовании и анализе структуры ассортимента имеет свои плюсы и минусы. Тем не менее, из всех вышеперечисленных методов наиболее эффективными и полезными для использования применительно к авиапредприятию являются следующие: анализ рентабельности ассортиментной группы товаров, АВС-анализ и анализ по адаптированной матрице BCG. Вышеперечисленные методы позволят решить следующие задачи:</w:t>
      </w:r>
    </w:p>
    <w:p w:rsidR="00517711" w:rsidRDefault="00F815BE">
      <w:pPr>
        <w:pStyle w:val="af6"/>
        <w:spacing w:before="0" w:beforeAutospacing="0" w:after="0" w:afterAutospacing="0"/>
        <w:ind w:firstLine="709"/>
        <w:jc w:val="both"/>
        <w:rPr>
          <w:color w:val="000000"/>
          <w:sz w:val="20"/>
          <w:szCs w:val="20"/>
          <w:lang w:eastAsia="en-US"/>
        </w:rPr>
      </w:pPr>
      <w:r>
        <w:rPr>
          <w:color w:val="000000"/>
          <w:sz w:val="20"/>
          <w:szCs w:val="20"/>
          <w:lang w:eastAsia="en-US"/>
        </w:rPr>
        <w:t>- анализ рентабельности ассортиментной группы товаров - позволит определить показатель рентабельности каждой укрупненной группы услуг, на территории авиапредприятия;</w:t>
      </w:r>
    </w:p>
    <w:p w:rsidR="00517711" w:rsidRDefault="00F815BE">
      <w:pPr>
        <w:pStyle w:val="af6"/>
        <w:spacing w:before="0" w:beforeAutospacing="0" w:after="0" w:afterAutospacing="0"/>
        <w:ind w:firstLine="709"/>
        <w:jc w:val="both"/>
        <w:rPr>
          <w:color w:val="000000"/>
          <w:sz w:val="20"/>
          <w:szCs w:val="20"/>
          <w:lang w:eastAsia="en-US"/>
        </w:rPr>
      </w:pPr>
      <w:r>
        <w:rPr>
          <w:color w:val="000000"/>
          <w:sz w:val="20"/>
          <w:szCs w:val="20"/>
          <w:lang w:eastAsia="en-US"/>
        </w:rPr>
        <w:t>- АВС-анализ – позволит проранжировать каждую группу услуг на предмет объема сбыта, прибыли и покрытия затрат, а также позволит исключить из структуры услуг невостребованные товары и услуги, с целью внедрения новых видов услуг по неавиационной деятельности;</w:t>
      </w:r>
    </w:p>
    <w:p w:rsidR="00517711" w:rsidRDefault="00F815BE">
      <w:pPr>
        <w:pStyle w:val="af6"/>
        <w:spacing w:before="0" w:beforeAutospacing="0" w:after="0" w:afterAutospacing="0"/>
        <w:ind w:firstLine="709"/>
        <w:jc w:val="both"/>
        <w:rPr>
          <w:color w:val="000000"/>
          <w:sz w:val="20"/>
          <w:szCs w:val="20"/>
          <w:lang w:eastAsia="en-US"/>
        </w:rPr>
      </w:pPr>
      <w:r>
        <w:rPr>
          <w:color w:val="000000"/>
          <w:sz w:val="20"/>
          <w:szCs w:val="20"/>
          <w:lang w:eastAsia="en-US"/>
        </w:rPr>
        <w:t>- анализ по адаптированной матрице BCG – позволит проанализировать ассортиментную политику и структуру услуг, с целью выявления направления деятельности авиапредприятия, хозяйственных единиц и экономических возможностей, чтобы усовершенствовать неавиационную деятельность: перераспределить структуру услуг, поддерживать и продвигать востребованные потребителями товары и услуги или изымать из структуры ассортимента мало востребованные услуги.</w:t>
      </w:r>
    </w:p>
    <w:p w:rsidR="00517711" w:rsidRDefault="00F815BE">
      <w:pPr>
        <w:pStyle w:val="af6"/>
        <w:spacing w:before="0" w:beforeAutospacing="0" w:after="0" w:afterAutospacing="0"/>
        <w:ind w:firstLine="709"/>
        <w:jc w:val="both"/>
        <w:rPr>
          <w:color w:val="000000"/>
          <w:sz w:val="20"/>
          <w:szCs w:val="20"/>
        </w:rPr>
      </w:pPr>
      <w:r>
        <w:rPr>
          <w:color w:val="000000"/>
          <w:sz w:val="20"/>
          <w:szCs w:val="20"/>
        </w:rPr>
        <w:t xml:space="preserve">При анализе структуры услуг и ассортиментной политики авиапредприятия каждый из предложенных методов может применяться как самостоятельный метод, однако для повышения достоверности результатов рекомендуется использовать их в комплексе. Комплексный подход при использовании методов прогнозирования и исследования структуры ассортимента предприятия обеспечит всесторонний анализ и оценку существующей структуры услуг с учетом специфики деятельности авиапредприятия и позволит обоснованно подойти к совершенствованию его ассортиментной политики. </w:t>
      </w:r>
    </w:p>
    <w:p w:rsidR="00517711" w:rsidRDefault="00517711">
      <w:pPr>
        <w:pStyle w:val="af6"/>
        <w:spacing w:before="0" w:beforeAutospacing="0" w:after="0" w:afterAutospacing="0"/>
        <w:ind w:firstLine="709"/>
        <w:jc w:val="both"/>
        <w:rPr>
          <w:color w:val="000000"/>
          <w:sz w:val="20"/>
          <w:lang w:eastAsia="en-US"/>
        </w:rPr>
      </w:pPr>
    </w:p>
    <w:p w:rsidR="00517711" w:rsidRDefault="00F815BE">
      <w:pPr>
        <w:pStyle w:val="aff0"/>
      </w:pPr>
      <w:r>
        <w:lastRenderedPageBreak/>
        <w:t>Таблица 1</w:t>
      </w:r>
    </w:p>
    <w:p w:rsidR="00517711" w:rsidRDefault="00F815BE">
      <w:pPr>
        <w:pStyle w:val="afa"/>
        <w:keepNext/>
        <w:widowControl/>
        <w:spacing w:before="120" w:after="120"/>
        <w:jc w:val="center"/>
        <w:outlineLvl w:val="0"/>
        <w:rPr>
          <w:b/>
          <w:sz w:val="20"/>
          <w:szCs w:val="20"/>
        </w:rPr>
      </w:pPr>
      <w:r>
        <w:rPr>
          <w:b/>
          <w:sz w:val="20"/>
          <w:szCs w:val="20"/>
        </w:rPr>
        <w:t>Анализ методов прогнозирования и анализа ассортимента предприятия</w:t>
      </w:r>
    </w:p>
    <w:tbl>
      <w:tblPr>
        <w:tblStyle w:val="af1"/>
        <w:tblW w:w="9497" w:type="dxa"/>
        <w:tblInd w:w="279" w:type="dxa"/>
        <w:tblLayout w:type="fixed"/>
        <w:tblLook w:val="04A0" w:firstRow="1" w:lastRow="0" w:firstColumn="1" w:lastColumn="0" w:noHBand="0" w:noVBand="1"/>
      </w:tblPr>
      <w:tblGrid>
        <w:gridCol w:w="567"/>
        <w:gridCol w:w="1559"/>
        <w:gridCol w:w="2552"/>
        <w:gridCol w:w="2409"/>
        <w:gridCol w:w="2410"/>
      </w:tblGrid>
      <w:tr w:rsidR="00517711">
        <w:tc>
          <w:tcPr>
            <w:tcW w:w="567" w:type="dxa"/>
          </w:tcPr>
          <w:p w:rsidR="00517711" w:rsidRDefault="00F815BE">
            <w:pPr>
              <w:pStyle w:val="13"/>
            </w:pPr>
            <w:r>
              <w:t>№ п/п</w:t>
            </w:r>
          </w:p>
        </w:tc>
        <w:tc>
          <w:tcPr>
            <w:tcW w:w="1559" w:type="dxa"/>
          </w:tcPr>
          <w:p w:rsidR="00517711" w:rsidRDefault="00F815BE">
            <w:pPr>
              <w:pStyle w:val="13"/>
            </w:pPr>
            <w:r>
              <w:t xml:space="preserve">Название </w:t>
            </w:r>
          </w:p>
          <w:p w:rsidR="00517711" w:rsidRDefault="00F815BE">
            <w:pPr>
              <w:pStyle w:val="13"/>
            </w:pPr>
            <w:r>
              <w:t>метода</w:t>
            </w:r>
          </w:p>
        </w:tc>
        <w:tc>
          <w:tcPr>
            <w:tcW w:w="2552" w:type="dxa"/>
          </w:tcPr>
          <w:p w:rsidR="00517711" w:rsidRDefault="00F815BE">
            <w:pPr>
              <w:pStyle w:val="13"/>
            </w:pPr>
            <w:r>
              <w:t>Описание метода</w:t>
            </w:r>
          </w:p>
        </w:tc>
        <w:tc>
          <w:tcPr>
            <w:tcW w:w="2409" w:type="dxa"/>
          </w:tcPr>
          <w:p w:rsidR="00517711" w:rsidRDefault="00F815BE">
            <w:pPr>
              <w:pStyle w:val="13"/>
            </w:pPr>
            <w:r>
              <w:t>Плюсы </w:t>
            </w:r>
          </w:p>
          <w:p w:rsidR="00517711" w:rsidRDefault="00F815BE">
            <w:pPr>
              <w:pStyle w:val="13"/>
            </w:pPr>
            <w:r>
              <w:t>использования</w:t>
            </w:r>
          </w:p>
          <w:p w:rsidR="00517711" w:rsidRDefault="00F815BE">
            <w:pPr>
              <w:pStyle w:val="13"/>
            </w:pPr>
            <w:r>
              <w:t>метода</w:t>
            </w:r>
          </w:p>
        </w:tc>
        <w:tc>
          <w:tcPr>
            <w:tcW w:w="2410" w:type="dxa"/>
          </w:tcPr>
          <w:p w:rsidR="00517711" w:rsidRDefault="00F815BE">
            <w:pPr>
              <w:pStyle w:val="13"/>
            </w:pPr>
            <w:r>
              <w:t>Минусы </w:t>
            </w:r>
          </w:p>
          <w:p w:rsidR="00517711" w:rsidRDefault="00F815BE">
            <w:pPr>
              <w:pStyle w:val="13"/>
            </w:pPr>
            <w:r>
              <w:t>использования</w:t>
            </w:r>
          </w:p>
          <w:p w:rsidR="00517711" w:rsidRDefault="00F815BE">
            <w:pPr>
              <w:pStyle w:val="13"/>
            </w:pPr>
            <w:r>
              <w:t>метода</w:t>
            </w:r>
          </w:p>
        </w:tc>
      </w:tr>
      <w:tr w:rsidR="00517711">
        <w:tc>
          <w:tcPr>
            <w:tcW w:w="567" w:type="dxa"/>
          </w:tcPr>
          <w:p w:rsidR="00517711" w:rsidRDefault="00F815BE">
            <w:pPr>
              <w:pStyle w:val="aff1"/>
            </w:pPr>
            <w:r>
              <w:t>1</w:t>
            </w:r>
          </w:p>
        </w:tc>
        <w:tc>
          <w:tcPr>
            <w:tcW w:w="1559" w:type="dxa"/>
          </w:tcPr>
          <w:p w:rsidR="00517711" w:rsidRDefault="00F815BE">
            <w:pPr>
              <w:pStyle w:val="aff1"/>
            </w:pPr>
            <w:bookmarkStart w:id="22" w:name="_Hlk511585569"/>
            <w:r>
              <w:t xml:space="preserve">Анализ </w:t>
            </w:r>
          </w:p>
          <w:p w:rsidR="00517711" w:rsidRDefault="00F815BE">
            <w:pPr>
              <w:pStyle w:val="aff1"/>
            </w:pPr>
            <w:r>
              <w:t>рентабельности ассортиментной группы товаров</w:t>
            </w:r>
            <w:bookmarkEnd w:id="22"/>
          </w:p>
        </w:tc>
        <w:tc>
          <w:tcPr>
            <w:tcW w:w="2552" w:type="dxa"/>
          </w:tcPr>
          <w:p w:rsidR="00517711" w:rsidRDefault="00F815BE">
            <w:pPr>
              <w:pStyle w:val="aff1"/>
            </w:pPr>
            <w:r>
              <w:t>Метод основан на определении показателей рентабельности при разных состояниях товарной номенклатуры и сравнении их между собой.</w:t>
            </w:r>
          </w:p>
        </w:tc>
        <w:tc>
          <w:tcPr>
            <w:tcW w:w="2409" w:type="dxa"/>
          </w:tcPr>
          <w:p w:rsidR="00517711" w:rsidRDefault="00F815BE">
            <w:pPr>
              <w:pStyle w:val="aff1"/>
            </w:pPr>
            <w:r>
              <w:t>- наиболее простой и наименее трудоемкий метод анализа ассортимента;</w:t>
            </w:r>
          </w:p>
        </w:tc>
        <w:tc>
          <w:tcPr>
            <w:tcW w:w="2410" w:type="dxa"/>
          </w:tcPr>
          <w:p w:rsidR="00517711" w:rsidRDefault="00F815BE">
            <w:pPr>
              <w:pStyle w:val="aff1"/>
            </w:pPr>
            <w:r>
              <w:t>- позволяет рассчитывать только один изменчивый показатель для группы товаров;</w:t>
            </w:r>
          </w:p>
        </w:tc>
      </w:tr>
      <w:tr w:rsidR="00517711">
        <w:tc>
          <w:tcPr>
            <w:tcW w:w="567" w:type="dxa"/>
          </w:tcPr>
          <w:p w:rsidR="00517711" w:rsidRDefault="00F815BE">
            <w:pPr>
              <w:pStyle w:val="aff1"/>
            </w:pPr>
            <w:r>
              <w:t>2</w:t>
            </w:r>
          </w:p>
        </w:tc>
        <w:tc>
          <w:tcPr>
            <w:tcW w:w="1559" w:type="dxa"/>
          </w:tcPr>
          <w:p w:rsidR="00517711" w:rsidRDefault="00F815BE">
            <w:pPr>
              <w:pStyle w:val="aff1"/>
            </w:pPr>
            <w:r>
              <w:t>АВС</w:t>
            </w:r>
          </w:p>
          <w:p w:rsidR="00517711" w:rsidRDefault="00F815BE">
            <w:pPr>
              <w:pStyle w:val="aff1"/>
            </w:pPr>
            <w:r>
              <w:t>анализ</w:t>
            </w:r>
          </w:p>
        </w:tc>
        <w:tc>
          <w:tcPr>
            <w:tcW w:w="2552" w:type="dxa"/>
          </w:tcPr>
          <w:p w:rsidR="00517711" w:rsidRDefault="00F815BE">
            <w:pPr>
              <w:pStyle w:val="aff1"/>
            </w:pPr>
            <w:r>
              <w:t>Метод основан на ранжировании объектов по выбранным показателям.</w:t>
            </w:r>
          </w:p>
          <w:p w:rsidR="00517711" w:rsidRDefault="00F815BE">
            <w:pPr>
              <w:pStyle w:val="aff1"/>
            </w:pPr>
            <w:r>
              <w:t xml:space="preserve">В качестве показателей используются: объем сбыта, прибыль и покрытие затрат. </w:t>
            </w:r>
          </w:p>
          <w:p w:rsidR="00517711" w:rsidRDefault="00517711">
            <w:pPr>
              <w:pStyle w:val="aff1"/>
            </w:pPr>
          </w:p>
        </w:tc>
        <w:tc>
          <w:tcPr>
            <w:tcW w:w="2409" w:type="dxa"/>
          </w:tcPr>
          <w:p w:rsidR="00517711" w:rsidRDefault="00F815BE">
            <w:pPr>
              <w:pStyle w:val="aff1"/>
            </w:pPr>
            <w:r>
              <w:t>- позволяет сокращать количество ненужных товаров и услуг, тем самым увеличивая прибыль;</w:t>
            </w:r>
          </w:p>
          <w:p w:rsidR="00517711" w:rsidRDefault="00F815BE">
            <w:pPr>
              <w:pStyle w:val="aff1"/>
            </w:pPr>
            <w:r>
              <w:t>- возможность проведения анализа по торговым маркам и брендам.</w:t>
            </w:r>
          </w:p>
        </w:tc>
        <w:tc>
          <w:tcPr>
            <w:tcW w:w="2410" w:type="dxa"/>
          </w:tcPr>
          <w:p w:rsidR="00517711" w:rsidRDefault="00F815BE">
            <w:pPr>
              <w:pStyle w:val="aff1"/>
            </w:pPr>
            <w:r>
              <w:t xml:space="preserve">- не позволяет оценивать сезонные колебания продаж; </w:t>
            </w:r>
          </w:p>
          <w:p w:rsidR="00517711" w:rsidRDefault="00F815BE">
            <w:pPr>
              <w:pStyle w:val="aff1"/>
            </w:pPr>
            <w:r>
              <w:t>- может давать неправильные результаты, если данных для анализа мало, статистика менее трех месяцев.</w:t>
            </w:r>
          </w:p>
          <w:p w:rsidR="00517711" w:rsidRDefault="00517711">
            <w:pPr>
              <w:pStyle w:val="aff1"/>
            </w:pPr>
          </w:p>
        </w:tc>
      </w:tr>
      <w:tr w:rsidR="00517711">
        <w:tc>
          <w:tcPr>
            <w:tcW w:w="567" w:type="dxa"/>
          </w:tcPr>
          <w:p w:rsidR="00517711" w:rsidRDefault="00F815BE">
            <w:pPr>
              <w:pStyle w:val="aff1"/>
            </w:pPr>
            <w:r>
              <w:t>3</w:t>
            </w:r>
          </w:p>
        </w:tc>
        <w:tc>
          <w:tcPr>
            <w:tcW w:w="1559" w:type="dxa"/>
          </w:tcPr>
          <w:p w:rsidR="00517711" w:rsidRDefault="00F815BE">
            <w:pPr>
              <w:pStyle w:val="aff1"/>
            </w:pPr>
            <w:r>
              <w:t>XYZ</w:t>
            </w:r>
          </w:p>
          <w:p w:rsidR="00517711" w:rsidRDefault="00F815BE">
            <w:pPr>
              <w:pStyle w:val="aff1"/>
            </w:pPr>
            <w:r>
              <w:t>анализ</w:t>
            </w:r>
          </w:p>
        </w:tc>
        <w:tc>
          <w:tcPr>
            <w:tcW w:w="2552" w:type="dxa"/>
          </w:tcPr>
          <w:p w:rsidR="00517711" w:rsidRDefault="00F815BE">
            <w:pPr>
              <w:pStyle w:val="aff1"/>
            </w:pPr>
            <w:r>
              <w:t>Статистический метод, который позволяет анализировать и прогнозировать стабильность продаж отдельных видов товаров и колебаний уровня потребления, тех или иных ресурсов. Основная идея XYZ анализа состоит в группировке объектов анализа по коэффициенту вариации).</w:t>
            </w:r>
          </w:p>
          <w:p w:rsidR="00517711" w:rsidRDefault="00517711">
            <w:pPr>
              <w:pStyle w:val="aff1"/>
            </w:pPr>
          </w:p>
        </w:tc>
        <w:tc>
          <w:tcPr>
            <w:tcW w:w="2409" w:type="dxa"/>
          </w:tcPr>
          <w:p w:rsidR="00517711" w:rsidRDefault="00F815BE">
            <w:pPr>
              <w:pStyle w:val="aff1"/>
            </w:pPr>
            <w:r>
              <w:t>Позволяет анализировать длительный период времени.</w:t>
            </w:r>
          </w:p>
        </w:tc>
        <w:tc>
          <w:tcPr>
            <w:tcW w:w="2410" w:type="dxa"/>
          </w:tcPr>
          <w:p w:rsidR="00517711" w:rsidRDefault="00F815BE">
            <w:pPr>
              <w:pStyle w:val="aff1"/>
            </w:pPr>
            <w:r>
              <w:t>Из-за влияния определенных факторов, которые вызывают колебания продаж, как следствие показывает высокие показатели коэффициента вариации.</w:t>
            </w:r>
          </w:p>
        </w:tc>
      </w:tr>
      <w:tr w:rsidR="00517711">
        <w:tc>
          <w:tcPr>
            <w:tcW w:w="567" w:type="dxa"/>
          </w:tcPr>
          <w:p w:rsidR="00517711" w:rsidRDefault="00F815BE">
            <w:pPr>
              <w:pStyle w:val="aff1"/>
            </w:pPr>
            <w:r>
              <w:t>4</w:t>
            </w:r>
          </w:p>
        </w:tc>
        <w:tc>
          <w:tcPr>
            <w:tcW w:w="1559" w:type="dxa"/>
          </w:tcPr>
          <w:p w:rsidR="00517711" w:rsidRDefault="00F815BE">
            <w:pPr>
              <w:pStyle w:val="aff1"/>
            </w:pPr>
            <w:r>
              <w:t>Матрица совместных покупок</w:t>
            </w:r>
          </w:p>
        </w:tc>
        <w:tc>
          <w:tcPr>
            <w:tcW w:w="2552" w:type="dxa"/>
          </w:tcPr>
          <w:p w:rsidR="00517711" w:rsidRDefault="00F815BE">
            <w:pPr>
              <w:pStyle w:val="aff1"/>
            </w:pPr>
            <w:r>
              <w:t>Метод анализа ассортимента, выявляющий связи между продуктами, образующиеся в результате их взаимного дополнения для удовлетворения потребности (взаимодополняющие товары) или устойчивого поведения покупателей, приобретающих эти товары одновременно.</w:t>
            </w:r>
          </w:p>
        </w:tc>
        <w:tc>
          <w:tcPr>
            <w:tcW w:w="2409" w:type="dxa"/>
          </w:tcPr>
          <w:p w:rsidR="00517711" w:rsidRDefault="00F815BE">
            <w:pPr>
              <w:pStyle w:val="aff1"/>
            </w:pPr>
            <w:r>
              <w:t>Позволяет обосновать решение о сохранении товара в ассортименте, если его продажи недостаточно эффективны, но его наличие в ассортименте вызывает совместные покупки.</w:t>
            </w:r>
          </w:p>
        </w:tc>
        <w:tc>
          <w:tcPr>
            <w:tcW w:w="2410" w:type="dxa"/>
          </w:tcPr>
          <w:p w:rsidR="00517711" w:rsidRDefault="00F815BE">
            <w:pPr>
              <w:pStyle w:val="aff1"/>
            </w:pPr>
            <w:r>
              <w:t>Позволяет оценивать только те товары, которые взаимно дополняют друг друга при совместной покупке.</w:t>
            </w:r>
          </w:p>
        </w:tc>
      </w:tr>
      <w:tr w:rsidR="00517711">
        <w:tc>
          <w:tcPr>
            <w:tcW w:w="567" w:type="dxa"/>
          </w:tcPr>
          <w:p w:rsidR="00517711" w:rsidRDefault="00F815BE">
            <w:pPr>
              <w:pStyle w:val="aff1"/>
            </w:pPr>
            <w:r>
              <w:t>5</w:t>
            </w:r>
          </w:p>
        </w:tc>
        <w:tc>
          <w:tcPr>
            <w:tcW w:w="1559" w:type="dxa"/>
          </w:tcPr>
          <w:p w:rsidR="00517711" w:rsidRDefault="00F815BE">
            <w:pPr>
              <w:pStyle w:val="aff1"/>
            </w:pPr>
            <w:bookmarkStart w:id="23" w:name="_Hlk511585596"/>
            <w:r>
              <w:t>Анализ по адаптированной матрице BCG</w:t>
            </w:r>
            <w:bookmarkEnd w:id="23"/>
          </w:p>
        </w:tc>
        <w:tc>
          <w:tcPr>
            <w:tcW w:w="2552" w:type="dxa"/>
          </w:tcPr>
          <w:p w:rsidR="00517711" w:rsidRDefault="00F815BE">
            <w:pPr>
              <w:pStyle w:val="aff1"/>
            </w:pPr>
            <w:r>
              <w:t xml:space="preserve">Метод анализирует продукты компании, направления деятельности компании, хозяйственные единицы, проекты и т. п. </w:t>
            </w:r>
          </w:p>
        </w:tc>
        <w:tc>
          <w:tcPr>
            <w:tcW w:w="2409" w:type="dxa"/>
          </w:tcPr>
          <w:p w:rsidR="00517711" w:rsidRDefault="00F815BE">
            <w:pPr>
              <w:pStyle w:val="aff1"/>
            </w:pPr>
            <w:r>
              <w:t>Позволяет перераспределять бюджет предприятия на поддержание и продвижение различных продуктов и услуг.</w:t>
            </w:r>
          </w:p>
        </w:tc>
        <w:tc>
          <w:tcPr>
            <w:tcW w:w="2410" w:type="dxa"/>
          </w:tcPr>
          <w:p w:rsidR="00517711" w:rsidRDefault="00F815BE">
            <w:pPr>
              <w:pStyle w:val="aff1"/>
            </w:pPr>
            <w:r>
              <w:t>Часто невозможно построить классическую матрицу BCG, по причине отсутствия необходимых данных.</w:t>
            </w:r>
          </w:p>
        </w:tc>
      </w:tr>
    </w:tbl>
    <w:p w:rsidR="00517711" w:rsidRDefault="00517711">
      <w:pPr>
        <w:pStyle w:val="af6"/>
        <w:spacing w:before="0" w:beforeAutospacing="0" w:after="0" w:afterAutospacing="0"/>
        <w:ind w:firstLine="709"/>
        <w:jc w:val="both"/>
        <w:rPr>
          <w:color w:val="000000"/>
          <w:sz w:val="20"/>
          <w:lang w:eastAsia="en-US"/>
        </w:rPr>
      </w:pPr>
    </w:p>
    <w:p w:rsidR="00517711" w:rsidRDefault="00F815BE">
      <w:pPr>
        <w:pStyle w:val="af6"/>
        <w:spacing w:before="0" w:beforeAutospacing="0" w:after="0" w:afterAutospacing="0"/>
        <w:ind w:firstLine="709"/>
        <w:jc w:val="both"/>
        <w:rPr>
          <w:color w:val="000000"/>
          <w:sz w:val="20"/>
          <w:szCs w:val="20"/>
          <w:lang w:eastAsia="en-US"/>
        </w:rPr>
      </w:pPr>
      <w:r>
        <w:rPr>
          <w:color w:val="000000"/>
          <w:sz w:val="20"/>
          <w:szCs w:val="20"/>
          <w:lang w:eastAsia="en-US"/>
        </w:rPr>
        <w:t>На основании всего вышесказанного, была сформирована методика разработки рациональной структуры услуг авиапредприятия по неавиационной деятельности и совершенствования его ассортиментной политики. Предложенная методика предусматривает реализацию следующих этапов работы:</w:t>
      </w:r>
    </w:p>
    <w:p w:rsidR="00517711" w:rsidRDefault="00F815BE">
      <w:pPr>
        <w:pStyle w:val="af6"/>
        <w:spacing w:before="0" w:beforeAutospacing="0" w:after="0" w:afterAutospacing="0"/>
        <w:ind w:firstLine="709"/>
        <w:jc w:val="both"/>
        <w:rPr>
          <w:color w:val="000000"/>
          <w:sz w:val="20"/>
          <w:szCs w:val="20"/>
          <w:lang w:eastAsia="en-US"/>
        </w:rPr>
      </w:pPr>
      <w:r>
        <w:rPr>
          <w:color w:val="000000"/>
          <w:sz w:val="20"/>
          <w:szCs w:val="20"/>
          <w:lang w:eastAsia="en-US"/>
        </w:rPr>
        <w:t>Этап 1. Установление перечня видов неавиационных услуг, предоставляемых на территории исследуемого аэропорта и выявление особенностей его ассортиментной политики.</w:t>
      </w:r>
    </w:p>
    <w:p w:rsidR="00517711" w:rsidRDefault="00F815BE">
      <w:pPr>
        <w:pStyle w:val="af6"/>
        <w:spacing w:before="0" w:beforeAutospacing="0" w:after="0" w:afterAutospacing="0"/>
        <w:ind w:firstLine="709"/>
        <w:jc w:val="both"/>
        <w:rPr>
          <w:color w:val="000000"/>
          <w:sz w:val="20"/>
          <w:szCs w:val="20"/>
          <w:lang w:eastAsia="en-US"/>
        </w:rPr>
      </w:pPr>
      <w:r>
        <w:rPr>
          <w:color w:val="000000"/>
          <w:sz w:val="20"/>
          <w:szCs w:val="20"/>
          <w:lang w:eastAsia="en-US"/>
        </w:rPr>
        <w:t>Этап 2. Установление существующей структуры услуг на основе их перечня, систематизации в соответствии с группами услуг по неавиационной деятельности, которые целесообразно развивать на территории аэропорта, и определения доли каждой группы услуг;</w:t>
      </w:r>
    </w:p>
    <w:p w:rsidR="00517711" w:rsidRDefault="00F815BE">
      <w:pPr>
        <w:pStyle w:val="af6"/>
        <w:spacing w:before="0" w:beforeAutospacing="0" w:after="0" w:afterAutospacing="0"/>
        <w:ind w:firstLine="709"/>
        <w:jc w:val="both"/>
        <w:rPr>
          <w:color w:val="000000"/>
          <w:sz w:val="20"/>
          <w:szCs w:val="20"/>
          <w:lang w:eastAsia="en-US"/>
        </w:rPr>
      </w:pPr>
      <w:r>
        <w:rPr>
          <w:color w:val="000000"/>
          <w:sz w:val="20"/>
          <w:szCs w:val="20"/>
          <w:lang w:eastAsia="en-US"/>
        </w:rPr>
        <w:t>Этап 3. Комплексный анализ ассортимента услуг с помощью рекомендуемых методов анализа и прогнозирования ассортимента предприятия для выявления необходимости совершенствования существующей структуры услуг по неавиационной деятельности, как по группам услуг, так и внутри каждой группы;</w:t>
      </w:r>
    </w:p>
    <w:p w:rsidR="00517711" w:rsidRDefault="00F815BE">
      <w:pPr>
        <w:pStyle w:val="af6"/>
        <w:spacing w:before="0" w:beforeAutospacing="0" w:after="0" w:afterAutospacing="0"/>
        <w:ind w:firstLine="709"/>
        <w:jc w:val="both"/>
        <w:rPr>
          <w:color w:val="000000"/>
          <w:sz w:val="20"/>
          <w:szCs w:val="20"/>
          <w:lang w:eastAsia="en-US"/>
        </w:rPr>
      </w:pPr>
      <w:r>
        <w:rPr>
          <w:color w:val="000000"/>
          <w:sz w:val="20"/>
          <w:szCs w:val="20"/>
          <w:lang w:eastAsia="en-US"/>
        </w:rPr>
        <w:lastRenderedPageBreak/>
        <w:t xml:space="preserve">Этап 4. Формирование «усовершенствованной» развернутой структуры неавиационных услуг авиапредприятия с учетом результатов, полученных на этапах 2 и 3, в том числе разработка предложений по формированию перечня услуг в рамках каждой группы услуг с учетом возможности размещения услуг на территории различных зон аэропорта; </w:t>
      </w:r>
    </w:p>
    <w:p w:rsidR="00517711" w:rsidRDefault="00F815BE">
      <w:pPr>
        <w:pStyle w:val="af6"/>
        <w:spacing w:before="0" w:beforeAutospacing="0" w:after="0" w:afterAutospacing="0"/>
        <w:ind w:firstLine="709"/>
        <w:jc w:val="both"/>
        <w:rPr>
          <w:color w:val="000000"/>
          <w:sz w:val="20"/>
          <w:szCs w:val="20"/>
          <w:lang w:eastAsia="en-US"/>
        </w:rPr>
      </w:pPr>
      <w:r>
        <w:rPr>
          <w:color w:val="000000"/>
          <w:sz w:val="20"/>
          <w:szCs w:val="20"/>
          <w:lang w:eastAsia="en-US"/>
        </w:rPr>
        <w:t>Этап 5. Изучение мнения пассажиров относительно их потребности в услугах, включенных в «усовершенствованную» развернутую структуру неавиационных услуг авиапредприятия с учетом внутригруппового ассортимента.</w:t>
      </w:r>
    </w:p>
    <w:p w:rsidR="00517711" w:rsidRDefault="00F815BE">
      <w:pPr>
        <w:pStyle w:val="af6"/>
        <w:spacing w:before="0" w:beforeAutospacing="0" w:after="0" w:afterAutospacing="0"/>
        <w:ind w:firstLine="709"/>
        <w:jc w:val="both"/>
        <w:rPr>
          <w:color w:val="000000"/>
          <w:sz w:val="20"/>
          <w:szCs w:val="20"/>
          <w:lang w:eastAsia="en-US"/>
        </w:rPr>
      </w:pPr>
      <w:r>
        <w:rPr>
          <w:color w:val="000000"/>
          <w:sz w:val="20"/>
          <w:szCs w:val="20"/>
          <w:lang w:eastAsia="en-US"/>
        </w:rPr>
        <w:t>Этап 6. Разработка рациональной структуры услуг по неавиационной деятельности  с учетом зонирования.</w:t>
      </w:r>
    </w:p>
    <w:p w:rsidR="00517711" w:rsidRDefault="00F815BE">
      <w:pPr>
        <w:pStyle w:val="af6"/>
        <w:spacing w:before="0" w:beforeAutospacing="0" w:after="0" w:afterAutospacing="0"/>
        <w:ind w:firstLine="709"/>
        <w:jc w:val="both"/>
        <w:rPr>
          <w:color w:val="000000"/>
          <w:sz w:val="20"/>
          <w:szCs w:val="20"/>
          <w:lang w:eastAsia="en-US"/>
        </w:rPr>
      </w:pPr>
      <w:r>
        <w:rPr>
          <w:color w:val="000000"/>
          <w:sz w:val="20"/>
          <w:szCs w:val="20"/>
          <w:lang w:eastAsia="en-US"/>
        </w:rPr>
        <w:t>Этап 7. Разработка предложений по усовершенствованию ассортиментной политики авиапредприятия.</w:t>
      </w:r>
    </w:p>
    <w:p w:rsidR="00517711" w:rsidRDefault="00F815BE">
      <w:pPr>
        <w:pStyle w:val="af6"/>
        <w:spacing w:before="0" w:beforeAutospacing="0" w:after="0" w:afterAutospacing="0"/>
        <w:ind w:firstLine="709"/>
        <w:jc w:val="both"/>
        <w:rPr>
          <w:color w:val="000000"/>
          <w:sz w:val="20"/>
          <w:szCs w:val="20"/>
          <w:lang w:eastAsia="en-US"/>
        </w:rPr>
      </w:pPr>
      <w:r>
        <w:rPr>
          <w:color w:val="000000"/>
          <w:sz w:val="20"/>
          <w:szCs w:val="20"/>
          <w:lang w:eastAsia="en-US"/>
        </w:rPr>
        <w:t>Этап 8. Совершенствование ассортиментной политики авиапредприятия с учетом внедрения и последующего управления структурой услуг.</w: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Таким образом, проведенные исследования показали, что администрация авиапредприятия должна разрабатывать собственную стратегию развития неавиационного бизнеса, расширения видов неавиационной деятельности, чтобы создать неповторимый индивидуальный облик аэропорта. Руководству аэропорта, необходимо так сбалансировать структуру и ассортимент услуг по неавиационной деятельности, чтобы авиапредприятие не несло лишних производственных затрат, а пассажиры остались довольны предлагаемым ассортиментом товаров и услуг. Предложенная в работе методика разработки рациональной структуры услуг авиапредприятия по неавиационной деятельности и совершенствования его ассортиментной политики позволит обеспечить качество и оптимальность принимаемых руководством решений в сфере развития неавиационной деятельности аэропорта.</w:t>
      </w:r>
    </w:p>
    <w:p w:rsidR="00517711" w:rsidRDefault="00F815BE">
      <w:pPr>
        <w:spacing w:after="0" w:line="240" w:lineRule="auto"/>
        <w:ind w:firstLine="709"/>
        <w:jc w:val="both"/>
        <w:rPr>
          <w:rFonts w:ascii="Times New Roman" w:hAnsi="Times New Roman"/>
          <w:color w:val="000000"/>
          <w:sz w:val="20"/>
          <w:szCs w:val="20"/>
        </w:rPr>
      </w:pPr>
      <w:r>
        <w:rPr>
          <w:noProof/>
          <w:sz w:val="20"/>
          <w:szCs w:val="20"/>
          <w:lang w:eastAsia="ru-RU"/>
        </w:rPr>
        <mc:AlternateContent>
          <mc:Choice Requires="wps">
            <w:drawing>
              <wp:anchor distT="0" distB="773094111" distL="114300" distR="114300" simplePos="0" relativeHeight="251686912" behindDoc="0" locked="0" layoutInCell="1" allowOverlap="1">
                <wp:simplePos x="0" y="0"/>
                <wp:positionH relativeFrom="column">
                  <wp:posOffset>476248</wp:posOffset>
                </wp:positionH>
                <wp:positionV relativeFrom="paragraph">
                  <wp:posOffset>108582</wp:posOffset>
                </wp:positionV>
                <wp:extent cx="2743200" cy="0"/>
                <wp:effectExtent l="0" t="0" r="19048" b="19048"/>
                <wp:wrapNone/>
                <wp:docPr id="101" name="Прямая соединительная линия 53"/>
                <wp:cNvGraphicFramePr/>
                <a:graphic xmlns:a="http://schemas.openxmlformats.org/drawingml/2006/main">
                  <a:graphicData uri="http://schemas.microsoft.com/office/word/2010/wordprocessingShape">
                    <wps:wsp>
                      <wps:cNvCnPr/>
                      <wps:spPr bwMode="auto">
                        <a:xfrm>
                          <a:off x="0" y="0"/>
                          <a:ext cx="2743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0C59BE" id="Прямая соединительная линия 53" o:spid="_x0000_s1026" style="position:absolute;z-index:251686912;visibility:visible;mso-wrap-style:square;mso-width-percent:0;mso-height-percent:0;mso-wrap-distance-left:9pt;mso-wrap-distance-top:0;mso-wrap-distance-right:9pt;mso-wrap-distance-bottom:21474.83642mm;mso-position-horizontal:absolute;mso-position-horizontal-relative:text;mso-position-vertical:absolute;mso-position-vertical-relative:text;mso-width-percent:0;mso-height-percent:0;mso-width-relative:margin;mso-height-relative:margin" from="37.5pt,8.55pt" to="253.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" strokecolor="black [3040]"/>
            </w:pict>
          </mc:Fallback>
        </mc:AlternateConten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xml:space="preserve">1. Аэропортовая деятельность // Маркетинг авиаперевозок: теория и практика [Электронный ресурс]. – Режим доступа: </w:t>
      </w:r>
      <w:hyperlink r:id="rId265" w:history="1">
        <w:r>
          <w:rPr>
            <w:rFonts w:ascii="Times New Roman" w:hAnsi="Times New Roman"/>
            <w:color w:val="000000"/>
            <w:sz w:val="20"/>
            <w:szCs w:val="20"/>
          </w:rPr>
          <w:t>http://01091979.blogspot.ru.</w:t>
        </w:r>
      </w:hyperlink>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2. Волкова Л.П. Управление деятельностью аэропорта, организационные основы управления деятельностью аэропортов / Л.П. Волкова – М: «Эксмо», 2007 г. – 104с.</w:t>
      </w:r>
    </w:p>
    <w:p w:rsidR="00517711" w:rsidRDefault="00F815BE">
      <w:pPr>
        <w:pStyle w:val="af4"/>
        <w:spacing w:after="0"/>
        <w:ind w:left="0" w:firstLine="709"/>
        <w:jc w:val="both"/>
        <w:rPr>
          <w:rFonts w:ascii="Times New Roman" w:eastAsia="Calibri" w:hAnsi="Times New Roman"/>
          <w:color w:val="000000"/>
          <w:sz w:val="20"/>
          <w:szCs w:val="20"/>
        </w:rPr>
      </w:pPr>
      <w:r>
        <w:rPr>
          <w:rFonts w:ascii="Times New Roman" w:eastAsia="Calibri" w:hAnsi="Times New Roman"/>
          <w:color w:val="000000"/>
          <w:sz w:val="20"/>
          <w:szCs w:val="20"/>
        </w:rPr>
        <w:t>3. Международный совет аэропортов // Исследования международного совета аэропортов [Электронный ресурс]. - Режим доступа: http:// aerotropolis-city-airports-of-the-future.</w: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xml:space="preserve">4. Методы прогнозирования и анализа ассортимента предприятия [Электронный ресурс]. - Режим доступа:  </w:t>
      </w:r>
      <w:hyperlink r:id="rId266" w:history="1">
        <w:r>
          <w:rPr>
            <w:rFonts w:ascii="Times New Roman" w:hAnsi="Times New Roman"/>
            <w:color w:val="000000"/>
            <w:sz w:val="20"/>
            <w:szCs w:val="20"/>
          </w:rPr>
          <w:t>https://vuzlit.ru/249574/metody_analiza_assortimenta</w:t>
        </w:r>
      </w:hyperlink>
      <w:r>
        <w:rPr>
          <w:rFonts w:ascii="Times New Roman" w:hAnsi="Times New Roman"/>
          <w:color w:val="000000"/>
          <w:sz w:val="20"/>
          <w:szCs w:val="20"/>
        </w:rPr>
        <w:t>.</w:t>
      </w:r>
    </w:p>
    <w:p w:rsidR="00517711" w:rsidRDefault="00F815BE">
      <w:pPr>
        <w:pStyle w:val="af4"/>
        <w:spacing w:after="0"/>
        <w:ind w:left="0" w:firstLine="709"/>
        <w:jc w:val="both"/>
        <w:rPr>
          <w:rFonts w:ascii="Times New Roman" w:eastAsia="Calibri" w:hAnsi="Times New Roman"/>
          <w:color w:val="000000"/>
          <w:sz w:val="20"/>
          <w:szCs w:val="20"/>
        </w:rPr>
      </w:pPr>
      <w:r>
        <w:rPr>
          <w:rFonts w:ascii="Times New Roman" w:eastAsia="Calibri" w:hAnsi="Times New Roman"/>
          <w:color w:val="000000"/>
          <w:sz w:val="20"/>
          <w:szCs w:val="20"/>
        </w:rPr>
        <w:t xml:space="preserve">5. Отраслевой стандарт: ОСТ 54-1-283.02-94 «Система качества перевозок и обслуживания пассажиров воздушным транспортом. Услуги, предоставляемые пассажирам в аэропортах».  [Электронный ресурс]. – Режим доступа: </w:t>
      </w:r>
      <w:hyperlink r:id="rId267" w:history="1">
        <w:r>
          <w:rPr>
            <w:rFonts w:ascii="Times New Roman" w:eastAsia="Calibri" w:hAnsi="Times New Roman"/>
            <w:color w:val="000000"/>
            <w:sz w:val="20"/>
            <w:szCs w:val="20"/>
          </w:rPr>
          <w:t>http://zakonrus.ru/gost1/ost54128302-94.htm</w:t>
        </w:r>
      </w:hyperlink>
      <w:r>
        <w:rPr>
          <w:rFonts w:ascii="Times New Roman" w:eastAsia="Calibri" w:hAnsi="Times New Roman"/>
          <w:color w:val="000000"/>
          <w:sz w:val="20"/>
          <w:szCs w:val="20"/>
        </w:rPr>
        <w:t>.</w:t>
      </w:r>
    </w:p>
    <w:p w:rsidR="00517711" w:rsidRDefault="00F815BE">
      <w:pPr>
        <w:pStyle w:val="af4"/>
        <w:spacing w:after="0"/>
        <w:ind w:left="0" w:firstLine="709"/>
        <w:jc w:val="both"/>
        <w:rPr>
          <w:rFonts w:ascii="Times New Roman" w:eastAsia="Calibri" w:hAnsi="Times New Roman"/>
          <w:color w:val="000000"/>
          <w:sz w:val="20"/>
          <w:szCs w:val="20"/>
        </w:rPr>
      </w:pPr>
      <w:r>
        <w:rPr>
          <w:rFonts w:ascii="Times New Roman" w:eastAsia="Calibri" w:hAnsi="Times New Roman"/>
          <w:color w:val="000000"/>
          <w:sz w:val="20"/>
          <w:szCs w:val="20"/>
        </w:rPr>
        <w:t xml:space="preserve">6. Совершенствование пассажирских перевозок // Лекции по пассажирским авиаперевозкам [Электронный ресурс]. – Режим доступа: </w:t>
      </w:r>
      <w:hyperlink r:id="rId268" w:history="1">
        <w:r>
          <w:rPr>
            <w:rFonts w:ascii="Times New Roman" w:eastAsia="Calibri" w:hAnsi="Times New Roman"/>
            <w:color w:val="000000"/>
            <w:sz w:val="20"/>
            <w:szCs w:val="20"/>
          </w:rPr>
          <w:t>http://scbist.com/zh-d-stati/20206-lekciya-servis-v-passazhirskih-perevozkah.html</w:t>
        </w:r>
      </w:hyperlink>
    </w:p>
    <w:p w:rsidR="00517711" w:rsidRDefault="00517711">
      <w:pPr>
        <w:pStyle w:val="af4"/>
        <w:spacing w:after="0"/>
        <w:ind w:left="0" w:firstLine="709"/>
        <w:jc w:val="both"/>
        <w:rPr>
          <w:rFonts w:ascii="Times New Roman" w:eastAsia="Calibri" w:hAnsi="Times New Roman"/>
          <w:color w:val="000000"/>
          <w:sz w:val="20"/>
          <w:szCs w:val="20"/>
        </w:rPr>
      </w:pPr>
    </w:p>
    <w:p w:rsidR="00517711" w:rsidRDefault="00F815BE">
      <w:pPr>
        <w:rPr>
          <w:rFonts w:ascii="Times New Roman" w:hAnsi="Times New Roman"/>
          <w:color w:val="000000"/>
          <w:sz w:val="20"/>
          <w:szCs w:val="20"/>
        </w:rPr>
      </w:pPr>
      <w:r>
        <w:rPr>
          <w:rFonts w:ascii="Times New Roman" w:hAnsi="Times New Roman"/>
          <w:color w:val="000000"/>
          <w:sz w:val="20"/>
          <w:szCs w:val="20"/>
        </w:rPr>
        <w:br w:type="page"/>
      </w:r>
    </w:p>
    <w:p w:rsidR="00517711" w:rsidRDefault="00F815BE">
      <w:pPr>
        <w:pStyle w:val="af4"/>
        <w:spacing w:after="0"/>
        <w:ind w:left="0" w:firstLine="709"/>
        <w:jc w:val="center"/>
        <w:rPr>
          <w:rFonts w:ascii="Book Antiqua" w:eastAsia="Calibri" w:hAnsi="Book Antiqua"/>
          <w:b/>
          <w:color w:val="000000"/>
          <w:sz w:val="24"/>
          <w:szCs w:val="20"/>
        </w:rPr>
      </w:pPr>
      <w:r>
        <w:rPr>
          <w:rFonts w:ascii="Book Antiqua" w:eastAsia="Calibri" w:hAnsi="Book Antiqua"/>
          <w:b/>
          <w:color w:val="000000"/>
          <w:sz w:val="24"/>
          <w:szCs w:val="20"/>
        </w:rPr>
        <w:lastRenderedPageBreak/>
        <w:t>Секция. АКТУАЛЬНЫЕ ПРОБЛЕМЫ СОВРЕМЕННОГО ДИЗАЙНА</w:t>
      </w:r>
    </w:p>
    <w:p w:rsidR="00517711" w:rsidRDefault="00517711">
      <w:pPr>
        <w:pStyle w:val="af4"/>
        <w:spacing w:after="0"/>
        <w:ind w:left="0" w:firstLine="709"/>
        <w:jc w:val="center"/>
        <w:rPr>
          <w:rFonts w:ascii="Book Antiqua" w:eastAsia="Calibri" w:hAnsi="Book Antiqua"/>
          <w:b/>
          <w:color w:val="000000"/>
          <w:sz w:val="24"/>
          <w:szCs w:val="20"/>
        </w:rPr>
      </w:pPr>
    </w:p>
    <w:p w:rsidR="00517711" w:rsidRDefault="00F815BE">
      <w:pPr>
        <w:spacing w:after="0" w:line="240" w:lineRule="auto"/>
        <w:rPr>
          <w:rFonts w:ascii="Times New Roman" w:hAnsi="Times New Roman" w:cs="Times New Roman"/>
          <w:b/>
          <w:sz w:val="20"/>
        </w:rPr>
      </w:pPr>
      <w:r>
        <w:rPr>
          <w:rFonts w:ascii="Times New Roman" w:hAnsi="Times New Roman" w:cs="Times New Roman"/>
          <w:b/>
          <w:sz w:val="20"/>
        </w:rPr>
        <w:t xml:space="preserve">Рубрика: Актуальные проблемы современного дизайна </w:t>
      </w:r>
    </w:p>
    <w:p w:rsidR="00517711" w:rsidRDefault="00517711">
      <w:pPr>
        <w:spacing w:after="0" w:line="240" w:lineRule="auto"/>
        <w:rPr>
          <w:rFonts w:ascii="Times New Roman" w:hAnsi="Times New Roman" w:cs="Times New Roman"/>
          <w:sz w:val="20"/>
        </w:rPr>
      </w:pPr>
    </w:p>
    <w:p w:rsidR="00517711" w:rsidRDefault="00F815BE">
      <w:pPr>
        <w:spacing w:after="0" w:line="240" w:lineRule="auto"/>
        <w:rPr>
          <w:rFonts w:ascii="Times New Roman" w:hAnsi="Times New Roman" w:cs="Times New Roman"/>
          <w:color w:val="000000"/>
          <w:sz w:val="20"/>
        </w:rPr>
      </w:pPr>
      <w:r>
        <w:rPr>
          <w:rFonts w:ascii="Times New Roman" w:hAnsi="Times New Roman" w:cs="Times New Roman"/>
          <w:color w:val="000000"/>
          <w:sz w:val="20"/>
        </w:rPr>
        <w:t>УДК 37</w:t>
      </w:r>
    </w:p>
    <w:p w:rsidR="00517711" w:rsidRDefault="00517711">
      <w:pPr>
        <w:rPr>
          <w:rFonts w:cs="Times New Roman"/>
          <w:color w:val="000000"/>
        </w:rPr>
      </w:pPr>
    </w:p>
    <w:p w:rsidR="00517711" w:rsidRDefault="00F815BE">
      <w:pPr>
        <w:jc w:val="center"/>
        <w:rPr>
          <w:rFonts w:ascii="Book Antiqua" w:hAnsi="Book Antiqua" w:cs="Times New Roman"/>
          <w:b/>
          <w:sz w:val="26"/>
          <w:szCs w:val="26"/>
        </w:rPr>
      </w:pPr>
      <w:r>
        <w:rPr>
          <w:rFonts w:ascii="Book Antiqua" w:hAnsi="Book Antiqua" w:cs="Times New Roman"/>
          <w:b/>
          <w:sz w:val="26"/>
          <w:szCs w:val="26"/>
        </w:rPr>
        <w:t>АНАЛИЗ ВХОДНЫХ ЗОН ВГУЭС С ТОЧКИ ЗРЕНИЯ КОМФОРТНОГО И БЕЗОПАСНОГО ПОЛЬЗОВАНИЯ</w:t>
      </w:r>
    </w:p>
    <w:p w:rsidR="00517711" w:rsidRDefault="00517711">
      <w:pPr>
        <w:jc w:val="center"/>
        <w:rPr>
          <w:rFonts w:ascii="Book Antiqua" w:hAnsi="Book Antiqua" w:cs="Times New Roman"/>
          <w:b/>
          <w:sz w:val="26"/>
          <w:szCs w:val="26"/>
        </w:rPr>
      </w:pPr>
    </w:p>
    <w:p w:rsidR="00517711" w:rsidRDefault="00F815BE">
      <w:pPr>
        <w:spacing w:after="0" w:line="240" w:lineRule="auto"/>
        <w:jc w:val="center"/>
        <w:rPr>
          <w:rFonts w:ascii="Arial" w:hAnsi="Arial" w:cs="Arial"/>
          <w:b/>
          <w:sz w:val="24"/>
        </w:rPr>
      </w:pPr>
      <w:r>
        <w:rPr>
          <w:rFonts w:ascii="Arial" w:hAnsi="Arial" w:cs="Arial"/>
          <w:b/>
          <w:sz w:val="24"/>
        </w:rPr>
        <w:t xml:space="preserve">Александрова </w:t>
      </w:r>
      <w:r>
        <w:rPr>
          <w:rFonts w:ascii="Arial" w:hAnsi="Arial" w:cs="Arial"/>
          <w:b/>
          <w:color w:val="000000"/>
          <w:sz w:val="24"/>
        </w:rPr>
        <w:t>Валентина Ивановна</w:t>
      </w:r>
      <w:r>
        <w:rPr>
          <w:rFonts w:ascii="Arial" w:hAnsi="Arial" w:cs="Arial"/>
          <w:b/>
          <w:sz w:val="24"/>
        </w:rPr>
        <w:t xml:space="preserve">, Громак </w:t>
      </w:r>
      <w:r>
        <w:rPr>
          <w:rFonts w:ascii="Arial" w:hAnsi="Arial" w:cs="Arial"/>
          <w:b/>
          <w:color w:val="000000"/>
          <w:sz w:val="24"/>
        </w:rPr>
        <w:t>Ирина Игоревна</w:t>
      </w:r>
      <w:r>
        <w:rPr>
          <w:rFonts w:ascii="Arial" w:hAnsi="Arial" w:cs="Arial"/>
          <w:b/>
          <w:sz w:val="24"/>
        </w:rPr>
        <w:t>,</w:t>
      </w:r>
    </w:p>
    <w:p w:rsidR="00517711" w:rsidRDefault="00F815BE">
      <w:pPr>
        <w:spacing w:after="0" w:line="240" w:lineRule="auto"/>
        <w:jc w:val="center"/>
        <w:rPr>
          <w:rFonts w:ascii="Arial" w:hAnsi="Arial" w:cs="Arial"/>
          <w:b/>
          <w:sz w:val="24"/>
        </w:rPr>
      </w:pPr>
      <w:r>
        <w:rPr>
          <w:rFonts w:ascii="Arial" w:hAnsi="Arial" w:cs="Arial"/>
          <w:b/>
          <w:sz w:val="24"/>
        </w:rPr>
        <w:t xml:space="preserve">Счастливцева </w:t>
      </w:r>
      <w:r>
        <w:rPr>
          <w:rFonts w:ascii="Arial" w:hAnsi="Arial" w:cs="Arial"/>
          <w:b/>
          <w:color w:val="000000"/>
          <w:sz w:val="24"/>
        </w:rPr>
        <w:t>Мария Андреевна</w:t>
      </w:r>
      <w:r>
        <w:rPr>
          <w:rFonts w:ascii="Arial" w:hAnsi="Arial" w:cs="Arial"/>
          <w:b/>
          <w:sz w:val="24"/>
        </w:rPr>
        <w:t>,</w:t>
      </w:r>
    </w:p>
    <w:p w:rsidR="00517711" w:rsidRDefault="00F815BE">
      <w:pPr>
        <w:spacing w:after="0" w:line="240" w:lineRule="auto"/>
        <w:jc w:val="center"/>
        <w:rPr>
          <w:rFonts w:ascii="Arial" w:hAnsi="Arial" w:cs="Arial"/>
          <w:sz w:val="24"/>
        </w:rPr>
      </w:pPr>
      <w:r>
        <w:rPr>
          <w:rFonts w:ascii="Arial" w:hAnsi="Arial" w:cs="Arial"/>
          <w:sz w:val="24"/>
        </w:rPr>
        <w:t>бакалавры</w:t>
      </w:r>
    </w:p>
    <w:p w:rsidR="00517711" w:rsidRDefault="00517711">
      <w:pPr>
        <w:jc w:val="center"/>
        <w:rPr>
          <w:rFonts w:cs="Times New Roman"/>
        </w:rPr>
      </w:pPr>
    </w:p>
    <w:p w:rsidR="00517711" w:rsidRDefault="00F815BE">
      <w:pPr>
        <w:spacing w:after="0" w:line="240" w:lineRule="auto"/>
        <w:jc w:val="center"/>
        <w:rPr>
          <w:rFonts w:ascii="Arial" w:hAnsi="Arial" w:cs="Arial"/>
          <w:b/>
          <w:sz w:val="24"/>
        </w:rPr>
      </w:pPr>
      <w:r>
        <w:rPr>
          <w:rFonts w:ascii="Arial" w:hAnsi="Arial" w:cs="Arial"/>
          <w:b/>
          <w:sz w:val="24"/>
        </w:rPr>
        <w:t xml:space="preserve">Чернявина Лариса Андреевна, </w:t>
      </w:r>
    </w:p>
    <w:p w:rsidR="00517711" w:rsidRDefault="00F815BE">
      <w:pPr>
        <w:spacing w:after="0" w:line="240" w:lineRule="auto"/>
        <w:jc w:val="center"/>
        <w:rPr>
          <w:rFonts w:ascii="Arial" w:hAnsi="Arial" w:cs="Arial"/>
          <w:sz w:val="24"/>
        </w:rPr>
      </w:pPr>
      <w:r>
        <w:rPr>
          <w:rFonts w:ascii="Arial" w:hAnsi="Arial" w:cs="Arial"/>
          <w:sz w:val="24"/>
          <w:lang w:eastAsia="ru-RU"/>
        </w:rPr>
        <w:t>доцент</w:t>
      </w:r>
    </w:p>
    <w:p w:rsidR="00517711" w:rsidRDefault="00517711">
      <w:pPr>
        <w:jc w:val="center"/>
        <w:rPr>
          <w:rFonts w:cs="Times New Roman"/>
          <w:i/>
          <w:lang w:eastAsia="ru-RU"/>
        </w:rPr>
      </w:pPr>
    </w:p>
    <w:p w:rsidR="00517711" w:rsidRDefault="00F815BE">
      <w:pPr>
        <w:spacing w:after="0" w:line="240" w:lineRule="auto"/>
        <w:jc w:val="center"/>
        <w:rPr>
          <w:rFonts w:ascii="Times New Roman" w:hAnsi="Times New Roman" w:cs="Times New Roman"/>
          <w:sz w:val="21"/>
          <w:szCs w:val="21"/>
        </w:rPr>
      </w:pPr>
      <w:r>
        <w:rPr>
          <w:rFonts w:ascii="Times New Roman" w:hAnsi="Times New Roman" w:cs="Times New Roman"/>
          <w:i/>
          <w:sz w:val="21"/>
          <w:szCs w:val="21"/>
          <w:lang w:eastAsia="ru-RU"/>
        </w:rPr>
        <w:t>Владивостокский государственный университет экономики и сервиса</w:t>
      </w:r>
    </w:p>
    <w:p w:rsidR="00517711" w:rsidRDefault="00F815BE">
      <w:pPr>
        <w:spacing w:after="0" w:line="240" w:lineRule="auto"/>
        <w:jc w:val="center"/>
        <w:rPr>
          <w:rFonts w:ascii="Times New Roman" w:hAnsi="Times New Roman" w:cs="Times New Roman"/>
          <w:sz w:val="21"/>
          <w:szCs w:val="21"/>
        </w:rPr>
      </w:pPr>
      <w:r>
        <w:rPr>
          <w:rFonts w:ascii="Times New Roman" w:hAnsi="Times New Roman" w:cs="Times New Roman"/>
          <w:i/>
          <w:sz w:val="21"/>
          <w:szCs w:val="21"/>
          <w:lang w:eastAsia="ru-RU"/>
        </w:rPr>
        <w:t>Россия, Владивосток</w:t>
      </w:r>
    </w:p>
    <w:p w:rsidR="00517711" w:rsidRDefault="00517711">
      <w:pPr>
        <w:jc w:val="center"/>
        <w:rPr>
          <w:rFonts w:cs="Times New Roman"/>
        </w:rPr>
      </w:pPr>
    </w:p>
    <w:p w:rsidR="00517711" w:rsidRPr="00BD6187" w:rsidRDefault="00F815BE">
      <w:pPr>
        <w:spacing w:after="0" w:line="240" w:lineRule="auto"/>
        <w:jc w:val="center"/>
        <w:rPr>
          <w:rFonts w:ascii="Times New Roman" w:hAnsi="Times New Roman" w:cs="Times New Roman"/>
          <w:sz w:val="20"/>
        </w:rPr>
      </w:pPr>
      <w:r>
        <w:rPr>
          <w:rFonts w:ascii="Times New Roman" w:hAnsi="Times New Roman" w:cs="Times New Roman"/>
          <w:sz w:val="20"/>
          <w:lang w:val="en-US"/>
        </w:rPr>
        <w:t>E</w:t>
      </w:r>
      <w:r w:rsidRPr="00BD6187">
        <w:rPr>
          <w:rFonts w:ascii="Times New Roman" w:hAnsi="Times New Roman" w:cs="Times New Roman"/>
          <w:sz w:val="20"/>
        </w:rPr>
        <w:t>-</w:t>
      </w:r>
      <w:r>
        <w:rPr>
          <w:rFonts w:ascii="Times New Roman" w:hAnsi="Times New Roman" w:cs="Times New Roman"/>
          <w:sz w:val="20"/>
          <w:lang w:val="en-US"/>
        </w:rPr>
        <w:t>mail</w:t>
      </w:r>
      <w:r w:rsidRPr="00BD6187">
        <w:rPr>
          <w:rFonts w:ascii="Times New Roman" w:hAnsi="Times New Roman" w:cs="Times New Roman"/>
          <w:sz w:val="20"/>
        </w:rPr>
        <w:t xml:space="preserve">: </w:t>
      </w:r>
      <w:r>
        <w:rPr>
          <w:rFonts w:ascii="Times New Roman" w:hAnsi="Times New Roman" w:cs="Times New Roman"/>
          <w:sz w:val="20"/>
          <w:lang w:val="en-US"/>
        </w:rPr>
        <w:t>whiteplanet</w:t>
      </w:r>
      <w:r w:rsidRPr="00BD6187">
        <w:rPr>
          <w:rFonts w:ascii="Times New Roman" w:hAnsi="Times New Roman" w:cs="Times New Roman"/>
          <w:sz w:val="20"/>
        </w:rPr>
        <w:t>88@</w:t>
      </w:r>
      <w:r>
        <w:rPr>
          <w:rFonts w:ascii="Times New Roman" w:hAnsi="Times New Roman" w:cs="Times New Roman"/>
          <w:sz w:val="20"/>
          <w:lang w:val="en-US"/>
        </w:rPr>
        <w:t>gmail</w:t>
      </w:r>
      <w:r w:rsidRPr="00BD6187">
        <w:rPr>
          <w:rFonts w:ascii="Times New Roman" w:hAnsi="Times New Roman" w:cs="Times New Roman"/>
          <w:sz w:val="20"/>
        </w:rPr>
        <w:t>.</w:t>
      </w:r>
      <w:r>
        <w:rPr>
          <w:rFonts w:ascii="Times New Roman" w:hAnsi="Times New Roman" w:cs="Times New Roman"/>
          <w:sz w:val="20"/>
          <w:lang w:val="en-US"/>
        </w:rPr>
        <w:t>com</w:t>
      </w:r>
      <w:r w:rsidRPr="00BD6187">
        <w:rPr>
          <w:rFonts w:ascii="Times New Roman" w:hAnsi="Times New Roman" w:cs="Times New Roman"/>
          <w:sz w:val="20"/>
        </w:rPr>
        <w:t xml:space="preserve">, </w:t>
      </w:r>
      <w:r>
        <w:rPr>
          <w:rFonts w:ascii="Times New Roman" w:hAnsi="Times New Roman" w:cs="Times New Roman"/>
          <w:sz w:val="20"/>
        </w:rPr>
        <w:t>тел</w:t>
      </w:r>
      <w:r w:rsidRPr="00BD6187">
        <w:rPr>
          <w:rFonts w:ascii="Times New Roman" w:hAnsi="Times New Roman" w:cs="Times New Roman"/>
          <w:sz w:val="20"/>
        </w:rPr>
        <w:t>: +79241304388</w:t>
      </w:r>
    </w:p>
    <w:p w:rsidR="00517711" w:rsidRDefault="00F815BE">
      <w:pPr>
        <w:spacing w:after="0" w:line="240" w:lineRule="auto"/>
        <w:jc w:val="center"/>
        <w:rPr>
          <w:rFonts w:ascii="Times New Roman" w:hAnsi="Times New Roman" w:cs="Times New Roman"/>
          <w:sz w:val="20"/>
        </w:rPr>
      </w:pPr>
      <w:r>
        <w:rPr>
          <w:rFonts w:ascii="Times New Roman" w:hAnsi="Times New Roman" w:cs="Times New Roman"/>
          <w:sz w:val="20"/>
        </w:rPr>
        <w:t>ул. Гоголя 41, г. Владивосток, Приморский край, Россия, 690014</w:t>
      </w:r>
    </w:p>
    <w:p w:rsidR="00517711" w:rsidRDefault="00517711">
      <w:pPr>
        <w:rPr>
          <w:rFonts w:cs="Times New Roman"/>
          <w:i/>
          <w:iCs/>
        </w:rPr>
      </w:pPr>
    </w:p>
    <w:p w:rsidR="00517711" w:rsidRDefault="00F815BE">
      <w:pPr>
        <w:spacing w:after="0" w:line="240" w:lineRule="auto"/>
        <w:ind w:firstLine="709"/>
        <w:jc w:val="both"/>
        <w:rPr>
          <w:rFonts w:ascii="Times New Roman" w:hAnsi="Times New Roman" w:cs="Times New Roman"/>
          <w:i/>
          <w:iCs/>
        </w:rPr>
      </w:pPr>
      <w:r>
        <w:rPr>
          <w:rFonts w:ascii="Times New Roman" w:hAnsi="Times New Roman" w:cs="Times New Roman"/>
          <w:i/>
          <w:iCs/>
        </w:rPr>
        <w:t>В статье рассмотрена организация основных входных зон ВГУЭС с точки зрения комфортного и безопасного пользования. Рассматривая нормативные требования и существующую организацию входных зон, были выявлены несоответствия.</w:t>
      </w:r>
      <w:r>
        <w:rPr>
          <w:rFonts w:ascii="Times New Roman" w:hAnsi="Times New Roman" w:cs="Times New Roman"/>
        </w:rPr>
        <w:t xml:space="preserve"> </w:t>
      </w:r>
      <w:r>
        <w:rPr>
          <w:rFonts w:ascii="Times New Roman" w:hAnsi="Times New Roman" w:cs="Times New Roman"/>
          <w:i/>
          <w:iCs/>
        </w:rPr>
        <w:t>Участниками были предложены проектные решения главных входов в университет, а также проиллюстрированы места для отдыха и предусмотрена среда для инвалидов.</w:t>
      </w:r>
    </w:p>
    <w:p w:rsidR="00517711" w:rsidRDefault="00F815BE">
      <w:pPr>
        <w:pStyle w:val="afff"/>
        <w:ind w:firstLine="709"/>
        <w:jc w:val="both"/>
        <w:rPr>
          <w:rFonts w:ascii="Times New Roman" w:hAnsi="Times New Roman" w:cs="Times New Roman"/>
          <w:i/>
          <w:iCs/>
        </w:rPr>
      </w:pPr>
      <w:r>
        <w:rPr>
          <w:rFonts w:ascii="Times New Roman" w:hAnsi="Times New Roman" w:cs="Times New Roman"/>
          <w:b/>
          <w:i/>
          <w:iCs/>
        </w:rPr>
        <w:t xml:space="preserve">Ключевые понятия и словосочетания: </w:t>
      </w:r>
      <w:r>
        <w:rPr>
          <w:rFonts w:ascii="Times New Roman" w:hAnsi="Times New Roman" w:cs="Times New Roman"/>
          <w:i/>
          <w:iCs/>
        </w:rPr>
        <w:t>лестница, поручни, памятник, места отдыха, среда для инвалидов, входная зона.</w:t>
      </w:r>
    </w:p>
    <w:p w:rsidR="00517711" w:rsidRDefault="00517711">
      <w:pPr>
        <w:pStyle w:val="afff"/>
        <w:ind w:firstLine="709"/>
        <w:jc w:val="both"/>
        <w:rPr>
          <w:rFonts w:ascii="Times New Roman" w:hAnsi="Times New Roman" w:cs="Times New Roman"/>
          <w:i/>
          <w:iCs/>
          <w:sz w:val="24"/>
          <w:szCs w:val="24"/>
        </w:rPr>
      </w:pPr>
    </w:p>
    <w:p w:rsidR="00517711" w:rsidRDefault="00F815BE">
      <w:pPr>
        <w:pStyle w:val="afff"/>
        <w:ind w:firstLine="709"/>
        <w:jc w:val="center"/>
        <w:rPr>
          <w:rFonts w:ascii="Book Antiqua" w:hAnsi="Book Antiqua" w:cs="Times New Roman"/>
          <w:b/>
          <w:sz w:val="26"/>
          <w:szCs w:val="26"/>
          <w:lang w:val="en"/>
        </w:rPr>
      </w:pPr>
      <w:r>
        <w:rPr>
          <w:rFonts w:ascii="Book Antiqua" w:hAnsi="Book Antiqua" w:cs="Times New Roman"/>
          <w:b/>
          <w:sz w:val="26"/>
          <w:szCs w:val="26"/>
          <w:lang w:val="en"/>
        </w:rPr>
        <w:t>ANALYSIS OF THE INPUT ZONES OF VSUES IN TERMS OF COMFORTABLE AND SAFE USE</w:t>
      </w:r>
    </w:p>
    <w:p w:rsidR="00517711" w:rsidRDefault="00517711">
      <w:pPr>
        <w:pStyle w:val="afff"/>
        <w:ind w:firstLine="709"/>
        <w:jc w:val="center"/>
        <w:rPr>
          <w:rFonts w:ascii="Times New Roman" w:hAnsi="Times New Roman" w:cs="Times New Roman"/>
          <w:i/>
          <w:iCs/>
          <w:sz w:val="24"/>
          <w:szCs w:val="24"/>
          <w:lang w:val="en-US"/>
        </w:rPr>
      </w:pPr>
    </w:p>
    <w:p w:rsidR="00517711" w:rsidRDefault="00F815BE">
      <w:pPr>
        <w:pStyle w:val="afff"/>
        <w:ind w:firstLine="709"/>
        <w:jc w:val="both"/>
        <w:rPr>
          <w:rFonts w:ascii="Times New Roman" w:hAnsi="Times New Roman" w:cs="Times New Roman"/>
          <w:i/>
          <w:szCs w:val="24"/>
          <w:lang w:val="en-US"/>
        </w:rPr>
      </w:pPr>
      <w:r>
        <w:rPr>
          <w:rFonts w:ascii="Times New Roman" w:hAnsi="Times New Roman" w:cs="Times New Roman"/>
          <w:i/>
          <w:szCs w:val="24"/>
          <w:lang w:val="en-US"/>
        </w:rPr>
        <w:t>The article considers the organization of the main entrance areas of VSUES in terms of the comfortable and safe use. Considering the regulatory requirements and the existing organization of input zones, inconsistencies were identified.</w:t>
      </w:r>
      <w:r>
        <w:rPr>
          <w:rFonts w:ascii="Times New Roman" w:hAnsi="Times New Roman" w:cs="Times New Roman"/>
          <w:szCs w:val="24"/>
          <w:lang w:val="en-US"/>
        </w:rPr>
        <w:t xml:space="preserve"> </w:t>
      </w:r>
      <w:r>
        <w:rPr>
          <w:rFonts w:ascii="Times New Roman" w:hAnsi="Times New Roman" w:cs="Times New Roman"/>
          <w:i/>
          <w:szCs w:val="24"/>
          <w:lang w:val="en-US"/>
        </w:rPr>
        <w:t>The participants proposed the design solutions for the main entrances to the university, as well as illustrated the places for recreation and provided an environment for the disabled.</w:t>
      </w:r>
    </w:p>
    <w:p w:rsidR="00517711" w:rsidRPr="00BD6187" w:rsidRDefault="00F815BE">
      <w:pPr>
        <w:pStyle w:val="afff"/>
        <w:ind w:firstLine="709"/>
        <w:jc w:val="both"/>
        <w:rPr>
          <w:rFonts w:ascii="Times New Roman" w:hAnsi="Times New Roman" w:cs="Times New Roman"/>
          <w:i/>
          <w:iCs/>
          <w:szCs w:val="24"/>
          <w:lang w:val="en-US"/>
        </w:rPr>
      </w:pPr>
      <w:r>
        <w:rPr>
          <w:rFonts w:ascii="Times New Roman" w:hAnsi="Times New Roman" w:cs="Times New Roman"/>
          <w:b/>
          <w:i/>
          <w:szCs w:val="24"/>
          <w:lang w:val="en-US"/>
        </w:rPr>
        <w:t>Keywords:</w:t>
      </w:r>
      <w:r>
        <w:rPr>
          <w:rFonts w:ascii="Times New Roman" w:hAnsi="Times New Roman" w:cs="Times New Roman"/>
          <w:i/>
          <w:szCs w:val="24"/>
          <w:lang w:val="en-US"/>
        </w:rPr>
        <w:t xml:space="preserve"> </w:t>
      </w:r>
      <w:r>
        <w:rPr>
          <w:rFonts w:ascii="Times New Roman" w:hAnsi="Times New Roman" w:cs="Times New Roman"/>
          <w:i/>
          <w:iCs/>
          <w:szCs w:val="24"/>
          <w:lang w:val="en-US"/>
        </w:rPr>
        <w:t xml:space="preserve">ladder, handrails, </w:t>
      </w:r>
      <w:r>
        <w:rPr>
          <w:rStyle w:val="shorttext"/>
          <w:rFonts w:ascii="Times New Roman" w:hAnsi="Times New Roman" w:cs="Times New Roman"/>
          <w:i/>
          <w:szCs w:val="24"/>
          <w:lang w:val="en"/>
        </w:rPr>
        <w:t>monument</w:t>
      </w:r>
      <w:r>
        <w:rPr>
          <w:rStyle w:val="shorttext"/>
          <w:rFonts w:ascii="Times New Roman" w:hAnsi="Times New Roman" w:cs="Times New Roman"/>
          <w:i/>
          <w:szCs w:val="24"/>
          <w:lang w:val="en-US"/>
        </w:rPr>
        <w:t xml:space="preserve">, </w:t>
      </w:r>
      <w:r>
        <w:rPr>
          <w:rFonts w:ascii="Times New Roman" w:hAnsi="Times New Roman" w:cs="Times New Roman"/>
          <w:i/>
          <w:iCs/>
          <w:szCs w:val="24"/>
          <w:lang w:val="en-US"/>
        </w:rPr>
        <w:t>recreation facilities, environment for the disabled, entrance area.</w:t>
      </w:r>
    </w:p>
    <w:p w:rsidR="00517711" w:rsidRPr="00BD6187" w:rsidRDefault="00517711">
      <w:pPr>
        <w:pStyle w:val="afff"/>
        <w:ind w:firstLine="709"/>
        <w:jc w:val="both"/>
        <w:rPr>
          <w:rFonts w:ascii="Times New Roman" w:hAnsi="Times New Roman" w:cs="Times New Roman"/>
          <w:i/>
          <w:szCs w:val="24"/>
          <w:lang w:val="en-US"/>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Данная статья ставит своей целью нормативный анализ основных входов ВГУЭС с точки зрения обеспечения комфортного и безопасного пользования входными зонами. </w:t>
      </w:r>
      <w:r>
        <w:rPr>
          <w:rFonts w:ascii="Times New Roman" w:hAnsi="Times New Roman" w:cs="Times New Roman"/>
          <w:bCs/>
          <w:sz w:val="20"/>
          <w:szCs w:val="20"/>
        </w:rPr>
        <w:t xml:space="preserve">Для достижения цели необходимо выполнить следующие задачи: </w:t>
      </w:r>
      <w:r>
        <w:rPr>
          <w:rFonts w:ascii="Times New Roman" w:hAnsi="Times New Roman" w:cs="Times New Roman"/>
          <w:sz w:val="20"/>
          <w:szCs w:val="20"/>
        </w:rPr>
        <w:t xml:space="preserve">привязать определенные функциональные зоны к конкретным элементам территорий, устранить недостатки и сформировать перспективное функциональное зонирование.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При проведении исследований использовалась нормативная литература по организации входной территории: СНиП 35-01-2001 «Доступность зданий и сооружений для маломобильных групп населения», СНиП 21-01-97*</w:t>
      </w:r>
      <w:r>
        <w:rPr>
          <w:rFonts w:ascii="Times New Roman" w:hAnsi="Times New Roman" w:cs="Times New Roman"/>
          <w:sz w:val="20"/>
          <w:szCs w:val="20"/>
          <w:lang w:eastAsia="ru-RU"/>
        </w:rPr>
        <w:t xml:space="preserve"> «Пожарная безопасность зданий и сооружений»,</w:t>
      </w:r>
      <w:r>
        <w:rPr>
          <w:rFonts w:ascii="Times New Roman" w:hAnsi="Times New Roman" w:cs="Times New Roman"/>
          <w:sz w:val="20"/>
          <w:szCs w:val="20"/>
        </w:rPr>
        <w:t xml:space="preserve"> ГОСТ 12.1.004-91 «Пожарная безопасность».</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При анализе главного входа ВГУЭС были определены существенные недостатки: центральное расположение елки мешает организованному потоку людей при движении по центру площадки, весьма </w:t>
      </w:r>
      <w:r>
        <w:rPr>
          <w:rFonts w:ascii="Times New Roman" w:hAnsi="Times New Roman" w:cs="Times New Roman"/>
          <w:sz w:val="20"/>
          <w:szCs w:val="20"/>
        </w:rPr>
        <w:lastRenderedPageBreak/>
        <w:t>существенно отсутствие мест для сидения, а брусчатка, выложенная у главного входа, имеет скучный и однообразный вид.</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Авторами разработано решение функционального зонирования главной входной зоны ВГУЭС (рис. 1.): увеличив зону зеленых насаждений, предлагается разделить лестницу на две части, что поспособствует организованному потоку людей и придаст ландшафту динамический характер. Возле этой зоны предлагается установить места для сидения необычной формы, что разнообразит прямолинейность композиции и леерные ограждения, которые сделают безопасным движение по лестницам. Данная композиция подчеркнет местоположение вуза в подножье сопки «Орлиное гнездо». Сопки – отличительная черта города Владивостока, его визитная карточка. Следовательно, такое расположение создаст особый характер входа, оригинальность и идентичность. Значительное увеличение зеленых насаждений сделает входную зону ВУЗа более значимой и красивой. Направленность клумб вверх станет символом, означающим </w:t>
      </w:r>
      <w:r>
        <w:rPr>
          <w:rFonts w:ascii="Times New Roman" w:hAnsi="Times New Roman" w:cs="Times New Roman"/>
          <w:noProof/>
          <w:sz w:val="20"/>
          <w:szCs w:val="20"/>
          <w:lang w:eastAsia="ru-RU"/>
        </w:rPr>
        <mc:AlternateContent>
          <mc:Choice Requires="wpg">
            <w:drawing>
              <wp:anchor distT="0" distB="0" distL="114300" distR="114300" simplePos="0" relativeHeight="251726848" behindDoc="0" locked="0" layoutInCell="1" allowOverlap="1">
                <wp:simplePos x="0" y="0"/>
                <wp:positionH relativeFrom="column">
                  <wp:posOffset>1482088</wp:posOffset>
                </wp:positionH>
                <wp:positionV relativeFrom="paragraph">
                  <wp:posOffset>1314450</wp:posOffset>
                </wp:positionV>
                <wp:extent cx="3157853" cy="2994660"/>
                <wp:effectExtent l="0" t="0" r="4443" b="0"/>
                <wp:wrapTopAndBottom/>
                <wp:docPr id="102" name="Группа 140"/>
                <wp:cNvGraphicFramePr/>
                <a:graphic xmlns:a="http://schemas.openxmlformats.org/drawingml/2006/main">
                  <a:graphicData uri="http://schemas.microsoft.com/office/word/2010/wordprocessingGroup">
                    <wpg:wgp>
                      <wpg:cNvGrpSpPr/>
                      <wpg:grpSpPr bwMode="auto">
                        <a:xfrm>
                          <a:off x="0" y="0"/>
                          <a:ext cx="3157855" cy="2994660"/>
                          <a:chOff x="0" y="0"/>
                          <a:chExt cx="3157855" cy="2994660"/>
                        </a:xfrm>
                      </wpg:grpSpPr>
                      <pic:pic xmlns:pic="http://schemas.openxmlformats.org/drawingml/2006/picture">
                        <pic:nvPicPr>
                          <pic:cNvPr id="146" name="Рисунок 141"/>
                          <pic:cNvPicPr>
                            <a:picLocks noChangeAspect="1"/>
                          </pic:cNvPicPr>
                        </pic:nvPicPr>
                        <pic:blipFill>
                          <a:blip r:embed="rId269"/>
                          <a:stretch/>
                        </pic:blipFill>
                        <pic:spPr bwMode="auto">
                          <a:xfrm>
                            <a:off x="0" y="0"/>
                            <a:ext cx="3157855" cy="2487295"/>
                          </a:xfrm>
                          <a:prstGeom prst="rect">
                            <a:avLst/>
                          </a:prstGeom>
                          <a:noFill/>
                        </pic:spPr>
                      </pic:pic>
                      <wps:wsp>
                        <wps:cNvPr id="147" name="Прямоугольник 147"/>
                        <wps:cNvSpPr>
                          <a:spLocks/>
                        </wps:cNvSpPr>
                        <wps:spPr bwMode="auto">
                          <a:xfrm>
                            <a:off x="0" y="2491740"/>
                            <a:ext cx="3157855" cy="502920"/>
                          </a:xfrm>
                          <a:prstGeom prst="rect">
                            <a:avLst/>
                          </a:prstGeom>
                          <a:solidFill>
                            <a:prstClr val="white"/>
                          </a:solidFill>
                          <a:ln>
                            <a:noFill/>
                          </a:ln>
                        </wps:spPr>
                        <wps:txbx>
                          <w:txbxContent>
                            <w:p w:rsidR="00306ED2" w:rsidRDefault="00306ED2">
                              <w:pPr>
                                <w:pStyle w:val="aff7"/>
                                <w:jc w:val="center"/>
                                <w:rPr>
                                  <w:i w:val="0"/>
                                  <w:lang w:val="ru-RU"/>
                                </w:rPr>
                              </w:pPr>
                              <w:r>
                                <w:rPr>
                                  <w:i w:val="0"/>
                                  <w:lang w:val="ru-RU"/>
                                </w:rPr>
                                <w:t>Рис. 1. Функциональное зонирование главного входа ВГУЭС</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Группа 140" o:spid="_x0000_s1127" style="position:absolute;left:0;text-align:left;margin-left:116.7pt;margin-top:103.5pt;width:248.65pt;height:235.8pt;z-index:251726848;mso-position-horizontal-relative:text;mso-position-vertical-relative:text" coordsize="31578,299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41" o:spid="_x0000_s1128" type="#_x0000_t75" style="position:absolute;width:31578;height:248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5dSsDAAAAA3AAAAA8AAABkcnMvZG93bnJldi54bWxET0tqwzAQ3Rd6BzGF7hq5xbjBsRxCoSQO&#10;2eRzgMGa2CbWyEiK7d6+KgS6m8f7TrGeTS9Gcr6zrOB9kYAgrq3uuFFwOX+/LUH4gKyxt0wKfsjD&#10;unx+KjDXduIjjafQiBjCPkcFbQhDLqWvWzLoF3YgjtzVOoMhQtdI7XCK4aaXH0mSSYMdx4YWB/pq&#10;qb6d7kbB9oBV8Nl8bSrap5/O6nufaKVeX+bNCkSgOfyLH+6djvPTDP6eiRfI8hc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bl1KwMAAAADcAAAADwAAAAAAAAAAAAAAAACfAgAA&#10;ZHJzL2Rvd25yZXYueG1sUEsFBgAAAAAEAAQA9wAAAIwDAAAAAA==&#10;">
                  <v:imagedata r:id="rId270" o:title=""/>
                  <v:path arrowok="t"/>
                </v:shape>
                <v:rect id="Прямоугольник 147" o:spid="_x0000_s1129" style="position:absolute;top:24917;width:31578;height:50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LVDsQA&#10;AADcAAAADwAAAGRycy9kb3ducmV2LnhtbERP32vCMBB+F/Y/hBvsTdOJqHRGGcOBIg6sMtjbrTnb&#10;uuRSmmjr/vplIPh2H9/Pmy06a8SFGl85VvA8SEAQ505XXCg47N/7UxA+IGs0jknBlTws5g+9Gaba&#10;tbyjSxYKEUPYp6igDKFOpfR5SRb9wNXEkTu6xmKIsCmkbrCN4dbIYZKMpcWKY0OJNb2VlP9kZ6tg&#10;iePf1Wjbfn7Ua7P5Ct/ZyXRXpZ4eu9cXEIG6cBff3Csd548m8P9MvED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i1Q7EAAAA3AAAAA8AAAAAAAAAAAAAAAAAmAIAAGRycy9k&#10;b3ducmV2LnhtbFBLBQYAAAAABAAEAPUAAACJAwAAAAA=&#10;" stroked="f">
                  <v:path arrowok="t"/>
                  <v:textbox style="mso-fit-shape-to-text:t" inset="0,0,0,0">
                    <w:txbxContent>
                      <w:p w:rsidR="00306ED2" w:rsidRDefault="00306ED2">
                        <w:pPr>
                          <w:pStyle w:val="aff7"/>
                          <w:jc w:val="center"/>
                          <w:rPr>
                            <w:i w:val="0"/>
                            <w:lang w:val="ru-RU"/>
                          </w:rPr>
                        </w:pPr>
                        <w:r>
                          <w:rPr>
                            <w:i w:val="0"/>
                            <w:lang w:val="ru-RU"/>
                          </w:rPr>
                          <w:t>Рис. 1. Функциональное зонирование главного входа ВГУЭС</w:t>
                        </w:r>
                      </w:p>
                    </w:txbxContent>
                  </v:textbox>
                </v:rect>
                <w10:wrap type="topAndBottom"/>
              </v:group>
            </w:pict>
          </mc:Fallback>
        </mc:AlternateContent>
      </w:r>
      <w:r>
        <w:rPr>
          <w:rFonts w:ascii="Times New Roman" w:hAnsi="Times New Roman" w:cs="Times New Roman"/>
          <w:sz w:val="20"/>
          <w:szCs w:val="20"/>
        </w:rPr>
        <w:t>стремление к знаниям и самореализации. В этом и заключается цель ВГУЭС.</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При анализе главного входа в университет также была исследована культурная достопримечательность не только ВГУЭС, но и всего города – памятник замечательному поэту Осипу Эмильевичу Мандельштаму, который впервые установили именно во Владивостоке в 1998 году. Позже, памятник О. Э. Мандельштаму был открыт в Санкт-Петербурге в 2007 году, в Воронеже и в Москве в 2008 году. Великие строки олицетворяют культурную значимость монумента для нашего города:</w:t>
      </w:r>
    </w:p>
    <w:p w:rsidR="00517711" w:rsidRDefault="00517711">
      <w:pPr>
        <w:spacing w:after="0" w:line="240" w:lineRule="auto"/>
        <w:rPr>
          <w:rFonts w:ascii="Times New Roman" w:hAnsi="Times New Roman" w:cs="Times New Roman"/>
          <w:sz w:val="20"/>
          <w:szCs w:val="20"/>
        </w:rPr>
      </w:pPr>
    </w:p>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i/>
          <w:sz w:val="20"/>
          <w:szCs w:val="20"/>
        </w:rPr>
        <w:t>«И твой, бесконечность,</w:t>
      </w:r>
    </w:p>
    <w:p w:rsidR="00517711" w:rsidRDefault="00F815BE">
      <w:pPr>
        <w:spacing w:after="0" w:line="240" w:lineRule="auto"/>
        <w:jc w:val="center"/>
        <w:rPr>
          <w:rFonts w:ascii="Times New Roman" w:hAnsi="Times New Roman" w:cs="Times New Roman"/>
          <w:i/>
          <w:sz w:val="20"/>
          <w:szCs w:val="20"/>
        </w:rPr>
      </w:pPr>
      <w:r>
        <w:rPr>
          <w:rFonts w:ascii="Times New Roman" w:hAnsi="Times New Roman" w:cs="Times New Roman"/>
          <w:i/>
          <w:sz w:val="20"/>
          <w:szCs w:val="20"/>
        </w:rPr>
        <w:t>учебник</w:t>
      </w:r>
    </w:p>
    <w:p w:rsidR="00517711" w:rsidRDefault="00F815BE">
      <w:pPr>
        <w:spacing w:after="0" w:line="240" w:lineRule="auto"/>
        <w:jc w:val="center"/>
        <w:rPr>
          <w:rFonts w:ascii="Times New Roman" w:hAnsi="Times New Roman" w:cs="Times New Roman"/>
          <w:i/>
          <w:sz w:val="20"/>
          <w:szCs w:val="20"/>
        </w:rPr>
      </w:pPr>
      <w:r>
        <w:rPr>
          <w:rFonts w:ascii="Times New Roman" w:hAnsi="Times New Roman" w:cs="Times New Roman"/>
          <w:i/>
          <w:sz w:val="20"/>
          <w:szCs w:val="20"/>
        </w:rPr>
        <w:t>Читаю один, без людей, –</w:t>
      </w:r>
    </w:p>
    <w:p w:rsidR="00517711" w:rsidRDefault="00F815BE">
      <w:pPr>
        <w:spacing w:after="0" w:line="240" w:lineRule="auto"/>
        <w:jc w:val="center"/>
        <w:rPr>
          <w:rFonts w:ascii="Times New Roman" w:hAnsi="Times New Roman" w:cs="Times New Roman"/>
          <w:i/>
          <w:sz w:val="20"/>
          <w:szCs w:val="20"/>
        </w:rPr>
      </w:pPr>
      <w:r>
        <w:rPr>
          <w:rFonts w:ascii="Times New Roman" w:hAnsi="Times New Roman" w:cs="Times New Roman"/>
          <w:i/>
          <w:sz w:val="20"/>
          <w:szCs w:val="20"/>
        </w:rPr>
        <w:t>Безлиственный, дикий</w:t>
      </w:r>
    </w:p>
    <w:p w:rsidR="00517711" w:rsidRDefault="00F815BE">
      <w:pPr>
        <w:spacing w:after="0" w:line="240" w:lineRule="auto"/>
        <w:jc w:val="center"/>
        <w:rPr>
          <w:rFonts w:ascii="Times New Roman" w:hAnsi="Times New Roman" w:cs="Times New Roman"/>
          <w:i/>
          <w:sz w:val="20"/>
          <w:szCs w:val="20"/>
        </w:rPr>
      </w:pPr>
      <w:r>
        <w:rPr>
          <w:rFonts w:ascii="Times New Roman" w:hAnsi="Times New Roman" w:cs="Times New Roman"/>
          <w:i/>
          <w:sz w:val="20"/>
          <w:szCs w:val="20"/>
        </w:rPr>
        <w:t>лечебник,</w:t>
      </w:r>
    </w:p>
    <w:p w:rsidR="00517711" w:rsidRDefault="00F815BE">
      <w:pPr>
        <w:spacing w:after="0" w:line="240" w:lineRule="auto"/>
        <w:jc w:val="center"/>
        <w:rPr>
          <w:rFonts w:ascii="Times New Roman" w:hAnsi="Times New Roman" w:cs="Times New Roman"/>
          <w:i/>
          <w:sz w:val="20"/>
          <w:szCs w:val="20"/>
        </w:rPr>
      </w:pPr>
      <w:r>
        <w:rPr>
          <w:rFonts w:ascii="Times New Roman" w:hAnsi="Times New Roman" w:cs="Times New Roman"/>
          <w:i/>
          <w:sz w:val="20"/>
          <w:szCs w:val="20"/>
        </w:rPr>
        <w:t>Задачник огромных корней…».</w:t>
      </w:r>
    </w:p>
    <w:p w:rsidR="00517711" w:rsidRDefault="00517711">
      <w:pPr>
        <w:spacing w:after="0" w:line="240" w:lineRule="auto"/>
        <w:ind w:firstLine="709"/>
        <w:rPr>
          <w:rFonts w:ascii="Times New Roman" w:hAnsi="Times New Roman" w:cs="Times New Roman"/>
          <w:i/>
          <w:sz w:val="20"/>
          <w:szCs w:val="20"/>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На территории данного участка были обнаружены следующие недостатки: отсутствуют места для отдыха и общения, отсутствуют урны. Светильников недостаточно для полного освещения в вечернее время, они очень старые и не эстетичные на вид. Лестницы не рассчитаны для людей с ограниченными возможностями, вокруг постамента памятника недостаточно места для проезда инвалидной коляски. На участке очень шумно, так как рядом находится проезжая часть. По этой же причине воздух на данном участке загрязнен выхлопными газами. С точки зрения эргономических показателей не читабельна текстовая табличка, которая прикреплена к памятнику. Памятник не ухожен: имеется грязь, подтеки от наслоения старой краски и участки с потрескавшейся краской. И самое главное, не все знают местоположение памятника, т.к. отсутствуют указатели, которые информировали бы прохожих.</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lastRenderedPageBreak/>
        <w:t xml:space="preserve">Грамотно изучив территорию, участники проекта предложили поставить несколько скамеек для отдыха и общения, около каждой скамейки установить урны для мусора. На протяжении участка расположить новые эстетичные светильники в достаточном количестве. Оборудовать лестницу пандусом для людей с ограниченными возможностями, уменьшить размер постамента, чтобы у людей на инвалидной коляске была возможность проехать к пандусу или от него. Возможен также перенос местоположения памятника для большего удобства. Выявлена необходимость в установке шумоподавляющего экрана, который поспособствует значительному уменьшению шума на территории и предотвратит сквер от большего загрязнения. А также заменить табличку у памятника, сделать ее более читабельной </w:t>
      </w:r>
      <w:r>
        <w:rPr>
          <w:rFonts w:ascii="Times New Roman" w:hAnsi="Times New Roman" w:cs="Times New Roman"/>
          <w:noProof/>
          <w:sz w:val="20"/>
          <w:szCs w:val="20"/>
          <w:lang w:eastAsia="ru-RU"/>
        </w:rPr>
        <mc:AlternateContent>
          <mc:Choice Requires="wpg">
            <w:drawing>
              <wp:anchor distT="0" distB="0" distL="114300" distR="114300" simplePos="0" relativeHeight="251727872" behindDoc="0" locked="0" layoutInCell="1" allowOverlap="1">
                <wp:simplePos x="0" y="0"/>
                <wp:positionH relativeFrom="column">
                  <wp:posOffset>1413508</wp:posOffset>
                </wp:positionH>
                <wp:positionV relativeFrom="paragraph">
                  <wp:posOffset>1154430</wp:posOffset>
                </wp:positionV>
                <wp:extent cx="3301363" cy="3009898"/>
                <wp:effectExtent l="19048" t="19048" r="13333" b="0"/>
                <wp:wrapTopAndBottom/>
                <wp:docPr id="103" name="Группа 143"/>
                <wp:cNvGraphicFramePr/>
                <a:graphic xmlns:a="http://schemas.openxmlformats.org/drawingml/2006/main">
                  <a:graphicData uri="http://schemas.microsoft.com/office/word/2010/wordprocessingGroup">
                    <wpg:wgp>
                      <wpg:cNvGrpSpPr/>
                      <wpg:grpSpPr bwMode="auto">
                        <a:xfrm>
                          <a:off x="0" y="0"/>
                          <a:ext cx="3301365" cy="3009900"/>
                          <a:chOff x="0" y="0"/>
                          <a:chExt cx="3301365" cy="3009900"/>
                        </a:xfrm>
                      </wpg:grpSpPr>
                      <pic:pic xmlns:pic="http://schemas.openxmlformats.org/drawingml/2006/picture">
                        <pic:nvPicPr>
                          <pic:cNvPr id="149" name="Рисунок 2"/>
                          <pic:cNvPicPr>
                            <a:picLocks noChangeAspect="1"/>
                          </pic:cNvPicPr>
                        </pic:nvPicPr>
                        <pic:blipFill>
                          <a:blip r:embed="rId271"/>
                          <a:stretch/>
                        </pic:blipFill>
                        <pic:spPr bwMode="auto">
                          <a:xfrm>
                            <a:off x="0" y="0"/>
                            <a:ext cx="3301365" cy="2476500"/>
                          </a:xfrm>
                          <a:prstGeom prst="rect">
                            <a:avLst/>
                          </a:prstGeom>
                          <a:ln w="12700" cap="sq">
                            <a:solidFill>
                              <a:srgbClr val="000000"/>
                            </a:solidFill>
                            <a:prstDash val="solid"/>
                            <a:miter lim="800000"/>
                          </a:ln>
                        </pic:spPr>
                      </pic:pic>
                      <wps:wsp>
                        <wps:cNvPr id="150" name="Прямоугольник 150"/>
                        <wps:cNvSpPr>
                          <a:spLocks/>
                        </wps:cNvSpPr>
                        <wps:spPr bwMode="auto">
                          <a:xfrm>
                            <a:off x="0" y="2506980"/>
                            <a:ext cx="3301365" cy="502920"/>
                          </a:xfrm>
                          <a:prstGeom prst="rect">
                            <a:avLst/>
                          </a:prstGeom>
                          <a:solidFill>
                            <a:prstClr val="white"/>
                          </a:solidFill>
                          <a:ln>
                            <a:noFill/>
                          </a:ln>
                        </wps:spPr>
                        <wps:txbx>
                          <w:txbxContent>
                            <w:p w:rsidR="00306ED2" w:rsidRDefault="00306ED2">
                              <w:pPr>
                                <w:pStyle w:val="aff7"/>
                                <w:jc w:val="center"/>
                                <w:rPr>
                                  <w:i w:val="0"/>
                                  <w:lang w:val="ru-RU"/>
                                </w:rPr>
                              </w:pPr>
                              <w:r>
                                <w:rPr>
                                  <w:i w:val="0"/>
                                  <w:lang w:val="ru-RU"/>
                                </w:rPr>
                                <w:t>Рис. 2. Функциональное зонирование участка возле памятника О. Э. Мандельштаму</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Группа 143" o:spid="_x0000_s1130" style="position:absolute;left:0;text-align:left;margin-left:111.3pt;margin-top:90.9pt;width:259.95pt;height:237pt;z-index:251727872;mso-position-horizontal-relative:text;mso-position-vertical-relative:text" coordsize="33013,3009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">
                <v:shape id="Рисунок 2" o:spid="_x0000_s1131" type="#_x0000_t75" style="position:absolute;width:33013;height:247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t12eHCAAAA3AAAAA8AAABkcnMvZG93bnJldi54bWxET0uLwjAQvgv+hzCCN00VXdzaVFRYUTz5&#10;YPE4NGNbbCalyWrdX78RFrzNx/ecZNGaStypcaVlBaNhBII4s7rkXMH59DWYgXAeWWNlmRQ8ycEi&#10;7XYSjLV98IHuR5+LEMIuRgWF93UspcsKMuiGtiYO3NU2Bn2ATS51g48Qbio5jqIPabDk0FBgTeuC&#10;stvxxyiIduff9SZfHfZPf5lu22+3u62cUv1eu5yD8NT6t/jfvdVh/uQTXs+EC2T6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LddnhwgAAANwAAAAPAAAAAAAAAAAAAAAAAJ8C&#10;AABkcnMvZG93bnJldi54bWxQSwUGAAAAAAQABAD3AAAAjgMAAAAA&#10;" stroked="t" strokeweight="1pt">
                  <v:stroke endcap="square"/>
                  <v:imagedata r:id="rId272" o:title=""/>
                  <v:path arrowok="t"/>
                </v:shape>
                <v:rect id="Прямоугольник 150" o:spid="_x0000_s1132" style="position:absolute;top:25069;width:33013;height:50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Lbp8cA&#10;AADcAAAADwAAAGRycy9kb3ducmV2LnhtbESPQUvDQBCF7wX/wzKCt3aj2FJit0VEoSIVGqXQ25id&#10;Jqm7syG7Nqm/3jkIvc3w3rz3zWI1eKdO1MUmsIHbSQaKuAy24crA58fLeA4qJmSLLjAZOFOE1fJq&#10;tMDchp63dCpSpSSEY44G6pTaXOtY1uQxTkJLLNohdB6TrF2lbYe9hHun77Jspj02LA01tvRUU/ld&#10;/HgDzzj7Xd9v+t17++re9umrOLrhbMzN9fD4ACrRkC7m/+u1Ffyp4MszMoFe/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AS26fHAAAA3AAAAA8AAAAAAAAAAAAAAAAAmAIAAGRy&#10;cy9kb3ducmV2LnhtbFBLBQYAAAAABAAEAPUAAACMAwAAAAA=&#10;" stroked="f">
                  <v:path arrowok="t"/>
                  <v:textbox style="mso-fit-shape-to-text:t" inset="0,0,0,0">
                    <w:txbxContent>
                      <w:p w:rsidR="00306ED2" w:rsidRDefault="00306ED2">
                        <w:pPr>
                          <w:pStyle w:val="aff7"/>
                          <w:jc w:val="center"/>
                          <w:rPr>
                            <w:i w:val="0"/>
                            <w:lang w:val="ru-RU"/>
                          </w:rPr>
                        </w:pPr>
                        <w:r>
                          <w:rPr>
                            <w:i w:val="0"/>
                            <w:lang w:val="ru-RU"/>
                          </w:rPr>
                          <w:t>Рис. 2. Функциональное зонирование участка возле памятника О. Э. Мандельштаму</w:t>
                        </w:r>
                      </w:p>
                    </w:txbxContent>
                  </v:textbox>
                </v:rect>
                <w10:wrap type="topAndBottom"/>
              </v:group>
            </w:pict>
          </mc:Fallback>
        </mc:AlternateContent>
      </w:r>
      <w:r>
        <w:rPr>
          <w:rFonts w:ascii="Times New Roman" w:hAnsi="Times New Roman" w:cs="Times New Roman"/>
          <w:sz w:val="20"/>
          <w:szCs w:val="20"/>
        </w:rPr>
        <w:t>(белого цвета с черными буквами) и обновить внешний вид памятника (рис. 2.).</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noProof/>
          <w:sz w:val="20"/>
          <w:szCs w:val="20"/>
          <w:lang w:eastAsia="ru-RU"/>
        </w:rPr>
        <mc:AlternateContent>
          <mc:Choice Requires="wpg">
            <w:drawing>
              <wp:anchor distT="0" distB="0" distL="114300" distR="114300" simplePos="0" relativeHeight="251728896" behindDoc="0" locked="0" layoutInCell="1" allowOverlap="1">
                <wp:simplePos x="0" y="0"/>
                <wp:positionH relativeFrom="column">
                  <wp:posOffset>933448</wp:posOffset>
                </wp:positionH>
                <wp:positionV relativeFrom="paragraph">
                  <wp:posOffset>5513068</wp:posOffset>
                </wp:positionV>
                <wp:extent cx="4248148" cy="2331720"/>
                <wp:effectExtent l="0" t="19048" r="0" b="0"/>
                <wp:wrapTopAndBottom/>
                <wp:docPr id="104" name="Группа 146"/>
                <wp:cNvGraphicFramePr/>
                <a:graphic xmlns:a="http://schemas.openxmlformats.org/drawingml/2006/main">
                  <a:graphicData uri="http://schemas.microsoft.com/office/word/2010/wordprocessingGroup">
                    <wpg:wgp>
                      <wpg:cNvGrpSpPr/>
                      <wpg:grpSpPr bwMode="auto">
                        <a:xfrm>
                          <a:off x="0" y="0"/>
                          <a:ext cx="4248150" cy="2331720"/>
                          <a:chOff x="0" y="0"/>
                          <a:chExt cx="4248150" cy="2331720"/>
                        </a:xfrm>
                      </wpg:grpSpPr>
                      <pic:pic xmlns:pic="http://schemas.openxmlformats.org/drawingml/2006/picture">
                        <pic:nvPicPr>
                          <pic:cNvPr id="152" name="Рисунок 2"/>
                          <pic:cNvPicPr>
                            <a:picLocks noChangeAspect="1"/>
                          </pic:cNvPicPr>
                        </pic:nvPicPr>
                        <pic:blipFill>
                          <a:blip r:embed="rId273"/>
                          <a:stretch/>
                        </pic:blipFill>
                        <pic:spPr bwMode="auto">
                          <a:xfrm>
                            <a:off x="121920" y="0"/>
                            <a:ext cx="4012565" cy="1981200"/>
                          </a:xfrm>
                          <a:prstGeom prst="rect">
                            <a:avLst/>
                          </a:prstGeom>
                          <a:ln w="12700" cap="sq">
                            <a:solidFill>
                              <a:srgbClr val="000000"/>
                            </a:solidFill>
                            <a:prstDash val="solid"/>
                            <a:miter lim="800000"/>
                          </a:ln>
                        </pic:spPr>
                      </pic:pic>
                      <wps:wsp>
                        <wps:cNvPr id="153" name="Прямоугольник 153"/>
                        <wps:cNvSpPr>
                          <a:spLocks/>
                        </wps:cNvSpPr>
                        <wps:spPr bwMode="auto">
                          <a:xfrm>
                            <a:off x="0" y="2004060"/>
                            <a:ext cx="4248150" cy="327660"/>
                          </a:xfrm>
                          <a:prstGeom prst="rect">
                            <a:avLst/>
                          </a:prstGeom>
                          <a:solidFill>
                            <a:prstClr val="white"/>
                          </a:solidFill>
                          <a:ln>
                            <a:noFill/>
                          </a:ln>
                        </wps:spPr>
                        <wps:txbx>
                          <w:txbxContent>
                            <w:p w:rsidR="00306ED2" w:rsidRDefault="00306ED2">
                              <w:pPr>
                                <w:pStyle w:val="aff7"/>
                                <w:jc w:val="center"/>
                                <w:rPr>
                                  <w:i w:val="0"/>
                                  <w:lang w:val="ru-RU"/>
                                </w:rPr>
                              </w:pPr>
                              <w:r>
                                <w:rPr>
                                  <w:i w:val="0"/>
                                  <w:lang w:val="ru-RU"/>
                                </w:rPr>
                                <w:t>Рис. 3. Функциональное зонирование входа «Андеграунд»</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Группа 146" o:spid="_x0000_s1133" style="position:absolute;left:0;text-align:left;margin-left:73.5pt;margin-top:434.1pt;width:334.5pt;height:183.6pt;z-index:251728896;mso-position-horizontal-relative:text;mso-position-vertical-relative:text" coordsize="42481,2331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">
                <v:shape id="Рисунок 2" o:spid="_x0000_s1134" type="#_x0000_t75" style="position:absolute;left:1219;width:40125;height:198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XGofDAAAA3AAAAA8AAABkcnMvZG93bnJldi54bWxET01rwkAQvRf8D8sIvdWNSqtGV4lCaQ6F&#10;UvXibciOSTA7G3bXJP77bqHQ2zze52x2g2lER87XlhVMJwkI4sLqmksF59P7yxKED8gaG8uk4EEe&#10;dtvR0wZTbXv+pu4YShFD2KeooAqhTaX0RUUG/cS2xJG7WmcwROhKqR32Mdw0cpYkb9JgzbGhwpYO&#10;FRW3490o2M+7nj+nH9nqkSfZ7VK63H0tlHoeD9kaRKAh/Iv/3LmO819n8PtMvEBu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pcah8MAAADcAAAADwAAAAAAAAAAAAAAAACf&#10;AgAAZHJzL2Rvd25yZXYueG1sUEsFBgAAAAAEAAQA9wAAAI8DAAAAAA==&#10;" stroked="t" strokeweight="1pt">
                  <v:stroke endcap="square"/>
                  <v:imagedata r:id="rId274" o:title=""/>
                  <v:path arrowok="t"/>
                </v:shape>
                <v:rect id="Прямоугольник 153" o:spid="_x0000_s1135" style="position:absolute;top:20040;width:42481;height:32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BF0MUA&#10;AADcAAAADwAAAGRycy9kb3ducmV2LnhtbERP32vCMBB+H/g/hBP2tqZTJ6MaZQwFRSbYjcHezubW&#10;dksupcls3V9vBsLe7uP7efNlb404UetrxwrukxQEceF0zaWCt9f13SMIH5A1Gsek4EwelovBzRwz&#10;7To+0CkPpYgh7DNUUIXQZFL6oiKLPnENceQ+XWsxRNiWUrfYxXBr5ChNp9JizbGhwoaeKyq+8x+r&#10;YIXT383kpXvfN1uz+wjH/Mv0Z6Vuh/3TDESgPvyLr+6NjvMfxvD3TLxALi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wEXQxQAAANwAAAAPAAAAAAAAAAAAAAAAAJgCAABkcnMv&#10;ZG93bnJldi54bWxQSwUGAAAAAAQABAD1AAAAigMAAAAA&#10;" stroked="f">
                  <v:path arrowok="t"/>
                  <v:textbox style="mso-fit-shape-to-text:t" inset="0,0,0,0">
                    <w:txbxContent>
                      <w:p w:rsidR="00306ED2" w:rsidRDefault="00306ED2">
                        <w:pPr>
                          <w:pStyle w:val="aff7"/>
                          <w:jc w:val="center"/>
                          <w:rPr>
                            <w:i w:val="0"/>
                            <w:lang w:val="ru-RU"/>
                          </w:rPr>
                        </w:pPr>
                        <w:r>
                          <w:rPr>
                            <w:i w:val="0"/>
                            <w:lang w:val="ru-RU"/>
                          </w:rPr>
                          <w:t>Рис. 3. Функциональное зонирование входа «Андеграунд»</w:t>
                        </w:r>
                      </w:p>
                    </w:txbxContent>
                  </v:textbox>
                </v:rect>
                <w10:wrap type="topAndBottom"/>
              </v:group>
            </w:pict>
          </mc:Fallback>
        </mc:AlternateContent>
      </w:r>
      <w:r>
        <w:rPr>
          <w:rFonts w:ascii="Times New Roman" w:hAnsi="Times New Roman" w:cs="Times New Roman"/>
          <w:sz w:val="20"/>
          <w:szCs w:val="20"/>
        </w:rPr>
        <w:t>Напоследок была рассмотрена входная зона ВГУЭС через «Андеграунд», на которой было выявлено, что расположение остановки недостаточно комфортное для передвижения к университету. Первый проход от остановки, который расположен перпендикулярно шлагбауму, слишком узкий и поверхность покрытия (асфальт, брусчатка) не ровная. Имеется однообразная, пустующая зона. Отсутствуют места для сидения и урны. Брусчатка не имеет какого-либо орнамента. На главной проходной зоне происходит скопление большого количества курящих людей, что мешает движению прохожих. При входе на лестницу мешает столб, расположенный посередине, и канализационный люк, крышка которого расположена выше уровня земли. Лестница сделана из брусчатки, которая в зимнее время года может стать травмоопасным участком для передвижения. При входе присутствует пандус, который расположен так, что добраться до него крайне сложно. У дверей при входе открывается только одна створка, что затрудняет проход, особенно во время оживленного движения. Вход недостаточно освещен в темное время суток.</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При проектировании входной зоны ВГУЭС через Андеграунд были выдвинуты предложения по решению данных недостатков зонирования (рис. 3.): необходимо перенести автобусную остановку и расположить ее напротив лестницы, убрать столб с зоны прохода, крышку люка установить на одном уровне с землей, установить перила. Проход возле шлагбаума расширить и оборудовать для комфортного передвижения людей с ограниченными возможностями. Сделать беспрепятственным и плавным заезд на пандус. В проходной зоне установить места отдыха со скамейками и урнами. Увеличить зону зеленых насаждений. Заменить стекло на входных дверях на стеклопакеты, во избежание увечья студентов, расширить дверные проемы для обеспечения надежной и безопасной эвакуации. В зоне входа увеличить количество осветительных приборов.</w:t>
      </w:r>
    </w:p>
    <w:p w:rsidR="00517711" w:rsidRDefault="00F815BE">
      <w:pPr>
        <w:spacing w:after="0" w:line="240" w:lineRule="auto"/>
        <w:ind w:firstLine="567"/>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Входная зона, больше чем любое другое пространство, придает зданию свой характер и является «общественным лицом» как здания, так и университета. На основе проведенного анализа входных зон других </w:t>
      </w:r>
      <w:r>
        <w:rPr>
          <w:rFonts w:ascii="Times New Roman" w:hAnsi="Times New Roman" w:cs="Times New Roman"/>
          <w:sz w:val="20"/>
          <w:szCs w:val="20"/>
          <w:shd w:val="clear" w:color="auto" w:fill="FFFFFF"/>
        </w:rPr>
        <w:lastRenderedPageBreak/>
        <w:t>университетов были выдвинуты предложения по улучшению двух основных входов во ВГУЭС: со стороны остановки Гоголя и со стороны Андеграунда, повышающие удобство передвижения, доступность для инвалидов-колясочников и внешний эстетический вид входной группы. Было предложено увеличить количество зеленых насаждений, добавить дополнительные места для отдыха и организовать пандусы, также внимание привлекается к памятнику О.Э. Мандельштаму, расположенному на территории нашего университета и являющимся, одной из его главных достопримечательностей.</w:t>
      </w:r>
    </w:p>
    <w:p w:rsidR="00517711" w:rsidRDefault="00517711">
      <w:pPr>
        <w:spacing w:after="0" w:line="240" w:lineRule="auto"/>
        <w:ind w:firstLine="567"/>
        <w:jc w:val="both"/>
        <w:rPr>
          <w:rFonts w:ascii="Times New Roman" w:hAnsi="Times New Roman" w:cs="Times New Roman"/>
          <w:sz w:val="20"/>
          <w:szCs w:val="20"/>
          <w:shd w:val="clear" w:color="auto" w:fill="FFFFFF"/>
        </w:rPr>
      </w:pPr>
    </w:p>
    <w:p w:rsidR="00517711" w:rsidRDefault="00F815BE">
      <w:pPr>
        <w:pStyle w:val="af4"/>
        <w:spacing w:after="0" w:line="240" w:lineRule="auto"/>
        <w:ind w:left="0" w:firstLine="886"/>
        <w:jc w:val="both"/>
        <w:rPr>
          <w:rFonts w:ascii="Times New Roman" w:hAnsi="Times New Roman"/>
          <w:b/>
          <w:sz w:val="20"/>
          <w:szCs w:val="20"/>
        </w:rPr>
      </w:pPr>
      <w:r>
        <w:rPr>
          <w:rFonts w:ascii="Times New Roman" w:hAnsi="Times New Roman"/>
          <w:sz w:val="20"/>
          <w:szCs w:val="20"/>
        </w:rPr>
        <w:t>__________________________</w:t>
      </w:r>
    </w:p>
    <w:p w:rsidR="00517711" w:rsidRDefault="00F815BE">
      <w:pPr>
        <w:pStyle w:val="Standard"/>
        <w:numPr>
          <w:ilvl w:val="0"/>
          <w:numId w:val="80"/>
        </w:numPr>
        <w:ind w:firstLine="709"/>
        <w:jc w:val="both"/>
        <w:rPr>
          <w:rFonts w:cs="Times New Roman"/>
          <w:sz w:val="20"/>
          <w:szCs w:val="20"/>
        </w:rPr>
      </w:pPr>
      <w:r>
        <w:rPr>
          <w:rFonts w:cs="Times New Roman"/>
          <w:sz w:val="20"/>
          <w:szCs w:val="20"/>
        </w:rPr>
        <w:t xml:space="preserve">Правила внутреннего распорядка </w:t>
      </w:r>
      <w:r>
        <w:rPr>
          <w:rStyle w:val="affe"/>
          <w:rFonts w:cs="Times New Roman"/>
          <w:sz w:val="20"/>
          <w:szCs w:val="20"/>
        </w:rPr>
        <w:t>ВГУЭС</w:t>
      </w:r>
      <w:r>
        <w:rPr>
          <w:rFonts w:cs="Times New Roman"/>
          <w:sz w:val="20"/>
          <w:szCs w:val="20"/>
        </w:rPr>
        <w:t xml:space="preserve">, утвержденные Конференцией коллектива </w:t>
      </w:r>
      <w:r>
        <w:rPr>
          <w:rStyle w:val="affe"/>
          <w:rFonts w:cs="Times New Roman"/>
          <w:sz w:val="20"/>
          <w:szCs w:val="20"/>
        </w:rPr>
        <w:t>ВГУЭС</w:t>
      </w:r>
      <w:r>
        <w:rPr>
          <w:rFonts w:cs="Times New Roman"/>
          <w:sz w:val="20"/>
          <w:szCs w:val="20"/>
        </w:rPr>
        <w:t xml:space="preserve"> протоколом № 6 от 17 сентября 2001 года.</w:t>
      </w:r>
    </w:p>
    <w:p w:rsidR="00517711" w:rsidRDefault="00F815BE">
      <w:pPr>
        <w:pStyle w:val="af4"/>
        <w:widowControl w:val="0"/>
        <w:numPr>
          <w:ilvl w:val="0"/>
          <w:numId w:val="80"/>
        </w:numPr>
        <w:spacing w:after="0" w:line="240" w:lineRule="auto"/>
        <w:ind w:firstLine="709"/>
        <w:jc w:val="both"/>
        <w:rPr>
          <w:rFonts w:ascii="Times New Roman" w:hAnsi="Times New Roman"/>
          <w:sz w:val="20"/>
          <w:szCs w:val="20"/>
        </w:rPr>
      </w:pPr>
      <w:r>
        <w:rPr>
          <w:rStyle w:val="affe"/>
          <w:rFonts w:ascii="Times New Roman" w:hAnsi="Times New Roman"/>
          <w:sz w:val="20"/>
          <w:szCs w:val="20"/>
        </w:rPr>
        <w:t>Устав</w:t>
      </w:r>
      <w:r>
        <w:rPr>
          <w:rFonts w:ascii="Times New Roman" w:hAnsi="Times New Roman"/>
          <w:sz w:val="20"/>
          <w:szCs w:val="20"/>
        </w:rPr>
        <w:t xml:space="preserve"> </w:t>
      </w:r>
      <w:r>
        <w:rPr>
          <w:rStyle w:val="affe"/>
          <w:rFonts w:ascii="Times New Roman" w:hAnsi="Times New Roman"/>
          <w:sz w:val="20"/>
          <w:szCs w:val="20"/>
        </w:rPr>
        <w:t>ВГУЭС</w:t>
      </w:r>
      <w:r>
        <w:rPr>
          <w:rFonts w:ascii="Times New Roman" w:hAnsi="Times New Roman"/>
          <w:sz w:val="20"/>
          <w:szCs w:val="20"/>
        </w:rPr>
        <w:t xml:space="preserve"> от 29 января 1998 года.</w:t>
      </w:r>
    </w:p>
    <w:p w:rsidR="00517711" w:rsidRDefault="00F815BE">
      <w:pPr>
        <w:pStyle w:val="af4"/>
        <w:widowControl w:val="0"/>
        <w:numPr>
          <w:ilvl w:val="0"/>
          <w:numId w:val="80"/>
        </w:numPr>
        <w:spacing w:after="0" w:line="240" w:lineRule="auto"/>
        <w:ind w:firstLine="709"/>
        <w:jc w:val="both"/>
        <w:rPr>
          <w:rFonts w:ascii="Times New Roman" w:hAnsi="Times New Roman"/>
          <w:sz w:val="20"/>
          <w:szCs w:val="20"/>
        </w:rPr>
      </w:pPr>
      <w:r>
        <w:rPr>
          <w:rFonts w:ascii="Times New Roman" w:eastAsia="Calibri" w:hAnsi="Times New Roman"/>
          <w:sz w:val="20"/>
          <w:szCs w:val="20"/>
        </w:rPr>
        <w:t>ФЗ № 15 «Об охране здоровья граждан от воздействия окружающего табачного дыма и последствий потребления табака».</w:t>
      </w:r>
    </w:p>
    <w:p w:rsidR="00517711" w:rsidRDefault="00F815BE">
      <w:pPr>
        <w:pStyle w:val="af4"/>
        <w:widowControl w:val="0"/>
        <w:numPr>
          <w:ilvl w:val="0"/>
          <w:numId w:val="80"/>
        </w:numPr>
        <w:spacing w:after="0" w:line="240" w:lineRule="auto"/>
        <w:ind w:firstLine="709"/>
        <w:jc w:val="both"/>
        <w:rPr>
          <w:rFonts w:ascii="Times New Roman" w:hAnsi="Times New Roman"/>
          <w:sz w:val="20"/>
          <w:szCs w:val="20"/>
        </w:rPr>
      </w:pPr>
      <w:r>
        <w:rPr>
          <w:rFonts w:ascii="Times New Roman" w:eastAsia="Calibri" w:hAnsi="Times New Roman"/>
          <w:sz w:val="20"/>
          <w:szCs w:val="20"/>
        </w:rPr>
        <w:t>КОНСТРУИРОВАНИЕ В ДИЗАЙНЕ СРЕДЫ. УГЛУБЛЕННЫЙ КУРС [Текст]: учебное пособие / авт. сост. Л. А. Чернявина. – Владивосток: Изд-во ВГУЭС, 2014. – 174 с.</w:t>
      </w:r>
    </w:p>
    <w:p w:rsidR="00517711" w:rsidRDefault="00F815BE">
      <w:pPr>
        <w:pStyle w:val="af4"/>
        <w:widowControl w:val="0"/>
        <w:numPr>
          <w:ilvl w:val="0"/>
          <w:numId w:val="80"/>
        </w:numPr>
        <w:spacing w:after="0" w:line="240" w:lineRule="auto"/>
        <w:ind w:firstLine="709"/>
        <w:jc w:val="both"/>
        <w:rPr>
          <w:rFonts w:ascii="Times New Roman" w:hAnsi="Times New Roman"/>
          <w:sz w:val="20"/>
          <w:szCs w:val="20"/>
        </w:rPr>
      </w:pPr>
      <w:r>
        <w:rPr>
          <w:rFonts w:ascii="Times New Roman" w:eastAsia="Calibri" w:hAnsi="Times New Roman"/>
          <w:sz w:val="20"/>
          <w:szCs w:val="20"/>
        </w:rPr>
        <w:t>ОСНОВЫ ЭРГОНОМИКИ В ДИЗАЙНЕ СРЕДЫ: учебное пособие / Л. А. Чернявина. – Владивосток: Изд-во ВГУЭС, 2009. – 262 с.</w:t>
      </w:r>
    </w:p>
    <w:p w:rsidR="00517711" w:rsidRDefault="00F815BE">
      <w:pPr>
        <w:pStyle w:val="af4"/>
        <w:widowControl w:val="0"/>
        <w:numPr>
          <w:ilvl w:val="0"/>
          <w:numId w:val="80"/>
        </w:numPr>
        <w:spacing w:after="0" w:line="240" w:lineRule="auto"/>
        <w:ind w:firstLine="709"/>
        <w:jc w:val="both"/>
        <w:rPr>
          <w:rFonts w:ascii="Times New Roman" w:hAnsi="Times New Roman"/>
          <w:sz w:val="20"/>
          <w:szCs w:val="20"/>
        </w:rPr>
      </w:pPr>
      <w:r>
        <w:rPr>
          <w:rFonts w:ascii="Times New Roman" w:hAnsi="Times New Roman"/>
          <w:sz w:val="20"/>
          <w:szCs w:val="20"/>
          <w:lang w:eastAsia="ru-RU"/>
        </w:rPr>
        <w:t>СНиП 21-01-97*. Пожарная безопасность зданий и сооружений.</w:t>
      </w:r>
    </w:p>
    <w:p w:rsidR="00517711" w:rsidRDefault="00F815BE">
      <w:pPr>
        <w:pStyle w:val="af4"/>
        <w:widowControl w:val="0"/>
        <w:numPr>
          <w:ilvl w:val="0"/>
          <w:numId w:val="80"/>
        </w:numPr>
        <w:spacing w:after="0" w:line="240" w:lineRule="auto"/>
        <w:ind w:firstLine="709"/>
        <w:jc w:val="both"/>
        <w:rPr>
          <w:rFonts w:ascii="Times New Roman" w:hAnsi="Times New Roman"/>
          <w:sz w:val="20"/>
          <w:szCs w:val="20"/>
        </w:rPr>
      </w:pPr>
      <w:r>
        <w:rPr>
          <w:rFonts w:ascii="Times New Roman" w:hAnsi="Times New Roman"/>
          <w:sz w:val="20"/>
          <w:szCs w:val="20"/>
        </w:rPr>
        <w:t>СНиП 2.08.02-89*. Общественные здания и сооружения (с Изменениями N 1-5).</w:t>
      </w:r>
    </w:p>
    <w:p w:rsidR="00517711" w:rsidRDefault="00F815BE">
      <w:pPr>
        <w:pStyle w:val="af4"/>
        <w:widowControl w:val="0"/>
        <w:numPr>
          <w:ilvl w:val="0"/>
          <w:numId w:val="80"/>
        </w:numPr>
        <w:spacing w:after="0" w:line="240" w:lineRule="auto"/>
        <w:ind w:firstLine="709"/>
        <w:jc w:val="both"/>
        <w:rPr>
          <w:rFonts w:ascii="Times New Roman" w:hAnsi="Times New Roman"/>
          <w:sz w:val="20"/>
          <w:szCs w:val="20"/>
        </w:rPr>
      </w:pPr>
      <w:r>
        <w:rPr>
          <w:rFonts w:ascii="Times New Roman" w:hAnsi="Times New Roman"/>
          <w:sz w:val="20"/>
          <w:szCs w:val="20"/>
        </w:rPr>
        <w:t>СП 59.13330.2012 Доступность зданий и сооружений для маломобильных групп населения. Актуализированная редакция СНиП 35-01-2001 (с Изменением N 1).</w:t>
      </w:r>
    </w:p>
    <w:p w:rsidR="00517711" w:rsidRDefault="00F815BE">
      <w:pPr>
        <w:pStyle w:val="af4"/>
        <w:widowControl w:val="0"/>
        <w:numPr>
          <w:ilvl w:val="0"/>
          <w:numId w:val="80"/>
        </w:numPr>
        <w:spacing w:after="0" w:line="240" w:lineRule="auto"/>
        <w:ind w:firstLine="709"/>
        <w:jc w:val="both"/>
        <w:rPr>
          <w:rFonts w:ascii="Times New Roman" w:hAnsi="Times New Roman"/>
          <w:sz w:val="20"/>
          <w:szCs w:val="20"/>
        </w:rPr>
      </w:pPr>
      <w:r>
        <w:rPr>
          <w:rFonts w:ascii="Times New Roman" w:hAnsi="Times New Roman"/>
          <w:sz w:val="20"/>
          <w:szCs w:val="20"/>
        </w:rPr>
        <w:t>ГОСТ 12.1.004-91. Система стандартов безопасности труда (ССБТ). Пожарная безопасность. Общие требования (с Изменением N 1).</w:t>
      </w:r>
    </w:p>
    <w:p w:rsidR="00517711" w:rsidRDefault="00517711">
      <w:pPr>
        <w:pStyle w:val="af4"/>
        <w:spacing w:after="0" w:line="240" w:lineRule="auto"/>
        <w:ind w:left="0"/>
        <w:jc w:val="both"/>
        <w:rPr>
          <w:rFonts w:ascii="Times New Roman" w:eastAsia="Calibri" w:hAnsi="Times New Roman"/>
          <w:b/>
          <w:color w:val="000000"/>
          <w:sz w:val="20"/>
          <w:szCs w:val="20"/>
        </w:rPr>
      </w:pPr>
    </w:p>
    <w:p w:rsidR="00517711" w:rsidRDefault="00517711">
      <w:pPr>
        <w:pStyle w:val="af4"/>
        <w:spacing w:after="0" w:line="240" w:lineRule="auto"/>
        <w:ind w:left="0"/>
        <w:jc w:val="both"/>
        <w:rPr>
          <w:rFonts w:ascii="Times New Roman" w:eastAsia="Calibri" w:hAnsi="Times New Roman"/>
          <w:b/>
          <w:color w:val="000000"/>
          <w:sz w:val="20"/>
          <w:szCs w:val="20"/>
        </w:rPr>
      </w:pPr>
    </w:p>
    <w:p w:rsidR="00517711" w:rsidRDefault="00F815BE">
      <w:pPr>
        <w:pStyle w:val="ae"/>
        <w:rPr>
          <w:rFonts w:ascii="Times New Roman" w:hAnsi="Times New Roman"/>
          <w:b/>
          <w:sz w:val="20"/>
          <w:szCs w:val="20"/>
        </w:rPr>
      </w:pPr>
      <w:r>
        <w:rPr>
          <w:rFonts w:ascii="Times New Roman" w:hAnsi="Times New Roman"/>
          <w:b/>
          <w:sz w:val="20"/>
          <w:szCs w:val="20"/>
        </w:rPr>
        <w:t>Рубрика: Актуальные проблемы современного дизайна</w:t>
      </w:r>
    </w:p>
    <w:p w:rsidR="00517711" w:rsidRDefault="00517711">
      <w:pPr>
        <w:pStyle w:val="ae"/>
        <w:rPr>
          <w:rFonts w:ascii="Times New Roman" w:hAnsi="Times New Roman"/>
          <w:sz w:val="20"/>
          <w:szCs w:val="20"/>
        </w:rPr>
      </w:pPr>
    </w:p>
    <w:p w:rsidR="00517711" w:rsidRDefault="00F815BE">
      <w:pPr>
        <w:pStyle w:val="ae"/>
        <w:rPr>
          <w:rFonts w:ascii="Times New Roman" w:hAnsi="Times New Roman"/>
          <w:sz w:val="20"/>
          <w:szCs w:val="20"/>
        </w:rPr>
      </w:pPr>
      <w:r>
        <w:rPr>
          <w:rFonts w:ascii="Times New Roman" w:hAnsi="Times New Roman"/>
          <w:sz w:val="20"/>
          <w:szCs w:val="20"/>
        </w:rPr>
        <w:t xml:space="preserve">УДК: </w:t>
      </w:r>
      <w:r>
        <w:rPr>
          <w:rFonts w:ascii="Times New Roman" w:hAnsi="Times New Roman"/>
          <w:color w:val="000000"/>
          <w:sz w:val="20"/>
          <w:szCs w:val="20"/>
        </w:rPr>
        <w:t>76.01</w:t>
      </w:r>
    </w:p>
    <w:p w:rsidR="00517711" w:rsidRDefault="00517711">
      <w:pPr>
        <w:pStyle w:val="ae"/>
        <w:ind w:firstLine="709"/>
        <w:jc w:val="center"/>
        <w:rPr>
          <w:rFonts w:ascii="Times New Roman" w:hAnsi="Times New Roman"/>
          <w:b/>
          <w:sz w:val="24"/>
          <w:szCs w:val="24"/>
        </w:rPr>
      </w:pPr>
    </w:p>
    <w:p w:rsidR="00517711" w:rsidRDefault="00F815BE">
      <w:pPr>
        <w:pStyle w:val="ae"/>
        <w:ind w:firstLine="709"/>
        <w:jc w:val="center"/>
        <w:rPr>
          <w:rFonts w:ascii="Book Antiqua" w:hAnsi="Book Antiqua"/>
          <w:b/>
          <w:sz w:val="26"/>
          <w:szCs w:val="26"/>
        </w:rPr>
      </w:pPr>
      <w:r>
        <w:rPr>
          <w:rFonts w:ascii="Book Antiqua" w:hAnsi="Book Antiqua"/>
          <w:b/>
          <w:sz w:val="26"/>
          <w:szCs w:val="26"/>
        </w:rPr>
        <w:t>ЗНАЧЕНИЕ ИСКУССТВА ГРАВЮРЫ ГОРОДА ЦЗИСИ ДЛЯ МЕЖДУНАРОДНОГО СОТРУДНИЧЕСТВА В РАМКАХ ПРОЕКТА «ОДИН ПОЯС И ОДИН ПУТЬ»</w:t>
      </w:r>
    </w:p>
    <w:p w:rsidR="00517711" w:rsidRDefault="00517711">
      <w:pPr>
        <w:pStyle w:val="ae"/>
        <w:ind w:firstLine="709"/>
        <w:jc w:val="both"/>
        <w:rPr>
          <w:rFonts w:ascii="Times New Roman" w:hAnsi="Times New Roman"/>
          <w:sz w:val="24"/>
          <w:szCs w:val="24"/>
        </w:rPr>
      </w:pPr>
    </w:p>
    <w:p w:rsidR="00517711" w:rsidRDefault="00F815BE">
      <w:pPr>
        <w:pStyle w:val="ae"/>
        <w:ind w:firstLine="709"/>
        <w:jc w:val="center"/>
        <w:rPr>
          <w:rFonts w:ascii="Arial" w:hAnsi="Arial" w:cs="Arial"/>
          <w:b/>
          <w:sz w:val="24"/>
          <w:szCs w:val="24"/>
        </w:rPr>
      </w:pPr>
      <w:r>
        <w:rPr>
          <w:rFonts w:ascii="Arial" w:hAnsi="Arial" w:cs="Arial"/>
          <w:b/>
          <w:sz w:val="24"/>
          <w:szCs w:val="24"/>
        </w:rPr>
        <w:t>Цзоу Лихуэй (</w:t>
      </w:r>
      <w:r>
        <w:rPr>
          <w:rFonts w:ascii="Arial" w:hAnsi="Arial" w:cs="Arial"/>
          <w:b/>
          <w:sz w:val="24"/>
          <w:szCs w:val="24"/>
          <w:lang w:val="en-US"/>
        </w:rPr>
        <w:t>Zou</w:t>
      </w:r>
      <w:r>
        <w:rPr>
          <w:rFonts w:ascii="Arial" w:hAnsi="Arial" w:cs="Arial"/>
          <w:b/>
          <w:sz w:val="24"/>
          <w:szCs w:val="24"/>
        </w:rPr>
        <w:t xml:space="preserve"> </w:t>
      </w:r>
      <w:r>
        <w:rPr>
          <w:rFonts w:ascii="Arial" w:hAnsi="Arial" w:cs="Arial"/>
          <w:b/>
          <w:sz w:val="24"/>
          <w:szCs w:val="24"/>
          <w:lang w:val="en-US"/>
        </w:rPr>
        <w:t>Lihui</w:t>
      </w:r>
      <w:r>
        <w:rPr>
          <w:rFonts w:ascii="Arial" w:hAnsi="Arial" w:cs="Arial"/>
          <w:b/>
          <w:sz w:val="24"/>
          <w:szCs w:val="24"/>
        </w:rPr>
        <w:t xml:space="preserve">), </w:t>
      </w:r>
    </w:p>
    <w:p w:rsidR="00517711" w:rsidRDefault="00F815BE">
      <w:pPr>
        <w:pStyle w:val="ae"/>
        <w:ind w:firstLine="709"/>
        <w:jc w:val="center"/>
        <w:rPr>
          <w:rFonts w:ascii="Arial" w:hAnsi="Arial" w:cs="Arial"/>
          <w:sz w:val="24"/>
          <w:szCs w:val="24"/>
        </w:rPr>
      </w:pPr>
      <w:r>
        <w:rPr>
          <w:rFonts w:ascii="Arial" w:hAnsi="Arial" w:cs="Arial"/>
          <w:sz w:val="24"/>
          <w:szCs w:val="24"/>
        </w:rPr>
        <w:t>канд. полит. наук, доцент</w:t>
      </w:r>
    </w:p>
    <w:p w:rsidR="00517711" w:rsidRDefault="00517711">
      <w:pPr>
        <w:pStyle w:val="ae"/>
        <w:ind w:firstLine="709"/>
        <w:jc w:val="center"/>
        <w:rPr>
          <w:rFonts w:ascii="Arial" w:hAnsi="Arial" w:cs="Arial"/>
          <w:sz w:val="24"/>
          <w:szCs w:val="24"/>
        </w:rPr>
      </w:pPr>
    </w:p>
    <w:p w:rsidR="00517711" w:rsidRDefault="00F815BE">
      <w:pPr>
        <w:pStyle w:val="ae"/>
        <w:ind w:firstLine="709"/>
        <w:jc w:val="center"/>
        <w:rPr>
          <w:rFonts w:ascii="Arial" w:hAnsi="Arial" w:cs="Arial"/>
          <w:b/>
          <w:sz w:val="24"/>
          <w:szCs w:val="24"/>
        </w:rPr>
      </w:pPr>
      <w:r>
        <w:rPr>
          <w:rFonts w:ascii="Arial" w:hAnsi="Arial" w:cs="Arial"/>
          <w:sz w:val="24"/>
          <w:szCs w:val="24"/>
        </w:rPr>
        <w:t xml:space="preserve"> </w:t>
      </w:r>
      <w:r>
        <w:rPr>
          <w:rFonts w:ascii="Arial" w:hAnsi="Arial" w:cs="Arial"/>
          <w:b/>
          <w:sz w:val="24"/>
          <w:szCs w:val="24"/>
        </w:rPr>
        <w:t>Мэн Сяньхуа (</w:t>
      </w:r>
      <w:r>
        <w:rPr>
          <w:rFonts w:ascii="Arial" w:hAnsi="Arial" w:cs="Arial"/>
          <w:b/>
          <w:sz w:val="24"/>
          <w:szCs w:val="24"/>
          <w:lang w:val="en-US"/>
        </w:rPr>
        <w:t>Meng</w:t>
      </w:r>
      <w:r>
        <w:rPr>
          <w:rFonts w:ascii="Arial" w:hAnsi="Arial" w:cs="Arial"/>
          <w:b/>
          <w:sz w:val="24"/>
          <w:szCs w:val="24"/>
        </w:rPr>
        <w:t xml:space="preserve"> </w:t>
      </w:r>
      <w:r>
        <w:rPr>
          <w:rFonts w:ascii="Arial" w:hAnsi="Arial" w:cs="Arial"/>
          <w:b/>
          <w:sz w:val="24"/>
          <w:szCs w:val="24"/>
          <w:lang w:val="en-US"/>
        </w:rPr>
        <w:t>Xianhua</w:t>
      </w:r>
      <w:r>
        <w:rPr>
          <w:rFonts w:ascii="Arial" w:hAnsi="Arial" w:cs="Arial"/>
          <w:b/>
          <w:sz w:val="24"/>
          <w:szCs w:val="24"/>
        </w:rPr>
        <w:t>)</w:t>
      </w:r>
    </w:p>
    <w:p w:rsidR="00517711" w:rsidRDefault="00F815BE">
      <w:pPr>
        <w:pStyle w:val="ae"/>
        <w:ind w:firstLine="709"/>
        <w:jc w:val="center"/>
        <w:rPr>
          <w:rFonts w:ascii="Arial" w:hAnsi="Arial" w:cs="Arial"/>
          <w:sz w:val="24"/>
          <w:szCs w:val="24"/>
        </w:rPr>
      </w:pPr>
      <w:r>
        <w:rPr>
          <w:rFonts w:ascii="Arial" w:hAnsi="Arial" w:cs="Arial"/>
          <w:sz w:val="24"/>
          <w:szCs w:val="24"/>
        </w:rPr>
        <w:t xml:space="preserve">магистр, профессор </w:t>
      </w:r>
    </w:p>
    <w:p w:rsidR="00517711" w:rsidRDefault="00517711">
      <w:pPr>
        <w:pStyle w:val="ae"/>
        <w:ind w:firstLine="709"/>
        <w:jc w:val="center"/>
        <w:rPr>
          <w:rFonts w:ascii="Arial" w:hAnsi="Arial" w:cs="Arial"/>
          <w:sz w:val="24"/>
          <w:szCs w:val="24"/>
        </w:rPr>
      </w:pPr>
    </w:p>
    <w:p w:rsidR="00517711" w:rsidRDefault="00F815BE">
      <w:pPr>
        <w:pStyle w:val="ae"/>
        <w:ind w:firstLine="709"/>
        <w:jc w:val="center"/>
        <w:rPr>
          <w:rFonts w:ascii="Arial" w:hAnsi="Arial" w:cs="Arial"/>
          <w:b/>
          <w:sz w:val="24"/>
          <w:szCs w:val="24"/>
        </w:rPr>
      </w:pPr>
      <w:r>
        <w:rPr>
          <w:rFonts w:ascii="Arial" w:hAnsi="Arial" w:cs="Arial"/>
          <w:b/>
          <w:sz w:val="24"/>
          <w:szCs w:val="24"/>
        </w:rPr>
        <w:t>Лейченко Ольга Федоровна (</w:t>
      </w:r>
      <w:r>
        <w:rPr>
          <w:rFonts w:ascii="Arial" w:hAnsi="Arial" w:cs="Arial"/>
          <w:b/>
          <w:sz w:val="24"/>
          <w:szCs w:val="24"/>
          <w:lang w:val="en-US"/>
        </w:rPr>
        <w:t>Olga</w:t>
      </w:r>
      <w:r>
        <w:rPr>
          <w:rFonts w:ascii="Arial" w:hAnsi="Arial" w:cs="Arial"/>
          <w:b/>
          <w:sz w:val="24"/>
          <w:szCs w:val="24"/>
        </w:rPr>
        <w:t xml:space="preserve"> </w:t>
      </w:r>
      <w:r>
        <w:rPr>
          <w:rFonts w:ascii="Arial" w:hAnsi="Arial" w:cs="Arial"/>
          <w:b/>
          <w:sz w:val="24"/>
          <w:szCs w:val="24"/>
          <w:lang w:val="en-US"/>
        </w:rPr>
        <w:t>F</w:t>
      </w:r>
      <w:r>
        <w:rPr>
          <w:rFonts w:ascii="Arial" w:hAnsi="Arial" w:cs="Arial"/>
          <w:b/>
          <w:sz w:val="24"/>
          <w:szCs w:val="24"/>
        </w:rPr>
        <w:t xml:space="preserve">. </w:t>
      </w:r>
      <w:r>
        <w:rPr>
          <w:rFonts w:ascii="Arial" w:hAnsi="Arial" w:cs="Arial"/>
          <w:b/>
          <w:sz w:val="24"/>
          <w:szCs w:val="24"/>
          <w:lang w:val="en-US"/>
        </w:rPr>
        <w:t>Leichenko</w:t>
      </w:r>
      <w:r>
        <w:rPr>
          <w:rFonts w:ascii="Arial" w:hAnsi="Arial" w:cs="Arial"/>
          <w:b/>
          <w:sz w:val="24"/>
          <w:szCs w:val="24"/>
        </w:rPr>
        <w:t>),</w:t>
      </w:r>
    </w:p>
    <w:p w:rsidR="00517711" w:rsidRDefault="00F815BE">
      <w:pPr>
        <w:pStyle w:val="ae"/>
        <w:ind w:firstLine="709"/>
        <w:jc w:val="center"/>
        <w:rPr>
          <w:rFonts w:ascii="Arial" w:hAnsi="Arial" w:cs="Arial"/>
          <w:sz w:val="24"/>
          <w:szCs w:val="24"/>
        </w:rPr>
      </w:pPr>
      <w:r>
        <w:rPr>
          <w:rFonts w:ascii="Arial" w:hAnsi="Arial" w:cs="Arial"/>
          <w:sz w:val="24"/>
          <w:szCs w:val="24"/>
        </w:rPr>
        <w:t>канд. полит. наук, доцент</w:t>
      </w:r>
    </w:p>
    <w:p w:rsidR="00517711" w:rsidRDefault="00517711">
      <w:pPr>
        <w:pStyle w:val="ae"/>
        <w:ind w:firstLine="709"/>
        <w:jc w:val="center"/>
        <w:rPr>
          <w:rFonts w:ascii="Arial" w:hAnsi="Arial" w:cs="Arial"/>
          <w:sz w:val="24"/>
          <w:szCs w:val="24"/>
        </w:rPr>
      </w:pPr>
    </w:p>
    <w:p w:rsidR="00517711" w:rsidRDefault="00F815BE">
      <w:pPr>
        <w:pStyle w:val="ae"/>
        <w:ind w:firstLine="709"/>
        <w:jc w:val="center"/>
        <w:rPr>
          <w:rFonts w:ascii="Arial" w:hAnsi="Arial" w:cs="Arial"/>
          <w:b/>
          <w:sz w:val="24"/>
          <w:szCs w:val="24"/>
        </w:rPr>
      </w:pPr>
      <w:r>
        <w:rPr>
          <w:rFonts w:ascii="Arial" w:hAnsi="Arial" w:cs="Arial"/>
          <w:b/>
          <w:sz w:val="24"/>
          <w:szCs w:val="24"/>
        </w:rPr>
        <w:t>Чжан Фэйянь (</w:t>
      </w:r>
      <w:r>
        <w:rPr>
          <w:rFonts w:ascii="Arial" w:hAnsi="Arial" w:cs="Arial"/>
          <w:b/>
          <w:sz w:val="24"/>
          <w:szCs w:val="24"/>
          <w:lang w:val="en-US"/>
        </w:rPr>
        <w:t>Zhang</w:t>
      </w:r>
      <w:r>
        <w:rPr>
          <w:rFonts w:ascii="Arial" w:hAnsi="Arial" w:cs="Arial"/>
          <w:b/>
          <w:sz w:val="24"/>
          <w:szCs w:val="24"/>
        </w:rPr>
        <w:t xml:space="preserve"> </w:t>
      </w:r>
      <w:r>
        <w:rPr>
          <w:rFonts w:ascii="Arial" w:hAnsi="Arial" w:cs="Arial"/>
          <w:b/>
          <w:sz w:val="24"/>
          <w:szCs w:val="24"/>
          <w:lang w:val="en-US"/>
        </w:rPr>
        <w:t>Feiyan</w:t>
      </w:r>
      <w:r>
        <w:rPr>
          <w:rFonts w:ascii="Arial" w:hAnsi="Arial" w:cs="Arial"/>
          <w:b/>
          <w:sz w:val="24"/>
          <w:szCs w:val="24"/>
        </w:rPr>
        <w:t xml:space="preserve">), </w:t>
      </w:r>
    </w:p>
    <w:p w:rsidR="00517711" w:rsidRDefault="00F815BE">
      <w:pPr>
        <w:pStyle w:val="ae"/>
        <w:ind w:firstLine="709"/>
        <w:jc w:val="center"/>
        <w:rPr>
          <w:rFonts w:ascii="Arial" w:hAnsi="Arial" w:cs="Arial"/>
          <w:sz w:val="24"/>
          <w:szCs w:val="24"/>
        </w:rPr>
      </w:pPr>
      <w:r>
        <w:rPr>
          <w:rFonts w:ascii="Arial" w:hAnsi="Arial" w:cs="Arial"/>
          <w:sz w:val="24"/>
          <w:szCs w:val="24"/>
        </w:rPr>
        <w:t>магистр, доцент</w:t>
      </w:r>
    </w:p>
    <w:p w:rsidR="00517711" w:rsidRDefault="00517711">
      <w:pPr>
        <w:pStyle w:val="ae"/>
        <w:ind w:firstLine="709"/>
        <w:jc w:val="center"/>
        <w:rPr>
          <w:rFonts w:ascii="Times New Roman" w:hAnsi="Times New Roman"/>
          <w:i/>
          <w:sz w:val="24"/>
          <w:szCs w:val="24"/>
        </w:rPr>
      </w:pPr>
    </w:p>
    <w:p w:rsidR="00517711" w:rsidRDefault="00F815BE">
      <w:pPr>
        <w:pStyle w:val="ae"/>
        <w:ind w:firstLine="709"/>
        <w:jc w:val="center"/>
        <w:rPr>
          <w:rFonts w:ascii="Times New Roman" w:hAnsi="Times New Roman"/>
          <w:i/>
          <w:sz w:val="21"/>
          <w:szCs w:val="21"/>
        </w:rPr>
      </w:pPr>
      <w:r>
        <w:rPr>
          <w:rFonts w:ascii="Times New Roman" w:hAnsi="Times New Roman"/>
          <w:i/>
          <w:sz w:val="21"/>
          <w:szCs w:val="21"/>
        </w:rPr>
        <w:t>Хэйлунцзянский государственный технологический институт</w:t>
      </w:r>
    </w:p>
    <w:p w:rsidR="00517711" w:rsidRDefault="00517711">
      <w:pPr>
        <w:pStyle w:val="ae"/>
        <w:ind w:firstLine="709"/>
        <w:jc w:val="center"/>
        <w:rPr>
          <w:rFonts w:ascii="Times New Roman" w:hAnsi="Times New Roman"/>
          <w:sz w:val="24"/>
          <w:szCs w:val="24"/>
        </w:rPr>
      </w:pPr>
    </w:p>
    <w:p w:rsidR="00517711" w:rsidRDefault="00F815BE">
      <w:pPr>
        <w:pStyle w:val="ae"/>
        <w:ind w:firstLine="709"/>
        <w:jc w:val="center"/>
        <w:rPr>
          <w:rFonts w:ascii="Times New Roman" w:hAnsi="Times New Roman"/>
          <w:sz w:val="20"/>
          <w:szCs w:val="24"/>
          <w:shd w:val="clear" w:color="auto" w:fill="FFFFFF"/>
          <w:lang w:val="en-US"/>
        </w:rPr>
      </w:pPr>
      <w:r>
        <w:rPr>
          <w:rFonts w:ascii="Times New Roman" w:hAnsi="Times New Roman"/>
          <w:sz w:val="20"/>
          <w:szCs w:val="24"/>
          <w:lang w:val="en-US"/>
        </w:rPr>
        <w:t>E-mail:</w:t>
      </w:r>
      <w:r>
        <w:rPr>
          <w:rFonts w:ascii="Times New Roman" w:hAnsi="Times New Roman"/>
          <w:sz w:val="20"/>
          <w:szCs w:val="24"/>
          <w:shd w:val="clear" w:color="auto" w:fill="FFFFFF"/>
          <w:lang w:val="en-US"/>
        </w:rPr>
        <w:t xml:space="preserve"> </w:t>
      </w:r>
      <w:hyperlink r:id="rId275" w:history="1">
        <w:r>
          <w:rPr>
            <w:rStyle w:val="aa"/>
            <w:rFonts w:ascii="Times New Roman" w:hAnsi="Times New Roman"/>
            <w:color w:val="000000"/>
            <w:sz w:val="20"/>
            <w:szCs w:val="24"/>
            <w:shd w:val="clear" w:color="auto" w:fill="FFFFFF"/>
            <w:lang w:val="en-US"/>
          </w:rPr>
          <w:t>zouli2864@mail.ru</w:t>
        </w:r>
      </w:hyperlink>
      <w:r>
        <w:rPr>
          <w:rFonts w:ascii="Times New Roman" w:hAnsi="Times New Roman"/>
          <w:color w:val="000000"/>
          <w:sz w:val="20"/>
          <w:szCs w:val="24"/>
          <w:shd w:val="clear" w:color="auto" w:fill="FFFFFF"/>
          <w:lang w:val="en-US"/>
        </w:rPr>
        <w:t>;</w:t>
      </w:r>
      <w:r>
        <w:rPr>
          <w:rFonts w:ascii="Times New Roman" w:hAnsi="Times New Roman"/>
          <w:sz w:val="20"/>
          <w:szCs w:val="24"/>
          <w:shd w:val="clear" w:color="auto" w:fill="FFFFFF"/>
          <w:lang w:val="en-US"/>
        </w:rPr>
        <w:t xml:space="preserve"> </w:t>
      </w:r>
      <w:r>
        <w:rPr>
          <w:rFonts w:ascii="Times New Roman" w:hAnsi="Times New Roman"/>
          <w:sz w:val="20"/>
          <w:szCs w:val="24"/>
          <w:shd w:val="clear" w:color="auto" w:fill="FFFFFF"/>
        </w:rPr>
        <w:t>тел</w:t>
      </w:r>
      <w:r>
        <w:rPr>
          <w:rFonts w:ascii="Times New Roman" w:hAnsi="Times New Roman"/>
          <w:sz w:val="20"/>
          <w:szCs w:val="24"/>
          <w:shd w:val="clear" w:color="auto" w:fill="FFFFFF"/>
          <w:lang w:val="en-US"/>
        </w:rPr>
        <w:t>. +13009792864</w:t>
      </w:r>
    </w:p>
    <w:p w:rsidR="00517711" w:rsidRDefault="00F815BE">
      <w:pPr>
        <w:pStyle w:val="ae"/>
        <w:ind w:firstLine="709"/>
        <w:jc w:val="center"/>
        <w:rPr>
          <w:rFonts w:ascii="Times New Roman" w:hAnsi="Times New Roman"/>
          <w:sz w:val="20"/>
          <w:szCs w:val="24"/>
          <w:lang w:val="en-US"/>
        </w:rPr>
      </w:pPr>
      <w:r>
        <w:rPr>
          <w:rFonts w:ascii="Times New Roman" w:hAnsi="Times New Roman"/>
          <w:sz w:val="20"/>
          <w:szCs w:val="24"/>
        </w:rPr>
        <w:t>ул</w:t>
      </w:r>
      <w:r>
        <w:rPr>
          <w:rFonts w:ascii="Times New Roman" w:hAnsi="Times New Roman"/>
          <w:sz w:val="20"/>
          <w:szCs w:val="24"/>
          <w:lang w:val="en-US"/>
        </w:rPr>
        <w:t xml:space="preserve">. </w:t>
      </w:r>
      <w:r>
        <w:rPr>
          <w:rFonts w:ascii="Times New Roman" w:hAnsi="Times New Roman"/>
          <w:sz w:val="20"/>
          <w:szCs w:val="24"/>
        </w:rPr>
        <w:t>Хэпин</w:t>
      </w:r>
      <w:r>
        <w:rPr>
          <w:rFonts w:ascii="Times New Roman" w:hAnsi="Times New Roman"/>
          <w:sz w:val="20"/>
          <w:szCs w:val="24"/>
          <w:lang w:val="en-US"/>
        </w:rPr>
        <w:t xml:space="preserve"> 99, </w:t>
      </w:r>
      <w:r>
        <w:rPr>
          <w:rFonts w:ascii="Times New Roman" w:hAnsi="Times New Roman"/>
          <w:sz w:val="20"/>
          <w:szCs w:val="24"/>
        </w:rPr>
        <w:t>г</w:t>
      </w:r>
      <w:r>
        <w:rPr>
          <w:rFonts w:ascii="Times New Roman" w:hAnsi="Times New Roman"/>
          <w:sz w:val="20"/>
          <w:szCs w:val="24"/>
          <w:lang w:val="en-US"/>
        </w:rPr>
        <w:t xml:space="preserve">. </w:t>
      </w:r>
      <w:r>
        <w:rPr>
          <w:rFonts w:ascii="Times New Roman" w:hAnsi="Times New Roman"/>
          <w:sz w:val="20"/>
          <w:szCs w:val="24"/>
        </w:rPr>
        <w:t>Цзиси</w:t>
      </w:r>
      <w:r>
        <w:rPr>
          <w:rFonts w:ascii="Times New Roman" w:hAnsi="Times New Roman"/>
          <w:sz w:val="20"/>
          <w:szCs w:val="24"/>
          <w:lang w:val="en-US"/>
        </w:rPr>
        <w:t xml:space="preserve">, </w:t>
      </w:r>
      <w:r>
        <w:rPr>
          <w:rFonts w:ascii="Times New Roman" w:hAnsi="Times New Roman"/>
          <w:sz w:val="20"/>
          <w:szCs w:val="24"/>
        </w:rPr>
        <w:t>район</w:t>
      </w:r>
      <w:r>
        <w:rPr>
          <w:rFonts w:ascii="Times New Roman" w:hAnsi="Times New Roman"/>
          <w:sz w:val="20"/>
          <w:szCs w:val="24"/>
          <w:lang w:val="en-US"/>
        </w:rPr>
        <w:t xml:space="preserve"> </w:t>
      </w:r>
      <w:r>
        <w:rPr>
          <w:rFonts w:ascii="Times New Roman" w:hAnsi="Times New Roman"/>
          <w:sz w:val="20"/>
          <w:szCs w:val="24"/>
        </w:rPr>
        <w:t>Цзигуань</w:t>
      </w:r>
      <w:r>
        <w:rPr>
          <w:rFonts w:ascii="Times New Roman" w:hAnsi="Times New Roman"/>
          <w:sz w:val="20"/>
          <w:szCs w:val="24"/>
          <w:lang w:val="en-US"/>
        </w:rPr>
        <w:t xml:space="preserve">, </w:t>
      </w:r>
      <w:r>
        <w:rPr>
          <w:rFonts w:ascii="Times New Roman" w:hAnsi="Times New Roman"/>
          <w:sz w:val="20"/>
          <w:szCs w:val="24"/>
        </w:rPr>
        <w:t>КНР</w:t>
      </w:r>
      <w:r>
        <w:rPr>
          <w:rFonts w:ascii="Times New Roman" w:hAnsi="Times New Roman"/>
          <w:sz w:val="20"/>
          <w:szCs w:val="24"/>
          <w:lang w:val="en-US"/>
        </w:rPr>
        <w:t xml:space="preserve">, 158100 </w:t>
      </w:r>
    </w:p>
    <w:p w:rsidR="00517711" w:rsidRDefault="00517711">
      <w:pPr>
        <w:pStyle w:val="ae"/>
        <w:ind w:firstLine="709"/>
        <w:jc w:val="center"/>
        <w:rPr>
          <w:rFonts w:ascii="Times New Roman" w:hAnsi="Times New Roman"/>
          <w:sz w:val="24"/>
          <w:szCs w:val="24"/>
          <w:lang w:val="en-US"/>
        </w:rPr>
      </w:pPr>
    </w:p>
    <w:p w:rsidR="00517711" w:rsidRDefault="00F815BE">
      <w:pPr>
        <w:pStyle w:val="ae"/>
        <w:ind w:firstLine="709"/>
        <w:jc w:val="center"/>
        <w:rPr>
          <w:rFonts w:ascii="Arial" w:hAnsi="Arial" w:cs="Arial"/>
          <w:b/>
          <w:sz w:val="24"/>
          <w:szCs w:val="24"/>
          <w:lang w:val="en-US"/>
        </w:rPr>
      </w:pPr>
      <w:r>
        <w:rPr>
          <w:rFonts w:ascii="Arial" w:hAnsi="Arial" w:cs="Arial"/>
          <w:b/>
          <w:sz w:val="24"/>
          <w:szCs w:val="24"/>
        </w:rPr>
        <w:t>Иванова</w:t>
      </w:r>
      <w:r>
        <w:rPr>
          <w:rFonts w:ascii="Arial" w:hAnsi="Arial" w:cs="Arial"/>
          <w:b/>
          <w:sz w:val="24"/>
          <w:szCs w:val="24"/>
          <w:lang w:val="en-US"/>
        </w:rPr>
        <w:t xml:space="preserve"> </w:t>
      </w:r>
      <w:r>
        <w:rPr>
          <w:rFonts w:ascii="Arial" w:hAnsi="Arial" w:cs="Arial"/>
          <w:b/>
          <w:sz w:val="24"/>
          <w:szCs w:val="24"/>
        </w:rPr>
        <w:t>Ольга</w:t>
      </w:r>
      <w:r>
        <w:rPr>
          <w:rFonts w:ascii="Arial" w:hAnsi="Arial" w:cs="Arial"/>
          <w:b/>
          <w:sz w:val="24"/>
          <w:szCs w:val="24"/>
          <w:lang w:val="en-US"/>
        </w:rPr>
        <w:t xml:space="preserve"> </w:t>
      </w:r>
      <w:r>
        <w:rPr>
          <w:rFonts w:ascii="Arial" w:hAnsi="Arial" w:cs="Arial"/>
          <w:b/>
          <w:sz w:val="24"/>
          <w:szCs w:val="24"/>
        </w:rPr>
        <w:t>Гениевна</w:t>
      </w:r>
      <w:r>
        <w:rPr>
          <w:rFonts w:ascii="Arial" w:hAnsi="Arial" w:cs="Arial"/>
          <w:b/>
          <w:sz w:val="24"/>
          <w:szCs w:val="24"/>
          <w:lang w:val="en-US"/>
        </w:rPr>
        <w:t xml:space="preserve"> (Olga G. Ivanova),</w:t>
      </w:r>
    </w:p>
    <w:p w:rsidR="00517711" w:rsidRDefault="00F815BE">
      <w:pPr>
        <w:pStyle w:val="ae"/>
        <w:tabs>
          <w:tab w:val="center" w:pos="5173"/>
          <w:tab w:val="left" w:pos="7065"/>
        </w:tabs>
        <w:ind w:firstLine="709"/>
        <w:rPr>
          <w:rFonts w:ascii="Arial" w:hAnsi="Arial" w:cs="Arial"/>
          <w:sz w:val="24"/>
          <w:szCs w:val="24"/>
        </w:rPr>
      </w:pPr>
      <w:r>
        <w:rPr>
          <w:rFonts w:ascii="Arial" w:hAnsi="Arial" w:cs="Arial"/>
          <w:sz w:val="24"/>
          <w:szCs w:val="24"/>
          <w:lang w:val="en-US"/>
        </w:rPr>
        <w:tab/>
      </w:r>
      <w:r>
        <w:rPr>
          <w:rFonts w:ascii="Arial" w:hAnsi="Arial" w:cs="Arial"/>
          <w:sz w:val="24"/>
          <w:szCs w:val="24"/>
        </w:rPr>
        <w:t>доцент</w:t>
      </w:r>
      <w:r>
        <w:rPr>
          <w:rFonts w:ascii="Arial" w:hAnsi="Arial" w:cs="Arial"/>
          <w:sz w:val="24"/>
          <w:szCs w:val="24"/>
        </w:rPr>
        <w:tab/>
      </w:r>
    </w:p>
    <w:p w:rsidR="00517711" w:rsidRDefault="00517711">
      <w:pPr>
        <w:pStyle w:val="ae"/>
        <w:ind w:firstLine="709"/>
        <w:jc w:val="center"/>
        <w:rPr>
          <w:rFonts w:ascii="Times New Roman" w:hAnsi="Times New Roman"/>
          <w:i/>
          <w:sz w:val="24"/>
          <w:szCs w:val="24"/>
        </w:rPr>
      </w:pPr>
    </w:p>
    <w:p w:rsidR="00517711" w:rsidRDefault="00F815BE">
      <w:pPr>
        <w:pStyle w:val="ae"/>
        <w:ind w:firstLine="709"/>
        <w:jc w:val="center"/>
        <w:rPr>
          <w:rFonts w:ascii="Times New Roman" w:hAnsi="Times New Roman"/>
          <w:sz w:val="21"/>
          <w:szCs w:val="21"/>
        </w:rPr>
      </w:pPr>
      <w:r>
        <w:rPr>
          <w:rFonts w:ascii="Times New Roman" w:hAnsi="Times New Roman"/>
          <w:i/>
          <w:sz w:val="21"/>
          <w:szCs w:val="21"/>
        </w:rPr>
        <w:t>Владивостокский государственный университет экономики и сервиса, Россия, Владивосток</w:t>
      </w:r>
      <w:r>
        <w:rPr>
          <w:rFonts w:ascii="Times New Roman" w:hAnsi="Times New Roman"/>
          <w:sz w:val="21"/>
          <w:szCs w:val="21"/>
        </w:rPr>
        <w:t xml:space="preserve"> </w:t>
      </w:r>
    </w:p>
    <w:p w:rsidR="00517711" w:rsidRDefault="00517711">
      <w:pPr>
        <w:pStyle w:val="ae"/>
        <w:ind w:firstLine="709"/>
        <w:jc w:val="center"/>
        <w:rPr>
          <w:rFonts w:ascii="Times New Roman" w:hAnsi="Times New Roman"/>
          <w:sz w:val="24"/>
          <w:szCs w:val="24"/>
        </w:rPr>
      </w:pPr>
    </w:p>
    <w:p w:rsidR="00517711" w:rsidRDefault="00F815BE">
      <w:pPr>
        <w:pStyle w:val="ae"/>
        <w:ind w:firstLine="709"/>
        <w:jc w:val="center"/>
        <w:rPr>
          <w:rFonts w:ascii="Times New Roman" w:hAnsi="Times New Roman"/>
          <w:sz w:val="20"/>
          <w:szCs w:val="24"/>
        </w:rPr>
      </w:pPr>
      <w:r>
        <w:rPr>
          <w:rFonts w:ascii="Times New Roman" w:hAnsi="Times New Roman"/>
          <w:sz w:val="20"/>
          <w:szCs w:val="24"/>
          <w:lang w:val="en-US"/>
        </w:rPr>
        <w:t>E</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 3</w:t>
      </w:r>
      <w:r>
        <w:rPr>
          <w:rFonts w:ascii="Times New Roman" w:hAnsi="Times New Roman"/>
          <w:sz w:val="20"/>
          <w:szCs w:val="24"/>
          <w:lang w:val="en-US"/>
        </w:rPr>
        <w:t>wishes</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w:t>
      </w:r>
      <w:r>
        <w:rPr>
          <w:rFonts w:ascii="Times New Roman" w:hAnsi="Times New Roman"/>
          <w:sz w:val="20"/>
          <w:szCs w:val="24"/>
          <w:lang w:val="en-US"/>
        </w:rPr>
        <w:t>ru</w:t>
      </w:r>
    </w:p>
    <w:p w:rsidR="00517711" w:rsidRDefault="00F815BE">
      <w:pPr>
        <w:pStyle w:val="ae"/>
        <w:ind w:firstLine="709"/>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517711">
      <w:pPr>
        <w:pStyle w:val="ae"/>
        <w:ind w:firstLine="709"/>
        <w:jc w:val="center"/>
        <w:rPr>
          <w:rFonts w:ascii="Times New Roman" w:hAnsi="Times New Roman"/>
          <w:sz w:val="24"/>
          <w:szCs w:val="24"/>
        </w:rPr>
      </w:pPr>
    </w:p>
    <w:p w:rsidR="00517711" w:rsidRDefault="00517711">
      <w:pPr>
        <w:pStyle w:val="ae"/>
        <w:ind w:firstLine="709"/>
        <w:jc w:val="both"/>
        <w:rPr>
          <w:rFonts w:ascii="Times New Roman" w:hAnsi="Times New Roman"/>
          <w:sz w:val="24"/>
          <w:szCs w:val="24"/>
        </w:rPr>
      </w:pPr>
    </w:p>
    <w:p w:rsidR="00517711" w:rsidRDefault="00F815BE">
      <w:pPr>
        <w:pStyle w:val="ae"/>
        <w:ind w:firstLine="709"/>
        <w:jc w:val="both"/>
        <w:rPr>
          <w:rFonts w:ascii="Times New Roman" w:hAnsi="Times New Roman"/>
          <w:i/>
          <w:color w:val="000000"/>
          <w:szCs w:val="24"/>
        </w:rPr>
      </w:pPr>
      <w:r>
        <w:rPr>
          <w:rFonts w:ascii="Times New Roman" w:hAnsi="Times New Roman"/>
          <w:i/>
          <w:szCs w:val="24"/>
        </w:rPr>
        <w:t>Изучая тему</w:t>
      </w:r>
      <w:r>
        <w:rPr>
          <w:i/>
          <w:szCs w:val="24"/>
        </w:rPr>
        <w:t xml:space="preserve"> </w:t>
      </w:r>
      <w:r>
        <w:rPr>
          <w:rFonts w:ascii="Times New Roman" w:hAnsi="Times New Roman"/>
          <w:i/>
          <w:szCs w:val="24"/>
        </w:rPr>
        <w:t xml:space="preserve">Цзисийской гравюры в рамках проекта «Один пояс и один путь», авторы рассматривают тесную связь между искусством гравюры города Цзиси, КНР и общим развитием искусства и культуры на Дальнем Востоке России. В работе проведено исследование значения искусства гравюры города Цзиси в расширении культурного рынка в Дальневосточном регионе. Авторы сосредоточивают свое внимание на изучении </w:t>
      </w:r>
      <w:r>
        <w:rPr>
          <w:rFonts w:ascii="Times New Roman" w:hAnsi="Times New Roman"/>
          <w:i/>
          <w:color w:val="000000"/>
          <w:szCs w:val="24"/>
        </w:rPr>
        <w:t xml:space="preserve">истории гравюры и периодов развития художественной техники гравюры в городе Цзиси. </w:t>
      </w:r>
    </w:p>
    <w:p w:rsidR="00517711" w:rsidRDefault="00F815BE">
      <w:pPr>
        <w:pStyle w:val="ae"/>
        <w:ind w:firstLine="709"/>
        <w:jc w:val="both"/>
        <w:rPr>
          <w:rFonts w:ascii="Times New Roman" w:hAnsi="Times New Roman"/>
          <w:i/>
          <w:szCs w:val="24"/>
        </w:rPr>
      </w:pPr>
      <w:r>
        <w:rPr>
          <w:rFonts w:ascii="Times New Roman" w:hAnsi="Times New Roman"/>
          <w:b/>
          <w:i/>
          <w:szCs w:val="24"/>
        </w:rPr>
        <w:t xml:space="preserve">Ключевые слова и словосочетания: </w:t>
      </w:r>
      <w:r>
        <w:rPr>
          <w:rFonts w:ascii="Times New Roman" w:hAnsi="Times New Roman"/>
          <w:i/>
          <w:szCs w:val="24"/>
        </w:rPr>
        <w:t>гравюра города Цзиси, Китай, «Шелковый путь», «Один пояс и один путь», культурное</w:t>
      </w:r>
      <w:r>
        <w:rPr>
          <w:rFonts w:ascii="Times New Roman" w:hAnsi="Times New Roman"/>
          <w:i/>
          <w:color w:val="FF0000"/>
          <w:szCs w:val="24"/>
        </w:rPr>
        <w:t xml:space="preserve"> </w:t>
      </w:r>
      <w:r>
        <w:rPr>
          <w:rFonts w:ascii="Times New Roman" w:hAnsi="Times New Roman"/>
          <w:i/>
          <w:szCs w:val="24"/>
        </w:rPr>
        <w:t xml:space="preserve">сотрудничество </w:t>
      </w:r>
    </w:p>
    <w:p w:rsidR="00517711" w:rsidRDefault="00517711">
      <w:pPr>
        <w:pStyle w:val="ae"/>
        <w:ind w:firstLine="709"/>
        <w:jc w:val="center"/>
        <w:rPr>
          <w:rFonts w:ascii="Times New Roman" w:hAnsi="Times New Roman"/>
          <w:b/>
          <w:sz w:val="24"/>
          <w:szCs w:val="24"/>
        </w:rPr>
      </w:pPr>
    </w:p>
    <w:p w:rsidR="00517711" w:rsidRDefault="00F815BE">
      <w:pPr>
        <w:pStyle w:val="ae"/>
        <w:ind w:firstLine="709"/>
        <w:jc w:val="center"/>
        <w:rPr>
          <w:rFonts w:ascii="Book Antiqua" w:hAnsi="Book Antiqua"/>
          <w:b/>
          <w:sz w:val="26"/>
          <w:szCs w:val="26"/>
          <w:lang w:val="en-US"/>
        </w:rPr>
      </w:pPr>
      <w:r>
        <w:rPr>
          <w:rFonts w:ascii="Book Antiqua" w:hAnsi="Book Antiqua"/>
          <w:b/>
          <w:sz w:val="26"/>
          <w:szCs w:val="26"/>
          <w:lang w:val="en-US"/>
        </w:rPr>
        <w:t>JIXI ENGRAVING IMPORTANCE FOR INTERNATIONAL COOPERATION IN THE FRAMEWORK</w:t>
      </w:r>
    </w:p>
    <w:p w:rsidR="00517711" w:rsidRDefault="00F815BE">
      <w:pPr>
        <w:pStyle w:val="ae"/>
        <w:ind w:firstLine="709"/>
        <w:jc w:val="center"/>
        <w:rPr>
          <w:rFonts w:ascii="Book Antiqua" w:hAnsi="Book Antiqua"/>
          <w:i/>
          <w:sz w:val="26"/>
          <w:szCs w:val="26"/>
          <w:lang w:val="en-US"/>
        </w:rPr>
      </w:pPr>
      <w:r>
        <w:rPr>
          <w:rFonts w:ascii="Book Antiqua" w:hAnsi="Book Antiqua"/>
          <w:b/>
          <w:sz w:val="26"/>
          <w:szCs w:val="26"/>
          <w:lang w:val="en-US"/>
        </w:rPr>
        <w:t xml:space="preserve">OF </w:t>
      </w:r>
      <w:r>
        <w:rPr>
          <w:rFonts w:ascii="Book Antiqua" w:hAnsi="Book Antiqua"/>
          <w:b/>
          <w:i/>
          <w:sz w:val="26"/>
          <w:szCs w:val="26"/>
          <w:lang w:val="en-US"/>
        </w:rPr>
        <w:t>ONE BELT AND ONE WAY</w:t>
      </w:r>
    </w:p>
    <w:p w:rsidR="00517711" w:rsidRDefault="00517711">
      <w:pPr>
        <w:pStyle w:val="ae"/>
        <w:ind w:firstLine="709"/>
        <w:jc w:val="both"/>
        <w:rPr>
          <w:rFonts w:ascii="Times New Roman" w:hAnsi="Times New Roman"/>
          <w:i/>
          <w:sz w:val="24"/>
          <w:szCs w:val="24"/>
          <w:lang w:val="en-US"/>
        </w:rPr>
      </w:pPr>
    </w:p>
    <w:p w:rsidR="00517711" w:rsidRDefault="00F815BE">
      <w:pPr>
        <w:pStyle w:val="ae"/>
        <w:ind w:firstLine="709"/>
        <w:jc w:val="both"/>
        <w:rPr>
          <w:rFonts w:ascii="Times New Roman" w:hAnsi="Times New Roman"/>
          <w:i/>
          <w:szCs w:val="24"/>
          <w:lang w:val="en-US"/>
        </w:rPr>
      </w:pPr>
      <w:r>
        <w:rPr>
          <w:rFonts w:ascii="Times New Roman" w:hAnsi="Times New Roman"/>
          <w:i/>
          <w:szCs w:val="24"/>
          <w:lang w:val="en-US"/>
        </w:rPr>
        <w:t>Studying the theme of The Jixi engraving in the framework of the project One belt and one road, the authors consider the close relationship between the engraving of the city of Jixi, China and the development of art and culture in the Far East of Russia. The paper studies the significance of the art of engraving the city of Jixi in the expansion of the cultural market in the far Eastern region. The authors focus their attention on the study of the history and development periods of artistic engraving techniques in the city of Jixi.</w:t>
      </w:r>
    </w:p>
    <w:p w:rsidR="00517711" w:rsidRDefault="00F815BE">
      <w:pPr>
        <w:pStyle w:val="ae"/>
        <w:ind w:firstLine="709"/>
        <w:jc w:val="both"/>
        <w:rPr>
          <w:rFonts w:ascii="Times New Roman" w:hAnsi="Times New Roman"/>
          <w:i/>
          <w:szCs w:val="24"/>
          <w:lang w:val="en-US"/>
        </w:rPr>
      </w:pPr>
      <w:r>
        <w:rPr>
          <w:rFonts w:ascii="Times New Roman" w:hAnsi="Times New Roman"/>
          <w:b/>
          <w:i/>
          <w:szCs w:val="24"/>
          <w:lang w:val="en-US"/>
        </w:rPr>
        <w:t>Key words</w:t>
      </w:r>
      <w:r>
        <w:rPr>
          <w:rFonts w:ascii="Times New Roman" w:hAnsi="Times New Roman"/>
          <w:i/>
          <w:szCs w:val="24"/>
          <w:lang w:val="en-US"/>
        </w:rPr>
        <w:t>: engraving Jixi city, China, Silk Road, One belt and one way, cultural cooperation</w:t>
      </w:r>
    </w:p>
    <w:p w:rsidR="00517711" w:rsidRDefault="00517711">
      <w:pPr>
        <w:pStyle w:val="ae"/>
        <w:ind w:firstLine="709"/>
        <w:jc w:val="both"/>
        <w:rPr>
          <w:rFonts w:ascii="Times New Roman" w:hAnsi="Times New Roman" w:cs="Times New Roman"/>
          <w:i/>
          <w:color w:val="000000"/>
          <w:sz w:val="20"/>
          <w:szCs w:val="20"/>
          <w:lang w:val="en-US"/>
        </w:rPr>
      </w:pP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 сентябре 2013 года, выступая с речью в Казахстане, председатель Китайской Народной Республики Си Цзиньпин впервые предложил идею Экономического пояса «Шелковый путь», который охватывает Азию, Европу и Африку. Целью данной идеи является осуществление развития политических контактов, состыковки коммуникаций и инфраструктуры, свободного развития торговых отношений и движения капиталов, сближения людских сердец на принципах совместных консультаций, совместного строительства и совместного использования знаний и технического прогресса. Благодаря этому произойдет улучшение взаимопонимания, сближение позиций и углубление сотрудничества между КНР и Россией. В течение 2013 года были предложены исключительно важные стратегические концепции, в частности, экономический коридор «Бангладеш-Китай-Индия-Мьянма», «экономический пояс Шелкового пути», «Морской Шелковый путь 21-го века».</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Целью данной статьи является изучение аспектов, касающихся китайской гравюры, в общем, и истории развития гравюры города Цзиси, КНР</w:t>
      </w:r>
      <w:r>
        <w:rPr>
          <w:rFonts w:ascii="Times New Roman" w:hAnsi="Times New Roman" w:cs="Times New Roman"/>
          <w:i/>
          <w:color w:val="000000" w:themeColor="text1"/>
          <w:sz w:val="20"/>
          <w:szCs w:val="20"/>
        </w:rPr>
        <w:t xml:space="preserve"> </w:t>
      </w:r>
      <w:r>
        <w:rPr>
          <w:rFonts w:ascii="Times New Roman" w:hAnsi="Times New Roman" w:cs="Times New Roman"/>
          <w:color w:val="000000" w:themeColor="text1"/>
          <w:sz w:val="20"/>
          <w:szCs w:val="20"/>
        </w:rPr>
        <w:t>для расширения взаимных обменов в области художественной культуры, которая является основным направлением устойчивого развития в международных отношениях г. Цзиси на Дальнем Востоке России.</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Задачей работы является исследование возможности международной интеграции данного вида изобразительного искусства в культурное и художественное пространство Дальнего Востока России.</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Актуальность данной темы состоит в том, что в рамках проведенного в 2017 году Форума международного сотрудничества «Один пояс и один путь» открылась возможность такой интеграции нового для России вида искусства – гравюры города Цзиси в результате культурных обменов между университетами города Цзиси и дальневосточными университетами, имеющими художественные направления.</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С самого начала своего появления гравюра стала важным инструментом культурного общения с ее уникальными преимуществами, она стала самым распространённым видом общения в человеческой цивилизации и всемирным культурным языком. Г-н Цзян Лу, директор Комитета по художественным произведениям Китайской ассоциации художников, сказал, что если в мире есть язык, который облегчает всем людям общение друг с другом, то в первую очередь это - искусство. Естественно, сюда входит и искусство гравюры [3, с.136].</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До сегодняшнего дня гравюра была одной из самых популярных и известных видов изобразительного искусства в Европе, США, Японии и других, экономически развитых странах. Это происходит не только из-за уникального способа её изготовления, но также из-за ее повышенной декоративности. Высокое эстетическое качество, единство художественной и практической ценности – все это делает искусство оригинальной авторской гравюры востребованным на рынках искусства.</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С высокой художественной ценностью и рыночной стоимостью китайские гравюры все чаще появляются на международных выставках. По мнению Чжан Юаньфан, бывшего директора Отдела печати Китайской академии искусств, иностранные художники согласны с тем, что китайское печатное искусство, гравюра, очень «сильны» и могут конкурировать с работами на международном уровне. Сегодняшние гравюры Китая имеют свои четкие культурные и национальные особенности, они притягательны и имеют постоянное расширение тематики и повышение изобразительного качества [3, с .136]. </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lastRenderedPageBreak/>
        <w:t xml:space="preserve">Фан Мин, директор Отдела печати компании Академии изобразительных искусств Тяньцзиня сказал, что на данный момент люди поняли, что Китай может говорить с миром с помощью печатных изображений. Китайская живопись имеет национальную сущность, и она находится на своей, ни с чем несравнимой оригинальной платформе в общем мировом искусстве. Масляная живопись импортируется и изучается. Печатные работы имеют международное признание по качеству и содержанию. В настоящее время приоритетным выбором для экспозиции на выставках современного искусства за рубежом является гравюра. Эти факты указывают на то, что китайские гравюры признаны и оценены мировым арт-сообществом и сообществом коллекционеров. Это неизбежный результат [5, </w:t>
      </w:r>
      <w:r>
        <w:rPr>
          <w:rFonts w:ascii="Times New Roman" w:hAnsi="Times New Roman" w:cs="Times New Roman"/>
          <w:color w:val="000000" w:themeColor="text1"/>
          <w:sz w:val="20"/>
          <w:szCs w:val="20"/>
          <w:lang w:val="en-US"/>
        </w:rPr>
        <w:t>c</w:t>
      </w:r>
      <w:r>
        <w:rPr>
          <w:rFonts w:ascii="Times New Roman" w:hAnsi="Times New Roman" w:cs="Times New Roman"/>
          <w:color w:val="000000" w:themeColor="text1"/>
          <w:sz w:val="20"/>
          <w:szCs w:val="20"/>
        </w:rPr>
        <w:t>.81].</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Искусство гравюры Китая имеет тысячелетнюю историю, впервые появившееся в период правления династии Хань. Все три элемента полиграфического процесса: бумага, типографская краска и сам принцип печатания, были изобретены в Китае. В последующие сотни лет широкое распространение получили китайские методы печати и изготовления бумаги. Впоследствии в разных странах мира также стало появляться и искусство гравюры.</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История гравюры города Цзиси начинается в конце 1980-х годов </w:t>
      </w:r>
      <w:r>
        <w:rPr>
          <w:rFonts w:ascii="Times New Roman" w:hAnsi="Times New Roman" w:cs="Times New Roman"/>
          <w:color w:val="000000" w:themeColor="text1"/>
          <w:sz w:val="20"/>
          <w:szCs w:val="20"/>
          <w:lang w:val="en-US"/>
        </w:rPr>
        <w:t>XX</w:t>
      </w:r>
      <w:r>
        <w:rPr>
          <w:rFonts w:ascii="Times New Roman" w:hAnsi="Times New Roman" w:cs="Times New Roman"/>
          <w:color w:val="000000" w:themeColor="text1"/>
          <w:sz w:val="20"/>
          <w:szCs w:val="20"/>
        </w:rPr>
        <w:t xml:space="preserve"> века. Поколения художников-гравировщиков прошли тернистый путь становления от зарождения этого вида искусства до начала политических реформ. Художественные поиски привели к созданию стабильных творческих групп, работающих в различных местах провинции.</w:t>
      </w:r>
      <w:r>
        <w:rPr>
          <w:rFonts w:ascii="Times New Roman" w:hAnsi="Times New Roman" w:cs="Times New Roman"/>
          <w:color w:val="000000" w:themeColor="text1"/>
          <w:sz w:val="20"/>
          <w:szCs w:val="20"/>
          <w:shd w:val="clear" w:color="auto" w:fill="FFFFFF"/>
          <w:lang w:eastAsia="ru-RU"/>
        </w:rPr>
        <w:t xml:space="preserve"> </w:t>
      </w:r>
      <w:r>
        <w:rPr>
          <w:rFonts w:ascii="Times New Roman" w:hAnsi="Times New Roman" w:cs="Times New Roman"/>
          <w:color w:val="000000" w:themeColor="text1"/>
          <w:sz w:val="20"/>
          <w:szCs w:val="20"/>
        </w:rPr>
        <w:t>Художники, создающие гравюры в городе Цзиси – это чрезвычайно плодотворная творческая группа, которая на протяжении многих лет непрерывно занимается исследованиями и инновациями в области этого вида искусства. Ими было создано большое количество новых печатных работ, которые стали популярными как в стране, так и за рубежом. Сначала сюжеты картин основывались на промышленных темах. После более чем десяти лет развития тема изображений соответствует в основном северным стилям и региональной культуре.</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 Благодаря постоянному совершенствованию эстетического уровня публики и все большей потребности в удовлетворении запросов в области ознакомления с новыми видами искусства, оригинальные работы из города Цзиси в технике гравюры с современным качеством исполнения и академическим характером были приняты и одобрены общественностью и коллекционерами. Их тематика близка и понятна. Интерес публики к этим произведениям также поддерживается благодаря оригинальной китайской печати, которыми отличаются работы, что способствует увеличению влияния искусства китайской гравюры на международное культурное сообщество. Гравюры города Цзиси, как правило, разнообразны, с более широкой тематикой, более глубокими коннотациями и более совершенным производством [4].</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Традиционным как для классического китайского искусства, так и для современного является особое отношение художников к свободному пространству листа. Его наличие, характер и даже его отсутствие продумываются автором с особым вниманием и тщательностью. Элементы изображения и свободные от них участки работают, как правило, с равной силой, а иногда и с перевесом в пользу последних. Особое видение пустоты в произведении тесно связано с традиционным китайским восприятием мира [1, с. 271]. </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Сюжеты гравюр также обращают внимание на исследование внутреннего мира персонажей, выражают местный стиль. Атмосфера картин классическая и элегантная, она не отстает от современного времени и подчеркивает характер его течения, а также отражает местные культурные особенности. Это является важной частью искусства, которая называется «Гравюра Великой Северной пустоши». В 1993 году город Цзиси был назван Министерством культуры «родным городом искусства гравюры». </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За пятьдесят лет участия в Национальной выставке изящных искусств, Национальной выставке эстампов, на всекитайских и международных выставках гравюры мастеров из провинции Хейлунцзян в том числе из города Цзиси завоевали множество призов. Гравюра города Цзиси играет большую роль на международной арт-сцене. Были проведены ряд выставок работ в Японии, Южной Корее, Польше, Росиии, Канаде, Тайване, Гонконге, других странах, и регионах. Гравюра города Цзиси получила высокую оценку по международным художественным стандартам. </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Для популяризации знания в области гравюры проводится всесторонняя реклама в Китае и за рубежом. Сегодня гравюра города Цзиси получает коммерческое развитие в международном арт-пространстве через биржу торговой сети «Интернет +», а также через зарубежные торговые сети.</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Международные Конференции в КНР по китайской гравюре привлекают зарубежных художников, всесторонне представляют искусство китайской гравюры, содвигают известных китайских художников к участию в международных выставках и получают широкую огласку также благодаря их участию в зарубежных конкурсах и конференциях в области изобразительного искусства. Долгосрочное планирование и полная интеграция в современный международный арт-бизнес являются важными способами развития китайского печатного искусства [2].</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Таким образом, в настоящее время происходит дальнейшее развитие искусства гравюры в городе Цзиси. В будущем благодаря всесторонней популяризации знаний об этом виде искусства, продвижению работ известных художников, долгосрочному планированию и полной интеграции в конкретные слои современного арт-бизнеса, развитие гравюры будет интернационализировано. История современной китайской гравюры стала составной частью мирового искусства и занимает в ней достойную нишу. </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Сегодня уже проведены многие сотни обменов среди художников и преподавателей КНР и России. Интеграция и культурные связи между университетом города Цзиси в КНР, в котором преподают национальные китайские искусства и в том числе искусство гравюры, и российскими Дальневосточными </w:t>
      </w:r>
      <w:r>
        <w:rPr>
          <w:rFonts w:ascii="Times New Roman" w:hAnsi="Times New Roman" w:cs="Times New Roman"/>
          <w:color w:val="000000" w:themeColor="text1"/>
          <w:sz w:val="20"/>
          <w:szCs w:val="20"/>
        </w:rPr>
        <w:lastRenderedPageBreak/>
        <w:t>университетами активизирует исследовательскую деятельность и расширение разностороннего и инновационного мышления в области этого вида искусства. Все это поспособствует устойчивому развитию международных культурных отношений между городом Цзиси, КНР и Дальневосточным регионом России. На рис. 1 представлены гравюры Мэн Сяньхуа известного художника и профессора Хэйлунцзянского государственного технологического института из города Цзиси.</w:t>
      </w:r>
    </w:p>
    <w:p w:rsidR="00517711" w:rsidRDefault="00517711">
      <w:pPr>
        <w:pStyle w:val="ae"/>
        <w:ind w:firstLine="709"/>
        <w:jc w:val="both"/>
        <w:rPr>
          <w:rFonts w:ascii="Times New Roman" w:hAnsi="Times New Roman" w:cs="Times New Roman"/>
          <w:color w:val="000000"/>
          <w:sz w:val="20"/>
          <w:szCs w:val="20"/>
        </w:rPr>
      </w:pPr>
    </w:p>
    <w:tbl>
      <w:tblPr>
        <w:tblW w:w="0" w:type="auto"/>
        <w:tblLook w:val="04A0" w:firstRow="1" w:lastRow="0" w:firstColumn="1" w:lastColumn="0" w:noHBand="0" w:noVBand="1"/>
      </w:tblPr>
      <w:tblGrid>
        <w:gridCol w:w="9854"/>
      </w:tblGrid>
      <w:tr w:rsidR="00517711">
        <w:tc>
          <w:tcPr>
            <w:tcW w:w="9854" w:type="dxa"/>
          </w:tcPr>
          <w:p w:rsidR="00517711" w:rsidRDefault="00F815BE">
            <w:pPr>
              <w:pStyle w:val="ae"/>
              <w:jc w:val="both"/>
              <w:rPr>
                <w:rFonts w:ascii="Times New Roman" w:hAnsi="Times New Roman" w:cs="Times New Roman"/>
                <w:color w:val="000000"/>
                <w:sz w:val="20"/>
                <w:szCs w:val="20"/>
              </w:rPr>
            </w:pPr>
            <w:r>
              <w:rPr>
                <w:rFonts w:ascii="Times New Roman" w:hAnsi="Times New Roman" w:cs="Times New Roman"/>
                <w:noProof/>
                <w:color w:val="000000" w:themeColor="text1"/>
                <w:sz w:val="20"/>
                <w:szCs w:val="20"/>
                <w:lang w:eastAsia="ru-RU"/>
              </w:rPr>
              <w:drawing>
                <wp:inline distT="0" distB="0" distL="0" distR="0">
                  <wp:extent cx="1590673" cy="1190623"/>
                  <wp:effectExtent l="0" t="0" r="9523" b="9523"/>
                  <wp:docPr id="105" name="Рисунок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5"/>
                          <pic:cNvPicPr>
                            <a:picLocks noChangeAspect="1"/>
                          </pic:cNvPicPr>
                        </pic:nvPicPr>
                        <pic:blipFill>
                          <a:blip r:embed="rId276"/>
                          <a:stretch/>
                        </pic:blipFill>
                        <pic:spPr bwMode="auto">
                          <a:xfrm>
                            <a:off x="0" y="0"/>
                            <a:ext cx="1590675" cy="1190625"/>
                          </a:xfrm>
                          <a:prstGeom prst="rect">
                            <a:avLst/>
                          </a:prstGeom>
                          <a:noFill/>
                          <a:ln>
                            <a:noFill/>
                          </a:ln>
                        </pic:spPr>
                      </pic:pic>
                    </a:graphicData>
                  </a:graphic>
                </wp:inline>
              </w:drawing>
            </w:r>
            <w:r>
              <w:rPr>
                <w:rFonts w:ascii="Times New Roman" w:hAnsi="Times New Roman" w:cs="Times New Roman"/>
                <w:color w:val="000000" w:themeColor="text1"/>
                <w:sz w:val="20"/>
                <w:szCs w:val="20"/>
              </w:rPr>
              <w:t xml:space="preserve">а </w:t>
            </w:r>
            <w:r>
              <w:rPr>
                <w:rFonts w:ascii="Times New Roman" w:hAnsi="Times New Roman" w:cs="Times New Roman"/>
                <w:noProof/>
                <w:color w:val="000000" w:themeColor="text1"/>
                <w:sz w:val="20"/>
                <w:szCs w:val="20"/>
                <w:lang w:eastAsia="ru-RU"/>
              </w:rPr>
              <w:drawing>
                <wp:inline distT="0" distB="0" distL="0" distR="0">
                  <wp:extent cx="2314575" cy="1209673"/>
                  <wp:effectExtent l="0" t="0" r="9523" b="9523"/>
                  <wp:docPr id="106" name="Рисунок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6"/>
                          <pic:cNvPicPr>
                            <a:picLocks noChangeAspect="1"/>
                          </pic:cNvPicPr>
                        </pic:nvPicPr>
                        <pic:blipFill>
                          <a:blip r:embed="rId277"/>
                          <a:stretch/>
                        </pic:blipFill>
                        <pic:spPr bwMode="auto">
                          <a:xfrm>
                            <a:off x="0" y="0"/>
                            <a:ext cx="2314575" cy="1209675"/>
                          </a:xfrm>
                          <a:prstGeom prst="rect">
                            <a:avLst/>
                          </a:prstGeom>
                          <a:noFill/>
                          <a:ln>
                            <a:noFill/>
                          </a:ln>
                        </pic:spPr>
                      </pic:pic>
                    </a:graphicData>
                  </a:graphic>
                </wp:inline>
              </w:drawing>
            </w:r>
            <w:r>
              <w:rPr>
                <w:rFonts w:ascii="Times New Roman" w:hAnsi="Times New Roman" w:cs="Times New Roman"/>
                <w:color w:val="000000" w:themeColor="text1"/>
                <w:sz w:val="20"/>
                <w:szCs w:val="20"/>
              </w:rPr>
              <w:t xml:space="preserve">б </w:t>
            </w:r>
            <w:r>
              <w:rPr>
                <w:rFonts w:ascii="Times New Roman" w:hAnsi="Times New Roman" w:cs="Times New Roman"/>
                <w:noProof/>
                <w:color w:val="000000" w:themeColor="text1"/>
                <w:sz w:val="20"/>
                <w:szCs w:val="20"/>
                <w:lang w:eastAsia="ru-RU"/>
              </w:rPr>
              <w:drawing>
                <wp:inline distT="0" distB="0" distL="0" distR="0">
                  <wp:extent cx="1724023" cy="1247773"/>
                  <wp:effectExtent l="0" t="0" r="9523" b="9523"/>
                  <wp:docPr id="107" name="Рисунок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7"/>
                          <pic:cNvPicPr>
                            <a:picLocks noChangeAspect="1"/>
                          </pic:cNvPicPr>
                        </pic:nvPicPr>
                        <pic:blipFill>
                          <a:blip r:embed="rId278"/>
                          <a:stretch/>
                        </pic:blipFill>
                        <pic:spPr bwMode="auto">
                          <a:xfrm>
                            <a:off x="0" y="0"/>
                            <a:ext cx="1724025" cy="1247775"/>
                          </a:xfrm>
                          <a:prstGeom prst="rect">
                            <a:avLst/>
                          </a:prstGeom>
                          <a:noFill/>
                          <a:ln>
                            <a:noFill/>
                          </a:ln>
                        </pic:spPr>
                      </pic:pic>
                    </a:graphicData>
                  </a:graphic>
                </wp:inline>
              </w:drawing>
            </w:r>
            <w:r>
              <w:rPr>
                <w:rFonts w:ascii="Times New Roman" w:hAnsi="Times New Roman" w:cs="Times New Roman"/>
                <w:color w:val="000000" w:themeColor="text1"/>
                <w:sz w:val="20"/>
                <w:szCs w:val="20"/>
              </w:rPr>
              <w:t>с</w:t>
            </w:r>
          </w:p>
        </w:tc>
      </w:tr>
    </w:tbl>
    <w:p w:rsidR="00517711" w:rsidRDefault="00F815BE">
      <w:pPr>
        <w:pStyle w:val="ae"/>
        <w:ind w:firstLine="709"/>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Рис. 1. Гравюры: а – «Путник»; б – «Рассвет цивилизации»;</w:t>
      </w:r>
    </w:p>
    <w:p w:rsidR="00517711" w:rsidRDefault="00F815BE">
      <w:pPr>
        <w:pStyle w:val="ae"/>
        <w:pBdr>
          <w:bottom w:val="single" w:sz="12" w:space="1" w:color="auto"/>
        </w:pBdr>
        <w:ind w:firstLine="709"/>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в – «Тоннель». Художник Мэн Сяньхуа</w:t>
      </w:r>
    </w:p>
    <w:p w:rsidR="00517711" w:rsidRDefault="00517711">
      <w:pPr>
        <w:pStyle w:val="ae"/>
        <w:pBdr>
          <w:bottom w:val="single" w:sz="12" w:space="1" w:color="auto"/>
        </w:pBdr>
        <w:ind w:firstLine="709"/>
        <w:jc w:val="center"/>
        <w:rPr>
          <w:rFonts w:ascii="Times New Roman" w:hAnsi="Times New Roman" w:cs="Times New Roman"/>
          <w:color w:val="000000"/>
          <w:sz w:val="20"/>
          <w:szCs w:val="20"/>
        </w:rPr>
      </w:pPr>
    </w:p>
    <w:p w:rsidR="00517711" w:rsidRDefault="00F815BE">
      <w:pPr>
        <w:pStyle w:val="1"/>
        <w:spacing w:before="0" w:beforeAutospacing="0" w:after="0" w:afterAutospacing="0"/>
        <w:ind w:firstLine="708"/>
        <w:jc w:val="both"/>
        <w:rPr>
          <w:b w:val="0"/>
          <w:bCs w:val="0"/>
          <w:color w:val="000000"/>
          <w:sz w:val="20"/>
          <w:szCs w:val="20"/>
          <w:lang w:eastAsia="en-US"/>
        </w:rPr>
      </w:pPr>
      <w:r>
        <w:rPr>
          <w:b w:val="0"/>
          <w:bCs w:val="0"/>
          <w:color w:val="000000" w:themeColor="text1"/>
          <w:sz w:val="20"/>
          <w:szCs w:val="20"/>
          <w:lang w:eastAsia="en-US"/>
        </w:rPr>
        <w:t>1. Русакова А. С. Свободное пространство в современной китайской графической композиции: эстетические и философские аспекты. Электронный научный журнал «</w:t>
      </w:r>
      <w:hyperlink r:id="rId279" w:history="1">
        <w:r>
          <w:rPr>
            <w:rStyle w:val="aa"/>
            <w:b w:val="0"/>
            <w:color w:val="000000" w:themeColor="text1"/>
            <w:sz w:val="20"/>
            <w:szCs w:val="20"/>
          </w:rPr>
          <w:t>Известия Российского государственного педагогического университета им. А.И. Герцена</w:t>
        </w:r>
      </w:hyperlink>
      <w:r>
        <w:rPr>
          <w:b w:val="0"/>
          <w:bCs w:val="0"/>
          <w:color w:val="000000" w:themeColor="text1"/>
          <w:sz w:val="20"/>
          <w:szCs w:val="20"/>
          <w:lang w:eastAsia="en-US"/>
        </w:rPr>
        <w:t>». – 2009 С. –</w:t>
      </w:r>
    </w:p>
    <w:p w:rsidR="00517711" w:rsidRDefault="00F815BE">
      <w:pPr>
        <w:pStyle w:val="1"/>
        <w:spacing w:before="0" w:beforeAutospacing="0" w:after="0" w:afterAutospacing="0"/>
        <w:jc w:val="both"/>
        <w:rPr>
          <w:b w:val="0"/>
          <w:bCs w:val="0"/>
          <w:color w:val="000000"/>
          <w:sz w:val="20"/>
          <w:szCs w:val="20"/>
          <w:lang w:eastAsia="en-US"/>
        </w:rPr>
      </w:pPr>
      <w:r>
        <w:rPr>
          <w:b w:val="0"/>
          <w:bCs w:val="0"/>
          <w:color w:val="000000" w:themeColor="text1"/>
          <w:sz w:val="20"/>
          <w:szCs w:val="20"/>
          <w:lang w:eastAsia="en-US"/>
        </w:rPr>
        <w:t xml:space="preserve"> 271-276 [Электронный ресурс] Режим доступа: https://cyberleninka.ru/article/v/svobodnoe-prostranstvo-v-sovremennoy-kitayskoy-graficheskoy-kompozitsii-esteticheskie-i-filosofskie-aspekty</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2. Гравюра Цзиси в стиле Цзиси. Правительственный сайт Цзиси </w:t>
      </w:r>
      <w:r>
        <w:rPr>
          <w:rFonts w:ascii="Times New Roman" w:hAnsi="Times New Roman" w:cs="Times New Roman"/>
          <w:bCs/>
          <w:color w:val="000000" w:themeColor="text1"/>
          <w:sz w:val="20"/>
          <w:szCs w:val="20"/>
        </w:rPr>
        <w:t xml:space="preserve">[Электронный ресурс] Режим доступа: </w:t>
      </w:r>
      <w:r>
        <w:rPr>
          <w:rFonts w:ascii="Times New Roman" w:hAnsi="Times New Roman" w:cs="Times New Roman"/>
          <w:color w:val="000000" w:themeColor="text1"/>
          <w:sz w:val="20"/>
          <w:szCs w:val="20"/>
          <w:lang w:val="en-US"/>
        </w:rPr>
        <w:t>ttp</w:t>
      </w:r>
      <w:r>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lang w:val="en-US"/>
        </w:rPr>
        <w:t>www</w:t>
      </w:r>
      <w:r>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lang w:val="en-US"/>
        </w:rPr>
        <w:t>jixi</w:t>
      </w:r>
      <w:r>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lang w:val="en-US"/>
        </w:rPr>
        <w:t>gov</w:t>
      </w:r>
      <w:r>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lang w:val="en-US"/>
        </w:rPr>
        <w:t>cn</w:t>
      </w:r>
      <w:r>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lang w:val="en-US"/>
        </w:rPr>
        <w:t>ljjx</w:t>
      </w:r>
      <w:r>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lang w:val="en-US"/>
        </w:rPr>
        <w:t>rwjx</w:t>
      </w:r>
      <w:r>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lang w:val="en-US"/>
        </w:rPr>
        <w:t>jxfq</w:t>
      </w:r>
      <w:r>
        <w:rPr>
          <w:rFonts w:ascii="Times New Roman" w:hAnsi="Times New Roman" w:cs="Times New Roman"/>
          <w:color w:val="000000" w:themeColor="text1"/>
          <w:sz w:val="20"/>
          <w:szCs w:val="20"/>
        </w:rPr>
        <w:t>/201501/</w:t>
      </w:r>
      <w:r>
        <w:rPr>
          <w:rFonts w:ascii="Times New Roman" w:hAnsi="Times New Roman" w:cs="Times New Roman"/>
          <w:color w:val="000000" w:themeColor="text1"/>
          <w:sz w:val="20"/>
          <w:szCs w:val="20"/>
          <w:lang w:val="en-US"/>
        </w:rPr>
        <w:t>t</w:t>
      </w:r>
      <w:r>
        <w:rPr>
          <w:rFonts w:ascii="Times New Roman" w:hAnsi="Times New Roman" w:cs="Times New Roman"/>
          <w:color w:val="000000" w:themeColor="text1"/>
          <w:sz w:val="20"/>
          <w:szCs w:val="20"/>
        </w:rPr>
        <w:t>20150106_3610.</w:t>
      </w:r>
      <w:r>
        <w:rPr>
          <w:rFonts w:ascii="Times New Roman" w:hAnsi="Times New Roman" w:cs="Times New Roman"/>
          <w:color w:val="000000" w:themeColor="text1"/>
          <w:sz w:val="20"/>
          <w:szCs w:val="20"/>
          <w:lang w:val="en-US"/>
        </w:rPr>
        <w:t>html</w:t>
      </w:r>
      <w:r>
        <w:rPr>
          <w:rFonts w:ascii="Times New Roman" w:hAnsi="Times New Roman" w:cs="Times New Roman"/>
          <w:color w:val="000000" w:themeColor="text1"/>
          <w:sz w:val="20"/>
          <w:szCs w:val="20"/>
        </w:rPr>
        <w:t xml:space="preserve"> </w:t>
      </w:r>
      <w:r>
        <w:rPr>
          <w:rFonts w:ascii="Times New Roman" w:eastAsia="Microsoft JhengHei" w:hAnsi="Times New Roman" w:cs="Times New Roman"/>
          <w:color w:val="000000" w:themeColor="text1"/>
          <w:sz w:val="20"/>
          <w:szCs w:val="20"/>
        </w:rPr>
        <w:t>鸡西风情之鸡西版画鸡西政府网</w:t>
      </w:r>
      <w:r>
        <w:rPr>
          <w:rFonts w:ascii="Times New Roman" w:hAnsi="Times New Roman" w:cs="Times New Roman"/>
          <w:color w:val="000000" w:themeColor="text1"/>
          <w:sz w:val="20"/>
          <w:szCs w:val="20"/>
        </w:rPr>
        <w:t>.2017</w:t>
      </w:r>
      <w:r>
        <w:rPr>
          <w:rFonts w:ascii="Times New Roman" w:eastAsia="MS Gothic" w:hAnsi="Times New Roman" w:cs="Times New Roman"/>
          <w:color w:val="000000" w:themeColor="text1"/>
          <w:sz w:val="20"/>
          <w:szCs w:val="20"/>
        </w:rPr>
        <w:t>年</w:t>
      </w:r>
      <w:r>
        <w:rPr>
          <w:rFonts w:ascii="Times New Roman" w:hAnsi="Times New Roman" w:cs="Times New Roman"/>
          <w:color w:val="000000" w:themeColor="text1"/>
          <w:sz w:val="20"/>
          <w:szCs w:val="20"/>
        </w:rPr>
        <w:t>8</w:t>
      </w:r>
      <w:r>
        <w:rPr>
          <w:rFonts w:ascii="Times New Roman" w:eastAsia="Microsoft JhengHei" w:hAnsi="Times New Roman" w:cs="Times New Roman"/>
          <w:color w:val="000000" w:themeColor="text1"/>
          <w:sz w:val="20"/>
          <w:szCs w:val="20"/>
        </w:rPr>
        <w:t>页</w:t>
      </w:r>
      <w:r>
        <w:rPr>
          <w:rFonts w:ascii="Times New Roman" w:hAnsi="Times New Roman" w:cs="Times New Roman"/>
          <w:color w:val="000000" w:themeColor="text1"/>
          <w:sz w:val="20"/>
          <w:szCs w:val="20"/>
        </w:rPr>
        <w:t>21</w:t>
      </w:r>
      <w:r>
        <w:rPr>
          <w:rFonts w:ascii="Times New Roman" w:eastAsia="MS Gothic" w:hAnsi="Times New Roman" w:cs="Times New Roman"/>
          <w:color w:val="000000" w:themeColor="text1"/>
          <w:sz w:val="20"/>
          <w:szCs w:val="20"/>
        </w:rPr>
        <w:t>日</w:t>
      </w:r>
      <w:r>
        <w:rPr>
          <w:rFonts w:ascii="Times New Roman" w:eastAsia="MS Gothic" w:hAnsi="Times New Roman" w:cs="Times New Roman"/>
          <w:color w:val="000000" w:themeColor="text1"/>
          <w:sz w:val="20"/>
          <w:szCs w:val="20"/>
        </w:rPr>
        <w:t xml:space="preserve">. </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3. И Жундэ. Изучение статуса китайской гравюры. «Литературные исследования». –2012. – № 9. – С. 136 </w:t>
      </w:r>
      <w:r>
        <w:rPr>
          <w:rFonts w:ascii="Times New Roman" w:eastAsia="MS Gothic" w:hAnsi="Times New Roman" w:cs="Times New Roman"/>
          <w:color w:val="000000" w:themeColor="text1"/>
          <w:sz w:val="20"/>
          <w:szCs w:val="20"/>
        </w:rPr>
        <w:t>冀荣德。再</w:t>
      </w:r>
      <w:r>
        <w:rPr>
          <w:rFonts w:ascii="Times New Roman" w:eastAsia="Microsoft JhengHei" w:hAnsi="Times New Roman" w:cs="Times New Roman"/>
          <w:color w:val="000000" w:themeColor="text1"/>
          <w:sz w:val="20"/>
          <w:szCs w:val="20"/>
        </w:rPr>
        <w:t>识中国版画的地位。文艺研究。</w:t>
      </w:r>
      <w:r>
        <w:rPr>
          <w:rFonts w:ascii="Times New Roman" w:hAnsi="Times New Roman" w:cs="Times New Roman"/>
          <w:color w:val="000000" w:themeColor="text1"/>
          <w:sz w:val="20"/>
          <w:szCs w:val="20"/>
        </w:rPr>
        <w:t>2012</w:t>
      </w:r>
      <w:r>
        <w:rPr>
          <w:rFonts w:ascii="Times New Roman" w:eastAsia="MS Gothic" w:hAnsi="Times New Roman" w:cs="Times New Roman"/>
          <w:color w:val="000000" w:themeColor="text1"/>
          <w:sz w:val="20"/>
          <w:szCs w:val="20"/>
        </w:rPr>
        <w:t>年</w:t>
      </w:r>
      <w:r>
        <w:rPr>
          <w:rFonts w:ascii="Times New Roman" w:hAnsi="Times New Roman" w:cs="Times New Roman"/>
          <w:color w:val="000000" w:themeColor="text1"/>
          <w:sz w:val="20"/>
          <w:szCs w:val="20"/>
        </w:rPr>
        <w:t>9</w:t>
      </w:r>
      <w:r>
        <w:rPr>
          <w:rFonts w:ascii="Times New Roman" w:eastAsia="MS Gothic" w:hAnsi="Times New Roman" w:cs="Times New Roman"/>
          <w:color w:val="000000" w:themeColor="text1"/>
          <w:sz w:val="20"/>
          <w:szCs w:val="20"/>
        </w:rPr>
        <w:t>月。第</w:t>
      </w:r>
      <w:r>
        <w:rPr>
          <w:rFonts w:ascii="Times New Roman" w:hAnsi="Times New Roman" w:cs="Times New Roman"/>
          <w:color w:val="000000" w:themeColor="text1"/>
          <w:sz w:val="20"/>
          <w:szCs w:val="20"/>
        </w:rPr>
        <w:t xml:space="preserve"> 136</w:t>
      </w:r>
      <w:r>
        <w:rPr>
          <w:rFonts w:ascii="Times New Roman" w:eastAsia="Microsoft JhengHei" w:hAnsi="Times New Roman" w:cs="Times New Roman"/>
          <w:color w:val="000000" w:themeColor="text1"/>
          <w:sz w:val="20"/>
          <w:szCs w:val="20"/>
        </w:rPr>
        <w:t>页。</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4. Тихий диалог на языке гравюры. Синьхуа 5 декабря 2015 года. [Электронный ресурс] Режим доступа: </w:t>
      </w:r>
      <w:hyperlink r:id="rId280" w:history="1">
        <w:r>
          <w:rPr>
            <w:rStyle w:val="aa"/>
            <w:rFonts w:ascii="Times New Roman" w:hAnsi="Times New Roman" w:cs="Times New Roman"/>
            <w:color w:val="000000" w:themeColor="text1"/>
            <w:sz w:val="20"/>
            <w:szCs w:val="20"/>
          </w:rPr>
          <w:t>http://news.ifeng.com/a/20151205/46535263_0.shtml</w:t>
        </w:r>
      </w:hyperlink>
      <w:r>
        <w:rPr>
          <w:rFonts w:ascii="Times New Roman" w:hAnsi="Times New Roman" w:cs="Times New Roman"/>
          <w:color w:val="000000" w:themeColor="text1"/>
          <w:sz w:val="20"/>
          <w:szCs w:val="20"/>
        </w:rPr>
        <w:t xml:space="preserve"> </w:t>
      </w:r>
      <w:r>
        <w:rPr>
          <w:rFonts w:ascii="Times New Roman" w:eastAsia="MS Gothic" w:hAnsi="Times New Roman" w:cs="Times New Roman"/>
          <w:color w:val="000000" w:themeColor="text1"/>
          <w:sz w:val="20"/>
          <w:szCs w:val="20"/>
        </w:rPr>
        <w:t>以版画的</w:t>
      </w:r>
      <w:r>
        <w:rPr>
          <w:rFonts w:ascii="Times New Roman" w:eastAsia="Microsoft JhengHei" w:hAnsi="Times New Roman" w:cs="Times New Roman"/>
          <w:color w:val="000000" w:themeColor="text1"/>
          <w:sz w:val="20"/>
          <w:szCs w:val="20"/>
        </w:rPr>
        <w:t>语言进行无声的对话。新华日报。</w:t>
      </w:r>
      <w:r>
        <w:rPr>
          <w:rFonts w:ascii="Times New Roman" w:hAnsi="Times New Roman" w:cs="Times New Roman"/>
          <w:color w:val="000000" w:themeColor="text1"/>
          <w:sz w:val="20"/>
          <w:szCs w:val="20"/>
        </w:rPr>
        <w:t>2015</w:t>
      </w:r>
      <w:r>
        <w:rPr>
          <w:rFonts w:ascii="Times New Roman" w:eastAsia="MS Gothic" w:hAnsi="Times New Roman" w:cs="Times New Roman"/>
          <w:color w:val="000000" w:themeColor="text1"/>
          <w:sz w:val="20"/>
          <w:szCs w:val="20"/>
        </w:rPr>
        <w:t>年</w:t>
      </w:r>
      <w:r>
        <w:rPr>
          <w:rFonts w:ascii="Times New Roman" w:hAnsi="Times New Roman" w:cs="Times New Roman"/>
          <w:color w:val="000000" w:themeColor="text1"/>
          <w:sz w:val="20"/>
          <w:szCs w:val="20"/>
        </w:rPr>
        <w:t>12</w:t>
      </w:r>
      <w:r>
        <w:rPr>
          <w:rFonts w:ascii="Times New Roman" w:eastAsia="MS Gothic" w:hAnsi="Times New Roman" w:cs="Times New Roman"/>
          <w:color w:val="000000" w:themeColor="text1"/>
          <w:sz w:val="20"/>
          <w:szCs w:val="20"/>
        </w:rPr>
        <w:t>月</w:t>
      </w:r>
      <w:r>
        <w:rPr>
          <w:rFonts w:ascii="Times New Roman" w:hAnsi="Times New Roman" w:cs="Times New Roman"/>
          <w:color w:val="000000" w:themeColor="text1"/>
          <w:sz w:val="20"/>
          <w:szCs w:val="20"/>
        </w:rPr>
        <w:t>5</w:t>
      </w:r>
      <w:r>
        <w:rPr>
          <w:rFonts w:ascii="Times New Roman" w:eastAsia="MS Gothic" w:hAnsi="Times New Roman" w:cs="Times New Roman"/>
          <w:color w:val="000000" w:themeColor="text1"/>
          <w:sz w:val="20"/>
          <w:szCs w:val="20"/>
        </w:rPr>
        <w:t>日。</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5. Чжоу Гуанмин. Международное видение современной гравюры. Художественный аспект. 2014. –  № 1. – С. 80-87 </w:t>
      </w:r>
      <w:r>
        <w:rPr>
          <w:rFonts w:ascii="Times New Roman" w:eastAsia="MS Gothic" w:hAnsi="Times New Roman" w:cs="Times New Roman"/>
          <w:color w:val="000000" w:themeColor="text1"/>
          <w:sz w:val="20"/>
          <w:szCs w:val="20"/>
        </w:rPr>
        <w:t>周光明。当代版画的国</w:t>
      </w:r>
      <w:r>
        <w:rPr>
          <w:rFonts w:ascii="Times New Roman" w:eastAsia="Microsoft JhengHei" w:hAnsi="Times New Roman" w:cs="Times New Roman"/>
          <w:color w:val="000000" w:themeColor="text1"/>
          <w:sz w:val="20"/>
          <w:szCs w:val="20"/>
        </w:rPr>
        <w:t>际视野。艺术纵横。</w:t>
      </w:r>
      <w:r>
        <w:rPr>
          <w:rFonts w:ascii="Times New Roman" w:hAnsi="Times New Roman" w:cs="Times New Roman"/>
          <w:color w:val="000000" w:themeColor="text1"/>
          <w:sz w:val="20"/>
          <w:szCs w:val="20"/>
        </w:rPr>
        <w:t>2014</w:t>
      </w:r>
      <w:r>
        <w:rPr>
          <w:rFonts w:ascii="Times New Roman" w:eastAsia="MS Gothic" w:hAnsi="Times New Roman" w:cs="Times New Roman"/>
          <w:color w:val="000000" w:themeColor="text1"/>
          <w:sz w:val="20"/>
          <w:szCs w:val="20"/>
        </w:rPr>
        <w:t>年</w:t>
      </w:r>
      <w:r>
        <w:rPr>
          <w:rFonts w:ascii="Times New Roman" w:hAnsi="Times New Roman" w:cs="Times New Roman"/>
          <w:color w:val="000000" w:themeColor="text1"/>
          <w:sz w:val="20"/>
          <w:szCs w:val="20"/>
        </w:rPr>
        <w:t>1</w:t>
      </w:r>
      <w:r>
        <w:rPr>
          <w:rFonts w:ascii="Times New Roman" w:eastAsia="MS Gothic" w:hAnsi="Times New Roman" w:cs="Times New Roman"/>
          <w:color w:val="000000" w:themeColor="text1"/>
          <w:sz w:val="20"/>
          <w:szCs w:val="20"/>
        </w:rPr>
        <w:t>期。第</w:t>
      </w:r>
      <w:r>
        <w:rPr>
          <w:rFonts w:ascii="Times New Roman" w:hAnsi="Times New Roman" w:cs="Times New Roman"/>
          <w:color w:val="000000" w:themeColor="text1"/>
          <w:sz w:val="20"/>
          <w:szCs w:val="20"/>
        </w:rPr>
        <w:t>81</w:t>
      </w:r>
      <w:r>
        <w:rPr>
          <w:rFonts w:ascii="Times New Roman" w:eastAsia="Microsoft JhengHei" w:hAnsi="Times New Roman" w:cs="Times New Roman"/>
          <w:color w:val="000000" w:themeColor="text1"/>
          <w:sz w:val="20"/>
          <w:szCs w:val="20"/>
        </w:rPr>
        <w:t>页</w:t>
      </w:r>
    </w:p>
    <w:p w:rsidR="00517711" w:rsidRDefault="00517711">
      <w:pPr>
        <w:spacing w:after="0" w:line="240" w:lineRule="auto"/>
        <w:jc w:val="both"/>
        <w:rPr>
          <w:rFonts w:ascii="Times New Roman" w:hAnsi="Times New Roman" w:cs="Times New Roman"/>
          <w:b/>
          <w:bCs/>
          <w:color w:val="000000"/>
          <w:sz w:val="20"/>
          <w:szCs w:val="20"/>
          <w:lang w:eastAsia="ru-RU"/>
        </w:rPr>
      </w:pPr>
    </w:p>
    <w:p w:rsidR="00517711" w:rsidRDefault="00517711">
      <w:pPr>
        <w:pStyle w:val="af4"/>
        <w:spacing w:after="0" w:line="240" w:lineRule="auto"/>
        <w:ind w:left="0"/>
        <w:jc w:val="both"/>
        <w:rPr>
          <w:szCs w:val="20"/>
        </w:rPr>
      </w:pPr>
    </w:p>
    <w:p w:rsidR="00517711" w:rsidRDefault="00517711">
      <w:pPr>
        <w:pStyle w:val="af4"/>
        <w:spacing w:after="0" w:line="240" w:lineRule="auto"/>
        <w:ind w:left="0"/>
        <w:jc w:val="both"/>
        <w:rPr>
          <w:szCs w:val="20"/>
        </w:rPr>
      </w:pPr>
    </w:p>
    <w:p w:rsidR="00517711" w:rsidRDefault="00517711">
      <w:pPr>
        <w:pStyle w:val="af4"/>
        <w:spacing w:after="0" w:line="240" w:lineRule="auto"/>
        <w:ind w:left="0"/>
        <w:jc w:val="both"/>
        <w:rPr>
          <w:szCs w:val="20"/>
        </w:rPr>
      </w:pPr>
    </w:p>
    <w:p w:rsidR="00517711" w:rsidRDefault="00517711">
      <w:pPr>
        <w:pStyle w:val="af4"/>
        <w:spacing w:after="0" w:line="240" w:lineRule="auto"/>
        <w:ind w:left="0"/>
        <w:jc w:val="both"/>
        <w:rPr>
          <w:szCs w:val="20"/>
        </w:rPr>
      </w:pPr>
    </w:p>
    <w:p w:rsidR="00517711" w:rsidRDefault="00517711">
      <w:pPr>
        <w:pStyle w:val="af4"/>
        <w:spacing w:after="0" w:line="240" w:lineRule="auto"/>
        <w:ind w:left="0"/>
        <w:jc w:val="both"/>
        <w:rPr>
          <w:szCs w:val="20"/>
        </w:rPr>
      </w:pPr>
    </w:p>
    <w:p w:rsidR="00517711" w:rsidRDefault="00F815BE">
      <w:pPr>
        <w:widowControl w:val="0"/>
        <w:spacing w:after="0" w:line="240" w:lineRule="auto"/>
        <w:rPr>
          <w:rFonts w:ascii="Times New Roman" w:hAnsi="Times New Roman"/>
          <w:sz w:val="24"/>
          <w:szCs w:val="24"/>
          <w:lang w:eastAsia="ru-RU"/>
        </w:rPr>
      </w:pPr>
      <w:r>
        <w:rPr>
          <w:rFonts w:ascii="Times New Roman" w:hAnsi="Times New Roman"/>
          <w:sz w:val="24"/>
          <w:szCs w:val="24"/>
          <w:lang w:eastAsia="ru-RU"/>
        </w:rPr>
        <w:t>Рубрика: Теория и история культуры</w:t>
      </w:r>
    </w:p>
    <w:p w:rsidR="00517711" w:rsidRDefault="00F815BE">
      <w:pPr>
        <w:spacing w:after="0" w:line="240" w:lineRule="auto"/>
        <w:rPr>
          <w:rFonts w:ascii="Times New Roman" w:hAnsi="Times New Roman"/>
          <w:sz w:val="24"/>
          <w:szCs w:val="24"/>
          <w:lang w:eastAsia="ru-RU"/>
        </w:rPr>
      </w:pPr>
      <w:r>
        <w:rPr>
          <w:rFonts w:ascii="Times New Roman" w:hAnsi="Times New Roman"/>
          <w:sz w:val="24"/>
          <w:szCs w:val="24"/>
          <w:lang w:eastAsia="ru-RU"/>
        </w:rPr>
        <w:t>УДК 398.8</w:t>
      </w:r>
    </w:p>
    <w:p w:rsidR="00517711" w:rsidRDefault="00517711">
      <w:pPr>
        <w:spacing w:after="0" w:line="240" w:lineRule="auto"/>
        <w:rPr>
          <w:rFonts w:ascii="Times New Roman" w:hAnsi="Times New Roman"/>
          <w:sz w:val="28"/>
          <w:szCs w:val="28"/>
          <w:lang w:eastAsia="ru-RU"/>
        </w:rPr>
      </w:pPr>
    </w:p>
    <w:p w:rsidR="00517711" w:rsidRDefault="00F815BE">
      <w:pPr>
        <w:spacing w:after="0" w:line="240" w:lineRule="auto"/>
        <w:ind w:firstLine="709"/>
        <w:jc w:val="center"/>
        <w:rPr>
          <w:rFonts w:ascii="Times New Roman" w:hAnsi="Times New Roman"/>
          <w:b/>
          <w:bCs/>
          <w:sz w:val="24"/>
          <w:szCs w:val="24"/>
        </w:rPr>
      </w:pPr>
      <w:r>
        <w:rPr>
          <w:rFonts w:ascii="Times New Roman" w:hAnsi="Times New Roman"/>
          <w:b/>
          <w:bCs/>
          <w:sz w:val="24"/>
          <w:szCs w:val="24"/>
        </w:rPr>
        <w:t>Перспектива развития экологического туризма в контексте формирования имиджа Приморского края</w:t>
      </w:r>
    </w:p>
    <w:p w:rsidR="00517711" w:rsidRDefault="00F815BE">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Буртасовская Милана Сергеевна</w:t>
      </w:r>
    </w:p>
    <w:p w:rsidR="00517711" w:rsidRDefault="00F815BE">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бакалавр</w:t>
      </w:r>
    </w:p>
    <w:p w:rsidR="00517711" w:rsidRDefault="00F815BE">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Василевская Татьяна Андреевна</w:t>
      </w:r>
    </w:p>
    <w:p w:rsidR="00517711" w:rsidRDefault="00F815BE">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 бакалавр</w:t>
      </w:r>
    </w:p>
    <w:p w:rsidR="00517711" w:rsidRDefault="00F815BE">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Метляева Татьяна Викторовна</w:t>
      </w:r>
    </w:p>
    <w:p w:rsidR="00517711" w:rsidRDefault="00F815BE">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канд. культурологии, доцент</w:t>
      </w:r>
    </w:p>
    <w:p w:rsidR="00517711" w:rsidRDefault="00F815BE">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научный руководитель</w:t>
      </w:r>
    </w:p>
    <w:p w:rsidR="00517711" w:rsidRDefault="00F815BE">
      <w:pPr>
        <w:widowControl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Владивостокский государственный университет экономики и сервиса.</w:t>
      </w:r>
    </w:p>
    <w:p w:rsidR="00517711" w:rsidRDefault="00F815BE">
      <w:pPr>
        <w:widowControl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Россия. Владивосток.</w:t>
      </w:r>
    </w:p>
    <w:p w:rsidR="00517711" w:rsidRDefault="00F815BE">
      <w:pPr>
        <w:spacing w:after="0" w:line="240" w:lineRule="auto"/>
        <w:jc w:val="center"/>
        <w:rPr>
          <w:rFonts w:ascii="Times New Roman" w:hAnsi="Times New Roman"/>
          <w:sz w:val="24"/>
          <w:szCs w:val="24"/>
          <w:lang w:eastAsia="ru-RU"/>
        </w:rPr>
      </w:pPr>
      <w:r>
        <w:rPr>
          <w:rFonts w:ascii="Times New Roman" w:hAnsi="Times New Roman"/>
          <w:sz w:val="24"/>
          <w:szCs w:val="24"/>
          <w:lang w:val="en-US" w:eastAsia="ru-RU"/>
        </w:rPr>
        <w:t>E</w:t>
      </w:r>
      <w:r>
        <w:rPr>
          <w:rFonts w:ascii="Times New Roman" w:hAnsi="Times New Roman"/>
          <w:sz w:val="24"/>
          <w:szCs w:val="24"/>
          <w:lang w:eastAsia="ru-RU"/>
        </w:rPr>
        <w:t>-</w:t>
      </w:r>
      <w:r>
        <w:rPr>
          <w:rFonts w:ascii="Times New Roman" w:hAnsi="Times New Roman"/>
          <w:sz w:val="24"/>
          <w:szCs w:val="24"/>
          <w:lang w:val="en-US" w:eastAsia="ru-RU"/>
        </w:rPr>
        <w:t>mail</w:t>
      </w:r>
      <w:r>
        <w:rPr>
          <w:rFonts w:ascii="Times New Roman" w:hAnsi="Times New Roman"/>
          <w:sz w:val="24"/>
          <w:szCs w:val="24"/>
          <w:lang w:eastAsia="ru-RU"/>
        </w:rPr>
        <w:t>:</w:t>
      </w:r>
      <w:hyperlink r:id="rId281" w:history="1">
        <w:r>
          <w:rPr>
            <w:rFonts w:ascii="Times New Roman" w:hAnsi="Times New Roman"/>
            <w:sz w:val="24"/>
            <w:szCs w:val="24"/>
            <w:lang w:val="en-US" w:eastAsia="ru-RU"/>
          </w:rPr>
          <w:t>metlaevatv</w:t>
        </w:r>
        <w:r>
          <w:rPr>
            <w:rFonts w:ascii="Times New Roman" w:hAnsi="Times New Roman"/>
            <w:sz w:val="24"/>
            <w:szCs w:val="24"/>
            <w:lang w:eastAsia="ru-RU"/>
          </w:rPr>
          <w:t>@</w:t>
        </w:r>
        <w:r>
          <w:rPr>
            <w:rFonts w:ascii="Times New Roman" w:hAnsi="Times New Roman"/>
            <w:sz w:val="24"/>
            <w:szCs w:val="24"/>
            <w:lang w:val="en-US" w:eastAsia="ru-RU"/>
          </w:rPr>
          <w:t>mail</w:t>
        </w:r>
        <w:r>
          <w:rPr>
            <w:rFonts w:ascii="Times New Roman" w:hAnsi="Times New Roman"/>
            <w:sz w:val="24"/>
            <w:szCs w:val="24"/>
            <w:lang w:eastAsia="ru-RU"/>
          </w:rPr>
          <w:t>.</w:t>
        </w:r>
        <w:r>
          <w:rPr>
            <w:rFonts w:ascii="Times New Roman" w:hAnsi="Times New Roman"/>
            <w:sz w:val="24"/>
            <w:szCs w:val="24"/>
            <w:lang w:val="en-US" w:eastAsia="ru-RU"/>
          </w:rPr>
          <w:t>ru</w:t>
        </w:r>
      </w:hyperlink>
      <w:hyperlink r:id="rId282" w:history="1">
        <w:r>
          <w:rPr>
            <w:rFonts w:ascii="Times New Roman" w:hAnsi="Times New Roman"/>
            <w:sz w:val="24"/>
            <w:szCs w:val="24"/>
            <w:lang w:val="en-US" w:eastAsia="ru-RU"/>
          </w:rPr>
          <w:t>Tel</w:t>
        </w:r>
        <w:r>
          <w:rPr>
            <w:rFonts w:ascii="Times New Roman" w:hAnsi="Times New Roman"/>
            <w:sz w:val="24"/>
            <w:szCs w:val="24"/>
            <w:lang w:eastAsia="ru-RU"/>
          </w:rPr>
          <w:t>: 89841924527</w:t>
        </w:r>
      </w:hyperlink>
    </w:p>
    <w:p w:rsidR="00517711" w:rsidRDefault="00F815BE">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ул. Гоголя, 41, г. Владивосток, Приморский край, Россия, 690014</w:t>
      </w:r>
    </w:p>
    <w:p w:rsidR="00517711" w:rsidRDefault="00517711">
      <w:pPr>
        <w:spacing w:after="0" w:line="240" w:lineRule="auto"/>
        <w:ind w:firstLine="709"/>
        <w:jc w:val="center"/>
        <w:rPr>
          <w:rFonts w:ascii="Times New Roman" w:hAnsi="Times New Roman"/>
          <w:b/>
          <w:bCs/>
          <w:sz w:val="24"/>
          <w:szCs w:val="24"/>
        </w:rPr>
      </w:pP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lastRenderedPageBreak/>
        <w:t>В данной статье анализируются подходы к определению понятий имидж региона и экологический туризм, значимые для позиционирования Приморского края в контексте туристского аспекта территориального имиджа. Исследованы особенности восприятия Приморского края целевой аудиторией трех направлений: живущих на данной территории, приезжих и тех, кто никогда не бывал в крае. Выявлено, что одним из приоритетных направлений развития туризма в Приморском крае является экологический туризм. В статье анализируются результаты проведенных авторами социологических исследований с целью дальнейшего внедрения объектов для отдыха и проведения досуга.  Разработаны рекомендации по созданию туристского объекта, направленного на повышение привлекательности территории и формирование ее имиджевой составляющей.</w:t>
      </w:r>
    </w:p>
    <w:p w:rsidR="00517711" w:rsidRDefault="00F815BE">
      <w:pPr>
        <w:spacing w:after="0" w:line="240" w:lineRule="auto"/>
        <w:ind w:firstLine="851"/>
        <w:jc w:val="both"/>
        <w:rPr>
          <w:rFonts w:ascii="Times New Roman" w:hAnsi="Times New Roman"/>
          <w:sz w:val="24"/>
          <w:szCs w:val="24"/>
        </w:rPr>
      </w:pPr>
      <w:r>
        <w:rPr>
          <w:rFonts w:ascii="Times New Roman" w:hAnsi="Times New Roman"/>
          <w:b/>
          <w:bCs/>
          <w:sz w:val="24"/>
          <w:szCs w:val="24"/>
        </w:rPr>
        <w:t>Ключевые слова:</w:t>
      </w:r>
      <w:r>
        <w:rPr>
          <w:rFonts w:ascii="Times New Roman" w:hAnsi="Times New Roman"/>
          <w:sz w:val="24"/>
          <w:szCs w:val="24"/>
        </w:rPr>
        <w:t xml:space="preserve"> имидж территории; бренд; позиционирование; Приморский край; экологический туризм; юрт-кемпинг.</w:t>
      </w:r>
    </w:p>
    <w:p w:rsidR="00517711" w:rsidRDefault="00517711">
      <w:pPr>
        <w:spacing w:after="0" w:line="240" w:lineRule="auto"/>
        <w:ind w:firstLine="851"/>
        <w:jc w:val="both"/>
        <w:rPr>
          <w:rFonts w:ascii="Times New Roman" w:hAnsi="Times New Roman"/>
          <w:sz w:val="24"/>
          <w:szCs w:val="24"/>
        </w:rPr>
      </w:pPr>
    </w:p>
    <w:p w:rsidR="00517711" w:rsidRDefault="00F815BE">
      <w:pPr>
        <w:spacing w:after="0" w:line="240" w:lineRule="auto"/>
        <w:ind w:firstLine="851"/>
        <w:jc w:val="both"/>
        <w:rPr>
          <w:rFonts w:ascii="Times New Roman" w:hAnsi="Times New Roman"/>
          <w:b/>
          <w:bCs/>
          <w:sz w:val="24"/>
          <w:szCs w:val="24"/>
          <w:lang w:val="en-US"/>
        </w:rPr>
      </w:pPr>
      <w:r>
        <w:rPr>
          <w:rFonts w:ascii="Times New Roman" w:hAnsi="Times New Roman"/>
          <w:b/>
          <w:bCs/>
          <w:sz w:val="24"/>
          <w:szCs w:val="24"/>
          <w:lang w:val="en-US"/>
        </w:rPr>
        <w:t>The perspective of the developing ecological tourism in the context of forming the image of PrimorskyKrai</w:t>
      </w:r>
    </w:p>
    <w:p w:rsidR="00517711" w:rsidRDefault="00F815BE">
      <w:pPr>
        <w:spacing w:after="0" w:line="240" w:lineRule="auto"/>
        <w:ind w:firstLine="851"/>
        <w:jc w:val="both"/>
        <w:rPr>
          <w:rFonts w:ascii="Times New Roman" w:hAnsi="Times New Roman"/>
          <w:sz w:val="24"/>
          <w:szCs w:val="24"/>
          <w:lang w:val="en-US"/>
        </w:rPr>
      </w:pPr>
      <w:r>
        <w:rPr>
          <w:rFonts w:ascii="Times New Roman" w:hAnsi="Times New Roman"/>
          <w:sz w:val="24"/>
          <w:szCs w:val="24"/>
          <w:lang w:val="en-US"/>
        </w:rPr>
        <w:t>In this article are analyzed ways to name of notions: the image of the region and ecological tourism, significant for the positioning of PrimorskyKrai in the context of the tourist aspect of the territorial image. Was explore the features of perception of the Primorsky territory by the target audience of three directions: people living in the territory; visitors (tourists); people who have never been in this Krai. Was identifying that one of the priority directions of tourism development in PrimorskyKrai is ecological tourism. In the article analyze the results of sociological research for further introduction of leisure and rest.  Also was work out recommendations for creating tourist object directed to increase the attractiveness of territory and formation of image component.</w:t>
      </w:r>
    </w:p>
    <w:p w:rsidR="00517711" w:rsidRDefault="00F815BE">
      <w:pPr>
        <w:spacing w:after="0" w:line="240" w:lineRule="auto"/>
        <w:ind w:firstLine="851"/>
        <w:jc w:val="both"/>
        <w:rPr>
          <w:rFonts w:ascii="Times New Roman" w:hAnsi="Times New Roman"/>
          <w:color w:val="000000"/>
          <w:sz w:val="24"/>
          <w:szCs w:val="24"/>
          <w:lang w:val="en-US"/>
        </w:rPr>
      </w:pPr>
      <w:r>
        <w:rPr>
          <w:rFonts w:ascii="Times New Roman" w:hAnsi="Times New Roman"/>
          <w:b/>
          <w:bCs/>
          <w:sz w:val="24"/>
          <w:szCs w:val="24"/>
          <w:lang w:val="en-US"/>
        </w:rPr>
        <w:t>Key words:</w:t>
      </w:r>
      <w:r>
        <w:rPr>
          <w:rFonts w:ascii="Times New Roman" w:hAnsi="Times New Roman"/>
          <w:color w:val="000000"/>
          <w:sz w:val="24"/>
          <w:szCs w:val="24"/>
          <w:lang w:val="en-US"/>
        </w:rPr>
        <w:t xml:space="preserve"> image of the territory; brand; positioning; PrimorskyKrai; ecological tourism; yurt camping.</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Имидж территории – фактор, с помощью которого повышается привлекательность и конкурентоспособность региона. В современном мире необходимо создавать позитивный имидж территории, с помощью которого формируется социальная перспектива, образ будущего региона и социально – пространственные отношения. Позитивный имидж направлен на сохранение культурного наследия, окружающей среды и развитию туризма.</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Объектом нашего исследования является имидж территории.</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Предмет – экологический туризм, как важнейший фактор формирования имиджа территории.</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Цель: Разработка рекомендаций по внедрению туристского объекта для позиционирования    Приморского края в контексте туристского аспекта территориального имиджа.</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Задачи:</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t>Проанализировать подходы к определению понятий по теме исследования.</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ab/>
        <w:t>Исследовать особенности восприятия Приморского края целевой аудитории трех направлений: живущих на данной территории, приезжих и тех, кто никогда не бывал в крае.</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3.</w:t>
      </w:r>
      <w:r>
        <w:rPr>
          <w:rFonts w:ascii="Times New Roman" w:hAnsi="Times New Roman"/>
          <w:sz w:val="24"/>
          <w:szCs w:val="24"/>
        </w:rPr>
        <w:tab/>
        <w:t xml:space="preserve">Разработать рекомендации по созданию туристского объекта, направленного на повышение привлекательности территории и формирование ее имиджевой составляющей. </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В работе использовались структурно-функциональный, адаптационный подходы и методы: библиографический, анкетирования.</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Рассматривая теоретические подходы к определению понятий по теме исследования, мы выделили следующие характеристики, касающиеся основного направления исследования.</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Так, например, Кирюнин А.Е. рассматривает имидж региона как «… индивидуальный комплекс ассоциативных представлений, ядро которого – базовое представление, соотносимое индивидом с регионом» [1].</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lastRenderedPageBreak/>
        <w:t>Галумов Э.А. представляет имидж территории как комплекс ассоциаций, в котором прослеживается взаимосвязь характеристик государственных систем (экономических, культурных, национальных, географических, демографических и т.д.), сформированных в процессе эволюционного развития российской государственности. Тенденции социально-экономических, общественно-политических, национально-конфессиональных и иных процессов в регионе определяются эффективностью, последовательностью и согласованностью между собой всех звеньев многофакторной подсистемы мирового устройства.</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 xml:space="preserve">По мнению Эрдынеева Б.Ю. имидж территории – один из ключевых факторов конкурентоспособности региона, являющийся важным экономическим ресурсом. </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Наиболее обширное определение понятию дает Петрова Е.А. считая, что «имидж отражает современное состояние экономики, политики, населения, социальных институтов, географии и климата, особенностей истории, религии и культуры, менталитета населения, состояния науки и образования, спорта, в целом уровня развития и прогресса определенной территории (города, деревни, штата, региона, области) как части конкретной страны. Качество имиджа детерминировано характером и содержательностью поступающей информации, исторически сложившимися восприятием и отношением к стране, оценками в СМИ и рядом иных переменных» [2].</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Не удивительно, что наиболее неустойчив имидж страны оказывается в отношении политических событий, хотя бы потому, что именно они наиболее пристально отрабатываются в СМИ и, так или иначе, «оседают» в сознании обывателей.</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Имидж территории испытывает влияние со стороны, прежде всего психологических, политических, экономических факторов и представляет собой результат их взаимодействия.</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В рамках проекта «Видение 2025», осуществляемого администрацией Приморского края было проведено исследование, посвящённое анализу имиджевых характеристик Приморского края, и было выявлено, что наиболее привлекательным объектом для посещения региона является туризм.</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С целью изучения востребованности у целевой аудитории, которыми являются жители Приморья, туристы, предпринимательская среда, инвесторы – жители всей страны, различных направлений туризма, было проведено анкетирование (часть вопросов представлена на рис.1).</w:t>
      </w:r>
    </w:p>
    <w:p w:rsidR="00517711" w:rsidRDefault="00F815BE">
      <w:pPr>
        <w:spacing w:after="0" w:line="240" w:lineRule="auto"/>
        <w:jc w:val="both"/>
        <w:rPr>
          <w:rFonts w:ascii="Times New Roman" w:hAnsi="Times New Roman"/>
          <w:sz w:val="24"/>
          <w:szCs w:val="24"/>
        </w:rPr>
      </w:pPr>
      <w:r>
        <w:rPr>
          <w:noProof/>
          <w:lang w:eastAsia="ru-RU"/>
        </w:rPr>
        <w:lastRenderedPageBreak/>
        <w:drawing>
          <wp:anchor distT="0" distB="0" distL="114300" distR="114300" simplePos="0" relativeHeight="251658241" behindDoc="0" locked="0" layoutInCell="1" allowOverlap="1">
            <wp:simplePos x="0" y="0"/>
            <wp:positionH relativeFrom="margin">
              <wp:align>left</wp:align>
            </wp:positionH>
            <wp:positionV relativeFrom="margin">
              <wp:posOffset>117474</wp:posOffset>
            </wp:positionV>
            <wp:extent cx="2876549" cy="1605279"/>
            <wp:effectExtent l="0" t="0" r="0" b="0"/>
            <wp:wrapSquare wrapText="bothSides"/>
            <wp:docPr id="108" name="Рисунок 108"/>
            <wp:cNvGraphicFramePr/>
            <a:graphic xmlns:a="http://schemas.openxmlformats.org/drawingml/2006/main">
              <a:graphicData uri="http://schemas.openxmlformats.org/drawingml/2006/picture">
                <pic:pic xmlns:pic="http://schemas.openxmlformats.org/drawingml/2006/picture">
                  <pic:nvPicPr>
                    <pic:cNvPr id="37" name=""/>
                    <pic:cNvPicPr/>
                  </pic:nvPicPr>
                  <pic:blipFill>
                    <a:blip r:embed="rId283"/>
                    <a:stretch/>
                  </pic:blipFill>
                  <pic:spPr bwMode="auto">
                    <a:xfrm>
                      <a:off x="0" y="0"/>
                      <a:ext cx="2876550" cy="1605280"/>
                    </a:xfrm>
                    <a:prstGeom prst="rect">
                      <a:avLst/>
                    </a:prstGeom>
                    <a:noFill/>
                    <a:ln>
                      <a:noFill/>
                    </a:ln>
                  </pic:spPr>
                </pic:pic>
              </a:graphicData>
            </a:graphic>
          </wp:anchor>
        </w:drawing>
      </w:r>
      <w:r>
        <w:rPr>
          <w:rFonts w:ascii="Times New Roman" w:hAnsi="Times New Roman"/>
          <w:noProof/>
          <w:sz w:val="24"/>
          <w:szCs w:val="24"/>
          <w:lang w:eastAsia="ru-RU"/>
        </w:rPr>
        <w:drawing>
          <wp:inline distT="0" distB="0" distL="0" distR="0">
            <wp:extent cx="2910636" cy="1749957"/>
            <wp:effectExtent l="0" t="0" r="0" b="0"/>
            <wp:docPr id="109" name="Рисунок 109"/>
            <wp:cNvGraphicFramePr/>
            <a:graphic xmlns:a="http://schemas.openxmlformats.org/drawingml/2006/main">
              <a:graphicData uri="http://schemas.openxmlformats.org/drawingml/2006/picture">
                <pic:pic xmlns:pic="http://schemas.openxmlformats.org/drawingml/2006/picture">
                  <pic:nvPicPr>
                    <pic:cNvPr id="38" name=""/>
                    <pic:cNvPicPr/>
                  </pic:nvPicPr>
                  <pic:blipFill>
                    <a:blip r:embed="rId284"/>
                    <a:stretch/>
                  </pic:blipFill>
                  <pic:spPr bwMode="auto">
                    <a:xfrm>
                      <a:off x="0" y="0"/>
                      <a:ext cx="2910637" cy="1749958"/>
                    </a:xfrm>
                    <a:prstGeom prst="rect">
                      <a:avLst/>
                    </a:prstGeom>
                    <a:noFill/>
                    <a:ln>
                      <a:solidFill>
                        <a:srgbClr val="000000"/>
                      </a:solidFill>
                    </a:ln>
                  </pic:spPr>
                </pic:pic>
              </a:graphicData>
            </a:graphic>
          </wp:inline>
        </w:drawing>
      </w:r>
      <w:r>
        <w:rPr>
          <w:rFonts w:ascii="Times New Roman" w:hAnsi="Times New Roman"/>
          <w:noProof/>
          <w:sz w:val="24"/>
          <w:szCs w:val="24"/>
          <w:lang w:eastAsia="ru-RU"/>
        </w:rPr>
        <w:drawing>
          <wp:inline distT="0" distB="0" distL="0" distR="0">
            <wp:extent cx="2899714" cy="1521765"/>
            <wp:effectExtent l="0" t="0" r="0" b="0"/>
            <wp:docPr id="110" name="Рисунок 110"/>
            <wp:cNvGraphicFramePr/>
            <a:graphic xmlns:a="http://schemas.openxmlformats.org/drawingml/2006/main">
              <a:graphicData uri="http://schemas.openxmlformats.org/drawingml/2006/picture">
                <pic:pic xmlns:pic="http://schemas.openxmlformats.org/drawingml/2006/picture">
                  <pic:nvPicPr>
                    <pic:cNvPr id="39" name=""/>
                    <pic:cNvPicPr/>
                  </pic:nvPicPr>
                  <pic:blipFill>
                    <a:blip r:embed="rId285"/>
                    <a:stretch/>
                  </pic:blipFill>
                  <pic:spPr bwMode="auto">
                    <a:xfrm>
                      <a:off x="0" y="0"/>
                      <a:ext cx="2899715" cy="1521765"/>
                    </a:xfrm>
                    <a:prstGeom prst="rect">
                      <a:avLst/>
                    </a:prstGeom>
                    <a:noFill/>
                    <a:ln>
                      <a:solidFill>
                        <a:srgbClr val="000000"/>
                      </a:solidFill>
                    </a:ln>
                  </pic:spPr>
                </pic:pic>
              </a:graphicData>
            </a:graphic>
          </wp:inline>
        </w:drawing>
      </w:r>
      <w:r>
        <w:rPr>
          <w:rFonts w:ascii="Times New Roman" w:hAnsi="Times New Roman"/>
          <w:noProof/>
          <w:sz w:val="24"/>
          <w:szCs w:val="24"/>
          <w:lang w:eastAsia="ru-RU"/>
        </w:rPr>
        <w:drawing>
          <wp:inline distT="0" distB="0" distL="0" distR="0">
            <wp:extent cx="2688336" cy="1591830"/>
            <wp:effectExtent l="0" t="0" r="0" b="0"/>
            <wp:docPr id="111" name="Рисунок 111"/>
            <wp:cNvGraphicFramePr/>
            <a:graphic xmlns:a="http://schemas.openxmlformats.org/drawingml/2006/main">
              <a:graphicData uri="http://schemas.openxmlformats.org/drawingml/2006/picture">
                <pic:pic xmlns:pic="http://schemas.openxmlformats.org/drawingml/2006/picture">
                  <pic:nvPicPr>
                    <pic:cNvPr id="40" name=""/>
                    <pic:cNvPicPr/>
                  </pic:nvPicPr>
                  <pic:blipFill>
                    <a:blip r:embed="rId286"/>
                    <a:stretch/>
                  </pic:blipFill>
                  <pic:spPr bwMode="auto">
                    <a:xfrm>
                      <a:off x="0" y="0"/>
                      <a:ext cx="2688336" cy="1591831"/>
                    </a:xfrm>
                    <a:prstGeom prst="rect">
                      <a:avLst/>
                    </a:prstGeom>
                    <a:noFill/>
                    <a:ln>
                      <a:solidFill>
                        <a:srgbClr val="000000"/>
                      </a:solidFill>
                    </a:ln>
                  </pic:spPr>
                </pic:pic>
              </a:graphicData>
            </a:graphic>
          </wp:inline>
        </w:drawing>
      </w:r>
    </w:p>
    <w:p w:rsidR="00517711" w:rsidRDefault="00F815BE">
      <w:pPr>
        <w:spacing w:after="0" w:line="240" w:lineRule="auto"/>
        <w:jc w:val="center"/>
        <w:rPr>
          <w:rFonts w:ascii="Times New Roman" w:hAnsi="Times New Roman"/>
          <w:sz w:val="24"/>
          <w:szCs w:val="24"/>
        </w:rPr>
      </w:pPr>
      <w:r>
        <w:rPr>
          <w:rFonts w:ascii="Times New Roman" w:hAnsi="Times New Roman"/>
          <w:sz w:val="24"/>
          <w:szCs w:val="24"/>
        </w:rPr>
        <w:t>Рис.1</w:t>
      </w:r>
    </w:p>
    <w:p w:rsidR="00517711" w:rsidRDefault="00517711">
      <w:pPr>
        <w:spacing w:after="0" w:line="240" w:lineRule="auto"/>
        <w:jc w:val="both"/>
        <w:rPr>
          <w:rFonts w:ascii="Times New Roman" w:hAnsi="Times New Roman"/>
          <w:sz w:val="24"/>
          <w:szCs w:val="24"/>
        </w:rPr>
      </w:pP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 xml:space="preserve">По результатам исследования было выявлено, что 66,4 % жителей страны предпочитают экологический туризм, а цель поездки/путешествия – отдых (64%) и знакомство с культурой, обычаями, традициями других народов (44,1%). Также хочется отметить, что респонденты предпочитают отдыхать в других регионах страны. </w:t>
      </w:r>
    </w:p>
    <w:p w:rsidR="00517711" w:rsidRDefault="00F815BE">
      <w:pPr>
        <w:spacing w:after="0" w:line="240" w:lineRule="auto"/>
        <w:ind w:firstLine="900"/>
        <w:jc w:val="both"/>
        <w:rPr>
          <w:rFonts w:ascii="Times New Roman" w:hAnsi="Times New Roman"/>
          <w:color w:val="FF0000"/>
          <w:sz w:val="24"/>
          <w:szCs w:val="24"/>
        </w:rPr>
      </w:pPr>
      <w:r>
        <w:rPr>
          <w:rFonts w:ascii="Times New Roman" w:hAnsi="Times New Roman"/>
          <w:sz w:val="24"/>
          <w:szCs w:val="24"/>
        </w:rPr>
        <w:t xml:space="preserve">Наибольшее влияние на развитие экологического туризма оказывают следующие факторы, условно объединенные «в 4 группы: </w:t>
      </w:r>
    </w:p>
    <w:p w:rsidR="00517711" w:rsidRDefault="00F815BE">
      <w:pPr>
        <w:numPr>
          <w:ilvl w:val="0"/>
          <w:numId w:val="84"/>
        </w:numPr>
        <w:tabs>
          <w:tab w:val="clear" w:pos="1571"/>
          <w:tab w:val="left" w:pos="0"/>
          <w:tab w:val="left" w:pos="1260"/>
        </w:tabs>
        <w:spacing w:after="0" w:line="240" w:lineRule="auto"/>
        <w:ind w:left="0" w:firstLine="900"/>
        <w:jc w:val="both"/>
        <w:rPr>
          <w:rFonts w:ascii="Times New Roman" w:hAnsi="Times New Roman"/>
          <w:sz w:val="24"/>
          <w:szCs w:val="24"/>
        </w:rPr>
      </w:pPr>
      <w:r>
        <w:rPr>
          <w:rFonts w:ascii="Times New Roman" w:hAnsi="Times New Roman"/>
          <w:sz w:val="24"/>
          <w:szCs w:val="24"/>
        </w:rPr>
        <w:t>Государственное регулирование развития экологического туризма (12 факторов: состояние нормативно-правого, бюджетного, программного и научного обеспечения туристской деятельности, подготовка кадров для индустрии туризма, обеспечение информационно-рекламной поддержки развития туризма, эффективность налоговой политики и поддержки малого предпринимательства и др.);</w:t>
      </w:r>
    </w:p>
    <w:p w:rsidR="00517711" w:rsidRDefault="00F815BE">
      <w:pPr>
        <w:numPr>
          <w:ilvl w:val="0"/>
          <w:numId w:val="85"/>
        </w:numPr>
        <w:tabs>
          <w:tab w:val="clear" w:pos="1571"/>
          <w:tab w:val="left" w:pos="0"/>
          <w:tab w:val="left" w:pos="1260"/>
        </w:tabs>
        <w:spacing w:after="0" w:line="240" w:lineRule="auto"/>
        <w:ind w:left="0" w:firstLine="900"/>
        <w:jc w:val="both"/>
        <w:rPr>
          <w:rFonts w:ascii="Times New Roman" w:hAnsi="Times New Roman"/>
          <w:sz w:val="24"/>
          <w:szCs w:val="24"/>
        </w:rPr>
      </w:pPr>
      <w:r>
        <w:rPr>
          <w:rFonts w:ascii="Times New Roman" w:hAnsi="Times New Roman"/>
          <w:sz w:val="24"/>
          <w:szCs w:val="24"/>
        </w:rPr>
        <w:t>Состояние туристской инфраструктуры (12 факторов: развитие транспортной инфраструктуры, предприятий питания, средств размещения, учреждений образования и культуры, услуг предприятий сервиса, их ценовая обоснованность, доступность и др.);</w:t>
      </w:r>
    </w:p>
    <w:p w:rsidR="00517711" w:rsidRDefault="00F815BE">
      <w:pPr>
        <w:numPr>
          <w:ilvl w:val="0"/>
          <w:numId w:val="86"/>
        </w:numPr>
        <w:tabs>
          <w:tab w:val="clear" w:pos="1571"/>
          <w:tab w:val="left" w:pos="0"/>
          <w:tab w:val="left" w:pos="1260"/>
        </w:tabs>
        <w:spacing w:after="0" w:line="240" w:lineRule="auto"/>
        <w:ind w:left="0" w:firstLine="900"/>
        <w:jc w:val="both"/>
        <w:rPr>
          <w:rFonts w:ascii="Times New Roman" w:hAnsi="Times New Roman"/>
          <w:sz w:val="24"/>
          <w:szCs w:val="24"/>
        </w:rPr>
      </w:pPr>
      <w:r>
        <w:rPr>
          <w:rFonts w:ascii="Times New Roman" w:hAnsi="Times New Roman"/>
          <w:sz w:val="24"/>
          <w:szCs w:val="24"/>
        </w:rPr>
        <w:t>Качество природно-рекреационных ресурсов (12 факторов: диверсифицированность и доступность природных ресурсов, возможность развития на их основе туризма);</w:t>
      </w:r>
    </w:p>
    <w:p w:rsidR="00517711" w:rsidRDefault="00F815BE">
      <w:pPr>
        <w:numPr>
          <w:ilvl w:val="0"/>
          <w:numId w:val="87"/>
        </w:numPr>
        <w:tabs>
          <w:tab w:val="clear" w:pos="1571"/>
          <w:tab w:val="left" w:pos="0"/>
          <w:tab w:val="left" w:pos="1260"/>
        </w:tabs>
        <w:spacing w:after="0" w:line="240" w:lineRule="auto"/>
        <w:ind w:left="0" w:firstLine="900"/>
        <w:jc w:val="both"/>
        <w:rPr>
          <w:rFonts w:ascii="Times New Roman" w:hAnsi="Times New Roman"/>
          <w:sz w:val="24"/>
          <w:szCs w:val="24"/>
        </w:rPr>
      </w:pPr>
      <w:r>
        <w:rPr>
          <w:rFonts w:ascii="Times New Roman" w:hAnsi="Times New Roman"/>
          <w:sz w:val="24"/>
          <w:szCs w:val="24"/>
        </w:rPr>
        <w:t xml:space="preserve">Туристская среда региона (10 факторов: экологическое и медико-санитарное состояние региона, политическая стабильность, религиозная и культурная толерантность, уровень преступности и др.)» [3]. </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 xml:space="preserve">Экологический туризм как имиджевая составляющая региона наиболее полно соответствует решению задачи сбалансированности интересов в регионе: природоохранных, экономических и социальных. Более тесное взаимодействие туристов с национальной культурой региона дает симбиоз этнографического и экологического туризма, что в свою очередь способствует росту межкультурного аспекта: толерантности, понимания и уважения. «Этно – экотуристы наиболее тесно контактируют с местной культурой и этносом, неразрывно связанными с местной природой. Кроме того, грамотная разработка и инфраструктурное обеспечение организации экологического туризма и таких его видов, как этно-экотуризм, сельский туризм и др. могут стать основой для формирования уникального узнаваемого в мире туристского бренда региона, стать фактором повышения туристской аттрактивности региона, роста числа туристских прибытий, повышения вклада туризма в </w:t>
      </w:r>
      <w:r>
        <w:rPr>
          <w:rFonts w:ascii="Times New Roman" w:hAnsi="Times New Roman"/>
          <w:sz w:val="24"/>
          <w:szCs w:val="24"/>
        </w:rPr>
        <w:lastRenderedPageBreak/>
        <w:t>социально-экономическое развитие региона, развития внешнеэкономического сотрудничества» [3].</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 xml:space="preserve">«В России существуют три общепризнанных мировых территориальных бренда: Москва, Санкт-Петербург и Сибирь. В определенной мере к этой тройке вполне может быть прибавлен Байкал» [4]. На место в этом ряду претендует олимпийский Сочи, а после ВЭФ – Приморский край. </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По данным сервиса поиска отелей RoomGuru.ru Приморский край возглавил рейтинг самых популярных по экологическому туризму регионов России. Также в первую десятку входят Красноярский край, Московская область, Вологодская область, Алтайский край, Республики Карелия, Хакасия, Бурятия, Коми и Камчатский край.</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По мнению сотрудников Туристско-информационного центра Приморского края, экологический туризм в нашем регионе становится еще более популярным.</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В Приморье расположено около 900 памятников природы, в том числе 13 заказников, три национальных парка, ботанические сады, озера, водопады и другие, интересные для любителей экологического туризма достопримечательности. На территории края в Хасанском районе под Нарвинским перевалом в прошлом году открыт первый в России 575-метровый экологический тоннель.</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 xml:space="preserve">Помимо этого, у туристов есть возможность посетить приморские заповедники, эко-маршруты, объект Всемирного наследия ЮНЕСКО – Сихотэ-Алинский горный хребет, единственный в России Морской биосферный заповедник, уникальный национальный парк «Земля леопарда», а также единственную в мире островную тисовую рощу на острове Петрова. </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После определения преобладающей сферы в туризме, была предложена анкета, посвященная анализу развития экологического туризма в контексте формирования имиджа Приморского края (часть вопросов представлена на рис.2). По результатам второй анкеты были выявлены наиболее известные места экологического туризма в крае и выбран новый объект для проектирования.</w:t>
      </w:r>
    </w:p>
    <w:p w:rsidR="00517711" w:rsidRDefault="00F815BE">
      <w:pPr>
        <w:spacing w:after="0" w:line="240" w:lineRule="auto"/>
        <w:jc w:val="both"/>
        <w:rPr>
          <w:rFonts w:ascii="Times New Roman" w:hAnsi="Times New Roman"/>
          <w:sz w:val="24"/>
          <w:szCs w:val="24"/>
        </w:rPr>
      </w:pPr>
      <w:r>
        <w:rPr>
          <w:rFonts w:ascii="Times New Roman" w:hAnsi="Times New Roman"/>
          <w:noProof/>
          <w:sz w:val="24"/>
          <w:szCs w:val="24"/>
          <w:lang w:eastAsia="ru-RU"/>
        </w:rPr>
        <w:drawing>
          <wp:inline distT="0" distB="0" distL="0" distR="0">
            <wp:extent cx="3111055" cy="1542643"/>
            <wp:effectExtent l="0" t="0" r="0" b="0"/>
            <wp:docPr id="112" name="Рисунок 112"/>
            <wp:cNvGraphicFramePr/>
            <a:graphic xmlns:a="http://schemas.openxmlformats.org/drawingml/2006/main">
              <a:graphicData uri="http://schemas.openxmlformats.org/drawingml/2006/picture">
                <pic:pic xmlns:pic="http://schemas.openxmlformats.org/drawingml/2006/picture">
                  <pic:nvPicPr>
                    <pic:cNvPr id="41" name=""/>
                    <pic:cNvPicPr/>
                  </pic:nvPicPr>
                  <pic:blipFill>
                    <a:blip r:embed="rId287"/>
                    <a:stretch/>
                  </pic:blipFill>
                  <pic:spPr bwMode="auto">
                    <a:xfrm>
                      <a:off x="0" y="0"/>
                      <a:ext cx="3111056" cy="1542644"/>
                    </a:xfrm>
                    <a:prstGeom prst="rect">
                      <a:avLst/>
                    </a:prstGeom>
                    <a:noFill/>
                    <a:ln>
                      <a:solidFill>
                        <a:srgbClr val="000000"/>
                      </a:solidFill>
                    </a:ln>
                  </pic:spPr>
                </pic:pic>
              </a:graphicData>
            </a:graphic>
          </wp:inline>
        </w:drawing>
      </w:r>
      <w:r>
        <w:rPr>
          <w:rFonts w:ascii="Times New Roman" w:hAnsi="Times New Roman"/>
          <w:noProof/>
          <w:sz w:val="24"/>
          <w:szCs w:val="24"/>
          <w:lang w:eastAsia="ru-RU"/>
        </w:rPr>
        <w:drawing>
          <wp:inline distT="0" distB="0" distL="0" distR="0">
            <wp:extent cx="2766364" cy="1524483"/>
            <wp:effectExtent l="0" t="0" r="0" b="0"/>
            <wp:docPr id="113" name="Рисунок 113"/>
            <wp:cNvGraphicFramePr/>
            <a:graphic xmlns:a="http://schemas.openxmlformats.org/drawingml/2006/main">
              <a:graphicData uri="http://schemas.openxmlformats.org/drawingml/2006/picture">
                <pic:pic xmlns:pic="http://schemas.openxmlformats.org/drawingml/2006/picture">
                  <pic:nvPicPr>
                    <pic:cNvPr id="42" name=""/>
                    <pic:cNvPicPr/>
                  </pic:nvPicPr>
                  <pic:blipFill>
                    <a:blip r:embed="rId288"/>
                    <a:stretch/>
                  </pic:blipFill>
                  <pic:spPr bwMode="auto">
                    <a:xfrm>
                      <a:off x="0" y="0"/>
                      <a:ext cx="2766365" cy="1524483"/>
                    </a:xfrm>
                    <a:prstGeom prst="rect">
                      <a:avLst/>
                    </a:prstGeom>
                    <a:noFill/>
                    <a:ln>
                      <a:solidFill>
                        <a:srgbClr val="000000"/>
                      </a:solidFill>
                    </a:ln>
                  </pic:spPr>
                </pic:pic>
              </a:graphicData>
            </a:graphic>
          </wp:inline>
        </w:drawing>
      </w:r>
    </w:p>
    <w:p w:rsidR="00517711" w:rsidRDefault="00F815BE">
      <w:pPr>
        <w:spacing w:after="0" w:line="240" w:lineRule="auto"/>
        <w:jc w:val="both"/>
        <w:rPr>
          <w:rFonts w:ascii="Times New Roman" w:hAnsi="Times New Roman"/>
          <w:sz w:val="24"/>
          <w:szCs w:val="24"/>
        </w:rPr>
      </w:pPr>
      <w:r>
        <w:rPr>
          <w:rFonts w:ascii="Times New Roman" w:hAnsi="Times New Roman"/>
          <w:noProof/>
          <w:sz w:val="24"/>
          <w:szCs w:val="24"/>
          <w:lang w:eastAsia="ru-RU"/>
        </w:rPr>
        <w:drawing>
          <wp:inline distT="0" distB="0" distL="0" distR="0">
            <wp:extent cx="2862452" cy="1755648"/>
            <wp:effectExtent l="0" t="0" r="0" b="0"/>
            <wp:docPr id="114" name="Рисунок 114"/>
            <wp:cNvGraphicFramePr/>
            <a:graphic xmlns:a="http://schemas.openxmlformats.org/drawingml/2006/main">
              <a:graphicData uri="http://schemas.openxmlformats.org/drawingml/2006/picture">
                <pic:pic xmlns:pic="http://schemas.openxmlformats.org/drawingml/2006/picture">
                  <pic:nvPicPr>
                    <pic:cNvPr id="43" name=""/>
                    <pic:cNvPicPr/>
                  </pic:nvPicPr>
                  <pic:blipFill>
                    <a:blip r:embed="rId289"/>
                    <a:srcRect l="23729" t="29662" r="26242" b="25859"/>
                    <a:stretch/>
                  </pic:blipFill>
                  <pic:spPr bwMode="auto">
                    <a:xfrm>
                      <a:off x="0" y="0"/>
                      <a:ext cx="2862453" cy="1755648"/>
                    </a:xfrm>
                    <a:prstGeom prst="rect">
                      <a:avLst/>
                    </a:prstGeom>
                    <a:noFill/>
                    <a:ln>
                      <a:solidFill>
                        <a:srgbClr val="000000"/>
                      </a:solidFill>
                    </a:ln>
                  </pic:spPr>
                </pic:pic>
              </a:graphicData>
            </a:graphic>
          </wp:inline>
        </w:drawing>
      </w:r>
      <w:r>
        <w:rPr>
          <w:rFonts w:ascii="Times New Roman" w:hAnsi="Times New Roman"/>
          <w:noProof/>
          <w:sz w:val="24"/>
          <w:szCs w:val="24"/>
          <w:lang w:eastAsia="ru-RU"/>
        </w:rPr>
        <w:drawing>
          <wp:inline distT="0" distB="0" distL="0" distR="0">
            <wp:extent cx="2899714" cy="1858923"/>
            <wp:effectExtent l="0" t="0" r="0" b="0"/>
            <wp:docPr id="115" name="Рисунок 115"/>
            <wp:cNvGraphicFramePr/>
            <a:graphic xmlns:a="http://schemas.openxmlformats.org/drawingml/2006/main">
              <a:graphicData uri="http://schemas.openxmlformats.org/drawingml/2006/picture">
                <pic:pic xmlns:pic="http://schemas.openxmlformats.org/drawingml/2006/picture">
                  <pic:nvPicPr>
                    <pic:cNvPr id="44" name=""/>
                    <pic:cNvPicPr/>
                  </pic:nvPicPr>
                  <pic:blipFill>
                    <a:blip r:embed="rId290"/>
                    <a:stretch/>
                  </pic:blipFill>
                  <pic:spPr bwMode="auto">
                    <a:xfrm>
                      <a:off x="0" y="0"/>
                      <a:ext cx="2899715" cy="1858924"/>
                    </a:xfrm>
                    <a:prstGeom prst="rect">
                      <a:avLst/>
                    </a:prstGeom>
                    <a:noFill/>
                    <a:ln>
                      <a:solidFill>
                        <a:srgbClr val="000000"/>
                      </a:solidFill>
                    </a:ln>
                  </pic:spPr>
                </pic:pic>
              </a:graphicData>
            </a:graphic>
          </wp:inline>
        </w:drawing>
      </w:r>
    </w:p>
    <w:p w:rsidR="00517711" w:rsidRDefault="00F815BE">
      <w:pPr>
        <w:spacing w:after="0" w:line="240" w:lineRule="auto"/>
        <w:jc w:val="both"/>
        <w:rPr>
          <w:lang w:eastAsia="ru-RU"/>
        </w:rPr>
      </w:pPr>
      <w:r>
        <w:rPr>
          <w:rFonts w:ascii="Times New Roman" w:hAnsi="Times New Roman"/>
          <w:noProof/>
          <w:sz w:val="24"/>
          <w:szCs w:val="24"/>
          <w:lang w:eastAsia="ru-RU"/>
        </w:rPr>
        <w:lastRenderedPageBreak/>
        <w:drawing>
          <wp:inline distT="0" distB="0" distL="0" distR="0">
            <wp:extent cx="2618993" cy="1620392"/>
            <wp:effectExtent l="0" t="0" r="0" b="0"/>
            <wp:docPr id="116" name="Рисунок 116"/>
            <wp:cNvGraphicFramePr/>
            <a:graphic xmlns:a="http://schemas.openxmlformats.org/drawingml/2006/main">
              <a:graphicData uri="http://schemas.openxmlformats.org/drawingml/2006/picture">
                <pic:pic xmlns:pic="http://schemas.openxmlformats.org/drawingml/2006/picture">
                  <pic:nvPicPr>
                    <pic:cNvPr id="45" name=""/>
                    <pic:cNvPicPr/>
                  </pic:nvPicPr>
                  <pic:blipFill>
                    <a:blip r:embed="rId291"/>
                    <a:stretch/>
                  </pic:blipFill>
                  <pic:spPr bwMode="auto">
                    <a:xfrm>
                      <a:off x="0" y="0"/>
                      <a:ext cx="2618994" cy="1620393"/>
                    </a:xfrm>
                    <a:prstGeom prst="rect">
                      <a:avLst/>
                    </a:prstGeom>
                    <a:noFill/>
                    <a:ln>
                      <a:solidFill>
                        <a:srgbClr val="000000"/>
                      </a:solidFill>
                    </a:ln>
                  </pic:spPr>
                </pic:pic>
              </a:graphicData>
            </a:graphic>
          </wp:inline>
        </w:drawing>
      </w:r>
      <w:r>
        <w:rPr>
          <w:noProof/>
          <w:lang w:eastAsia="ru-RU"/>
        </w:rPr>
        <w:drawing>
          <wp:inline distT="0" distB="0" distL="0" distR="0">
            <wp:extent cx="2446095" cy="1536192"/>
            <wp:effectExtent l="0" t="0" r="0" b="0"/>
            <wp:docPr id="117" name="Рисунок 117"/>
            <wp:cNvGraphicFramePr/>
            <a:graphic xmlns:a="http://schemas.openxmlformats.org/drawingml/2006/main">
              <a:graphicData uri="http://schemas.openxmlformats.org/drawingml/2006/picture">
                <pic:pic xmlns:pic="http://schemas.openxmlformats.org/drawingml/2006/picture">
                  <pic:nvPicPr>
                    <pic:cNvPr id="46" name=""/>
                    <pic:cNvPicPr/>
                  </pic:nvPicPr>
                  <pic:blipFill>
                    <a:blip r:embed="rId292"/>
                    <a:srcRect l="24187" t="30650" r="26299" b="29670"/>
                    <a:stretch/>
                  </pic:blipFill>
                  <pic:spPr bwMode="auto">
                    <a:xfrm>
                      <a:off x="0" y="0"/>
                      <a:ext cx="2446096" cy="1536192"/>
                    </a:xfrm>
                    <a:prstGeom prst="rect">
                      <a:avLst/>
                    </a:prstGeom>
                    <a:noFill/>
                    <a:ln>
                      <a:solidFill>
                        <a:srgbClr val="000000"/>
                      </a:solidFill>
                    </a:ln>
                  </pic:spPr>
                </pic:pic>
              </a:graphicData>
            </a:graphic>
          </wp:inline>
        </w:drawing>
      </w:r>
    </w:p>
    <w:p w:rsidR="00517711" w:rsidRDefault="00F815BE">
      <w:pPr>
        <w:spacing w:after="0" w:line="240" w:lineRule="auto"/>
        <w:jc w:val="center"/>
        <w:rPr>
          <w:rFonts w:ascii="Times New Roman" w:hAnsi="Times New Roman"/>
          <w:sz w:val="24"/>
          <w:szCs w:val="24"/>
        </w:rPr>
      </w:pPr>
      <w:r>
        <w:rPr>
          <w:rFonts w:ascii="Times New Roman" w:hAnsi="Times New Roman"/>
          <w:lang w:eastAsia="ru-RU"/>
        </w:rPr>
        <w:t>Рис. 2</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 xml:space="preserve">По результатам опроса 64% гостей и жителей Приморского края выбрали из предложенного перечня, в который вошли следующие объекты: экстремальный тур по мысу Тобизина, юрт-кемпинг, путешествие на необитаемый остров и центр «Эко Family» (рис.3), создание такого объекта экологического туризма, как «Юрт-кемпинг», проект которого в дальнейшем был разработан. </w:t>
      </w:r>
    </w:p>
    <w:p w:rsidR="00517711" w:rsidRDefault="00F815BE">
      <w:pPr>
        <w:spacing w:after="0" w:line="240" w:lineRule="auto"/>
        <w:ind w:firstLine="851"/>
        <w:jc w:val="center"/>
        <w:rPr>
          <w:rFonts w:ascii="Times New Roman" w:hAnsi="Times New Roman"/>
          <w:sz w:val="24"/>
          <w:szCs w:val="24"/>
        </w:rPr>
      </w:pPr>
      <w:r>
        <w:rPr>
          <w:rFonts w:ascii="Times New Roman" w:hAnsi="Times New Roman"/>
          <w:noProof/>
          <w:sz w:val="24"/>
          <w:szCs w:val="24"/>
          <w:lang w:eastAsia="ru-RU"/>
        </w:rPr>
        <w:drawing>
          <wp:inline distT="0" distB="0" distL="0" distR="0">
            <wp:extent cx="3779519" cy="3779519"/>
            <wp:effectExtent l="0" t="0" r="0" b="0"/>
            <wp:docPr id="118" name="Рисунок 118"/>
            <wp:cNvGraphicFramePr/>
            <a:graphic xmlns:a="http://schemas.openxmlformats.org/drawingml/2006/main">
              <a:graphicData uri="http://schemas.openxmlformats.org/drawingml/2006/picture">
                <pic:pic xmlns:pic="http://schemas.openxmlformats.org/drawingml/2006/picture">
                  <pic:nvPicPr>
                    <pic:cNvPr id="47" name=""/>
                    <pic:cNvPicPr/>
                  </pic:nvPicPr>
                  <pic:blipFill>
                    <a:blip r:embed="rId293"/>
                    <a:stretch/>
                  </pic:blipFill>
                  <pic:spPr bwMode="auto">
                    <a:xfrm>
                      <a:off x="0" y="0"/>
                      <a:ext cx="3779520" cy="3779520"/>
                    </a:xfrm>
                    <a:prstGeom prst="rect">
                      <a:avLst/>
                    </a:prstGeom>
                    <a:noFill/>
                    <a:ln>
                      <a:solidFill>
                        <a:srgbClr val="000000"/>
                      </a:solidFill>
                    </a:ln>
                  </pic:spPr>
                </pic:pic>
              </a:graphicData>
            </a:graphic>
          </wp:inline>
        </w:drawing>
      </w:r>
    </w:p>
    <w:p w:rsidR="00517711" w:rsidRDefault="00F815BE">
      <w:pPr>
        <w:spacing w:after="0" w:line="240" w:lineRule="auto"/>
        <w:ind w:firstLine="851"/>
        <w:jc w:val="center"/>
        <w:rPr>
          <w:rFonts w:ascii="Times New Roman" w:hAnsi="Times New Roman"/>
          <w:sz w:val="24"/>
          <w:szCs w:val="24"/>
        </w:rPr>
      </w:pPr>
      <w:r>
        <w:rPr>
          <w:rFonts w:ascii="Times New Roman" w:hAnsi="Times New Roman"/>
          <w:sz w:val="24"/>
          <w:szCs w:val="24"/>
        </w:rPr>
        <w:t>Рис. 3</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Целевую аудиторию следует выбирать в зависимости от места расположения базы. Если она будет дислоцироваться недалеко от многонаселенного города, логичнее всего предлагать услуги обычным горожанам. В таком случае потребуется обустроить юрты для семейных пар и домики семейного типа, создать удобную парковку для личного транспорта отдыхающих, организовать детскую площадку и уютный песчаный пляж.</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Если место для юрт-кемпинга выбрано специфическое – отдаленное от населенных пунктов, рядом с изобилующим рыбой водоемом и богатым лесом, будет уместно позиционировать его как пристанище для охотников и рыбаков. Эта категория населения готова ехать далеко и терпеть любые лишения, чтобы насладиться собственным хобби. Для данной аудитории необходимо организовать уютный кемпинг: баня, большая площадка для автомобилей, прицепов, снегоходов и лодок.</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Еще одни вариант позиционирования юрт-кемпинга – центр для любителей экстремальных видов спорта. Скалолазы, любители ездить по горам на велосипедах и мотоциклах по достоинству оценят возможность отдыхать с комфортом.</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 xml:space="preserve">Исходя из вышесказанного, были выбраны месторасположения юрт-кемпинга: </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lastRenderedPageBreak/>
        <w:t>1. Остров Русский (безлюдная часть острова с красивым видом);</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2. Хасанский район – полуостров Янковского;</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3. Подножье Ливадийской горы – Пидан.</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В ходе работы были составлены списки уникальных летних и зимних коммерческих предложений, которые будут предоставляться на территории юрт-кемпинга:</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Летние услуги:</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Катание на лошадях;</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Посещение пчелиной пасеки (экскурсия и знакомство с процессом сбора меда);</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Летняя рыбалка с берега и с лодки;</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Поход за ягодами в лес;</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Прогулки по сосновому бору;</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Каждый вечер – новое национальное блюдо: участие в процессе + дегустация;</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Просмотр фильмов под звёздным небом.</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Зимние услуги:</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Катание на коньках / лыжах / сноубордах / санках / собачьих упряжках;</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Катание с большой горки на тюбингах;</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Зимняя рыбалка;</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Поэтические вечера;</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Каждый вечер – новое национальное блюдо: участие в процессе + дегустация;</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Поднятие на высокую гору.</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В связи с ростом потребности населения в туризме и отдыхе, с экономическими преобразованиями, с обострением экологических проблем в стране и, в частности, в Приморском крае создается социально-экономическая ситуация, при которой на первый план выступает организация рекреационной деятельности, не только как исследовательская, но и как градостроительная, экономическая, социальная и экологическая задачи.</w:t>
      </w:r>
    </w:p>
    <w:p w:rsidR="00517711" w:rsidRDefault="00F815BE">
      <w:pPr>
        <w:jc w:val="both"/>
      </w:pPr>
      <w:r>
        <w:t>__________________________________________</w:t>
      </w:r>
    </w:p>
    <w:p w:rsidR="00517711" w:rsidRDefault="00F815BE">
      <w:pPr>
        <w:pStyle w:val="af4"/>
        <w:numPr>
          <w:ilvl w:val="0"/>
          <w:numId w:val="88"/>
        </w:numPr>
        <w:spacing w:after="0" w:line="240" w:lineRule="auto"/>
        <w:ind w:left="714" w:hanging="356"/>
        <w:jc w:val="both"/>
        <w:rPr>
          <w:rFonts w:ascii="Times New Roman" w:hAnsi="Times New Roman"/>
          <w:sz w:val="24"/>
          <w:szCs w:val="24"/>
        </w:rPr>
      </w:pPr>
      <w:r>
        <w:rPr>
          <w:rFonts w:ascii="Times New Roman" w:hAnsi="Times New Roman"/>
          <w:color w:val="000000"/>
          <w:sz w:val="24"/>
          <w:szCs w:val="24"/>
          <w:shd w:val="clear" w:color="auto" w:fill="FFFFFF"/>
        </w:rPr>
        <w:t>Кирюнин А.Е. Имидж региона как интериоризация культуры. - М.: Книжный дом «Университет», 2000. - 144 с.</w:t>
      </w:r>
    </w:p>
    <w:p w:rsidR="00517711" w:rsidRDefault="00F815BE">
      <w:pPr>
        <w:pStyle w:val="af4"/>
        <w:numPr>
          <w:ilvl w:val="0"/>
          <w:numId w:val="88"/>
        </w:numPr>
        <w:spacing w:after="0" w:line="240" w:lineRule="auto"/>
        <w:ind w:left="714" w:hanging="356"/>
        <w:jc w:val="both"/>
        <w:rPr>
          <w:rFonts w:ascii="Times New Roman" w:hAnsi="Times New Roman"/>
          <w:sz w:val="24"/>
          <w:szCs w:val="24"/>
        </w:rPr>
      </w:pPr>
      <w:r>
        <w:rPr>
          <w:rFonts w:ascii="Times New Roman" w:hAnsi="Times New Roman"/>
          <w:sz w:val="24"/>
          <w:szCs w:val="24"/>
        </w:rPr>
        <w:t>Имиджелогия - 2008: имидж как инструмент привлекательности и конкурентоспособности: материалы шестого междунар. симп. по имиджелогии / гл. ред. Е. А. Петрова; Акад. имиджелогии, РГСУ, РПО. - М.: РИЦ АИМ, 2008. - 347 с.</w:t>
      </w:r>
    </w:p>
    <w:p w:rsidR="00517711" w:rsidRDefault="00F815BE">
      <w:pPr>
        <w:pStyle w:val="af4"/>
        <w:numPr>
          <w:ilvl w:val="0"/>
          <w:numId w:val="88"/>
        </w:numPr>
        <w:spacing w:after="0" w:line="240" w:lineRule="auto"/>
        <w:ind w:left="714" w:hanging="356"/>
        <w:jc w:val="both"/>
        <w:rPr>
          <w:rFonts w:ascii="Times New Roman" w:hAnsi="Times New Roman"/>
          <w:sz w:val="24"/>
          <w:szCs w:val="24"/>
        </w:rPr>
      </w:pPr>
      <w:r>
        <w:rPr>
          <w:rFonts w:ascii="Times New Roman" w:hAnsi="Times New Roman"/>
          <w:sz w:val="24"/>
          <w:szCs w:val="24"/>
        </w:rPr>
        <w:t xml:space="preserve">Гатауллина С.Ю., Коссов А.Ю., Моханнад М.А. Исследование факторов, влияющих на развитие экологического туризма в регионе (на примере Приморского края) // Интернет-журнал «НАУКОВЕДЕНИЕ» Том 8, №6 (2016) </w:t>
      </w:r>
    </w:p>
    <w:p w:rsidR="00517711" w:rsidRDefault="00F815BE">
      <w:pPr>
        <w:pStyle w:val="af4"/>
        <w:numPr>
          <w:ilvl w:val="0"/>
          <w:numId w:val="88"/>
        </w:numPr>
        <w:spacing w:after="0" w:line="240" w:lineRule="auto"/>
        <w:ind w:left="714" w:hanging="356"/>
        <w:jc w:val="both"/>
        <w:rPr>
          <w:rFonts w:ascii="Times New Roman" w:hAnsi="Times New Roman"/>
          <w:sz w:val="24"/>
          <w:szCs w:val="24"/>
        </w:rPr>
      </w:pPr>
      <w:r>
        <w:rPr>
          <w:rFonts w:ascii="Times New Roman" w:hAnsi="Times New Roman"/>
          <w:sz w:val="24"/>
          <w:szCs w:val="24"/>
        </w:rPr>
        <w:t>Панкрухин А. Маркетинговые резервы российских туристских дестинаций. –М.: «АМА Пресс», 2012. – 40 с.</w:t>
      </w:r>
    </w:p>
    <w:p w:rsidR="00517711" w:rsidRDefault="00F815BE">
      <w:pPr>
        <w:pStyle w:val="af4"/>
        <w:numPr>
          <w:ilvl w:val="0"/>
          <w:numId w:val="88"/>
        </w:numPr>
        <w:spacing w:after="0" w:line="240" w:lineRule="auto"/>
        <w:jc w:val="both"/>
        <w:rPr>
          <w:rFonts w:ascii="Times New Roman" w:hAnsi="Times New Roman"/>
          <w:sz w:val="24"/>
          <w:szCs w:val="24"/>
        </w:rPr>
      </w:pPr>
      <w:r>
        <w:rPr>
          <w:rFonts w:ascii="Times New Roman" w:hAnsi="Times New Roman"/>
          <w:sz w:val="24"/>
          <w:szCs w:val="24"/>
        </w:rPr>
        <w:t>Петрова, Е.А. Имиджелогия — 2013: Запад - Восток: Имиджевый Диалог:</w:t>
      </w:r>
    </w:p>
    <w:p w:rsidR="00517711" w:rsidRDefault="00F815BE">
      <w:pPr>
        <w:pStyle w:val="af4"/>
        <w:spacing w:after="0" w:line="240" w:lineRule="auto"/>
        <w:jc w:val="both"/>
        <w:rPr>
          <w:rFonts w:ascii="Times New Roman" w:hAnsi="Times New Roman"/>
          <w:sz w:val="24"/>
          <w:szCs w:val="24"/>
        </w:rPr>
      </w:pPr>
      <w:r>
        <w:rPr>
          <w:rFonts w:ascii="Times New Roman" w:hAnsi="Times New Roman"/>
          <w:sz w:val="24"/>
          <w:szCs w:val="24"/>
        </w:rPr>
        <w:t>Материалы XI Международного симпозиума по имиджелогии/ Под</w:t>
      </w:r>
    </w:p>
    <w:p w:rsidR="00517711" w:rsidRDefault="00F815BE">
      <w:pPr>
        <w:pStyle w:val="af4"/>
        <w:spacing w:after="0" w:line="240" w:lineRule="auto"/>
        <w:jc w:val="both"/>
        <w:rPr>
          <w:rFonts w:ascii="Times New Roman" w:hAnsi="Times New Roman"/>
          <w:sz w:val="24"/>
          <w:szCs w:val="24"/>
        </w:rPr>
      </w:pPr>
      <w:r>
        <w:rPr>
          <w:rFonts w:ascii="Times New Roman" w:hAnsi="Times New Roman"/>
          <w:sz w:val="24"/>
          <w:szCs w:val="24"/>
        </w:rPr>
        <w:t>ред. E.A. Петровой. - М., 2013</w:t>
      </w: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F815BE">
      <w:pPr>
        <w:spacing w:after="0" w:line="240" w:lineRule="auto"/>
        <w:rPr>
          <w:rFonts w:ascii="Times New Roman" w:hAnsi="Times New Roman"/>
          <w:sz w:val="24"/>
        </w:rPr>
      </w:pPr>
      <w:r>
        <w:rPr>
          <w:rFonts w:ascii="Times New Roman" w:hAnsi="Times New Roman"/>
          <w:sz w:val="24"/>
        </w:rPr>
        <w:t>Рубрика: Математические и инструментальные методы экономики</w:t>
      </w:r>
      <w:r>
        <w:rPr>
          <w:rFonts w:ascii="Times New Roman" w:hAnsi="Times New Roman"/>
          <w:sz w:val="24"/>
        </w:rPr>
        <w:br/>
      </w:r>
    </w:p>
    <w:p w:rsidR="00517711" w:rsidRDefault="00F815BE">
      <w:pPr>
        <w:spacing w:after="0" w:line="240" w:lineRule="auto"/>
        <w:rPr>
          <w:rFonts w:ascii="Times New Roman" w:hAnsi="Times New Roman"/>
          <w:sz w:val="24"/>
        </w:rPr>
      </w:pPr>
      <w:r>
        <w:rPr>
          <w:rFonts w:ascii="Times New Roman" w:hAnsi="Times New Roman"/>
          <w:sz w:val="24"/>
        </w:rPr>
        <w:t>УДК 65.012</w:t>
      </w:r>
    </w:p>
    <w:p w:rsidR="00517711" w:rsidRDefault="00517711">
      <w:pPr>
        <w:spacing w:after="0" w:line="240" w:lineRule="auto"/>
        <w:jc w:val="center"/>
        <w:rPr>
          <w:rFonts w:ascii="Times New Roman" w:hAnsi="Times New Roman"/>
          <w:b/>
          <w:sz w:val="24"/>
        </w:rPr>
      </w:pPr>
    </w:p>
    <w:p w:rsidR="00517711" w:rsidRDefault="00F815BE">
      <w:pPr>
        <w:spacing w:after="0" w:line="240" w:lineRule="auto"/>
        <w:jc w:val="center"/>
        <w:rPr>
          <w:rFonts w:ascii="Times New Roman" w:hAnsi="Times New Roman"/>
          <w:b/>
          <w:sz w:val="24"/>
        </w:rPr>
      </w:pPr>
      <w:r>
        <w:rPr>
          <w:rFonts w:ascii="Times New Roman" w:hAnsi="Times New Roman"/>
          <w:b/>
          <w:sz w:val="24"/>
        </w:rPr>
        <w:lastRenderedPageBreak/>
        <w:t>Определение характеристик отношений организации со стейкхолдерами с использованием метода нечеткого логического вывода</w:t>
      </w:r>
    </w:p>
    <w:p w:rsidR="00517711" w:rsidRDefault="00517711">
      <w:pPr>
        <w:spacing w:after="0" w:line="240" w:lineRule="auto"/>
        <w:jc w:val="center"/>
        <w:rPr>
          <w:rFonts w:ascii="Times New Roman" w:hAnsi="Times New Roman"/>
          <w:sz w:val="24"/>
        </w:rPr>
      </w:pPr>
    </w:p>
    <w:p w:rsidR="00517711" w:rsidRDefault="00F815BE">
      <w:pPr>
        <w:spacing w:after="0" w:line="240" w:lineRule="auto"/>
        <w:jc w:val="center"/>
        <w:rPr>
          <w:rFonts w:ascii="Times New Roman" w:hAnsi="Times New Roman"/>
          <w:sz w:val="24"/>
        </w:rPr>
      </w:pPr>
      <w:r>
        <w:rPr>
          <w:rFonts w:ascii="Times New Roman" w:hAnsi="Times New Roman"/>
          <w:sz w:val="24"/>
        </w:rPr>
        <w:t>Гресько Александр Александрович,</w:t>
      </w:r>
    </w:p>
    <w:p w:rsidR="00517711" w:rsidRDefault="00F815BE">
      <w:pPr>
        <w:spacing w:after="0" w:line="240" w:lineRule="auto"/>
        <w:jc w:val="center"/>
        <w:rPr>
          <w:rFonts w:ascii="Times New Roman" w:hAnsi="Times New Roman"/>
          <w:sz w:val="24"/>
        </w:rPr>
      </w:pPr>
      <w:r>
        <w:rPr>
          <w:rFonts w:ascii="Times New Roman" w:hAnsi="Times New Roman"/>
          <w:sz w:val="24"/>
        </w:rPr>
        <w:t>к.э.н., доцент кафедры математики и моделирования</w:t>
      </w:r>
    </w:p>
    <w:p w:rsidR="00517711" w:rsidRDefault="00F815BE">
      <w:pPr>
        <w:spacing w:after="0" w:line="240" w:lineRule="auto"/>
        <w:ind w:firstLine="709"/>
        <w:jc w:val="center"/>
        <w:rPr>
          <w:rFonts w:ascii="Times New Roman" w:hAnsi="Times New Roman"/>
          <w:i/>
          <w:sz w:val="24"/>
        </w:rPr>
      </w:pPr>
      <w:r>
        <w:rPr>
          <w:rFonts w:ascii="Times New Roman" w:hAnsi="Times New Roman"/>
          <w:i/>
          <w:sz w:val="24"/>
        </w:rPr>
        <w:t>Владивостокский государственный университет экономики и сервиса</w:t>
      </w:r>
    </w:p>
    <w:p w:rsidR="00517711" w:rsidRDefault="00F815BE">
      <w:pPr>
        <w:spacing w:after="0" w:line="240" w:lineRule="auto"/>
        <w:ind w:firstLine="709"/>
        <w:jc w:val="center"/>
        <w:rPr>
          <w:rFonts w:ascii="Times New Roman" w:hAnsi="Times New Roman"/>
          <w:i/>
          <w:sz w:val="24"/>
        </w:rPr>
      </w:pPr>
      <w:r>
        <w:rPr>
          <w:rFonts w:ascii="Times New Roman" w:hAnsi="Times New Roman"/>
          <w:i/>
          <w:sz w:val="24"/>
        </w:rPr>
        <w:t>Россия. Владивосток</w:t>
      </w:r>
    </w:p>
    <w:p w:rsidR="00517711" w:rsidRDefault="00F815BE">
      <w:pPr>
        <w:spacing w:after="0" w:line="240" w:lineRule="auto"/>
        <w:ind w:firstLine="709"/>
        <w:jc w:val="center"/>
        <w:rPr>
          <w:rFonts w:ascii="Times New Roman" w:hAnsi="Times New Roman"/>
          <w:sz w:val="24"/>
        </w:rPr>
      </w:pPr>
      <w:r>
        <w:rPr>
          <w:rFonts w:ascii="Times New Roman" w:hAnsi="Times New Roman"/>
          <w:sz w:val="24"/>
          <w:lang w:val="en-US"/>
        </w:rPr>
        <w:t>E</w:t>
      </w:r>
      <w:r>
        <w:rPr>
          <w:rFonts w:ascii="Times New Roman" w:hAnsi="Times New Roman"/>
          <w:sz w:val="24"/>
        </w:rPr>
        <w:t>-</w:t>
      </w:r>
      <w:r>
        <w:rPr>
          <w:rFonts w:ascii="Times New Roman" w:hAnsi="Times New Roman"/>
          <w:sz w:val="24"/>
          <w:lang w:val="en-US"/>
        </w:rPr>
        <w:t>mail</w:t>
      </w:r>
      <w:r>
        <w:rPr>
          <w:rFonts w:ascii="Times New Roman" w:hAnsi="Times New Roman"/>
          <w:sz w:val="24"/>
        </w:rPr>
        <w:t>:</w:t>
      </w:r>
      <w:r>
        <w:t xml:space="preserve"> </w:t>
      </w:r>
      <w:hyperlink r:id="rId294" w:history="1">
        <w:r>
          <w:rPr>
            <w:rStyle w:val="aa"/>
            <w:sz w:val="24"/>
            <w:lang w:val="en-US"/>
          </w:rPr>
          <w:t>gresko</w:t>
        </w:r>
        <w:r>
          <w:rPr>
            <w:rStyle w:val="aa"/>
            <w:sz w:val="24"/>
          </w:rPr>
          <w:t>_</w:t>
        </w:r>
        <w:r>
          <w:rPr>
            <w:rStyle w:val="aa"/>
            <w:sz w:val="24"/>
            <w:lang w:val="en-US"/>
          </w:rPr>
          <w:t>al</w:t>
        </w:r>
        <w:r>
          <w:rPr>
            <w:rStyle w:val="aa"/>
            <w:sz w:val="24"/>
          </w:rPr>
          <w:t>@</w:t>
        </w:r>
        <w:r>
          <w:rPr>
            <w:rStyle w:val="aa"/>
            <w:sz w:val="24"/>
            <w:lang w:val="en-US"/>
          </w:rPr>
          <w:t>mail</w:t>
        </w:r>
        <w:r>
          <w:rPr>
            <w:rStyle w:val="aa"/>
            <w:sz w:val="24"/>
          </w:rPr>
          <w:t>.</w:t>
        </w:r>
        <w:r>
          <w:rPr>
            <w:rStyle w:val="aa"/>
            <w:sz w:val="24"/>
            <w:lang w:val="en-US"/>
          </w:rPr>
          <w:t>ru</w:t>
        </w:r>
      </w:hyperlink>
      <w:r>
        <w:rPr>
          <w:rFonts w:ascii="Times New Roman" w:hAnsi="Times New Roman"/>
          <w:sz w:val="24"/>
        </w:rPr>
        <w:t xml:space="preserve"> ; Тел: +79510120372</w:t>
      </w:r>
    </w:p>
    <w:p w:rsidR="00517711" w:rsidRDefault="00F815BE">
      <w:pPr>
        <w:spacing w:after="0" w:line="240" w:lineRule="auto"/>
        <w:jc w:val="center"/>
        <w:rPr>
          <w:rFonts w:ascii="Times New Roman" w:hAnsi="Times New Roman"/>
          <w:sz w:val="24"/>
        </w:rPr>
      </w:pPr>
      <w:r>
        <w:rPr>
          <w:rFonts w:ascii="Times New Roman" w:hAnsi="Times New Roman"/>
          <w:sz w:val="24"/>
        </w:rPr>
        <w:t>ул. Гоголя, 41, г. Владивосток, Приморский край, Россия, 690014</w:t>
      </w:r>
    </w:p>
    <w:p w:rsidR="00517711" w:rsidRDefault="00F815BE">
      <w:pPr>
        <w:spacing w:after="0" w:line="240" w:lineRule="auto"/>
        <w:jc w:val="center"/>
        <w:rPr>
          <w:rFonts w:ascii="Times New Roman" w:hAnsi="Times New Roman"/>
          <w:sz w:val="24"/>
        </w:rPr>
      </w:pPr>
      <w:r>
        <w:rPr>
          <w:rFonts w:ascii="Times New Roman" w:hAnsi="Times New Roman"/>
          <w:sz w:val="24"/>
        </w:rPr>
        <w:t>Завалин Георгий Сергеевич,</w:t>
      </w:r>
    </w:p>
    <w:p w:rsidR="00517711" w:rsidRDefault="00F815BE">
      <w:pPr>
        <w:spacing w:after="0" w:line="240" w:lineRule="auto"/>
        <w:jc w:val="center"/>
        <w:rPr>
          <w:rFonts w:ascii="Times New Roman" w:hAnsi="Times New Roman"/>
          <w:sz w:val="24"/>
        </w:rPr>
      </w:pPr>
      <w:r>
        <w:rPr>
          <w:rFonts w:ascii="Times New Roman" w:hAnsi="Times New Roman"/>
          <w:sz w:val="24"/>
        </w:rPr>
        <w:t>бакалавр</w:t>
      </w:r>
    </w:p>
    <w:p w:rsidR="00517711" w:rsidRDefault="00F815BE">
      <w:pPr>
        <w:spacing w:after="0" w:line="240" w:lineRule="auto"/>
        <w:jc w:val="center"/>
        <w:rPr>
          <w:rFonts w:ascii="Times New Roman" w:hAnsi="Times New Roman"/>
          <w:i/>
          <w:sz w:val="24"/>
        </w:rPr>
      </w:pPr>
      <w:r>
        <w:rPr>
          <w:rFonts w:ascii="Times New Roman" w:hAnsi="Times New Roman"/>
          <w:i/>
          <w:sz w:val="24"/>
        </w:rPr>
        <w:t>Владивостокский государственный университет экономики и сервиса</w:t>
      </w:r>
    </w:p>
    <w:p w:rsidR="00517711" w:rsidRDefault="00F815BE">
      <w:pPr>
        <w:spacing w:after="0" w:line="240" w:lineRule="auto"/>
        <w:jc w:val="center"/>
        <w:rPr>
          <w:rFonts w:ascii="Times New Roman" w:hAnsi="Times New Roman"/>
          <w:i/>
          <w:sz w:val="24"/>
        </w:rPr>
      </w:pPr>
      <w:r>
        <w:rPr>
          <w:rFonts w:ascii="Times New Roman" w:hAnsi="Times New Roman"/>
          <w:i/>
          <w:sz w:val="24"/>
        </w:rPr>
        <w:t>Россия. Владивосток</w:t>
      </w:r>
    </w:p>
    <w:p w:rsidR="00517711" w:rsidRDefault="00F815BE">
      <w:pPr>
        <w:spacing w:after="0" w:line="240" w:lineRule="auto"/>
        <w:jc w:val="center"/>
        <w:rPr>
          <w:rFonts w:ascii="Times New Roman" w:hAnsi="Times New Roman"/>
          <w:sz w:val="24"/>
        </w:rPr>
      </w:pPr>
      <w:r>
        <w:rPr>
          <w:rFonts w:ascii="Times New Roman" w:hAnsi="Times New Roman"/>
          <w:sz w:val="24"/>
          <w:lang w:val="en-US"/>
        </w:rPr>
        <w:t>E</w:t>
      </w:r>
      <w:r>
        <w:rPr>
          <w:rFonts w:ascii="Times New Roman" w:hAnsi="Times New Roman"/>
          <w:sz w:val="24"/>
        </w:rPr>
        <w:t>-</w:t>
      </w:r>
      <w:r>
        <w:rPr>
          <w:rFonts w:ascii="Times New Roman" w:hAnsi="Times New Roman"/>
          <w:sz w:val="24"/>
          <w:lang w:val="en-US"/>
        </w:rPr>
        <w:t>mail</w:t>
      </w:r>
      <w:r>
        <w:rPr>
          <w:rFonts w:ascii="Times New Roman" w:hAnsi="Times New Roman"/>
          <w:sz w:val="24"/>
        </w:rPr>
        <w:t xml:space="preserve">: </w:t>
      </w:r>
      <w:hyperlink r:id="rId295" w:history="1">
        <w:r>
          <w:rPr>
            <w:rStyle w:val="aa"/>
            <w:sz w:val="24"/>
            <w:lang w:val="en-US"/>
          </w:rPr>
          <w:t>svegegka</w:t>
        </w:r>
        <w:r>
          <w:rPr>
            <w:rStyle w:val="aa"/>
            <w:sz w:val="24"/>
          </w:rPr>
          <w:t>5@</w:t>
        </w:r>
        <w:r>
          <w:rPr>
            <w:rStyle w:val="aa"/>
            <w:sz w:val="24"/>
            <w:lang w:val="en-US"/>
          </w:rPr>
          <w:t>mail</w:t>
        </w:r>
        <w:r>
          <w:rPr>
            <w:rStyle w:val="aa"/>
            <w:sz w:val="24"/>
          </w:rPr>
          <w:t>.</w:t>
        </w:r>
        <w:r>
          <w:rPr>
            <w:rStyle w:val="aa"/>
            <w:sz w:val="24"/>
            <w:lang w:val="en-US"/>
          </w:rPr>
          <w:t>ru</w:t>
        </w:r>
      </w:hyperlink>
      <w:r>
        <w:rPr>
          <w:rFonts w:ascii="Times New Roman" w:hAnsi="Times New Roman"/>
          <w:sz w:val="24"/>
        </w:rPr>
        <w:t>; Тел: +79242313280</w:t>
      </w:r>
    </w:p>
    <w:p w:rsidR="00517711" w:rsidRDefault="00F815BE">
      <w:pPr>
        <w:spacing w:after="0" w:line="240" w:lineRule="auto"/>
        <w:jc w:val="center"/>
        <w:rPr>
          <w:rFonts w:ascii="Times New Roman" w:hAnsi="Times New Roman"/>
          <w:sz w:val="24"/>
        </w:rPr>
      </w:pPr>
      <w:r>
        <w:rPr>
          <w:rFonts w:ascii="Times New Roman" w:hAnsi="Times New Roman"/>
          <w:sz w:val="24"/>
        </w:rPr>
        <w:t>ул. Гоголя, 41, г. Владивосток, Приморский край, Россия, 690014</w:t>
      </w:r>
    </w:p>
    <w:p w:rsidR="00517711" w:rsidRDefault="00517711">
      <w:pPr>
        <w:spacing w:after="0" w:line="240" w:lineRule="auto"/>
        <w:ind w:firstLine="709"/>
        <w:jc w:val="both"/>
        <w:rPr>
          <w:rFonts w:ascii="Times New Roman" w:hAnsi="Times New Roman"/>
          <w:i/>
          <w:sz w:val="24"/>
        </w:rPr>
      </w:pPr>
    </w:p>
    <w:p w:rsidR="00517711" w:rsidRDefault="00517711">
      <w:pPr>
        <w:spacing w:after="0" w:line="240" w:lineRule="auto"/>
        <w:ind w:firstLine="709"/>
        <w:jc w:val="both"/>
        <w:rPr>
          <w:rFonts w:ascii="Times New Roman" w:hAnsi="Times New Roman"/>
          <w:i/>
          <w:sz w:val="24"/>
        </w:rPr>
      </w:pPr>
    </w:p>
    <w:p w:rsidR="00517711" w:rsidRDefault="00F815BE">
      <w:pPr>
        <w:spacing w:after="0" w:line="240" w:lineRule="auto"/>
        <w:ind w:firstLine="709"/>
        <w:jc w:val="both"/>
        <w:rPr>
          <w:rFonts w:ascii="Times New Roman" w:hAnsi="Times New Roman"/>
          <w:i/>
          <w:sz w:val="24"/>
        </w:rPr>
      </w:pPr>
      <w:r>
        <w:rPr>
          <w:rFonts w:ascii="Times New Roman" w:hAnsi="Times New Roman"/>
          <w:i/>
          <w:sz w:val="24"/>
        </w:rPr>
        <w:t>В данной работе показано, как нечеткие методы логического вывода могут быть использованы при выборе соответствующей стратегии отношений со стейкхолдерами и упрощении нахождения функциональных зависимостей между характеристиками отношений. Приведен соответствующий пример, показывающий выбор стратегии взаимоотношений между ВУЗом и его клиентами (студентами). Показана перспективность использования данных методов для стейкхолдер-организаций.</w:t>
      </w:r>
    </w:p>
    <w:p w:rsidR="00517711" w:rsidRDefault="00517711">
      <w:pPr>
        <w:spacing w:after="0" w:line="240" w:lineRule="auto"/>
        <w:ind w:firstLine="709"/>
        <w:jc w:val="both"/>
        <w:rPr>
          <w:rFonts w:ascii="Times New Roman" w:hAnsi="Times New Roman"/>
          <w:b/>
          <w:i/>
          <w:sz w:val="24"/>
        </w:rPr>
      </w:pPr>
    </w:p>
    <w:p w:rsidR="00517711" w:rsidRDefault="00F815BE">
      <w:pPr>
        <w:spacing w:after="0" w:line="240" w:lineRule="auto"/>
        <w:ind w:firstLine="709"/>
        <w:jc w:val="both"/>
        <w:rPr>
          <w:rFonts w:ascii="Times New Roman" w:hAnsi="Times New Roman"/>
          <w:i/>
          <w:sz w:val="24"/>
        </w:rPr>
      </w:pPr>
      <w:r>
        <w:rPr>
          <w:rFonts w:ascii="Times New Roman" w:hAnsi="Times New Roman"/>
          <w:b/>
          <w:i/>
          <w:sz w:val="24"/>
        </w:rPr>
        <w:t>Ключевые слова и словосочетания</w:t>
      </w:r>
      <w:r>
        <w:rPr>
          <w:rFonts w:ascii="Times New Roman" w:hAnsi="Times New Roman"/>
          <w:i/>
          <w:sz w:val="24"/>
        </w:rPr>
        <w:t>: стейкхолдер-организация, методы нечеткого логического вывода, стратегии взаимоотношений, нечеткие правила, функциональные зависимости, алгоритм Мамдани.</w:t>
      </w:r>
    </w:p>
    <w:p w:rsidR="00517711" w:rsidRDefault="00517711">
      <w:pPr>
        <w:spacing w:after="0" w:line="240" w:lineRule="auto"/>
        <w:ind w:firstLine="709"/>
        <w:jc w:val="center"/>
        <w:rPr>
          <w:rFonts w:ascii="Times New Roman" w:hAnsi="Times New Roman"/>
          <w:b/>
          <w:sz w:val="24"/>
        </w:rPr>
      </w:pPr>
    </w:p>
    <w:p w:rsidR="00517711" w:rsidRDefault="00F815BE">
      <w:pPr>
        <w:spacing w:after="0" w:line="240" w:lineRule="auto"/>
        <w:ind w:firstLine="709"/>
        <w:jc w:val="center"/>
        <w:rPr>
          <w:rFonts w:ascii="Times New Roman" w:hAnsi="Times New Roman"/>
          <w:b/>
          <w:sz w:val="24"/>
          <w:lang w:val="en-US"/>
        </w:rPr>
      </w:pPr>
      <w:r>
        <w:rPr>
          <w:rFonts w:ascii="Times New Roman" w:hAnsi="Times New Roman"/>
          <w:b/>
          <w:sz w:val="24"/>
          <w:lang w:val="en-US"/>
        </w:rPr>
        <w:t>Determining the characteristics of the organization's relationships with stakeholders using the fuzzy inference method</w:t>
      </w:r>
    </w:p>
    <w:p w:rsidR="00517711" w:rsidRDefault="00517711">
      <w:pPr>
        <w:spacing w:after="0" w:line="240" w:lineRule="auto"/>
        <w:ind w:firstLine="709"/>
        <w:jc w:val="both"/>
        <w:rPr>
          <w:rFonts w:ascii="Times New Roman" w:hAnsi="Times New Roman"/>
          <w:i/>
          <w:sz w:val="24"/>
          <w:lang w:val="en-US"/>
        </w:rPr>
      </w:pPr>
    </w:p>
    <w:p w:rsidR="00517711" w:rsidRDefault="00F815BE">
      <w:pPr>
        <w:spacing w:after="0" w:line="240" w:lineRule="auto"/>
        <w:ind w:firstLine="709"/>
        <w:jc w:val="both"/>
        <w:rPr>
          <w:rFonts w:ascii="Times New Roman" w:hAnsi="Times New Roman"/>
          <w:i/>
          <w:sz w:val="24"/>
          <w:lang w:val="en-US"/>
        </w:rPr>
      </w:pPr>
      <w:r>
        <w:rPr>
          <w:rFonts w:ascii="Times New Roman" w:hAnsi="Times New Roman"/>
          <w:i/>
          <w:sz w:val="24"/>
          <w:lang w:val="en-US"/>
        </w:rPr>
        <w:t>In this paper we show how fuzzy methods of inference can be used to select an appropriate strategy for relations with stakeholders and to simplify the finding of functional dependencies between the characteristics of relations. An appropriate example is given, showing the choice of the relationship strategy between the university and its clients (students). The prospects of using these methods for stakeholders.</w:t>
      </w:r>
    </w:p>
    <w:p w:rsidR="00517711" w:rsidRDefault="00517711">
      <w:pPr>
        <w:spacing w:after="0" w:line="240" w:lineRule="auto"/>
        <w:ind w:firstLine="709"/>
        <w:jc w:val="both"/>
        <w:rPr>
          <w:rFonts w:ascii="Times New Roman" w:hAnsi="Times New Roman"/>
          <w:b/>
          <w:i/>
          <w:sz w:val="24"/>
          <w:lang w:val="en-US"/>
        </w:rPr>
      </w:pPr>
    </w:p>
    <w:p w:rsidR="00517711" w:rsidRDefault="00F815BE">
      <w:pPr>
        <w:spacing w:after="0" w:line="240" w:lineRule="auto"/>
        <w:ind w:firstLine="709"/>
        <w:jc w:val="both"/>
        <w:rPr>
          <w:rFonts w:ascii="Times New Roman" w:hAnsi="Times New Roman"/>
          <w:i/>
          <w:sz w:val="24"/>
          <w:lang w:val="en-US"/>
        </w:rPr>
      </w:pPr>
      <w:r>
        <w:rPr>
          <w:rFonts w:ascii="Times New Roman" w:hAnsi="Times New Roman"/>
          <w:b/>
          <w:i/>
          <w:sz w:val="24"/>
          <w:lang w:val="en-US"/>
        </w:rPr>
        <w:t>Keywords</w:t>
      </w:r>
      <w:r>
        <w:rPr>
          <w:rFonts w:ascii="Times New Roman" w:hAnsi="Times New Roman"/>
          <w:i/>
          <w:sz w:val="24"/>
          <w:lang w:val="en-US"/>
        </w:rPr>
        <w:t>: stakeholder-organization, fuzzy inference methods, relationship strategies, fuzzy rules, functional dependencies, Mamdani algorithm.</w:t>
      </w:r>
    </w:p>
    <w:p w:rsidR="00517711" w:rsidRDefault="00517711">
      <w:pPr>
        <w:spacing w:after="0" w:line="240" w:lineRule="auto"/>
        <w:ind w:firstLine="709"/>
        <w:jc w:val="both"/>
        <w:rPr>
          <w:rFonts w:ascii="Times New Roman" w:hAnsi="Times New Roman"/>
          <w:sz w:val="24"/>
          <w:lang w:val="en-US"/>
        </w:rPr>
      </w:pPr>
    </w:p>
    <w:p w:rsidR="00517711" w:rsidRDefault="00F815BE">
      <w:pPr>
        <w:spacing w:after="0" w:line="240" w:lineRule="auto"/>
        <w:ind w:firstLine="709"/>
        <w:jc w:val="both"/>
        <w:rPr>
          <w:rFonts w:ascii="Times New Roman" w:hAnsi="Times New Roman"/>
          <w:sz w:val="24"/>
        </w:rPr>
      </w:pPr>
      <w:r>
        <w:rPr>
          <w:rFonts w:ascii="Times New Roman" w:hAnsi="Times New Roman"/>
          <w:spacing w:val="-5"/>
          <w:sz w:val="24"/>
        </w:rPr>
        <w:t xml:space="preserve">В современном экономическом планировании грамотное управление отношениями с группами заинтересованных сторон – залог успеха стейкхолдер-организации. Поэтому одна из основных целей стейкхолдер-организации – это установление и поддержание сбалансированных отношений со своими стейкхолдерами [6]. Под понятием «стейкхолдер» обычно понимают заинтересованную сторону, физическое или юридическое лицо, которое имеет свои интересы относительно получения ресурсов, капитала и имеет право воздействовать на другие компании, организации. Организацию, имеющую несколько групп заинтересованных сторон (ГЗС) принято </w:t>
      </w:r>
      <w:r>
        <w:rPr>
          <w:rFonts w:ascii="Times New Roman" w:hAnsi="Times New Roman"/>
          <w:sz w:val="24"/>
        </w:rPr>
        <w:t>называть стейкхолдер-организацией. Ярчайшим примером стейкхолдер-организации является вуз (в данном случае в качестве ГЗС будут выступать «Государство», «Общество», «Клиенты», «Сотрудники», «Внешние партнеры», «Бизнес-сообщество»).</w:t>
      </w:r>
    </w:p>
    <w:p w:rsidR="00517711" w:rsidRDefault="00F815BE">
      <w:pPr>
        <w:spacing w:after="0" w:line="240" w:lineRule="auto"/>
        <w:ind w:firstLine="709"/>
        <w:jc w:val="both"/>
        <w:rPr>
          <w:rFonts w:ascii="Times New Roman" w:hAnsi="Times New Roman"/>
          <w:sz w:val="24"/>
        </w:rPr>
      </w:pPr>
      <w:r>
        <w:rPr>
          <w:rFonts w:ascii="Times New Roman" w:hAnsi="Times New Roman"/>
          <w:sz w:val="24"/>
        </w:rPr>
        <w:t xml:space="preserve"> Для оценки отношений между организацией и стейкхолдерами проводится анализ, выявляющий следующие характеристики:</w:t>
      </w:r>
    </w:p>
    <w:p w:rsidR="00517711" w:rsidRDefault="000D1C8F">
      <w:pPr>
        <w:spacing w:after="0" w:line="240" w:lineRule="auto"/>
        <w:ind w:firstLine="709"/>
        <w:jc w:val="both"/>
        <w:rPr>
          <w:rFonts w:ascii="Times New Roman" w:hAnsi="Times New Roman"/>
          <w:sz w:val="24"/>
        </w:rPr>
      </w:pPr>
      <m:oMath>
        <m:sSubSup>
          <m:sSubSupPr>
            <m:ctrlPr>
              <w:rPr>
                <w:rFonts w:ascii="Cambria Math" w:hAnsi="Cambria Math"/>
                <w:i/>
                <w:sz w:val="20"/>
              </w:rPr>
            </m:ctrlPr>
          </m:sSubSupPr>
          <m:e>
            <m:r>
              <w:rPr>
                <w:rFonts w:ascii="Cambria Math"/>
                <w:sz w:val="20"/>
              </w:rPr>
              <m:t>U</m:t>
            </m:r>
          </m:e>
          <m:sub>
            <m:r>
              <w:rPr>
                <w:rFonts w:ascii="Cambria Math"/>
                <w:sz w:val="20"/>
              </w:rPr>
              <m:t>j</m:t>
            </m:r>
          </m:sub>
          <m:sup>
            <m:r>
              <w:rPr>
                <w:rFonts w:ascii="Cambria Math"/>
                <w:sz w:val="20"/>
              </w:rPr>
              <m:t>k</m:t>
            </m:r>
          </m:sup>
        </m:sSubSup>
      </m:oMath>
      <w:r w:rsidR="00F815BE">
        <w:rPr>
          <w:rFonts w:ascii="Times New Roman" w:hAnsi="Times New Roman"/>
          <w:sz w:val="24"/>
        </w:rPr>
        <w:t>- степень удовлетворенности (</w:t>
      </w:r>
      <w:r w:rsidR="00F815BE">
        <w:rPr>
          <w:rFonts w:ascii="Times New Roman" w:hAnsi="Times New Roman"/>
          <w:i/>
          <w:sz w:val="24"/>
          <w:lang w:val="en-US"/>
        </w:rPr>
        <w:t>k</w:t>
      </w:r>
      <w:r w:rsidR="00F815BE">
        <w:rPr>
          <w:rFonts w:ascii="Times New Roman" w:hAnsi="Times New Roman"/>
          <w:sz w:val="24"/>
        </w:rPr>
        <w:t xml:space="preserve">-той ГЗС организацией при </w:t>
      </w:r>
      <w:r w:rsidR="00F815BE">
        <w:rPr>
          <w:rFonts w:ascii="Times New Roman" w:hAnsi="Times New Roman"/>
          <w:i/>
          <w:sz w:val="24"/>
          <w:lang w:val="en-US"/>
        </w:rPr>
        <w:t>j</w:t>
      </w:r>
      <w:r w:rsidR="00F815BE">
        <w:rPr>
          <w:rFonts w:ascii="Times New Roman" w:hAnsi="Times New Roman"/>
          <w:sz w:val="24"/>
        </w:rPr>
        <w:t xml:space="preserve">=1, организации </w:t>
      </w:r>
      <w:r w:rsidR="00F815BE">
        <w:rPr>
          <w:rFonts w:ascii="Times New Roman" w:hAnsi="Times New Roman"/>
          <w:i/>
          <w:sz w:val="24"/>
          <w:lang w:val="en-US"/>
        </w:rPr>
        <w:t>k</w:t>
      </w:r>
      <w:r w:rsidR="00F815BE">
        <w:rPr>
          <w:rFonts w:ascii="Times New Roman" w:hAnsi="Times New Roman"/>
          <w:sz w:val="24"/>
        </w:rPr>
        <w:t xml:space="preserve">-той ГЗС при </w:t>
      </w:r>
      <w:r w:rsidR="00F815BE">
        <w:rPr>
          <w:rFonts w:ascii="Times New Roman" w:hAnsi="Times New Roman"/>
          <w:i/>
          <w:sz w:val="24"/>
          <w:lang w:val="en-US"/>
        </w:rPr>
        <w:t>j</w:t>
      </w:r>
      <w:r w:rsidR="00F815BE">
        <w:rPr>
          <w:rFonts w:ascii="Times New Roman" w:hAnsi="Times New Roman"/>
          <w:sz w:val="24"/>
        </w:rPr>
        <w:t>=2);</w:t>
      </w:r>
    </w:p>
    <w:p w:rsidR="00517711" w:rsidRDefault="000D1C8F">
      <w:pPr>
        <w:spacing w:after="0" w:line="240" w:lineRule="auto"/>
        <w:ind w:firstLine="709"/>
        <w:jc w:val="both"/>
        <w:rPr>
          <w:rFonts w:ascii="Times New Roman" w:hAnsi="Times New Roman"/>
          <w:sz w:val="24"/>
          <w:szCs w:val="24"/>
        </w:rPr>
      </w:pPr>
      <m:oMath>
        <m:sSubSup>
          <m:sSubSupPr>
            <m:ctrlPr>
              <w:rPr>
                <w:rFonts w:ascii="Cambria Math" w:hAnsi="Cambria Math"/>
                <w:i/>
              </w:rPr>
            </m:ctrlPr>
          </m:sSubSupPr>
          <m:e>
            <m:r>
              <w:rPr>
                <w:rFonts w:ascii="Cambria Math"/>
                <w:sz w:val="24"/>
              </w:rPr>
              <m:t>O</m:t>
            </m:r>
          </m:e>
          <m:sub>
            <m:r>
              <w:rPr>
                <w:rFonts w:ascii="Cambria Math"/>
                <w:sz w:val="24"/>
              </w:rPr>
              <m:t>j</m:t>
            </m:r>
          </m:sub>
          <m:sup>
            <m:r>
              <w:rPr>
                <w:rFonts w:ascii="Cambria Math"/>
                <w:sz w:val="24"/>
              </w:rPr>
              <m:t>k</m:t>
            </m:r>
          </m:sup>
        </m:sSubSup>
      </m:oMath>
      <w:r w:rsidR="00F815BE">
        <w:rPr>
          <w:rFonts w:ascii="Times New Roman" w:hAnsi="Times New Roman"/>
          <w:sz w:val="24"/>
          <w:szCs w:val="24"/>
        </w:rPr>
        <w:t xml:space="preserve"> - оценка ожиданий (</w:t>
      </w:r>
      <w:r w:rsidR="00F815BE">
        <w:rPr>
          <w:rFonts w:ascii="Times New Roman" w:hAnsi="Times New Roman"/>
          <w:i/>
          <w:sz w:val="24"/>
          <w:szCs w:val="24"/>
          <w:lang w:val="en-US"/>
        </w:rPr>
        <w:t>k</w:t>
      </w:r>
      <w:r w:rsidR="00F815BE">
        <w:rPr>
          <w:rFonts w:ascii="Times New Roman" w:hAnsi="Times New Roman"/>
          <w:sz w:val="24"/>
          <w:szCs w:val="24"/>
        </w:rPr>
        <w:t xml:space="preserve">-той ГЗС при </w:t>
      </w:r>
      <w:r w:rsidR="00F815BE">
        <w:rPr>
          <w:rFonts w:ascii="Times New Roman" w:hAnsi="Times New Roman"/>
          <w:i/>
          <w:sz w:val="24"/>
          <w:szCs w:val="24"/>
          <w:lang w:val="en-US"/>
        </w:rPr>
        <w:t>j</w:t>
      </w:r>
      <w:r w:rsidR="00F815BE">
        <w:rPr>
          <w:rFonts w:ascii="Times New Roman" w:hAnsi="Times New Roman"/>
          <w:sz w:val="24"/>
          <w:szCs w:val="24"/>
        </w:rPr>
        <w:t xml:space="preserve">=1, организации при </w:t>
      </w:r>
      <w:r w:rsidR="00F815BE">
        <w:rPr>
          <w:rFonts w:ascii="Times New Roman" w:hAnsi="Times New Roman"/>
          <w:i/>
          <w:sz w:val="24"/>
          <w:szCs w:val="24"/>
          <w:lang w:val="en-US"/>
        </w:rPr>
        <w:t>j</w:t>
      </w:r>
      <w:r w:rsidR="00F815BE">
        <w:rPr>
          <w:rFonts w:ascii="Times New Roman" w:hAnsi="Times New Roman"/>
          <w:sz w:val="24"/>
          <w:szCs w:val="24"/>
        </w:rPr>
        <w:t>=2);</w:t>
      </w:r>
    </w:p>
    <w:p w:rsidR="00517711" w:rsidRDefault="000D1C8F">
      <w:pPr>
        <w:spacing w:after="0" w:line="240" w:lineRule="auto"/>
        <w:ind w:firstLine="709"/>
        <w:jc w:val="both"/>
        <w:rPr>
          <w:rFonts w:ascii="Times New Roman" w:hAnsi="Times New Roman"/>
          <w:sz w:val="24"/>
          <w:szCs w:val="24"/>
        </w:rPr>
      </w:pPr>
      <m:oMath>
        <m:sSup>
          <m:sSupPr>
            <m:ctrlPr>
              <w:rPr>
                <w:rFonts w:ascii="Cambria Math" w:hAnsi="Cambria Math"/>
                <w:i/>
              </w:rPr>
            </m:ctrlPr>
          </m:sSupPr>
          <m:e>
            <m:r>
              <w:rPr>
                <w:rFonts w:ascii="Cambria Math"/>
                <w:sz w:val="24"/>
              </w:rPr>
              <m:t>V</m:t>
            </m:r>
          </m:e>
          <m:sup>
            <m:r>
              <w:rPr>
                <w:rFonts w:ascii="Cambria Math"/>
                <w:sz w:val="24"/>
              </w:rPr>
              <m:t>k</m:t>
            </m:r>
          </m:sup>
        </m:sSup>
      </m:oMath>
      <w:r w:rsidR="00F815BE">
        <w:rPr>
          <w:rFonts w:ascii="Times New Roman" w:hAnsi="Times New Roman"/>
          <w:sz w:val="24"/>
          <w:szCs w:val="24"/>
        </w:rPr>
        <w:t xml:space="preserve">- степень взаимного влияния </w:t>
      </w:r>
      <w:r w:rsidR="00F815BE">
        <w:rPr>
          <w:rFonts w:ascii="Times New Roman" w:hAnsi="Times New Roman"/>
          <w:i/>
          <w:sz w:val="24"/>
          <w:szCs w:val="24"/>
          <w:lang w:val="en-US"/>
        </w:rPr>
        <w:t>k</w:t>
      </w:r>
      <w:r w:rsidR="00F815BE">
        <w:rPr>
          <w:rFonts w:ascii="Times New Roman" w:hAnsi="Times New Roman"/>
          <w:sz w:val="24"/>
          <w:szCs w:val="24"/>
        </w:rPr>
        <w:t>-той ГЗС и организации;</w:t>
      </w:r>
    </w:p>
    <w:p w:rsidR="00517711" w:rsidRDefault="000D1C8F">
      <w:pPr>
        <w:spacing w:after="0" w:line="240" w:lineRule="auto"/>
        <w:ind w:firstLine="709"/>
        <w:jc w:val="both"/>
        <w:rPr>
          <w:rFonts w:ascii="Times New Roman" w:hAnsi="Times New Roman"/>
          <w:sz w:val="24"/>
          <w:szCs w:val="24"/>
        </w:rPr>
      </w:pPr>
      <m:oMath>
        <m:sSubSup>
          <m:sSubSupPr>
            <m:ctrlPr>
              <w:rPr>
                <w:rFonts w:ascii="Cambria Math" w:hAnsi="Cambria Math"/>
                <w:i/>
              </w:rPr>
            </m:ctrlPr>
          </m:sSubSupPr>
          <m:e>
            <m:r>
              <w:rPr>
                <w:rFonts w:ascii="Cambria Math"/>
                <w:sz w:val="24"/>
              </w:rPr>
              <m:t>G</m:t>
            </m:r>
          </m:e>
          <m:sub>
            <m:r>
              <w:rPr>
                <w:rFonts w:ascii="Cambria Math"/>
                <w:sz w:val="24"/>
              </w:rPr>
              <m:t>j</m:t>
            </m:r>
          </m:sub>
          <m:sup>
            <m:r>
              <w:rPr>
                <w:rFonts w:ascii="Cambria Math"/>
                <w:sz w:val="24"/>
              </w:rPr>
              <m:t>k</m:t>
            </m:r>
          </m:sup>
        </m:sSubSup>
      </m:oMath>
      <w:r w:rsidR="00F815BE">
        <w:rPr>
          <w:rFonts w:ascii="Times New Roman" w:hAnsi="Times New Roman"/>
          <w:sz w:val="24"/>
          <w:szCs w:val="24"/>
        </w:rPr>
        <w:t>- степень желания изменений (</w:t>
      </w:r>
      <w:r w:rsidR="00F815BE">
        <w:rPr>
          <w:rFonts w:ascii="Times New Roman" w:hAnsi="Times New Roman"/>
          <w:i/>
          <w:sz w:val="24"/>
          <w:szCs w:val="24"/>
          <w:lang w:val="en-US"/>
        </w:rPr>
        <w:t>k</w:t>
      </w:r>
      <w:r w:rsidR="00F815BE">
        <w:rPr>
          <w:rFonts w:ascii="Times New Roman" w:hAnsi="Times New Roman"/>
          <w:sz w:val="24"/>
          <w:szCs w:val="24"/>
        </w:rPr>
        <w:t xml:space="preserve">-той ГЗС при </w:t>
      </w:r>
      <w:r w:rsidR="00F815BE">
        <w:rPr>
          <w:rFonts w:ascii="Times New Roman" w:hAnsi="Times New Roman"/>
          <w:i/>
          <w:sz w:val="24"/>
          <w:szCs w:val="24"/>
          <w:lang w:val="en-US"/>
        </w:rPr>
        <w:t>j</w:t>
      </w:r>
      <w:r w:rsidR="00F815BE">
        <w:rPr>
          <w:rFonts w:ascii="Times New Roman" w:hAnsi="Times New Roman"/>
          <w:sz w:val="24"/>
          <w:szCs w:val="24"/>
        </w:rPr>
        <w:t xml:space="preserve">=1, организации при </w:t>
      </w:r>
      <w:r w:rsidR="00F815BE">
        <w:rPr>
          <w:rFonts w:ascii="Times New Roman" w:hAnsi="Times New Roman"/>
          <w:i/>
          <w:sz w:val="24"/>
          <w:szCs w:val="24"/>
          <w:lang w:val="en-US"/>
        </w:rPr>
        <w:t>j</w:t>
      </w:r>
      <w:r w:rsidR="00F815BE">
        <w:rPr>
          <w:rFonts w:ascii="Times New Roman" w:hAnsi="Times New Roman"/>
          <w:sz w:val="24"/>
          <w:szCs w:val="24"/>
        </w:rPr>
        <w:t>=2).</w:t>
      </w:r>
    </w:p>
    <w:p w:rsidR="00517711" w:rsidRDefault="00F815BE">
      <w:pPr>
        <w:spacing w:after="120" w:line="240" w:lineRule="auto"/>
        <w:ind w:firstLine="709"/>
        <w:jc w:val="both"/>
        <w:rPr>
          <w:rFonts w:ascii="Times New Roman" w:hAnsi="Times New Roman"/>
          <w:sz w:val="24"/>
          <w:szCs w:val="24"/>
        </w:rPr>
      </w:pPr>
      <w:r>
        <w:rPr>
          <w:rFonts w:ascii="Times New Roman" w:hAnsi="Times New Roman"/>
          <w:sz w:val="24"/>
          <w:szCs w:val="24"/>
        </w:rPr>
        <w:t xml:space="preserve">На основе данных анализа характеристик отношений между организацией и ГЗС формируются следующие виды стратегий: удовлетворение запросов, защита, воздействие, сотрудничество, сдержанность. Описание стратегий взаимодействия организации со стейкхолдерами подробно описано в работах [2, 3, 5, 8]. Весовые коэффициенты </w:t>
      </w:r>
      <m:oMath>
        <m:sSubSup>
          <m:sSubSupPr>
            <m:ctrlPr>
              <w:rPr>
                <w:rFonts w:ascii="Cambria Math" w:hAnsi="Cambria Math"/>
                <w:i/>
              </w:rPr>
            </m:ctrlPr>
          </m:sSubSupPr>
          <m:e>
            <m:r>
              <w:rPr>
                <w:rFonts w:ascii="Cambria Math"/>
                <w:sz w:val="24"/>
              </w:rPr>
              <m:t>w</m:t>
            </m:r>
          </m:e>
          <m:sub>
            <m:r>
              <w:rPr>
                <w:rFonts w:ascii="Cambria Math"/>
                <w:sz w:val="24"/>
              </w:rPr>
              <m:t>i</m:t>
            </m:r>
          </m:sub>
          <m:sup>
            <m:r>
              <w:rPr>
                <w:rFonts w:ascii="Cambria Math"/>
                <w:sz w:val="24"/>
              </w:rPr>
              <m:t>k</m:t>
            </m:r>
          </m:sup>
        </m:sSubSup>
      </m:oMath>
      <w:r>
        <w:rPr>
          <w:rFonts w:ascii="Times New Roman" w:hAnsi="Times New Roman"/>
          <w:sz w:val="24"/>
          <w:szCs w:val="24"/>
        </w:rPr>
        <w:t xml:space="preserve">, отражающие целесообразность применения в отношении </w:t>
      </w:r>
      <w:r>
        <w:rPr>
          <w:rFonts w:ascii="Times New Roman" w:hAnsi="Times New Roman"/>
          <w:i/>
          <w:sz w:val="24"/>
          <w:szCs w:val="24"/>
          <w:lang w:val="en-US"/>
        </w:rPr>
        <w:t>k</w:t>
      </w:r>
      <w:r>
        <w:rPr>
          <w:rFonts w:ascii="Times New Roman" w:hAnsi="Times New Roman"/>
          <w:sz w:val="24"/>
          <w:szCs w:val="24"/>
        </w:rPr>
        <w:t xml:space="preserve">-ой ГЗС стратегии </w:t>
      </w:r>
      <w:r>
        <w:rPr>
          <w:rFonts w:ascii="Times New Roman" w:hAnsi="Times New Roman"/>
          <w:i/>
          <w:sz w:val="24"/>
          <w:szCs w:val="24"/>
          <w:lang w:val="en-US"/>
        </w:rPr>
        <w:t>i</w:t>
      </w:r>
      <w:r>
        <w:rPr>
          <w:rFonts w:ascii="Times New Roman" w:hAnsi="Times New Roman"/>
          <w:sz w:val="24"/>
          <w:szCs w:val="24"/>
        </w:rPr>
        <w:t>-го типа, рассчитываются по формулам:</w:t>
      </w:r>
    </w:p>
    <w:tbl>
      <w:tblPr>
        <w:tblW w:w="9648" w:type="dxa"/>
        <w:tblLayout w:type="fixed"/>
        <w:tblLook w:val="01E0" w:firstRow="1" w:lastRow="1" w:firstColumn="1" w:lastColumn="1" w:noHBand="0" w:noVBand="0"/>
      </w:tblPr>
      <w:tblGrid>
        <w:gridCol w:w="8748"/>
        <w:gridCol w:w="900"/>
      </w:tblGrid>
      <w:tr w:rsidR="00517711">
        <w:trPr>
          <w:trHeight w:val="80"/>
        </w:trPr>
        <w:tc>
          <w:tcPr>
            <w:tcW w:w="8748" w:type="dxa"/>
            <w:tcBorders>
              <w:top w:val="none" w:sz="0" w:space="0" w:color="000000"/>
              <w:left w:val="none" w:sz="0" w:space="0" w:color="000000"/>
              <w:bottom w:val="none" w:sz="0" w:space="0" w:color="000000"/>
              <w:right w:val="none" w:sz="0" w:space="0" w:color="000000"/>
            </w:tcBorders>
          </w:tcPr>
          <w:p w:rsidR="00517711" w:rsidRDefault="000D1C8F">
            <w:pPr>
              <w:spacing w:after="0" w:line="360" w:lineRule="auto"/>
              <w:jc w:val="center"/>
              <w:rPr>
                <w:rFonts w:ascii="Times New Roman" w:hAnsi="Times New Roman"/>
                <w:sz w:val="28"/>
                <w:szCs w:val="28"/>
              </w:rPr>
            </w:pPr>
            <m:oMath>
              <m:sSub>
                <m:sSubPr>
                  <m:ctrlPr>
                    <w:rPr>
                      <w:rFonts w:ascii="Cambria Math" w:hAnsi="Cambria Math"/>
                      <w:i/>
                      <w:sz w:val="20"/>
                    </w:rPr>
                  </m:ctrlPr>
                </m:sSubPr>
                <m:e>
                  <m:r>
                    <w:rPr>
                      <w:rFonts w:ascii="Cambria Math"/>
                      <w:sz w:val="20"/>
                    </w:rPr>
                    <m:t>w</m:t>
                  </m:r>
                </m:e>
                <m:sub>
                  <m:r>
                    <w:rPr>
                      <w:rFonts w:ascii="Cambria Math"/>
                      <w:sz w:val="20"/>
                    </w:rPr>
                    <m:t>1</m:t>
                  </m:r>
                </m:sub>
              </m:sSub>
              <m:r>
                <w:rPr>
                  <w:rFonts w:ascii="Cambria Math"/>
                  <w:sz w:val="20"/>
                </w:rPr>
                <m:t>=</m:t>
              </m:r>
              <m:f>
                <m:fPr>
                  <m:ctrlPr>
                    <w:rPr>
                      <w:rFonts w:ascii="Cambria Math" w:hAnsi="Cambria Math"/>
                      <w:i/>
                      <w:sz w:val="20"/>
                    </w:rPr>
                  </m:ctrlPr>
                </m:fPr>
                <m:num>
                  <m:r>
                    <w:rPr>
                      <w:rFonts w:ascii="Cambria Math"/>
                      <w:sz w:val="20"/>
                    </w:rPr>
                    <m:t>5+</m:t>
                  </m:r>
                  <m:sSubSup>
                    <m:sSubSupPr>
                      <m:ctrlPr>
                        <w:rPr>
                          <w:rFonts w:ascii="Cambria Math" w:hAnsi="Cambria Math"/>
                          <w:i/>
                          <w:sz w:val="20"/>
                        </w:rPr>
                      </m:ctrlPr>
                    </m:sSubSupPr>
                    <m:e>
                      <m:r>
                        <w:rPr>
                          <w:rFonts w:ascii="Cambria Math"/>
                          <w:sz w:val="20"/>
                        </w:rPr>
                        <m:t>G</m:t>
                      </m:r>
                    </m:e>
                    <m:sub>
                      <m:r>
                        <w:rPr>
                          <w:rFonts w:ascii="Cambria Math"/>
                          <w:sz w:val="20"/>
                        </w:rPr>
                        <m:t>1</m:t>
                      </m:r>
                    </m:sub>
                    <m:sup>
                      <m:r>
                        <w:rPr>
                          <w:rFonts w:ascii="Cambria Math"/>
                          <w:sz w:val="20"/>
                        </w:rPr>
                        <m:t>k</m:t>
                      </m:r>
                    </m:sup>
                  </m:sSubSup>
                  <m:r>
                    <w:rPr>
                      <w:rFonts w:ascii="Cambria Math"/>
                      <w:sz w:val="20"/>
                    </w:rPr>
                    <m:t>-</m:t>
                  </m:r>
                  <m:sSup>
                    <m:sSupPr>
                      <m:ctrlPr>
                        <w:rPr>
                          <w:rFonts w:ascii="Cambria Math" w:hAnsi="Cambria Math"/>
                          <w:i/>
                          <w:sz w:val="20"/>
                        </w:rPr>
                      </m:ctrlPr>
                    </m:sSupPr>
                    <m:e>
                      <m:r>
                        <w:rPr>
                          <w:rFonts w:ascii="Cambria Math"/>
                          <w:sz w:val="20"/>
                        </w:rPr>
                        <m:t>V</m:t>
                      </m:r>
                    </m:e>
                    <m:sup>
                      <m:r>
                        <w:rPr>
                          <w:rFonts w:ascii="Cambria Math"/>
                          <w:sz w:val="20"/>
                        </w:rPr>
                        <m:t>k</m:t>
                      </m:r>
                    </m:sup>
                  </m:sSup>
                </m:num>
                <m:den>
                  <m:r>
                    <w:rPr>
                      <w:rFonts w:ascii="Cambria Math"/>
                      <w:sz w:val="20"/>
                    </w:rPr>
                    <m:t>20</m:t>
                  </m:r>
                </m:den>
              </m:f>
            </m:oMath>
            <w:r w:rsidR="00F815BE">
              <w:rPr>
                <w:rFonts w:ascii="Times New Roman" w:hAnsi="Times New Roman"/>
                <w:sz w:val="20"/>
              </w:rPr>
              <w:t xml:space="preserve">, </w:t>
            </w:r>
            <m:oMath>
              <m:sSub>
                <m:sSubPr>
                  <m:ctrlPr>
                    <w:rPr>
                      <w:rFonts w:ascii="Cambria Math" w:hAnsi="Cambria Math"/>
                      <w:i/>
                      <w:sz w:val="20"/>
                    </w:rPr>
                  </m:ctrlPr>
                </m:sSubPr>
                <m:e>
                  <m:r>
                    <w:rPr>
                      <w:rFonts w:ascii="Cambria Math"/>
                      <w:sz w:val="20"/>
                    </w:rPr>
                    <m:t>w</m:t>
                  </m:r>
                </m:e>
                <m:sub>
                  <m:r>
                    <w:rPr>
                      <w:rFonts w:ascii="Cambria Math"/>
                      <w:sz w:val="20"/>
                    </w:rPr>
                    <m:t>2</m:t>
                  </m:r>
                </m:sub>
              </m:sSub>
              <m:r>
                <w:rPr>
                  <w:rFonts w:ascii="Cambria Math"/>
                  <w:sz w:val="20"/>
                </w:rPr>
                <m:t>=</m:t>
              </m:r>
              <m:f>
                <m:fPr>
                  <m:ctrlPr>
                    <w:rPr>
                      <w:rFonts w:ascii="Cambria Math" w:hAnsi="Cambria Math"/>
                      <w:i/>
                      <w:sz w:val="20"/>
                    </w:rPr>
                  </m:ctrlPr>
                </m:fPr>
                <m:num>
                  <m:r>
                    <w:rPr>
                      <w:rFonts w:ascii="Cambria Math"/>
                      <w:sz w:val="20"/>
                    </w:rPr>
                    <m:t>10</m:t>
                  </m:r>
                  <m:r>
                    <w:rPr>
                      <w:rFonts w:ascii="Cambria Math"/>
                      <w:sz w:val="20"/>
                    </w:rPr>
                    <m:t>-</m:t>
                  </m:r>
                  <m:d>
                    <m:dPr>
                      <m:begChr m:val="|"/>
                      <m:endChr m:val="|"/>
                      <m:ctrlPr>
                        <w:rPr>
                          <w:rFonts w:ascii="Cambria Math" w:hAnsi="Cambria Math"/>
                          <w:i/>
                          <w:sz w:val="20"/>
                        </w:rPr>
                      </m:ctrlPr>
                    </m:dPr>
                    <m:e>
                      <m:sSubSup>
                        <m:sSubSupPr>
                          <m:ctrlPr>
                            <w:rPr>
                              <w:rFonts w:ascii="Cambria Math" w:hAnsi="Cambria Math"/>
                              <w:i/>
                              <w:sz w:val="20"/>
                            </w:rPr>
                          </m:ctrlPr>
                        </m:sSubSupPr>
                        <m:e>
                          <m:r>
                            <w:rPr>
                              <w:rFonts w:ascii="Cambria Math"/>
                              <w:sz w:val="20"/>
                            </w:rPr>
                            <m:t>G</m:t>
                          </m:r>
                        </m:e>
                        <m:sub>
                          <m:r>
                            <w:rPr>
                              <w:rFonts w:ascii="Cambria Math"/>
                              <w:sz w:val="20"/>
                            </w:rPr>
                            <m:t>1</m:t>
                          </m:r>
                        </m:sub>
                        <m:sup>
                          <m:r>
                            <w:rPr>
                              <w:rFonts w:ascii="Cambria Math"/>
                              <w:sz w:val="20"/>
                            </w:rPr>
                            <m:t>k</m:t>
                          </m:r>
                        </m:sup>
                      </m:sSubSup>
                      <m:r>
                        <w:rPr>
                          <w:rFonts w:ascii="Cambria Math"/>
                          <w:sz w:val="20"/>
                        </w:rPr>
                        <m:t>-</m:t>
                      </m:r>
                      <m:r>
                        <w:rPr>
                          <w:rFonts w:ascii="Cambria Math"/>
                          <w:sz w:val="20"/>
                        </w:rPr>
                        <m:t>5</m:t>
                      </m:r>
                    </m:e>
                  </m:d>
                  <m:r>
                    <w:rPr>
                      <w:rFonts w:ascii="Cambria Math"/>
                      <w:sz w:val="20"/>
                    </w:rPr>
                    <m:t>-</m:t>
                  </m:r>
                  <m:sSup>
                    <m:sSupPr>
                      <m:ctrlPr>
                        <w:rPr>
                          <w:rFonts w:ascii="Cambria Math" w:hAnsi="Cambria Math"/>
                          <w:i/>
                          <w:sz w:val="20"/>
                        </w:rPr>
                      </m:ctrlPr>
                    </m:sSupPr>
                    <m:e>
                      <m:r>
                        <w:rPr>
                          <w:rFonts w:ascii="Cambria Math"/>
                          <w:sz w:val="20"/>
                        </w:rPr>
                        <m:t>V</m:t>
                      </m:r>
                    </m:e>
                    <m:sup>
                      <m:r>
                        <w:rPr>
                          <w:rFonts w:ascii="Cambria Math"/>
                          <w:sz w:val="20"/>
                        </w:rPr>
                        <m:t>k</m:t>
                      </m:r>
                    </m:sup>
                  </m:sSup>
                </m:num>
                <m:den>
                  <m:r>
                    <w:rPr>
                      <w:rFonts w:ascii="Cambria Math"/>
                      <w:sz w:val="20"/>
                    </w:rPr>
                    <m:t>15</m:t>
                  </m:r>
                </m:den>
              </m:f>
              <m:r>
                <w:rPr>
                  <w:rFonts w:ascii="Cambria Math"/>
                  <w:sz w:val="20"/>
                </w:rPr>
                <m:t>,</m:t>
              </m:r>
            </m:oMath>
            <w:r w:rsidR="00F815BE">
              <w:rPr>
                <w:rFonts w:ascii="Times New Roman" w:hAnsi="Times New Roman"/>
                <w:sz w:val="20"/>
              </w:rPr>
              <w:t xml:space="preserve"> </w:t>
            </w:r>
            <m:oMath>
              <m:sSub>
                <m:sSubPr>
                  <m:ctrlPr>
                    <w:rPr>
                      <w:rFonts w:ascii="Cambria Math" w:hAnsi="Cambria Math"/>
                      <w:i/>
                      <w:sz w:val="20"/>
                    </w:rPr>
                  </m:ctrlPr>
                </m:sSubPr>
                <m:e>
                  <m:r>
                    <w:rPr>
                      <w:rFonts w:ascii="Cambria Math"/>
                      <w:sz w:val="20"/>
                    </w:rPr>
                    <m:t>w</m:t>
                  </m:r>
                </m:e>
                <m:sub>
                  <m:r>
                    <w:rPr>
                      <w:rFonts w:ascii="Cambria Math"/>
                      <w:sz w:val="20"/>
                    </w:rPr>
                    <m:t>3</m:t>
                  </m:r>
                </m:sub>
              </m:sSub>
              <m:r>
                <w:rPr>
                  <w:rFonts w:ascii="Cambria Math"/>
                  <w:sz w:val="20"/>
                </w:rPr>
                <m:t>=</m:t>
              </m:r>
              <m:f>
                <m:fPr>
                  <m:ctrlPr>
                    <w:rPr>
                      <w:rFonts w:ascii="Cambria Math" w:hAnsi="Cambria Math"/>
                      <w:i/>
                      <w:sz w:val="20"/>
                    </w:rPr>
                  </m:ctrlPr>
                </m:fPr>
                <m:num>
                  <m:r>
                    <w:rPr>
                      <w:rFonts w:ascii="Cambria Math"/>
                      <w:sz w:val="20"/>
                    </w:rPr>
                    <m:t>5+</m:t>
                  </m:r>
                  <m:sSubSup>
                    <m:sSubSupPr>
                      <m:ctrlPr>
                        <w:rPr>
                          <w:rFonts w:ascii="Cambria Math" w:hAnsi="Cambria Math"/>
                          <w:i/>
                          <w:sz w:val="20"/>
                        </w:rPr>
                      </m:ctrlPr>
                    </m:sSubSupPr>
                    <m:e>
                      <m:r>
                        <w:rPr>
                          <w:rFonts w:ascii="Cambria Math"/>
                          <w:sz w:val="20"/>
                        </w:rPr>
                        <m:t>G</m:t>
                      </m:r>
                    </m:e>
                    <m:sub>
                      <m:r>
                        <w:rPr>
                          <w:rFonts w:ascii="Cambria Math"/>
                          <w:sz w:val="20"/>
                        </w:rPr>
                        <m:t>2</m:t>
                      </m:r>
                    </m:sub>
                    <m:sup>
                      <m:r>
                        <w:rPr>
                          <w:rFonts w:ascii="Cambria Math"/>
                          <w:sz w:val="20"/>
                        </w:rPr>
                        <m:t>k</m:t>
                      </m:r>
                    </m:sup>
                  </m:sSubSup>
                  <m:r>
                    <w:rPr>
                      <w:rFonts w:ascii="Cambria Math"/>
                      <w:sz w:val="20"/>
                    </w:rPr>
                    <m:t>+</m:t>
                  </m:r>
                  <m:sSup>
                    <m:sSupPr>
                      <m:ctrlPr>
                        <w:rPr>
                          <w:rFonts w:ascii="Cambria Math" w:hAnsi="Cambria Math"/>
                          <w:i/>
                          <w:sz w:val="20"/>
                        </w:rPr>
                      </m:ctrlPr>
                    </m:sSupPr>
                    <m:e>
                      <m:r>
                        <w:rPr>
                          <w:rFonts w:ascii="Cambria Math"/>
                          <w:sz w:val="20"/>
                        </w:rPr>
                        <m:t>V</m:t>
                      </m:r>
                    </m:e>
                    <m:sup>
                      <m:r>
                        <w:rPr>
                          <w:rFonts w:ascii="Cambria Math"/>
                          <w:sz w:val="20"/>
                        </w:rPr>
                        <m:t>k</m:t>
                      </m:r>
                    </m:sup>
                  </m:sSup>
                </m:num>
                <m:den>
                  <m:r>
                    <w:rPr>
                      <w:rFonts w:ascii="Cambria Math"/>
                      <w:sz w:val="20"/>
                    </w:rPr>
                    <m:t>20</m:t>
                  </m:r>
                </m:den>
              </m:f>
            </m:oMath>
            <w:r w:rsidR="00F815BE">
              <w:rPr>
                <w:rFonts w:ascii="Times New Roman" w:hAnsi="Times New Roman"/>
                <w:sz w:val="20"/>
              </w:rPr>
              <w:t xml:space="preserve">, </w:t>
            </w:r>
            <m:oMath>
              <m:sSub>
                <m:sSubPr>
                  <m:ctrlPr>
                    <w:rPr>
                      <w:rFonts w:ascii="Cambria Math" w:hAnsi="Cambria Math"/>
                      <w:i/>
                      <w:sz w:val="20"/>
                    </w:rPr>
                  </m:ctrlPr>
                </m:sSubPr>
                <m:e>
                  <m:r>
                    <w:rPr>
                      <w:rFonts w:ascii="Cambria Math"/>
                      <w:sz w:val="20"/>
                    </w:rPr>
                    <m:t>w</m:t>
                  </m:r>
                </m:e>
                <m:sub>
                  <m:r>
                    <w:rPr>
                      <w:rFonts w:ascii="Cambria Math"/>
                      <w:sz w:val="20"/>
                    </w:rPr>
                    <m:t>4</m:t>
                  </m:r>
                </m:sub>
              </m:sSub>
              <m:r>
                <w:rPr>
                  <w:rFonts w:ascii="Cambria Math"/>
                  <w:sz w:val="20"/>
                </w:rPr>
                <m:t>=</m:t>
              </m:r>
              <m:f>
                <m:fPr>
                  <m:ctrlPr>
                    <w:rPr>
                      <w:rFonts w:ascii="Cambria Math" w:hAnsi="Cambria Math"/>
                      <w:i/>
                      <w:sz w:val="20"/>
                    </w:rPr>
                  </m:ctrlPr>
                </m:fPr>
                <m:num>
                  <m:r>
                    <w:rPr>
                      <w:rFonts w:ascii="Cambria Math"/>
                      <w:sz w:val="20"/>
                    </w:rPr>
                    <m:t>25</m:t>
                  </m:r>
                  <m:r>
                    <w:rPr>
                      <w:rFonts w:ascii="Cambria Math"/>
                      <w:sz w:val="20"/>
                    </w:rPr>
                    <m:t>-</m:t>
                  </m:r>
                  <m:sSubSup>
                    <m:sSubSupPr>
                      <m:ctrlPr>
                        <w:rPr>
                          <w:rFonts w:ascii="Cambria Math" w:hAnsi="Cambria Math"/>
                          <w:i/>
                          <w:sz w:val="20"/>
                        </w:rPr>
                      </m:ctrlPr>
                    </m:sSubSupPr>
                    <m:e>
                      <m:r>
                        <w:rPr>
                          <w:rFonts w:ascii="Cambria Math"/>
                          <w:sz w:val="20"/>
                        </w:rPr>
                        <m:t>G</m:t>
                      </m:r>
                    </m:e>
                    <m:sub>
                      <m:r>
                        <w:rPr>
                          <w:rFonts w:ascii="Cambria Math"/>
                          <w:sz w:val="20"/>
                        </w:rPr>
                        <m:t>1</m:t>
                      </m:r>
                    </m:sub>
                    <m:sup>
                      <m:r>
                        <w:rPr>
                          <w:rFonts w:ascii="Cambria Math"/>
                          <w:sz w:val="20"/>
                        </w:rPr>
                        <m:t>k</m:t>
                      </m:r>
                    </m:sup>
                  </m:sSubSup>
                  <m:r>
                    <w:rPr>
                      <w:rFonts w:ascii="Cambria Math"/>
                      <w:sz w:val="20"/>
                    </w:rPr>
                    <m:t>-</m:t>
                  </m:r>
                  <m:sSubSup>
                    <m:sSubSupPr>
                      <m:ctrlPr>
                        <w:rPr>
                          <w:rFonts w:ascii="Cambria Math" w:hAnsi="Cambria Math"/>
                          <w:i/>
                          <w:sz w:val="20"/>
                        </w:rPr>
                      </m:ctrlPr>
                    </m:sSubSupPr>
                    <m:e>
                      <m:r>
                        <w:rPr>
                          <w:rFonts w:ascii="Cambria Math"/>
                          <w:sz w:val="20"/>
                        </w:rPr>
                        <m:t>G</m:t>
                      </m:r>
                    </m:e>
                    <m:sub>
                      <m:r>
                        <w:rPr>
                          <w:rFonts w:ascii="Cambria Math"/>
                          <w:sz w:val="20"/>
                        </w:rPr>
                        <m:t>2</m:t>
                      </m:r>
                    </m:sub>
                    <m:sup>
                      <m:r>
                        <w:rPr>
                          <w:rFonts w:ascii="Cambria Math"/>
                          <w:sz w:val="20"/>
                        </w:rPr>
                        <m:t>k</m:t>
                      </m:r>
                    </m:sup>
                  </m:sSubSup>
                  <m:r>
                    <w:rPr>
                      <w:rFonts w:ascii="Cambria Math"/>
                      <w:sz w:val="20"/>
                    </w:rPr>
                    <m:t>-</m:t>
                  </m:r>
                  <m:d>
                    <m:dPr>
                      <m:begChr m:val="|"/>
                      <m:endChr m:val="|"/>
                      <m:ctrlPr>
                        <w:rPr>
                          <w:rFonts w:ascii="Cambria Math" w:hAnsi="Cambria Math"/>
                          <w:i/>
                          <w:sz w:val="20"/>
                        </w:rPr>
                      </m:ctrlPr>
                    </m:dPr>
                    <m:e>
                      <m:sSup>
                        <m:sSupPr>
                          <m:ctrlPr>
                            <w:rPr>
                              <w:rFonts w:ascii="Cambria Math" w:hAnsi="Cambria Math"/>
                              <w:i/>
                              <w:sz w:val="20"/>
                            </w:rPr>
                          </m:ctrlPr>
                        </m:sSupPr>
                        <m:e>
                          <m:r>
                            <w:rPr>
                              <w:rFonts w:ascii="Cambria Math"/>
                              <w:sz w:val="20"/>
                            </w:rPr>
                            <m:t>V</m:t>
                          </m:r>
                        </m:e>
                        <m:sup>
                          <m:r>
                            <w:rPr>
                              <w:rFonts w:ascii="Cambria Math"/>
                              <w:sz w:val="20"/>
                            </w:rPr>
                            <m:t>k</m:t>
                          </m:r>
                        </m:sup>
                      </m:sSup>
                    </m:e>
                  </m:d>
                </m:num>
                <m:den>
                  <m:r>
                    <w:rPr>
                      <w:rFonts w:ascii="Cambria Math"/>
                      <w:sz w:val="20"/>
                    </w:rPr>
                    <m:t>25</m:t>
                  </m:r>
                </m:den>
              </m:f>
            </m:oMath>
            <w:r w:rsidR="00F815BE">
              <w:rPr>
                <w:rFonts w:ascii="Times New Roman" w:hAnsi="Times New Roman"/>
                <w:sz w:val="20"/>
              </w:rPr>
              <w:t xml:space="preserve">, </w:t>
            </w:r>
            <m:oMath>
              <m:sSub>
                <m:sSubPr>
                  <m:ctrlPr>
                    <w:rPr>
                      <w:rFonts w:ascii="Cambria Math" w:hAnsi="Cambria Math"/>
                      <w:i/>
                      <w:sz w:val="20"/>
                    </w:rPr>
                  </m:ctrlPr>
                </m:sSubPr>
                <m:e>
                  <m:r>
                    <w:rPr>
                      <w:rFonts w:ascii="Cambria Math"/>
                      <w:sz w:val="20"/>
                    </w:rPr>
                    <m:t>w</m:t>
                  </m:r>
                </m:e>
                <m:sub>
                  <m:r>
                    <w:rPr>
                      <w:rFonts w:ascii="Cambria Math"/>
                      <w:sz w:val="20"/>
                    </w:rPr>
                    <m:t>5</m:t>
                  </m:r>
                </m:sub>
              </m:sSub>
              <m:r>
                <w:rPr>
                  <w:rFonts w:ascii="Cambria Math"/>
                  <w:sz w:val="20"/>
                </w:rPr>
                <m:t>=</m:t>
              </m:r>
              <m:f>
                <m:fPr>
                  <m:ctrlPr>
                    <w:rPr>
                      <w:rFonts w:ascii="Cambria Math" w:hAnsi="Cambria Math"/>
                      <w:i/>
                      <w:sz w:val="20"/>
                    </w:rPr>
                  </m:ctrlPr>
                </m:fPr>
                <m:num>
                  <m:r>
                    <w:rPr>
                      <w:rFonts w:ascii="Cambria Math"/>
                      <w:sz w:val="20"/>
                    </w:rPr>
                    <m:t>10</m:t>
                  </m:r>
                  <m:r>
                    <w:rPr>
                      <w:rFonts w:ascii="Cambria Math"/>
                      <w:sz w:val="20"/>
                    </w:rPr>
                    <m:t>-</m:t>
                  </m:r>
                  <m:d>
                    <m:dPr>
                      <m:begChr m:val="|"/>
                      <m:endChr m:val="|"/>
                      <m:ctrlPr>
                        <w:rPr>
                          <w:rFonts w:ascii="Cambria Math" w:hAnsi="Cambria Math"/>
                          <w:i/>
                          <w:sz w:val="20"/>
                        </w:rPr>
                      </m:ctrlPr>
                    </m:dPr>
                    <m:e>
                      <m:sSubSup>
                        <m:sSubSupPr>
                          <m:ctrlPr>
                            <w:rPr>
                              <w:rFonts w:ascii="Cambria Math" w:hAnsi="Cambria Math"/>
                              <w:i/>
                              <w:sz w:val="20"/>
                            </w:rPr>
                          </m:ctrlPr>
                        </m:sSubSupPr>
                        <m:e>
                          <m:r>
                            <w:rPr>
                              <w:rFonts w:ascii="Cambria Math"/>
                              <w:sz w:val="20"/>
                            </w:rPr>
                            <m:t>G</m:t>
                          </m:r>
                        </m:e>
                        <m:sub>
                          <m:r>
                            <w:rPr>
                              <w:rFonts w:ascii="Cambria Math"/>
                              <w:sz w:val="20"/>
                            </w:rPr>
                            <m:t>2</m:t>
                          </m:r>
                        </m:sub>
                        <m:sup>
                          <m:r>
                            <w:rPr>
                              <w:rFonts w:ascii="Cambria Math"/>
                              <w:sz w:val="20"/>
                            </w:rPr>
                            <m:t>k</m:t>
                          </m:r>
                        </m:sup>
                      </m:sSubSup>
                      <m:r>
                        <w:rPr>
                          <w:rFonts w:ascii="Cambria Math"/>
                          <w:sz w:val="20"/>
                        </w:rPr>
                        <m:t>-</m:t>
                      </m:r>
                      <m:r>
                        <w:rPr>
                          <w:rFonts w:ascii="Cambria Math"/>
                          <w:sz w:val="20"/>
                        </w:rPr>
                        <m:t>5</m:t>
                      </m:r>
                    </m:e>
                  </m:d>
                  <m:r>
                    <w:rPr>
                      <w:rFonts w:ascii="Cambria Math"/>
                      <w:sz w:val="20"/>
                    </w:rPr>
                    <m:t>+</m:t>
                  </m:r>
                  <m:sSup>
                    <m:sSupPr>
                      <m:ctrlPr>
                        <w:rPr>
                          <w:rFonts w:ascii="Cambria Math" w:hAnsi="Cambria Math"/>
                          <w:i/>
                          <w:sz w:val="20"/>
                        </w:rPr>
                      </m:ctrlPr>
                    </m:sSupPr>
                    <m:e>
                      <m:r>
                        <w:rPr>
                          <w:rFonts w:ascii="Cambria Math"/>
                          <w:sz w:val="20"/>
                        </w:rPr>
                        <m:t>V</m:t>
                      </m:r>
                    </m:e>
                    <m:sup>
                      <m:r>
                        <w:rPr>
                          <w:rFonts w:ascii="Cambria Math"/>
                          <w:sz w:val="20"/>
                        </w:rPr>
                        <m:t>k</m:t>
                      </m:r>
                    </m:sup>
                  </m:sSup>
                </m:num>
                <m:den/>
              </m:f>
            </m:oMath>
            <w:r w:rsidR="00F815BE">
              <w:rPr>
                <w:rFonts w:ascii="Times New Roman" w:hAnsi="Times New Roman"/>
                <w:sz w:val="20"/>
              </w:rPr>
              <w:t>.</w:t>
            </w:r>
          </w:p>
        </w:tc>
        <w:tc>
          <w:tcPr>
            <w:tcW w:w="900" w:type="dxa"/>
            <w:tcBorders>
              <w:top w:val="none" w:sz="0" w:space="0" w:color="000000"/>
              <w:left w:val="none" w:sz="0" w:space="0" w:color="000000"/>
              <w:bottom w:val="none" w:sz="0" w:space="0" w:color="000000"/>
              <w:right w:val="none" w:sz="0" w:space="0" w:color="000000"/>
            </w:tcBorders>
            <w:vAlign w:val="center"/>
          </w:tcPr>
          <w:p w:rsidR="00517711" w:rsidRDefault="00F815BE">
            <w:pPr>
              <w:spacing w:after="0" w:line="360" w:lineRule="auto"/>
              <w:jc w:val="center"/>
              <w:rPr>
                <w:rFonts w:ascii="Times New Roman" w:hAnsi="Times New Roman"/>
                <w:sz w:val="20"/>
                <w:szCs w:val="20"/>
              </w:rPr>
            </w:pPr>
            <w:r>
              <w:rPr>
                <w:rFonts w:ascii="Times New Roman" w:hAnsi="Times New Roman"/>
                <w:sz w:val="20"/>
                <w:szCs w:val="20"/>
              </w:rPr>
              <w:t>(1)</w:t>
            </w:r>
          </w:p>
        </w:tc>
      </w:tr>
    </w:tbl>
    <w:p w:rsidR="00517711" w:rsidRDefault="00F815BE">
      <w:pPr>
        <w:spacing w:after="0" w:line="240" w:lineRule="auto"/>
        <w:ind w:firstLine="709"/>
        <w:jc w:val="both"/>
        <w:rPr>
          <w:rFonts w:ascii="Times New Roman" w:hAnsi="Times New Roman"/>
          <w:sz w:val="24"/>
        </w:rPr>
      </w:pPr>
      <w:r>
        <w:rPr>
          <w:rFonts w:ascii="Times New Roman" w:hAnsi="Times New Roman"/>
          <w:sz w:val="24"/>
        </w:rPr>
        <w:t>Каждый весовой коэффициент представляет собой значение некоторой функции, аргументами которой являются те или иные характеристики отношений, а область значений – промежуток от 0 до 1. При этом каждая функция должна принимать максимальное значение в случае, когда соответствующие характеристики отношений достигают своих предельных значений для соответствующего случая [4].</w:t>
      </w:r>
    </w:p>
    <w:p w:rsidR="00517711" w:rsidRDefault="00F815BE">
      <w:pPr>
        <w:spacing w:before="120" w:after="0" w:line="240" w:lineRule="auto"/>
        <w:ind w:firstLine="709"/>
        <w:jc w:val="both"/>
        <w:rPr>
          <w:rFonts w:ascii="Times New Roman" w:hAnsi="Times New Roman"/>
          <w:sz w:val="24"/>
        </w:rPr>
      </w:pPr>
      <w:r>
        <w:rPr>
          <w:rFonts w:ascii="Times New Roman" w:hAnsi="Times New Roman"/>
          <w:sz w:val="24"/>
        </w:rPr>
        <w:t>В данной статье предлагается использовать методы нечеткого логического вывода с целью выбора наиболее целесообразного типа стратегии отношений со стейкхолдерами. Обратим внимание на формулу нахождения степени желания изменений:</w:t>
      </w:r>
    </w:p>
    <w:tbl>
      <w:tblPr>
        <w:tblW w:w="9648" w:type="dxa"/>
        <w:tblLayout w:type="fixed"/>
        <w:tblLook w:val="01E0" w:firstRow="1" w:lastRow="1" w:firstColumn="1" w:lastColumn="1" w:noHBand="0" w:noVBand="0"/>
      </w:tblPr>
      <w:tblGrid>
        <w:gridCol w:w="8748"/>
        <w:gridCol w:w="900"/>
      </w:tblGrid>
      <w:tr w:rsidR="00517711">
        <w:trPr>
          <w:trHeight w:val="281"/>
        </w:trPr>
        <w:tc>
          <w:tcPr>
            <w:tcW w:w="8748" w:type="dxa"/>
            <w:tcBorders>
              <w:top w:val="none" w:sz="0" w:space="0" w:color="000000"/>
              <w:left w:val="none" w:sz="0" w:space="0" w:color="000000"/>
              <w:bottom w:val="none" w:sz="0" w:space="0" w:color="000000"/>
              <w:right w:val="none" w:sz="0" w:space="0" w:color="000000"/>
            </w:tcBorders>
          </w:tcPr>
          <w:p w:rsidR="00517711" w:rsidRDefault="000D1C8F">
            <w:pPr>
              <w:spacing w:after="0" w:line="240" w:lineRule="auto"/>
              <w:ind w:firstLine="709"/>
              <w:jc w:val="center"/>
              <w:rPr>
                <w:rFonts w:ascii="Times New Roman" w:hAnsi="Times New Roman"/>
                <w:sz w:val="28"/>
                <w:szCs w:val="28"/>
              </w:rPr>
            </w:pPr>
            <m:oMath>
              <m:sSubSup>
                <m:sSubSupPr>
                  <m:ctrlPr>
                    <w:rPr>
                      <w:rFonts w:ascii="Cambria Math" w:hAnsi="Cambria Math"/>
                      <w:i/>
                      <w:sz w:val="20"/>
                    </w:rPr>
                  </m:ctrlPr>
                </m:sSubSupPr>
                <m:e>
                  <m:r>
                    <w:rPr>
                      <w:rFonts w:ascii="Cambria Math"/>
                      <w:sz w:val="20"/>
                    </w:rPr>
                    <m:t>G</m:t>
                  </m:r>
                </m:e>
                <m:sub>
                  <m:r>
                    <w:rPr>
                      <w:rFonts w:ascii="Cambria Math"/>
                      <w:sz w:val="20"/>
                    </w:rPr>
                    <m:t>j</m:t>
                  </m:r>
                </m:sub>
                <m:sup>
                  <m:r>
                    <w:rPr>
                      <w:rFonts w:ascii="Cambria Math"/>
                      <w:sz w:val="20"/>
                    </w:rPr>
                    <m:t>k</m:t>
                  </m:r>
                </m:sup>
              </m:sSubSup>
            </m:oMath>
            <w:r w:rsidR="00F815BE">
              <w:rPr>
                <w:rFonts w:ascii="Times New Roman" w:hAnsi="Times New Roman"/>
                <w:sz w:val="20"/>
              </w:rPr>
              <w:t>= 5 – (</w:t>
            </w:r>
            <m:oMath>
              <m:sSubSup>
                <m:sSubSupPr>
                  <m:ctrlPr>
                    <w:rPr>
                      <w:rFonts w:ascii="Cambria Math" w:hAnsi="Cambria Math"/>
                      <w:i/>
                      <w:sz w:val="20"/>
                    </w:rPr>
                  </m:ctrlPr>
                </m:sSubSupPr>
                <m:e>
                  <m:r>
                    <w:rPr>
                      <w:rFonts w:ascii="Cambria Math"/>
                      <w:sz w:val="20"/>
                    </w:rPr>
                    <m:t>U</m:t>
                  </m:r>
                </m:e>
                <m:sub>
                  <m:r>
                    <w:rPr>
                      <w:rFonts w:ascii="Cambria Math"/>
                      <w:sz w:val="20"/>
                    </w:rPr>
                    <m:t>j</m:t>
                  </m:r>
                </m:sub>
                <m:sup>
                  <m:r>
                    <w:rPr>
                      <w:rFonts w:ascii="Cambria Math"/>
                      <w:sz w:val="20"/>
                    </w:rPr>
                    <m:t>k</m:t>
                  </m:r>
                </m:sup>
              </m:sSubSup>
            </m:oMath>
            <w:r w:rsidR="00F815BE">
              <w:rPr>
                <w:rFonts w:ascii="Times New Roman" w:hAnsi="Times New Roman"/>
                <w:sz w:val="20"/>
              </w:rPr>
              <w:t xml:space="preserve">*0,5 + </w:t>
            </w:r>
            <m:oMath>
              <m:sSubSup>
                <m:sSubSupPr>
                  <m:ctrlPr>
                    <w:rPr>
                      <w:rFonts w:ascii="Cambria Math" w:hAnsi="Cambria Math"/>
                      <w:i/>
                      <w:sz w:val="20"/>
                    </w:rPr>
                  </m:ctrlPr>
                </m:sSubSupPr>
                <m:e>
                  <m:r>
                    <w:rPr>
                      <w:rFonts w:ascii="Cambria Math"/>
                      <w:sz w:val="20"/>
                    </w:rPr>
                    <m:t>O</m:t>
                  </m:r>
                </m:e>
                <m:sub>
                  <m:r>
                    <w:rPr>
                      <w:rFonts w:ascii="Cambria Math"/>
                      <w:sz w:val="20"/>
                    </w:rPr>
                    <m:t>j</m:t>
                  </m:r>
                </m:sub>
                <m:sup>
                  <m:r>
                    <w:rPr>
                      <w:rFonts w:ascii="Cambria Math"/>
                      <w:sz w:val="20"/>
                    </w:rPr>
                    <m:t>k</m:t>
                  </m:r>
                </m:sup>
              </m:sSubSup>
            </m:oMath>
            <w:r w:rsidR="00F815BE">
              <w:rPr>
                <w:rFonts w:ascii="Times New Roman" w:hAnsi="Times New Roman"/>
                <w:sz w:val="20"/>
              </w:rPr>
              <w:t>*0,5).</w:t>
            </w:r>
          </w:p>
        </w:tc>
        <w:tc>
          <w:tcPr>
            <w:tcW w:w="900" w:type="dxa"/>
            <w:tcBorders>
              <w:top w:val="none" w:sz="0" w:space="0" w:color="000000"/>
              <w:left w:val="none" w:sz="0" w:space="0" w:color="000000"/>
              <w:bottom w:val="none" w:sz="0" w:space="0" w:color="000000"/>
              <w:right w:val="none" w:sz="0" w:space="0" w:color="000000"/>
            </w:tcBorders>
            <w:vAlign w:val="center"/>
          </w:tcPr>
          <w:p w:rsidR="00517711" w:rsidRDefault="00F815BE">
            <w:pPr>
              <w:spacing w:after="0" w:line="360" w:lineRule="auto"/>
              <w:jc w:val="center"/>
              <w:rPr>
                <w:rFonts w:ascii="Times New Roman" w:hAnsi="Times New Roman"/>
                <w:sz w:val="20"/>
                <w:szCs w:val="20"/>
              </w:rPr>
            </w:pPr>
            <w:r>
              <w:rPr>
                <w:rFonts w:ascii="Times New Roman" w:hAnsi="Times New Roman"/>
                <w:sz w:val="20"/>
                <w:szCs w:val="20"/>
              </w:rPr>
              <w:t>(2)</w:t>
            </w:r>
          </w:p>
        </w:tc>
      </w:tr>
    </w:tbl>
    <w:p w:rsidR="00517711" w:rsidRDefault="00F815BE">
      <w:pPr>
        <w:spacing w:after="0" w:line="240" w:lineRule="auto"/>
        <w:ind w:firstLine="709"/>
        <w:jc w:val="both"/>
        <w:rPr>
          <w:rFonts w:ascii="Times New Roman" w:hAnsi="Times New Roman"/>
          <w:sz w:val="24"/>
        </w:rPr>
      </w:pPr>
      <w:r>
        <w:rPr>
          <w:rFonts w:ascii="Times New Roman" w:hAnsi="Times New Roman"/>
          <w:sz w:val="24"/>
        </w:rPr>
        <w:t xml:space="preserve">В формуле можно заметить функциональную зависимость между степенью удовлетворенности </w:t>
      </w:r>
      <w:r>
        <w:rPr>
          <w:rFonts w:ascii="Times New Roman" w:hAnsi="Times New Roman"/>
          <w:sz w:val="20"/>
          <w:szCs w:val="20"/>
        </w:rPr>
        <w:t>(</w:t>
      </w:r>
      <m:oMath>
        <m:sSubSup>
          <m:sSubSupPr>
            <m:ctrlPr>
              <w:rPr>
                <w:rFonts w:ascii="Cambria Math" w:hAnsi="Cambria Math"/>
                <w:i/>
                <w:sz w:val="20"/>
              </w:rPr>
            </m:ctrlPr>
          </m:sSubSupPr>
          <m:e>
            <m:r>
              <w:rPr>
                <w:rFonts w:ascii="Cambria Math"/>
                <w:sz w:val="20"/>
              </w:rPr>
              <m:t>U</m:t>
            </m:r>
          </m:e>
          <m:sub>
            <m:r>
              <w:rPr>
                <w:rFonts w:ascii="Cambria Math"/>
                <w:sz w:val="20"/>
              </w:rPr>
              <m:t>j</m:t>
            </m:r>
          </m:sub>
          <m:sup>
            <m:r>
              <w:rPr>
                <w:rFonts w:ascii="Cambria Math"/>
                <w:sz w:val="20"/>
              </w:rPr>
              <m:t>k</m:t>
            </m:r>
          </m:sup>
        </m:sSubSup>
      </m:oMath>
      <w:r>
        <w:rPr>
          <w:rFonts w:ascii="Times New Roman" w:hAnsi="Times New Roman"/>
          <w:sz w:val="20"/>
          <w:szCs w:val="20"/>
        </w:rPr>
        <w:t xml:space="preserve">), </w:t>
      </w:r>
      <w:r>
        <w:rPr>
          <w:rFonts w:ascii="Times New Roman" w:hAnsi="Times New Roman"/>
          <w:sz w:val="24"/>
        </w:rPr>
        <w:t xml:space="preserve">оценкой ожиданий </w:t>
      </w:r>
      <w:r>
        <w:rPr>
          <w:rFonts w:ascii="Times New Roman" w:hAnsi="Times New Roman"/>
          <w:sz w:val="20"/>
          <w:szCs w:val="20"/>
        </w:rPr>
        <w:t>(</w:t>
      </w:r>
      <m:oMath>
        <m:sSubSup>
          <m:sSubSupPr>
            <m:ctrlPr>
              <w:rPr>
                <w:rFonts w:ascii="Cambria Math" w:hAnsi="Cambria Math"/>
                <w:i/>
                <w:sz w:val="20"/>
              </w:rPr>
            </m:ctrlPr>
          </m:sSubSupPr>
          <m:e>
            <m:r>
              <w:rPr>
                <w:rFonts w:ascii="Cambria Math"/>
                <w:sz w:val="20"/>
              </w:rPr>
              <m:t>O</m:t>
            </m:r>
          </m:e>
          <m:sub>
            <m:r>
              <w:rPr>
                <w:rFonts w:ascii="Cambria Math"/>
                <w:sz w:val="20"/>
              </w:rPr>
              <m:t>j</m:t>
            </m:r>
          </m:sub>
          <m:sup>
            <m:r>
              <w:rPr>
                <w:rFonts w:ascii="Cambria Math"/>
                <w:sz w:val="20"/>
              </w:rPr>
              <m:t>k</m:t>
            </m:r>
          </m:sup>
        </m:sSubSup>
      </m:oMath>
      <w:r>
        <w:rPr>
          <w:rFonts w:ascii="Times New Roman" w:hAnsi="Times New Roman"/>
          <w:iCs/>
          <w:sz w:val="20"/>
          <w:szCs w:val="20"/>
        </w:rPr>
        <w:t xml:space="preserve">) </w:t>
      </w:r>
      <w:r>
        <w:rPr>
          <w:rFonts w:ascii="Times New Roman" w:hAnsi="Times New Roman"/>
          <w:sz w:val="24"/>
        </w:rPr>
        <w:t xml:space="preserve">и степенью желания изменений </w:t>
      </w:r>
      <w:r>
        <w:rPr>
          <w:rFonts w:ascii="Times New Roman" w:hAnsi="Times New Roman"/>
          <w:sz w:val="20"/>
          <w:szCs w:val="20"/>
        </w:rPr>
        <w:t>(</w:t>
      </w:r>
      <m:oMath>
        <m:sSubSup>
          <m:sSubSupPr>
            <m:ctrlPr>
              <w:rPr>
                <w:rFonts w:ascii="Cambria Math" w:hAnsi="Cambria Math"/>
                <w:i/>
                <w:sz w:val="20"/>
              </w:rPr>
            </m:ctrlPr>
          </m:sSubSupPr>
          <m:e>
            <m:r>
              <w:rPr>
                <w:rFonts w:ascii="Cambria Math"/>
                <w:sz w:val="20"/>
              </w:rPr>
              <m:t>G</m:t>
            </m:r>
          </m:e>
          <m:sub>
            <m:r>
              <w:rPr>
                <w:rFonts w:ascii="Cambria Math"/>
                <w:sz w:val="20"/>
              </w:rPr>
              <m:t>j</m:t>
            </m:r>
          </m:sub>
          <m:sup>
            <m:r>
              <w:rPr>
                <w:rFonts w:ascii="Cambria Math"/>
                <w:sz w:val="20"/>
              </w:rPr>
              <m:t>k</m:t>
            </m:r>
          </m:sup>
        </m:sSubSup>
        <m:r>
          <w:rPr>
            <w:rFonts w:ascii="Cambria Math"/>
            <w:sz w:val="20"/>
          </w:rPr>
          <m:t>)</m:t>
        </m:r>
      </m:oMath>
      <w:r>
        <w:rPr>
          <w:rFonts w:ascii="Times New Roman" w:hAnsi="Times New Roman"/>
          <w:sz w:val="24"/>
        </w:rPr>
        <w:t>. С данной зависимостью далее и будем работать.</w:t>
      </w:r>
    </w:p>
    <w:p w:rsidR="00517711" w:rsidRDefault="00F815BE">
      <w:pPr>
        <w:spacing w:after="0" w:line="240" w:lineRule="auto"/>
        <w:ind w:firstLine="709"/>
        <w:jc w:val="both"/>
        <w:rPr>
          <w:rFonts w:ascii="Times New Roman" w:hAnsi="Times New Roman"/>
          <w:sz w:val="24"/>
        </w:rPr>
      </w:pPr>
      <w:r>
        <w:rPr>
          <w:rFonts w:ascii="Times New Roman" w:hAnsi="Times New Roman"/>
          <w:sz w:val="24"/>
        </w:rPr>
        <w:t xml:space="preserve">В исследовании будет использоваться база нечетких логических выводов и одна из модификаций алгоритма нечеткого вывода (а конкретно, алгоритм Мамдани). В данном алгоритме используются два (и более) нечетких правила с заданными функциями принадлежности, имеются две входные переменные (в нашем случае это </w:t>
      </w:r>
      <m:oMath>
        <m:sSubSup>
          <m:sSubSupPr>
            <m:ctrlPr>
              <w:rPr>
                <w:rFonts w:ascii="Cambria Math" w:hAnsi="Cambria Math"/>
                <w:i/>
                <w:sz w:val="20"/>
              </w:rPr>
            </m:ctrlPr>
          </m:sSubSupPr>
          <m:e>
            <m:r>
              <w:rPr>
                <w:rFonts w:ascii="Cambria Math"/>
                <w:sz w:val="20"/>
              </w:rPr>
              <m:t>U</m:t>
            </m:r>
          </m:e>
          <m:sub>
            <m:r>
              <w:rPr>
                <w:rFonts w:ascii="Cambria Math"/>
                <w:sz w:val="20"/>
              </w:rPr>
              <m:t>j</m:t>
            </m:r>
          </m:sub>
          <m:sup>
            <m:r>
              <w:rPr>
                <w:rFonts w:ascii="Cambria Math"/>
                <w:sz w:val="20"/>
              </w:rPr>
              <m:t>k</m:t>
            </m:r>
          </m:sup>
        </m:sSubSup>
      </m:oMath>
      <w:r>
        <w:rPr>
          <w:rFonts w:ascii="Times New Roman" w:hAnsi="Times New Roman"/>
          <w:iCs/>
          <w:sz w:val="20"/>
        </w:rPr>
        <w:t xml:space="preserve"> </w:t>
      </w:r>
      <w:r>
        <w:rPr>
          <w:rFonts w:ascii="Times New Roman" w:hAnsi="Times New Roman"/>
          <w:iCs/>
          <w:sz w:val="24"/>
        </w:rPr>
        <w:t xml:space="preserve">и </w:t>
      </w:r>
      <m:oMath>
        <m:sSubSup>
          <m:sSubSupPr>
            <m:ctrlPr>
              <w:rPr>
                <w:rFonts w:ascii="Cambria Math" w:hAnsi="Cambria Math"/>
                <w:i/>
                <w:sz w:val="20"/>
              </w:rPr>
            </m:ctrlPr>
          </m:sSubSupPr>
          <m:e>
            <m:r>
              <w:rPr>
                <w:rFonts w:ascii="Cambria Math"/>
                <w:sz w:val="20"/>
              </w:rPr>
              <m:t>O</m:t>
            </m:r>
          </m:e>
          <m:sub>
            <m:r>
              <w:rPr>
                <w:rFonts w:ascii="Cambria Math"/>
                <w:sz w:val="20"/>
              </w:rPr>
              <m:t>j</m:t>
            </m:r>
          </m:sub>
          <m:sup>
            <m:r>
              <w:rPr>
                <w:rFonts w:ascii="Cambria Math"/>
                <w:sz w:val="20"/>
              </w:rPr>
              <m:t>k</m:t>
            </m:r>
          </m:sup>
        </m:sSubSup>
      </m:oMath>
      <w:r>
        <w:rPr>
          <w:rFonts w:ascii="Times New Roman" w:hAnsi="Times New Roman"/>
          <w:sz w:val="24"/>
        </w:rPr>
        <w:t>), и с их помощью, благодаря алгоритму Мамдани, найдем четкое значение выходной переменной (</w:t>
      </w:r>
      <m:oMath>
        <m:sSubSup>
          <m:sSubSupPr>
            <m:ctrlPr>
              <w:rPr>
                <w:rFonts w:ascii="Cambria Math" w:hAnsi="Cambria Math"/>
                <w:i/>
                <w:sz w:val="20"/>
              </w:rPr>
            </m:ctrlPr>
          </m:sSubSupPr>
          <m:e>
            <m:r>
              <w:rPr>
                <w:rFonts w:ascii="Cambria Math"/>
                <w:sz w:val="20"/>
              </w:rPr>
              <m:t>G</m:t>
            </m:r>
          </m:e>
          <m:sub>
            <m:r>
              <w:rPr>
                <w:rFonts w:ascii="Cambria Math"/>
                <w:sz w:val="20"/>
              </w:rPr>
              <m:t>j</m:t>
            </m:r>
          </m:sub>
          <m:sup>
            <m:r>
              <w:rPr>
                <w:rFonts w:ascii="Cambria Math"/>
                <w:sz w:val="20"/>
              </w:rPr>
              <m:t>k</m:t>
            </m:r>
          </m:sup>
        </m:sSubSup>
      </m:oMath>
      <w:r>
        <w:rPr>
          <w:rFonts w:ascii="Times New Roman" w:hAnsi="Times New Roman"/>
          <w:sz w:val="24"/>
        </w:rPr>
        <w:t>) [1].</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t xml:space="preserve">Используем алгоритм Мамдани на конкретном примере: найдем значение </w:t>
      </w:r>
      <m:oMath>
        <m:sSubSup>
          <m:sSubSupPr>
            <m:ctrlPr>
              <w:rPr>
                <w:rFonts w:ascii="Cambria Math" w:hAnsi="Cambria Math"/>
                <w:i/>
              </w:rPr>
            </m:ctrlPr>
          </m:sSubSupPr>
          <m:e>
            <m:r>
              <w:rPr>
                <w:rFonts w:ascii="Cambria Math"/>
                <w:sz w:val="24"/>
              </w:rPr>
              <m:t>G</m:t>
            </m:r>
          </m:e>
          <m:sub>
            <m:r>
              <w:rPr>
                <w:rFonts w:ascii="Cambria Math"/>
                <w:sz w:val="24"/>
              </w:rPr>
              <m:t>1</m:t>
            </m:r>
          </m:sub>
          <m:sup>
            <m:r>
              <w:rPr>
                <w:rFonts w:ascii="Cambria Math"/>
                <w:sz w:val="24"/>
              </w:rPr>
              <m:t>k</m:t>
            </m:r>
          </m:sup>
        </m:sSubSup>
      </m:oMath>
      <w:r>
        <w:rPr>
          <w:rFonts w:ascii="Times New Roman" w:hAnsi="Times New Roman"/>
          <w:sz w:val="24"/>
          <w:szCs w:val="24"/>
        </w:rPr>
        <w:t xml:space="preserve"> у клиентов Владивостокского государственного университета экономики и сервиса (ВГУЭС). Для этого преобразуем вербальные оценки степени удовлетворенности, оценки ожиданий и степени желания изменений в нечеткие множества, создавая для каждой вербальной оценки свою функцию принадлежности. Для </w:t>
      </w:r>
      <m:oMath>
        <m:sSubSup>
          <m:sSubSupPr>
            <m:ctrlPr>
              <w:rPr>
                <w:rFonts w:ascii="Cambria Math" w:hAnsi="Cambria Math"/>
                <w:i/>
              </w:rPr>
            </m:ctrlPr>
          </m:sSubSupPr>
          <m:e>
            <m:r>
              <w:rPr>
                <w:rFonts w:ascii="Cambria Math"/>
                <w:sz w:val="24"/>
              </w:rPr>
              <m:t>U</m:t>
            </m:r>
          </m:e>
          <m:sub>
            <m:r>
              <w:rPr>
                <w:rFonts w:ascii="Cambria Math"/>
                <w:sz w:val="24"/>
              </w:rPr>
              <m:t>j</m:t>
            </m:r>
          </m:sub>
          <m:sup>
            <m:r>
              <w:rPr>
                <w:rFonts w:ascii="Cambria Math"/>
                <w:sz w:val="24"/>
              </w:rPr>
              <m:t>k</m:t>
            </m:r>
          </m:sup>
        </m:sSubSup>
      </m:oMath>
      <w:r>
        <w:rPr>
          <w:rFonts w:ascii="Times New Roman" w:hAnsi="Times New Roman"/>
          <w:iCs/>
          <w:sz w:val="24"/>
          <w:szCs w:val="24"/>
        </w:rPr>
        <w:t xml:space="preserve"> и </w:t>
      </w:r>
      <m:oMath>
        <m:sSubSup>
          <m:sSubSupPr>
            <m:ctrlPr>
              <w:rPr>
                <w:rFonts w:ascii="Cambria Math" w:hAnsi="Cambria Math"/>
                <w:i/>
              </w:rPr>
            </m:ctrlPr>
          </m:sSubSupPr>
          <m:e>
            <m:r>
              <w:rPr>
                <w:rFonts w:ascii="Cambria Math"/>
                <w:sz w:val="24"/>
              </w:rPr>
              <m:t>O</m:t>
            </m:r>
          </m:e>
          <m:sub>
            <m:r>
              <w:rPr>
                <w:rFonts w:ascii="Cambria Math"/>
                <w:sz w:val="24"/>
              </w:rPr>
              <m:t>j</m:t>
            </m:r>
          </m:sub>
          <m:sup>
            <m:r>
              <w:rPr>
                <w:rFonts w:ascii="Cambria Math"/>
                <w:sz w:val="24"/>
              </w:rPr>
              <m:t>k</m:t>
            </m:r>
          </m:sup>
        </m:sSubSup>
      </m:oMath>
      <w:r>
        <w:rPr>
          <w:rFonts w:ascii="Times New Roman" w:hAnsi="Times New Roman"/>
          <w:sz w:val="24"/>
          <w:szCs w:val="24"/>
        </w:rPr>
        <w:t xml:space="preserve"> были взяты 7 вербальных оценок. Данные оценки приведены в таблице 1 и в таблице 2.</w:t>
      </w:r>
    </w:p>
    <w:p w:rsidR="00517711" w:rsidRDefault="00F815BE">
      <w:pPr>
        <w:spacing w:after="0"/>
        <w:jc w:val="right"/>
        <w:rPr>
          <w:rFonts w:ascii="Times New Roman" w:hAnsi="Times New Roman"/>
          <w:i/>
          <w:sz w:val="24"/>
          <w:szCs w:val="24"/>
        </w:rPr>
      </w:pPr>
      <w:r>
        <w:rPr>
          <w:rFonts w:ascii="Times New Roman" w:hAnsi="Times New Roman"/>
          <w:i/>
          <w:sz w:val="24"/>
          <w:szCs w:val="24"/>
        </w:rPr>
        <w:t>Таблица 1</w:t>
      </w:r>
    </w:p>
    <w:p w:rsidR="00517711" w:rsidRDefault="00F815BE">
      <w:pPr>
        <w:spacing w:after="0" w:line="240" w:lineRule="auto"/>
        <w:jc w:val="center"/>
        <w:rPr>
          <w:rFonts w:ascii="Times New Roman" w:hAnsi="Times New Roman"/>
          <w:b/>
          <w:sz w:val="24"/>
          <w:szCs w:val="20"/>
        </w:rPr>
      </w:pPr>
      <w:r>
        <w:rPr>
          <w:rFonts w:ascii="Times New Roman" w:hAnsi="Times New Roman"/>
          <w:b/>
          <w:sz w:val="24"/>
          <w:szCs w:val="20"/>
        </w:rPr>
        <w:t>Преобразование вербальных оценок показателя «степень удовлетворенности» в нечеткие множества</w:t>
      </w:r>
    </w:p>
    <w:tbl>
      <w:tblPr>
        <w:tblW w:w="484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222"/>
        <w:gridCol w:w="575"/>
        <w:gridCol w:w="576"/>
        <w:gridCol w:w="576"/>
        <w:gridCol w:w="574"/>
        <w:gridCol w:w="574"/>
        <w:gridCol w:w="574"/>
        <w:gridCol w:w="574"/>
        <w:gridCol w:w="574"/>
        <w:gridCol w:w="574"/>
        <w:gridCol w:w="574"/>
        <w:gridCol w:w="572"/>
      </w:tblGrid>
      <w:tr w:rsidR="00517711">
        <w:trPr>
          <w:cantSplit/>
        </w:trPr>
        <w:tc>
          <w:tcPr>
            <w:tcW w:w="3336" w:type="dxa"/>
            <w:vMerge w:val="restart"/>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 xml:space="preserve">Вербальная оценка характеристики </w:t>
            </w:r>
          </w:p>
          <w:p w:rsidR="00517711" w:rsidRDefault="00F815BE">
            <w:pPr>
              <w:spacing w:after="0"/>
              <w:jc w:val="center"/>
              <w:rPr>
                <w:rFonts w:ascii="Times New Roman" w:hAnsi="Times New Roman"/>
                <w:sz w:val="20"/>
                <w:szCs w:val="20"/>
              </w:rPr>
            </w:pPr>
            <w:r>
              <w:rPr>
                <w:rFonts w:ascii="Times New Roman" w:hAnsi="Times New Roman"/>
                <w:sz w:val="20"/>
                <w:szCs w:val="20"/>
              </w:rPr>
              <w:t xml:space="preserve">«степень удовлетворенности» </w:t>
            </w:r>
          </w:p>
        </w:tc>
        <w:tc>
          <w:tcPr>
            <w:tcW w:w="6427" w:type="dxa"/>
            <w:gridSpan w:val="11"/>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 xml:space="preserve">Значения </w:t>
            </w:r>
            <w:r>
              <w:rPr>
                <w:rFonts w:ascii="Times New Roman" w:hAnsi="Times New Roman"/>
                <w:i/>
                <w:sz w:val="20"/>
                <w:szCs w:val="20"/>
                <w:lang w:val="en-US"/>
              </w:rPr>
              <w:t>х</w:t>
            </w:r>
          </w:p>
        </w:tc>
      </w:tr>
      <w:tr w:rsidR="00517711">
        <w:trPr>
          <w:cantSplit/>
        </w:trPr>
        <w:tc>
          <w:tcPr>
            <w:tcW w:w="3336" w:type="dxa"/>
            <w:vMerge/>
            <w:vAlign w:val="center"/>
          </w:tcPr>
          <w:p w:rsidR="00517711" w:rsidRDefault="00517711">
            <w:pPr>
              <w:spacing w:after="0"/>
              <w:jc w:val="center"/>
              <w:rPr>
                <w:rFonts w:ascii="Times New Roman" w:hAnsi="Times New Roman"/>
                <w:sz w:val="20"/>
                <w:szCs w:val="20"/>
              </w:rPr>
            </w:pP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-5</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-4</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-3</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-2</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-1</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1</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2</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3</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4</w:t>
            </w:r>
          </w:p>
        </w:tc>
        <w:tc>
          <w:tcPr>
            <w:tcW w:w="582"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5</w:t>
            </w:r>
          </w:p>
        </w:tc>
      </w:tr>
      <w:tr w:rsidR="00517711">
        <w:trPr>
          <w:cantSplit/>
          <w:trHeight w:val="475"/>
        </w:trPr>
        <w:tc>
          <w:tcPr>
            <w:tcW w:w="3336" w:type="dxa"/>
            <w:vMerge/>
            <w:vAlign w:val="center"/>
          </w:tcPr>
          <w:p w:rsidR="00517711" w:rsidRDefault="00517711">
            <w:pPr>
              <w:spacing w:after="0"/>
              <w:jc w:val="center"/>
              <w:rPr>
                <w:rFonts w:ascii="Times New Roman" w:hAnsi="Times New Roman"/>
                <w:sz w:val="20"/>
                <w:szCs w:val="20"/>
              </w:rPr>
            </w:pPr>
          </w:p>
        </w:tc>
        <w:tc>
          <w:tcPr>
            <w:tcW w:w="6427" w:type="dxa"/>
            <w:gridSpan w:val="11"/>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 xml:space="preserve">Значения </w:t>
            </w:r>
            <w:r>
              <w:rPr>
                <w:rFonts w:ascii="Times New Roman" w:hAnsi="Times New Roman"/>
                <w:position w:val="-9"/>
                <w:sz w:val="20"/>
                <w:szCs w:val="20"/>
              </w:rPr>
              <w:object w:dxaOrig="224" w:dyaOrig="254">
                <v:rect id="_x0000_i1030" style="width:11.25pt;height:12.75pt;mso-wrap-distance-left:0;mso-wrap-distance-top:0;mso-wrap-distance-right:0;mso-wrap-distance-bottom:0" o:ole="" filled="f" stroked="f">
                  <v:imagedata r:id="rId296" o:title=""/>
                </v:rect>
                <o:OLEObject Type="Embed" ProgID="Equation.3" ShapeID="_x0000_i1030" DrawAspect="Content" ObjectID="_1603718607" r:id="rId297"/>
              </w:object>
            </w:r>
          </w:p>
        </w:tc>
      </w:tr>
      <w:tr w:rsidR="00517711">
        <w:trPr>
          <w:trHeight w:val="70"/>
        </w:trPr>
        <w:tc>
          <w:tcPr>
            <w:tcW w:w="3336"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Полностью не удовлетворен(</w:t>
            </w:r>
            <w:r>
              <w:rPr>
                <w:rFonts w:ascii="Times New Roman" w:hAnsi="Times New Roman"/>
                <w:sz w:val="20"/>
                <w:szCs w:val="20"/>
                <w:lang w:val="en-US"/>
              </w:rPr>
              <w:t>LL)</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1</w:t>
            </w:r>
          </w:p>
        </w:tc>
        <w:tc>
          <w:tcPr>
            <w:tcW w:w="586" w:type="dxa"/>
            <w:vAlign w:val="center"/>
          </w:tcPr>
          <w:p w:rsidR="00517711" w:rsidRDefault="00517711">
            <w:pPr>
              <w:spacing w:after="0"/>
              <w:jc w:val="center"/>
              <w:rPr>
                <w:rFonts w:ascii="Times New Roman" w:hAnsi="Times New Roman"/>
                <w:sz w:val="20"/>
                <w:szCs w:val="20"/>
              </w:rPr>
            </w:pP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0,1</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2"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r>
      <w:tr w:rsidR="00517711">
        <w:trPr>
          <w:trHeight w:val="70"/>
        </w:trPr>
        <w:tc>
          <w:tcPr>
            <w:tcW w:w="333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Значительно не удовлетворен (L)</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0,8</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0,8</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0,1</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2"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r>
      <w:tr w:rsidR="00517711">
        <w:trPr>
          <w:trHeight w:val="70"/>
        </w:trPr>
        <w:tc>
          <w:tcPr>
            <w:tcW w:w="333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Умеренно не удовлетворен (ML)</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1</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4" w:type="dxa"/>
            <w:vAlign w:val="center"/>
          </w:tcPr>
          <w:p w:rsidR="00517711" w:rsidRDefault="00F815BE">
            <w:pPr>
              <w:spacing w:after="0"/>
              <w:rPr>
                <w:rFonts w:ascii="Times New Roman" w:hAnsi="Times New Roman"/>
                <w:sz w:val="20"/>
                <w:szCs w:val="20"/>
              </w:rPr>
            </w:pPr>
            <w:r>
              <w:rPr>
                <w:rFonts w:ascii="Times New Roman" w:hAnsi="Times New Roman"/>
                <w:sz w:val="20"/>
                <w:szCs w:val="20"/>
              </w:rPr>
              <w:t>0,3</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0,1</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2"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r>
      <w:tr w:rsidR="00517711">
        <w:trPr>
          <w:trHeight w:val="70"/>
        </w:trPr>
        <w:tc>
          <w:tcPr>
            <w:tcW w:w="333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Частично удовлетворен и частично не удовлетворен (M)</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0,1</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1</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0,1</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2"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r>
      <w:tr w:rsidR="00517711">
        <w:tc>
          <w:tcPr>
            <w:tcW w:w="333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Умеренно удовлетворен (MH)</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0,1</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1</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0,1</w:t>
            </w:r>
          </w:p>
        </w:tc>
        <w:tc>
          <w:tcPr>
            <w:tcW w:w="582"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r>
      <w:tr w:rsidR="00517711">
        <w:tc>
          <w:tcPr>
            <w:tcW w:w="333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Значительно удовлетворен (H)</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0,1</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1</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2"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r>
      <w:tr w:rsidR="00517711">
        <w:tc>
          <w:tcPr>
            <w:tcW w:w="333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lastRenderedPageBreak/>
              <w:t>Полностью удовлетворен (HH)</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0,1</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2"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1</w:t>
            </w:r>
          </w:p>
        </w:tc>
      </w:tr>
    </w:tbl>
    <w:p w:rsidR="00517711" w:rsidRDefault="00F815BE">
      <w:pPr>
        <w:spacing w:before="120" w:after="0"/>
        <w:jc w:val="right"/>
        <w:rPr>
          <w:rFonts w:ascii="Times New Roman" w:hAnsi="Times New Roman"/>
          <w:i/>
          <w:sz w:val="24"/>
          <w:szCs w:val="20"/>
        </w:rPr>
      </w:pPr>
      <w:r>
        <w:rPr>
          <w:rFonts w:ascii="Times New Roman" w:hAnsi="Times New Roman"/>
          <w:i/>
          <w:sz w:val="24"/>
          <w:szCs w:val="20"/>
        </w:rPr>
        <w:t xml:space="preserve">Таблица 2 </w:t>
      </w:r>
    </w:p>
    <w:p w:rsidR="00517711" w:rsidRDefault="00F815BE">
      <w:pPr>
        <w:spacing w:after="0"/>
        <w:jc w:val="center"/>
        <w:rPr>
          <w:rFonts w:ascii="Times New Roman" w:hAnsi="Times New Roman"/>
          <w:b/>
          <w:sz w:val="24"/>
          <w:szCs w:val="20"/>
        </w:rPr>
      </w:pPr>
      <w:r>
        <w:rPr>
          <w:rFonts w:ascii="Times New Roman" w:hAnsi="Times New Roman"/>
          <w:b/>
          <w:sz w:val="24"/>
          <w:szCs w:val="20"/>
        </w:rPr>
        <w:t>Преобразование вербальных оценок показателя «оценка ожиданий» в нечеткие множества</w:t>
      </w:r>
    </w:p>
    <w:tbl>
      <w:tblPr>
        <w:tblW w:w="4911"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352"/>
        <w:gridCol w:w="577"/>
        <w:gridCol w:w="577"/>
        <w:gridCol w:w="576"/>
        <w:gridCol w:w="575"/>
        <w:gridCol w:w="577"/>
        <w:gridCol w:w="577"/>
        <w:gridCol w:w="577"/>
        <w:gridCol w:w="577"/>
        <w:gridCol w:w="577"/>
        <w:gridCol w:w="577"/>
        <w:gridCol w:w="560"/>
      </w:tblGrid>
      <w:tr w:rsidR="00517711">
        <w:trPr>
          <w:cantSplit/>
        </w:trPr>
        <w:tc>
          <w:tcPr>
            <w:tcW w:w="3484" w:type="dxa"/>
            <w:vMerge w:val="restart"/>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 xml:space="preserve">Вербальная оценка характеристики «оценка ожиданий» </w:t>
            </w:r>
          </w:p>
        </w:tc>
        <w:tc>
          <w:tcPr>
            <w:tcW w:w="6422" w:type="dxa"/>
            <w:gridSpan w:val="11"/>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 xml:space="preserve">Значения </w:t>
            </w:r>
            <w:r>
              <w:rPr>
                <w:rFonts w:ascii="Times New Roman" w:hAnsi="Times New Roman"/>
                <w:i/>
                <w:sz w:val="20"/>
                <w:szCs w:val="20"/>
                <w:lang w:val="en-US"/>
              </w:rPr>
              <w:t>х</w:t>
            </w:r>
          </w:p>
        </w:tc>
      </w:tr>
      <w:tr w:rsidR="00517711">
        <w:trPr>
          <w:cantSplit/>
        </w:trPr>
        <w:tc>
          <w:tcPr>
            <w:tcW w:w="3484" w:type="dxa"/>
            <w:vMerge/>
            <w:vAlign w:val="center"/>
          </w:tcPr>
          <w:p w:rsidR="00517711" w:rsidRDefault="00517711">
            <w:pPr>
              <w:spacing w:after="0"/>
              <w:jc w:val="center"/>
              <w:rPr>
                <w:rFonts w:ascii="Times New Roman" w:hAnsi="Times New Roman"/>
                <w:sz w:val="20"/>
                <w:szCs w:val="20"/>
              </w:rPr>
            </w:pP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-5</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-4</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-3</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-2</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-1</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1</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2</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3</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4</w:t>
            </w:r>
          </w:p>
        </w:tc>
        <w:tc>
          <w:tcPr>
            <w:tcW w:w="567"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5</w:t>
            </w:r>
          </w:p>
        </w:tc>
      </w:tr>
      <w:tr w:rsidR="00517711">
        <w:trPr>
          <w:cantSplit/>
          <w:trHeight w:val="70"/>
        </w:trPr>
        <w:tc>
          <w:tcPr>
            <w:tcW w:w="3484" w:type="dxa"/>
            <w:vMerge/>
            <w:vAlign w:val="center"/>
          </w:tcPr>
          <w:p w:rsidR="00517711" w:rsidRDefault="00517711">
            <w:pPr>
              <w:spacing w:after="0"/>
              <w:jc w:val="center"/>
              <w:rPr>
                <w:rFonts w:ascii="Times New Roman" w:hAnsi="Times New Roman"/>
                <w:sz w:val="20"/>
                <w:szCs w:val="20"/>
              </w:rPr>
            </w:pPr>
          </w:p>
        </w:tc>
        <w:tc>
          <w:tcPr>
            <w:tcW w:w="6422" w:type="dxa"/>
            <w:gridSpan w:val="11"/>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 xml:space="preserve">Значения </w:t>
            </w:r>
            <w:r>
              <w:rPr>
                <w:rFonts w:ascii="Times New Roman" w:hAnsi="Times New Roman"/>
                <w:position w:val="-9"/>
                <w:sz w:val="20"/>
                <w:szCs w:val="20"/>
              </w:rPr>
              <w:object w:dxaOrig="208" w:dyaOrig="218">
                <v:rect id="_x0000_i1031" style="width:10.5pt;height:11.25pt;mso-wrap-distance-left:0;mso-wrap-distance-top:0;mso-wrap-distance-right:0;mso-wrap-distance-bottom:0" o:ole="" filled="f" stroked="f">
                  <v:imagedata r:id="rId296" o:title=""/>
                </v:rect>
                <o:OLEObject Type="Embed" ProgID="Equation.3" ShapeID="_x0000_i1031" DrawAspect="Content" ObjectID="_1603718608" r:id="rId298"/>
              </w:object>
            </w:r>
          </w:p>
        </w:tc>
      </w:tr>
      <w:tr w:rsidR="00517711">
        <w:trPr>
          <w:trHeight w:val="70"/>
        </w:trPr>
        <w:tc>
          <w:tcPr>
            <w:tcW w:w="3484"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 xml:space="preserve">Коренным образом </w:t>
            </w:r>
            <w:r>
              <w:rPr>
                <w:rFonts w:ascii="Times New Roman" w:hAnsi="Times New Roman"/>
                <w:sz w:val="20"/>
                <w:szCs w:val="20"/>
              </w:rPr>
              <w:br/>
              <w:t>ухудшится</w:t>
            </w:r>
            <w:r>
              <w:rPr>
                <w:rFonts w:ascii="Times New Roman" w:hAnsi="Times New Roman"/>
                <w:sz w:val="20"/>
                <w:szCs w:val="20"/>
                <w:lang w:val="en-US"/>
              </w:rPr>
              <w:t>(NH)</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1</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0,1</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67"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r>
      <w:tr w:rsidR="00517711">
        <w:trPr>
          <w:trHeight w:val="70"/>
        </w:trPr>
        <w:tc>
          <w:tcPr>
            <w:tcW w:w="3484"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Ухудшится</w:t>
            </w:r>
            <w:r>
              <w:rPr>
                <w:rFonts w:ascii="Times New Roman" w:hAnsi="Times New Roman"/>
                <w:sz w:val="20"/>
                <w:szCs w:val="20"/>
                <w:lang w:val="en-US"/>
              </w:rPr>
              <w:t>(NM)</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0,8</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0,8</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0,1</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67"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r>
      <w:tr w:rsidR="00517711">
        <w:trPr>
          <w:trHeight w:val="70"/>
        </w:trPr>
        <w:tc>
          <w:tcPr>
            <w:tcW w:w="3484"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Незначительно ухудшится</w:t>
            </w:r>
            <w:r>
              <w:rPr>
                <w:rFonts w:ascii="Times New Roman" w:hAnsi="Times New Roman"/>
                <w:sz w:val="20"/>
                <w:szCs w:val="20"/>
                <w:lang w:val="en-US"/>
              </w:rPr>
              <w:t>(NL)</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1</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6" w:type="dxa"/>
            <w:vAlign w:val="center"/>
          </w:tcPr>
          <w:p w:rsidR="00517711" w:rsidRDefault="00F815BE">
            <w:pPr>
              <w:spacing w:after="0"/>
              <w:rPr>
                <w:rFonts w:ascii="Times New Roman" w:hAnsi="Times New Roman"/>
                <w:sz w:val="20"/>
                <w:szCs w:val="20"/>
              </w:rPr>
            </w:pPr>
            <w:r>
              <w:rPr>
                <w:rFonts w:ascii="Times New Roman" w:hAnsi="Times New Roman"/>
                <w:sz w:val="20"/>
                <w:szCs w:val="20"/>
              </w:rPr>
              <w:t>0,3</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0,1</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67"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r>
      <w:tr w:rsidR="00517711">
        <w:trPr>
          <w:trHeight w:val="70"/>
        </w:trPr>
        <w:tc>
          <w:tcPr>
            <w:tcW w:w="3484"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Не изменится</w:t>
            </w:r>
            <w:r>
              <w:rPr>
                <w:rFonts w:ascii="Times New Roman" w:hAnsi="Times New Roman"/>
                <w:sz w:val="20"/>
                <w:szCs w:val="20"/>
                <w:lang w:val="en-US"/>
              </w:rPr>
              <w:t>(NE)</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0,1</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1</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0,1</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67"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r>
      <w:tr w:rsidR="00517711">
        <w:trPr>
          <w:trHeight w:val="70"/>
        </w:trPr>
        <w:tc>
          <w:tcPr>
            <w:tcW w:w="3484"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Незначительно улучшится</w:t>
            </w:r>
            <w:r>
              <w:rPr>
                <w:rFonts w:ascii="Times New Roman" w:hAnsi="Times New Roman"/>
                <w:sz w:val="20"/>
                <w:szCs w:val="20"/>
                <w:lang w:val="en-US"/>
              </w:rPr>
              <w:t>(PL)</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0,1</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1</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0,1</w:t>
            </w:r>
          </w:p>
        </w:tc>
        <w:tc>
          <w:tcPr>
            <w:tcW w:w="567"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r>
      <w:tr w:rsidR="00517711">
        <w:trPr>
          <w:trHeight w:val="279"/>
        </w:trPr>
        <w:tc>
          <w:tcPr>
            <w:tcW w:w="3484"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Улучшится</w:t>
            </w:r>
            <w:r>
              <w:rPr>
                <w:rFonts w:ascii="Times New Roman" w:hAnsi="Times New Roman"/>
                <w:sz w:val="20"/>
                <w:szCs w:val="20"/>
                <w:lang w:val="en-US"/>
              </w:rPr>
              <w:t>(PM)</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0,1</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1</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67"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r>
      <w:tr w:rsidR="00517711">
        <w:trPr>
          <w:trHeight w:val="70"/>
        </w:trPr>
        <w:tc>
          <w:tcPr>
            <w:tcW w:w="3484"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 xml:space="preserve">Коренным образом </w:t>
            </w:r>
            <w:r>
              <w:rPr>
                <w:rFonts w:ascii="Times New Roman" w:hAnsi="Times New Roman"/>
                <w:sz w:val="20"/>
                <w:szCs w:val="20"/>
              </w:rPr>
              <w:br/>
              <w:t>улучшится</w:t>
            </w:r>
            <w:r>
              <w:rPr>
                <w:rFonts w:ascii="Times New Roman" w:hAnsi="Times New Roman"/>
                <w:sz w:val="20"/>
                <w:szCs w:val="20"/>
                <w:lang w:val="en-US"/>
              </w:rPr>
              <w:t>(PH)</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0,1</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67"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1</w:t>
            </w:r>
          </w:p>
        </w:tc>
      </w:tr>
    </w:tbl>
    <w:p w:rsidR="00517711" w:rsidRDefault="00F815BE">
      <w:pPr>
        <w:spacing w:before="120" w:after="0" w:line="240" w:lineRule="auto"/>
        <w:ind w:firstLine="709"/>
        <w:jc w:val="both"/>
        <w:rPr>
          <w:rFonts w:ascii="Times New Roman" w:hAnsi="Times New Roman"/>
          <w:sz w:val="24"/>
          <w:szCs w:val="24"/>
        </w:rPr>
      </w:pPr>
      <w:r>
        <w:rPr>
          <w:rFonts w:ascii="Times New Roman" w:hAnsi="Times New Roman"/>
          <w:sz w:val="24"/>
        </w:rPr>
        <w:t>Далее происходит формулировка правил, которых в нашем случае будет 49 (7х7). Пример нечеткого правила: если клиент полностью удовлетворен (</w:t>
      </w:r>
      <w:r>
        <w:rPr>
          <w:rFonts w:ascii="Times New Roman" w:hAnsi="Times New Roman"/>
          <w:sz w:val="24"/>
          <w:lang w:val="en-US"/>
        </w:rPr>
        <w:t>HH</w:t>
      </w:r>
      <w:r>
        <w:rPr>
          <w:rFonts w:ascii="Times New Roman" w:hAnsi="Times New Roman"/>
          <w:sz w:val="24"/>
        </w:rPr>
        <w:t>) и его ожидания таковы, что всё коренным образом улучшится (</w:t>
      </w:r>
      <w:r>
        <w:rPr>
          <w:rFonts w:ascii="Times New Roman" w:hAnsi="Times New Roman"/>
          <w:sz w:val="24"/>
          <w:lang w:val="en-US"/>
        </w:rPr>
        <w:t>PH</w:t>
      </w:r>
      <w:r>
        <w:rPr>
          <w:rFonts w:ascii="Times New Roman" w:hAnsi="Times New Roman"/>
          <w:sz w:val="24"/>
        </w:rPr>
        <w:t>), то степень желания изменений у него будет очень низкой (</w:t>
      </w:r>
      <w:r>
        <w:rPr>
          <w:rFonts w:ascii="Times New Roman" w:hAnsi="Times New Roman"/>
          <w:sz w:val="24"/>
          <w:lang w:val="en-US"/>
        </w:rPr>
        <w:t>LL</w:t>
      </w:r>
      <w:r>
        <w:rPr>
          <w:rFonts w:ascii="Times New Roman" w:hAnsi="Times New Roman"/>
          <w:sz w:val="24"/>
        </w:rPr>
        <w:t>). Д</w:t>
      </w:r>
      <w:r>
        <w:rPr>
          <w:rFonts w:ascii="Times New Roman" w:hAnsi="Times New Roman"/>
          <w:sz w:val="24"/>
          <w:szCs w:val="24"/>
        </w:rPr>
        <w:t xml:space="preserve">ля </w:t>
      </w:r>
      <m:oMath>
        <m:sSubSup>
          <m:sSubSupPr>
            <m:ctrlPr>
              <w:rPr>
                <w:rFonts w:ascii="Cambria Math" w:hAnsi="Cambria Math"/>
                <w:i/>
              </w:rPr>
            </m:ctrlPr>
          </m:sSubSupPr>
          <m:e>
            <m:r>
              <w:rPr>
                <w:rFonts w:ascii="Cambria Math"/>
                <w:sz w:val="24"/>
              </w:rPr>
              <m:t>G</m:t>
            </m:r>
          </m:e>
          <m:sub>
            <m:r>
              <w:rPr>
                <w:rFonts w:ascii="Cambria Math"/>
                <w:sz w:val="24"/>
              </w:rPr>
              <m:t>j</m:t>
            </m:r>
          </m:sub>
          <m:sup>
            <m:r>
              <w:rPr>
                <w:rFonts w:ascii="Cambria Math"/>
                <w:sz w:val="24"/>
              </w:rPr>
              <m:t>k</m:t>
            </m:r>
          </m:sup>
        </m:sSubSup>
      </m:oMath>
      <w:r>
        <w:rPr>
          <w:rFonts w:ascii="Times New Roman" w:hAnsi="Times New Roman"/>
          <w:sz w:val="24"/>
          <w:szCs w:val="24"/>
        </w:rPr>
        <w:t xml:space="preserve"> было взято 6 вербальных оценок. Данные оценки приведены в таблице 3.</w:t>
      </w:r>
    </w:p>
    <w:p w:rsidR="00517711" w:rsidRDefault="00F815BE">
      <w:pPr>
        <w:spacing w:after="0"/>
        <w:jc w:val="right"/>
        <w:rPr>
          <w:rFonts w:ascii="Times New Roman" w:hAnsi="Times New Roman"/>
          <w:i/>
          <w:sz w:val="24"/>
          <w:szCs w:val="20"/>
        </w:rPr>
      </w:pPr>
      <w:r>
        <w:rPr>
          <w:rFonts w:ascii="Times New Roman" w:hAnsi="Times New Roman"/>
          <w:i/>
          <w:sz w:val="24"/>
          <w:szCs w:val="20"/>
        </w:rPr>
        <w:t>Таблица 3</w:t>
      </w:r>
    </w:p>
    <w:p w:rsidR="00517711" w:rsidRDefault="00F815BE">
      <w:pPr>
        <w:spacing w:after="0" w:line="240" w:lineRule="auto"/>
        <w:jc w:val="center"/>
        <w:rPr>
          <w:rFonts w:ascii="Times New Roman" w:hAnsi="Times New Roman"/>
          <w:b/>
          <w:sz w:val="24"/>
          <w:szCs w:val="20"/>
        </w:rPr>
      </w:pPr>
      <w:r>
        <w:rPr>
          <w:rFonts w:ascii="Times New Roman" w:hAnsi="Times New Roman"/>
          <w:b/>
          <w:sz w:val="24"/>
          <w:szCs w:val="20"/>
        </w:rPr>
        <w:t>Преобразование вербальных оценок показателя «степень желания изменений» в нечеткие множества</w:t>
      </w:r>
    </w:p>
    <w:tbl>
      <w:tblPr>
        <w:tblW w:w="4917"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348"/>
        <w:gridCol w:w="571"/>
        <w:gridCol w:w="576"/>
        <w:gridCol w:w="577"/>
        <w:gridCol w:w="577"/>
        <w:gridCol w:w="577"/>
        <w:gridCol w:w="577"/>
        <w:gridCol w:w="577"/>
        <w:gridCol w:w="577"/>
        <w:gridCol w:w="577"/>
        <w:gridCol w:w="577"/>
        <w:gridCol w:w="579"/>
      </w:tblGrid>
      <w:tr w:rsidR="00517711">
        <w:trPr>
          <w:cantSplit/>
          <w:trHeight w:val="271"/>
        </w:trPr>
        <w:tc>
          <w:tcPr>
            <w:tcW w:w="3483" w:type="dxa"/>
            <w:vMerge w:val="restart"/>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 xml:space="preserve">Вербальная оценка характеристики «степень желания изменений» </w:t>
            </w:r>
          </w:p>
        </w:tc>
        <w:tc>
          <w:tcPr>
            <w:tcW w:w="6436" w:type="dxa"/>
            <w:gridSpan w:val="11"/>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 xml:space="preserve">Значения </w:t>
            </w:r>
            <w:r>
              <w:rPr>
                <w:rFonts w:ascii="Times New Roman" w:hAnsi="Times New Roman"/>
                <w:i/>
                <w:sz w:val="20"/>
                <w:szCs w:val="20"/>
                <w:lang w:val="en-US"/>
              </w:rPr>
              <w:t>х</w:t>
            </w:r>
          </w:p>
        </w:tc>
      </w:tr>
      <w:tr w:rsidR="00517711">
        <w:trPr>
          <w:cantSplit/>
          <w:trHeight w:val="82"/>
        </w:trPr>
        <w:tc>
          <w:tcPr>
            <w:tcW w:w="3483" w:type="dxa"/>
            <w:vMerge/>
            <w:vAlign w:val="center"/>
          </w:tcPr>
          <w:p w:rsidR="00517711" w:rsidRDefault="00517711">
            <w:pPr>
              <w:spacing w:after="0"/>
              <w:jc w:val="center"/>
              <w:rPr>
                <w:rFonts w:ascii="Times New Roman" w:hAnsi="Times New Roman"/>
                <w:sz w:val="20"/>
                <w:szCs w:val="20"/>
              </w:rPr>
            </w:pPr>
          </w:p>
        </w:tc>
        <w:tc>
          <w:tcPr>
            <w:tcW w:w="584"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lang w:val="en-US"/>
              </w:rPr>
              <w:t>10</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lang w:val="en-US"/>
              </w:rPr>
              <w:t>9</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lang w:val="en-US"/>
              </w:rPr>
              <w:t>8</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lang w:val="en-US"/>
              </w:rPr>
              <w:t>7</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lang w:val="en-US"/>
              </w:rPr>
              <w:t>6</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lang w:val="en-US"/>
              </w:rPr>
              <w:t>5</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lang w:val="en-US"/>
              </w:rPr>
              <w:t>4</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lang w:val="en-US"/>
              </w:rPr>
              <w:t>3</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lang w:val="en-US"/>
              </w:rPr>
              <w:t>2</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lang w:val="en-US"/>
              </w:rPr>
              <w:t>1</w:t>
            </w:r>
          </w:p>
        </w:tc>
        <w:tc>
          <w:tcPr>
            <w:tcW w:w="587"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lang w:val="en-US"/>
              </w:rPr>
              <w:t>0</w:t>
            </w:r>
          </w:p>
        </w:tc>
      </w:tr>
      <w:tr w:rsidR="00517711">
        <w:trPr>
          <w:cantSplit/>
          <w:trHeight w:val="443"/>
        </w:trPr>
        <w:tc>
          <w:tcPr>
            <w:tcW w:w="3483" w:type="dxa"/>
            <w:vMerge/>
            <w:vAlign w:val="center"/>
          </w:tcPr>
          <w:p w:rsidR="00517711" w:rsidRDefault="00517711">
            <w:pPr>
              <w:spacing w:after="0"/>
              <w:jc w:val="center"/>
              <w:rPr>
                <w:rFonts w:ascii="Times New Roman" w:hAnsi="Times New Roman"/>
                <w:sz w:val="20"/>
                <w:szCs w:val="20"/>
              </w:rPr>
            </w:pPr>
          </w:p>
        </w:tc>
        <w:tc>
          <w:tcPr>
            <w:tcW w:w="6436" w:type="dxa"/>
            <w:gridSpan w:val="11"/>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 xml:space="preserve">Значения </w:t>
            </w:r>
            <w:r>
              <w:rPr>
                <w:rFonts w:ascii="Times New Roman" w:hAnsi="Times New Roman"/>
                <w:position w:val="-9"/>
                <w:sz w:val="20"/>
                <w:szCs w:val="20"/>
              </w:rPr>
              <w:object w:dxaOrig="256" w:dyaOrig="286">
                <v:rect id="_x0000_i1032" style="width:12.75pt;height:14.25pt;mso-wrap-distance-left:0;mso-wrap-distance-top:0;mso-wrap-distance-right:0;mso-wrap-distance-bottom:0" o:ole="" filled="f" stroked="f">
                  <v:imagedata r:id="rId296" o:title=""/>
                </v:rect>
                <o:OLEObject Type="Embed" ProgID="Equation.3" ShapeID="_x0000_i1032" DrawAspect="Content" ObjectID="_1603718609" r:id="rId299"/>
              </w:object>
            </w:r>
          </w:p>
        </w:tc>
      </w:tr>
      <w:tr w:rsidR="00517711">
        <w:trPr>
          <w:trHeight w:val="377"/>
        </w:trPr>
        <w:tc>
          <w:tcPr>
            <w:tcW w:w="3483" w:type="dxa"/>
            <w:vAlign w:val="center"/>
          </w:tcPr>
          <w:p w:rsidR="00517711" w:rsidRDefault="00F815BE">
            <w:pPr>
              <w:spacing w:after="0"/>
              <w:ind w:hanging="107"/>
              <w:jc w:val="center"/>
              <w:rPr>
                <w:rFonts w:ascii="Times New Roman" w:hAnsi="Times New Roman"/>
                <w:sz w:val="20"/>
                <w:szCs w:val="20"/>
                <w:lang w:val="en-US"/>
              </w:rPr>
            </w:pPr>
            <w:r>
              <w:rPr>
                <w:rFonts w:ascii="Times New Roman" w:hAnsi="Times New Roman"/>
                <w:sz w:val="20"/>
                <w:szCs w:val="20"/>
              </w:rPr>
              <w:t>Высокая</w:t>
            </w:r>
            <w:r>
              <w:rPr>
                <w:rFonts w:ascii="Times New Roman" w:hAnsi="Times New Roman"/>
                <w:sz w:val="20"/>
                <w:szCs w:val="20"/>
                <w:lang w:val="en-US"/>
              </w:rPr>
              <w:t>(H)</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1</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9</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7</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2</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7"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r>
      <w:tr w:rsidR="00517711">
        <w:trPr>
          <w:trHeight w:val="271"/>
        </w:trPr>
        <w:tc>
          <w:tcPr>
            <w:tcW w:w="3483"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Выше среднего</w:t>
            </w:r>
            <w:r>
              <w:rPr>
                <w:rFonts w:ascii="Times New Roman" w:hAnsi="Times New Roman"/>
                <w:sz w:val="20"/>
                <w:szCs w:val="20"/>
                <w:lang w:val="en-US"/>
              </w:rPr>
              <w:t>(MH)</w:t>
            </w:r>
          </w:p>
        </w:tc>
        <w:tc>
          <w:tcPr>
            <w:tcW w:w="584"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3</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9</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1</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9</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,3</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7"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r>
      <w:tr w:rsidR="00517711">
        <w:trPr>
          <w:trHeight w:val="70"/>
        </w:trPr>
        <w:tc>
          <w:tcPr>
            <w:tcW w:w="3483"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Средняя</w:t>
            </w:r>
            <w:r>
              <w:rPr>
                <w:rFonts w:ascii="Times New Roman" w:hAnsi="Times New Roman"/>
                <w:sz w:val="20"/>
                <w:szCs w:val="20"/>
                <w:lang w:val="en-US"/>
              </w:rPr>
              <w:t>(M)</w:t>
            </w:r>
          </w:p>
        </w:tc>
        <w:tc>
          <w:tcPr>
            <w:tcW w:w="584"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lang w:val="en-US"/>
              </w:rPr>
              <w:t>0,2</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5" w:type="dxa"/>
            <w:vAlign w:val="center"/>
          </w:tcPr>
          <w:p w:rsidR="00517711" w:rsidRDefault="00F815BE">
            <w:pPr>
              <w:spacing w:after="0"/>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9</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1</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,9</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,6</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,2</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7"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r>
      <w:tr w:rsidR="00517711">
        <w:trPr>
          <w:trHeight w:val="271"/>
        </w:trPr>
        <w:tc>
          <w:tcPr>
            <w:tcW w:w="3483"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Невысокая</w:t>
            </w:r>
            <w:r>
              <w:rPr>
                <w:rFonts w:ascii="Times New Roman" w:hAnsi="Times New Roman"/>
                <w:sz w:val="20"/>
                <w:szCs w:val="20"/>
                <w:lang w:val="en-US"/>
              </w:rPr>
              <w:t>(ML)</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lang w:val="en-US"/>
              </w:rPr>
              <w:t>0</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4</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9</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lang w:val="en-US"/>
              </w:rPr>
              <w:t>1</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,9</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,2</w:t>
            </w:r>
          </w:p>
        </w:tc>
        <w:tc>
          <w:tcPr>
            <w:tcW w:w="587"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r>
      <w:tr w:rsidR="00517711">
        <w:trPr>
          <w:trHeight w:val="453"/>
        </w:trPr>
        <w:tc>
          <w:tcPr>
            <w:tcW w:w="3483"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Низкая</w:t>
            </w:r>
            <w:r>
              <w:rPr>
                <w:rFonts w:ascii="Times New Roman" w:hAnsi="Times New Roman"/>
                <w:sz w:val="20"/>
                <w:szCs w:val="20"/>
                <w:lang w:val="en-US"/>
              </w:rPr>
              <w:t>(L)</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lang w:val="en-US"/>
              </w:rPr>
              <w:t>0,2</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7</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1</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7</w:t>
            </w:r>
          </w:p>
        </w:tc>
        <w:tc>
          <w:tcPr>
            <w:tcW w:w="587"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,1</w:t>
            </w:r>
          </w:p>
        </w:tc>
      </w:tr>
      <w:tr w:rsidR="00517711">
        <w:trPr>
          <w:trHeight w:val="279"/>
        </w:trPr>
        <w:tc>
          <w:tcPr>
            <w:tcW w:w="3483"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Очень низкая</w:t>
            </w:r>
            <w:r>
              <w:rPr>
                <w:rFonts w:ascii="Times New Roman" w:hAnsi="Times New Roman"/>
                <w:sz w:val="20"/>
                <w:szCs w:val="20"/>
                <w:lang w:val="en-US"/>
              </w:rPr>
              <w:t>(LL)</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,1</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lang w:val="en-US"/>
              </w:rPr>
              <w:t>0,6</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9</w:t>
            </w:r>
          </w:p>
        </w:tc>
        <w:tc>
          <w:tcPr>
            <w:tcW w:w="587"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lang w:val="en-US"/>
              </w:rPr>
              <w:t>1</w:t>
            </w:r>
          </w:p>
        </w:tc>
      </w:tr>
    </w:tbl>
    <w:p w:rsidR="00517711" w:rsidRDefault="00F815BE">
      <w:pPr>
        <w:spacing w:before="120" w:after="0" w:line="240" w:lineRule="auto"/>
        <w:ind w:firstLine="709"/>
        <w:jc w:val="both"/>
        <w:rPr>
          <w:rFonts w:ascii="Times New Roman" w:hAnsi="Times New Roman"/>
          <w:sz w:val="24"/>
        </w:rPr>
      </w:pPr>
      <w:r>
        <w:rPr>
          <w:rFonts w:ascii="Times New Roman" w:hAnsi="Times New Roman"/>
          <w:sz w:val="24"/>
        </w:rPr>
        <w:t xml:space="preserve">Был проведен экспертный опрос среди студентов с целью оценки их степени удовлетворенности вузом и предполагаемых ожиданий от взаимоотношений с вузом как с стейкхолдер-организацией. В данном случае студенты выступали как ГЗС «Клиенты». На основе полученных ответов были получены следующие показатели степени удовлетворенности и оценки ожиданий студентов, как стейкхолдера ВГУЭС: </w:t>
      </w:r>
      <m:oMath>
        <m:sSubSup>
          <m:sSubSupPr>
            <m:ctrlPr>
              <w:rPr>
                <w:rFonts w:ascii="Cambria Math" w:hAnsi="Cambria Math"/>
                <w:i/>
                <w:sz w:val="20"/>
              </w:rPr>
            </m:ctrlPr>
          </m:sSubSupPr>
          <m:e>
            <m:r>
              <w:rPr>
                <w:rFonts w:ascii="Cambria Math"/>
                <w:sz w:val="20"/>
              </w:rPr>
              <m:t>U</m:t>
            </m:r>
          </m:e>
          <m:sub>
            <m:r>
              <w:rPr>
                <w:rFonts w:ascii="Cambria Math"/>
                <w:sz w:val="20"/>
              </w:rPr>
              <m:t>j</m:t>
            </m:r>
          </m:sub>
          <m:sup>
            <m:r>
              <w:rPr>
                <w:rFonts w:ascii="Cambria Math"/>
                <w:sz w:val="20"/>
              </w:rPr>
              <m:t>k</m:t>
            </m:r>
          </m:sup>
        </m:sSubSup>
        <m:r>
          <w:rPr>
            <w:rFonts w:ascii="Cambria Math"/>
            <w:sz w:val="20"/>
          </w:rPr>
          <m:t>=1</m:t>
        </m:r>
      </m:oMath>
      <w:r>
        <w:rPr>
          <w:rFonts w:ascii="Times New Roman" w:hAnsi="Times New Roman"/>
          <w:sz w:val="24"/>
        </w:rPr>
        <w:t xml:space="preserve">, </w:t>
      </w:r>
      <m:oMath>
        <m:sSubSup>
          <m:sSubSupPr>
            <m:ctrlPr>
              <w:rPr>
                <w:rFonts w:ascii="Cambria Math" w:hAnsi="Cambria Math"/>
                <w:i/>
                <w:sz w:val="20"/>
              </w:rPr>
            </m:ctrlPr>
          </m:sSubSupPr>
          <m:e>
            <m:r>
              <w:rPr>
                <w:rFonts w:ascii="Cambria Math"/>
                <w:sz w:val="20"/>
              </w:rPr>
              <m:t>O</m:t>
            </m:r>
          </m:e>
          <m:sub>
            <m:r>
              <w:rPr>
                <w:rFonts w:ascii="Cambria Math"/>
                <w:sz w:val="20"/>
              </w:rPr>
              <m:t>j</m:t>
            </m:r>
          </m:sub>
          <m:sup>
            <m:r>
              <w:rPr>
                <w:rFonts w:ascii="Cambria Math"/>
                <w:sz w:val="20"/>
              </w:rPr>
              <m:t>k</m:t>
            </m:r>
          </m:sup>
        </m:sSubSup>
        <m:r>
          <w:rPr>
            <w:rFonts w:ascii="Cambria Math"/>
            <w:sz w:val="20"/>
          </w:rPr>
          <m:t>=4</m:t>
        </m:r>
      </m:oMath>
      <w:r>
        <w:rPr>
          <w:rFonts w:ascii="Times New Roman" w:hAnsi="Times New Roman"/>
          <w:sz w:val="24"/>
        </w:rPr>
        <w:t xml:space="preserve">  На основе наших таблиц со степенями истинности, можно заметить, что для данных значений остается по три терма для каждой характеристики, следовательно, из 49 правил нам требуются 3х3 – 9 правил. Далее для каждого правила, выписываются степени истинности независимых переменных (в нашем случае это </w:t>
      </w:r>
      <m:oMath>
        <m:sSubSup>
          <m:sSubSupPr>
            <m:ctrlPr>
              <w:rPr>
                <w:rFonts w:ascii="Cambria Math" w:hAnsi="Cambria Math"/>
                <w:i/>
                <w:sz w:val="20"/>
              </w:rPr>
            </m:ctrlPr>
          </m:sSubSupPr>
          <m:e>
            <m:r>
              <w:rPr>
                <w:rFonts w:ascii="Cambria Math"/>
                <w:sz w:val="20"/>
              </w:rPr>
              <m:t>U</m:t>
            </m:r>
          </m:e>
          <m:sub>
            <m:r>
              <w:rPr>
                <w:rFonts w:ascii="Cambria Math"/>
                <w:sz w:val="20"/>
              </w:rPr>
              <m:t>j</m:t>
            </m:r>
          </m:sub>
          <m:sup>
            <m:r>
              <w:rPr>
                <w:rFonts w:ascii="Cambria Math"/>
                <w:sz w:val="20"/>
              </w:rPr>
              <m:t>k</m:t>
            </m:r>
          </m:sup>
        </m:sSubSup>
      </m:oMath>
      <w:r>
        <w:rPr>
          <w:rFonts w:ascii="Times New Roman" w:hAnsi="Times New Roman"/>
          <w:iCs/>
          <w:sz w:val="20"/>
        </w:rPr>
        <w:t xml:space="preserve"> </w:t>
      </w:r>
      <w:r>
        <w:rPr>
          <w:rFonts w:ascii="Times New Roman" w:hAnsi="Times New Roman"/>
          <w:iCs/>
          <w:sz w:val="24"/>
        </w:rPr>
        <w:t xml:space="preserve">и </w:t>
      </w:r>
      <m:oMath>
        <m:sSubSup>
          <m:sSubSupPr>
            <m:ctrlPr>
              <w:rPr>
                <w:rFonts w:ascii="Cambria Math" w:hAnsi="Cambria Math"/>
                <w:i/>
                <w:sz w:val="20"/>
              </w:rPr>
            </m:ctrlPr>
          </m:sSubSupPr>
          <m:e>
            <m:r>
              <w:rPr>
                <w:rFonts w:ascii="Cambria Math"/>
                <w:sz w:val="20"/>
              </w:rPr>
              <m:t>O</m:t>
            </m:r>
          </m:e>
          <m:sub>
            <m:r>
              <w:rPr>
                <w:rFonts w:ascii="Cambria Math"/>
                <w:sz w:val="20"/>
              </w:rPr>
              <m:t>j</m:t>
            </m:r>
          </m:sub>
          <m:sup>
            <m:r>
              <w:rPr>
                <w:rFonts w:ascii="Cambria Math"/>
                <w:sz w:val="20"/>
              </w:rPr>
              <m:t>k</m:t>
            </m:r>
          </m:sup>
        </m:sSubSup>
      </m:oMath>
      <w:r>
        <w:rPr>
          <w:rFonts w:ascii="Times New Roman" w:hAnsi="Times New Roman"/>
          <w:sz w:val="24"/>
        </w:rPr>
        <w:t>) и находятся их минимумы. Результаты этих операций приведены в таблице 4.</w:t>
      </w:r>
    </w:p>
    <w:p w:rsidR="00517711" w:rsidRDefault="00F815BE">
      <w:pPr>
        <w:spacing w:after="0" w:line="240" w:lineRule="auto"/>
        <w:jc w:val="right"/>
        <w:rPr>
          <w:rFonts w:ascii="Times New Roman" w:hAnsi="Times New Roman"/>
          <w:i/>
          <w:sz w:val="24"/>
        </w:rPr>
      </w:pPr>
      <w:r>
        <w:rPr>
          <w:rFonts w:ascii="Times New Roman" w:hAnsi="Times New Roman"/>
          <w:i/>
          <w:sz w:val="24"/>
        </w:rPr>
        <w:t>Таблица 4</w:t>
      </w:r>
    </w:p>
    <w:p w:rsidR="00517711" w:rsidRDefault="00F815BE">
      <w:pPr>
        <w:spacing w:after="0" w:line="240" w:lineRule="auto"/>
        <w:jc w:val="center"/>
        <w:rPr>
          <w:rFonts w:ascii="Times New Roman" w:hAnsi="Times New Roman"/>
          <w:b/>
          <w:sz w:val="24"/>
        </w:rPr>
      </w:pPr>
      <w:r>
        <w:rPr>
          <w:rFonts w:ascii="Times New Roman" w:hAnsi="Times New Roman"/>
          <w:b/>
          <w:sz w:val="24"/>
        </w:rPr>
        <w:t>Формулировка нечётких правил</w:t>
      </w:r>
    </w:p>
    <w:tbl>
      <w:tblPr>
        <w:tblW w:w="9781"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951"/>
        <w:gridCol w:w="500"/>
        <w:gridCol w:w="1235"/>
        <w:gridCol w:w="1417"/>
        <w:gridCol w:w="617"/>
        <w:gridCol w:w="2360"/>
        <w:gridCol w:w="1701"/>
      </w:tblGrid>
      <w:tr w:rsidR="00517711">
        <w:trPr>
          <w:cantSplit/>
          <w:trHeight w:val="412"/>
        </w:trPr>
        <w:tc>
          <w:tcPr>
            <w:tcW w:w="1951" w:type="dxa"/>
            <w:vMerge w:val="restart"/>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rPr>
              <w:t>№ нечеткого правила</w:t>
            </w:r>
          </w:p>
        </w:tc>
        <w:tc>
          <w:tcPr>
            <w:tcW w:w="500" w:type="dxa"/>
            <w:vMerge w:val="restart"/>
            <w:vAlign w:val="center"/>
          </w:tcPr>
          <w:p w:rsidR="00517711" w:rsidRDefault="00517711">
            <w:pPr>
              <w:spacing w:after="0"/>
              <w:jc w:val="center"/>
              <w:rPr>
                <w:rFonts w:ascii="Times New Roman" w:hAnsi="Times New Roman"/>
                <w:sz w:val="20"/>
                <w:szCs w:val="20"/>
              </w:rPr>
            </w:pPr>
          </w:p>
        </w:tc>
        <w:tc>
          <w:tcPr>
            <w:tcW w:w="2652" w:type="dxa"/>
            <w:gridSpan w:val="2"/>
            <w:vAlign w:val="center"/>
          </w:tcPr>
          <w:p w:rsidR="00517711" w:rsidRDefault="00F815BE">
            <w:pPr>
              <w:spacing w:after="0"/>
              <w:jc w:val="center"/>
              <w:rPr>
                <w:rFonts w:ascii="Times New Roman" w:hAnsi="Times New Roman"/>
                <w:color w:val="000000"/>
                <w:sz w:val="20"/>
                <w:szCs w:val="20"/>
                <w:highlight w:val="lightGray"/>
              </w:rPr>
            </w:pPr>
            <w:r>
              <w:rPr>
                <w:rFonts w:ascii="Times New Roman" w:hAnsi="Times New Roman"/>
                <w:color w:val="000000"/>
                <w:sz w:val="20"/>
                <w:szCs w:val="20"/>
              </w:rPr>
              <w:t>Лингвистические значения показателей</w:t>
            </w:r>
          </w:p>
        </w:tc>
        <w:tc>
          <w:tcPr>
            <w:tcW w:w="617" w:type="dxa"/>
            <w:vMerge w:val="restart"/>
            <w:vAlign w:val="center"/>
          </w:tcPr>
          <w:p w:rsidR="00517711" w:rsidRDefault="00517711">
            <w:pPr>
              <w:spacing w:after="0"/>
              <w:jc w:val="center"/>
              <w:rPr>
                <w:rFonts w:ascii="Times New Roman" w:hAnsi="Times New Roman"/>
                <w:sz w:val="20"/>
                <w:szCs w:val="20"/>
                <w:highlight w:val="lightGray"/>
              </w:rPr>
            </w:pPr>
          </w:p>
        </w:tc>
        <w:tc>
          <w:tcPr>
            <w:tcW w:w="2360" w:type="dxa"/>
            <w:vMerge w:val="restart"/>
            <w:vAlign w:val="center"/>
          </w:tcPr>
          <w:p w:rsidR="00517711" w:rsidRDefault="00F815BE">
            <w:pPr>
              <w:spacing w:after="0"/>
              <w:jc w:val="center"/>
              <w:rPr>
                <w:rFonts w:ascii="Times New Roman" w:hAnsi="Times New Roman"/>
                <w:color w:val="000000"/>
                <w:sz w:val="20"/>
                <w:szCs w:val="20"/>
                <w:highlight w:val="lightGray"/>
              </w:rPr>
            </w:pPr>
            <w:r>
              <w:rPr>
                <w:rFonts w:ascii="Times New Roman" w:hAnsi="Times New Roman"/>
                <w:color w:val="000000"/>
                <w:sz w:val="20"/>
                <w:szCs w:val="20"/>
              </w:rPr>
              <w:t>Степень достижения цели</w:t>
            </w:r>
          </w:p>
        </w:tc>
        <w:tc>
          <w:tcPr>
            <w:tcW w:w="1701" w:type="dxa"/>
            <w:vAlign w:val="center"/>
          </w:tcPr>
          <w:p w:rsidR="00517711" w:rsidRDefault="00517711">
            <w:pPr>
              <w:spacing w:after="0"/>
              <w:jc w:val="center"/>
              <w:rPr>
                <w:rFonts w:ascii="Times New Roman" w:hAnsi="Times New Roman"/>
                <w:color w:val="000000"/>
                <w:sz w:val="20"/>
                <w:szCs w:val="20"/>
                <w:lang w:val="en-US"/>
              </w:rPr>
            </w:pPr>
          </w:p>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Min</w:t>
            </w:r>
          </w:p>
        </w:tc>
      </w:tr>
      <w:tr w:rsidR="00517711">
        <w:trPr>
          <w:cantSplit/>
          <w:trHeight w:val="75"/>
        </w:trPr>
        <w:tc>
          <w:tcPr>
            <w:tcW w:w="1951" w:type="dxa"/>
            <w:vMerge/>
            <w:vAlign w:val="center"/>
          </w:tcPr>
          <w:p w:rsidR="00517711" w:rsidRDefault="00517711">
            <w:pPr>
              <w:spacing w:after="0"/>
              <w:jc w:val="center"/>
              <w:rPr>
                <w:rFonts w:ascii="Times New Roman" w:hAnsi="Times New Roman"/>
                <w:color w:val="000000"/>
                <w:sz w:val="20"/>
                <w:szCs w:val="20"/>
              </w:rPr>
            </w:pPr>
          </w:p>
        </w:tc>
        <w:tc>
          <w:tcPr>
            <w:tcW w:w="500" w:type="dxa"/>
            <w:vMerge/>
            <w:vAlign w:val="center"/>
          </w:tcPr>
          <w:p w:rsidR="00517711" w:rsidRDefault="00517711">
            <w:pPr>
              <w:spacing w:after="0"/>
              <w:jc w:val="center"/>
              <w:rPr>
                <w:rFonts w:ascii="Times New Roman" w:hAnsi="Times New Roman"/>
                <w:sz w:val="20"/>
                <w:szCs w:val="20"/>
              </w:rPr>
            </w:pPr>
          </w:p>
        </w:tc>
        <w:tc>
          <w:tcPr>
            <w:tcW w:w="1235"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color w:val="000000"/>
                <w:sz w:val="20"/>
                <w:szCs w:val="20"/>
              </w:rPr>
              <w:t>П</w:t>
            </w:r>
            <w:r>
              <w:rPr>
                <w:rFonts w:ascii="Times New Roman" w:hAnsi="Times New Roman"/>
                <w:color w:val="000000"/>
                <w:sz w:val="20"/>
                <w:szCs w:val="20"/>
                <w:vertAlign w:val="subscript"/>
              </w:rPr>
              <w:t xml:space="preserve">1 </w:t>
            </w:r>
            <w:r>
              <w:rPr>
                <w:rFonts w:ascii="Times New Roman" w:hAnsi="Times New Roman"/>
                <w:color w:val="000000"/>
                <w:sz w:val="20"/>
                <w:szCs w:val="20"/>
              </w:rPr>
              <w:t>(</w:t>
            </w:r>
            <m:oMath>
              <m:sSubSup>
                <m:sSubSupPr>
                  <m:ctrlPr>
                    <w:rPr>
                      <w:rFonts w:ascii="Cambria Math" w:hAnsi="Cambria Math"/>
                      <w:i/>
                      <w:color w:val="000000"/>
                      <w:sz w:val="20"/>
                    </w:rPr>
                  </m:ctrlPr>
                </m:sSubSupPr>
                <m:e>
                  <m:r>
                    <w:rPr>
                      <w:rFonts w:ascii="Cambria Math"/>
                      <w:color w:val="000000"/>
                      <w:sz w:val="20"/>
                    </w:rPr>
                    <m:t>U</m:t>
                  </m:r>
                </m:e>
                <m:sub>
                  <m:r>
                    <w:rPr>
                      <w:rFonts w:ascii="Cambria Math"/>
                      <w:color w:val="000000"/>
                      <w:sz w:val="20"/>
                    </w:rPr>
                    <m:t>1</m:t>
                  </m:r>
                </m:sub>
                <m:sup>
                  <m:r>
                    <w:rPr>
                      <w:rFonts w:ascii="Cambria Math"/>
                      <w:color w:val="000000"/>
                      <w:sz w:val="20"/>
                    </w:rPr>
                    <m:t>k</m:t>
                  </m:r>
                </m:sup>
              </m:sSubSup>
              <m:r>
                <w:rPr>
                  <w:rFonts w:ascii="Cambria Math"/>
                  <w:color w:val="000000"/>
                  <w:sz w:val="20"/>
                </w:rPr>
                <m:t>)</m:t>
              </m:r>
            </m:oMath>
          </w:p>
        </w:tc>
        <w:tc>
          <w:tcPr>
            <w:tcW w:w="1417" w:type="dxa"/>
            <w:vAlign w:val="center"/>
          </w:tcPr>
          <w:p w:rsidR="00517711" w:rsidRDefault="00F815BE">
            <w:pPr>
              <w:spacing w:after="0"/>
              <w:jc w:val="center"/>
              <w:rPr>
                <w:rFonts w:ascii="Times New Roman" w:hAnsi="Times New Roman"/>
                <w:color w:val="000000"/>
                <w:sz w:val="20"/>
                <w:szCs w:val="20"/>
                <w:vertAlign w:val="subscript"/>
              </w:rPr>
            </w:pPr>
            <w:r>
              <w:rPr>
                <w:rFonts w:ascii="Times New Roman" w:hAnsi="Times New Roman"/>
                <w:color w:val="000000"/>
                <w:sz w:val="20"/>
                <w:szCs w:val="20"/>
              </w:rPr>
              <w:t>П</w:t>
            </w:r>
            <w:r>
              <w:rPr>
                <w:rFonts w:ascii="Times New Roman" w:hAnsi="Times New Roman"/>
                <w:color w:val="000000"/>
                <w:sz w:val="20"/>
                <w:szCs w:val="20"/>
                <w:vertAlign w:val="subscript"/>
              </w:rPr>
              <w:t xml:space="preserve">2 </w:t>
            </w:r>
            <w:r>
              <w:rPr>
                <w:rFonts w:ascii="Times New Roman" w:hAnsi="Times New Roman"/>
                <w:color w:val="000000"/>
                <w:sz w:val="20"/>
                <w:szCs w:val="20"/>
              </w:rPr>
              <w:t>(</w:t>
            </w:r>
            <m:oMath>
              <m:sSubSup>
                <m:sSubSupPr>
                  <m:ctrlPr>
                    <w:rPr>
                      <w:rFonts w:ascii="Cambria Math" w:hAnsi="Cambria Math"/>
                      <w:i/>
                      <w:color w:val="000000"/>
                      <w:sz w:val="20"/>
                    </w:rPr>
                  </m:ctrlPr>
                </m:sSubSupPr>
                <m:e>
                  <m:r>
                    <w:rPr>
                      <w:rFonts w:ascii="Cambria Math"/>
                      <w:color w:val="000000"/>
                      <w:sz w:val="20"/>
                    </w:rPr>
                    <m:t>O</m:t>
                  </m:r>
                </m:e>
                <m:sub>
                  <m:r>
                    <w:rPr>
                      <w:rFonts w:ascii="Cambria Math"/>
                      <w:color w:val="000000"/>
                      <w:sz w:val="20"/>
                    </w:rPr>
                    <m:t>1</m:t>
                  </m:r>
                </m:sub>
                <m:sup>
                  <m:r>
                    <w:rPr>
                      <w:rFonts w:ascii="Cambria Math"/>
                      <w:color w:val="000000"/>
                      <w:sz w:val="20"/>
                    </w:rPr>
                    <m:t>k</m:t>
                  </m:r>
                </m:sup>
              </m:sSubSup>
              <m:r>
                <w:rPr>
                  <w:rFonts w:ascii="Cambria Math"/>
                  <w:color w:val="000000"/>
                  <w:sz w:val="20"/>
                </w:rPr>
                <m:t>)</m:t>
              </m:r>
            </m:oMath>
          </w:p>
        </w:tc>
        <w:tc>
          <w:tcPr>
            <w:tcW w:w="617" w:type="dxa"/>
            <w:vMerge/>
            <w:vAlign w:val="center"/>
          </w:tcPr>
          <w:p w:rsidR="00517711" w:rsidRDefault="00517711">
            <w:pPr>
              <w:spacing w:after="0"/>
              <w:jc w:val="center"/>
              <w:rPr>
                <w:rFonts w:ascii="Times New Roman" w:hAnsi="Times New Roman"/>
                <w:sz w:val="20"/>
                <w:szCs w:val="20"/>
              </w:rPr>
            </w:pPr>
          </w:p>
        </w:tc>
        <w:tc>
          <w:tcPr>
            <w:tcW w:w="2360" w:type="dxa"/>
            <w:vMerge/>
            <w:vAlign w:val="center"/>
          </w:tcPr>
          <w:p w:rsidR="00517711" w:rsidRDefault="00517711">
            <w:pPr>
              <w:spacing w:after="0"/>
              <w:jc w:val="center"/>
              <w:rPr>
                <w:rFonts w:ascii="Times New Roman" w:hAnsi="Times New Roman"/>
                <w:color w:val="000000"/>
                <w:sz w:val="20"/>
                <w:szCs w:val="20"/>
              </w:rPr>
            </w:pPr>
          </w:p>
        </w:tc>
        <w:tc>
          <w:tcPr>
            <w:tcW w:w="1701" w:type="dxa"/>
            <w:vAlign w:val="center"/>
          </w:tcPr>
          <w:p w:rsidR="00517711" w:rsidRDefault="00F815BE">
            <w:pPr>
              <w:spacing w:after="0"/>
              <w:jc w:val="center"/>
              <w:rPr>
                <w:rFonts w:ascii="Times New Roman" w:hAnsi="Times New Roman"/>
                <w:color w:val="000000"/>
                <w:sz w:val="20"/>
                <w:szCs w:val="20"/>
              </w:rPr>
            </w:pPr>
            <m:oMathPara>
              <m:oMathParaPr>
                <m:jc m:val="left"/>
              </m:oMathParaPr>
              <m:oMath>
                <m:r>
                  <w:rPr>
                    <w:rFonts w:ascii="Cambria Math"/>
                    <w:color w:val="000000"/>
                    <w:sz w:val="20"/>
                  </w:rPr>
                  <m:t>μ(</m:t>
                </m:r>
                <m:sSubSup>
                  <m:sSubSupPr>
                    <m:ctrlPr>
                      <w:rPr>
                        <w:rFonts w:ascii="Cambria Math" w:hAnsi="Cambria Math"/>
                        <w:i/>
                        <w:color w:val="000000"/>
                        <w:sz w:val="20"/>
                      </w:rPr>
                    </m:ctrlPr>
                  </m:sSubSupPr>
                  <m:e>
                    <m:r>
                      <w:rPr>
                        <w:rFonts w:ascii="Cambria Math"/>
                        <w:color w:val="000000"/>
                        <w:sz w:val="20"/>
                      </w:rPr>
                      <m:t>U</m:t>
                    </m:r>
                  </m:e>
                  <m:sub>
                    <m:r>
                      <w:rPr>
                        <w:rFonts w:ascii="Cambria Math"/>
                        <w:color w:val="000000"/>
                        <w:sz w:val="20"/>
                      </w:rPr>
                      <m:t>1</m:t>
                    </m:r>
                  </m:sub>
                  <m:sup>
                    <m:r>
                      <w:rPr>
                        <w:rFonts w:ascii="Cambria Math"/>
                        <w:color w:val="000000"/>
                        <w:sz w:val="20"/>
                      </w:rPr>
                      <m:t>k</m:t>
                    </m:r>
                  </m:sup>
                </m:sSubSup>
                <m:r>
                  <w:rPr>
                    <w:rFonts w:ascii="Cambria Math"/>
                    <w:color w:val="000000"/>
                    <w:sz w:val="20"/>
                  </w:rPr>
                  <m:t>)</m:t>
                </m:r>
                <m:r>
                  <w:rPr>
                    <w:rFonts w:ascii="Cambria Math"/>
                    <w:color w:val="000000"/>
                    <w:sz w:val="20"/>
                  </w:rPr>
                  <m:t>⋁</m:t>
                </m:r>
                <m:r>
                  <w:rPr>
                    <w:rFonts w:ascii="Cambria Math"/>
                    <w:color w:val="000000"/>
                    <w:sz w:val="20"/>
                  </w:rPr>
                  <m:t>μ(</m:t>
                </m:r>
                <m:sSubSup>
                  <m:sSubSupPr>
                    <m:ctrlPr>
                      <w:rPr>
                        <w:rFonts w:ascii="Cambria Math" w:hAnsi="Cambria Math"/>
                        <w:i/>
                        <w:color w:val="000000"/>
                        <w:sz w:val="20"/>
                      </w:rPr>
                    </m:ctrlPr>
                  </m:sSubSupPr>
                  <m:e>
                    <m:r>
                      <w:rPr>
                        <w:rFonts w:ascii="Cambria Math"/>
                        <w:color w:val="000000"/>
                        <w:sz w:val="20"/>
                      </w:rPr>
                      <m:t>O</m:t>
                    </m:r>
                  </m:e>
                  <m:sub>
                    <m:r>
                      <w:rPr>
                        <w:rFonts w:ascii="Cambria Math"/>
                        <w:color w:val="000000"/>
                        <w:sz w:val="20"/>
                      </w:rPr>
                      <m:t>1</m:t>
                    </m:r>
                  </m:sub>
                  <m:sup>
                    <m:r>
                      <w:rPr>
                        <w:rFonts w:ascii="Cambria Math"/>
                        <w:color w:val="000000"/>
                        <w:sz w:val="20"/>
                      </w:rPr>
                      <m:t>k</m:t>
                    </m:r>
                  </m:sup>
                </m:sSubSup>
                <m:r>
                  <w:rPr>
                    <w:rFonts w:ascii="Cambria Math"/>
                    <w:color w:val="000000"/>
                    <w:sz w:val="20"/>
                  </w:rPr>
                  <m:t>)</m:t>
                </m:r>
              </m:oMath>
            </m:oMathPara>
          </w:p>
        </w:tc>
      </w:tr>
      <w:tr w:rsidR="00517711">
        <w:trPr>
          <w:trHeight w:val="75"/>
        </w:trPr>
        <w:tc>
          <w:tcPr>
            <w:tcW w:w="1951"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color w:val="000000"/>
                <w:sz w:val="20"/>
                <w:szCs w:val="20"/>
              </w:rPr>
              <w:t>1</w:t>
            </w:r>
          </w:p>
        </w:tc>
        <w:tc>
          <w:tcPr>
            <w:tcW w:w="500"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i/>
                <w:color w:val="000000"/>
                <w:sz w:val="20"/>
                <w:szCs w:val="20"/>
              </w:rPr>
              <w:t>If</w:t>
            </w:r>
          </w:p>
        </w:tc>
        <w:tc>
          <w:tcPr>
            <w:tcW w:w="1235"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color w:val="000000"/>
                <w:sz w:val="20"/>
                <w:szCs w:val="20"/>
                <w:lang w:val="en-US"/>
              </w:rPr>
              <w:t>M</w:t>
            </w:r>
          </w:p>
        </w:tc>
        <w:tc>
          <w:tcPr>
            <w:tcW w:w="1417"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PL</w:t>
            </w:r>
          </w:p>
        </w:tc>
        <w:tc>
          <w:tcPr>
            <w:tcW w:w="617"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i/>
                <w:color w:val="000000"/>
                <w:sz w:val="20"/>
                <w:szCs w:val="20"/>
              </w:rPr>
              <w:t>Then</w:t>
            </w:r>
          </w:p>
        </w:tc>
        <w:tc>
          <w:tcPr>
            <w:tcW w:w="2360"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ML</w:t>
            </w:r>
          </w:p>
        </w:tc>
        <w:tc>
          <w:tcPr>
            <w:tcW w:w="1701"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color w:val="000000"/>
                <w:sz w:val="20"/>
                <w:szCs w:val="20"/>
              </w:rPr>
              <w:t>0,1</w:t>
            </w:r>
          </w:p>
        </w:tc>
      </w:tr>
      <w:tr w:rsidR="00517711">
        <w:trPr>
          <w:trHeight w:val="75"/>
        </w:trPr>
        <w:tc>
          <w:tcPr>
            <w:tcW w:w="1951"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color w:val="000000"/>
                <w:sz w:val="20"/>
                <w:szCs w:val="20"/>
              </w:rPr>
              <w:lastRenderedPageBreak/>
              <w:t>2</w:t>
            </w:r>
          </w:p>
        </w:tc>
        <w:tc>
          <w:tcPr>
            <w:tcW w:w="500"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i/>
                <w:color w:val="000000"/>
                <w:sz w:val="20"/>
                <w:szCs w:val="20"/>
              </w:rPr>
              <w:t>If</w:t>
            </w:r>
          </w:p>
        </w:tc>
        <w:tc>
          <w:tcPr>
            <w:tcW w:w="1235"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M</w:t>
            </w:r>
          </w:p>
        </w:tc>
        <w:tc>
          <w:tcPr>
            <w:tcW w:w="1417"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PM</w:t>
            </w:r>
          </w:p>
        </w:tc>
        <w:tc>
          <w:tcPr>
            <w:tcW w:w="617"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i/>
                <w:color w:val="000000"/>
                <w:sz w:val="20"/>
                <w:szCs w:val="20"/>
              </w:rPr>
              <w:t>Then</w:t>
            </w:r>
          </w:p>
        </w:tc>
        <w:tc>
          <w:tcPr>
            <w:tcW w:w="2360"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L</w:t>
            </w:r>
          </w:p>
        </w:tc>
        <w:tc>
          <w:tcPr>
            <w:tcW w:w="1701"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color w:val="000000"/>
                <w:sz w:val="20"/>
                <w:szCs w:val="20"/>
              </w:rPr>
              <w:t>0,3</w:t>
            </w:r>
          </w:p>
        </w:tc>
      </w:tr>
      <w:tr w:rsidR="00517711">
        <w:trPr>
          <w:trHeight w:val="75"/>
        </w:trPr>
        <w:tc>
          <w:tcPr>
            <w:tcW w:w="1951"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color w:val="000000"/>
                <w:sz w:val="20"/>
                <w:szCs w:val="20"/>
              </w:rPr>
              <w:t>3</w:t>
            </w:r>
          </w:p>
        </w:tc>
        <w:tc>
          <w:tcPr>
            <w:tcW w:w="500"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i/>
                <w:color w:val="000000"/>
                <w:sz w:val="20"/>
                <w:szCs w:val="20"/>
              </w:rPr>
              <w:t>If</w:t>
            </w:r>
          </w:p>
        </w:tc>
        <w:tc>
          <w:tcPr>
            <w:tcW w:w="1235"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M</w:t>
            </w:r>
          </w:p>
        </w:tc>
        <w:tc>
          <w:tcPr>
            <w:tcW w:w="1417"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PH</w:t>
            </w:r>
          </w:p>
        </w:tc>
        <w:tc>
          <w:tcPr>
            <w:tcW w:w="617"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i/>
                <w:color w:val="000000"/>
                <w:sz w:val="20"/>
                <w:szCs w:val="20"/>
              </w:rPr>
              <w:t>Then</w:t>
            </w:r>
          </w:p>
        </w:tc>
        <w:tc>
          <w:tcPr>
            <w:tcW w:w="2360"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L</w:t>
            </w:r>
          </w:p>
        </w:tc>
        <w:tc>
          <w:tcPr>
            <w:tcW w:w="1701"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color w:val="000000"/>
                <w:sz w:val="20"/>
                <w:szCs w:val="20"/>
              </w:rPr>
              <w:t>0,3</w:t>
            </w:r>
          </w:p>
        </w:tc>
      </w:tr>
      <w:tr w:rsidR="00517711">
        <w:trPr>
          <w:trHeight w:val="75"/>
        </w:trPr>
        <w:tc>
          <w:tcPr>
            <w:tcW w:w="1951"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4</w:t>
            </w:r>
          </w:p>
        </w:tc>
        <w:tc>
          <w:tcPr>
            <w:tcW w:w="500"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i/>
                <w:color w:val="000000"/>
                <w:sz w:val="20"/>
                <w:szCs w:val="20"/>
              </w:rPr>
              <w:t>If</w:t>
            </w:r>
          </w:p>
        </w:tc>
        <w:tc>
          <w:tcPr>
            <w:tcW w:w="1235"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MH</w:t>
            </w:r>
          </w:p>
        </w:tc>
        <w:tc>
          <w:tcPr>
            <w:tcW w:w="1417"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PL</w:t>
            </w:r>
          </w:p>
        </w:tc>
        <w:tc>
          <w:tcPr>
            <w:tcW w:w="617"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i/>
                <w:color w:val="000000"/>
                <w:sz w:val="20"/>
                <w:szCs w:val="20"/>
              </w:rPr>
              <w:t>Then</w:t>
            </w:r>
          </w:p>
        </w:tc>
        <w:tc>
          <w:tcPr>
            <w:tcW w:w="2360"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L</w:t>
            </w:r>
          </w:p>
        </w:tc>
        <w:tc>
          <w:tcPr>
            <w:tcW w:w="1701"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color w:val="000000"/>
                <w:sz w:val="20"/>
                <w:szCs w:val="20"/>
              </w:rPr>
              <w:t>0,1</w:t>
            </w:r>
          </w:p>
        </w:tc>
      </w:tr>
      <w:tr w:rsidR="00517711">
        <w:trPr>
          <w:trHeight w:val="75"/>
        </w:trPr>
        <w:tc>
          <w:tcPr>
            <w:tcW w:w="1951"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5</w:t>
            </w:r>
          </w:p>
        </w:tc>
        <w:tc>
          <w:tcPr>
            <w:tcW w:w="500"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i/>
                <w:color w:val="000000"/>
                <w:sz w:val="20"/>
                <w:szCs w:val="20"/>
              </w:rPr>
              <w:t>If</w:t>
            </w:r>
          </w:p>
        </w:tc>
        <w:tc>
          <w:tcPr>
            <w:tcW w:w="1235"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MH</w:t>
            </w:r>
          </w:p>
        </w:tc>
        <w:tc>
          <w:tcPr>
            <w:tcW w:w="1417"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PM</w:t>
            </w:r>
          </w:p>
        </w:tc>
        <w:tc>
          <w:tcPr>
            <w:tcW w:w="617"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i/>
                <w:color w:val="000000"/>
                <w:sz w:val="20"/>
                <w:szCs w:val="20"/>
              </w:rPr>
              <w:t>Then</w:t>
            </w:r>
          </w:p>
        </w:tc>
        <w:tc>
          <w:tcPr>
            <w:tcW w:w="2360"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L</w:t>
            </w:r>
          </w:p>
        </w:tc>
        <w:tc>
          <w:tcPr>
            <w:tcW w:w="1701"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color w:val="000000"/>
                <w:sz w:val="20"/>
                <w:szCs w:val="20"/>
              </w:rPr>
              <w:t>0,6</w:t>
            </w:r>
          </w:p>
        </w:tc>
      </w:tr>
      <w:tr w:rsidR="00517711">
        <w:trPr>
          <w:trHeight w:val="75"/>
        </w:trPr>
        <w:tc>
          <w:tcPr>
            <w:tcW w:w="1951"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6</w:t>
            </w:r>
          </w:p>
        </w:tc>
        <w:tc>
          <w:tcPr>
            <w:tcW w:w="500"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i/>
                <w:color w:val="000000"/>
                <w:sz w:val="20"/>
                <w:szCs w:val="20"/>
              </w:rPr>
              <w:t>If</w:t>
            </w:r>
          </w:p>
        </w:tc>
        <w:tc>
          <w:tcPr>
            <w:tcW w:w="1235"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MH</w:t>
            </w:r>
          </w:p>
        </w:tc>
        <w:tc>
          <w:tcPr>
            <w:tcW w:w="1417"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PH</w:t>
            </w:r>
          </w:p>
        </w:tc>
        <w:tc>
          <w:tcPr>
            <w:tcW w:w="617"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i/>
                <w:color w:val="000000"/>
                <w:sz w:val="20"/>
                <w:szCs w:val="20"/>
              </w:rPr>
              <w:t>Then</w:t>
            </w:r>
          </w:p>
        </w:tc>
        <w:tc>
          <w:tcPr>
            <w:tcW w:w="2360"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LL</w:t>
            </w:r>
          </w:p>
        </w:tc>
        <w:tc>
          <w:tcPr>
            <w:tcW w:w="1701"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color w:val="000000"/>
                <w:sz w:val="20"/>
                <w:szCs w:val="20"/>
              </w:rPr>
              <w:t>0,6</w:t>
            </w:r>
          </w:p>
        </w:tc>
      </w:tr>
      <w:tr w:rsidR="00517711">
        <w:trPr>
          <w:trHeight w:val="75"/>
        </w:trPr>
        <w:tc>
          <w:tcPr>
            <w:tcW w:w="1951"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7</w:t>
            </w:r>
          </w:p>
        </w:tc>
        <w:tc>
          <w:tcPr>
            <w:tcW w:w="500"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i/>
                <w:color w:val="000000"/>
                <w:sz w:val="20"/>
                <w:szCs w:val="20"/>
              </w:rPr>
              <w:t>If</w:t>
            </w:r>
          </w:p>
        </w:tc>
        <w:tc>
          <w:tcPr>
            <w:tcW w:w="1235"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H</w:t>
            </w:r>
          </w:p>
        </w:tc>
        <w:tc>
          <w:tcPr>
            <w:tcW w:w="1417"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PL</w:t>
            </w:r>
          </w:p>
        </w:tc>
        <w:tc>
          <w:tcPr>
            <w:tcW w:w="617"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i/>
                <w:color w:val="000000"/>
                <w:sz w:val="20"/>
                <w:szCs w:val="20"/>
              </w:rPr>
              <w:t>Then</w:t>
            </w:r>
          </w:p>
        </w:tc>
        <w:tc>
          <w:tcPr>
            <w:tcW w:w="2360"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L</w:t>
            </w:r>
          </w:p>
        </w:tc>
        <w:tc>
          <w:tcPr>
            <w:tcW w:w="1701"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color w:val="000000"/>
                <w:sz w:val="20"/>
                <w:szCs w:val="20"/>
              </w:rPr>
              <w:t>0,1</w:t>
            </w:r>
          </w:p>
        </w:tc>
      </w:tr>
      <w:tr w:rsidR="00517711">
        <w:trPr>
          <w:trHeight w:val="75"/>
        </w:trPr>
        <w:tc>
          <w:tcPr>
            <w:tcW w:w="1951"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8</w:t>
            </w:r>
          </w:p>
        </w:tc>
        <w:tc>
          <w:tcPr>
            <w:tcW w:w="500"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i/>
                <w:color w:val="000000"/>
                <w:sz w:val="20"/>
                <w:szCs w:val="20"/>
              </w:rPr>
              <w:t>If</w:t>
            </w:r>
          </w:p>
        </w:tc>
        <w:tc>
          <w:tcPr>
            <w:tcW w:w="1235"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H</w:t>
            </w:r>
          </w:p>
        </w:tc>
        <w:tc>
          <w:tcPr>
            <w:tcW w:w="1417"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PM</w:t>
            </w:r>
          </w:p>
        </w:tc>
        <w:tc>
          <w:tcPr>
            <w:tcW w:w="617"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i/>
                <w:color w:val="000000"/>
                <w:sz w:val="20"/>
                <w:szCs w:val="20"/>
              </w:rPr>
              <w:t>Then</w:t>
            </w:r>
          </w:p>
        </w:tc>
        <w:tc>
          <w:tcPr>
            <w:tcW w:w="2360"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LL</w:t>
            </w:r>
          </w:p>
        </w:tc>
        <w:tc>
          <w:tcPr>
            <w:tcW w:w="1701"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color w:val="000000"/>
                <w:sz w:val="20"/>
                <w:szCs w:val="20"/>
              </w:rPr>
              <w:t>0,3</w:t>
            </w:r>
          </w:p>
        </w:tc>
      </w:tr>
      <w:tr w:rsidR="00517711">
        <w:trPr>
          <w:trHeight w:val="75"/>
        </w:trPr>
        <w:tc>
          <w:tcPr>
            <w:tcW w:w="1951"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9</w:t>
            </w:r>
          </w:p>
        </w:tc>
        <w:tc>
          <w:tcPr>
            <w:tcW w:w="500"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i/>
                <w:color w:val="000000"/>
                <w:sz w:val="20"/>
                <w:szCs w:val="20"/>
              </w:rPr>
              <w:t>If</w:t>
            </w:r>
          </w:p>
        </w:tc>
        <w:tc>
          <w:tcPr>
            <w:tcW w:w="1235"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H</w:t>
            </w:r>
          </w:p>
        </w:tc>
        <w:tc>
          <w:tcPr>
            <w:tcW w:w="1417"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PH</w:t>
            </w:r>
          </w:p>
        </w:tc>
        <w:tc>
          <w:tcPr>
            <w:tcW w:w="617"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i/>
                <w:color w:val="000000"/>
                <w:sz w:val="20"/>
                <w:szCs w:val="20"/>
              </w:rPr>
              <w:t>Then</w:t>
            </w:r>
          </w:p>
        </w:tc>
        <w:tc>
          <w:tcPr>
            <w:tcW w:w="2360"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LL</w:t>
            </w:r>
          </w:p>
        </w:tc>
        <w:tc>
          <w:tcPr>
            <w:tcW w:w="1701"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color w:val="000000"/>
                <w:sz w:val="20"/>
                <w:szCs w:val="20"/>
              </w:rPr>
              <w:t>0,3</w:t>
            </w:r>
          </w:p>
        </w:tc>
      </w:tr>
    </w:tbl>
    <w:p w:rsidR="00517711" w:rsidRDefault="00F815BE">
      <w:pPr>
        <w:spacing w:before="120" w:after="0" w:line="240" w:lineRule="auto"/>
        <w:ind w:firstLine="709"/>
        <w:jc w:val="both"/>
        <w:rPr>
          <w:rFonts w:ascii="Times New Roman" w:hAnsi="Times New Roman"/>
          <w:sz w:val="24"/>
        </w:rPr>
      </w:pPr>
      <w:r>
        <w:rPr>
          <w:rFonts w:ascii="Times New Roman" w:hAnsi="Times New Roman"/>
          <w:sz w:val="24"/>
        </w:rPr>
        <w:t>Далее, немного опережая алгоритм Мамдани, можно заметить, что в нашем случае имеются всего три функции принадлежности для выходной переменной (</w:t>
      </w:r>
      <w:r>
        <w:rPr>
          <w:rFonts w:ascii="Times New Roman" w:hAnsi="Times New Roman"/>
          <w:sz w:val="24"/>
          <w:lang w:val="en-US"/>
        </w:rPr>
        <w:t>ML</w:t>
      </w:r>
      <w:r>
        <w:rPr>
          <w:rFonts w:ascii="Times New Roman" w:hAnsi="Times New Roman"/>
          <w:sz w:val="24"/>
        </w:rPr>
        <w:t xml:space="preserve"> – «Невысокая», </w:t>
      </w:r>
      <w:r>
        <w:rPr>
          <w:rFonts w:ascii="Times New Roman" w:hAnsi="Times New Roman"/>
          <w:sz w:val="24"/>
          <w:lang w:val="en-US"/>
        </w:rPr>
        <w:t>L</w:t>
      </w:r>
      <w:r>
        <w:rPr>
          <w:rFonts w:ascii="Times New Roman" w:hAnsi="Times New Roman"/>
          <w:sz w:val="24"/>
        </w:rPr>
        <w:t xml:space="preserve"> – «Низкая», </w:t>
      </w:r>
      <w:r>
        <w:rPr>
          <w:rFonts w:ascii="Times New Roman" w:hAnsi="Times New Roman"/>
          <w:sz w:val="24"/>
          <w:lang w:val="en-US"/>
        </w:rPr>
        <w:t>LL</w:t>
      </w:r>
      <w:r>
        <w:rPr>
          <w:rFonts w:ascii="Times New Roman" w:hAnsi="Times New Roman"/>
          <w:sz w:val="24"/>
        </w:rPr>
        <w:t xml:space="preserve"> – «Очень низкая»). По алгоритму Мамдани для каждой из функций принадлежности мы находим максимум [7]. Таким образом, остается всего три правила, которые приведены в таблице 5.</w:t>
      </w:r>
    </w:p>
    <w:p w:rsidR="00517711" w:rsidRDefault="00F815BE">
      <w:pPr>
        <w:spacing w:after="0" w:line="240" w:lineRule="auto"/>
        <w:ind w:firstLine="709"/>
        <w:jc w:val="right"/>
        <w:rPr>
          <w:rFonts w:ascii="Times New Roman" w:hAnsi="Times New Roman"/>
          <w:i/>
          <w:sz w:val="24"/>
        </w:rPr>
      </w:pPr>
      <w:r>
        <w:rPr>
          <w:rFonts w:ascii="Times New Roman" w:hAnsi="Times New Roman"/>
          <w:i/>
          <w:sz w:val="24"/>
        </w:rPr>
        <w:t>Таблица 5</w:t>
      </w:r>
    </w:p>
    <w:p w:rsidR="00517711" w:rsidRDefault="00F815BE">
      <w:pPr>
        <w:spacing w:after="0" w:line="240" w:lineRule="auto"/>
        <w:ind w:firstLine="709"/>
        <w:jc w:val="center"/>
        <w:rPr>
          <w:rFonts w:ascii="Times New Roman" w:hAnsi="Times New Roman"/>
          <w:b/>
          <w:sz w:val="24"/>
        </w:rPr>
      </w:pPr>
      <w:r>
        <w:rPr>
          <w:rFonts w:ascii="Times New Roman" w:hAnsi="Times New Roman"/>
          <w:b/>
          <w:sz w:val="24"/>
        </w:rPr>
        <w:t>Оставшиеся нечёткие правила</w:t>
      </w:r>
    </w:p>
    <w:tbl>
      <w:tblPr>
        <w:tblW w:w="974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526"/>
        <w:gridCol w:w="1167"/>
        <w:gridCol w:w="1243"/>
        <w:gridCol w:w="1134"/>
        <w:gridCol w:w="617"/>
        <w:gridCol w:w="2510"/>
        <w:gridCol w:w="1550"/>
      </w:tblGrid>
      <w:tr w:rsidR="00517711">
        <w:trPr>
          <w:cantSplit/>
          <w:trHeight w:val="821"/>
        </w:trPr>
        <w:tc>
          <w:tcPr>
            <w:tcW w:w="1526" w:type="dxa"/>
            <w:vMerge w:val="restart"/>
            <w:vAlign w:val="center"/>
          </w:tcPr>
          <w:p w:rsidR="00517711" w:rsidRDefault="00F815BE">
            <w:pPr>
              <w:spacing w:before="100" w:beforeAutospacing="1" w:after="0"/>
              <w:jc w:val="center"/>
              <w:rPr>
                <w:rFonts w:ascii="Times New Roman" w:hAnsi="Times New Roman"/>
                <w:color w:val="000000"/>
                <w:sz w:val="20"/>
                <w:szCs w:val="20"/>
                <w:lang w:val="en-US"/>
              </w:rPr>
            </w:pPr>
            <w:r>
              <w:rPr>
                <w:rFonts w:ascii="Times New Roman" w:hAnsi="Times New Roman"/>
                <w:color w:val="000000"/>
                <w:sz w:val="20"/>
                <w:szCs w:val="20"/>
              </w:rPr>
              <w:t>№ нечеткого правила</w:t>
            </w:r>
            <w:r>
              <w:rPr>
                <w:rFonts w:ascii="Times New Roman" w:hAnsi="Times New Roman"/>
                <w:color w:val="000000"/>
                <w:sz w:val="20"/>
                <w:szCs w:val="20"/>
                <w:lang w:val="en-US"/>
              </w:rPr>
              <w:t xml:space="preserve">  </w:t>
            </w:r>
          </w:p>
        </w:tc>
        <w:tc>
          <w:tcPr>
            <w:tcW w:w="1167" w:type="dxa"/>
            <w:vMerge w:val="restart"/>
            <w:vAlign w:val="center"/>
          </w:tcPr>
          <w:p w:rsidR="00517711" w:rsidRDefault="00517711">
            <w:pPr>
              <w:spacing w:after="0"/>
              <w:jc w:val="center"/>
              <w:rPr>
                <w:rFonts w:ascii="Times New Roman" w:hAnsi="Times New Roman"/>
                <w:sz w:val="20"/>
                <w:szCs w:val="20"/>
              </w:rPr>
            </w:pPr>
          </w:p>
        </w:tc>
        <w:tc>
          <w:tcPr>
            <w:tcW w:w="2377" w:type="dxa"/>
            <w:gridSpan w:val="2"/>
            <w:vAlign w:val="center"/>
          </w:tcPr>
          <w:p w:rsidR="00517711" w:rsidRDefault="00F815BE">
            <w:pPr>
              <w:spacing w:before="100" w:beforeAutospacing="1" w:after="0"/>
              <w:jc w:val="center"/>
              <w:rPr>
                <w:rFonts w:ascii="Times New Roman" w:hAnsi="Times New Roman"/>
                <w:color w:val="000000"/>
                <w:sz w:val="20"/>
                <w:szCs w:val="20"/>
                <w:highlight w:val="lightGray"/>
              </w:rPr>
            </w:pPr>
            <w:r>
              <w:rPr>
                <w:rFonts w:ascii="Times New Roman" w:hAnsi="Times New Roman"/>
                <w:color w:val="000000"/>
                <w:sz w:val="20"/>
                <w:szCs w:val="20"/>
              </w:rPr>
              <w:t xml:space="preserve">Лингвистические значения показателей </w:t>
            </w:r>
          </w:p>
        </w:tc>
        <w:tc>
          <w:tcPr>
            <w:tcW w:w="617" w:type="dxa"/>
            <w:vMerge w:val="restart"/>
            <w:vAlign w:val="center"/>
          </w:tcPr>
          <w:p w:rsidR="00517711" w:rsidRDefault="00517711">
            <w:pPr>
              <w:spacing w:after="0"/>
              <w:jc w:val="center"/>
              <w:rPr>
                <w:rFonts w:ascii="Times New Roman" w:hAnsi="Times New Roman"/>
                <w:sz w:val="20"/>
                <w:szCs w:val="20"/>
                <w:highlight w:val="lightGray"/>
              </w:rPr>
            </w:pPr>
          </w:p>
        </w:tc>
        <w:tc>
          <w:tcPr>
            <w:tcW w:w="2510" w:type="dxa"/>
            <w:vMerge w:val="restart"/>
            <w:vAlign w:val="center"/>
          </w:tcPr>
          <w:p w:rsidR="00517711" w:rsidRDefault="00F815BE">
            <w:pPr>
              <w:spacing w:before="100" w:beforeAutospacing="1" w:after="0"/>
              <w:jc w:val="center"/>
              <w:rPr>
                <w:rFonts w:ascii="Times New Roman" w:hAnsi="Times New Roman"/>
                <w:color w:val="000000"/>
                <w:sz w:val="20"/>
                <w:szCs w:val="20"/>
                <w:highlight w:val="lightGray"/>
              </w:rPr>
            </w:pPr>
            <w:r>
              <w:rPr>
                <w:rFonts w:ascii="Times New Roman" w:hAnsi="Times New Roman"/>
                <w:color w:val="000000"/>
                <w:sz w:val="20"/>
                <w:szCs w:val="20"/>
              </w:rPr>
              <w:t>Степень достижения цели</w:t>
            </w:r>
          </w:p>
        </w:tc>
        <w:tc>
          <w:tcPr>
            <w:tcW w:w="1550" w:type="dxa"/>
          </w:tcPr>
          <w:p w:rsidR="00517711" w:rsidRDefault="00517711">
            <w:pPr>
              <w:spacing w:before="100" w:beforeAutospacing="1" w:after="0"/>
              <w:jc w:val="center"/>
              <w:rPr>
                <w:rFonts w:ascii="Times New Roman" w:hAnsi="Times New Roman"/>
                <w:color w:val="000000"/>
                <w:sz w:val="20"/>
                <w:szCs w:val="20"/>
                <w:lang w:val="en-US"/>
              </w:rPr>
            </w:pPr>
          </w:p>
          <w:p w:rsidR="00517711" w:rsidRDefault="00F815BE">
            <w:pPr>
              <w:spacing w:before="100" w:beforeAutospacing="1" w:after="0"/>
              <w:jc w:val="center"/>
              <w:rPr>
                <w:rFonts w:ascii="Times New Roman" w:hAnsi="Times New Roman"/>
                <w:color w:val="000000"/>
                <w:sz w:val="20"/>
                <w:szCs w:val="20"/>
                <w:lang w:val="en-US"/>
              </w:rPr>
            </w:pPr>
            <w:r>
              <w:rPr>
                <w:rFonts w:ascii="Times New Roman" w:hAnsi="Times New Roman"/>
                <w:color w:val="000000"/>
                <w:sz w:val="20"/>
                <w:szCs w:val="20"/>
                <w:lang w:val="en-US"/>
              </w:rPr>
              <w:t>Min</w:t>
            </w:r>
          </w:p>
        </w:tc>
      </w:tr>
      <w:tr w:rsidR="00517711">
        <w:trPr>
          <w:cantSplit/>
          <w:trHeight w:val="147"/>
        </w:trPr>
        <w:tc>
          <w:tcPr>
            <w:tcW w:w="1526" w:type="dxa"/>
            <w:vMerge/>
            <w:vAlign w:val="center"/>
          </w:tcPr>
          <w:p w:rsidR="00517711" w:rsidRDefault="00517711">
            <w:pPr>
              <w:spacing w:after="0"/>
              <w:jc w:val="center"/>
              <w:rPr>
                <w:rFonts w:ascii="Times New Roman" w:hAnsi="Times New Roman"/>
                <w:color w:val="000000"/>
                <w:sz w:val="20"/>
                <w:szCs w:val="20"/>
              </w:rPr>
            </w:pPr>
          </w:p>
        </w:tc>
        <w:tc>
          <w:tcPr>
            <w:tcW w:w="1167" w:type="dxa"/>
            <w:vMerge/>
            <w:vAlign w:val="center"/>
          </w:tcPr>
          <w:p w:rsidR="00517711" w:rsidRDefault="00517711">
            <w:pPr>
              <w:spacing w:after="0"/>
              <w:jc w:val="center"/>
              <w:rPr>
                <w:rFonts w:ascii="Times New Roman" w:hAnsi="Times New Roman"/>
                <w:sz w:val="20"/>
                <w:szCs w:val="20"/>
              </w:rPr>
            </w:pPr>
          </w:p>
        </w:tc>
        <w:tc>
          <w:tcPr>
            <w:tcW w:w="1243" w:type="dxa"/>
            <w:vAlign w:val="center"/>
          </w:tcPr>
          <w:p w:rsidR="00517711" w:rsidRDefault="00F815BE">
            <w:pPr>
              <w:spacing w:before="100" w:beforeAutospacing="1" w:after="0"/>
              <w:jc w:val="center"/>
              <w:rPr>
                <w:rFonts w:ascii="Times New Roman" w:hAnsi="Times New Roman"/>
                <w:color w:val="000000"/>
                <w:sz w:val="20"/>
                <w:szCs w:val="20"/>
              </w:rPr>
            </w:pPr>
            <w:r>
              <w:rPr>
                <w:rFonts w:ascii="Times New Roman" w:hAnsi="Times New Roman"/>
                <w:color w:val="000000"/>
                <w:sz w:val="20"/>
                <w:szCs w:val="20"/>
              </w:rPr>
              <w:t>П</w:t>
            </w:r>
            <w:r>
              <w:rPr>
                <w:rFonts w:ascii="Times New Roman" w:hAnsi="Times New Roman"/>
                <w:color w:val="000000"/>
                <w:sz w:val="20"/>
                <w:szCs w:val="20"/>
                <w:vertAlign w:val="subscript"/>
              </w:rPr>
              <w:t xml:space="preserve">1 </w:t>
            </w:r>
          </w:p>
        </w:tc>
        <w:tc>
          <w:tcPr>
            <w:tcW w:w="1134" w:type="dxa"/>
            <w:vAlign w:val="center"/>
          </w:tcPr>
          <w:p w:rsidR="00517711" w:rsidRDefault="00F815BE">
            <w:pPr>
              <w:spacing w:before="100" w:beforeAutospacing="1" w:after="0"/>
              <w:jc w:val="center"/>
              <w:rPr>
                <w:rFonts w:ascii="Times New Roman" w:hAnsi="Times New Roman"/>
                <w:color w:val="000000"/>
                <w:sz w:val="20"/>
                <w:szCs w:val="20"/>
              </w:rPr>
            </w:pPr>
            <w:r>
              <w:rPr>
                <w:rFonts w:ascii="Times New Roman" w:hAnsi="Times New Roman"/>
                <w:color w:val="000000"/>
                <w:sz w:val="20"/>
                <w:szCs w:val="20"/>
              </w:rPr>
              <w:t>П</w:t>
            </w:r>
            <w:r>
              <w:rPr>
                <w:rFonts w:ascii="Times New Roman" w:hAnsi="Times New Roman"/>
                <w:color w:val="000000"/>
                <w:sz w:val="20"/>
                <w:szCs w:val="20"/>
                <w:vertAlign w:val="subscript"/>
              </w:rPr>
              <w:t>2</w:t>
            </w:r>
          </w:p>
        </w:tc>
        <w:tc>
          <w:tcPr>
            <w:tcW w:w="617" w:type="dxa"/>
            <w:vMerge/>
            <w:vAlign w:val="center"/>
          </w:tcPr>
          <w:p w:rsidR="00517711" w:rsidRDefault="00517711">
            <w:pPr>
              <w:spacing w:after="0"/>
              <w:jc w:val="center"/>
              <w:rPr>
                <w:rFonts w:ascii="Times New Roman" w:hAnsi="Times New Roman"/>
                <w:sz w:val="20"/>
                <w:szCs w:val="20"/>
              </w:rPr>
            </w:pPr>
          </w:p>
        </w:tc>
        <w:tc>
          <w:tcPr>
            <w:tcW w:w="2510" w:type="dxa"/>
            <w:vMerge/>
            <w:vAlign w:val="center"/>
          </w:tcPr>
          <w:p w:rsidR="00517711" w:rsidRDefault="00517711">
            <w:pPr>
              <w:spacing w:before="100" w:beforeAutospacing="1" w:after="0"/>
              <w:jc w:val="center"/>
              <w:rPr>
                <w:rFonts w:ascii="Times New Roman" w:hAnsi="Times New Roman"/>
                <w:color w:val="000000"/>
                <w:sz w:val="20"/>
                <w:szCs w:val="20"/>
              </w:rPr>
            </w:pPr>
          </w:p>
        </w:tc>
        <w:tc>
          <w:tcPr>
            <w:tcW w:w="1550" w:type="dxa"/>
          </w:tcPr>
          <w:p w:rsidR="00517711" w:rsidRDefault="00F815BE">
            <w:pPr>
              <w:spacing w:before="100" w:beforeAutospacing="1" w:after="0"/>
              <w:jc w:val="center"/>
              <w:rPr>
                <w:rFonts w:ascii="Times New Roman" w:hAnsi="Times New Roman"/>
                <w:color w:val="000000"/>
                <w:sz w:val="20"/>
                <w:szCs w:val="20"/>
              </w:rPr>
            </w:pPr>
            <m:oMathPara>
              <m:oMathParaPr>
                <m:jc m:val="left"/>
              </m:oMathParaPr>
              <m:oMath>
                <m:r>
                  <w:rPr>
                    <w:rFonts w:ascii="Cambria Math"/>
                    <w:color w:val="000000"/>
                    <w:sz w:val="20"/>
                  </w:rPr>
                  <m:t>μ(</m:t>
                </m:r>
                <m:sSubSup>
                  <m:sSubSupPr>
                    <m:ctrlPr>
                      <w:rPr>
                        <w:rFonts w:ascii="Cambria Math" w:hAnsi="Cambria Math"/>
                        <w:i/>
                        <w:color w:val="000000"/>
                        <w:sz w:val="20"/>
                      </w:rPr>
                    </m:ctrlPr>
                  </m:sSubSupPr>
                  <m:e>
                    <m:r>
                      <w:rPr>
                        <w:rFonts w:ascii="Cambria Math"/>
                        <w:color w:val="000000"/>
                        <w:sz w:val="20"/>
                      </w:rPr>
                      <m:t>U</m:t>
                    </m:r>
                  </m:e>
                  <m:sub>
                    <m:r>
                      <w:rPr>
                        <w:rFonts w:ascii="Cambria Math"/>
                        <w:color w:val="000000"/>
                        <w:sz w:val="20"/>
                      </w:rPr>
                      <m:t>1</m:t>
                    </m:r>
                  </m:sub>
                  <m:sup>
                    <m:r>
                      <w:rPr>
                        <w:rFonts w:ascii="Cambria Math"/>
                        <w:color w:val="000000"/>
                        <w:sz w:val="20"/>
                      </w:rPr>
                      <m:t>k</m:t>
                    </m:r>
                  </m:sup>
                </m:sSubSup>
                <m:r>
                  <w:rPr>
                    <w:rFonts w:ascii="Cambria Math"/>
                    <w:color w:val="000000"/>
                    <w:sz w:val="20"/>
                  </w:rPr>
                  <m:t>)</m:t>
                </m:r>
                <m:r>
                  <w:rPr>
                    <w:rFonts w:ascii="Cambria Math"/>
                    <w:color w:val="000000"/>
                    <w:sz w:val="20"/>
                  </w:rPr>
                  <m:t>⋁</m:t>
                </m:r>
                <m:r>
                  <w:rPr>
                    <w:rFonts w:ascii="Cambria Math"/>
                    <w:color w:val="000000"/>
                    <w:sz w:val="20"/>
                  </w:rPr>
                  <m:t>μ(</m:t>
                </m:r>
                <m:sSubSup>
                  <m:sSubSupPr>
                    <m:ctrlPr>
                      <w:rPr>
                        <w:rFonts w:ascii="Cambria Math" w:hAnsi="Cambria Math"/>
                        <w:i/>
                        <w:color w:val="000000"/>
                        <w:sz w:val="20"/>
                      </w:rPr>
                    </m:ctrlPr>
                  </m:sSubSupPr>
                  <m:e>
                    <m:r>
                      <w:rPr>
                        <w:rFonts w:ascii="Cambria Math"/>
                        <w:color w:val="000000"/>
                        <w:sz w:val="20"/>
                      </w:rPr>
                      <m:t>O</m:t>
                    </m:r>
                  </m:e>
                  <m:sub>
                    <m:r>
                      <w:rPr>
                        <w:rFonts w:ascii="Cambria Math"/>
                        <w:color w:val="000000"/>
                        <w:sz w:val="20"/>
                      </w:rPr>
                      <m:t>1</m:t>
                    </m:r>
                  </m:sub>
                  <m:sup>
                    <m:r>
                      <w:rPr>
                        <w:rFonts w:ascii="Cambria Math"/>
                        <w:color w:val="000000"/>
                        <w:sz w:val="20"/>
                      </w:rPr>
                      <m:t>k</m:t>
                    </m:r>
                  </m:sup>
                </m:sSubSup>
                <m:r>
                  <w:rPr>
                    <w:rFonts w:ascii="Cambria Math"/>
                    <w:color w:val="000000"/>
                    <w:sz w:val="20"/>
                  </w:rPr>
                  <m:t>)</m:t>
                </m:r>
              </m:oMath>
            </m:oMathPara>
          </w:p>
        </w:tc>
      </w:tr>
      <w:tr w:rsidR="00517711">
        <w:trPr>
          <w:trHeight w:val="264"/>
        </w:trPr>
        <w:tc>
          <w:tcPr>
            <w:tcW w:w="1526" w:type="dxa"/>
            <w:vAlign w:val="center"/>
          </w:tcPr>
          <w:p w:rsidR="00517711" w:rsidRDefault="00F815BE">
            <w:pPr>
              <w:spacing w:before="100" w:beforeAutospacing="1" w:after="0"/>
              <w:jc w:val="center"/>
              <w:rPr>
                <w:rFonts w:ascii="Times New Roman" w:hAnsi="Times New Roman"/>
                <w:color w:val="000000"/>
                <w:sz w:val="20"/>
                <w:szCs w:val="20"/>
              </w:rPr>
            </w:pPr>
            <w:r>
              <w:rPr>
                <w:rFonts w:ascii="Times New Roman" w:hAnsi="Times New Roman"/>
                <w:color w:val="000000"/>
                <w:sz w:val="20"/>
                <w:szCs w:val="20"/>
              </w:rPr>
              <w:t>1</w:t>
            </w:r>
          </w:p>
        </w:tc>
        <w:tc>
          <w:tcPr>
            <w:tcW w:w="1167" w:type="dxa"/>
            <w:vAlign w:val="center"/>
          </w:tcPr>
          <w:p w:rsidR="00517711" w:rsidRDefault="00F815BE">
            <w:pPr>
              <w:spacing w:before="100" w:beforeAutospacing="1" w:after="0"/>
              <w:jc w:val="center"/>
              <w:rPr>
                <w:rFonts w:ascii="Times New Roman" w:hAnsi="Times New Roman"/>
                <w:color w:val="000000"/>
                <w:sz w:val="20"/>
                <w:szCs w:val="20"/>
              </w:rPr>
            </w:pPr>
            <w:r>
              <w:rPr>
                <w:rFonts w:ascii="Times New Roman" w:hAnsi="Times New Roman"/>
                <w:i/>
                <w:color w:val="000000"/>
                <w:sz w:val="20"/>
                <w:szCs w:val="20"/>
              </w:rPr>
              <w:t>If</w:t>
            </w:r>
          </w:p>
        </w:tc>
        <w:tc>
          <w:tcPr>
            <w:tcW w:w="1243" w:type="dxa"/>
            <w:vAlign w:val="center"/>
          </w:tcPr>
          <w:p w:rsidR="00517711" w:rsidRDefault="00F815BE">
            <w:pPr>
              <w:spacing w:before="100" w:beforeAutospacing="1" w:after="0"/>
              <w:jc w:val="center"/>
              <w:rPr>
                <w:rFonts w:ascii="Times New Roman" w:hAnsi="Times New Roman"/>
                <w:color w:val="000000"/>
                <w:sz w:val="20"/>
                <w:szCs w:val="20"/>
              </w:rPr>
            </w:pPr>
            <w:r>
              <w:rPr>
                <w:rFonts w:ascii="Times New Roman" w:hAnsi="Times New Roman"/>
                <w:color w:val="000000"/>
                <w:sz w:val="20"/>
                <w:szCs w:val="20"/>
                <w:lang w:val="en-US"/>
              </w:rPr>
              <w:t>M</w:t>
            </w:r>
          </w:p>
        </w:tc>
        <w:tc>
          <w:tcPr>
            <w:tcW w:w="1134" w:type="dxa"/>
            <w:vAlign w:val="center"/>
          </w:tcPr>
          <w:p w:rsidR="00517711" w:rsidRDefault="00F815BE">
            <w:pPr>
              <w:spacing w:before="100" w:beforeAutospacing="1" w:after="0"/>
              <w:jc w:val="center"/>
              <w:rPr>
                <w:rFonts w:ascii="Times New Roman" w:hAnsi="Times New Roman"/>
                <w:color w:val="000000"/>
                <w:sz w:val="20"/>
                <w:szCs w:val="20"/>
                <w:lang w:val="en-US"/>
              </w:rPr>
            </w:pPr>
            <w:r>
              <w:rPr>
                <w:rFonts w:ascii="Times New Roman" w:hAnsi="Times New Roman"/>
                <w:color w:val="000000"/>
                <w:sz w:val="20"/>
                <w:szCs w:val="20"/>
                <w:lang w:val="en-US"/>
              </w:rPr>
              <w:t>PL</w:t>
            </w:r>
          </w:p>
        </w:tc>
        <w:tc>
          <w:tcPr>
            <w:tcW w:w="617" w:type="dxa"/>
            <w:vAlign w:val="center"/>
          </w:tcPr>
          <w:p w:rsidR="00517711" w:rsidRDefault="00F815BE">
            <w:pPr>
              <w:spacing w:before="100" w:beforeAutospacing="1" w:after="0"/>
              <w:jc w:val="center"/>
              <w:rPr>
                <w:rFonts w:ascii="Times New Roman" w:hAnsi="Times New Roman"/>
                <w:color w:val="000000"/>
                <w:sz w:val="20"/>
                <w:szCs w:val="20"/>
              </w:rPr>
            </w:pPr>
            <w:r>
              <w:rPr>
                <w:rFonts w:ascii="Times New Roman" w:hAnsi="Times New Roman"/>
                <w:i/>
                <w:color w:val="000000"/>
                <w:sz w:val="20"/>
                <w:szCs w:val="20"/>
              </w:rPr>
              <w:t>Then</w:t>
            </w:r>
          </w:p>
        </w:tc>
        <w:tc>
          <w:tcPr>
            <w:tcW w:w="2510" w:type="dxa"/>
            <w:vAlign w:val="center"/>
          </w:tcPr>
          <w:p w:rsidR="00517711" w:rsidRDefault="00F815BE">
            <w:pPr>
              <w:spacing w:before="100" w:beforeAutospacing="1" w:after="0"/>
              <w:jc w:val="center"/>
              <w:rPr>
                <w:rFonts w:ascii="Times New Roman" w:hAnsi="Times New Roman"/>
                <w:color w:val="000000"/>
                <w:sz w:val="20"/>
                <w:szCs w:val="20"/>
                <w:lang w:val="en-US"/>
              </w:rPr>
            </w:pPr>
            <w:r>
              <w:rPr>
                <w:rFonts w:ascii="Times New Roman" w:hAnsi="Times New Roman"/>
                <w:color w:val="000000"/>
                <w:sz w:val="20"/>
                <w:szCs w:val="20"/>
                <w:lang w:val="en-US"/>
              </w:rPr>
              <w:t>ML</w:t>
            </w:r>
          </w:p>
        </w:tc>
        <w:tc>
          <w:tcPr>
            <w:tcW w:w="1550" w:type="dxa"/>
          </w:tcPr>
          <w:p w:rsidR="00517711" w:rsidRDefault="00F815BE">
            <w:pPr>
              <w:spacing w:before="100" w:beforeAutospacing="1" w:after="0"/>
              <w:jc w:val="center"/>
              <w:rPr>
                <w:rFonts w:ascii="Times New Roman" w:hAnsi="Times New Roman"/>
                <w:color w:val="000000"/>
                <w:sz w:val="20"/>
                <w:szCs w:val="20"/>
              </w:rPr>
            </w:pPr>
            <w:r>
              <w:rPr>
                <w:rFonts w:ascii="Times New Roman" w:hAnsi="Times New Roman"/>
                <w:color w:val="000000"/>
                <w:sz w:val="20"/>
                <w:szCs w:val="20"/>
              </w:rPr>
              <w:t>0,1</w:t>
            </w:r>
          </w:p>
        </w:tc>
      </w:tr>
      <w:tr w:rsidR="00517711">
        <w:trPr>
          <w:trHeight w:val="264"/>
        </w:trPr>
        <w:tc>
          <w:tcPr>
            <w:tcW w:w="1526" w:type="dxa"/>
            <w:vAlign w:val="center"/>
          </w:tcPr>
          <w:p w:rsidR="00517711" w:rsidRDefault="00F815BE">
            <w:pPr>
              <w:spacing w:before="100" w:beforeAutospacing="1" w:after="0"/>
              <w:jc w:val="center"/>
              <w:rPr>
                <w:rFonts w:ascii="Times New Roman" w:hAnsi="Times New Roman"/>
                <w:color w:val="000000"/>
                <w:sz w:val="20"/>
                <w:szCs w:val="20"/>
              </w:rPr>
            </w:pPr>
            <w:r>
              <w:rPr>
                <w:rFonts w:ascii="Times New Roman" w:hAnsi="Times New Roman"/>
                <w:color w:val="000000"/>
                <w:sz w:val="20"/>
                <w:szCs w:val="20"/>
              </w:rPr>
              <w:t>2</w:t>
            </w:r>
          </w:p>
        </w:tc>
        <w:tc>
          <w:tcPr>
            <w:tcW w:w="1167" w:type="dxa"/>
            <w:vAlign w:val="center"/>
          </w:tcPr>
          <w:p w:rsidR="00517711" w:rsidRDefault="00F815BE">
            <w:pPr>
              <w:spacing w:before="100" w:beforeAutospacing="1" w:after="0"/>
              <w:jc w:val="center"/>
              <w:rPr>
                <w:rFonts w:ascii="Times New Roman" w:hAnsi="Times New Roman"/>
                <w:color w:val="000000"/>
                <w:sz w:val="20"/>
                <w:szCs w:val="20"/>
              </w:rPr>
            </w:pPr>
            <w:r>
              <w:rPr>
                <w:rFonts w:ascii="Times New Roman" w:hAnsi="Times New Roman"/>
                <w:i/>
                <w:color w:val="000000"/>
                <w:sz w:val="20"/>
                <w:szCs w:val="20"/>
              </w:rPr>
              <w:t>If</w:t>
            </w:r>
          </w:p>
        </w:tc>
        <w:tc>
          <w:tcPr>
            <w:tcW w:w="1243" w:type="dxa"/>
            <w:vAlign w:val="center"/>
          </w:tcPr>
          <w:p w:rsidR="00517711" w:rsidRDefault="00F815BE">
            <w:pPr>
              <w:spacing w:before="100" w:beforeAutospacing="1" w:after="0"/>
              <w:jc w:val="center"/>
              <w:rPr>
                <w:rFonts w:ascii="Times New Roman" w:hAnsi="Times New Roman"/>
                <w:color w:val="000000"/>
                <w:sz w:val="20"/>
                <w:szCs w:val="20"/>
                <w:lang w:val="en-US"/>
              </w:rPr>
            </w:pPr>
            <w:r>
              <w:rPr>
                <w:rFonts w:ascii="Times New Roman" w:hAnsi="Times New Roman"/>
                <w:color w:val="000000"/>
                <w:sz w:val="20"/>
                <w:szCs w:val="20"/>
                <w:lang w:val="en-US"/>
              </w:rPr>
              <w:t>MH</w:t>
            </w:r>
          </w:p>
        </w:tc>
        <w:tc>
          <w:tcPr>
            <w:tcW w:w="1134" w:type="dxa"/>
            <w:vAlign w:val="center"/>
          </w:tcPr>
          <w:p w:rsidR="00517711" w:rsidRDefault="00F815BE">
            <w:pPr>
              <w:spacing w:before="100" w:beforeAutospacing="1" w:after="0"/>
              <w:jc w:val="center"/>
              <w:rPr>
                <w:rFonts w:ascii="Times New Roman" w:hAnsi="Times New Roman"/>
                <w:color w:val="000000"/>
                <w:sz w:val="20"/>
                <w:szCs w:val="20"/>
                <w:lang w:val="en-US"/>
              </w:rPr>
            </w:pPr>
            <w:r>
              <w:rPr>
                <w:rFonts w:ascii="Times New Roman" w:hAnsi="Times New Roman"/>
                <w:color w:val="000000"/>
                <w:sz w:val="20"/>
                <w:szCs w:val="20"/>
                <w:lang w:val="en-US"/>
              </w:rPr>
              <w:t>PM</w:t>
            </w:r>
          </w:p>
        </w:tc>
        <w:tc>
          <w:tcPr>
            <w:tcW w:w="617" w:type="dxa"/>
            <w:vAlign w:val="center"/>
          </w:tcPr>
          <w:p w:rsidR="00517711" w:rsidRDefault="00F815BE">
            <w:pPr>
              <w:spacing w:before="100" w:beforeAutospacing="1" w:after="0"/>
              <w:jc w:val="center"/>
              <w:rPr>
                <w:rFonts w:ascii="Times New Roman" w:hAnsi="Times New Roman"/>
                <w:color w:val="000000"/>
                <w:sz w:val="20"/>
                <w:szCs w:val="20"/>
              </w:rPr>
            </w:pPr>
            <w:r>
              <w:rPr>
                <w:rFonts w:ascii="Times New Roman" w:hAnsi="Times New Roman"/>
                <w:i/>
                <w:color w:val="000000"/>
                <w:sz w:val="20"/>
                <w:szCs w:val="20"/>
              </w:rPr>
              <w:t>Then</w:t>
            </w:r>
          </w:p>
        </w:tc>
        <w:tc>
          <w:tcPr>
            <w:tcW w:w="2510" w:type="dxa"/>
            <w:vAlign w:val="center"/>
          </w:tcPr>
          <w:p w:rsidR="00517711" w:rsidRDefault="00F815BE">
            <w:pPr>
              <w:spacing w:before="100" w:beforeAutospacing="1" w:after="0"/>
              <w:jc w:val="center"/>
              <w:rPr>
                <w:rFonts w:ascii="Times New Roman" w:hAnsi="Times New Roman"/>
                <w:color w:val="000000"/>
                <w:sz w:val="20"/>
                <w:szCs w:val="20"/>
                <w:lang w:val="en-US"/>
              </w:rPr>
            </w:pPr>
            <w:r>
              <w:rPr>
                <w:rFonts w:ascii="Times New Roman" w:hAnsi="Times New Roman"/>
                <w:color w:val="000000"/>
                <w:sz w:val="20"/>
                <w:szCs w:val="20"/>
                <w:lang w:val="en-US"/>
              </w:rPr>
              <w:t>L</w:t>
            </w:r>
          </w:p>
        </w:tc>
        <w:tc>
          <w:tcPr>
            <w:tcW w:w="1550" w:type="dxa"/>
          </w:tcPr>
          <w:p w:rsidR="00517711" w:rsidRDefault="00F815BE">
            <w:pPr>
              <w:spacing w:before="100" w:beforeAutospacing="1" w:after="0"/>
              <w:jc w:val="center"/>
              <w:rPr>
                <w:rFonts w:ascii="Times New Roman" w:hAnsi="Times New Roman"/>
                <w:color w:val="000000"/>
                <w:sz w:val="20"/>
                <w:szCs w:val="20"/>
                <w:lang w:val="en-US"/>
              </w:rPr>
            </w:pPr>
            <w:r>
              <w:rPr>
                <w:rFonts w:ascii="Times New Roman" w:hAnsi="Times New Roman"/>
                <w:color w:val="000000"/>
                <w:sz w:val="20"/>
                <w:szCs w:val="20"/>
              </w:rPr>
              <w:t>0,</w:t>
            </w:r>
            <w:r>
              <w:rPr>
                <w:rFonts w:ascii="Times New Roman" w:hAnsi="Times New Roman"/>
                <w:color w:val="000000"/>
                <w:sz w:val="20"/>
                <w:szCs w:val="20"/>
                <w:lang w:val="en-US"/>
              </w:rPr>
              <w:t>6</w:t>
            </w:r>
          </w:p>
        </w:tc>
      </w:tr>
      <w:tr w:rsidR="00517711">
        <w:trPr>
          <w:trHeight w:val="278"/>
        </w:trPr>
        <w:tc>
          <w:tcPr>
            <w:tcW w:w="1526" w:type="dxa"/>
            <w:vAlign w:val="center"/>
          </w:tcPr>
          <w:p w:rsidR="00517711" w:rsidRDefault="00F815BE">
            <w:pPr>
              <w:spacing w:before="100" w:beforeAutospacing="1" w:after="0"/>
              <w:jc w:val="center"/>
              <w:rPr>
                <w:rFonts w:ascii="Times New Roman" w:hAnsi="Times New Roman"/>
                <w:color w:val="000000"/>
                <w:sz w:val="20"/>
                <w:szCs w:val="20"/>
              </w:rPr>
            </w:pPr>
            <w:r>
              <w:rPr>
                <w:rFonts w:ascii="Times New Roman" w:hAnsi="Times New Roman"/>
                <w:color w:val="000000"/>
                <w:sz w:val="20"/>
                <w:szCs w:val="20"/>
              </w:rPr>
              <w:t>3</w:t>
            </w:r>
          </w:p>
        </w:tc>
        <w:tc>
          <w:tcPr>
            <w:tcW w:w="1167" w:type="dxa"/>
            <w:vAlign w:val="center"/>
          </w:tcPr>
          <w:p w:rsidR="00517711" w:rsidRDefault="00F815BE">
            <w:pPr>
              <w:spacing w:before="100" w:beforeAutospacing="1" w:after="0"/>
              <w:jc w:val="center"/>
              <w:rPr>
                <w:rFonts w:ascii="Times New Roman" w:hAnsi="Times New Roman"/>
                <w:color w:val="000000"/>
                <w:sz w:val="20"/>
                <w:szCs w:val="20"/>
              </w:rPr>
            </w:pPr>
            <w:r>
              <w:rPr>
                <w:rFonts w:ascii="Times New Roman" w:hAnsi="Times New Roman"/>
                <w:i/>
                <w:color w:val="000000"/>
                <w:sz w:val="20"/>
                <w:szCs w:val="20"/>
              </w:rPr>
              <w:t>If</w:t>
            </w:r>
          </w:p>
        </w:tc>
        <w:tc>
          <w:tcPr>
            <w:tcW w:w="1243" w:type="dxa"/>
            <w:vAlign w:val="center"/>
          </w:tcPr>
          <w:p w:rsidR="00517711" w:rsidRDefault="00F815BE">
            <w:pPr>
              <w:spacing w:before="100" w:beforeAutospacing="1" w:after="0"/>
              <w:jc w:val="center"/>
              <w:rPr>
                <w:rFonts w:ascii="Times New Roman" w:hAnsi="Times New Roman"/>
                <w:color w:val="000000"/>
                <w:sz w:val="20"/>
                <w:szCs w:val="20"/>
                <w:lang w:val="en-US"/>
              </w:rPr>
            </w:pPr>
            <w:r>
              <w:rPr>
                <w:rFonts w:ascii="Times New Roman" w:hAnsi="Times New Roman"/>
                <w:color w:val="000000"/>
                <w:sz w:val="20"/>
                <w:szCs w:val="20"/>
                <w:lang w:val="en-US"/>
              </w:rPr>
              <w:t>MH</w:t>
            </w:r>
          </w:p>
        </w:tc>
        <w:tc>
          <w:tcPr>
            <w:tcW w:w="1134" w:type="dxa"/>
            <w:vAlign w:val="center"/>
          </w:tcPr>
          <w:p w:rsidR="00517711" w:rsidRDefault="00F815BE">
            <w:pPr>
              <w:spacing w:before="100" w:beforeAutospacing="1" w:after="0"/>
              <w:jc w:val="center"/>
              <w:rPr>
                <w:rFonts w:ascii="Times New Roman" w:hAnsi="Times New Roman"/>
                <w:color w:val="000000"/>
                <w:sz w:val="20"/>
                <w:szCs w:val="20"/>
                <w:lang w:val="en-US"/>
              </w:rPr>
            </w:pPr>
            <w:r>
              <w:rPr>
                <w:rFonts w:ascii="Times New Roman" w:hAnsi="Times New Roman"/>
                <w:color w:val="000000"/>
                <w:sz w:val="20"/>
                <w:szCs w:val="20"/>
                <w:lang w:val="en-US"/>
              </w:rPr>
              <w:t>PH</w:t>
            </w:r>
          </w:p>
        </w:tc>
        <w:tc>
          <w:tcPr>
            <w:tcW w:w="617" w:type="dxa"/>
            <w:vAlign w:val="center"/>
          </w:tcPr>
          <w:p w:rsidR="00517711" w:rsidRDefault="00F815BE">
            <w:pPr>
              <w:spacing w:before="100" w:beforeAutospacing="1" w:after="0"/>
              <w:jc w:val="center"/>
              <w:rPr>
                <w:rFonts w:ascii="Times New Roman" w:hAnsi="Times New Roman"/>
                <w:color w:val="000000"/>
                <w:sz w:val="20"/>
                <w:szCs w:val="20"/>
              </w:rPr>
            </w:pPr>
            <w:r>
              <w:rPr>
                <w:rFonts w:ascii="Times New Roman" w:hAnsi="Times New Roman"/>
                <w:i/>
                <w:color w:val="000000"/>
                <w:sz w:val="20"/>
                <w:szCs w:val="20"/>
              </w:rPr>
              <w:t>Then</w:t>
            </w:r>
          </w:p>
        </w:tc>
        <w:tc>
          <w:tcPr>
            <w:tcW w:w="2510" w:type="dxa"/>
            <w:vAlign w:val="center"/>
          </w:tcPr>
          <w:p w:rsidR="00517711" w:rsidRDefault="00F815BE">
            <w:pPr>
              <w:spacing w:before="100" w:beforeAutospacing="1" w:after="0"/>
              <w:jc w:val="center"/>
              <w:rPr>
                <w:rFonts w:ascii="Times New Roman" w:hAnsi="Times New Roman"/>
                <w:color w:val="000000"/>
                <w:sz w:val="20"/>
                <w:szCs w:val="20"/>
                <w:lang w:val="en-US"/>
              </w:rPr>
            </w:pPr>
            <w:r>
              <w:rPr>
                <w:rFonts w:ascii="Times New Roman" w:hAnsi="Times New Roman"/>
                <w:color w:val="000000"/>
                <w:sz w:val="20"/>
                <w:szCs w:val="20"/>
                <w:lang w:val="en-US"/>
              </w:rPr>
              <w:t>LL</w:t>
            </w:r>
          </w:p>
        </w:tc>
        <w:tc>
          <w:tcPr>
            <w:tcW w:w="1550" w:type="dxa"/>
          </w:tcPr>
          <w:p w:rsidR="00517711" w:rsidRDefault="00F815BE">
            <w:pPr>
              <w:spacing w:before="100" w:beforeAutospacing="1" w:after="0"/>
              <w:jc w:val="center"/>
              <w:rPr>
                <w:rFonts w:ascii="Times New Roman" w:hAnsi="Times New Roman"/>
                <w:color w:val="000000"/>
                <w:sz w:val="20"/>
                <w:szCs w:val="20"/>
                <w:lang w:val="en-US"/>
              </w:rPr>
            </w:pPr>
            <w:r>
              <w:rPr>
                <w:rFonts w:ascii="Times New Roman" w:hAnsi="Times New Roman"/>
                <w:color w:val="000000"/>
                <w:sz w:val="20"/>
                <w:szCs w:val="20"/>
              </w:rPr>
              <w:t>0,</w:t>
            </w:r>
            <w:r>
              <w:rPr>
                <w:rFonts w:ascii="Times New Roman" w:hAnsi="Times New Roman"/>
                <w:color w:val="000000"/>
                <w:sz w:val="20"/>
                <w:szCs w:val="20"/>
                <w:lang w:val="en-US"/>
              </w:rPr>
              <w:t>6</w:t>
            </w:r>
          </w:p>
        </w:tc>
      </w:tr>
    </w:tbl>
    <w:p w:rsidR="00517711" w:rsidRDefault="00F815BE">
      <w:pPr>
        <w:spacing w:before="120" w:after="0" w:line="240" w:lineRule="auto"/>
        <w:ind w:firstLine="709"/>
        <w:jc w:val="both"/>
        <w:rPr>
          <w:rFonts w:ascii="Times New Roman" w:hAnsi="Times New Roman"/>
          <w:sz w:val="24"/>
        </w:rPr>
      </w:pPr>
      <w:r>
        <w:rPr>
          <w:noProof/>
          <w:lang w:eastAsia="ru-RU"/>
        </w:rPr>
        <w:drawing>
          <wp:anchor distT="0" distB="0" distL="114300" distR="114300" simplePos="0" relativeHeight="251658242" behindDoc="0" locked="0" layoutInCell="1" allowOverlap="1">
            <wp:simplePos x="0" y="0"/>
            <wp:positionH relativeFrom="column">
              <wp:posOffset>3809</wp:posOffset>
            </wp:positionH>
            <wp:positionV relativeFrom="paragraph">
              <wp:posOffset>697864</wp:posOffset>
            </wp:positionV>
            <wp:extent cx="6120129" cy="3343275"/>
            <wp:effectExtent l="0" t="0" r="0" b="0"/>
            <wp:wrapTopAndBottom/>
            <wp:docPr id="122" name="Рисунок 122"/>
            <wp:cNvGraphicFramePr/>
            <a:graphic xmlns:a="http://schemas.openxmlformats.org/drawingml/2006/main">
              <a:graphicData uri="http://schemas.openxmlformats.org/drawingml/2006/picture">
                <pic:pic xmlns:pic="http://schemas.openxmlformats.org/drawingml/2006/picture">
                  <pic:nvPicPr>
                    <pic:cNvPr id="51" name=""/>
                    <pic:cNvPicPr/>
                  </pic:nvPicPr>
                  <pic:blipFill>
                    <a:blip r:embed="rId300"/>
                    <a:stretch/>
                  </pic:blipFill>
                  <pic:spPr bwMode="auto">
                    <a:xfrm>
                      <a:off x="0" y="0"/>
                      <a:ext cx="6120130" cy="3343275"/>
                    </a:xfrm>
                    <a:prstGeom prst="rect">
                      <a:avLst/>
                    </a:prstGeom>
                    <a:noFill/>
                    <a:ln>
                      <a:noFill/>
                    </a:ln>
                  </pic:spPr>
                </pic:pic>
              </a:graphicData>
            </a:graphic>
          </wp:anchor>
        </w:drawing>
      </w:r>
      <w:r>
        <w:rPr>
          <w:rFonts w:ascii="Times New Roman" w:hAnsi="Times New Roman"/>
          <w:sz w:val="24"/>
        </w:rPr>
        <w:t xml:space="preserve">Графическое изображение этого действия выглядит следующим образом (Рис.1). Данные графики  и дальнейшие расчеты  были выполнены с помощью языка и среды для программирования </w:t>
      </w:r>
      <w:r>
        <w:rPr>
          <w:rFonts w:ascii="Times New Roman" w:hAnsi="Times New Roman"/>
          <w:sz w:val="24"/>
          <w:lang w:val="en-US"/>
        </w:rPr>
        <w:t>MATLAB</w:t>
      </w:r>
      <w:r>
        <w:rPr>
          <w:rFonts w:ascii="Times New Roman" w:hAnsi="Times New Roman"/>
          <w:sz w:val="24"/>
        </w:rPr>
        <w:t>.</w:t>
      </w:r>
    </w:p>
    <w:p w:rsidR="00517711" w:rsidRDefault="00F815BE">
      <w:pPr>
        <w:spacing w:after="120" w:line="240" w:lineRule="auto"/>
        <w:jc w:val="center"/>
        <w:rPr>
          <w:rFonts w:ascii="Times New Roman" w:hAnsi="Times New Roman"/>
          <w:sz w:val="24"/>
        </w:rPr>
      </w:pPr>
      <w:r>
        <w:rPr>
          <w:rFonts w:ascii="Times New Roman" w:hAnsi="Times New Roman"/>
          <w:sz w:val="24"/>
        </w:rPr>
        <w:t>Рис.1. Алгоритм Мамдани</w:t>
      </w:r>
    </w:p>
    <w:p w:rsidR="00517711" w:rsidRDefault="00F815BE">
      <w:pPr>
        <w:spacing w:after="0" w:line="240" w:lineRule="auto"/>
        <w:ind w:firstLine="709"/>
        <w:jc w:val="both"/>
        <w:rPr>
          <w:rFonts w:ascii="Times New Roman" w:hAnsi="Times New Roman"/>
          <w:sz w:val="24"/>
        </w:rPr>
      </w:pPr>
      <w:r>
        <w:rPr>
          <w:rFonts w:ascii="Times New Roman" w:hAnsi="Times New Roman"/>
          <w:sz w:val="24"/>
        </w:rPr>
        <w:t>Далее происходит объединение трех получившихся графиков путем наложения их друг на друга. Всё, что остается, так это найти центр тяжести получившейся фигуры (итогового нечёткого подмножества).</w:t>
      </w:r>
    </w:p>
    <w:p w:rsidR="00517711" w:rsidRDefault="00F815BE">
      <w:pPr>
        <w:spacing w:after="0" w:line="240" w:lineRule="auto"/>
        <w:ind w:firstLine="709"/>
        <w:jc w:val="both"/>
        <w:rPr>
          <w:rFonts w:ascii="Times New Roman" w:hAnsi="Times New Roman"/>
          <w:sz w:val="24"/>
        </w:rPr>
      </w:pPr>
      <w:r>
        <w:rPr>
          <w:rFonts w:ascii="Times New Roman" w:hAnsi="Times New Roman"/>
          <w:sz w:val="24"/>
        </w:rPr>
        <w:t xml:space="preserve">Делается это с помощью центроидного метода. В нашем случае после приведения к четкости мы получили значение </w:t>
      </w:r>
      <m:oMath>
        <m:sSubSup>
          <m:sSubSupPr>
            <m:ctrlPr>
              <w:rPr>
                <w:rFonts w:ascii="Cambria Math" w:hAnsi="Cambria Math"/>
                <w:i/>
                <w:sz w:val="20"/>
              </w:rPr>
            </m:ctrlPr>
          </m:sSubSupPr>
          <m:e>
            <m:r>
              <w:rPr>
                <w:rFonts w:ascii="Cambria Math"/>
                <w:sz w:val="20"/>
              </w:rPr>
              <m:t>G</m:t>
            </m:r>
          </m:e>
          <m:sub>
            <m:r>
              <w:rPr>
                <w:rFonts w:ascii="Cambria Math"/>
                <w:sz w:val="20"/>
              </w:rPr>
              <m:t>1</m:t>
            </m:r>
          </m:sub>
          <m:sup>
            <m:r>
              <w:rPr>
                <w:rFonts w:ascii="Cambria Math"/>
                <w:sz w:val="20"/>
              </w:rPr>
              <m:t>k</m:t>
            </m:r>
          </m:sup>
        </m:sSubSup>
      </m:oMath>
      <w:r>
        <w:rPr>
          <w:rFonts w:ascii="Times New Roman" w:hAnsi="Times New Roman"/>
          <w:sz w:val="24"/>
        </w:rPr>
        <w:t xml:space="preserve"> равное 1,86. Аналогично находится  и </w:t>
      </w:r>
      <m:oMath>
        <m:sSubSup>
          <m:sSubSupPr>
            <m:ctrlPr>
              <w:rPr>
                <w:rFonts w:ascii="Cambria Math" w:hAnsi="Cambria Math"/>
                <w:i/>
                <w:sz w:val="20"/>
              </w:rPr>
            </m:ctrlPr>
          </m:sSubSupPr>
          <m:e>
            <m:r>
              <w:rPr>
                <w:rFonts w:ascii="Cambria Math"/>
                <w:sz w:val="20"/>
              </w:rPr>
              <m:t>G</m:t>
            </m:r>
          </m:e>
          <m:sub>
            <m:r>
              <w:rPr>
                <w:rFonts w:ascii="Cambria Math"/>
                <w:sz w:val="20"/>
              </w:rPr>
              <m:t>2</m:t>
            </m:r>
          </m:sub>
          <m:sup>
            <m:r>
              <w:rPr>
                <w:rFonts w:ascii="Cambria Math"/>
                <w:sz w:val="20"/>
              </w:rPr>
              <m:t>k</m:t>
            </m:r>
          </m:sup>
        </m:sSubSup>
      </m:oMath>
      <w:r>
        <w:rPr>
          <w:rFonts w:ascii="Times New Roman" w:hAnsi="Times New Roman"/>
          <w:sz w:val="24"/>
        </w:rPr>
        <w:t>.</w:t>
      </w:r>
    </w:p>
    <w:p w:rsidR="00517711" w:rsidRDefault="00F815BE">
      <w:pPr>
        <w:spacing w:after="0" w:line="240" w:lineRule="auto"/>
        <w:ind w:firstLine="709"/>
        <w:jc w:val="both"/>
        <w:rPr>
          <w:rFonts w:ascii="Times New Roman" w:hAnsi="Times New Roman"/>
          <w:sz w:val="24"/>
        </w:rPr>
      </w:pPr>
      <w:r>
        <w:rPr>
          <w:rFonts w:ascii="Times New Roman" w:hAnsi="Times New Roman"/>
          <w:sz w:val="24"/>
        </w:rPr>
        <w:lastRenderedPageBreak/>
        <w:t xml:space="preserve">Применим наши значения для определения соответствующей стратегии отношений. Пусть нам даны значения </w:t>
      </w:r>
      <m:oMath>
        <m:sSubSup>
          <m:sSubSupPr>
            <m:ctrlPr>
              <w:rPr>
                <w:rFonts w:ascii="Cambria Math" w:hAnsi="Cambria Math"/>
                <w:i/>
                <w:sz w:val="20"/>
              </w:rPr>
            </m:ctrlPr>
          </m:sSubSupPr>
          <m:e>
            <m:r>
              <w:rPr>
                <w:rFonts w:ascii="Cambria Math"/>
                <w:sz w:val="20"/>
              </w:rPr>
              <m:t>G</m:t>
            </m:r>
          </m:e>
          <m:sub>
            <m:r>
              <w:rPr>
                <w:rFonts w:ascii="Cambria Math"/>
                <w:sz w:val="20"/>
              </w:rPr>
              <m:t>2</m:t>
            </m:r>
          </m:sub>
          <m:sup>
            <m:r>
              <w:rPr>
                <w:rFonts w:ascii="Cambria Math"/>
                <w:sz w:val="20"/>
              </w:rPr>
              <m:t>k</m:t>
            </m:r>
          </m:sup>
        </m:sSubSup>
        <m:r>
          <w:rPr>
            <w:rFonts w:ascii="Cambria Math"/>
            <w:sz w:val="20"/>
          </w:rPr>
          <m:t>=3,5</m:t>
        </m:r>
      </m:oMath>
      <w:r>
        <w:rPr>
          <w:rFonts w:ascii="Times New Roman" w:hAnsi="Times New Roman"/>
          <w:sz w:val="24"/>
        </w:rPr>
        <w:t xml:space="preserve">, </w:t>
      </w:r>
      <m:oMath>
        <m:sSup>
          <m:sSupPr>
            <m:ctrlPr>
              <w:rPr>
                <w:rFonts w:ascii="Cambria Math" w:hAnsi="Cambria Math"/>
                <w:i/>
                <w:sz w:val="20"/>
              </w:rPr>
            </m:ctrlPr>
          </m:sSupPr>
          <m:e>
            <m:r>
              <w:rPr>
                <w:rFonts w:ascii="Cambria Math"/>
                <w:sz w:val="20"/>
              </w:rPr>
              <m:t>V</m:t>
            </m:r>
          </m:e>
          <m:sup>
            <m:r>
              <w:rPr>
                <w:rFonts w:ascii="Cambria Math"/>
                <w:sz w:val="20"/>
              </w:rPr>
              <m:t>k</m:t>
            </m:r>
          </m:sup>
        </m:sSup>
        <m:r>
          <w:rPr>
            <w:rFonts w:ascii="Cambria Math"/>
            <w:sz w:val="20"/>
          </w:rPr>
          <m:t>=2</m:t>
        </m:r>
      </m:oMath>
      <w:r>
        <w:rPr>
          <w:rFonts w:ascii="Times New Roman" w:hAnsi="Times New Roman"/>
          <w:sz w:val="20"/>
        </w:rPr>
        <w:t xml:space="preserve">, </w:t>
      </w:r>
      <w:r>
        <w:rPr>
          <w:rFonts w:ascii="Times New Roman" w:hAnsi="Times New Roman"/>
          <w:sz w:val="24"/>
        </w:rPr>
        <w:t xml:space="preserve">а </w:t>
      </w:r>
      <m:oMath>
        <m:sSubSup>
          <m:sSubSupPr>
            <m:ctrlPr>
              <w:rPr>
                <w:rFonts w:ascii="Cambria Math" w:hAnsi="Cambria Math"/>
                <w:i/>
                <w:sz w:val="20"/>
              </w:rPr>
            </m:ctrlPr>
          </m:sSubSupPr>
          <m:e>
            <m:r>
              <w:rPr>
                <w:rFonts w:ascii="Cambria Math"/>
                <w:sz w:val="20"/>
              </w:rPr>
              <m:t>G</m:t>
            </m:r>
          </m:e>
          <m:sub>
            <m:r>
              <w:rPr>
                <w:rFonts w:ascii="Cambria Math"/>
                <w:sz w:val="20"/>
              </w:rPr>
              <m:t>1</m:t>
            </m:r>
          </m:sub>
          <m:sup>
            <m:r>
              <w:rPr>
                <w:rFonts w:ascii="Cambria Math"/>
                <w:sz w:val="20"/>
              </w:rPr>
              <m:t>k</m:t>
            </m:r>
          </m:sup>
        </m:sSubSup>
      </m:oMath>
      <w:r>
        <w:rPr>
          <w:rFonts w:ascii="Times New Roman" w:hAnsi="Times New Roman"/>
          <w:sz w:val="24"/>
        </w:rPr>
        <w:t xml:space="preserve"> возьмем то значение, которое получили ранее. Подставляем в формулы и получаем соответствующие значения весовых коэффициентов, которые отображают целесообразность применения каждой из стратегий (</w:t>
      </w:r>
      <m:oMath>
        <m:sSub>
          <m:sSubPr>
            <m:ctrlPr>
              <w:rPr>
                <w:rFonts w:ascii="Cambria Math" w:hAnsi="Cambria Math"/>
                <w:i/>
                <w:sz w:val="20"/>
              </w:rPr>
            </m:ctrlPr>
          </m:sSubPr>
          <m:e>
            <m:r>
              <w:rPr>
                <w:rFonts w:ascii="Cambria Math"/>
                <w:sz w:val="20"/>
              </w:rPr>
              <m:t>w</m:t>
            </m:r>
          </m:e>
          <m:sub>
            <m:r>
              <w:rPr>
                <w:rFonts w:ascii="Cambria Math"/>
                <w:sz w:val="20"/>
              </w:rPr>
              <m:t>1</m:t>
            </m:r>
          </m:sub>
        </m:sSub>
        <m:r>
          <w:rPr>
            <w:rFonts w:ascii="Cambria Math"/>
            <w:sz w:val="20"/>
          </w:rPr>
          <m:t>=0,24,</m:t>
        </m:r>
        <m:sSub>
          <m:sSubPr>
            <m:ctrlPr>
              <w:rPr>
                <w:rFonts w:ascii="Cambria Math" w:hAnsi="Cambria Math"/>
                <w:i/>
                <w:sz w:val="20"/>
              </w:rPr>
            </m:ctrlPr>
          </m:sSubPr>
          <m:e>
            <m:r>
              <w:rPr>
                <w:rFonts w:ascii="Cambria Math"/>
                <w:sz w:val="20"/>
              </w:rPr>
              <m:t>w</m:t>
            </m:r>
          </m:e>
          <m:sub>
            <m:r>
              <w:rPr>
                <w:rFonts w:ascii="Cambria Math"/>
                <w:sz w:val="20"/>
              </w:rPr>
              <m:t>2</m:t>
            </m:r>
          </m:sub>
        </m:sSub>
        <m:r>
          <w:rPr>
            <w:rFonts w:ascii="Cambria Math"/>
            <w:sz w:val="20"/>
          </w:rPr>
          <m:t>=0,32</m:t>
        </m:r>
      </m:oMath>
      <w:r>
        <w:rPr>
          <w:rFonts w:ascii="Times New Roman" w:hAnsi="Times New Roman"/>
          <w:sz w:val="20"/>
        </w:rPr>
        <w:t xml:space="preserve">, </w:t>
      </w:r>
      <m:oMath>
        <m:sSub>
          <m:sSubPr>
            <m:ctrlPr>
              <w:rPr>
                <w:rFonts w:ascii="Cambria Math" w:hAnsi="Cambria Math"/>
                <w:i/>
                <w:sz w:val="20"/>
              </w:rPr>
            </m:ctrlPr>
          </m:sSubPr>
          <m:e>
            <m:r>
              <w:rPr>
                <w:rFonts w:ascii="Cambria Math"/>
                <w:sz w:val="20"/>
              </w:rPr>
              <m:t>w</m:t>
            </m:r>
          </m:e>
          <m:sub>
            <m:r>
              <w:rPr>
                <w:rFonts w:ascii="Cambria Math"/>
                <w:sz w:val="20"/>
              </w:rPr>
              <m:t>3</m:t>
            </m:r>
          </m:sub>
        </m:sSub>
        <m:r>
          <w:rPr>
            <w:rFonts w:ascii="Cambria Math"/>
            <w:sz w:val="20"/>
          </w:rPr>
          <m:t xml:space="preserve">=0,53,  </m:t>
        </m:r>
        <m:sSub>
          <m:sSubPr>
            <m:ctrlPr>
              <w:rPr>
                <w:rFonts w:ascii="Cambria Math" w:hAnsi="Cambria Math"/>
                <w:i/>
                <w:sz w:val="20"/>
              </w:rPr>
            </m:ctrlPr>
          </m:sSubPr>
          <m:e>
            <m:r>
              <w:rPr>
                <w:rFonts w:ascii="Cambria Math"/>
                <w:sz w:val="20"/>
              </w:rPr>
              <m:t>w</m:t>
            </m:r>
          </m:e>
          <m:sub>
            <m:r>
              <w:rPr>
                <w:rFonts w:ascii="Cambria Math"/>
                <w:sz w:val="20"/>
              </w:rPr>
              <m:t>4</m:t>
            </m:r>
          </m:sub>
        </m:sSub>
        <m:r>
          <w:rPr>
            <w:rFonts w:ascii="Cambria Math"/>
            <w:sz w:val="20"/>
          </w:rPr>
          <m:t xml:space="preserve">=0,71, </m:t>
        </m:r>
        <m:sSub>
          <m:sSubPr>
            <m:ctrlPr>
              <w:rPr>
                <w:rFonts w:ascii="Cambria Math" w:hAnsi="Cambria Math"/>
                <w:i/>
                <w:sz w:val="20"/>
              </w:rPr>
            </m:ctrlPr>
          </m:sSubPr>
          <m:e>
            <m:r>
              <w:rPr>
                <w:rFonts w:ascii="Cambria Math"/>
                <w:sz w:val="20"/>
              </w:rPr>
              <m:t xml:space="preserve"> w</m:t>
            </m:r>
          </m:e>
          <m:sub>
            <m:r>
              <w:rPr>
                <w:rFonts w:ascii="Cambria Math"/>
                <w:sz w:val="20"/>
              </w:rPr>
              <m:t>5</m:t>
            </m:r>
          </m:sub>
        </m:sSub>
        <m:r>
          <w:rPr>
            <w:rFonts w:ascii="Cambria Math"/>
            <w:sz w:val="20"/>
          </w:rPr>
          <m:t>=0,7</m:t>
        </m:r>
      </m:oMath>
      <w:r>
        <w:rPr>
          <w:rFonts w:ascii="Times New Roman" w:hAnsi="Times New Roman"/>
          <w:iCs/>
          <w:sz w:val="20"/>
        </w:rPr>
        <w:t>)</w:t>
      </w:r>
      <w:r>
        <w:rPr>
          <w:rFonts w:ascii="Times New Roman" w:hAnsi="Times New Roman"/>
          <w:sz w:val="24"/>
        </w:rPr>
        <w:t xml:space="preserve">. В данном случае стратегия сдержанности выглядит наиболее подходящей, чем остальные. </w:t>
      </w:r>
    </w:p>
    <w:p w:rsidR="00517711" w:rsidRDefault="00F815BE">
      <w:pPr>
        <w:spacing w:after="0" w:line="240" w:lineRule="auto"/>
        <w:ind w:firstLine="709"/>
        <w:jc w:val="both"/>
        <w:rPr>
          <w:rFonts w:ascii="Times New Roman" w:hAnsi="Times New Roman"/>
          <w:sz w:val="24"/>
        </w:rPr>
      </w:pPr>
      <w:r>
        <w:rPr>
          <w:rFonts w:ascii="Times New Roman" w:hAnsi="Times New Roman"/>
          <w:sz w:val="24"/>
        </w:rPr>
        <w:t>Таким образом, в исследовании на конкретном примере было показано, как нечеткие методы логического вывода могут быть использованы при выборе соответствующей стратегии отношений со стейкхолдерами и упрощении нахождения функциональных зависимостей между характеристиками отношений.</w:t>
      </w:r>
    </w:p>
    <w:p w:rsidR="00517711" w:rsidRDefault="00517711">
      <w:pPr>
        <w:pBdr>
          <w:bottom w:val="single" w:sz="4" w:space="1" w:color="000000"/>
        </w:pBdr>
        <w:spacing w:line="240" w:lineRule="auto"/>
        <w:ind w:firstLine="709"/>
        <w:jc w:val="both"/>
        <w:rPr>
          <w:rFonts w:ascii="Times New Roman" w:hAnsi="Times New Roman"/>
          <w:sz w:val="24"/>
        </w:rPr>
      </w:pPr>
    </w:p>
    <w:p w:rsidR="00517711" w:rsidRDefault="00F815BE">
      <w:pPr>
        <w:spacing w:after="0" w:line="240" w:lineRule="auto"/>
        <w:ind w:firstLine="709"/>
        <w:jc w:val="both"/>
        <w:rPr>
          <w:rFonts w:ascii="Times New Roman" w:hAnsi="Times New Roman"/>
          <w:sz w:val="24"/>
        </w:rPr>
      </w:pPr>
      <w:r>
        <w:rPr>
          <w:rFonts w:ascii="Times New Roman" w:hAnsi="Times New Roman"/>
          <w:sz w:val="24"/>
        </w:rPr>
        <w:t xml:space="preserve">1. Алгоритм Мамдани в системах нечеткого вывода [Электронный ресурс]. – Режим доступа:  </w:t>
      </w:r>
      <w:r>
        <w:t xml:space="preserve"> HYPERLINK "https://habr.com/post/113020/" </w:t>
      </w:r>
      <w:r>
        <w:rPr>
          <w:rFonts w:ascii="Times New Roman" w:hAnsi="Times New Roman"/>
          <w:sz w:val="24"/>
        </w:rPr>
        <w:t>.</w:t>
      </w:r>
    </w:p>
    <w:p w:rsidR="00517711" w:rsidRPr="00BD6187" w:rsidRDefault="00F815BE">
      <w:pPr>
        <w:pStyle w:val="afff0"/>
        <w:ind w:firstLine="709"/>
        <w:rPr>
          <w:sz w:val="24"/>
          <w:szCs w:val="24"/>
          <w:lang w:val="ru-RU"/>
        </w:rPr>
      </w:pPr>
      <w:r w:rsidRPr="00BD6187">
        <w:rPr>
          <w:sz w:val="24"/>
          <w:szCs w:val="24"/>
          <w:lang w:val="ru-RU"/>
        </w:rPr>
        <w:t>2. Гресько А.А. Выбор стратегий взаимодействия организации со стейкхолдерами с учетом возможных сценариев взаимодействия стейкхолдеров между собой // Научное обозрение. Сер.1: Экономика и право. – 2012. – № 5. – С. 84-100.</w:t>
      </w:r>
    </w:p>
    <w:p w:rsidR="00517711" w:rsidRPr="00BD6187" w:rsidRDefault="00F815BE">
      <w:pPr>
        <w:pStyle w:val="afff0"/>
        <w:ind w:firstLine="709"/>
        <w:rPr>
          <w:sz w:val="24"/>
          <w:szCs w:val="24"/>
          <w:lang w:val="ru-RU"/>
        </w:rPr>
      </w:pPr>
      <w:r w:rsidRPr="00BD6187">
        <w:rPr>
          <w:sz w:val="24"/>
          <w:szCs w:val="24"/>
          <w:lang w:val="ru-RU"/>
        </w:rPr>
        <w:t>3. Гресько А.А., Солодухин К.С. Использование смешанных стратегий как способ уменьшения риска при взаимодействии вуза с группами стейкхолдеров // Современные проблемы науки и образования. – 2014. – №6. – С. 540.</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rPr>
        <w:t xml:space="preserve">4. </w:t>
      </w:r>
      <w:r>
        <w:rPr>
          <w:rFonts w:ascii="Times New Roman" w:hAnsi="Times New Roman"/>
          <w:sz w:val="24"/>
          <w:szCs w:val="24"/>
        </w:rPr>
        <w:t>Гресько А.А., Солодухин К.С. Модели и методы выбора стратегий взаимодействия вуза с группами заинтересованных сторон в условиях неопределенности. – Владивосток: Изд-во ВГУЭС, 2014. –176 с.</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t>5. Гресько А.А., Солодухин К.С. Многопериодные модели выбора стратегий взаимодействия вуза со стейкхолдерами в условиях риска // Университетское управление: практика и анализ. – 2014. – №4-5. – С. 36–43.</w:t>
      </w:r>
    </w:p>
    <w:p w:rsidR="00517711" w:rsidRPr="00BD6187" w:rsidRDefault="00F815BE">
      <w:pPr>
        <w:pStyle w:val="afff0"/>
        <w:ind w:firstLine="709"/>
        <w:rPr>
          <w:color w:val="000000"/>
          <w:sz w:val="24"/>
          <w:szCs w:val="24"/>
          <w:lang w:val="ru-RU"/>
        </w:rPr>
      </w:pPr>
      <w:r w:rsidRPr="00BD6187">
        <w:rPr>
          <w:sz w:val="24"/>
          <w:szCs w:val="24"/>
          <w:lang w:val="ru-RU"/>
        </w:rPr>
        <w:t>6. Гресько А.А., Солодухин К.С., Чен А.Я. Многопериодная модель ресурсного взаимодействия заинтересованных сторон вуза // Азимут научных исследований: экономика и управление. – 2016. – Т. 5, №2 (15). – С. 77-81.</w:t>
      </w:r>
    </w:p>
    <w:p w:rsidR="00517711" w:rsidRDefault="00F815BE">
      <w:pPr>
        <w:spacing w:after="0" w:line="240" w:lineRule="auto"/>
        <w:ind w:firstLine="709"/>
        <w:jc w:val="both"/>
      </w:pPr>
      <w:r>
        <w:rPr>
          <w:rFonts w:ascii="Times New Roman" w:hAnsi="Times New Roman"/>
          <w:sz w:val="24"/>
        </w:rPr>
        <w:t xml:space="preserve">7. Нечеткие выводы [Электронный ресурс]. – Режим доступа:  </w:t>
      </w:r>
      <w:r>
        <w:t xml:space="preserve"> HYPERLINK "http://neuronus.com/fl/45-theory/310-nechetkie-vyvody.html" .</w:t>
      </w:r>
    </w:p>
    <w:p w:rsidR="00517711" w:rsidRDefault="00F815BE">
      <w:pPr>
        <w:spacing w:after="0" w:line="240" w:lineRule="auto"/>
        <w:ind w:firstLine="709"/>
        <w:jc w:val="both"/>
        <w:rPr>
          <w:rFonts w:ascii="Times New Roman" w:hAnsi="Times New Roman"/>
          <w:sz w:val="24"/>
        </w:rPr>
      </w:pPr>
      <w:r>
        <w:rPr>
          <w:rFonts w:ascii="Times New Roman" w:hAnsi="Times New Roman"/>
          <w:sz w:val="24"/>
          <w:szCs w:val="24"/>
          <w:lang w:val="en-US"/>
        </w:rPr>
        <w:t xml:space="preserve">8. Solodukhin K. S., Gresko A. A. Using expected utility criterion for choosing strategies of interaction of university with stakeholders // World Applied Sciences Journal. </w:t>
      </w:r>
      <w:r>
        <w:rPr>
          <w:rFonts w:ascii="Times New Roman" w:hAnsi="Times New Roman"/>
          <w:sz w:val="24"/>
          <w:szCs w:val="24"/>
        </w:rPr>
        <w:t xml:space="preserve">2013. </w:t>
      </w:r>
      <w:r>
        <w:rPr>
          <w:rFonts w:ascii="Times New Roman" w:hAnsi="Times New Roman"/>
          <w:sz w:val="24"/>
          <w:szCs w:val="24"/>
          <w:lang w:val="en-US"/>
        </w:rPr>
        <w:t>Vol</w:t>
      </w:r>
      <w:r>
        <w:rPr>
          <w:rFonts w:ascii="Times New Roman" w:hAnsi="Times New Roman"/>
          <w:sz w:val="24"/>
          <w:szCs w:val="24"/>
        </w:rPr>
        <w:t xml:space="preserve">. 27. № 7. </w:t>
      </w:r>
      <w:r>
        <w:rPr>
          <w:rFonts w:ascii="Times New Roman" w:hAnsi="Times New Roman"/>
          <w:sz w:val="24"/>
          <w:szCs w:val="24"/>
          <w:lang w:val="en-US"/>
        </w:rPr>
        <w:t>P</w:t>
      </w:r>
      <w:r>
        <w:rPr>
          <w:rFonts w:ascii="Times New Roman" w:hAnsi="Times New Roman"/>
          <w:sz w:val="24"/>
          <w:szCs w:val="24"/>
        </w:rPr>
        <w:t>. 840–844.</w:t>
      </w: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F815BE">
      <w:pPr>
        <w:spacing w:line="240" w:lineRule="auto"/>
        <w:rPr>
          <w:sz w:val="24"/>
          <w:szCs w:val="24"/>
          <w:lang w:eastAsia="zh-CN"/>
        </w:rPr>
      </w:pPr>
      <w:r>
        <w:rPr>
          <w:sz w:val="24"/>
          <w:szCs w:val="24"/>
          <w:lang w:eastAsia="zh-CN"/>
        </w:rPr>
        <w:t>Рубрика: Региональная экономика</w:t>
      </w:r>
    </w:p>
    <w:p w:rsidR="00517711" w:rsidRDefault="00F815BE">
      <w:pPr>
        <w:spacing w:after="240" w:line="240" w:lineRule="auto"/>
        <w:rPr>
          <w:sz w:val="24"/>
          <w:szCs w:val="24"/>
          <w:lang w:eastAsia="zh-CN"/>
        </w:rPr>
      </w:pPr>
      <w:r>
        <w:rPr>
          <w:sz w:val="24"/>
          <w:szCs w:val="24"/>
          <w:lang w:eastAsia="zh-CN"/>
        </w:rPr>
        <w:t>УДК: 332.1</w:t>
      </w:r>
    </w:p>
    <w:p w:rsidR="00517711" w:rsidRDefault="00F815BE">
      <w:pPr>
        <w:pStyle w:val="2"/>
        <w:spacing w:line="240" w:lineRule="auto"/>
        <w:rPr>
          <w:sz w:val="24"/>
          <w:szCs w:val="24"/>
          <w:lang w:eastAsia="zh-CN"/>
        </w:rPr>
      </w:pPr>
      <w:r>
        <w:rPr>
          <w:sz w:val="24"/>
          <w:szCs w:val="24"/>
          <w:lang w:eastAsia="zh-CN"/>
        </w:rPr>
        <w:lastRenderedPageBreak/>
        <w:t>Трансформация подходов к государственному регулированию совместного российско-китайского предпринимательства в приграничных регионах</w:t>
      </w:r>
    </w:p>
    <w:p w:rsidR="00517711" w:rsidRDefault="00F815BE">
      <w:pPr>
        <w:spacing w:after="0" w:line="240" w:lineRule="auto"/>
        <w:jc w:val="center"/>
        <w:rPr>
          <w:color w:val="FF0000"/>
          <w:sz w:val="24"/>
          <w:szCs w:val="24"/>
        </w:rPr>
      </w:pPr>
      <w:bookmarkStart w:id="24" w:name="_Hlk480273759"/>
      <w:r>
        <w:rPr>
          <w:sz w:val="24"/>
          <w:szCs w:val="24"/>
        </w:rPr>
        <w:t xml:space="preserve"> Ли Мэйхуа</w:t>
      </w:r>
      <w:r>
        <w:rPr>
          <w:lang w:eastAsia="zh-CN"/>
        </w:rPr>
        <w:t xml:space="preserve"> </w:t>
      </w:r>
    </w:p>
    <w:p w:rsidR="00517711" w:rsidRDefault="00F815BE">
      <w:pPr>
        <w:spacing w:after="0" w:line="240" w:lineRule="auto"/>
        <w:jc w:val="center"/>
        <w:rPr>
          <w:sz w:val="24"/>
          <w:szCs w:val="24"/>
        </w:rPr>
      </w:pPr>
      <w:r>
        <w:rPr>
          <w:sz w:val="24"/>
          <w:szCs w:val="24"/>
        </w:rPr>
        <w:t>аспирант 2 курса, кафедра экономики</w:t>
      </w:r>
    </w:p>
    <w:p w:rsidR="00517711" w:rsidRDefault="00F815BE">
      <w:pPr>
        <w:spacing w:after="0" w:line="240" w:lineRule="auto"/>
        <w:jc w:val="center"/>
        <w:rPr>
          <w:i/>
          <w:iCs/>
          <w:sz w:val="24"/>
          <w:szCs w:val="24"/>
        </w:rPr>
      </w:pPr>
      <w:bookmarkStart w:id="25" w:name="_Hlk480915459"/>
      <w:r>
        <w:rPr>
          <w:i/>
          <w:iCs/>
          <w:sz w:val="24"/>
          <w:szCs w:val="24"/>
        </w:rPr>
        <w:t>Владивостокский государственный университет экономики и сервиса</w:t>
      </w:r>
    </w:p>
    <w:p w:rsidR="00517711" w:rsidRDefault="00F815BE">
      <w:pPr>
        <w:spacing w:after="0" w:line="240" w:lineRule="auto"/>
        <w:jc w:val="center"/>
        <w:rPr>
          <w:i/>
          <w:iCs/>
          <w:sz w:val="24"/>
          <w:szCs w:val="24"/>
        </w:rPr>
      </w:pPr>
      <w:r>
        <w:rPr>
          <w:i/>
          <w:iCs/>
          <w:sz w:val="24"/>
          <w:szCs w:val="24"/>
        </w:rPr>
        <w:t>Россия. Владивосток</w:t>
      </w:r>
      <w:bookmarkEnd w:id="25"/>
    </w:p>
    <w:p w:rsidR="00517711" w:rsidRDefault="00F815BE">
      <w:pPr>
        <w:spacing w:after="0" w:line="240" w:lineRule="auto"/>
        <w:jc w:val="center"/>
        <w:rPr>
          <w:sz w:val="24"/>
          <w:szCs w:val="24"/>
          <w:lang w:eastAsia="zh-CN"/>
        </w:rPr>
      </w:pPr>
      <w:r>
        <w:rPr>
          <w:sz w:val="24"/>
          <w:szCs w:val="24"/>
          <w:lang w:val="en-US"/>
        </w:rPr>
        <w:t>e</w:t>
      </w:r>
      <w:r>
        <w:rPr>
          <w:sz w:val="24"/>
          <w:szCs w:val="24"/>
        </w:rPr>
        <w:t>-</w:t>
      </w:r>
      <w:r>
        <w:rPr>
          <w:sz w:val="24"/>
          <w:szCs w:val="24"/>
          <w:lang w:val="en-US"/>
        </w:rPr>
        <w:t>mail</w:t>
      </w:r>
      <w:r>
        <w:rPr>
          <w:sz w:val="24"/>
          <w:szCs w:val="24"/>
        </w:rPr>
        <w:t>:</w:t>
      </w:r>
      <w:r>
        <w:rPr>
          <w:sz w:val="24"/>
          <w:szCs w:val="24"/>
          <w:lang w:val="en-US" w:eastAsia="zh-CN"/>
        </w:rPr>
        <w:t>nina</w:t>
      </w:r>
      <w:r>
        <w:rPr>
          <w:sz w:val="24"/>
          <w:szCs w:val="24"/>
          <w:lang w:eastAsia="zh-CN"/>
        </w:rPr>
        <w:t>.</w:t>
      </w:r>
      <w:r>
        <w:rPr>
          <w:sz w:val="24"/>
          <w:szCs w:val="24"/>
          <w:lang w:val="en-US" w:eastAsia="zh-CN"/>
        </w:rPr>
        <w:t>li</w:t>
      </w:r>
      <w:r>
        <w:rPr>
          <w:sz w:val="24"/>
          <w:szCs w:val="24"/>
          <w:lang w:eastAsia="zh-CN"/>
        </w:rPr>
        <w:t>.69@</w:t>
      </w:r>
      <w:r>
        <w:rPr>
          <w:sz w:val="24"/>
          <w:szCs w:val="24"/>
          <w:lang w:val="en-US" w:eastAsia="zh-CN"/>
        </w:rPr>
        <w:t>hotmai</w:t>
      </w:r>
      <w:r>
        <w:rPr>
          <w:sz w:val="24"/>
          <w:szCs w:val="24"/>
          <w:lang w:eastAsia="zh-CN"/>
        </w:rPr>
        <w:t>.</w:t>
      </w:r>
      <w:r>
        <w:rPr>
          <w:sz w:val="24"/>
          <w:szCs w:val="24"/>
          <w:lang w:val="en-US" w:eastAsia="zh-CN"/>
        </w:rPr>
        <w:t>com</w:t>
      </w:r>
      <w:r>
        <w:rPr>
          <w:sz w:val="24"/>
          <w:szCs w:val="24"/>
        </w:rPr>
        <w:t>; тел.: +7</w:t>
      </w:r>
      <w:r>
        <w:rPr>
          <w:sz w:val="24"/>
          <w:szCs w:val="24"/>
          <w:lang w:eastAsia="zh-CN"/>
        </w:rPr>
        <w:t>9143342697</w:t>
      </w:r>
    </w:p>
    <w:p w:rsidR="00517711" w:rsidRDefault="00F815BE">
      <w:pPr>
        <w:spacing w:after="0" w:line="240" w:lineRule="auto"/>
        <w:jc w:val="center"/>
        <w:rPr>
          <w:sz w:val="24"/>
          <w:szCs w:val="24"/>
        </w:rPr>
      </w:pPr>
      <w:r>
        <w:rPr>
          <w:sz w:val="24"/>
          <w:szCs w:val="24"/>
        </w:rPr>
        <w:t>ул. Гоголя, 41, г. Владивосток, Приморский край, Россия, 690014</w:t>
      </w:r>
    </w:p>
    <w:p w:rsidR="00517711" w:rsidRDefault="00517711">
      <w:pPr>
        <w:spacing w:after="0" w:line="240" w:lineRule="auto"/>
        <w:jc w:val="center"/>
        <w:rPr>
          <w:sz w:val="24"/>
          <w:szCs w:val="24"/>
        </w:rPr>
      </w:pPr>
    </w:p>
    <w:p w:rsidR="00517711" w:rsidRDefault="00F815BE">
      <w:pPr>
        <w:spacing w:after="0" w:line="240" w:lineRule="auto"/>
        <w:jc w:val="center"/>
        <w:outlineLvl w:val="2"/>
        <w:rPr>
          <w:sz w:val="24"/>
          <w:szCs w:val="24"/>
          <w:lang w:eastAsia="ru-RU"/>
        </w:rPr>
      </w:pPr>
      <w:r>
        <w:rPr>
          <w:sz w:val="24"/>
          <w:szCs w:val="24"/>
          <w:lang w:eastAsia="ru-RU"/>
        </w:rPr>
        <w:t xml:space="preserve">Научный руководитель – докт.экон. наук, профессор А.П. Латкин </w:t>
      </w:r>
    </w:p>
    <w:p w:rsidR="00517711" w:rsidRDefault="00F815BE">
      <w:pPr>
        <w:spacing w:after="0" w:line="240" w:lineRule="auto"/>
        <w:jc w:val="center"/>
        <w:rPr>
          <w:sz w:val="24"/>
          <w:szCs w:val="24"/>
          <w:lang w:eastAsia="ru-RU"/>
        </w:rPr>
      </w:pPr>
      <w:r>
        <w:rPr>
          <w:sz w:val="24"/>
          <w:szCs w:val="24"/>
          <w:lang w:val="en-US" w:eastAsia="ru-RU"/>
        </w:rPr>
        <w:t>E</w:t>
      </w:r>
      <w:r>
        <w:rPr>
          <w:sz w:val="24"/>
          <w:szCs w:val="24"/>
          <w:lang w:eastAsia="ru-RU"/>
        </w:rPr>
        <w:t>-</w:t>
      </w:r>
      <w:r>
        <w:rPr>
          <w:sz w:val="24"/>
          <w:szCs w:val="24"/>
          <w:lang w:val="en-US" w:eastAsia="ru-RU"/>
        </w:rPr>
        <w:t>mail</w:t>
      </w:r>
      <w:r>
        <w:rPr>
          <w:sz w:val="24"/>
          <w:szCs w:val="24"/>
          <w:lang w:eastAsia="ru-RU"/>
        </w:rPr>
        <w:t>:</w:t>
      </w:r>
      <w:r>
        <w:rPr>
          <w:sz w:val="24"/>
          <w:szCs w:val="24"/>
          <w:lang w:val="en-US" w:eastAsia="zh-CN"/>
        </w:rPr>
        <w:t>Aleksandr</w:t>
      </w:r>
      <w:r>
        <w:rPr>
          <w:sz w:val="24"/>
          <w:szCs w:val="24"/>
          <w:lang w:eastAsia="zh-CN"/>
        </w:rPr>
        <w:t>.</w:t>
      </w:r>
      <w:r>
        <w:rPr>
          <w:sz w:val="24"/>
          <w:szCs w:val="24"/>
          <w:lang w:val="en-US" w:eastAsia="zh-CN"/>
        </w:rPr>
        <w:t>LatkinP</w:t>
      </w:r>
      <w:r>
        <w:rPr>
          <w:sz w:val="24"/>
          <w:szCs w:val="24"/>
          <w:lang w:eastAsia="ru-RU"/>
        </w:rPr>
        <w:t>@</w:t>
      </w:r>
      <w:r>
        <w:rPr>
          <w:sz w:val="24"/>
          <w:szCs w:val="24"/>
          <w:lang w:val="en-US" w:eastAsia="zh-CN"/>
        </w:rPr>
        <w:t>vvsu</w:t>
      </w:r>
      <w:r>
        <w:rPr>
          <w:sz w:val="24"/>
          <w:szCs w:val="24"/>
          <w:lang w:eastAsia="ru-RU"/>
        </w:rPr>
        <w:t>.</w:t>
      </w:r>
      <w:r>
        <w:rPr>
          <w:sz w:val="24"/>
          <w:szCs w:val="24"/>
          <w:lang w:val="en-US" w:eastAsia="ru-RU"/>
        </w:rPr>
        <w:t>ru</w:t>
      </w:r>
      <w:bookmarkEnd w:id="24"/>
    </w:p>
    <w:p w:rsidR="00517711" w:rsidRDefault="00517711">
      <w:pPr>
        <w:spacing w:after="0" w:line="240" w:lineRule="auto"/>
        <w:rPr>
          <w:sz w:val="24"/>
          <w:szCs w:val="24"/>
        </w:rPr>
      </w:pPr>
    </w:p>
    <w:p w:rsidR="00517711" w:rsidRDefault="00F815BE">
      <w:pPr>
        <w:spacing w:line="240" w:lineRule="auto"/>
        <w:rPr>
          <w:i/>
          <w:iCs/>
          <w:sz w:val="24"/>
          <w:szCs w:val="24"/>
        </w:rPr>
      </w:pPr>
      <w:bookmarkStart w:id="26" w:name="_Hlk510119900"/>
      <w:r>
        <w:rPr>
          <w:i/>
          <w:iCs/>
          <w:sz w:val="24"/>
          <w:szCs w:val="24"/>
        </w:rPr>
        <w:t>Одной из ключевых тенденций международного сотрудничества является поворот России на Восток. Этот вектор создает России большие возможности для сотрудничества с Китаем, особенно в экономической сфере. Особую значимость в этих условиях обретает приграничное сотрудничество и совместное предпринимательство.</w:t>
      </w:r>
      <w:bookmarkEnd w:id="26"/>
      <w:r>
        <w:rPr>
          <w:i/>
          <w:iCs/>
          <w:sz w:val="24"/>
          <w:szCs w:val="24"/>
        </w:rPr>
        <w:t xml:space="preserve"> Рассматриваются два новых подхода, способствующих развитию приграничных отношений Китая и России с поддержкой на законодательном уровне.</w:t>
      </w:r>
    </w:p>
    <w:p w:rsidR="00517711" w:rsidRDefault="00F815BE">
      <w:pPr>
        <w:spacing w:line="240" w:lineRule="auto"/>
        <w:rPr>
          <w:i/>
          <w:iCs/>
          <w:sz w:val="24"/>
          <w:szCs w:val="24"/>
        </w:rPr>
      </w:pPr>
      <w:r>
        <w:rPr>
          <w:b/>
          <w:bCs/>
          <w:i/>
          <w:iCs/>
          <w:sz w:val="24"/>
          <w:szCs w:val="24"/>
        </w:rPr>
        <w:t>Ключевые слова и словосочетания:</w:t>
      </w:r>
      <w:r>
        <w:rPr>
          <w:i/>
          <w:iCs/>
          <w:sz w:val="24"/>
          <w:szCs w:val="24"/>
        </w:rPr>
        <w:t xml:space="preserve"> </w:t>
      </w:r>
      <w:bookmarkStart w:id="27" w:name="_Hlk478291177"/>
      <w:bookmarkStart w:id="28" w:name="_Hlk510119989"/>
      <w:r>
        <w:rPr>
          <w:i/>
          <w:iCs/>
          <w:sz w:val="24"/>
          <w:szCs w:val="24"/>
        </w:rPr>
        <w:t>российско-китайское предпринимательство, экономическая стратегия, приграничное сотрудничество</w:t>
      </w:r>
      <w:bookmarkEnd w:id="27"/>
      <w:r>
        <w:rPr>
          <w:i/>
          <w:iCs/>
          <w:sz w:val="24"/>
          <w:szCs w:val="24"/>
        </w:rPr>
        <w:t>, развитие</w:t>
      </w:r>
      <w:bookmarkEnd w:id="28"/>
      <w:r>
        <w:rPr>
          <w:i/>
          <w:iCs/>
          <w:sz w:val="24"/>
          <w:szCs w:val="24"/>
        </w:rPr>
        <w:t xml:space="preserve"> Дальнего Востока.</w:t>
      </w:r>
    </w:p>
    <w:p w:rsidR="00517711" w:rsidRDefault="00F815BE">
      <w:pPr>
        <w:spacing w:before="240" w:after="120" w:line="240" w:lineRule="auto"/>
        <w:jc w:val="center"/>
        <w:rPr>
          <w:b/>
          <w:bCs/>
          <w:sz w:val="24"/>
          <w:szCs w:val="24"/>
          <w:lang w:val="en-US"/>
        </w:rPr>
      </w:pPr>
      <w:r>
        <w:rPr>
          <w:b/>
          <w:bCs/>
          <w:sz w:val="24"/>
          <w:szCs w:val="24"/>
          <w:lang w:val="en-US"/>
        </w:rPr>
        <w:t>Transformation of approaches to state regulation of joint Russian-Chinese entrepreneurship in border regions</w:t>
      </w:r>
    </w:p>
    <w:p w:rsidR="00517711" w:rsidRDefault="00F815BE">
      <w:pPr>
        <w:spacing w:line="240" w:lineRule="auto"/>
        <w:rPr>
          <w:i/>
          <w:iCs/>
          <w:sz w:val="24"/>
          <w:szCs w:val="24"/>
          <w:lang w:val="en-US"/>
        </w:rPr>
      </w:pPr>
      <w:r>
        <w:rPr>
          <w:i/>
          <w:iCs/>
          <w:sz w:val="24"/>
          <w:szCs w:val="24"/>
          <w:lang w:val="en-US"/>
        </w:rPr>
        <w:t>One of the key trends in international cooperation is Russia's turn to the East. This approach of Russia creates great opportunities for cooperation with China, especially in the economic sphere. Cross-border cooperation and joint entrepreneurship are of particular importance in these conditions. Two new approaches promoting the development of cross-border relations between China and Russia with support at the legislative level are considered.</w:t>
      </w:r>
    </w:p>
    <w:p w:rsidR="00517711" w:rsidRDefault="00F815BE">
      <w:pPr>
        <w:pStyle w:val="afff1"/>
        <w:ind w:firstLine="0"/>
        <w:jc w:val="center"/>
        <w:rPr>
          <w:i/>
          <w:iCs/>
          <w:lang w:val="en-US"/>
        </w:rPr>
      </w:pPr>
      <w:r>
        <w:rPr>
          <w:b/>
          <w:bCs/>
          <w:i/>
          <w:iCs/>
          <w:lang w:val="en-US"/>
        </w:rPr>
        <w:t>Keywords:</w:t>
      </w:r>
      <w:r>
        <w:rPr>
          <w:i/>
          <w:iCs/>
          <w:lang w:val="en-US"/>
        </w:rPr>
        <w:t xml:space="preserve"> Russian-Chinese business, economic strategy, cross-border cooperation, the development of the Far East.</w:t>
      </w:r>
    </w:p>
    <w:p w:rsidR="00517711" w:rsidRDefault="00F815BE">
      <w:pPr>
        <w:pStyle w:val="afff1"/>
        <w:spacing w:after="0"/>
      </w:pPr>
      <w:r>
        <w:rPr>
          <w:i/>
          <w:iCs/>
          <w:lang w:val="en-US"/>
        </w:rPr>
        <w:t xml:space="preserve"> </w:t>
      </w:r>
      <w:r>
        <w:t>Исследование новой стратегии экономического развития России указывает, что ее вектор сместился: теперь «Евразия» используется как ярлык для самоидентификации России. В этом смысле, поворот России на Восток стал стратегическим стержнем трансформации российской государственной политики. Есть много сомнений в том, сможет ли Россия успешно реализовать эту стратегию из-за ее политических, экономических и культурных приоритетов. Эти обстоятельства делают целесообразным изучение внутренних и международных факторов и их влияние на китайско-российские отношения</w:t>
      </w:r>
      <w:r>
        <w:rPr>
          <w:lang w:eastAsia="zh-CN"/>
        </w:rPr>
        <w:t xml:space="preserve"> [1, </w:t>
      </w:r>
      <w:r>
        <w:rPr>
          <w:lang w:val="en-US" w:eastAsia="zh-CN"/>
        </w:rPr>
        <w:t>c</w:t>
      </w:r>
      <w:r>
        <w:rPr>
          <w:lang w:eastAsia="zh-CN"/>
        </w:rPr>
        <w:t>. 110]</w:t>
      </w:r>
      <w:r>
        <w:t>.</w:t>
      </w:r>
    </w:p>
    <w:p w:rsidR="00517711" w:rsidRDefault="00F815BE">
      <w:pPr>
        <w:pStyle w:val="afff1"/>
        <w:spacing w:after="0"/>
      </w:pPr>
      <w:r>
        <w:t xml:space="preserve">Обращение России к Востоку на государственном уровне приравнивается к укреплению ее фундаментального сотрудничества с незападными странами, сохраняя при этом свою традиционную идентичность как часть европейской или западной цивилизации. Основное значение переориентации на Восток - укрепление отношений между Россией и незападными странами. На внутреннем уровне его коммерческий контент включает в себя развитие российского Дальнего Востока и Сибири с уделением особого внимания использованию огромного ресурсного богатства региона. </w:t>
      </w:r>
    </w:p>
    <w:p w:rsidR="00517711" w:rsidRDefault="00F815BE">
      <w:pPr>
        <w:pStyle w:val="afff1"/>
        <w:spacing w:after="0"/>
      </w:pPr>
      <w:r>
        <w:t xml:space="preserve">После 2014 года стало понятно, что экономический спад России может усилиться перед лицом западных санкций. Эта ситуация побудила Россию к сотрудничеству со странами Азии, чтобы укрепить международное положение России и компенсировать ущерб, нанесенный западными санкциями. В контексте санкций и экономического кризиса были получены немедленные результаты </w:t>
      </w:r>
      <w:r>
        <w:lastRenderedPageBreak/>
        <w:t>и приток средств с Востока. Это было достигнуто путем попыток ускорить выход российской энергетики на азиатский рынок, в том числе и с другими инициативами. Однако перестройка всей экономической и торговой структуры - непростая задача. Это долгий и бурный процесс. Политические действия не будут заменять законы торговли в одночасье</w:t>
      </w:r>
      <w:r>
        <w:rPr>
          <w:lang w:eastAsia="zh-CN"/>
        </w:rPr>
        <w:t xml:space="preserve"> [4]</w:t>
      </w:r>
      <w:r>
        <w:t xml:space="preserve">. </w:t>
      </w:r>
    </w:p>
    <w:p w:rsidR="00517711" w:rsidRDefault="00F815BE">
      <w:pPr>
        <w:pStyle w:val="afff1"/>
        <w:spacing w:after="0"/>
      </w:pPr>
      <w:r>
        <w:t xml:space="preserve">Таким образом, хотя современный вектор на восток более серьезный по содержанию и характеру, чем в прошлых аналогичных инициативах, потребуются десятилетия для его реализации даже при значительном объеме планирования, инвестирования и государственной поддержки. </w:t>
      </w:r>
    </w:p>
    <w:p w:rsidR="00517711" w:rsidRDefault="00F815BE">
      <w:pPr>
        <w:pStyle w:val="afff1"/>
        <w:spacing w:after="0"/>
      </w:pPr>
      <w:r>
        <w:t>Следует отметить, что поворот России на Восток создает больше возможностей для сотрудничества с Китаем, особенно в экономической сфере. Но оно будет основываться на реальных потребностях и интересах двух стран. В качестве ключевых признаков успеха традиционно определяются продвижение единой системы ценностей, поддержание сообщества безопасности и развитие стабильного регионального и международного порядка. В отношениях между Китаем и Россией существует такая же логика. Одним из ключевых факторов является сходство типов режима</w:t>
      </w:r>
      <w:r>
        <w:rPr>
          <w:lang w:eastAsia="zh-CN"/>
        </w:rPr>
        <w:t xml:space="preserve"> [4]</w:t>
      </w:r>
      <w:r>
        <w:t xml:space="preserve">. </w:t>
      </w:r>
    </w:p>
    <w:p w:rsidR="00517711" w:rsidRDefault="00F815BE">
      <w:pPr>
        <w:pStyle w:val="afff1"/>
        <w:spacing w:after="0"/>
      </w:pPr>
      <w:r>
        <w:t>Хотя Китай и Россия считают друг друга равными партнерами, их уровень двустороннего сотрудничества в различных областях не является симметричным</w:t>
      </w:r>
      <w:r>
        <w:rPr>
          <w:lang w:eastAsia="zh-CN"/>
        </w:rPr>
        <w:t xml:space="preserve"> [6]</w:t>
      </w:r>
      <w:r>
        <w:t xml:space="preserve">. Китайско-российское сотрудничество по стратегии, политике и безопасности намного превосходит их экономическое сотрудничество. В связи с чем важно обеспечить устранение приграничных барьеров и расширить возможности совместного предпринимательства. </w:t>
      </w:r>
    </w:p>
    <w:p w:rsidR="00517711" w:rsidRDefault="00F815BE">
      <w:pPr>
        <w:pStyle w:val="afff1"/>
        <w:spacing w:after="0"/>
      </w:pPr>
      <w:r>
        <w:t>Для российско-китайского предпринимательства приоритетами государственного регулирования являются</w:t>
      </w:r>
      <w:r>
        <w:rPr>
          <w:lang w:eastAsia="zh-CN"/>
        </w:rPr>
        <w:t xml:space="preserve"> [2, </w:t>
      </w:r>
      <w:r>
        <w:rPr>
          <w:lang w:val="en-US" w:eastAsia="zh-CN"/>
        </w:rPr>
        <w:t>c</w:t>
      </w:r>
      <w:r>
        <w:rPr>
          <w:lang w:eastAsia="zh-CN"/>
        </w:rPr>
        <w:t>. 14]</w:t>
      </w:r>
      <w:r>
        <w:t xml:space="preserve">: </w:t>
      </w:r>
    </w:p>
    <w:p w:rsidR="00517711" w:rsidRDefault="00F815BE">
      <w:pPr>
        <w:pStyle w:val="afff1"/>
        <w:numPr>
          <w:ilvl w:val="0"/>
          <w:numId w:val="89"/>
        </w:numPr>
        <w:spacing w:after="0"/>
        <w:ind w:left="0" w:firstLine="709"/>
      </w:pPr>
      <w:r>
        <w:t xml:space="preserve">решение структурных проблем рынка труда (скрытая безработица из-за десятилетий моноструктурной экономики); </w:t>
      </w:r>
    </w:p>
    <w:p w:rsidR="00517711" w:rsidRDefault="00F815BE">
      <w:pPr>
        <w:pStyle w:val="afff1"/>
        <w:numPr>
          <w:ilvl w:val="0"/>
          <w:numId w:val="89"/>
        </w:numPr>
        <w:spacing w:after="0"/>
        <w:ind w:left="0" w:firstLine="709"/>
        <w:rPr>
          <w:spacing w:val="-5"/>
        </w:rPr>
      </w:pPr>
      <w:r>
        <w:rPr>
          <w:spacing w:val="-5"/>
        </w:rPr>
        <w:t xml:space="preserve">решение социальных проблем, связанных с увеличением числа приграничных мигрантов; </w:t>
      </w:r>
    </w:p>
    <w:p w:rsidR="00517711" w:rsidRDefault="00F815BE">
      <w:pPr>
        <w:pStyle w:val="afff1"/>
        <w:numPr>
          <w:ilvl w:val="0"/>
          <w:numId w:val="89"/>
        </w:numPr>
        <w:spacing w:after="0"/>
        <w:ind w:left="0" w:firstLine="709"/>
      </w:pPr>
      <w:r>
        <w:t>улучшение приграничного сотрудничества в области охраны окружающей среды с учетом интересов сельского хозяйства, туризма и регионального развития;</w:t>
      </w:r>
    </w:p>
    <w:p w:rsidR="00517711" w:rsidRDefault="00F815BE">
      <w:pPr>
        <w:pStyle w:val="afff1"/>
        <w:numPr>
          <w:ilvl w:val="0"/>
          <w:numId w:val="89"/>
        </w:numPr>
        <w:spacing w:after="0"/>
        <w:ind w:left="0" w:firstLine="709"/>
      </w:pPr>
      <w:r>
        <w:t xml:space="preserve">устранение пробелов в транспортной инфраструктуре приграничных регионах (отсутствие связей между национальными и региональными основными маршрутами). </w:t>
      </w:r>
    </w:p>
    <w:p w:rsidR="00517711" w:rsidRDefault="00F815BE">
      <w:pPr>
        <w:pStyle w:val="afff1"/>
        <w:spacing w:after="0"/>
      </w:pPr>
      <w:r>
        <w:t>С позиции автора, необходимо добавить к этому списку приоритетов:</w:t>
      </w:r>
    </w:p>
    <w:p w:rsidR="00517711" w:rsidRDefault="00F815BE">
      <w:pPr>
        <w:pStyle w:val="afff1"/>
        <w:numPr>
          <w:ilvl w:val="0"/>
          <w:numId w:val="89"/>
        </w:numPr>
        <w:spacing w:after="0"/>
        <w:ind w:left="0" w:firstLine="709"/>
      </w:pPr>
      <w:r>
        <w:t>создание многофункциональных учебных центров на базе ведущих вузов для обмена опытом между сторонами;</w:t>
      </w:r>
    </w:p>
    <w:p w:rsidR="00517711" w:rsidRDefault="00F815BE">
      <w:pPr>
        <w:pStyle w:val="afff1"/>
        <w:numPr>
          <w:ilvl w:val="0"/>
          <w:numId w:val="89"/>
        </w:numPr>
        <w:spacing w:after="0"/>
        <w:ind w:left="0" w:firstLine="709"/>
      </w:pPr>
      <w:r>
        <w:t>более активное использование взаимовыгодных преимуществ особых экономических зон в приграничной территории;</w:t>
      </w:r>
    </w:p>
    <w:p w:rsidR="00517711" w:rsidRDefault="00F815BE">
      <w:pPr>
        <w:pStyle w:val="afff1"/>
        <w:numPr>
          <w:ilvl w:val="0"/>
          <w:numId w:val="89"/>
        </w:numPr>
        <w:spacing w:after="0"/>
        <w:ind w:left="0" w:firstLine="709"/>
      </w:pPr>
      <w:r>
        <w:t>укрупнение таможенно-логистических терминалов и их модернизация с использованием новейших технологий для ускорения обмена товарами между Россией и Китаем.</w:t>
      </w:r>
    </w:p>
    <w:p w:rsidR="00517711" w:rsidRDefault="00F815BE">
      <w:pPr>
        <w:pStyle w:val="afff1"/>
        <w:spacing w:after="0"/>
      </w:pPr>
      <w:r>
        <w:t>Первоочередное внимание уделяется мерам по модернизации инфраструктуры и коммуникаций, особенно к экологически чистым инвестициям в железнодорожную и телекоммуникационную сеть. Дальнейшими приоритетами являются развитие туризма и связанное с ним сохранение культурного наследия по обе стороны границы, а также создание новых рабочих мест. Немаловажным является совершенствование приграничной профессиональной подготовки и способность местной рабочей силы создавать новые рабочие места, чтобы устранить последствия десятилетий моноструктурной экономики и скрытой безработицы.</w:t>
      </w:r>
    </w:p>
    <w:p w:rsidR="00517711" w:rsidRDefault="00F815BE">
      <w:pPr>
        <w:pStyle w:val="afff1"/>
        <w:spacing w:after="0"/>
      </w:pPr>
      <w:r>
        <w:t xml:space="preserve">Особое внимание уделяется: </w:t>
      </w:r>
    </w:p>
    <w:p w:rsidR="00517711" w:rsidRDefault="00F815BE">
      <w:pPr>
        <w:pStyle w:val="afff1"/>
        <w:numPr>
          <w:ilvl w:val="0"/>
          <w:numId w:val="90"/>
        </w:numPr>
        <w:spacing w:after="0"/>
        <w:ind w:left="0" w:firstLine="709"/>
      </w:pPr>
      <w:r>
        <w:t xml:space="preserve">развитию местных и региональных специфических возможностей; </w:t>
      </w:r>
    </w:p>
    <w:p w:rsidR="00517711" w:rsidRDefault="00F815BE">
      <w:pPr>
        <w:pStyle w:val="afff1"/>
        <w:numPr>
          <w:ilvl w:val="0"/>
          <w:numId w:val="90"/>
        </w:numPr>
        <w:spacing w:after="0"/>
        <w:ind w:left="0" w:firstLine="709"/>
      </w:pPr>
      <w:r>
        <w:t xml:space="preserve">развитию инфраструктуры приграничного транспорта, в частности быстрому открытию дополнительных приграничных переходов; </w:t>
      </w:r>
    </w:p>
    <w:p w:rsidR="00517711" w:rsidRDefault="00F815BE">
      <w:pPr>
        <w:pStyle w:val="afff1"/>
        <w:numPr>
          <w:ilvl w:val="0"/>
          <w:numId w:val="90"/>
        </w:numPr>
        <w:spacing w:after="0"/>
        <w:ind w:left="0" w:firstLine="709"/>
      </w:pPr>
      <w:r>
        <w:t xml:space="preserve">крупным приграничным проектам; </w:t>
      </w:r>
    </w:p>
    <w:p w:rsidR="00517711" w:rsidRDefault="00F815BE">
      <w:pPr>
        <w:pStyle w:val="afff1"/>
        <w:numPr>
          <w:ilvl w:val="0"/>
          <w:numId w:val="90"/>
        </w:numPr>
        <w:spacing w:after="0"/>
        <w:ind w:left="0" w:firstLine="709"/>
      </w:pPr>
      <w:r>
        <w:t>изучению конкретных приграничных экологических проблем;</w:t>
      </w:r>
    </w:p>
    <w:p w:rsidR="00517711" w:rsidRDefault="00F815BE">
      <w:pPr>
        <w:pStyle w:val="afff1"/>
        <w:numPr>
          <w:ilvl w:val="0"/>
          <w:numId w:val="90"/>
        </w:numPr>
        <w:spacing w:after="0"/>
        <w:ind w:left="0" w:firstLine="709"/>
      </w:pPr>
      <w:r>
        <w:t xml:space="preserve">устранению значительных диспропорций в уровне жизни и в политических и административных структурах; </w:t>
      </w:r>
    </w:p>
    <w:p w:rsidR="00517711" w:rsidRDefault="00F815BE">
      <w:pPr>
        <w:pStyle w:val="afff1"/>
        <w:numPr>
          <w:ilvl w:val="0"/>
          <w:numId w:val="90"/>
        </w:numPr>
        <w:spacing w:after="0"/>
        <w:ind w:left="0" w:firstLine="709"/>
      </w:pPr>
      <w:r>
        <w:t xml:space="preserve">решению вопросов права и собственности в качестве предпосылки для долгосрочного сотрудничества; </w:t>
      </w:r>
    </w:p>
    <w:p w:rsidR="00517711" w:rsidRDefault="00F815BE">
      <w:pPr>
        <w:pStyle w:val="afff1"/>
        <w:numPr>
          <w:ilvl w:val="0"/>
          <w:numId w:val="90"/>
        </w:numPr>
        <w:spacing w:after="0"/>
        <w:ind w:left="0" w:firstLine="709"/>
      </w:pPr>
      <w:r>
        <w:lastRenderedPageBreak/>
        <w:t xml:space="preserve">постепенному развитию экономических связей, которые ранее почти полностью отсутствовали; </w:t>
      </w:r>
    </w:p>
    <w:p w:rsidR="00517711" w:rsidRDefault="00F815BE">
      <w:pPr>
        <w:pStyle w:val="afff1"/>
        <w:numPr>
          <w:ilvl w:val="0"/>
          <w:numId w:val="90"/>
        </w:numPr>
        <w:spacing w:after="0"/>
        <w:ind w:left="0" w:firstLine="709"/>
      </w:pPr>
      <w:r>
        <w:t xml:space="preserve">преодолению психологических барьеров путем передачи накопленных знаний в качестве предварительного условия для понимания и доверия. </w:t>
      </w:r>
    </w:p>
    <w:p w:rsidR="00517711" w:rsidRDefault="00F815BE">
      <w:pPr>
        <w:pStyle w:val="afff1"/>
        <w:spacing w:after="0"/>
      </w:pPr>
      <w:r>
        <w:t>Прямое участие приграничных регионов, в частности в управлении приграничными программами, по-прежнему затруднено рядом препятствий или ограничений юридического характера. Эти препятствия связаны с несколькими факторами</w:t>
      </w:r>
      <w:r>
        <w:rPr>
          <w:lang w:eastAsia="zh-CN"/>
        </w:rPr>
        <w:t xml:space="preserve"> [3, </w:t>
      </w:r>
      <w:r>
        <w:rPr>
          <w:lang w:val="en-US" w:eastAsia="zh-CN"/>
        </w:rPr>
        <w:t>c</w:t>
      </w:r>
      <w:r>
        <w:rPr>
          <w:lang w:eastAsia="zh-CN"/>
        </w:rPr>
        <w:t>. 6]</w:t>
      </w:r>
      <w:r>
        <w:t>:</w:t>
      </w:r>
    </w:p>
    <w:p w:rsidR="00517711" w:rsidRDefault="00F815BE">
      <w:pPr>
        <w:pStyle w:val="afff1"/>
        <w:numPr>
          <w:ilvl w:val="0"/>
          <w:numId w:val="91"/>
        </w:numPr>
        <w:spacing w:after="0"/>
        <w:ind w:left="0" w:firstLine="709"/>
      </w:pPr>
      <w:r>
        <w:t xml:space="preserve">как правило, деятельность и осуществление конкретных программ будут по-прежнему регулироваться двусторонними соглашениями между государствами, которые прежде всего зависят от политической воли заинтересованных партнеров. </w:t>
      </w:r>
    </w:p>
    <w:p w:rsidR="00517711" w:rsidRDefault="00F815BE">
      <w:pPr>
        <w:pStyle w:val="afff1"/>
        <w:numPr>
          <w:ilvl w:val="0"/>
          <w:numId w:val="91"/>
        </w:numPr>
        <w:spacing w:after="0"/>
        <w:ind w:left="0" w:firstLine="709"/>
      </w:pPr>
      <w:r>
        <w:t xml:space="preserve">национальные законодательные системы позволяют на региональном и местном уровне принимать непосредственное участие в инициативах по приграничному сотрудничеству, а затем в управлении программами, вследствие чего участие региональных органов в международных соглашениях имеет порой существенные различия по российским регионам, и это влияет на нынешнюю степень централизации или децентрализации в управлении приграничными программами. </w:t>
      </w:r>
    </w:p>
    <w:p w:rsidR="00517711" w:rsidRDefault="00F815BE">
      <w:pPr>
        <w:pStyle w:val="afff1"/>
        <w:spacing w:after="0"/>
      </w:pPr>
      <w:r>
        <w:t xml:space="preserve">Ускоренное развитие Дальнего Востока России, Забайкалья и Восточной Сибири имеет первостепенное значение для реализации российской экономической стратегии и модернизации экономики; делая его новаторским по своей природе и интегрируя его в экономическое пространство Азиатско-Тихоокеанского региона. Для решения этих задач Россия должна активизировать свое взаимодействие со странами Азиатско-Тихоокеанского региона, прежде всего с Китаем и его северо-восточными провинциями. Необходимость развития совместного предпринимательства в приграничном и межрегиональном сотрудничестве между Россией и Китаем очевидна на фоне инициативы «Экономический пояс Шелкового пути» </w:t>
      </w:r>
      <w:r>
        <w:rPr>
          <w:lang w:eastAsia="zh-CN"/>
        </w:rPr>
        <w:t>[7]</w:t>
      </w:r>
      <w:r>
        <w:t xml:space="preserve"> и евроазиатской интеграции в рамках Евразийского экономического союза. </w:t>
      </w:r>
    </w:p>
    <w:p w:rsidR="00517711" w:rsidRDefault="00F815BE">
      <w:pPr>
        <w:pStyle w:val="afff1"/>
        <w:spacing w:after="0"/>
      </w:pPr>
      <w:r>
        <w:t>Важно, чтобы в российском законодательстве был разработан алгоритм развития совместного предпринимательства, который отличается от ранее применявшегося, например, при разработке действующей в настоящее время Программы сотрудничества между регионами Дальнего Востока и Восточной Сибири и Северо-Востока Народной Республика Китай (2009-2018 гг.). Эта программа носит преимущественно декларативный характер. Отсутствие «дорожной карты», прилагаемой к программе, вызывает сомнения в перспективах ее практической реализации</w:t>
      </w:r>
      <w:r>
        <w:rPr>
          <w:lang w:eastAsia="zh-CN"/>
        </w:rPr>
        <w:t xml:space="preserve"> [1, </w:t>
      </w:r>
      <w:r>
        <w:rPr>
          <w:lang w:val="en-US" w:eastAsia="zh-CN"/>
        </w:rPr>
        <w:t>c</w:t>
      </w:r>
      <w:r>
        <w:rPr>
          <w:lang w:eastAsia="zh-CN"/>
        </w:rPr>
        <w:t>. 112]</w:t>
      </w:r>
      <w:r>
        <w:t xml:space="preserve">. </w:t>
      </w:r>
    </w:p>
    <w:p w:rsidR="00517711" w:rsidRDefault="00F815BE">
      <w:pPr>
        <w:pStyle w:val="afff1"/>
        <w:spacing w:after="0"/>
      </w:pPr>
      <w:r>
        <w:t>Совместное предпринимательство российско-китайского сотрудничества должно основываться на подходах, предусмотренных или подразумеваемых в вышеупомянутых законах, но еще не применяемых на практике</w:t>
      </w:r>
      <w:r>
        <w:rPr>
          <w:lang w:eastAsia="zh-CN"/>
        </w:rPr>
        <w:t xml:space="preserve"> [6]</w:t>
      </w:r>
      <w:r>
        <w:t xml:space="preserve">. </w:t>
      </w:r>
    </w:p>
    <w:p w:rsidR="00517711" w:rsidRDefault="00F815BE">
      <w:pPr>
        <w:pStyle w:val="afff1"/>
        <w:spacing w:after="0"/>
      </w:pPr>
      <w:r>
        <w:t xml:space="preserve">Первый подход - это «индуктивное» развитие совместного предпринимательства, основанное на потребностях экономики приграничных регионов и местных деловых кругов, разработка приграничных и межрегиональных планов сотрудничества, которые будут основываться главным образом на полученных эмпирических и статистических данных от региональных экономических субъектов. </w:t>
      </w:r>
    </w:p>
    <w:p w:rsidR="00517711" w:rsidRDefault="00F815BE">
      <w:pPr>
        <w:pStyle w:val="afff1"/>
        <w:spacing w:after="0"/>
      </w:pPr>
      <w:r>
        <w:t xml:space="preserve">Второй подход - это «интерактивное» развитие совместного предпринимательства, основанное на координации процессов планирования с правительствами и экономическими субъектами приграничных провинций Китая. Опыт России в приграничном сотрудничестве с Китаем и другими странами Азиатско-Тихоокеанского региона демонстрирует важность совершенствования и гармонизации его программной, концептуальной и законодательной базы. </w:t>
      </w:r>
    </w:p>
    <w:p w:rsidR="00517711" w:rsidRDefault="00F815BE">
      <w:pPr>
        <w:pStyle w:val="afff1"/>
        <w:spacing w:after="0"/>
      </w:pPr>
      <w:r>
        <w:t xml:space="preserve">Для обеспечения ускоренного и сбалансированного развития межрегионального и приграничного сотрудничества необходимо принять дополнительные меры для создания механизмов планирования и координации деятельности участников приграничного сотрудничества, которые требуют одобрения в контексте национальной безопасности России. Необходимо обеспечить всестороннее и подробное стратегическое планирование двустороннего сотрудничества Россия-Китай в ключевых областях, а также стратегическую координацию внешней политики обеих стран по вопросам, требующим долгосрочных усилий. </w:t>
      </w:r>
    </w:p>
    <w:p w:rsidR="00517711" w:rsidRDefault="00F815BE">
      <w:pPr>
        <w:pStyle w:val="afff1"/>
        <w:spacing w:after="0"/>
        <w:ind w:firstLine="0"/>
        <w:jc w:val="center"/>
        <w:rPr>
          <w:b/>
          <w:bCs/>
        </w:rPr>
      </w:pPr>
      <w:r>
        <w:rPr>
          <w:b/>
          <w:bCs/>
        </w:rPr>
        <w:t>Список литературы</w:t>
      </w:r>
    </w:p>
    <w:p w:rsidR="00517711" w:rsidRDefault="00F815BE">
      <w:pPr>
        <w:pStyle w:val="afff1"/>
        <w:numPr>
          <w:ilvl w:val="0"/>
          <w:numId w:val="92"/>
        </w:numPr>
        <w:spacing w:after="0"/>
      </w:pPr>
      <w:r>
        <w:lastRenderedPageBreak/>
        <w:t>Рогачев И.А. Россия - Китай: перспективы сотрудничества / И.А. Рогачев // МЭ и МО. - 2015. - №12. - С. 110 - 112.</w:t>
      </w:r>
    </w:p>
    <w:p w:rsidR="00517711" w:rsidRDefault="00F815BE">
      <w:pPr>
        <w:pStyle w:val="afff1"/>
        <w:numPr>
          <w:ilvl w:val="0"/>
          <w:numId w:val="92"/>
        </w:numPr>
        <w:spacing w:after="0"/>
      </w:pPr>
      <w:r>
        <w:t>Сергеев И.В. Российско-китайские совместные проекты / И.В. Сергеев // Эксперт. - М., 2014. - С. 12 - 16.</w:t>
      </w:r>
    </w:p>
    <w:p w:rsidR="00517711" w:rsidRDefault="00F815BE">
      <w:pPr>
        <w:pStyle w:val="afff1"/>
        <w:numPr>
          <w:ilvl w:val="0"/>
          <w:numId w:val="92"/>
        </w:numPr>
        <w:spacing w:after="0"/>
      </w:pPr>
      <w:r>
        <w:t>Чужачан Т. Императивы развития китайско-российских торгово</w:t>
      </w:r>
      <w:r>
        <w:rPr>
          <w:lang w:eastAsia="zh-CN"/>
        </w:rPr>
        <w:t>-</w:t>
      </w:r>
      <w:r>
        <w:t>экономических отношений / Т. Чужачан // РЭЖ. - 2016. - №4. - С. 5 - 8.</w:t>
      </w:r>
    </w:p>
    <w:p w:rsidR="00517711" w:rsidRDefault="00F815BE">
      <w:pPr>
        <w:pStyle w:val="afff1"/>
        <w:numPr>
          <w:ilvl w:val="0"/>
          <w:numId w:val="92"/>
        </w:numPr>
        <w:spacing w:after="0"/>
      </w:pPr>
      <w:r>
        <w:t>Россия и Китай сегодня. Главные новости. People's Daily Online [Электронный ресурс]. Режим доступа: www.russian.people.com.cn</w:t>
      </w:r>
    </w:p>
    <w:p w:rsidR="00517711" w:rsidRDefault="00F815BE">
      <w:pPr>
        <w:pStyle w:val="afff1"/>
        <w:numPr>
          <w:ilvl w:val="0"/>
          <w:numId w:val="92"/>
        </w:numPr>
        <w:spacing w:after="0"/>
      </w:pPr>
      <w:r>
        <w:t xml:space="preserve">Малое предпринимательство России в наши дни [Электронный ресурс]. Режим доступа: www.rcsme.ru/news </w:t>
      </w:r>
    </w:p>
    <w:p w:rsidR="00517711" w:rsidRDefault="00F815BE">
      <w:pPr>
        <w:pStyle w:val="afff1"/>
        <w:numPr>
          <w:ilvl w:val="0"/>
          <w:numId w:val="92"/>
        </w:numPr>
        <w:spacing w:after="0"/>
      </w:pPr>
      <w:r>
        <w:t xml:space="preserve">Приграничный Китай. Трансформация методов торговли [Электронный ресурс]. Режим доступа: http://www.regnum.ru/news/989270.html </w:t>
      </w:r>
    </w:p>
    <w:p w:rsidR="00517711" w:rsidRDefault="00F815BE">
      <w:pPr>
        <w:pStyle w:val="afff1"/>
        <w:numPr>
          <w:ilvl w:val="0"/>
          <w:numId w:val="92"/>
        </w:numPr>
        <w:spacing w:after="0"/>
      </w:pPr>
      <w:r>
        <w:rPr>
          <w:rFonts w:ascii="SimSun" w:eastAsia="SimSun"/>
        </w:rPr>
        <w:t>习近平</w:t>
      </w:r>
      <w:r>
        <w:rPr>
          <w:rFonts w:ascii="SimSun" w:eastAsia="SimSun"/>
          <w:lang w:val="en-US" w:eastAsia="zh-CN"/>
        </w:rPr>
        <w:t>提出的</w:t>
      </w:r>
      <w:r>
        <w:rPr>
          <w:rFonts w:ascii="SimSun" w:eastAsia="SimSun"/>
        </w:rPr>
        <w:t>战略构想：</w:t>
      </w:r>
      <w:r>
        <w:rPr>
          <w:rFonts w:ascii="SimSun" w:eastAsia="SimSun"/>
          <w:lang w:eastAsia="zh-CN"/>
        </w:rPr>
        <w:t>“</w:t>
      </w:r>
      <w:r>
        <w:rPr>
          <w:rFonts w:ascii="SimSun" w:eastAsia="SimSun"/>
        </w:rPr>
        <w:t>一带一路</w:t>
      </w:r>
      <w:r>
        <w:rPr>
          <w:rFonts w:ascii="SimSun" w:eastAsia="SimSun"/>
          <w:lang w:eastAsia="zh-CN"/>
        </w:rPr>
        <w:t>”</w:t>
      </w:r>
      <w:r>
        <w:rPr>
          <w:rFonts w:ascii="SimSun" w:eastAsia="SimSun"/>
        </w:rPr>
        <w:t>打开</w:t>
      </w:r>
      <w:r>
        <w:rPr>
          <w:rFonts w:ascii="SimSun" w:eastAsia="SimSun"/>
          <w:lang w:eastAsia="zh-CN"/>
        </w:rPr>
        <w:t>“</w:t>
      </w:r>
      <w:r>
        <w:rPr>
          <w:rFonts w:ascii="SimSun" w:eastAsia="SimSun"/>
        </w:rPr>
        <w:t>筑梦空间</w:t>
      </w:r>
      <w:r>
        <w:rPr>
          <w:rFonts w:ascii="SimSun" w:eastAsia="SimSun"/>
          <w:lang w:eastAsia="zh-CN"/>
        </w:rPr>
        <w:t>”</w:t>
      </w:r>
      <w:r>
        <w:rPr>
          <w:rFonts w:ascii="SimSun" w:eastAsia="SimSun"/>
        </w:rPr>
        <w:t xml:space="preserve"> </w:t>
      </w:r>
      <w:r>
        <w:t xml:space="preserve">(Си Цзиньпин: «Один пояс и один путь» откроет новые горизонты мечты) [Электронный ресурс] // People.cn. – Режим доступа: http://politics.people.com.cn/n/2014/0811/c1001-25439028.html  </w:t>
      </w:r>
    </w:p>
    <w:p w:rsidR="00517711" w:rsidRDefault="00517711">
      <w:pPr>
        <w:pStyle w:val="afff1"/>
        <w:spacing w:after="0"/>
        <w:ind w:left="709" w:firstLine="0"/>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F815BE">
      <w:pPr>
        <w:spacing w:after="0" w:line="240" w:lineRule="auto"/>
        <w:rPr>
          <w:rFonts w:ascii="Times New Roman" w:hAnsi="Times New Roman"/>
          <w:color w:val="000000"/>
          <w:sz w:val="24"/>
          <w:szCs w:val="24"/>
          <w:lang w:eastAsia="ru-RU"/>
        </w:rPr>
      </w:pPr>
      <w:r>
        <w:rPr>
          <w:rFonts w:ascii="Times New Roman" w:hAnsi="Times New Roman"/>
          <w:bCs/>
          <w:color w:val="000000"/>
          <w:sz w:val="24"/>
          <w:szCs w:val="24"/>
          <w:lang w:eastAsia="ru-RU"/>
        </w:rPr>
        <w:t>Математические и инструментальные методы экономики</w:t>
      </w:r>
    </w:p>
    <w:p w:rsidR="00517711" w:rsidRDefault="00F815BE">
      <w:pPr>
        <w:spacing w:after="0" w:line="240" w:lineRule="auto"/>
        <w:rPr>
          <w:rFonts w:ascii="Times New Roman" w:hAnsi="Times New Roman"/>
          <w:color w:val="000000"/>
          <w:sz w:val="24"/>
          <w:szCs w:val="24"/>
          <w:lang w:eastAsia="ru-RU"/>
        </w:rPr>
      </w:pPr>
      <w:r>
        <w:rPr>
          <w:rFonts w:ascii="Times New Roman" w:hAnsi="Times New Roman"/>
          <w:color w:val="000000"/>
          <w:sz w:val="24"/>
          <w:szCs w:val="24"/>
          <w:lang w:eastAsia="ru-RU"/>
        </w:rPr>
        <w:t>УДК 65.01</w:t>
      </w:r>
    </w:p>
    <w:p w:rsidR="00517711" w:rsidRDefault="00517711">
      <w:pPr>
        <w:spacing w:after="0" w:line="240" w:lineRule="auto"/>
        <w:rPr>
          <w:rFonts w:ascii="Times New Roman" w:hAnsi="Times New Roman"/>
          <w:color w:val="000000"/>
          <w:sz w:val="24"/>
          <w:szCs w:val="24"/>
          <w:lang w:eastAsia="ru-RU"/>
        </w:rPr>
      </w:pPr>
    </w:p>
    <w:p w:rsidR="00517711" w:rsidRDefault="00F815BE">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Модель выбора стратегий взаимодействия организации с группами заинтересованных сторон с учетом взаимного влияния между стейкхолдерами</w:t>
      </w:r>
      <w:r>
        <w:rPr>
          <w:rFonts w:ascii="Times New Roman" w:hAnsi="Times New Roman"/>
          <w:b/>
          <w:color w:val="000000"/>
          <w:sz w:val="24"/>
          <w:szCs w:val="24"/>
          <w:vertAlign w:val="superscript"/>
          <w:lang w:eastAsia="ru-RU"/>
        </w:rPr>
        <w:footnoteReference w:id="1"/>
      </w:r>
    </w:p>
    <w:p w:rsidR="00517711" w:rsidRDefault="00517711">
      <w:pPr>
        <w:spacing w:after="0" w:line="240" w:lineRule="auto"/>
        <w:jc w:val="center"/>
        <w:rPr>
          <w:rFonts w:ascii="Times New Roman" w:hAnsi="Times New Roman"/>
          <w:b/>
          <w:sz w:val="24"/>
          <w:szCs w:val="24"/>
          <w:lang w:eastAsia="ru-RU"/>
        </w:rPr>
      </w:pPr>
    </w:p>
    <w:p w:rsidR="00517711" w:rsidRDefault="00F815BE">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Лихошерст Елена Николаевна, аспирант 3-го курса</w:t>
      </w:r>
    </w:p>
    <w:p w:rsidR="00517711" w:rsidRDefault="00F815BE">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Чен Андрей Яковлевич,</w:t>
      </w:r>
    </w:p>
    <w:p w:rsidR="00517711" w:rsidRDefault="00F815BE">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кандидат экономических наук, научный сотрудник лаборатории стратегического планирования</w:t>
      </w:r>
    </w:p>
    <w:p w:rsidR="00517711" w:rsidRDefault="00F815BE">
      <w:pPr>
        <w:spacing w:after="0" w:line="240" w:lineRule="auto"/>
        <w:jc w:val="center"/>
        <w:rPr>
          <w:rFonts w:ascii="Times New Roman" w:hAnsi="Times New Roman"/>
          <w:i/>
          <w:sz w:val="24"/>
          <w:szCs w:val="24"/>
          <w:lang w:eastAsia="ru-RU"/>
        </w:rPr>
      </w:pPr>
      <w:r>
        <w:rPr>
          <w:rFonts w:ascii="Times New Roman" w:hAnsi="Times New Roman"/>
          <w:i/>
          <w:sz w:val="24"/>
          <w:szCs w:val="24"/>
          <w:lang w:eastAsia="ru-RU"/>
        </w:rPr>
        <w:t>Владивостокский государственный университет экономики и сервиса</w:t>
      </w:r>
    </w:p>
    <w:p w:rsidR="00517711" w:rsidRDefault="00F815BE">
      <w:pPr>
        <w:spacing w:after="0" w:line="240" w:lineRule="auto"/>
        <w:jc w:val="center"/>
        <w:rPr>
          <w:rFonts w:ascii="Times New Roman" w:hAnsi="Times New Roman"/>
          <w:i/>
          <w:sz w:val="24"/>
          <w:szCs w:val="24"/>
          <w:lang w:eastAsia="ru-RU"/>
        </w:rPr>
      </w:pPr>
      <w:r>
        <w:rPr>
          <w:rFonts w:ascii="Times New Roman" w:hAnsi="Times New Roman"/>
          <w:i/>
          <w:sz w:val="24"/>
          <w:szCs w:val="24"/>
          <w:lang w:eastAsia="ru-RU"/>
        </w:rPr>
        <w:t>Россия. Владивосток</w:t>
      </w:r>
    </w:p>
    <w:p w:rsidR="00517711" w:rsidRDefault="00F815BE">
      <w:pPr>
        <w:spacing w:after="0" w:line="240" w:lineRule="auto"/>
        <w:jc w:val="center"/>
        <w:rPr>
          <w:rFonts w:ascii="Times New Roman" w:hAnsi="Times New Roman"/>
          <w:sz w:val="24"/>
          <w:szCs w:val="24"/>
          <w:lang w:eastAsia="ru-RU"/>
        </w:rPr>
      </w:pPr>
      <w:r>
        <w:rPr>
          <w:rFonts w:ascii="Times New Roman" w:hAnsi="Times New Roman"/>
          <w:sz w:val="24"/>
          <w:szCs w:val="24"/>
          <w:lang w:val="en-US" w:eastAsia="ru-RU"/>
        </w:rPr>
        <w:t>E</w:t>
      </w:r>
      <w:r>
        <w:rPr>
          <w:rFonts w:ascii="Times New Roman" w:hAnsi="Times New Roman"/>
          <w:sz w:val="24"/>
          <w:szCs w:val="24"/>
          <w:lang w:eastAsia="ru-RU"/>
        </w:rPr>
        <w:t>-</w:t>
      </w:r>
      <w:r>
        <w:rPr>
          <w:rFonts w:ascii="Times New Roman" w:hAnsi="Times New Roman"/>
          <w:sz w:val="24"/>
          <w:szCs w:val="24"/>
          <w:lang w:val="en-US" w:eastAsia="ru-RU"/>
        </w:rPr>
        <w:t>mail</w:t>
      </w:r>
      <w:r>
        <w:rPr>
          <w:rFonts w:ascii="Times New Roman" w:hAnsi="Times New Roman"/>
          <w:sz w:val="24"/>
          <w:szCs w:val="24"/>
          <w:lang w:eastAsia="ru-RU"/>
        </w:rPr>
        <w:t xml:space="preserve">: </w:t>
      </w:r>
      <w:r>
        <w:rPr>
          <w:rFonts w:ascii="Times New Roman" w:hAnsi="Times New Roman"/>
          <w:sz w:val="24"/>
          <w:szCs w:val="24"/>
          <w:lang w:val="en-US" w:eastAsia="ru-RU"/>
        </w:rPr>
        <w:t>a</w:t>
      </w:r>
      <w:r>
        <w:rPr>
          <w:rFonts w:ascii="Times New Roman" w:hAnsi="Times New Roman"/>
          <w:sz w:val="24"/>
          <w:szCs w:val="24"/>
          <w:lang w:eastAsia="ru-RU"/>
        </w:rPr>
        <w:t>.</w:t>
      </w:r>
      <w:r>
        <w:rPr>
          <w:rFonts w:ascii="Times New Roman" w:hAnsi="Times New Roman"/>
          <w:sz w:val="24"/>
          <w:szCs w:val="24"/>
          <w:lang w:val="en-US" w:eastAsia="ru-RU"/>
        </w:rPr>
        <w:t>chen</w:t>
      </w:r>
      <w:r>
        <w:rPr>
          <w:rFonts w:ascii="Times New Roman" w:hAnsi="Times New Roman"/>
          <w:sz w:val="24"/>
          <w:szCs w:val="24"/>
          <w:lang w:eastAsia="ru-RU"/>
        </w:rPr>
        <w:t>@</w:t>
      </w:r>
      <w:r>
        <w:rPr>
          <w:rFonts w:ascii="Times New Roman" w:hAnsi="Times New Roman"/>
          <w:sz w:val="24"/>
          <w:szCs w:val="24"/>
          <w:lang w:val="en-US" w:eastAsia="ru-RU"/>
        </w:rPr>
        <w:t>inbox</w:t>
      </w:r>
      <w:r>
        <w:rPr>
          <w:rFonts w:ascii="Times New Roman" w:hAnsi="Times New Roman"/>
          <w:sz w:val="24"/>
          <w:szCs w:val="24"/>
          <w:lang w:eastAsia="ru-RU"/>
        </w:rPr>
        <w:t>.</w:t>
      </w:r>
      <w:r>
        <w:rPr>
          <w:rFonts w:ascii="Times New Roman" w:hAnsi="Times New Roman"/>
          <w:sz w:val="24"/>
          <w:szCs w:val="24"/>
          <w:lang w:val="en-US" w:eastAsia="ru-RU"/>
        </w:rPr>
        <w:t>ru</w:t>
      </w:r>
      <w:r>
        <w:rPr>
          <w:rFonts w:ascii="Times New Roman" w:hAnsi="Times New Roman"/>
          <w:sz w:val="24"/>
          <w:szCs w:val="24"/>
          <w:lang w:eastAsia="ru-RU"/>
        </w:rPr>
        <w:t xml:space="preserve">, </w:t>
      </w:r>
      <w:r>
        <w:rPr>
          <w:rFonts w:ascii="Times New Roman" w:hAnsi="Times New Roman"/>
          <w:sz w:val="24"/>
          <w:szCs w:val="24"/>
          <w:shd w:val="clear" w:color="auto" w:fill="FFFFFF"/>
          <w:lang w:val="en-US" w:eastAsia="ru-RU"/>
        </w:rPr>
        <w:t>ps</w:t>
      </w:r>
      <w:r>
        <w:rPr>
          <w:rFonts w:ascii="Times New Roman" w:hAnsi="Times New Roman"/>
          <w:sz w:val="24"/>
          <w:szCs w:val="24"/>
          <w:shd w:val="clear" w:color="auto" w:fill="FFFFFF"/>
          <w:lang w:eastAsia="ru-RU"/>
        </w:rPr>
        <w:t>_</w:t>
      </w:r>
      <w:r>
        <w:rPr>
          <w:rFonts w:ascii="Times New Roman" w:hAnsi="Times New Roman"/>
          <w:sz w:val="24"/>
          <w:szCs w:val="24"/>
          <w:shd w:val="clear" w:color="auto" w:fill="FFFFFF"/>
          <w:lang w:val="en-US" w:eastAsia="ru-RU"/>
        </w:rPr>
        <w:t>elena</w:t>
      </w:r>
      <w:r>
        <w:rPr>
          <w:rFonts w:ascii="Times New Roman" w:hAnsi="Times New Roman"/>
          <w:sz w:val="24"/>
          <w:szCs w:val="24"/>
          <w:shd w:val="clear" w:color="auto" w:fill="FFFFFF"/>
          <w:lang w:eastAsia="ru-RU"/>
        </w:rPr>
        <w:t>@</w:t>
      </w:r>
      <w:r>
        <w:rPr>
          <w:rFonts w:ascii="Times New Roman" w:hAnsi="Times New Roman"/>
          <w:sz w:val="24"/>
          <w:szCs w:val="24"/>
          <w:shd w:val="clear" w:color="auto" w:fill="FFFFFF"/>
          <w:lang w:val="en-US" w:eastAsia="ru-RU"/>
        </w:rPr>
        <w:t>mail</w:t>
      </w:r>
      <w:r>
        <w:rPr>
          <w:rFonts w:ascii="Times New Roman" w:hAnsi="Times New Roman"/>
          <w:sz w:val="24"/>
          <w:szCs w:val="24"/>
          <w:shd w:val="clear" w:color="auto" w:fill="FFFFFF"/>
          <w:lang w:eastAsia="ru-RU"/>
        </w:rPr>
        <w:t>.</w:t>
      </w:r>
      <w:r>
        <w:rPr>
          <w:rFonts w:ascii="Times New Roman" w:hAnsi="Times New Roman"/>
          <w:sz w:val="24"/>
          <w:szCs w:val="24"/>
          <w:shd w:val="clear" w:color="auto" w:fill="FFFFFF"/>
          <w:lang w:val="en-US" w:eastAsia="ru-RU"/>
        </w:rPr>
        <w:t>ru</w:t>
      </w:r>
      <w:r>
        <w:rPr>
          <w:rFonts w:ascii="Times New Roman" w:hAnsi="Times New Roman"/>
          <w:sz w:val="24"/>
          <w:szCs w:val="24"/>
          <w:shd w:val="clear" w:color="auto" w:fill="FFFFFF"/>
          <w:lang w:eastAsia="ru-RU"/>
        </w:rPr>
        <w:t xml:space="preserve">, </w:t>
      </w:r>
      <w:r>
        <w:rPr>
          <w:rFonts w:ascii="Times New Roman" w:hAnsi="Times New Roman"/>
          <w:sz w:val="24"/>
          <w:szCs w:val="24"/>
          <w:lang w:eastAsia="ru-RU"/>
        </w:rPr>
        <w:t>тел: +79940027113</w:t>
      </w:r>
    </w:p>
    <w:p w:rsidR="00517711" w:rsidRDefault="00F815BE">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ул. Гоголя, 41, г. Владивосток, Приморский край, Россия, 690014</w:t>
      </w:r>
    </w:p>
    <w:p w:rsidR="00517711" w:rsidRDefault="00517711">
      <w:pPr>
        <w:spacing w:after="0" w:line="240" w:lineRule="auto"/>
        <w:jc w:val="center"/>
        <w:rPr>
          <w:rFonts w:ascii="Times New Roman" w:hAnsi="Times New Roman"/>
          <w:sz w:val="24"/>
          <w:szCs w:val="24"/>
          <w:lang w:eastAsia="ru-RU"/>
        </w:rPr>
      </w:pPr>
    </w:p>
    <w:p w:rsidR="00517711" w:rsidRDefault="00F815BE">
      <w:pPr>
        <w:spacing w:after="0" w:line="240" w:lineRule="auto"/>
        <w:ind w:firstLine="709"/>
        <w:jc w:val="both"/>
        <w:rPr>
          <w:rFonts w:ascii="Times New Roman" w:hAnsi="Times New Roman"/>
          <w:i/>
          <w:sz w:val="24"/>
          <w:szCs w:val="24"/>
          <w:lang w:eastAsia="ru-RU"/>
        </w:rPr>
      </w:pPr>
      <w:r>
        <w:rPr>
          <w:rFonts w:ascii="Times New Roman" w:hAnsi="Times New Roman"/>
          <w:i/>
          <w:sz w:val="24"/>
          <w:szCs w:val="24"/>
          <w:lang w:eastAsia="ru-RU"/>
        </w:rPr>
        <w:lastRenderedPageBreak/>
        <w:t>Предлагается модель выбора стратегий взаимодействия организации с группами заинтересованных сторон, в которой, в отличие от известных моделей, учитывающих взаимоотношения между стейкхолдерами, принимается во внимание степень взаимного влияния (власти) между заинтересованными сторонами.</w:t>
      </w:r>
    </w:p>
    <w:p w:rsidR="00517711" w:rsidRDefault="00F815BE">
      <w:pPr>
        <w:spacing w:after="0" w:line="240" w:lineRule="auto"/>
        <w:ind w:firstLine="709"/>
        <w:jc w:val="both"/>
        <w:rPr>
          <w:rFonts w:ascii="Times New Roman" w:hAnsi="Times New Roman"/>
          <w:i/>
          <w:sz w:val="24"/>
          <w:szCs w:val="24"/>
          <w:lang w:eastAsia="ru-RU"/>
        </w:rPr>
      </w:pPr>
      <w:r>
        <w:rPr>
          <w:rFonts w:ascii="Times New Roman" w:hAnsi="Times New Roman"/>
          <w:b/>
          <w:i/>
          <w:sz w:val="24"/>
          <w:szCs w:val="24"/>
          <w:lang w:eastAsia="ru-RU"/>
        </w:rPr>
        <w:t xml:space="preserve">Ключевые слова и словосочетания: </w:t>
      </w:r>
      <w:r>
        <w:rPr>
          <w:rFonts w:ascii="Times New Roman" w:hAnsi="Times New Roman"/>
          <w:i/>
          <w:sz w:val="24"/>
          <w:szCs w:val="24"/>
          <w:lang w:eastAsia="ru-RU"/>
        </w:rPr>
        <w:t>стейкхолдерская сеть</w:t>
      </w:r>
      <w:r>
        <w:rPr>
          <w:rFonts w:ascii="Times New Roman" w:hAnsi="Times New Roman"/>
          <w:b/>
          <w:i/>
          <w:sz w:val="24"/>
          <w:szCs w:val="24"/>
          <w:lang w:eastAsia="ru-RU"/>
        </w:rPr>
        <w:t xml:space="preserve">, </w:t>
      </w:r>
      <w:r>
        <w:rPr>
          <w:rFonts w:ascii="Times New Roman" w:hAnsi="Times New Roman"/>
          <w:i/>
          <w:sz w:val="24"/>
          <w:szCs w:val="24"/>
          <w:lang w:eastAsia="ru-RU"/>
        </w:rPr>
        <w:t>стратегии взаимодействия со стейкхолдерами, нечеткая модель.</w:t>
      </w:r>
    </w:p>
    <w:p w:rsidR="00517711" w:rsidRDefault="00517711">
      <w:pPr>
        <w:spacing w:after="0" w:line="240" w:lineRule="auto"/>
        <w:jc w:val="center"/>
        <w:rPr>
          <w:rFonts w:ascii="Times New Roman" w:hAnsi="Times New Roman"/>
          <w:sz w:val="24"/>
          <w:szCs w:val="24"/>
          <w:highlight w:val="lightGray"/>
          <w:lang w:eastAsia="ru-RU"/>
        </w:rPr>
      </w:pPr>
    </w:p>
    <w:p w:rsidR="00517711" w:rsidRDefault="00F815BE">
      <w:pPr>
        <w:spacing w:after="0" w:line="240" w:lineRule="auto"/>
        <w:jc w:val="center"/>
        <w:rPr>
          <w:rFonts w:ascii="Times New Roman" w:hAnsi="Times New Roman"/>
          <w:b/>
          <w:sz w:val="24"/>
          <w:szCs w:val="24"/>
          <w:lang w:val="en-US" w:eastAsia="ru-RU"/>
        </w:rPr>
      </w:pPr>
      <w:r>
        <w:rPr>
          <w:rFonts w:ascii="Times New Roman" w:hAnsi="Times New Roman"/>
          <w:b/>
          <w:sz w:val="24"/>
          <w:szCs w:val="24"/>
          <w:lang w:val="en-US" w:eastAsia="ru-RU"/>
        </w:rPr>
        <w:t>Model for selecting stakeholder engagement strategies of the company taking into account mutual influence between stakeholders</w:t>
      </w:r>
    </w:p>
    <w:p w:rsidR="00517711" w:rsidRDefault="00517711">
      <w:pPr>
        <w:spacing w:after="0" w:line="240" w:lineRule="auto"/>
        <w:jc w:val="center"/>
        <w:rPr>
          <w:rFonts w:ascii="Times New Roman" w:hAnsi="Times New Roman"/>
          <w:b/>
          <w:sz w:val="24"/>
          <w:szCs w:val="24"/>
          <w:highlight w:val="lightGray"/>
          <w:lang w:val="en-US" w:eastAsia="ru-RU"/>
        </w:rPr>
      </w:pPr>
    </w:p>
    <w:p w:rsidR="00517711" w:rsidRDefault="00F815BE">
      <w:pPr>
        <w:spacing w:after="0" w:line="240" w:lineRule="auto"/>
        <w:ind w:firstLine="709"/>
        <w:jc w:val="both"/>
        <w:rPr>
          <w:rFonts w:ascii="Times New Roman" w:hAnsi="Times New Roman"/>
          <w:i/>
          <w:sz w:val="24"/>
          <w:szCs w:val="24"/>
          <w:lang w:val="en-US" w:eastAsia="ru-RU"/>
        </w:rPr>
      </w:pPr>
      <w:r>
        <w:rPr>
          <w:rFonts w:ascii="Times New Roman" w:hAnsi="Times New Roman"/>
          <w:i/>
          <w:sz w:val="24"/>
          <w:szCs w:val="24"/>
          <w:lang w:val="en-US" w:eastAsia="ru-RU"/>
        </w:rPr>
        <w:t>The paper proposes the model for selecting stakeholder engagement strategies of the company.</w:t>
      </w:r>
      <w:r>
        <w:rPr>
          <w:lang w:val="en-US" w:eastAsia="ru-RU"/>
        </w:rPr>
        <w:t xml:space="preserve"> </w:t>
      </w:r>
      <w:r>
        <w:rPr>
          <w:rFonts w:ascii="Times New Roman" w:hAnsi="Times New Roman"/>
          <w:i/>
          <w:sz w:val="24"/>
          <w:szCs w:val="24"/>
          <w:lang w:val="en-US" w:eastAsia="ru-RU"/>
        </w:rPr>
        <w:t>The model takes into account the degree of mutual impact between stakeholders. This distinguishes the model from other well-known models, taking into account the interrelations of stakeholders.</w:t>
      </w:r>
    </w:p>
    <w:p w:rsidR="00517711" w:rsidRDefault="00F815BE">
      <w:pPr>
        <w:spacing w:after="0" w:line="240" w:lineRule="auto"/>
        <w:ind w:firstLine="709"/>
        <w:rPr>
          <w:rFonts w:ascii="Times New Roman" w:hAnsi="Times New Roman"/>
          <w:i/>
          <w:sz w:val="24"/>
          <w:szCs w:val="24"/>
          <w:lang w:val="en-US" w:eastAsia="ru-RU"/>
        </w:rPr>
      </w:pPr>
      <w:r>
        <w:rPr>
          <w:rFonts w:ascii="Times New Roman" w:hAnsi="Times New Roman"/>
          <w:b/>
          <w:i/>
          <w:sz w:val="24"/>
          <w:szCs w:val="24"/>
          <w:lang w:val="en-US" w:eastAsia="ru-RU"/>
        </w:rPr>
        <w:t>Keywords:</w:t>
      </w:r>
      <w:r>
        <w:rPr>
          <w:rFonts w:ascii="Times New Roman" w:hAnsi="Times New Roman"/>
          <w:sz w:val="24"/>
          <w:szCs w:val="24"/>
          <w:lang w:val="en-US" w:eastAsia="ru-RU"/>
        </w:rPr>
        <w:t xml:space="preserve"> </w:t>
      </w:r>
      <w:r>
        <w:rPr>
          <w:rFonts w:ascii="Times New Roman" w:hAnsi="Times New Roman"/>
          <w:i/>
          <w:sz w:val="24"/>
          <w:szCs w:val="24"/>
          <w:lang w:val="en-US" w:eastAsia="ru-RU"/>
        </w:rPr>
        <w:t xml:space="preserve">stakeholder network, stakeholder engagement strategies, fuzzy model. </w:t>
      </w:r>
    </w:p>
    <w:p w:rsidR="00517711" w:rsidRDefault="00517711">
      <w:pPr>
        <w:spacing w:after="0" w:line="240" w:lineRule="auto"/>
        <w:ind w:firstLine="709"/>
        <w:jc w:val="both"/>
        <w:rPr>
          <w:rFonts w:ascii="Times New Roman" w:hAnsi="Times New Roman"/>
          <w:spacing w:val="-5"/>
          <w:sz w:val="24"/>
          <w:szCs w:val="24"/>
          <w:lang w:val="en-US" w:eastAsia="ru-RU"/>
        </w:rPr>
      </w:pPr>
    </w:p>
    <w:p w:rsidR="00517711" w:rsidRDefault="00F815BE">
      <w:pPr>
        <w:spacing w:after="0" w:line="240" w:lineRule="auto"/>
        <w:ind w:firstLine="709"/>
        <w:contextualSpacing/>
        <w:jc w:val="both"/>
        <w:rPr>
          <w:rFonts w:ascii="Times New Roman" w:hAnsi="Times New Roman"/>
          <w:sz w:val="24"/>
          <w:szCs w:val="24"/>
          <w:lang w:eastAsia="ru-RU"/>
        </w:rPr>
      </w:pPr>
      <w:r>
        <w:rPr>
          <w:rFonts w:ascii="Times New Roman" w:hAnsi="Times New Roman"/>
          <w:sz w:val="24"/>
          <w:szCs w:val="24"/>
          <w:lang w:eastAsia="ru-RU"/>
        </w:rPr>
        <w:t>Целью данной работы является разработка модели выбора стратегий взаимодействия организации с группами заинтересованных сторон (ГЗС, стейкхолдерами) с учетом степени взаимного влияния (власти) между заинтересованными сторонами.</w:t>
      </w:r>
    </w:p>
    <w:p w:rsidR="00517711" w:rsidRDefault="00F815BE">
      <w:pPr>
        <w:spacing w:after="0" w:line="240" w:lineRule="auto"/>
        <w:ind w:firstLine="709"/>
        <w:contextualSpacing/>
        <w:jc w:val="both"/>
        <w:rPr>
          <w:rFonts w:ascii="Times New Roman" w:hAnsi="Times New Roman"/>
          <w:spacing w:val="-1"/>
          <w:sz w:val="24"/>
          <w:szCs w:val="24"/>
          <w:lang w:eastAsia="ru-RU"/>
        </w:rPr>
      </w:pPr>
      <w:r>
        <w:rPr>
          <w:rFonts w:ascii="Times New Roman" w:hAnsi="Times New Roman"/>
          <w:sz w:val="24"/>
          <w:szCs w:val="24"/>
          <w:lang w:eastAsia="ru-RU"/>
        </w:rPr>
        <w:t xml:space="preserve">Ранее были разработаны однопериодная и многопериодная модели выбора стратегий взаимодействия организации со стейкхолдерами с учетом отношений заинтересованных сторон между собой [1, 2, 3, 4]. В моделях рассматривались следующие характеристики отношений между акторами: </w:t>
      </w:r>
      <w:r>
        <w:rPr>
          <w:rFonts w:ascii="Times New Roman" w:hAnsi="Times New Roman"/>
          <w:spacing w:val="-1"/>
          <w:sz w:val="24"/>
          <w:szCs w:val="24"/>
          <w:lang w:eastAsia="ru-RU"/>
        </w:rPr>
        <w:t xml:space="preserve">степень желания изменений (являющаяся функцией удовлетворенности и ожиданий в отношении контрагента), степень влияния (на контрагента). </w:t>
      </w:r>
    </w:p>
    <w:p w:rsidR="00517711" w:rsidRDefault="00F815BE">
      <w:pPr>
        <w:spacing w:after="0" w:line="240" w:lineRule="auto"/>
        <w:ind w:firstLine="709"/>
        <w:contextualSpacing/>
        <w:jc w:val="both"/>
        <w:rPr>
          <w:rFonts w:ascii="Times New Roman" w:hAnsi="Times New Roman"/>
          <w:sz w:val="24"/>
          <w:szCs w:val="24"/>
          <w:lang w:eastAsia="ru-RU"/>
        </w:rPr>
      </w:pPr>
      <w:r>
        <w:rPr>
          <w:rFonts w:ascii="Times New Roman" w:hAnsi="Times New Roman"/>
          <w:spacing w:val="-1"/>
          <w:sz w:val="24"/>
          <w:szCs w:val="24"/>
          <w:lang w:eastAsia="ru-RU"/>
        </w:rPr>
        <w:t xml:space="preserve">Рассматривались две </w:t>
      </w:r>
      <w:r>
        <w:rPr>
          <w:rFonts w:ascii="Times New Roman" w:hAnsi="Times New Roman"/>
          <w:sz w:val="24"/>
          <w:szCs w:val="24"/>
          <w:lang w:eastAsia="ru-RU"/>
        </w:rPr>
        <w:t xml:space="preserve">конфигурации ожиданий: первая отражает ожидания организации, направленные на ГЗС, вторая – ожидания ГЗС от организации. При этом предполагалось, что изменения в существующих между стейкхолдерами отношениях могут напрямую повлиять на взаимные ожидания между организацией и ГЗС. Механизм этого влияния следующий. Поскольку в системе ресурсного обмена свойства ГЗС напрямую влияют на то, какого качества и в каком количестве получит ресурс каждая группа, то можно считать, что изменения в свойствах ГЗС 2, ГЗС 3, …, ГЗС </w:t>
      </w:r>
      <w:r>
        <w:rPr>
          <w:rFonts w:ascii="Times New Roman" w:hAnsi="Times New Roman"/>
          <w:i/>
          <w:sz w:val="24"/>
          <w:szCs w:val="24"/>
          <w:lang w:eastAsia="ru-RU"/>
        </w:rPr>
        <w:t>n</w:t>
      </w:r>
      <w:r>
        <w:rPr>
          <w:rFonts w:ascii="Times New Roman" w:hAnsi="Times New Roman"/>
          <w:sz w:val="24"/>
          <w:szCs w:val="24"/>
          <w:lang w:eastAsia="ru-RU"/>
        </w:rPr>
        <w:t xml:space="preserve"> приведут к изменениям в ресурсном обмене между ними и ГЗС 1 (рис. 1). В свою очередь изменения в данном ресурсном обмене приведут к изменению ожиданий ГЗС 1 к ГЗС 2, ГЗС 3, …, ГЗС </w:t>
      </w:r>
      <w:r>
        <w:rPr>
          <w:rFonts w:ascii="Times New Roman" w:hAnsi="Times New Roman"/>
          <w:i/>
          <w:sz w:val="24"/>
          <w:szCs w:val="24"/>
          <w:lang w:eastAsia="ru-RU"/>
        </w:rPr>
        <w:t>n</w:t>
      </w:r>
      <w:r>
        <w:rPr>
          <w:rFonts w:ascii="Times New Roman" w:hAnsi="Times New Roman"/>
          <w:sz w:val="24"/>
          <w:szCs w:val="24"/>
          <w:lang w:eastAsia="ru-RU"/>
        </w:rPr>
        <w:t xml:space="preserve">. Это, в свою очередь, приведет к изменению свойств ГЗС 1, которые определяют качество и количество ресурсов, получаемых организацией от ГЗС 1. При этом предполагается зависимость свойств ГЗС 1 от свойств ГЗС 2, ГЗС 3, …, ГЗС </w:t>
      </w:r>
      <w:r>
        <w:rPr>
          <w:rFonts w:ascii="Times New Roman" w:hAnsi="Times New Roman"/>
          <w:i/>
          <w:sz w:val="24"/>
          <w:szCs w:val="24"/>
          <w:lang w:eastAsia="ru-RU"/>
        </w:rPr>
        <w:t>n</w:t>
      </w:r>
      <w:r>
        <w:rPr>
          <w:rFonts w:ascii="Times New Roman" w:hAnsi="Times New Roman"/>
          <w:sz w:val="24"/>
          <w:szCs w:val="24"/>
          <w:lang w:eastAsia="ru-RU"/>
        </w:rPr>
        <w:t>. Аналогичные причинно-следственные связи существуют для ожиданий ГЗС от организации.</w:t>
      </w:r>
    </w:p>
    <w:p w:rsidR="00517711" w:rsidRDefault="00517711">
      <w:pPr>
        <w:spacing w:after="200" w:line="240" w:lineRule="auto"/>
        <w:contextualSpacing/>
        <w:rPr>
          <w:rFonts w:ascii="Times New Roman" w:hAnsi="Times New Roman"/>
          <w:sz w:val="24"/>
          <w:szCs w:val="24"/>
          <w:lang w:eastAsia="ru-RU"/>
        </w:rPr>
      </w:pPr>
    </w:p>
    <w:p w:rsidR="00517711" w:rsidRDefault="00517711">
      <w:pPr>
        <w:spacing w:after="200" w:line="240" w:lineRule="auto"/>
        <w:contextualSpacing/>
        <w:rPr>
          <w:rFonts w:ascii="Times New Roman" w:hAnsi="Times New Roman"/>
          <w:sz w:val="24"/>
          <w:szCs w:val="24"/>
          <w:lang w:eastAsia="ru-RU"/>
        </w:rPr>
      </w:pPr>
    </w:p>
    <w:p w:rsidR="00517711" w:rsidRDefault="00517711">
      <w:pPr>
        <w:spacing w:after="200" w:line="240" w:lineRule="auto"/>
        <w:contextualSpacing/>
        <w:rPr>
          <w:rFonts w:ascii="Times New Roman" w:hAnsi="Times New Roman"/>
          <w:sz w:val="24"/>
          <w:szCs w:val="24"/>
          <w:lang w:eastAsia="ru-RU"/>
        </w:rPr>
      </w:pPr>
    </w:p>
    <w:p w:rsidR="00517711" w:rsidRDefault="00F815BE">
      <w:pPr>
        <w:spacing w:after="0" w:line="240" w:lineRule="auto"/>
        <w:contextualSpacing/>
        <w:jc w:val="center"/>
        <w:rPr>
          <w:rFonts w:ascii="Times New Roman" w:hAnsi="Times New Roman"/>
          <w:sz w:val="24"/>
          <w:szCs w:val="24"/>
          <w:lang w:eastAsia="ru-RU"/>
        </w:rPr>
      </w:pPr>
      <w:r>
        <w:rPr>
          <w:rFonts w:ascii="Times New Roman" w:hAnsi="Times New Roman"/>
          <w:sz w:val="24"/>
          <w:szCs w:val="24"/>
          <w:lang w:eastAsia="ru-RU"/>
        </w:rPr>
        <w:t xml:space="preserve">Рис. 1. Влияние изменений свойств ГЗС 2, ГЗС 3,…, ГЗС </w:t>
      </w:r>
      <w:r>
        <w:rPr>
          <w:rFonts w:ascii="Times New Roman" w:hAnsi="Times New Roman"/>
          <w:i/>
          <w:sz w:val="24"/>
          <w:szCs w:val="24"/>
          <w:lang w:val="en-US" w:eastAsia="ru-RU"/>
        </w:rPr>
        <w:t>n</w:t>
      </w:r>
      <w:r>
        <w:rPr>
          <w:rFonts w:ascii="Times New Roman" w:hAnsi="Times New Roman"/>
          <w:sz w:val="24"/>
          <w:szCs w:val="24"/>
          <w:lang w:eastAsia="ru-RU"/>
        </w:rPr>
        <w:t>, определяющих ресурсный обмен между ними и ГЗС 1, на ожидания организации к ГЗС 1</w:t>
      </w:r>
    </w:p>
    <w:p w:rsidR="00517711" w:rsidRDefault="00517711">
      <w:pPr>
        <w:spacing w:after="0" w:line="240" w:lineRule="auto"/>
        <w:contextualSpacing/>
        <w:jc w:val="center"/>
        <w:rPr>
          <w:rFonts w:ascii="Times New Roman" w:hAnsi="Times New Roman"/>
          <w:sz w:val="24"/>
          <w:szCs w:val="24"/>
          <w:lang w:eastAsia="ru-RU"/>
        </w:rPr>
      </w:pPr>
    </w:p>
    <w:p w:rsidR="00517711" w:rsidRDefault="00F815BE">
      <w:pPr>
        <w:spacing w:after="0" w:line="240" w:lineRule="auto"/>
        <w:ind w:firstLine="709"/>
        <w:contextualSpacing/>
        <w:jc w:val="both"/>
        <w:rPr>
          <w:rFonts w:ascii="Times New Roman" w:hAnsi="Times New Roman"/>
          <w:sz w:val="24"/>
          <w:szCs w:val="24"/>
          <w:lang w:eastAsia="ru-RU"/>
        </w:rPr>
      </w:pPr>
      <w:r>
        <w:rPr>
          <w:rFonts w:ascii="Times New Roman" w:hAnsi="Times New Roman"/>
          <w:sz w:val="24"/>
          <w:szCs w:val="24"/>
          <w:lang w:eastAsia="ru-RU"/>
        </w:rPr>
        <w:t>Характеристики отношений в моделях рассматривались как нечеткие числа. Была задана база правил логического вывода, позволяющая определять количественные оценки изменения ожиданий организации к получаемым ресурсам от ГЗС от изменения свойств данных ГЗС и степени взаимного влияния между организацией и ГЗС.</w:t>
      </w:r>
    </w:p>
    <w:p w:rsidR="00517711" w:rsidRDefault="00F815BE">
      <w:pPr>
        <w:spacing w:after="0" w:line="240" w:lineRule="auto"/>
        <w:ind w:firstLine="709"/>
        <w:contextualSpacing/>
        <w:jc w:val="both"/>
        <w:rPr>
          <w:rFonts w:ascii="Times New Roman" w:hAnsi="Times New Roman"/>
          <w:sz w:val="24"/>
          <w:szCs w:val="24"/>
          <w:lang w:eastAsia="ru-RU"/>
        </w:rPr>
      </w:pPr>
      <w:r>
        <w:rPr>
          <w:rFonts w:ascii="Times New Roman" w:hAnsi="Times New Roman"/>
          <w:sz w:val="24"/>
          <w:szCs w:val="24"/>
          <w:lang w:eastAsia="ru-RU"/>
        </w:rPr>
        <w:t xml:space="preserve">В дальнейшем рассматривались возможные сценарии изменения отношений организации со стейкхолдерами. Для наиболее значимых сценариев рассчитывались весовые коэффициенты целесообразности применения различных типов стратегии организации по отношению к каждой ГЗС. Рассматривались четыре типа стратегий взаимодействия: удовлетворение запросов, защита, воздействие, сотрудничество. Для каждого типа стратегии </w:t>
      </w:r>
      <w:r>
        <w:rPr>
          <w:rFonts w:ascii="Times New Roman" w:hAnsi="Times New Roman"/>
          <w:sz w:val="24"/>
          <w:szCs w:val="24"/>
          <w:lang w:eastAsia="ru-RU"/>
        </w:rPr>
        <w:lastRenderedPageBreak/>
        <w:t xml:space="preserve">рассчитывался обобщенный критерий, представляющий собой взвешенную сумму частных критериев математического ожидания и среднеквадратичного отклонения с весовыми коэффициентами 1 и </w:t>
      </w:r>
      <w:r>
        <w:rPr>
          <w:rFonts w:ascii="Times New Roman" w:hAnsi="Times New Roman"/>
          <w:position w:val="-5"/>
          <w:sz w:val="24"/>
          <w:szCs w:val="24"/>
          <w:lang w:eastAsia="ru-RU"/>
        </w:rPr>
        <w:object w:dxaOrig="400" w:dyaOrig="278">
          <v:rect id="_x0000_i1033" style="width:20.25pt;height:14.25pt;mso-wrap-distance-left:0;mso-wrap-distance-top:0;mso-wrap-distance-right:0;mso-wrap-distance-bottom:0" o:ole="" filled="f" stroked="f">
            <v:imagedata r:id="rId301" o:title=""/>
          </v:rect>
          <o:OLEObject Type="Embed" ProgID="Equation.3" ShapeID="_x0000_i1033" DrawAspect="Content" ObjectID="_1603718610" r:id="rId302"/>
        </w:object>
      </w:r>
      <w:r>
        <w:rPr>
          <w:rFonts w:ascii="Times New Roman" w:hAnsi="Times New Roman"/>
          <w:sz w:val="24"/>
          <w:szCs w:val="24"/>
          <w:lang w:eastAsia="ru-RU"/>
        </w:rPr>
        <w:t xml:space="preserve">, при этом значение </w:t>
      </w:r>
      <w:r>
        <w:rPr>
          <w:rFonts w:ascii="Times New Roman" w:hAnsi="Times New Roman"/>
          <w:position w:val="-5"/>
          <w:sz w:val="24"/>
          <w:szCs w:val="24"/>
          <w:lang w:eastAsia="ru-RU"/>
        </w:rPr>
        <w:object w:dxaOrig="220" w:dyaOrig="278">
          <v:rect id="_x0000_i1034" style="width:11.25pt;height:14.25pt;mso-wrap-distance-left:0;mso-wrap-distance-top:0;mso-wrap-distance-right:0;mso-wrap-distance-bottom:0" o:ole="" filled="f" stroked="f">
            <v:imagedata r:id="rId303" o:title=""/>
          </v:rect>
          <o:OLEObject Type="Embed" ProgID="Equation.3" ShapeID="_x0000_i1034" DrawAspect="Content" ObjectID="_1603718611" r:id="rId304"/>
        </w:object>
      </w:r>
      <w:r>
        <w:rPr>
          <w:rFonts w:ascii="Times New Roman" w:hAnsi="Times New Roman"/>
          <w:sz w:val="24"/>
          <w:szCs w:val="24"/>
          <w:lang w:eastAsia="ru-RU"/>
        </w:rPr>
        <w:t xml:space="preserve"> характеризует склонность к риску лица, принимающего решение [5]. Выбор стратегии производился на основе данного критерия.</w:t>
      </w:r>
    </w:p>
    <w:p w:rsidR="00517711" w:rsidRDefault="00F815BE">
      <w:pPr>
        <w:spacing w:after="0" w:line="240" w:lineRule="auto"/>
        <w:ind w:firstLine="709"/>
        <w:contextualSpacing/>
        <w:jc w:val="both"/>
        <w:rPr>
          <w:rFonts w:ascii="Times New Roman" w:hAnsi="Times New Roman"/>
          <w:sz w:val="24"/>
          <w:szCs w:val="24"/>
          <w:lang w:eastAsia="ru-RU"/>
        </w:rPr>
      </w:pPr>
      <w:r>
        <w:rPr>
          <w:rFonts w:ascii="Times New Roman" w:hAnsi="Times New Roman"/>
          <w:sz w:val="24"/>
          <w:szCs w:val="24"/>
          <w:lang w:eastAsia="ru-RU"/>
        </w:rPr>
        <w:t xml:space="preserve">В предложенных моделях учитывались степени взаимного влияния (власти) в дуальных парах (диадах) «организация-стейкхолдер». Однако степени взаимного влияния в парах групп заинтересованных сторон во внимание не принимались. Вместе с тем, в парах стейкхолдеров существуют аналогичные причинно-следственные связи: изменение свойств ГЗС </w:t>
      </w:r>
      <w:r>
        <w:rPr>
          <w:rFonts w:ascii="Times New Roman" w:hAnsi="Times New Roman"/>
          <w:i/>
          <w:sz w:val="24"/>
          <w:szCs w:val="24"/>
          <w:lang w:val="en-US" w:eastAsia="ru-RU"/>
        </w:rPr>
        <w:t>i</w:t>
      </w:r>
      <w:r>
        <w:rPr>
          <w:rFonts w:ascii="Times New Roman" w:hAnsi="Times New Roman"/>
          <w:sz w:val="24"/>
          <w:szCs w:val="24"/>
          <w:lang w:eastAsia="ru-RU"/>
        </w:rPr>
        <w:t xml:space="preserve"> приводит к изменению ожиданий ГЗС </w:t>
      </w:r>
      <w:r>
        <w:rPr>
          <w:rFonts w:ascii="Times New Roman" w:hAnsi="Times New Roman"/>
          <w:i/>
          <w:sz w:val="24"/>
          <w:szCs w:val="24"/>
          <w:lang w:val="en-US" w:eastAsia="ru-RU"/>
        </w:rPr>
        <w:t>j</w:t>
      </w:r>
      <w:r>
        <w:rPr>
          <w:rFonts w:ascii="Times New Roman" w:hAnsi="Times New Roman"/>
          <w:sz w:val="24"/>
          <w:szCs w:val="24"/>
          <w:lang w:eastAsia="ru-RU"/>
        </w:rPr>
        <w:t xml:space="preserve"> к ГЗС </w:t>
      </w:r>
      <w:r>
        <w:rPr>
          <w:rFonts w:ascii="Times New Roman" w:hAnsi="Times New Roman"/>
          <w:i/>
          <w:sz w:val="24"/>
          <w:szCs w:val="24"/>
          <w:lang w:val="en-US" w:eastAsia="ru-RU"/>
        </w:rPr>
        <w:t>i</w:t>
      </w:r>
      <w:r>
        <w:rPr>
          <w:rFonts w:ascii="Times New Roman" w:hAnsi="Times New Roman"/>
          <w:sz w:val="24"/>
          <w:szCs w:val="24"/>
          <w:lang w:eastAsia="ru-RU"/>
        </w:rPr>
        <w:t xml:space="preserve"> и, соответственно, изменению свойств ГЗС </w:t>
      </w:r>
      <w:r>
        <w:rPr>
          <w:rFonts w:ascii="Times New Roman" w:hAnsi="Times New Roman"/>
          <w:i/>
          <w:sz w:val="24"/>
          <w:szCs w:val="24"/>
          <w:lang w:val="en-US" w:eastAsia="ru-RU"/>
        </w:rPr>
        <w:t>j</w:t>
      </w:r>
      <w:r>
        <w:rPr>
          <w:rFonts w:ascii="Times New Roman" w:hAnsi="Times New Roman"/>
          <w:sz w:val="24"/>
          <w:szCs w:val="24"/>
          <w:lang w:eastAsia="ru-RU"/>
        </w:rPr>
        <w:t>. При этом изменение ожиданий групп заинтересованных сторон друг к другу также является функцией изменения их свойств и степеней взаимного влияния. Но не только.</w:t>
      </w:r>
    </w:p>
    <w:p w:rsidR="00517711" w:rsidRDefault="00F815BE">
      <w:pPr>
        <w:spacing w:after="0" w:line="240" w:lineRule="auto"/>
        <w:ind w:firstLine="709"/>
        <w:contextualSpacing/>
        <w:jc w:val="both"/>
        <w:rPr>
          <w:rFonts w:ascii="Times New Roman" w:hAnsi="Times New Roman"/>
          <w:sz w:val="24"/>
          <w:szCs w:val="24"/>
          <w:lang w:eastAsia="ru-RU"/>
        </w:rPr>
      </w:pPr>
      <w:r>
        <w:rPr>
          <w:rFonts w:ascii="Times New Roman" w:hAnsi="Times New Roman"/>
          <w:sz w:val="24"/>
          <w:szCs w:val="24"/>
          <w:lang w:eastAsia="ru-RU"/>
        </w:rPr>
        <w:t>Логично предположить, что изменение ожиданий при изменении свойств контрагента зависит также от удовлетворенности ресурсами, получаемыми от этого контрагента. При низкой удовлетворенности (высокой неудовлетворенности) даже незначительное ухудшение свойств может приводить к существенному ухудшению ожиданий (даже при равной (нулевой) степени взаимного влияния (власти)). Более того, в случае низкой удовлетворенности даже отсутствие изменений в свойствах может привести к ухудшению ожиданий. И наоборот, при высокой удовлетворенности отсутствие изменений в свойствах может привести к улучшению ожиданий.</w:t>
      </w:r>
    </w:p>
    <w:p w:rsidR="00517711" w:rsidRDefault="00F815BE">
      <w:pPr>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В таблице 1 приведен фрагмент базы нечетких правил вывода значений лингвистической переменной изменения ожиданий при изменении свойства контрагента с учетом степени удовлетворенности при равной степени взаимного влияния. Заметим, что удовлетворенность оценивается в отношении только тех ресурсов, получаемых от контрагента, качество и количество которых зависит от данного свойства.</w:t>
      </w:r>
    </w:p>
    <w:p w:rsidR="00517711" w:rsidRDefault="00F815BE">
      <w:pPr>
        <w:spacing w:after="120" w:line="240" w:lineRule="auto"/>
        <w:jc w:val="right"/>
        <w:rPr>
          <w:rFonts w:ascii="Times New Roman" w:hAnsi="Times New Roman"/>
          <w:i/>
          <w:spacing w:val="-5"/>
          <w:sz w:val="24"/>
          <w:szCs w:val="24"/>
          <w:lang w:eastAsia="ru-RU"/>
        </w:rPr>
      </w:pPr>
      <w:r>
        <w:rPr>
          <w:rFonts w:ascii="Times New Roman" w:hAnsi="Times New Roman"/>
          <w:i/>
          <w:spacing w:val="-5"/>
          <w:sz w:val="24"/>
          <w:szCs w:val="24"/>
          <w:lang w:eastAsia="ru-RU"/>
        </w:rPr>
        <w:t>Таблица 1</w:t>
      </w:r>
    </w:p>
    <w:p w:rsidR="00517711" w:rsidRDefault="00F815BE">
      <w:pPr>
        <w:spacing w:after="120" w:line="240" w:lineRule="auto"/>
        <w:jc w:val="center"/>
        <w:rPr>
          <w:rFonts w:ascii="Times New Roman" w:hAnsi="Times New Roman"/>
          <w:b/>
          <w:color w:val="FF0000"/>
          <w:sz w:val="24"/>
          <w:szCs w:val="24"/>
          <w:lang w:eastAsia="ru-RU"/>
        </w:rPr>
      </w:pPr>
      <w:r>
        <w:rPr>
          <w:rFonts w:ascii="Times New Roman" w:hAnsi="Times New Roman"/>
          <w:b/>
          <w:spacing w:val="-5"/>
          <w:sz w:val="24"/>
          <w:szCs w:val="24"/>
          <w:lang w:eastAsia="ru-RU"/>
        </w:rPr>
        <w:t xml:space="preserve">Определение </w:t>
      </w:r>
      <w:r>
        <w:rPr>
          <w:rFonts w:ascii="Times New Roman" w:hAnsi="Times New Roman"/>
          <w:b/>
          <w:sz w:val="24"/>
          <w:szCs w:val="24"/>
          <w:lang w:eastAsia="ru-RU"/>
        </w:rPr>
        <w:t>значений лингвистической переменной изменения ожиданий при изменении свойства контрагента с учетом степени удовлетворенности при равной степени взаимного влияния</w:t>
      </w:r>
    </w:p>
    <w:tbl>
      <w:tblPr>
        <w:tblW w:w="9781" w:type="dxa"/>
        <w:tblInd w:w="108" w:type="dxa"/>
        <w:tblLayout w:type="fixed"/>
        <w:tblLook w:val="04A0" w:firstRow="1" w:lastRow="0" w:firstColumn="1" w:lastColumn="0" w:noHBand="0" w:noVBand="1"/>
      </w:tblPr>
      <w:tblGrid>
        <w:gridCol w:w="1288"/>
        <w:gridCol w:w="1148"/>
        <w:gridCol w:w="1120"/>
        <w:gridCol w:w="1218"/>
        <w:gridCol w:w="1231"/>
        <w:gridCol w:w="1274"/>
        <w:gridCol w:w="1274"/>
        <w:gridCol w:w="1228"/>
      </w:tblGrid>
      <w:tr w:rsidR="00517711">
        <w:trPr>
          <w:trHeight w:val="708"/>
        </w:trPr>
        <w:tc>
          <w:tcPr>
            <w:tcW w:w="1288" w:type="dxa"/>
            <w:tcBorders>
              <w:top w:val="single" w:sz="4" w:space="0" w:color="000000"/>
              <w:left w:val="singl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Вербальная оценка степени удовлетворен-ности</w:t>
            </w:r>
          </w:p>
        </w:tc>
        <w:tc>
          <w:tcPr>
            <w:tcW w:w="1148" w:type="dxa"/>
            <w:tcBorders>
              <w:top w:val="singl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Вербальная оценка изменения свойства</w:t>
            </w:r>
          </w:p>
        </w:tc>
        <w:tc>
          <w:tcPr>
            <w:tcW w:w="1120" w:type="dxa"/>
            <w:tcBorders>
              <w:top w:val="singl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Коренным образом ухудшится</w:t>
            </w:r>
          </w:p>
        </w:tc>
        <w:tc>
          <w:tcPr>
            <w:tcW w:w="1218" w:type="dxa"/>
            <w:tcBorders>
              <w:top w:val="singl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Значительно ухудшится</w:t>
            </w:r>
          </w:p>
        </w:tc>
        <w:tc>
          <w:tcPr>
            <w:tcW w:w="1231" w:type="dxa"/>
            <w:tcBorders>
              <w:top w:val="singl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Ухудшится</w:t>
            </w:r>
          </w:p>
        </w:tc>
        <w:tc>
          <w:tcPr>
            <w:tcW w:w="1274" w:type="dxa"/>
            <w:tcBorders>
              <w:top w:val="singl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Немного ухудшится</w:t>
            </w:r>
          </w:p>
        </w:tc>
        <w:tc>
          <w:tcPr>
            <w:tcW w:w="1274" w:type="dxa"/>
            <w:tcBorders>
              <w:top w:val="singl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Незначительно ухудшится</w:t>
            </w:r>
          </w:p>
        </w:tc>
        <w:tc>
          <w:tcPr>
            <w:tcW w:w="1228" w:type="dxa"/>
            <w:tcBorders>
              <w:top w:val="singl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 изменится</w:t>
            </w:r>
          </w:p>
        </w:tc>
      </w:tr>
      <w:tr w:rsidR="00517711">
        <w:trPr>
          <w:cantSplit/>
          <w:trHeight w:val="641"/>
        </w:trPr>
        <w:tc>
          <w:tcPr>
            <w:tcW w:w="1288" w:type="dxa"/>
            <w:tcBorders>
              <w:top w:val="none" w:sz="4" w:space="0" w:color="000000"/>
              <w:left w:val="singl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pacing w:val="-5"/>
                <w:sz w:val="18"/>
                <w:szCs w:val="18"/>
                <w:lang w:val="en-US" w:eastAsia="ru-RU"/>
              </w:rPr>
            </w:pPr>
            <w:r>
              <w:rPr>
                <w:rFonts w:ascii="Times New Roman" w:hAnsi="Times New Roman"/>
                <w:sz w:val="18"/>
                <w:szCs w:val="18"/>
                <w:lang w:eastAsia="ru-RU"/>
              </w:rPr>
              <w:t>Полностью не удовлетворен</w:t>
            </w:r>
          </w:p>
        </w:tc>
        <w:tc>
          <w:tcPr>
            <w:tcW w:w="1148" w:type="dxa"/>
            <w:vMerge w:val="restart"/>
            <w:tcBorders>
              <w:top w:val="none" w:sz="4" w:space="0" w:color="000000"/>
              <w:left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Вербальные оценки изменения ожиданий</w:t>
            </w:r>
          </w:p>
        </w:tc>
        <w:tc>
          <w:tcPr>
            <w:tcW w:w="1120"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Коренным образом ухудшится</w:t>
            </w:r>
          </w:p>
        </w:tc>
        <w:tc>
          <w:tcPr>
            <w:tcW w:w="1218"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Коренным образом ухудшится</w:t>
            </w:r>
          </w:p>
        </w:tc>
        <w:tc>
          <w:tcPr>
            <w:tcW w:w="1231"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Коренным образом ухудшится</w:t>
            </w:r>
          </w:p>
        </w:tc>
        <w:tc>
          <w:tcPr>
            <w:tcW w:w="1274"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Коренным образом ухудшится</w:t>
            </w:r>
          </w:p>
        </w:tc>
        <w:tc>
          <w:tcPr>
            <w:tcW w:w="1274"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Значительно ухудшится</w:t>
            </w:r>
          </w:p>
        </w:tc>
        <w:tc>
          <w:tcPr>
            <w:tcW w:w="1228"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Ухудшится</w:t>
            </w:r>
          </w:p>
        </w:tc>
      </w:tr>
      <w:tr w:rsidR="00517711">
        <w:trPr>
          <w:cantSplit/>
          <w:trHeight w:val="727"/>
        </w:trPr>
        <w:tc>
          <w:tcPr>
            <w:tcW w:w="1288" w:type="dxa"/>
            <w:tcBorders>
              <w:top w:val="none" w:sz="4" w:space="0" w:color="000000"/>
              <w:left w:val="singl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pacing w:val="-5"/>
                <w:sz w:val="18"/>
                <w:szCs w:val="18"/>
                <w:lang w:val="en-US" w:eastAsia="ru-RU"/>
              </w:rPr>
            </w:pPr>
            <w:r>
              <w:rPr>
                <w:rFonts w:ascii="Times New Roman" w:hAnsi="Times New Roman"/>
                <w:sz w:val="18"/>
                <w:szCs w:val="18"/>
                <w:lang w:eastAsia="ru-RU"/>
              </w:rPr>
              <w:t>Значительно не удовлетворен</w:t>
            </w:r>
          </w:p>
        </w:tc>
        <w:tc>
          <w:tcPr>
            <w:tcW w:w="1148" w:type="dxa"/>
            <w:vMerge/>
            <w:tcBorders>
              <w:left w:val="single" w:sz="4" w:space="0" w:color="000000"/>
              <w:right w:val="single" w:sz="4" w:space="0" w:color="000000"/>
            </w:tcBorders>
            <w:vAlign w:val="center"/>
          </w:tcPr>
          <w:p w:rsidR="00517711" w:rsidRDefault="00517711">
            <w:pPr>
              <w:spacing w:after="0" w:line="240" w:lineRule="auto"/>
              <w:ind w:left="-112" w:right="-112"/>
              <w:jc w:val="center"/>
              <w:rPr>
                <w:rFonts w:ascii="Times New Roman" w:hAnsi="Times New Roman"/>
                <w:sz w:val="18"/>
                <w:szCs w:val="18"/>
                <w:lang w:eastAsia="ru-RU"/>
              </w:rPr>
            </w:pPr>
          </w:p>
        </w:tc>
        <w:tc>
          <w:tcPr>
            <w:tcW w:w="1120"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Коренным образом ухудшится</w:t>
            </w:r>
          </w:p>
        </w:tc>
        <w:tc>
          <w:tcPr>
            <w:tcW w:w="1218"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Коренным образом ухудшится</w:t>
            </w:r>
          </w:p>
        </w:tc>
        <w:tc>
          <w:tcPr>
            <w:tcW w:w="1231"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Коренным образом ухудшится</w:t>
            </w:r>
          </w:p>
        </w:tc>
        <w:tc>
          <w:tcPr>
            <w:tcW w:w="1274"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Значительно ухудшится</w:t>
            </w:r>
          </w:p>
        </w:tc>
        <w:tc>
          <w:tcPr>
            <w:tcW w:w="1274"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Ухудшится</w:t>
            </w:r>
          </w:p>
        </w:tc>
        <w:tc>
          <w:tcPr>
            <w:tcW w:w="1228"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Немного ухудшится</w:t>
            </w:r>
          </w:p>
        </w:tc>
      </w:tr>
      <w:tr w:rsidR="00517711">
        <w:trPr>
          <w:cantSplit/>
          <w:trHeight w:val="765"/>
        </w:trPr>
        <w:tc>
          <w:tcPr>
            <w:tcW w:w="1288" w:type="dxa"/>
            <w:tcBorders>
              <w:top w:val="none" w:sz="4" w:space="0" w:color="000000"/>
              <w:left w:val="singl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pacing w:val="-5"/>
                <w:sz w:val="18"/>
                <w:szCs w:val="18"/>
                <w:lang w:val="en-US" w:eastAsia="ru-RU"/>
              </w:rPr>
            </w:pPr>
            <w:r>
              <w:rPr>
                <w:rFonts w:ascii="Times New Roman" w:hAnsi="Times New Roman"/>
                <w:sz w:val="18"/>
                <w:szCs w:val="18"/>
                <w:lang w:eastAsia="ru-RU"/>
              </w:rPr>
              <w:t>Умеренно не удовлетворен</w:t>
            </w:r>
          </w:p>
        </w:tc>
        <w:tc>
          <w:tcPr>
            <w:tcW w:w="1148" w:type="dxa"/>
            <w:vMerge/>
            <w:tcBorders>
              <w:left w:val="single" w:sz="4" w:space="0" w:color="000000"/>
              <w:right w:val="single" w:sz="4" w:space="0" w:color="000000"/>
            </w:tcBorders>
            <w:vAlign w:val="center"/>
          </w:tcPr>
          <w:p w:rsidR="00517711" w:rsidRDefault="00517711">
            <w:pPr>
              <w:spacing w:after="0" w:line="240" w:lineRule="auto"/>
              <w:ind w:left="-112" w:right="-112"/>
              <w:jc w:val="center"/>
              <w:rPr>
                <w:rFonts w:ascii="Times New Roman" w:hAnsi="Times New Roman"/>
                <w:sz w:val="18"/>
                <w:szCs w:val="18"/>
                <w:lang w:eastAsia="ru-RU"/>
              </w:rPr>
            </w:pPr>
          </w:p>
        </w:tc>
        <w:tc>
          <w:tcPr>
            <w:tcW w:w="1120"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Коренным образом ухудшится</w:t>
            </w:r>
          </w:p>
        </w:tc>
        <w:tc>
          <w:tcPr>
            <w:tcW w:w="1218"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Коренным образом ухудшится</w:t>
            </w:r>
          </w:p>
        </w:tc>
        <w:tc>
          <w:tcPr>
            <w:tcW w:w="1231"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Значительно ухудшится</w:t>
            </w:r>
          </w:p>
        </w:tc>
        <w:tc>
          <w:tcPr>
            <w:tcW w:w="1274"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Ухудшится</w:t>
            </w:r>
          </w:p>
        </w:tc>
        <w:tc>
          <w:tcPr>
            <w:tcW w:w="1274"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Немного ухудшится</w:t>
            </w:r>
          </w:p>
        </w:tc>
        <w:tc>
          <w:tcPr>
            <w:tcW w:w="1228"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Незначительно ухудшится</w:t>
            </w:r>
          </w:p>
        </w:tc>
      </w:tr>
      <w:tr w:rsidR="00517711">
        <w:trPr>
          <w:cantSplit/>
          <w:trHeight w:val="765"/>
        </w:trPr>
        <w:tc>
          <w:tcPr>
            <w:tcW w:w="1288" w:type="dxa"/>
            <w:tcBorders>
              <w:top w:val="none" w:sz="4" w:space="0" w:color="000000"/>
              <w:left w:val="singl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pacing w:val="-5"/>
                <w:sz w:val="18"/>
                <w:szCs w:val="18"/>
                <w:lang w:eastAsia="ru-RU"/>
              </w:rPr>
            </w:pPr>
            <w:r>
              <w:rPr>
                <w:rFonts w:ascii="Times New Roman" w:hAnsi="Times New Roman"/>
                <w:sz w:val="18"/>
                <w:szCs w:val="18"/>
                <w:lang w:eastAsia="ru-RU"/>
              </w:rPr>
              <w:t>Частично удовлетворен и частично не удовлетворен</w:t>
            </w:r>
          </w:p>
        </w:tc>
        <w:tc>
          <w:tcPr>
            <w:tcW w:w="1148" w:type="dxa"/>
            <w:vMerge/>
            <w:tcBorders>
              <w:left w:val="single" w:sz="4" w:space="0" w:color="000000"/>
              <w:right w:val="single" w:sz="4" w:space="0" w:color="000000"/>
            </w:tcBorders>
            <w:vAlign w:val="center"/>
          </w:tcPr>
          <w:p w:rsidR="00517711" w:rsidRDefault="00517711">
            <w:pPr>
              <w:spacing w:after="0" w:line="240" w:lineRule="auto"/>
              <w:ind w:left="-112" w:right="-112"/>
              <w:jc w:val="center"/>
              <w:rPr>
                <w:rFonts w:ascii="Times New Roman" w:hAnsi="Times New Roman"/>
                <w:sz w:val="18"/>
                <w:szCs w:val="18"/>
                <w:lang w:eastAsia="ru-RU"/>
              </w:rPr>
            </w:pPr>
          </w:p>
        </w:tc>
        <w:tc>
          <w:tcPr>
            <w:tcW w:w="1120"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Коренным образом ухудшится</w:t>
            </w:r>
          </w:p>
        </w:tc>
        <w:tc>
          <w:tcPr>
            <w:tcW w:w="1218"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Значительно ухудшится</w:t>
            </w:r>
          </w:p>
        </w:tc>
        <w:tc>
          <w:tcPr>
            <w:tcW w:w="1231"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Ухудшится</w:t>
            </w:r>
          </w:p>
        </w:tc>
        <w:tc>
          <w:tcPr>
            <w:tcW w:w="1274"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Немного ухудшится</w:t>
            </w:r>
          </w:p>
        </w:tc>
        <w:tc>
          <w:tcPr>
            <w:tcW w:w="1274"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Незначительно ухудшится</w:t>
            </w:r>
          </w:p>
        </w:tc>
        <w:tc>
          <w:tcPr>
            <w:tcW w:w="1228"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 изменится</w:t>
            </w:r>
          </w:p>
        </w:tc>
      </w:tr>
      <w:tr w:rsidR="00517711">
        <w:trPr>
          <w:cantSplit/>
          <w:trHeight w:val="591"/>
        </w:trPr>
        <w:tc>
          <w:tcPr>
            <w:tcW w:w="1288" w:type="dxa"/>
            <w:tcBorders>
              <w:top w:val="none" w:sz="4" w:space="0" w:color="000000"/>
              <w:left w:val="singl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pacing w:val="-5"/>
                <w:sz w:val="18"/>
                <w:szCs w:val="18"/>
                <w:lang w:val="en-US" w:eastAsia="ru-RU"/>
              </w:rPr>
            </w:pPr>
            <w:r>
              <w:rPr>
                <w:rFonts w:ascii="Times New Roman" w:hAnsi="Times New Roman"/>
                <w:sz w:val="18"/>
                <w:szCs w:val="18"/>
                <w:lang w:eastAsia="ru-RU"/>
              </w:rPr>
              <w:t>Умеренно удовлетворен</w:t>
            </w:r>
          </w:p>
        </w:tc>
        <w:tc>
          <w:tcPr>
            <w:tcW w:w="1148" w:type="dxa"/>
            <w:vMerge/>
            <w:tcBorders>
              <w:left w:val="single" w:sz="4" w:space="0" w:color="000000"/>
              <w:right w:val="single" w:sz="4" w:space="0" w:color="000000"/>
            </w:tcBorders>
            <w:vAlign w:val="center"/>
          </w:tcPr>
          <w:p w:rsidR="00517711" w:rsidRDefault="00517711">
            <w:pPr>
              <w:spacing w:after="0" w:line="240" w:lineRule="auto"/>
              <w:ind w:left="-112" w:right="-112"/>
              <w:jc w:val="center"/>
              <w:rPr>
                <w:rFonts w:ascii="Times New Roman" w:hAnsi="Times New Roman"/>
                <w:sz w:val="18"/>
                <w:szCs w:val="18"/>
                <w:lang w:eastAsia="ru-RU"/>
              </w:rPr>
            </w:pPr>
          </w:p>
        </w:tc>
        <w:tc>
          <w:tcPr>
            <w:tcW w:w="1120"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Значительно ухудшится</w:t>
            </w:r>
          </w:p>
        </w:tc>
        <w:tc>
          <w:tcPr>
            <w:tcW w:w="1218"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Ухудшится</w:t>
            </w:r>
          </w:p>
        </w:tc>
        <w:tc>
          <w:tcPr>
            <w:tcW w:w="1231"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Немного ухудшится</w:t>
            </w:r>
          </w:p>
        </w:tc>
        <w:tc>
          <w:tcPr>
            <w:tcW w:w="1274"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Незначительно ухудшится</w:t>
            </w:r>
          </w:p>
        </w:tc>
        <w:tc>
          <w:tcPr>
            <w:tcW w:w="1274"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 изменится</w:t>
            </w:r>
          </w:p>
        </w:tc>
        <w:tc>
          <w:tcPr>
            <w:tcW w:w="1228"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 изменится</w:t>
            </w:r>
          </w:p>
        </w:tc>
      </w:tr>
      <w:tr w:rsidR="00517711">
        <w:trPr>
          <w:cantSplit/>
          <w:trHeight w:val="445"/>
        </w:trPr>
        <w:tc>
          <w:tcPr>
            <w:tcW w:w="1288" w:type="dxa"/>
            <w:tcBorders>
              <w:top w:val="none" w:sz="4" w:space="0" w:color="000000"/>
              <w:left w:val="singl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pacing w:val="-5"/>
                <w:sz w:val="18"/>
                <w:szCs w:val="18"/>
                <w:lang w:eastAsia="ru-RU"/>
              </w:rPr>
            </w:pPr>
            <w:r>
              <w:rPr>
                <w:rFonts w:ascii="Times New Roman" w:hAnsi="Times New Roman"/>
                <w:sz w:val="18"/>
                <w:szCs w:val="18"/>
                <w:lang w:eastAsia="ru-RU"/>
              </w:rPr>
              <w:t>Значительно </w:t>
            </w:r>
            <w:r>
              <w:rPr>
                <w:rFonts w:ascii="Times New Roman" w:hAnsi="Times New Roman"/>
                <w:sz w:val="18"/>
                <w:szCs w:val="18"/>
                <w:lang w:eastAsia="ru-RU"/>
              </w:rPr>
              <w:br/>
              <w:t>удовлетворен</w:t>
            </w:r>
          </w:p>
        </w:tc>
        <w:tc>
          <w:tcPr>
            <w:tcW w:w="1148" w:type="dxa"/>
            <w:vMerge/>
            <w:tcBorders>
              <w:left w:val="single" w:sz="4" w:space="0" w:color="000000"/>
              <w:right w:val="single" w:sz="4" w:space="0" w:color="000000"/>
            </w:tcBorders>
            <w:vAlign w:val="center"/>
          </w:tcPr>
          <w:p w:rsidR="00517711" w:rsidRDefault="00517711">
            <w:pPr>
              <w:spacing w:after="0" w:line="240" w:lineRule="auto"/>
              <w:ind w:left="-112" w:right="-112"/>
              <w:jc w:val="center"/>
              <w:rPr>
                <w:rFonts w:ascii="Times New Roman" w:hAnsi="Times New Roman"/>
                <w:sz w:val="18"/>
                <w:szCs w:val="18"/>
                <w:lang w:eastAsia="ru-RU"/>
              </w:rPr>
            </w:pPr>
          </w:p>
        </w:tc>
        <w:tc>
          <w:tcPr>
            <w:tcW w:w="1120"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Значительно ухудшится</w:t>
            </w:r>
          </w:p>
        </w:tc>
        <w:tc>
          <w:tcPr>
            <w:tcW w:w="1218"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Ухудшится</w:t>
            </w:r>
          </w:p>
        </w:tc>
        <w:tc>
          <w:tcPr>
            <w:tcW w:w="1231"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Немного ухудшится</w:t>
            </w:r>
          </w:p>
        </w:tc>
        <w:tc>
          <w:tcPr>
            <w:tcW w:w="1274"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Незначительно ухудшится</w:t>
            </w:r>
          </w:p>
        </w:tc>
        <w:tc>
          <w:tcPr>
            <w:tcW w:w="1274"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 изменится</w:t>
            </w:r>
          </w:p>
        </w:tc>
        <w:tc>
          <w:tcPr>
            <w:tcW w:w="1228"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Незначительно улучшится</w:t>
            </w:r>
          </w:p>
        </w:tc>
      </w:tr>
      <w:tr w:rsidR="00517711">
        <w:trPr>
          <w:cantSplit/>
          <w:trHeight w:val="445"/>
        </w:trPr>
        <w:tc>
          <w:tcPr>
            <w:tcW w:w="1288" w:type="dxa"/>
            <w:tcBorders>
              <w:top w:val="single" w:sz="4" w:space="0" w:color="000000"/>
              <w:left w:val="singl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Полностью удовлетворен</w:t>
            </w:r>
          </w:p>
        </w:tc>
        <w:tc>
          <w:tcPr>
            <w:tcW w:w="1148" w:type="dxa"/>
            <w:vMerge/>
            <w:tcBorders>
              <w:left w:val="single" w:sz="4" w:space="0" w:color="000000"/>
              <w:bottom w:val="single" w:sz="4" w:space="0" w:color="000000"/>
              <w:right w:val="single" w:sz="4" w:space="0" w:color="000000"/>
            </w:tcBorders>
            <w:vAlign w:val="center"/>
          </w:tcPr>
          <w:p w:rsidR="00517711" w:rsidRDefault="00517711">
            <w:pPr>
              <w:spacing w:after="0" w:line="240" w:lineRule="auto"/>
              <w:ind w:left="-112" w:right="-112"/>
              <w:jc w:val="center"/>
              <w:rPr>
                <w:rFonts w:ascii="Times New Roman" w:hAnsi="Times New Roman"/>
                <w:sz w:val="18"/>
                <w:szCs w:val="18"/>
                <w:lang w:eastAsia="ru-RU"/>
              </w:rPr>
            </w:pPr>
          </w:p>
        </w:tc>
        <w:tc>
          <w:tcPr>
            <w:tcW w:w="1120" w:type="dxa"/>
            <w:tcBorders>
              <w:top w:val="singl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Ухудшится</w:t>
            </w:r>
          </w:p>
        </w:tc>
        <w:tc>
          <w:tcPr>
            <w:tcW w:w="1218" w:type="dxa"/>
            <w:tcBorders>
              <w:top w:val="singl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Немного ухудшится</w:t>
            </w:r>
          </w:p>
        </w:tc>
        <w:tc>
          <w:tcPr>
            <w:tcW w:w="1231" w:type="dxa"/>
            <w:tcBorders>
              <w:top w:val="singl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Незначительно ухудшится</w:t>
            </w:r>
          </w:p>
        </w:tc>
        <w:tc>
          <w:tcPr>
            <w:tcW w:w="1274" w:type="dxa"/>
            <w:tcBorders>
              <w:top w:val="singl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 изменится</w:t>
            </w:r>
          </w:p>
        </w:tc>
        <w:tc>
          <w:tcPr>
            <w:tcW w:w="1274" w:type="dxa"/>
            <w:tcBorders>
              <w:top w:val="singl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 изменится</w:t>
            </w:r>
          </w:p>
        </w:tc>
        <w:tc>
          <w:tcPr>
            <w:tcW w:w="1228" w:type="dxa"/>
            <w:tcBorders>
              <w:top w:val="singl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Немного улучшится</w:t>
            </w:r>
          </w:p>
        </w:tc>
      </w:tr>
    </w:tbl>
    <w:p w:rsidR="00517711" w:rsidRDefault="00517711">
      <w:pPr>
        <w:spacing w:after="0" w:line="240" w:lineRule="auto"/>
        <w:ind w:firstLine="709"/>
        <w:contextualSpacing/>
        <w:jc w:val="both"/>
        <w:rPr>
          <w:rFonts w:ascii="Times New Roman" w:hAnsi="Times New Roman"/>
          <w:sz w:val="24"/>
          <w:szCs w:val="24"/>
          <w:lang w:eastAsia="ru-RU"/>
        </w:rPr>
      </w:pPr>
    </w:p>
    <w:p w:rsidR="00517711" w:rsidRDefault="00F815BE">
      <w:pPr>
        <w:spacing w:after="0" w:line="240" w:lineRule="auto"/>
        <w:ind w:firstLine="709"/>
        <w:contextualSpacing/>
        <w:jc w:val="both"/>
        <w:rPr>
          <w:rFonts w:ascii="Times New Roman" w:hAnsi="Times New Roman"/>
          <w:sz w:val="24"/>
          <w:szCs w:val="24"/>
          <w:lang w:eastAsia="ru-RU"/>
        </w:rPr>
      </w:pPr>
      <w:r>
        <w:rPr>
          <w:rFonts w:ascii="Times New Roman" w:hAnsi="Times New Roman"/>
          <w:sz w:val="24"/>
          <w:szCs w:val="24"/>
          <w:lang w:eastAsia="ru-RU"/>
        </w:rPr>
        <w:t xml:space="preserve">При смещении степени взаимного влияния в сторону большей власти актора (над контрагентом), оценки ожиданий будут смещаться в позитивную сторону (в сторону значения «Коренным образом улучшится»). И наоборот, при смещении степени взаимного </w:t>
      </w:r>
      <w:r>
        <w:rPr>
          <w:rFonts w:ascii="Times New Roman" w:hAnsi="Times New Roman"/>
          <w:sz w:val="24"/>
          <w:szCs w:val="24"/>
          <w:lang w:eastAsia="ru-RU"/>
        </w:rPr>
        <w:lastRenderedPageBreak/>
        <w:t>влияния в сторону большей власти контрагента, оценки ожиданий будут смещаться в негативную сторону (в сторону значения «Коренным образом ухудшится»).</w:t>
      </w:r>
    </w:p>
    <w:p w:rsidR="00517711" w:rsidRDefault="00F815BE">
      <w:pPr>
        <w:spacing w:after="0" w:line="240" w:lineRule="auto"/>
        <w:ind w:firstLine="709"/>
        <w:contextualSpacing/>
        <w:jc w:val="both"/>
        <w:rPr>
          <w:rFonts w:ascii="Times New Roman" w:hAnsi="Times New Roman"/>
          <w:sz w:val="24"/>
          <w:szCs w:val="24"/>
          <w:lang w:eastAsia="ru-RU"/>
        </w:rPr>
      </w:pPr>
      <w:r>
        <w:rPr>
          <w:rFonts w:ascii="Times New Roman" w:hAnsi="Times New Roman"/>
          <w:sz w:val="24"/>
          <w:szCs w:val="24"/>
          <w:lang w:eastAsia="ru-RU"/>
        </w:rPr>
        <w:t>Заметим, что у контрагента обычно одновременно изменяется не одно, а несколько свойств. В этой связи, на основе предложенной базы правил и заданных функций принадлежности определяем изменение ожиданий как выпуклую комбинацию соответствующих нечетких чисел, с учетом весовых коэффициентов свойств [1, 6]. При этом веса свойств также могут быть нечеткими.</w:t>
      </w:r>
    </w:p>
    <w:p w:rsidR="00517711" w:rsidRDefault="00F815BE">
      <w:pPr>
        <w:spacing w:after="0" w:line="240" w:lineRule="auto"/>
        <w:ind w:firstLine="709"/>
        <w:contextualSpacing/>
        <w:jc w:val="both"/>
        <w:rPr>
          <w:rFonts w:ascii="Times New Roman" w:hAnsi="Times New Roman"/>
          <w:sz w:val="24"/>
          <w:szCs w:val="24"/>
          <w:lang w:eastAsia="ru-RU"/>
        </w:rPr>
      </w:pPr>
      <w:r>
        <w:rPr>
          <w:rFonts w:ascii="Times New Roman" w:hAnsi="Times New Roman"/>
          <w:sz w:val="24"/>
          <w:szCs w:val="24"/>
          <w:lang w:eastAsia="ru-RU"/>
        </w:rPr>
        <w:t xml:space="preserve">После пересчета ожиданий стейкхолдеров друг к другу и к организации, а также организации к стейкхолдерам и расчета соответствующих степеней желания изменений, мы можем рассчитать нечеткие весовые коэффициенты целесообразности применения стратегий взаимодействия организации со стейкхолдерами различных типов. При этом при выборе наиболее целесообразного типа стратегии предлагается рассматривать не четыре, а пять типов стратегий (еще одним типом является сдержанность [7]). </w:t>
      </w:r>
    </w:p>
    <w:p w:rsidR="00517711" w:rsidRDefault="00F815BE">
      <w:pPr>
        <w:spacing w:after="0" w:line="240" w:lineRule="auto"/>
        <w:ind w:firstLine="709"/>
        <w:contextualSpacing/>
        <w:jc w:val="both"/>
        <w:rPr>
          <w:rFonts w:ascii="Times New Roman" w:hAnsi="Times New Roman"/>
          <w:sz w:val="24"/>
          <w:szCs w:val="24"/>
          <w:lang w:eastAsia="ru-RU"/>
        </w:rPr>
      </w:pPr>
      <w:r>
        <w:rPr>
          <w:rFonts w:ascii="Times New Roman" w:hAnsi="Times New Roman"/>
          <w:sz w:val="24"/>
          <w:szCs w:val="24"/>
          <w:lang w:eastAsia="ru-RU"/>
        </w:rPr>
        <w:t>Окончательный выбор стратегии взаимодействия может осуществляться не только в соответствии с обобщенным критерием, но и на основе критерия ожидаемой полезности (детерминированного эквивалента) [8, 9].</w:t>
      </w:r>
    </w:p>
    <w:p w:rsidR="00517711" w:rsidRDefault="00F815BE">
      <w:pPr>
        <w:spacing w:after="0" w:line="240" w:lineRule="auto"/>
        <w:ind w:firstLine="709"/>
        <w:contextualSpacing/>
        <w:jc w:val="both"/>
        <w:rPr>
          <w:rFonts w:ascii="Times New Roman" w:hAnsi="Times New Roman"/>
          <w:sz w:val="24"/>
          <w:szCs w:val="24"/>
          <w:lang w:eastAsia="ru-RU"/>
        </w:rPr>
      </w:pPr>
      <w:r>
        <w:rPr>
          <w:rFonts w:ascii="Times New Roman" w:hAnsi="Times New Roman"/>
          <w:sz w:val="24"/>
          <w:szCs w:val="24"/>
          <w:lang w:eastAsia="ru-RU"/>
        </w:rPr>
        <w:t>Таким образом, в работе предложена модель выбора стратегий взаимодействия организации с группами заинтересованных сторон с учетом степени взаимного влияния между стейкхолдерами, что существенно отличает ее от ранее разработанных подобных моделей, в которых учитывались взаимоотношения между заинтересованными сторонами организации. В модели предложен более сложный способ определения изменения ожиданий, которые предлагается рассматривать как функцию изменения свойств контрагента, степени взаимного влияния и степени удовлетворенности. Еще одним отличием модели является расширение множества типов стратегий взаимодействия.</w:t>
      </w:r>
    </w:p>
    <w:p w:rsidR="00517711" w:rsidRDefault="00F815BE">
      <w:pPr>
        <w:spacing w:after="0" w:line="240" w:lineRule="auto"/>
        <w:ind w:firstLine="709"/>
        <w:contextualSpacing/>
        <w:jc w:val="both"/>
        <w:rPr>
          <w:rFonts w:ascii="Times New Roman" w:hAnsi="Times New Roman"/>
          <w:b/>
          <w:sz w:val="24"/>
          <w:szCs w:val="24"/>
          <w:lang w:eastAsia="ru-RU"/>
        </w:rPr>
      </w:pPr>
      <w:r>
        <w:rPr>
          <w:rFonts w:ascii="Times New Roman" w:hAnsi="Times New Roman"/>
          <w:b/>
          <w:sz w:val="24"/>
          <w:szCs w:val="24"/>
          <w:lang w:eastAsia="ru-RU"/>
        </w:rPr>
        <w:t>__________________________________________________________________________</w:t>
      </w:r>
    </w:p>
    <w:p w:rsidR="00517711" w:rsidRDefault="00F815BE">
      <w:pPr>
        <w:spacing w:after="0" w:line="240" w:lineRule="auto"/>
        <w:ind w:firstLine="709"/>
        <w:jc w:val="both"/>
        <w:rPr>
          <w:rFonts w:ascii="Times New Roman" w:hAnsi="Times New Roman"/>
          <w:sz w:val="24"/>
          <w:szCs w:val="24"/>
          <w:lang w:eastAsia="ru-RU"/>
        </w:rPr>
      </w:pPr>
      <w:r>
        <w:rPr>
          <w:rFonts w:ascii="Times New Roman" w:hAnsi="Times New Roman"/>
          <w:spacing w:val="-5"/>
          <w:sz w:val="24"/>
          <w:szCs w:val="24"/>
          <w:lang w:eastAsia="ru-RU"/>
        </w:rPr>
        <w:t xml:space="preserve">1. </w:t>
      </w:r>
      <w:r>
        <w:rPr>
          <w:rFonts w:ascii="Times New Roman" w:hAnsi="Times New Roman"/>
          <w:sz w:val="24"/>
          <w:szCs w:val="24"/>
          <w:lang w:eastAsia="ru-RU"/>
        </w:rPr>
        <w:t>Гресько А.А., Рахманова М.С., Солодухин К.С. Разработка стратегий взаимодействия вуза с группами заинтересованных сторон с учетом отношений заинтересованных сторон между собой // Современные проблемы науки и образования. – 2011. – № 5. – С. 115.</w:t>
      </w:r>
    </w:p>
    <w:p w:rsidR="00517711" w:rsidRDefault="00F815BE">
      <w:pPr>
        <w:spacing w:after="0" w:line="240" w:lineRule="auto"/>
        <w:ind w:firstLine="709"/>
        <w:jc w:val="both"/>
        <w:rPr>
          <w:rFonts w:ascii="Times New Roman" w:hAnsi="Times New Roman"/>
          <w:spacing w:val="-5"/>
          <w:sz w:val="24"/>
          <w:szCs w:val="24"/>
          <w:lang w:eastAsia="ru-RU"/>
        </w:rPr>
      </w:pPr>
      <w:r>
        <w:rPr>
          <w:rFonts w:ascii="Times New Roman" w:hAnsi="Times New Roman"/>
          <w:sz w:val="24"/>
          <w:szCs w:val="24"/>
          <w:lang w:eastAsia="ru-RU"/>
        </w:rPr>
        <w:t>2. Гресько А.А., Солодухин К.С., Рахманова М.С. Выбор стратегий взаимодействия организации с группами заинтересованных сторон с учетом отношений между заинтересованными сторонами // Научное обозрение. Серия 1. Экономика и право. – 2011. – № 4. – С. 20-31.</w:t>
      </w:r>
    </w:p>
    <w:p w:rsidR="00517711" w:rsidRDefault="00F815BE">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3. Гресько А.А. Выбор стратегий взаимодействия организации со стейкхолдерами с учетом возможных сценариев взаимодействия стейкхолдеров между собой // Научное обозрение. Серия 1: Экономика и право. – 2012. – №5. – С.84-100.</w:t>
      </w:r>
    </w:p>
    <w:p w:rsidR="00517711" w:rsidRDefault="00F815BE">
      <w:pPr>
        <w:spacing w:after="0" w:line="240" w:lineRule="auto"/>
        <w:ind w:firstLine="709"/>
        <w:jc w:val="both"/>
        <w:rPr>
          <w:rFonts w:ascii="Times New Roman" w:hAnsi="Times New Roman"/>
          <w:spacing w:val="-5"/>
          <w:sz w:val="24"/>
          <w:szCs w:val="24"/>
          <w:lang w:eastAsia="ru-RU"/>
        </w:rPr>
      </w:pPr>
      <w:r>
        <w:rPr>
          <w:rFonts w:ascii="Times New Roman" w:hAnsi="Times New Roman"/>
          <w:spacing w:val="-5"/>
          <w:sz w:val="24"/>
          <w:szCs w:val="24"/>
          <w:lang w:eastAsia="ru-RU"/>
        </w:rPr>
        <w:t>4. Горбунова М.В., Гресько А.А., Солодухин К.С. Многопериодная модель выбора типов стратегий взаимодействия организации со стейкхолдерами с учетом отношений заинтересованных сторон между собой // Фундаментальные исследования. – 2015. – № 2-25. – С.5626-5630.</w:t>
      </w:r>
    </w:p>
    <w:p w:rsidR="00517711" w:rsidRDefault="00F815BE">
      <w:pPr>
        <w:spacing w:after="0" w:line="240" w:lineRule="auto"/>
        <w:ind w:firstLine="709"/>
        <w:jc w:val="both"/>
        <w:rPr>
          <w:rFonts w:ascii="Times New Roman" w:hAnsi="Times New Roman"/>
          <w:spacing w:val="-5"/>
          <w:sz w:val="24"/>
          <w:szCs w:val="24"/>
          <w:lang w:eastAsia="ru-RU"/>
        </w:rPr>
      </w:pPr>
      <w:r>
        <w:rPr>
          <w:rFonts w:ascii="Times New Roman" w:hAnsi="Times New Roman"/>
          <w:spacing w:val="-5"/>
          <w:sz w:val="24"/>
          <w:szCs w:val="24"/>
          <w:lang w:eastAsia="ru-RU"/>
        </w:rPr>
        <w:t>5. Розен В.В. Математические модели принятия решений в экономике. Учебное пособие. – М.: Книжный дом «Университет», Высшая школа, 2002. – 288 с.</w:t>
      </w:r>
    </w:p>
    <w:p w:rsidR="00517711" w:rsidRDefault="00F815BE">
      <w:pPr>
        <w:spacing w:after="0" w:line="240" w:lineRule="auto"/>
        <w:ind w:firstLine="709"/>
        <w:jc w:val="both"/>
        <w:rPr>
          <w:rFonts w:ascii="Times New Roman" w:hAnsi="Times New Roman"/>
          <w:bCs/>
          <w:spacing w:val="-5"/>
          <w:sz w:val="24"/>
          <w:szCs w:val="24"/>
          <w:lang w:eastAsia="ru-RU"/>
        </w:rPr>
      </w:pPr>
      <w:r>
        <w:rPr>
          <w:rFonts w:ascii="Times New Roman" w:hAnsi="Times New Roman"/>
          <w:bCs/>
          <w:spacing w:val="-5"/>
          <w:sz w:val="24"/>
          <w:szCs w:val="24"/>
          <w:lang w:eastAsia="ru-RU"/>
        </w:rPr>
        <w:t>6. Пивкин В.Я, Бакулин Е.П, Кореньков Д.И. Нечеткие множества в системах управления. Новосибирск: НГУ, 1998. – 75 с.</w:t>
      </w:r>
    </w:p>
    <w:p w:rsidR="00517711" w:rsidRDefault="00F815BE">
      <w:pPr>
        <w:spacing w:after="0" w:line="240" w:lineRule="auto"/>
        <w:ind w:firstLine="709"/>
        <w:jc w:val="both"/>
        <w:rPr>
          <w:rFonts w:ascii="Times New Roman" w:hAnsi="Times New Roman"/>
          <w:bCs/>
          <w:spacing w:val="-5"/>
          <w:sz w:val="24"/>
          <w:szCs w:val="24"/>
          <w:lang w:eastAsia="ru-RU"/>
        </w:rPr>
      </w:pPr>
      <w:r>
        <w:rPr>
          <w:rFonts w:ascii="Times New Roman" w:hAnsi="Times New Roman"/>
          <w:bCs/>
          <w:spacing w:val="-5"/>
          <w:sz w:val="24"/>
          <w:szCs w:val="24"/>
          <w:lang w:eastAsia="ru-RU"/>
        </w:rPr>
        <w:t>7. Горбунова М.В., Гресько А.А., Солодухин К.С. Нечетко-множественная многопериодная модель выбора стратегий взаимодействия организации с группами заинтересованных сторон на основе обобщенного критерия // Вестник Астраханского государственного технического университета. Серия: Экономика. – 2016. – № 4. – С. 46-55.</w:t>
      </w:r>
    </w:p>
    <w:p w:rsidR="00517711" w:rsidRDefault="00F815BE">
      <w:pPr>
        <w:spacing w:after="0" w:line="240" w:lineRule="auto"/>
        <w:ind w:firstLine="709"/>
        <w:jc w:val="both"/>
        <w:rPr>
          <w:rFonts w:ascii="Times New Roman" w:hAnsi="Times New Roman"/>
          <w:spacing w:val="-5"/>
          <w:sz w:val="24"/>
          <w:szCs w:val="24"/>
          <w:lang w:eastAsia="ru-RU"/>
        </w:rPr>
      </w:pPr>
      <w:r>
        <w:rPr>
          <w:rFonts w:ascii="Times New Roman" w:hAnsi="Times New Roman"/>
          <w:bCs/>
          <w:spacing w:val="-5"/>
          <w:sz w:val="24"/>
          <w:szCs w:val="24"/>
          <w:lang w:eastAsia="ru-RU"/>
        </w:rPr>
        <w:t>8. Гресько А.А., Солодухин К.С. Метод выбора стратегий взаимодействия вуза со стейкхолдерами на основе детерминированного эквивалента // Современные проблемы науки и образования. – 2013. – №6. – С. 456.</w:t>
      </w:r>
    </w:p>
    <w:p w:rsidR="00517711" w:rsidRDefault="00F815BE">
      <w:pPr>
        <w:spacing w:after="0" w:line="240" w:lineRule="auto"/>
        <w:ind w:firstLine="709"/>
        <w:jc w:val="both"/>
        <w:rPr>
          <w:rFonts w:ascii="Times New Roman" w:hAnsi="Times New Roman"/>
          <w:spacing w:val="-5"/>
          <w:sz w:val="24"/>
          <w:szCs w:val="24"/>
          <w:lang w:eastAsia="ru-RU"/>
        </w:rPr>
      </w:pPr>
      <w:r>
        <w:rPr>
          <w:rFonts w:ascii="Times New Roman" w:hAnsi="Times New Roman"/>
          <w:spacing w:val="-5"/>
          <w:sz w:val="24"/>
          <w:szCs w:val="24"/>
          <w:lang w:eastAsia="ru-RU"/>
        </w:rPr>
        <w:lastRenderedPageBreak/>
        <w:t xml:space="preserve">9. </w:t>
      </w:r>
      <w:r>
        <w:rPr>
          <w:rFonts w:ascii="Times New Roman" w:hAnsi="Times New Roman"/>
          <w:bCs/>
          <w:spacing w:val="-5"/>
          <w:sz w:val="24"/>
          <w:szCs w:val="24"/>
          <w:lang w:eastAsia="ru-RU"/>
        </w:rPr>
        <w:t>Гресько А.А., Солодухин К.С. Нечетко-множественная многопериодная модель выбора стратегий взаимодействия организации с группами стейкхолдеров на основе детерминированного эквивалента // Азимут научных исследований: экономика и управление. – 2017. – Т.6. – № 3 (20). – С. 115-118.</w:t>
      </w:r>
    </w:p>
    <w:p w:rsidR="00517711" w:rsidRDefault="00517711">
      <w:pPr>
        <w:spacing w:after="0" w:line="240" w:lineRule="auto"/>
        <w:jc w:val="both"/>
        <w:rPr>
          <w:rFonts w:ascii="Times New Roman" w:hAnsi="Times New Roman"/>
          <w:spacing w:val="-5"/>
          <w:sz w:val="24"/>
          <w:szCs w:val="24"/>
          <w:lang w:eastAsia="ru-RU"/>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F815BE">
      <w:pPr>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Рубрика: </w:t>
      </w:r>
      <w:r>
        <w:rPr>
          <w:rFonts w:ascii="Times New Roman" w:hAnsi="Times New Roman"/>
          <w:sz w:val="24"/>
          <w:szCs w:val="24"/>
        </w:rPr>
        <w:t>Очистка сточных вод от конкретных веществ</w:t>
      </w:r>
    </w:p>
    <w:p w:rsidR="00517711" w:rsidRDefault="00F815BE">
      <w:pPr>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УДК </w:t>
      </w:r>
      <w:r>
        <w:rPr>
          <w:rFonts w:ascii="Times New Roman" w:hAnsi="Times New Roman"/>
          <w:sz w:val="24"/>
          <w:szCs w:val="24"/>
        </w:rPr>
        <w:t>628.316.12</w:t>
      </w:r>
    </w:p>
    <w:p w:rsidR="00517711" w:rsidRDefault="00F815BE">
      <w:pPr>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Рубрика: </w:t>
      </w:r>
      <w:r>
        <w:rPr>
          <w:rFonts w:ascii="Times New Roman" w:hAnsi="Times New Roman"/>
          <w:sz w:val="24"/>
          <w:szCs w:val="24"/>
        </w:rPr>
        <w:t>Адсорбирующие вещества</w:t>
      </w:r>
    </w:p>
    <w:p w:rsidR="00517711" w:rsidRDefault="00F815BE">
      <w:pPr>
        <w:spacing w:after="0" w:line="240" w:lineRule="auto"/>
        <w:rPr>
          <w:rFonts w:ascii="Times New Roman" w:hAnsi="Times New Roman"/>
          <w:sz w:val="24"/>
          <w:szCs w:val="24"/>
        </w:rPr>
      </w:pPr>
      <w:r>
        <w:rPr>
          <w:rFonts w:ascii="Times New Roman" w:hAnsi="Times New Roman"/>
          <w:sz w:val="24"/>
          <w:szCs w:val="24"/>
          <w:lang w:eastAsia="ru-RU"/>
        </w:rPr>
        <w:t xml:space="preserve">УДК </w:t>
      </w:r>
      <w:r>
        <w:rPr>
          <w:rFonts w:ascii="Times New Roman" w:hAnsi="Times New Roman"/>
          <w:sz w:val="24"/>
          <w:szCs w:val="24"/>
        </w:rPr>
        <w:t>661.183</w:t>
      </w:r>
    </w:p>
    <w:p w:rsidR="00517711" w:rsidRDefault="00517711">
      <w:pPr>
        <w:spacing w:after="0" w:line="240" w:lineRule="auto"/>
        <w:rPr>
          <w:rFonts w:ascii="Times New Roman" w:hAnsi="Times New Roman"/>
          <w:sz w:val="24"/>
          <w:szCs w:val="24"/>
          <w:lang w:eastAsia="ru-RU"/>
        </w:rPr>
      </w:pPr>
    </w:p>
    <w:p w:rsidR="00517711" w:rsidRDefault="00F815BE">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Современные сорбенты, применяемые для очистки водных сред от радионуклидов и тяжелых металлов в разработках Института химии ДВО РАН</w:t>
      </w:r>
    </w:p>
    <w:p w:rsidR="00517711" w:rsidRDefault="00517711">
      <w:pPr>
        <w:spacing w:after="0" w:line="240" w:lineRule="auto"/>
        <w:jc w:val="center"/>
        <w:rPr>
          <w:rFonts w:ascii="Times New Roman" w:hAnsi="Times New Roman"/>
          <w:sz w:val="24"/>
          <w:szCs w:val="24"/>
          <w:lang w:eastAsia="ru-RU"/>
        </w:rPr>
      </w:pPr>
    </w:p>
    <w:p w:rsidR="00517711" w:rsidRDefault="00F815BE">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Никулин Иван Алексеевич, </w:t>
      </w:r>
    </w:p>
    <w:p w:rsidR="00517711" w:rsidRDefault="00F815BE">
      <w:pPr>
        <w:spacing w:after="0" w:line="240" w:lineRule="auto"/>
        <w:jc w:val="center"/>
        <w:rPr>
          <w:rFonts w:ascii="Times New Roman" w:hAnsi="Times New Roman"/>
          <w:i/>
          <w:sz w:val="24"/>
          <w:szCs w:val="24"/>
          <w:lang w:eastAsia="ru-RU"/>
        </w:rPr>
      </w:pPr>
      <w:r>
        <w:rPr>
          <w:rFonts w:ascii="Times New Roman" w:hAnsi="Times New Roman"/>
          <w:i/>
          <w:sz w:val="24"/>
          <w:szCs w:val="24"/>
          <w:lang w:eastAsia="ru-RU"/>
        </w:rPr>
        <w:t>бакалавр 1 курса, кафедра туризма и экологии,</w:t>
      </w:r>
    </w:p>
    <w:p w:rsidR="00517711" w:rsidRDefault="00F815BE">
      <w:pPr>
        <w:spacing w:after="0" w:line="240" w:lineRule="auto"/>
        <w:jc w:val="center"/>
        <w:rPr>
          <w:rFonts w:ascii="Times New Roman" w:hAnsi="Times New Roman"/>
          <w:i/>
          <w:sz w:val="24"/>
          <w:szCs w:val="24"/>
          <w:lang w:eastAsia="ru-RU"/>
        </w:rPr>
      </w:pPr>
      <w:r>
        <w:rPr>
          <w:rFonts w:ascii="Times New Roman" w:hAnsi="Times New Roman"/>
          <w:i/>
          <w:sz w:val="24"/>
          <w:szCs w:val="24"/>
          <w:lang w:eastAsia="ru-RU"/>
        </w:rPr>
        <w:t>Владивостокский государственный университет экономики и сервиса</w:t>
      </w:r>
    </w:p>
    <w:p w:rsidR="00517711" w:rsidRDefault="00F815BE">
      <w:pPr>
        <w:spacing w:after="0" w:line="240" w:lineRule="auto"/>
        <w:jc w:val="center"/>
        <w:rPr>
          <w:rFonts w:ascii="Times New Roman" w:hAnsi="Times New Roman"/>
          <w:i/>
          <w:sz w:val="24"/>
          <w:szCs w:val="24"/>
          <w:lang w:eastAsia="ru-RU"/>
        </w:rPr>
      </w:pPr>
      <w:r>
        <w:rPr>
          <w:rFonts w:ascii="Times New Roman" w:hAnsi="Times New Roman"/>
          <w:i/>
          <w:sz w:val="24"/>
          <w:szCs w:val="24"/>
          <w:lang w:eastAsia="ru-RU"/>
        </w:rPr>
        <w:t>г. Владивосток. Россия.</w:t>
      </w:r>
    </w:p>
    <w:p w:rsidR="00517711" w:rsidRDefault="00F815BE">
      <w:pPr>
        <w:spacing w:after="0" w:line="240" w:lineRule="auto"/>
        <w:jc w:val="center"/>
        <w:rPr>
          <w:rFonts w:ascii="Times New Roman" w:hAnsi="Times New Roman"/>
          <w:sz w:val="24"/>
          <w:szCs w:val="24"/>
          <w:lang w:eastAsia="ru-RU"/>
        </w:rPr>
      </w:pPr>
      <w:r>
        <w:rPr>
          <w:rFonts w:ascii="Times New Roman" w:hAnsi="Times New Roman"/>
          <w:i/>
          <w:sz w:val="24"/>
          <w:szCs w:val="24"/>
          <w:lang w:val="en-US" w:eastAsia="ru-RU"/>
        </w:rPr>
        <w:t>E</w:t>
      </w:r>
      <w:r>
        <w:rPr>
          <w:rFonts w:ascii="Times New Roman" w:hAnsi="Times New Roman"/>
          <w:i/>
          <w:sz w:val="24"/>
          <w:szCs w:val="24"/>
          <w:lang w:eastAsia="ru-RU"/>
        </w:rPr>
        <w:t>-</w:t>
      </w:r>
      <w:r>
        <w:rPr>
          <w:rFonts w:ascii="Times New Roman" w:hAnsi="Times New Roman"/>
          <w:i/>
          <w:sz w:val="24"/>
          <w:szCs w:val="24"/>
          <w:lang w:val="en-US" w:eastAsia="ru-RU"/>
        </w:rPr>
        <w:t>mail</w:t>
      </w:r>
      <w:r>
        <w:rPr>
          <w:rFonts w:ascii="Times New Roman" w:hAnsi="Times New Roman"/>
          <w:i/>
          <w:sz w:val="24"/>
          <w:szCs w:val="24"/>
          <w:lang w:eastAsia="ru-RU"/>
        </w:rPr>
        <w:t>:</w:t>
      </w:r>
      <w:r>
        <w:rPr>
          <w:rFonts w:ascii="Times New Roman" w:hAnsi="Times New Roman"/>
          <w:sz w:val="24"/>
          <w:szCs w:val="24"/>
          <w:lang w:eastAsia="ru-RU"/>
        </w:rPr>
        <w:t xml:space="preserve"> </w:t>
      </w:r>
      <w:r>
        <w:rPr>
          <w:rFonts w:ascii="Times New Roman" w:hAnsi="Times New Roman"/>
          <w:sz w:val="24"/>
          <w:szCs w:val="24"/>
          <w:lang w:val="en-US"/>
        </w:rPr>
        <w:t>ivan</w:t>
      </w:r>
      <w:r>
        <w:rPr>
          <w:rFonts w:ascii="Times New Roman" w:hAnsi="Times New Roman"/>
          <w:sz w:val="24"/>
          <w:szCs w:val="24"/>
        </w:rPr>
        <w:t>_</w:t>
      </w:r>
      <w:r>
        <w:rPr>
          <w:rFonts w:ascii="Times New Roman" w:hAnsi="Times New Roman"/>
          <w:sz w:val="24"/>
          <w:szCs w:val="24"/>
          <w:lang w:val="en-US"/>
        </w:rPr>
        <w:t>nikulin</w:t>
      </w:r>
      <w:r>
        <w:rPr>
          <w:rFonts w:ascii="Times New Roman" w:hAnsi="Times New Roman"/>
          <w:sz w:val="24"/>
          <w:szCs w:val="24"/>
        </w:rPr>
        <w:t>_1999@</w:t>
      </w:r>
      <w:r>
        <w:rPr>
          <w:rFonts w:ascii="Times New Roman" w:hAnsi="Times New Roman"/>
          <w:sz w:val="24"/>
          <w:szCs w:val="24"/>
          <w:lang w:val="en-US"/>
        </w:rPr>
        <w:t>mail</w:t>
      </w:r>
      <w:r>
        <w:rPr>
          <w:rFonts w:ascii="Times New Roman" w:hAnsi="Times New Roman"/>
          <w:sz w:val="24"/>
          <w:szCs w:val="24"/>
        </w:rPr>
        <w:t>.</w:t>
      </w:r>
      <w:r>
        <w:rPr>
          <w:rFonts w:ascii="Times New Roman" w:hAnsi="Times New Roman"/>
          <w:sz w:val="24"/>
          <w:szCs w:val="24"/>
          <w:lang w:val="en-US"/>
        </w:rPr>
        <w:t>ru</w:t>
      </w:r>
    </w:p>
    <w:p w:rsidR="00517711" w:rsidRDefault="00F815BE">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Ул. Гоголя, 41, г. Владивосток, Приморский край, Россия, 690014</w:t>
      </w:r>
    </w:p>
    <w:p w:rsidR="00517711" w:rsidRDefault="00517711">
      <w:pPr>
        <w:spacing w:after="0" w:line="240" w:lineRule="auto"/>
        <w:jc w:val="center"/>
        <w:rPr>
          <w:rFonts w:ascii="Times New Roman" w:hAnsi="Times New Roman"/>
          <w:sz w:val="24"/>
          <w:szCs w:val="24"/>
          <w:lang w:eastAsia="ru-RU"/>
        </w:rPr>
      </w:pPr>
    </w:p>
    <w:p w:rsidR="00517711" w:rsidRDefault="00F815BE">
      <w:pPr>
        <w:spacing w:after="0" w:line="240" w:lineRule="auto"/>
        <w:jc w:val="center"/>
        <w:rPr>
          <w:rFonts w:ascii="Times New Roman" w:hAnsi="Times New Roman"/>
          <w:sz w:val="24"/>
          <w:szCs w:val="24"/>
        </w:rPr>
      </w:pPr>
      <w:r>
        <w:rPr>
          <w:rFonts w:ascii="Times New Roman" w:hAnsi="Times New Roman"/>
          <w:sz w:val="24"/>
          <w:szCs w:val="24"/>
        </w:rPr>
        <w:t>Ярусова Софья Борисовна</w:t>
      </w:r>
    </w:p>
    <w:p w:rsidR="00517711" w:rsidRDefault="00F815BE">
      <w:pPr>
        <w:spacing w:after="0" w:line="240" w:lineRule="auto"/>
        <w:jc w:val="center"/>
        <w:rPr>
          <w:rFonts w:ascii="Times New Roman" w:hAnsi="Times New Roman"/>
          <w:i/>
          <w:sz w:val="24"/>
          <w:szCs w:val="24"/>
        </w:rPr>
      </w:pPr>
      <w:r>
        <w:rPr>
          <w:rFonts w:ascii="Times New Roman" w:hAnsi="Times New Roman"/>
          <w:i/>
          <w:sz w:val="24"/>
          <w:szCs w:val="24"/>
        </w:rPr>
        <w:t xml:space="preserve">научный руководитель, канд. хим. наук, заведующая базовой кафедрой </w:t>
      </w:r>
      <w:r>
        <w:rPr>
          <w:rFonts w:ascii="Times New Roman" w:hAnsi="Times New Roman"/>
          <w:i/>
          <w:sz w:val="24"/>
          <w:szCs w:val="24"/>
          <w:shd w:val="clear" w:color="auto" w:fill="FFFFFF"/>
        </w:rPr>
        <w:t>экологии и экологических проблем химической технологии</w:t>
      </w:r>
      <w:r>
        <w:rPr>
          <w:rFonts w:ascii="Times New Roman" w:hAnsi="Times New Roman"/>
          <w:i/>
          <w:sz w:val="24"/>
          <w:szCs w:val="24"/>
        </w:rPr>
        <w:t>,</w:t>
      </w:r>
    </w:p>
    <w:p w:rsidR="00517711" w:rsidRDefault="00F815BE">
      <w:pPr>
        <w:spacing w:after="0" w:line="240" w:lineRule="auto"/>
        <w:jc w:val="center"/>
        <w:rPr>
          <w:rFonts w:ascii="Times New Roman" w:hAnsi="Times New Roman"/>
          <w:i/>
          <w:sz w:val="24"/>
          <w:szCs w:val="24"/>
        </w:rPr>
      </w:pPr>
      <w:r>
        <w:rPr>
          <w:rFonts w:ascii="Times New Roman" w:hAnsi="Times New Roman"/>
          <w:i/>
          <w:sz w:val="24"/>
          <w:szCs w:val="24"/>
        </w:rPr>
        <w:t>Владивостокский государственный университет экономики и сервиса, старший научный сотрудник лаборатории морской коррозии, Института химии ДВО РАН</w:t>
      </w:r>
    </w:p>
    <w:p w:rsidR="00517711" w:rsidRDefault="00F815BE">
      <w:pPr>
        <w:spacing w:after="0" w:line="240" w:lineRule="auto"/>
        <w:jc w:val="center"/>
        <w:rPr>
          <w:rFonts w:ascii="Times New Roman" w:hAnsi="Times New Roman"/>
          <w:i/>
          <w:sz w:val="24"/>
          <w:szCs w:val="24"/>
        </w:rPr>
      </w:pPr>
      <w:r>
        <w:rPr>
          <w:rFonts w:ascii="Times New Roman" w:hAnsi="Times New Roman"/>
          <w:i/>
          <w:sz w:val="24"/>
          <w:szCs w:val="24"/>
        </w:rPr>
        <w:t>г. Владивосток, Россия</w:t>
      </w:r>
    </w:p>
    <w:p w:rsidR="00517711" w:rsidRDefault="00F815BE">
      <w:pPr>
        <w:spacing w:after="0" w:line="240" w:lineRule="auto"/>
        <w:jc w:val="center"/>
        <w:rPr>
          <w:rFonts w:ascii="Times New Roman" w:hAnsi="Times New Roman"/>
          <w:sz w:val="24"/>
          <w:szCs w:val="24"/>
        </w:rPr>
      </w:pPr>
      <w:r>
        <w:rPr>
          <w:rFonts w:ascii="Times New Roman" w:hAnsi="Times New Roman"/>
          <w:i/>
          <w:sz w:val="24"/>
          <w:szCs w:val="24"/>
          <w:lang w:val="en-US"/>
        </w:rPr>
        <w:t>E</w:t>
      </w:r>
      <w:r>
        <w:rPr>
          <w:rFonts w:ascii="Times New Roman" w:hAnsi="Times New Roman"/>
          <w:i/>
          <w:sz w:val="24"/>
          <w:szCs w:val="24"/>
        </w:rPr>
        <w:t>-</w:t>
      </w:r>
      <w:r>
        <w:rPr>
          <w:rFonts w:ascii="Times New Roman" w:hAnsi="Times New Roman"/>
          <w:i/>
          <w:sz w:val="24"/>
          <w:szCs w:val="24"/>
          <w:lang w:val="en-US"/>
        </w:rPr>
        <w:t>mail</w:t>
      </w:r>
      <w:r>
        <w:rPr>
          <w:rFonts w:ascii="Times New Roman" w:hAnsi="Times New Roman"/>
          <w:i/>
          <w:sz w:val="24"/>
          <w:szCs w:val="24"/>
        </w:rPr>
        <w:t xml:space="preserve">: </w:t>
      </w:r>
      <w:r>
        <w:rPr>
          <w:rFonts w:ascii="Times New Roman" w:hAnsi="Times New Roman"/>
          <w:color w:val="333333"/>
          <w:sz w:val="24"/>
          <w:szCs w:val="24"/>
          <w:shd w:val="clear" w:color="auto" w:fill="FFFFFF"/>
          <w:lang w:val="en-US"/>
        </w:rPr>
        <w:t>yarusova</w:t>
      </w:r>
      <w:r>
        <w:rPr>
          <w:rFonts w:ascii="Times New Roman" w:hAnsi="Times New Roman"/>
          <w:color w:val="333333"/>
          <w:sz w:val="24"/>
          <w:szCs w:val="24"/>
          <w:shd w:val="clear" w:color="auto" w:fill="FFFFFF"/>
        </w:rPr>
        <w:t>_10@</w:t>
      </w:r>
      <w:r>
        <w:rPr>
          <w:rFonts w:ascii="Times New Roman" w:hAnsi="Times New Roman"/>
          <w:color w:val="333333"/>
          <w:sz w:val="24"/>
          <w:szCs w:val="24"/>
          <w:shd w:val="clear" w:color="auto" w:fill="FFFFFF"/>
          <w:lang w:val="en-US"/>
        </w:rPr>
        <w:t>mail</w:t>
      </w:r>
      <w:r>
        <w:rPr>
          <w:rFonts w:ascii="Times New Roman" w:hAnsi="Times New Roman"/>
          <w:color w:val="333333"/>
          <w:sz w:val="24"/>
          <w:szCs w:val="24"/>
          <w:shd w:val="clear" w:color="auto" w:fill="FFFFFF"/>
        </w:rPr>
        <w:t>.</w:t>
      </w:r>
      <w:r>
        <w:rPr>
          <w:rFonts w:ascii="Times New Roman" w:hAnsi="Times New Roman"/>
          <w:color w:val="333333"/>
          <w:sz w:val="24"/>
          <w:szCs w:val="24"/>
          <w:shd w:val="clear" w:color="auto" w:fill="FFFFFF"/>
          <w:lang w:val="en-US"/>
        </w:rPr>
        <w:t>ru</w:t>
      </w:r>
    </w:p>
    <w:p w:rsidR="00517711" w:rsidRDefault="00F815BE">
      <w:pPr>
        <w:spacing w:after="0" w:line="240" w:lineRule="auto"/>
        <w:jc w:val="center"/>
        <w:rPr>
          <w:rFonts w:ascii="Times New Roman" w:hAnsi="Times New Roman"/>
          <w:sz w:val="24"/>
          <w:szCs w:val="24"/>
        </w:rPr>
      </w:pPr>
      <w:r>
        <w:rPr>
          <w:rFonts w:ascii="Times New Roman" w:hAnsi="Times New Roman"/>
          <w:sz w:val="24"/>
          <w:szCs w:val="24"/>
        </w:rPr>
        <w:t>Пр-т 100-летия Владивостоку, 159, г. Владивосток, Приморский край, Россия, 690022</w:t>
      </w:r>
    </w:p>
    <w:p w:rsidR="00517711" w:rsidRDefault="00517711">
      <w:pPr>
        <w:spacing w:after="0" w:line="240" w:lineRule="auto"/>
        <w:jc w:val="center"/>
        <w:rPr>
          <w:rFonts w:ascii="Times New Roman" w:hAnsi="Times New Roman"/>
          <w:sz w:val="24"/>
          <w:szCs w:val="24"/>
          <w:u w:val="single"/>
        </w:rPr>
      </w:pPr>
    </w:p>
    <w:p w:rsidR="00517711" w:rsidRDefault="00F815BE">
      <w:pPr>
        <w:spacing w:after="0" w:line="240" w:lineRule="auto"/>
        <w:jc w:val="center"/>
        <w:rPr>
          <w:rFonts w:ascii="Times New Roman" w:hAnsi="Times New Roman"/>
          <w:sz w:val="24"/>
          <w:szCs w:val="24"/>
        </w:rPr>
      </w:pPr>
      <w:r>
        <w:rPr>
          <w:rFonts w:ascii="Times New Roman" w:hAnsi="Times New Roman"/>
          <w:sz w:val="24"/>
          <w:szCs w:val="24"/>
        </w:rPr>
        <w:t>Иваненко Наталья Владимировна</w:t>
      </w:r>
    </w:p>
    <w:p w:rsidR="00517711" w:rsidRDefault="00F815BE">
      <w:pPr>
        <w:spacing w:after="0" w:line="240" w:lineRule="auto"/>
        <w:jc w:val="center"/>
        <w:rPr>
          <w:rFonts w:ascii="Times New Roman" w:hAnsi="Times New Roman"/>
          <w:i/>
          <w:sz w:val="24"/>
          <w:szCs w:val="24"/>
        </w:rPr>
      </w:pPr>
      <w:r>
        <w:rPr>
          <w:rFonts w:ascii="Times New Roman" w:hAnsi="Times New Roman"/>
          <w:i/>
          <w:sz w:val="24"/>
          <w:szCs w:val="24"/>
        </w:rPr>
        <w:t>научный руководитель, канд. биол. наук, доцент кафедры туризма и экологии,</w:t>
      </w:r>
    </w:p>
    <w:p w:rsidR="00517711" w:rsidRDefault="00F815BE">
      <w:pPr>
        <w:spacing w:after="0" w:line="240" w:lineRule="auto"/>
        <w:jc w:val="center"/>
        <w:rPr>
          <w:rFonts w:ascii="Times New Roman" w:hAnsi="Times New Roman"/>
          <w:i/>
          <w:sz w:val="24"/>
          <w:szCs w:val="24"/>
        </w:rPr>
      </w:pPr>
      <w:r>
        <w:rPr>
          <w:rFonts w:ascii="Times New Roman" w:hAnsi="Times New Roman"/>
          <w:i/>
          <w:sz w:val="24"/>
          <w:szCs w:val="24"/>
        </w:rPr>
        <w:t>Владивостокский государственный университет экономики и сервиса,</w:t>
      </w:r>
    </w:p>
    <w:p w:rsidR="00517711" w:rsidRDefault="00F815BE">
      <w:pPr>
        <w:spacing w:after="0" w:line="240" w:lineRule="auto"/>
        <w:jc w:val="center"/>
        <w:rPr>
          <w:rFonts w:ascii="Times New Roman" w:hAnsi="Times New Roman"/>
          <w:i/>
          <w:sz w:val="24"/>
          <w:szCs w:val="24"/>
        </w:rPr>
      </w:pPr>
      <w:r>
        <w:rPr>
          <w:rFonts w:ascii="Times New Roman" w:hAnsi="Times New Roman"/>
          <w:i/>
          <w:sz w:val="24"/>
          <w:szCs w:val="24"/>
        </w:rPr>
        <w:t>г. Владивосток, Россия</w:t>
      </w:r>
    </w:p>
    <w:p w:rsidR="00517711" w:rsidRDefault="00F815BE">
      <w:pPr>
        <w:spacing w:after="0" w:line="240" w:lineRule="auto"/>
        <w:jc w:val="center"/>
        <w:rPr>
          <w:rFonts w:ascii="Times New Roman" w:hAnsi="Times New Roman"/>
          <w:sz w:val="24"/>
          <w:szCs w:val="24"/>
          <w:u w:val="single"/>
        </w:rPr>
      </w:pPr>
      <w:r>
        <w:rPr>
          <w:rFonts w:ascii="Times New Roman" w:hAnsi="Times New Roman"/>
          <w:i/>
          <w:sz w:val="24"/>
          <w:szCs w:val="24"/>
          <w:lang w:val="en-US"/>
        </w:rPr>
        <w:t>E</w:t>
      </w:r>
      <w:r>
        <w:rPr>
          <w:rFonts w:ascii="Times New Roman" w:hAnsi="Times New Roman"/>
          <w:i/>
          <w:sz w:val="24"/>
          <w:szCs w:val="24"/>
        </w:rPr>
        <w:t>-</w:t>
      </w:r>
      <w:r>
        <w:rPr>
          <w:rFonts w:ascii="Times New Roman" w:hAnsi="Times New Roman"/>
          <w:i/>
          <w:sz w:val="24"/>
          <w:szCs w:val="24"/>
          <w:lang w:val="en-US"/>
        </w:rPr>
        <w:t>mail</w:t>
      </w:r>
      <w:r>
        <w:rPr>
          <w:rFonts w:ascii="Times New Roman" w:hAnsi="Times New Roman"/>
          <w:i/>
          <w:sz w:val="24"/>
          <w:szCs w:val="24"/>
        </w:rPr>
        <w:t xml:space="preserve">: </w:t>
      </w:r>
      <w:hyperlink r:id="rId305" w:history="1">
        <w:r>
          <w:rPr>
            <w:rFonts w:ascii="Times New Roman" w:hAnsi="Times New Roman"/>
            <w:sz w:val="24"/>
            <w:szCs w:val="24"/>
            <w:u w:val="single"/>
            <w:lang w:val="en-US"/>
          </w:rPr>
          <w:t>Natalya</w:t>
        </w:r>
        <w:r>
          <w:rPr>
            <w:rFonts w:ascii="Times New Roman" w:hAnsi="Times New Roman"/>
            <w:sz w:val="24"/>
            <w:szCs w:val="24"/>
            <w:u w:val="single"/>
          </w:rPr>
          <w:t>.</w:t>
        </w:r>
        <w:r>
          <w:rPr>
            <w:rFonts w:ascii="Times New Roman" w:hAnsi="Times New Roman"/>
            <w:sz w:val="24"/>
            <w:szCs w:val="24"/>
            <w:u w:val="single"/>
            <w:lang w:val="en-US"/>
          </w:rPr>
          <w:t>ivanenko</w:t>
        </w:r>
        <w:r>
          <w:rPr>
            <w:rFonts w:ascii="Times New Roman" w:hAnsi="Times New Roman"/>
            <w:sz w:val="24"/>
            <w:szCs w:val="24"/>
            <w:u w:val="single"/>
          </w:rPr>
          <w:t>@</w:t>
        </w:r>
        <w:r>
          <w:rPr>
            <w:rFonts w:ascii="Times New Roman" w:hAnsi="Times New Roman"/>
            <w:sz w:val="24"/>
            <w:szCs w:val="24"/>
            <w:u w:val="single"/>
            <w:lang w:val="en-US"/>
          </w:rPr>
          <w:t>vvsu</w:t>
        </w:r>
        <w:r>
          <w:rPr>
            <w:rFonts w:ascii="Times New Roman" w:hAnsi="Times New Roman"/>
            <w:sz w:val="24"/>
            <w:szCs w:val="24"/>
            <w:u w:val="single"/>
          </w:rPr>
          <w:t>.</w:t>
        </w:r>
        <w:r>
          <w:rPr>
            <w:rFonts w:ascii="Times New Roman" w:hAnsi="Times New Roman"/>
            <w:sz w:val="24"/>
            <w:szCs w:val="24"/>
            <w:u w:val="single"/>
            <w:lang w:val="en-US"/>
          </w:rPr>
          <w:t>ru</w:t>
        </w:r>
      </w:hyperlink>
    </w:p>
    <w:p w:rsidR="00517711" w:rsidRDefault="00F815BE">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Ул. Гоголя, 41, г. Владивосток, Приморский край, Россия, 690014</w:t>
      </w:r>
    </w:p>
    <w:p w:rsidR="00517711" w:rsidRDefault="00517711">
      <w:pPr>
        <w:spacing w:after="0" w:line="240" w:lineRule="auto"/>
        <w:jc w:val="center"/>
        <w:rPr>
          <w:rFonts w:ascii="Times New Roman" w:hAnsi="Times New Roman"/>
          <w:sz w:val="24"/>
          <w:szCs w:val="24"/>
          <w:lang w:eastAsia="ru-RU"/>
        </w:rPr>
      </w:pPr>
    </w:p>
    <w:p w:rsidR="00517711" w:rsidRDefault="00F815BE">
      <w:pPr>
        <w:spacing w:after="0" w:line="240" w:lineRule="auto"/>
        <w:ind w:firstLine="709"/>
        <w:jc w:val="both"/>
        <w:rPr>
          <w:rFonts w:ascii="Times New Roman" w:hAnsi="Times New Roman"/>
          <w:i/>
          <w:sz w:val="24"/>
          <w:szCs w:val="24"/>
        </w:rPr>
      </w:pPr>
      <w:r>
        <w:rPr>
          <w:rFonts w:ascii="Times New Roman" w:hAnsi="Times New Roman"/>
          <w:i/>
          <w:sz w:val="24"/>
          <w:szCs w:val="24"/>
        </w:rPr>
        <w:t xml:space="preserve">Представлен обзор научных работ Института химии ДВО РАН, отражающий особенности изучения синтетических сорбентов, применяемых для очистки водных сред от </w:t>
      </w:r>
      <w:r>
        <w:rPr>
          <w:rFonts w:ascii="Times New Roman" w:hAnsi="Times New Roman"/>
          <w:i/>
          <w:sz w:val="24"/>
          <w:szCs w:val="24"/>
        </w:rPr>
        <w:lastRenderedPageBreak/>
        <w:t>тяжелых металлов и радионуклидов. Дана краткая характеристика сорбентов природного происхождения и синтетических сорбентов, в том числе получаемых на основе переработки техногенных отходов</w:t>
      </w:r>
    </w:p>
    <w:p w:rsidR="00517711" w:rsidRDefault="00517711">
      <w:pPr>
        <w:spacing w:after="0" w:line="240" w:lineRule="auto"/>
        <w:jc w:val="both"/>
        <w:rPr>
          <w:rFonts w:ascii="Times New Roman" w:hAnsi="Times New Roman"/>
          <w:i/>
          <w:sz w:val="24"/>
          <w:szCs w:val="24"/>
          <w:lang w:eastAsia="ru-RU"/>
        </w:rPr>
      </w:pPr>
    </w:p>
    <w:p w:rsidR="00517711" w:rsidRDefault="00F815BE">
      <w:pPr>
        <w:spacing w:after="0" w:line="240" w:lineRule="auto"/>
        <w:ind w:firstLine="709"/>
        <w:jc w:val="both"/>
        <w:rPr>
          <w:rFonts w:ascii="Times New Roman" w:hAnsi="Times New Roman"/>
          <w:i/>
          <w:sz w:val="24"/>
          <w:szCs w:val="24"/>
        </w:rPr>
      </w:pPr>
      <w:r>
        <w:rPr>
          <w:rFonts w:ascii="Times New Roman" w:hAnsi="Times New Roman"/>
          <w:i/>
          <w:sz w:val="24"/>
          <w:szCs w:val="24"/>
        </w:rPr>
        <w:t>Ключевые слова и словосочетания: сорбция тяжелых металлов и радионуклидов, сорбционные свойства наноструктурированных алюмосиликатов, сорбент на основе отходов производства борной кислоты, сорбент из отходов производства риса</w:t>
      </w:r>
    </w:p>
    <w:p w:rsidR="00517711" w:rsidRDefault="00517711">
      <w:pPr>
        <w:spacing w:after="0" w:line="240" w:lineRule="auto"/>
        <w:ind w:firstLine="709"/>
        <w:rPr>
          <w:rFonts w:ascii="Times New Roman" w:hAnsi="Times New Roman"/>
          <w:sz w:val="24"/>
          <w:szCs w:val="24"/>
        </w:rPr>
      </w:pPr>
    </w:p>
    <w:p w:rsidR="00517711" w:rsidRDefault="00F815BE">
      <w:pPr>
        <w:spacing w:after="0" w:line="240" w:lineRule="auto"/>
        <w:jc w:val="center"/>
        <w:rPr>
          <w:rFonts w:ascii="Times New Roman" w:hAnsi="Times New Roman"/>
          <w:b/>
          <w:sz w:val="24"/>
          <w:szCs w:val="24"/>
          <w:highlight w:val="yellow"/>
          <w:lang w:val="en-US"/>
        </w:rPr>
      </w:pPr>
      <w:r>
        <w:rPr>
          <w:rFonts w:ascii="Times New Roman" w:hAnsi="Times New Roman"/>
          <w:b/>
          <w:sz w:val="24"/>
          <w:szCs w:val="24"/>
          <w:lang w:val="en-US"/>
        </w:rPr>
        <w:t>Modern sorbents used for purification of aqueous media from radionuclides and heavy metals in the developments of the Institute of chemistry of Feb RAS</w:t>
      </w:r>
    </w:p>
    <w:p w:rsidR="00517711" w:rsidRDefault="00517711">
      <w:pPr>
        <w:spacing w:after="0" w:line="240" w:lineRule="auto"/>
        <w:jc w:val="center"/>
        <w:rPr>
          <w:rFonts w:ascii="Times New Roman" w:hAnsi="Times New Roman"/>
          <w:b/>
          <w:sz w:val="24"/>
          <w:szCs w:val="24"/>
          <w:highlight w:val="yellow"/>
          <w:lang w:val="en-US"/>
        </w:rPr>
      </w:pPr>
    </w:p>
    <w:p w:rsidR="00517711" w:rsidRDefault="00F815BE">
      <w:pPr>
        <w:spacing w:after="0" w:line="240" w:lineRule="auto"/>
        <w:ind w:firstLine="709"/>
        <w:rPr>
          <w:rFonts w:ascii="Times New Roman" w:hAnsi="Times New Roman"/>
          <w:i/>
          <w:sz w:val="24"/>
          <w:szCs w:val="24"/>
          <w:highlight w:val="yellow"/>
          <w:lang w:val="en-US"/>
        </w:rPr>
      </w:pPr>
      <w:r>
        <w:rPr>
          <w:rFonts w:ascii="Times New Roman" w:hAnsi="Times New Roman"/>
          <w:i/>
          <w:sz w:val="24"/>
          <w:szCs w:val="24"/>
          <w:lang w:val="en-US"/>
        </w:rPr>
        <w:t>The review of scientific works of the Institute of chemistry of the far Eastern branch of RAS, reflecting the study of synthetic sorbents used for purification of aqueous media from heavy metals and radionuclides, is presented. The short characteristic of sorbents of a natural origin and synthetic sorbents including received on the basis of processing of technogenic wastes is given.</w:t>
      </w:r>
    </w:p>
    <w:p w:rsidR="00517711" w:rsidRDefault="00517711">
      <w:pPr>
        <w:spacing w:after="0" w:line="240" w:lineRule="auto"/>
        <w:ind w:firstLine="709"/>
        <w:rPr>
          <w:rFonts w:ascii="Times New Roman" w:hAnsi="Times New Roman"/>
          <w:sz w:val="24"/>
          <w:szCs w:val="24"/>
          <w:highlight w:val="yellow"/>
          <w:lang w:val="en-US"/>
        </w:rPr>
      </w:pPr>
    </w:p>
    <w:p w:rsidR="00517711" w:rsidRDefault="00F815BE">
      <w:pPr>
        <w:spacing w:after="0" w:line="240" w:lineRule="auto"/>
        <w:ind w:firstLine="709"/>
        <w:rPr>
          <w:rFonts w:ascii="Times New Roman" w:hAnsi="Times New Roman"/>
          <w:i/>
          <w:sz w:val="24"/>
          <w:szCs w:val="24"/>
          <w:lang w:val="en-US"/>
        </w:rPr>
      </w:pPr>
      <w:r>
        <w:rPr>
          <w:rFonts w:ascii="Times New Roman" w:hAnsi="Times New Roman"/>
          <w:i/>
          <w:sz w:val="24"/>
          <w:szCs w:val="24"/>
          <w:lang w:val="en-US"/>
        </w:rPr>
        <w:t>Keywords: sorption of heavy metals and radionuclides, sorption properties of nanostructured aluminosilicates, sorbent based on boric acid production wastes, sorbent from rice production wastes</w:t>
      </w:r>
    </w:p>
    <w:p w:rsidR="00517711" w:rsidRDefault="00517711">
      <w:pPr>
        <w:spacing w:after="0" w:line="240" w:lineRule="auto"/>
        <w:ind w:firstLine="709"/>
        <w:rPr>
          <w:rFonts w:ascii="Times New Roman" w:hAnsi="Times New Roman"/>
          <w:i/>
          <w:sz w:val="24"/>
          <w:szCs w:val="24"/>
          <w:lang w:val="en-US"/>
        </w:rPr>
      </w:pP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t>Разработка современных синтетических и выделение природных материалов, обладающих высокими параметрами сорбции, является актуальным направлением химической технологии в очистке водных сред от радионуклидов и тяжелых металлов – одних из приоритетных загрязнителей биосферы, представляющих опасность для окружающей среды и здоровья человека.</w:t>
      </w:r>
    </w:p>
    <w:p w:rsidR="00517711" w:rsidRDefault="00F815BE">
      <w:pPr>
        <w:keepNext/>
        <w:keepLines/>
        <w:shd w:val="clear" w:color="auto" w:fill="FFFFFF"/>
        <w:spacing w:after="0" w:line="240" w:lineRule="auto"/>
        <w:ind w:firstLine="709"/>
        <w:jc w:val="both"/>
        <w:outlineLvl w:val="1"/>
        <w:rPr>
          <w:rFonts w:ascii="Cambria" w:hAnsi="Cambria"/>
          <w:b/>
          <w:bCs/>
          <w:color w:val="4F81BD"/>
          <w:sz w:val="26"/>
          <w:szCs w:val="26"/>
        </w:rPr>
      </w:pPr>
      <w:r>
        <w:rPr>
          <w:rFonts w:ascii="Times New Roman" w:hAnsi="Times New Roman"/>
          <w:bCs/>
          <w:sz w:val="24"/>
          <w:szCs w:val="24"/>
        </w:rPr>
        <w:t>Тяжелые металлы поступают в водоемы обычно со стоков предприятий по переработке полиметаллических руд, а также с предприятий химической и легкой промышленности, где их соединения используют в технологический процессах.</w:t>
      </w:r>
      <w:r>
        <w:rPr>
          <w:rFonts w:ascii="Times New Roman" w:hAnsi="Times New Roman"/>
          <w:b/>
          <w:bCs/>
          <w:sz w:val="24"/>
          <w:szCs w:val="24"/>
        </w:rPr>
        <w:t xml:space="preserve"> </w:t>
      </w:r>
      <w:r>
        <w:rPr>
          <w:rFonts w:ascii="Times New Roman" w:hAnsi="Times New Roman"/>
          <w:bCs/>
          <w:sz w:val="24"/>
          <w:szCs w:val="24"/>
        </w:rPr>
        <w:t>Тяжелые металлы являются компонентами сточных вод предприятий горно-химической промышленности по переработке минерального сырья и полиметаллических руд, и других предприятий, где их соединения используют в технологических процессах. В Приморском крае такие предприятия расположены в Дальнегорском (АО «Бор», ОАО «Дальполиметалл»), Кавалеровском (ОАО «ГМК-Дальполиметалл»), Пожарском (ОАО «Лермонтовская горнорудная компания»), Красноармейском (ОАО «Приморский ГОК») и Хорольском районах (</w:t>
      </w:r>
      <w:r>
        <w:rPr>
          <w:rFonts w:ascii="Times New Roman" w:hAnsi="Times New Roman"/>
          <w:sz w:val="24"/>
          <w:szCs w:val="24"/>
          <w:shd w:val="clear" w:color="auto" w:fill="FFFFFF"/>
        </w:rPr>
        <w:t>ОАО</w:t>
      </w:r>
      <w:r>
        <w:rPr>
          <w:rFonts w:ascii="Times New Roman" w:hAnsi="Times New Roman"/>
          <w:bCs/>
          <w:sz w:val="24"/>
          <w:szCs w:val="24"/>
          <w:shd w:val="clear" w:color="auto" w:fill="FFFFFF"/>
        </w:rPr>
        <w:t> «</w:t>
      </w:r>
      <w:r>
        <w:rPr>
          <w:rFonts w:ascii="Times New Roman" w:hAnsi="Times New Roman"/>
          <w:sz w:val="24"/>
          <w:szCs w:val="24"/>
          <w:shd w:val="clear" w:color="auto" w:fill="FFFFFF"/>
        </w:rPr>
        <w:t>Ярославский</w:t>
      </w:r>
      <w:r>
        <w:rPr>
          <w:rFonts w:ascii="Times New Roman" w:hAnsi="Times New Roman"/>
          <w:bCs/>
          <w:sz w:val="24"/>
          <w:szCs w:val="24"/>
          <w:shd w:val="clear" w:color="auto" w:fill="FFFFFF"/>
        </w:rPr>
        <w:t> </w:t>
      </w:r>
      <w:r>
        <w:rPr>
          <w:rFonts w:ascii="Times New Roman" w:hAnsi="Times New Roman"/>
          <w:sz w:val="24"/>
          <w:szCs w:val="24"/>
          <w:shd w:val="clear" w:color="auto" w:fill="FFFFFF"/>
        </w:rPr>
        <w:t>ГОК</w:t>
      </w:r>
      <w:r>
        <w:rPr>
          <w:rFonts w:ascii="Times New Roman" w:hAnsi="Times New Roman"/>
          <w:bCs/>
          <w:sz w:val="24"/>
          <w:szCs w:val="24"/>
          <w:shd w:val="clear" w:color="auto" w:fill="FFFFFF"/>
        </w:rPr>
        <w:t>»</w:t>
      </w:r>
      <w:r>
        <w:rPr>
          <w:rFonts w:ascii="Times New Roman" w:hAnsi="Times New Roman"/>
          <w:bCs/>
          <w:sz w:val="24"/>
          <w:szCs w:val="24"/>
        </w:rPr>
        <w:t>).</w:t>
      </w:r>
      <w:r>
        <w:rPr>
          <w:rFonts w:ascii="Cambria" w:hAnsi="Cambria"/>
          <w:b/>
          <w:bCs/>
          <w:color w:val="4F81BD"/>
          <w:sz w:val="26"/>
          <w:szCs w:val="26"/>
        </w:rPr>
        <w:t xml:space="preserve"> </w:t>
      </w:r>
    </w:p>
    <w:p w:rsidR="00517711" w:rsidRDefault="00F815BE">
      <w:pPr>
        <w:keepNext/>
        <w:keepLines/>
        <w:shd w:val="clear" w:color="auto" w:fill="FFFFFF"/>
        <w:spacing w:after="0" w:line="240" w:lineRule="auto"/>
        <w:ind w:firstLine="709"/>
        <w:jc w:val="both"/>
        <w:outlineLvl w:val="1"/>
        <w:rPr>
          <w:rFonts w:ascii="Times New Roman" w:hAnsi="Times New Roman"/>
          <w:bCs/>
          <w:sz w:val="24"/>
          <w:szCs w:val="24"/>
        </w:rPr>
      </w:pPr>
      <w:r>
        <w:rPr>
          <w:rFonts w:ascii="Times New Roman" w:hAnsi="Times New Roman"/>
          <w:bCs/>
          <w:sz w:val="24"/>
          <w:szCs w:val="24"/>
        </w:rPr>
        <w:t xml:space="preserve">К радиационно-опасным объектами в Приморском крае, являющихся источниками долгоживущих радионуклидов, относятся Федеральное государственное унитарное предприятие «30 судоремонтный завод» Министерства обороны Российской Федерации (г. Фокино, пос. Дунай) и Открытое акционерное общество «Дальневосточный завод «Звезда», (г. Большой Камень). </w:t>
      </w:r>
      <w:r>
        <w:rPr>
          <w:rFonts w:ascii="Times New Roman" w:hAnsi="Times New Roman"/>
          <w:bCs/>
          <w:spacing w:val="2"/>
          <w:sz w:val="24"/>
          <w:szCs w:val="24"/>
          <w:shd w:val="clear" w:color="auto" w:fill="FFFFFF"/>
        </w:rPr>
        <w:t>Эксплуатацию особо радиационно-опасных и ядерно-опасных производств и объектов осуществляют также: воинские части и организации Вооруженных Сил Российской Федерации, имеющие в своем составе ядерные боеприпасы, ядерные энергетические установки и ядерные исследовательские установки. В их числе 110 плавучий судоремонтный завод перезарядки реакторов, г. Большой Камень, Приморский край</w:t>
      </w:r>
      <w:r>
        <w:rPr>
          <w:rFonts w:ascii="Times New Roman" w:hAnsi="Times New Roman"/>
          <w:bCs/>
          <w:sz w:val="24"/>
          <w:szCs w:val="24"/>
        </w:rPr>
        <w:t xml:space="preserve"> [4, 5].</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t xml:space="preserve">Основным приемником сточных вод предприятий являются водные экосистемы, в том числе и морские акватории богатые биологическими ресурсами. Опасность радиоактивного и химического загрязнения водных экосистем заключается в передаче радионуклидов и тяжелых металлов по пищевым цепям. </w:t>
      </w:r>
      <w:r>
        <w:rPr>
          <w:rFonts w:ascii="Times New Roman" w:hAnsi="Times New Roman"/>
          <w:bCs/>
          <w:sz w:val="24"/>
          <w:szCs w:val="24"/>
          <w:shd w:val="clear" w:color="auto" w:fill="FFFFFF"/>
        </w:rPr>
        <w:t>Через биоаккумуляцию тяжелые металлы и радионуклиды накапливаются в конечных звеньях пищевых цепей, вызывая изменения в структуре популяций видов, в том числе и промысловых.</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В связи с этим, особенно актуальными становятся исследования, направленные на поиск новых технологий выделения опасных компонентов из сточных вод промышленных предприятий. К эффективным технологиям выделения тяжелых металлов и радионуклидов из водных растворов относится сорбция.</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t>Цель работы – обзор научных работ по получению</w:t>
      </w:r>
      <w:r>
        <w:rPr>
          <w:rFonts w:ascii="Times New Roman" w:hAnsi="Times New Roman"/>
          <w:sz w:val="24"/>
          <w:szCs w:val="24"/>
          <w:lang w:eastAsia="ru-RU"/>
        </w:rPr>
        <w:t xml:space="preserve"> современных сорбентов, применяемые для очистки водных сред от радионуклидов и тяжелых металлов в разработках Института химии ДВО РАН.</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t>Задачи – дать краткую характеристику сорбентов природного происхождения и синтетических сорбентов, в том числе получаемых на основе переработки техногенных отходов.</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t xml:space="preserve">Институтом химии Дальневосточного отделения Российской академии наук ведутся разработки сорбентов на основе алюмосиликатов калия, отходов производства борной кислоты, природных и синтетических силикатов, композитных сорбентов на их основе, а также сорбентов на основе отходов растительного сырья. </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t xml:space="preserve">Для очистки водных сред широко применяются природные минеральные сорбенты: различные глины, опоки, цеолиты, цеолитсодержащие породы и т.д. Преимуществом таких материалов, по сравнению с другими сорбентами является, прежде всего, их природное происхождение, дешевизна, доступность добычи и обработки, значительные запасы в России и других странах, таких как Вьетнам, Китай, Казахстан. Уникальный комплекс технологических свойств – сорбционных, ионообменных, молекулярно-ситовых, а также возможность их модифицирования, утилизации, регенерации делает данные материалы незаменимыми в сорбционной технологии. </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t>Институтом химии ДВО РАН изучены сорбционные свойства отходов производства борной кислоты (борогипса) по отношению к тяжелым металлам (</w:t>
      </w:r>
      <w:r>
        <w:rPr>
          <w:rFonts w:ascii="Times New Roman" w:hAnsi="Times New Roman"/>
          <w:sz w:val="24"/>
          <w:szCs w:val="24"/>
          <w:lang w:val="en-US"/>
        </w:rPr>
        <w:t>Zn</w:t>
      </w:r>
      <w:r>
        <w:rPr>
          <w:rFonts w:ascii="Times New Roman" w:hAnsi="Times New Roman"/>
          <w:sz w:val="24"/>
          <w:szCs w:val="24"/>
          <w:vertAlign w:val="superscript"/>
        </w:rPr>
        <w:t>2+</w:t>
      </w:r>
      <w:r>
        <w:rPr>
          <w:rFonts w:ascii="Times New Roman" w:hAnsi="Times New Roman"/>
          <w:sz w:val="24"/>
          <w:szCs w:val="24"/>
        </w:rPr>
        <w:t xml:space="preserve">, </w:t>
      </w:r>
      <w:r>
        <w:rPr>
          <w:rFonts w:ascii="Times New Roman" w:hAnsi="Times New Roman"/>
          <w:sz w:val="24"/>
          <w:szCs w:val="24"/>
          <w:lang w:val="en-US"/>
        </w:rPr>
        <w:t>Co</w:t>
      </w:r>
      <w:r>
        <w:rPr>
          <w:rFonts w:ascii="Times New Roman" w:hAnsi="Times New Roman"/>
          <w:sz w:val="24"/>
          <w:szCs w:val="24"/>
          <w:vertAlign w:val="superscript"/>
        </w:rPr>
        <w:t>2+</w:t>
      </w:r>
      <w:r>
        <w:rPr>
          <w:rFonts w:ascii="Times New Roman" w:hAnsi="Times New Roman"/>
          <w:sz w:val="24"/>
          <w:szCs w:val="24"/>
        </w:rPr>
        <w:t xml:space="preserve">, </w:t>
      </w:r>
      <w:r>
        <w:rPr>
          <w:rFonts w:ascii="Times New Roman" w:hAnsi="Times New Roman"/>
          <w:sz w:val="24"/>
          <w:szCs w:val="24"/>
          <w:lang w:val="en-US"/>
        </w:rPr>
        <w:t>Ni</w:t>
      </w:r>
      <w:r>
        <w:rPr>
          <w:rFonts w:ascii="Times New Roman" w:hAnsi="Times New Roman"/>
          <w:sz w:val="24"/>
          <w:szCs w:val="24"/>
          <w:vertAlign w:val="superscript"/>
        </w:rPr>
        <w:t>2+</w:t>
      </w:r>
      <w:r>
        <w:rPr>
          <w:rFonts w:ascii="Times New Roman" w:hAnsi="Times New Roman"/>
          <w:sz w:val="24"/>
          <w:szCs w:val="24"/>
        </w:rPr>
        <w:t xml:space="preserve">, </w:t>
      </w:r>
      <w:r>
        <w:rPr>
          <w:rFonts w:ascii="Times New Roman" w:hAnsi="Times New Roman"/>
          <w:sz w:val="24"/>
          <w:szCs w:val="24"/>
          <w:lang w:val="en-US"/>
        </w:rPr>
        <w:t>Cd</w:t>
      </w:r>
      <w:r>
        <w:rPr>
          <w:rFonts w:ascii="Times New Roman" w:hAnsi="Times New Roman"/>
          <w:sz w:val="24"/>
          <w:szCs w:val="24"/>
          <w:vertAlign w:val="superscript"/>
        </w:rPr>
        <w:t>2+</w:t>
      </w:r>
      <w:r>
        <w:rPr>
          <w:rFonts w:ascii="Times New Roman" w:hAnsi="Times New Roman"/>
          <w:sz w:val="24"/>
          <w:szCs w:val="24"/>
        </w:rPr>
        <w:t xml:space="preserve">, </w:t>
      </w:r>
      <w:r>
        <w:rPr>
          <w:rFonts w:ascii="Times New Roman" w:hAnsi="Times New Roman"/>
          <w:sz w:val="24"/>
          <w:szCs w:val="24"/>
          <w:lang w:val="en-US"/>
        </w:rPr>
        <w:t>Mn</w:t>
      </w:r>
      <w:r>
        <w:rPr>
          <w:rFonts w:ascii="Times New Roman" w:hAnsi="Times New Roman"/>
          <w:sz w:val="24"/>
          <w:szCs w:val="24"/>
          <w:vertAlign w:val="superscript"/>
        </w:rPr>
        <w:t>2+</w:t>
      </w:r>
      <w:r>
        <w:rPr>
          <w:rFonts w:ascii="Times New Roman" w:hAnsi="Times New Roman"/>
          <w:sz w:val="24"/>
          <w:szCs w:val="24"/>
        </w:rPr>
        <w:t xml:space="preserve">). В качестве сорбента, являющегося техногенным отходом, применяли гидросиликаты кальция </w:t>
      </w:r>
      <w:r>
        <w:rPr>
          <w:rFonts w:ascii="Times New Roman" w:hAnsi="Times New Roman"/>
          <w:sz w:val="24"/>
          <w:szCs w:val="24"/>
          <w:lang w:val="en-US"/>
        </w:rPr>
        <w:t>n</w:t>
      </w:r>
      <w:r>
        <w:rPr>
          <w:rFonts w:ascii="Times New Roman" w:hAnsi="Times New Roman"/>
          <w:sz w:val="24"/>
          <w:szCs w:val="24"/>
        </w:rPr>
        <w:t xml:space="preserve"> </w:t>
      </w:r>
      <w:r>
        <w:rPr>
          <w:rFonts w:ascii="Times New Roman" w:hAnsi="Times New Roman"/>
          <w:sz w:val="24"/>
          <w:szCs w:val="24"/>
          <w:lang w:val="en-US"/>
        </w:rPr>
        <w:t>CaO</w:t>
      </w:r>
      <w:r>
        <w:rPr>
          <w:rFonts w:ascii="Times New Roman" w:hAnsi="Times New Roman"/>
          <w:sz w:val="24"/>
          <w:szCs w:val="24"/>
        </w:rPr>
        <w:t>∙</w:t>
      </w:r>
      <w:r>
        <w:rPr>
          <w:rFonts w:ascii="Times New Roman" w:hAnsi="Times New Roman"/>
          <w:sz w:val="24"/>
          <w:szCs w:val="24"/>
          <w:lang w:val="en-US"/>
        </w:rPr>
        <w:t>mSiO</w:t>
      </w:r>
      <w:r>
        <w:rPr>
          <w:rFonts w:ascii="Times New Roman" w:hAnsi="Times New Roman"/>
          <w:sz w:val="24"/>
          <w:szCs w:val="24"/>
          <w:vertAlign w:val="subscript"/>
        </w:rPr>
        <w:t>2</w:t>
      </w:r>
      <w:r>
        <w:rPr>
          <w:rFonts w:ascii="Times New Roman" w:hAnsi="Times New Roman"/>
          <w:sz w:val="24"/>
          <w:szCs w:val="24"/>
        </w:rPr>
        <w:t>∙</w:t>
      </w:r>
      <w:r>
        <w:rPr>
          <w:rFonts w:ascii="Times New Roman" w:hAnsi="Times New Roman"/>
          <w:sz w:val="24"/>
          <w:szCs w:val="24"/>
          <w:lang w:val="en-US"/>
        </w:rPr>
        <w:t>pH</w:t>
      </w:r>
      <w:r>
        <w:rPr>
          <w:rFonts w:ascii="Times New Roman" w:hAnsi="Times New Roman"/>
          <w:sz w:val="24"/>
          <w:szCs w:val="24"/>
          <w:vertAlign w:val="subscript"/>
        </w:rPr>
        <w:t>2</w:t>
      </w:r>
      <w:r>
        <w:rPr>
          <w:rFonts w:ascii="Times New Roman" w:hAnsi="Times New Roman"/>
          <w:sz w:val="24"/>
          <w:szCs w:val="24"/>
          <w:lang w:val="en-US"/>
        </w:rPr>
        <w:t>O</w:t>
      </w:r>
      <w:r>
        <w:rPr>
          <w:rFonts w:ascii="Times New Roman" w:hAnsi="Times New Roman"/>
          <w:sz w:val="24"/>
          <w:szCs w:val="24"/>
        </w:rPr>
        <w:t xml:space="preserve">. В основе метода лежит замещение ионов </w:t>
      </w:r>
      <w:r>
        <w:rPr>
          <w:rFonts w:ascii="Times New Roman" w:hAnsi="Times New Roman"/>
          <w:sz w:val="24"/>
          <w:szCs w:val="24"/>
          <w:lang w:val="en-US"/>
        </w:rPr>
        <w:t>Ca</w:t>
      </w:r>
      <w:r>
        <w:rPr>
          <w:rFonts w:ascii="Times New Roman" w:hAnsi="Times New Roman"/>
          <w:sz w:val="24"/>
          <w:szCs w:val="24"/>
          <w:vertAlign w:val="superscript"/>
        </w:rPr>
        <w:t>2+</w:t>
      </w:r>
      <w:r>
        <w:rPr>
          <w:rFonts w:ascii="Times New Roman" w:hAnsi="Times New Roman"/>
          <w:sz w:val="24"/>
          <w:szCs w:val="24"/>
        </w:rPr>
        <w:t>, входящих в состав силикатного сорбента на ионы тяжелых металлов из раствора. Оценка эффективности сорбента проводилась по стандартной величине сорбционной емкости и времени достижения сорбционного равновесия. Были установлены различия кинетики процесса сорбции – установление равновесия в распределении ионов металлов между раствором и сорбентом. Кинетическая модель силикатного сорбента, полученного из отходов борного производства показала, что данный сорбент может использоваться в процессах извлечения тяжёлых металлов из водных сред, в том числе сточных вод промышленных предприятий [6].</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t xml:space="preserve">Силикатные сорбенты используют, также, для извлечения ионов радионуклидов. В разработках Института химии ДВО РАН ряд синтетических сорбентов, применяемых для сорбции ионов </w:t>
      </w:r>
      <w:r>
        <w:rPr>
          <w:rFonts w:ascii="Times New Roman" w:hAnsi="Times New Roman"/>
          <w:sz w:val="24"/>
          <w:szCs w:val="24"/>
          <w:lang w:val="en-US"/>
        </w:rPr>
        <w:t>Sr</w:t>
      </w:r>
      <w:r>
        <w:rPr>
          <w:rFonts w:ascii="Times New Roman" w:hAnsi="Times New Roman"/>
          <w:sz w:val="24"/>
          <w:szCs w:val="24"/>
          <w:vertAlign w:val="superscript"/>
        </w:rPr>
        <w:t>2+</w:t>
      </w:r>
      <w:r>
        <w:rPr>
          <w:rFonts w:ascii="Times New Roman" w:hAnsi="Times New Roman"/>
          <w:sz w:val="24"/>
          <w:szCs w:val="24"/>
        </w:rPr>
        <w:t xml:space="preserve"> и ионов </w:t>
      </w:r>
      <w:r>
        <w:rPr>
          <w:rFonts w:ascii="Times New Roman" w:hAnsi="Times New Roman"/>
          <w:sz w:val="24"/>
          <w:szCs w:val="24"/>
          <w:lang w:val="en-US"/>
        </w:rPr>
        <w:t>Cs</w:t>
      </w:r>
      <w:r>
        <w:rPr>
          <w:rFonts w:ascii="Times New Roman" w:hAnsi="Times New Roman"/>
          <w:sz w:val="24"/>
          <w:szCs w:val="24"/>
          <w:vertAlign w:val="superscript"/>
        </w:rPr>
        <w:t>2+</w:t>
      </w:r>
      <w:r>
        <w:rPr>
          <w:rFonts w:ascii="Times New Roman" w:hAnsi="Times New Roman"/>
          <w:sz w:val="24"/>
          <w:szCs w:val="24"/>
        </w:rPr>
        <w:t xml:space="preserve"> [1, 2]. Так, например, по отношению к ионам </w:t>
      </w:r>
      <w:r>
        <w:rPr>
          <w:rFonts w:ascii="Times New Roman" w:hAnsi="Times New Roman"/>
          <w:sz w:val="24"/>
          <w:szCs w:val="24"/>
          <w:lang w:val="en-US"/>
        </w:rPr>
        <w:t>Sr</w:t>
      </w:r>
      <w:r>
        <w:rPr>
          <w:rFonts w:ascii="Times New Roman" w:hAnsi="Times New Roman"/>
          <w:sz w:val="24"/>
          <w:szCs w:val="24"/>
          <w:vertAlign w:val="superscript"/>
        </w:rPr>
        <w:t>2+</w:t>
      </w:r>
      <w:r>
        <w:rPr>
          <w:rFonts w:ascii="Times New Roman" w:hAnsi="Times New Roman"/>
          <w:sz w:val="24"/>
          <w:szCs w:val="24"/>
        </w:rPr>
        <w:t xml:space="preserve"> изучены сорбционные характеристики алюмосиликатов кальция с различным соотношением </w:t>
      </w:r>
      <w:r>
        <w:rPr>
          <w:rFonts w:ascii="Times New Roman" w:hAnsi="Times New Roman"/>
          <w:sz w:val="24"/>
          <w:szCs w:val="24"/>
          <w:lang w:val="en-US"/>
        </w:rPr>
        <w:t>Al</w:t>
      </w:r>
      <w:r>
        <w:rPr>
          <w:rFonts w:ascii="Times New Roman" w:hAnsi="Times New Roman"/>
          <w:sz w:val="24"/>
          <w:szCs w:val="24"/>
        </w:rPr>
        <w:t xml:space="preserve"> : </w:t>
      </w:r>
      <w:r>
        <w:rPr>
          <w:rFonts w:ascii="Times New Roman" w:hAnsi="Times New Roman"/>
          <w:sz w:val="24"/>
          <w:szCs w:val="24"/>
          <w:lang w:val="en-US"/>
        </w:rPr>
        <w:t>Si</w:t>
      </w:r>
      <w:r>
        <w:rPr>
          <w:rFonts w:ascii="Times New Roman" w:hAnsi="Times New Roman"/>
          <w:sz w:val="24"/>
          <w:szCs w:val="24"/>
        </w:rPr>
        <w:t xml:space="preserve">, полученных в многокомпонентная системе </w:t>
      </w:r>
      <w:r>
        <w:rPr>
          <w:rFonts w:ascii="Times New Roman" w:hAnsi="Times New Roman"/>
          <w:sz w:val="24"/>
          <w:szCs w:val="24"/>
          <w:lang w:val="en-US"/>
        </w:rPr>
        <w:t>CaCl</w:t>
      </w:r>
      <w:r>
        <w:rPr>
          <w:rFonts w:ascii="Times New Roman" w:hAnsi="Times New Roman"/>
          <w:sz w:val="24"/>
          <w:szCs w:val="24"/>
          <w:vertAlign w:val="subscript"/>
        </w:rPr>
        <w:t>2</w:t>
      </w:r>
      <w:r>
        <w:rPr>
          <w:rFonts w:ascii="Times New Roman" w:hAnsi="Times New Roman"/>
          <w:sz w:val="24"/>
          <w:szCs w:val="24"/>
        </w:rPr>
        <w:t>-</w:t>
      </w:r>
      <w:r>
        <w:rPr>
          <w:rFonts w:ascii="Times New Roman" w:hAnsi="Times New Roman"/>
          <w:sz w:val="24"/>
          <w:szCs w:val="24"/>
          <w:lang w:val="en-US"/>
        </w:rPr>
        <w:t>AlCl</w:t>
      </w:r>
      <w:r>
        <w:rPr>
          <w:rFonts w:ascii="Times New Roman" w:hAnsi="Times New Roman"/>
          <w:sz w:val="24"/>
          <w:szCs w:val="24"/>
          <w:vertAlign w:val="subscript"/>
        </w:rPr>
        <w:t>3</w:t>
      </w:r>
      <w:r>
        <w:rPr>
          <w:rFonts w:ascii="Times New Roman" w:hAnsi="Times New Roman"/>
          <w:sz w:val="24"/>
          <w:szCs w:val="24"/>
        </w:rPr>
        <w:t>-</w:t>
      </w:r>
      <w:r>
        <w:rPr>
          <w:rFonts w:ascii="Times New Roman" w:hAnsi="Times New Roman"/>
          <w:sz w:val="24"/>
          <w:szCs w:val="24"/>
          <w:lang w:val="en-US"/>
        </w:rPr>
        <w:t>KOH</w:t>
      </w:r>
      <w:r>
        <w:rPr>
          <w:rFonts w:ascii="Times New Roman" w:hAnsi="Times New Roman"/>
          <w:sz w:val="24"/>
          <w:szCs w:val="24"/>
        </w:rPr>
        <w:t>-</w:t>
      </w:r>
      <w:r>
        <w:rPr>
          <w:rFonts w:ascii="Times New Roman" w:hAnsi="Times New Roman"/>
          <w:sz w:val="24"/>
          <w:szCs w:val="24"/>
          <w:lang w:val="en-US"/>
        </w:rPr>
        <w:t>SiO</w:t>
      </w:r>
      <w:r>
        <w:rPr>
          <w:rFonts w:ascii="Times New Roman" w:hAnsi="Times New Roman"/>
          <w:sz w:val="24"/>
          <w:szCs w:val="24"/>
          <w:vertAlign w:val="subscript"/>
        </w:rPr>
        <w:t>2</w:t>
      </w:r>
      <w:r>
        <w:rPr>
          <w:rFonts w:ascii="Times New Roman" w:hAnsi="Times New Roman"/>
          <w:sz w:val="24"/>
          <w:szCs w:val="24"/>
        </w:rPr>
        <w:t>-</w:t>
      </w:r>
      <w:r>
        <w:rPr>
          <w:rFonts w:ascii="Times New Roman" w:hAnsi="Times New Roman"/>
          <w:sz w:val="24"/>
          <w:szCs w:val="24"/>
          <w:lang w:val="en-US"/>
        </w:rPr>
        <w:t>H</w:t>
      </w:r>
      <w:r>
        <w:rPr>
          <w:rFonts w:ascii="Times New Roman" w:hAnsi="Times New Roman"/>
          <w:sz w:val="24"/>
          <w:szCs w:val="24"/>
          <w:vertAlign w:val="subscript"/>
        </w:rPr>
        <w:t>2</w:t>
      </w:r>
      <w:r>
        <w:rPr>
          <w:rFonts w:ascii="Times New Roman" w:hAnsi="Times New Roman"/>
          <w:sz w:val="24"/>
          <w:szCs w:val="24"/>
          <w:lang w:val="en-US"/>
        </w:rPr>
        <w:t>O</w:t>
      </w:r>
      <w:r>
        <w:rPr>
          <w:rFonts w:ascii="Times New Roman" w:hAnsi="Times New Roman"/>
          <w:sz w:val="24"/>
          <w:szCs w:val="24"/>
        </w:rPr>
        <w:t xml:space="preserve">. Область использования данного сорбента – извлечение радионуклидов из стоков радиационно-опасных объектов. Представлены изотермы сорбции, отражающие зависимость сорбционной емкости от концентрации ионов </w:t>
      </w:r>
      <w:r>
        <w:rPr>
          <w:rFonts w:ascii="Times New Roman" w:hAnsi="Times New Roman"/>
          <w:sz w:val="24"/>
          <w:szCs w:val="24"/>
          <w:lang w:val="en-US"/>
        </w:rPr>
        <w:t>Sr</w:t>
      </w:r>
      <w:r>
        <w:rPr>
          <w:rFonts w:ascii="Times New Roman" w:hAnsi="Times New Roman"/>
          <w:sz w:val="24"/>
          <w:szCs w:val="24"/>
          <w:vertAlign w:val="superscript"/>
        </w:rPr>
        <w:t>2+</w:t>
      </w:r>
      <w:r>
        <w:rPr>
          <w:rFonts w:ascii="Times New Roman" w:hAnsi="Times New Roman"/>
          <w:sz w:val="24"/>
          <w:szCs w:val="24"/>
        </w:rPr>
        <w:t xml:space="preserve"> в растворе, полученные в различных модельных условиях:</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t xml:space="preserve"> – при различных соотношениях твердой и жидкой фаз водного раствора с разным солевым фоном, а также в растворах без солевого фона, </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t xml:space="preserve">– с различной концентрацией ионов </w:t>
      </w:r>
      <w:r>
        <w:rPr>
          <w:rFonts w:ascii="Times New Roman" w:hAnsi="Times New Roman"/>
          <w:sz w:val="24"/>
          <w:szCs w:val="24"/>
          <w:lang w:val="en-US"/>
        </w:rPr>
        <w:t>Sr</w:t>
      </w:r>
      <w:r>
        <w:rPr>
          <w:rFonts w:ascii="Times New Roman" w:hAnsi="Times New Roman"/>
          <w:sz w:val="24"/>
          <w:szCs w:val="24"/>
          <w:vertAlign w:val="superscript"/>
        </w:rPr>
        <w:t>2+</w:t>
      </w:r>
      <w:r>
        <w:rPr>
          <w:rFonts w:ascii="Times New Roman" w:hAnsi="Times New Roman"/>
          <w:sz w:val="24"/>
          <w:szCs w:val="24"/>
        </w:rPr>
        <w:t>,</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t xml:space="preserve">– с различным соотношением </w:t>
      </w:r>
      <w:r>
        <w:rPr>
          <w:rFonts w:ascii="Times New Roman" w:hAnsi="Times New Roman"/>
          <w:sz w:val="24"/>
          <w:szCs w:val="24"/>
          <w:lang w:val="en-US"/>
        </w:rPr>
        <w:t>Al</w:t>
      </w:r>
      <w:r>
        <w:rPr>
          <w:rFonts w:ascii="Times New Roman" w:hAnsi="Times New Roman"/>
          <w:sz w:val="24"/>
          <w:szCs w:val="24"/>
        </w:rPr>
        <w:t xml:space="preserve"> : </w:t>
      </w:r>
      <w:r>
        <w:rPr>
          <w:rFonts w:ascii="Times New Roman" w:hAnsi="Times New Roman"/>
          <w:sz w:val="24"/>
          <w:szCs w:val="24"/>
          <w:lang w:val="en-US"/>
        </w:rPr>
        <w:t>Si</w:t>
      </w:r>
      <w:r>
        <w:rPr>
          <w:rFonts w:ascii="Times New Roman" w:hAnsi="Times New Roman"/>
          <w:sz w:val="24"/>
          <w:szCs w:val="24"/>
        </w:rPr>
        <w:t xml:space="preserve"> в системе </w:t>
      </w:r>
      <w:r>
        <w:rPr>
          <w:rFonts w:ascii="Times New Roman" w:hAnsi="Times New Roman"/>
          <w:sz w:val="24"/>
          <w:szCs w:val="24"/>
          <w:lang w:val="en-US"/>
        </w:rPr>
        <w:t>CaCl</w:t>
      </w:r>
      <w:r>
        <w:rPr>
          <w:rFonts w:ascii="Times New Roman" w:hAnsi="Times New Roman"/>
          <w:sz w:val="24"/>
          <w:szCs w:val="24"/>
          <w:vertAlign w:val="subscript"/>
        </w:rPr>
        <w:t>2</w:t>
      </w:r>
      <w:r>
        <w:rPr>
          <w:rFonts w:ascii="Times New Roman" w:hAnsi="Times New Roman"/>
          <w:sz w:val="24"/>
          <w:szCs w:val="24"/>
        </w:rPr>
        <w:t>-</w:t>
      </w:r>
      <w:r>
        <w:rPr>
          <w:rFonts w:ascii="Times New Roman" w:hAnsi="Times New Roman"/>
          <w:sz w:val="24"/>
          <w:szCs w:val="24"/>
          <w:lang w:val="en-US"/>
        </w:rPr>
        <w:t>AlCl</w:t>
      </w:r>
      <w:r>
        <w:rPr>
          <w:rFonts w:ascii="Times New Roman" w:hAnsi="Times New Roman"/>
          <w:sz w:val="24"/>
          <w:szCs w:val="24"/>
          <w:vertAlign w:val="subscript"/>
        </w:rPr>
        <w:t>3</w:t>
      </w:r>
      <w:r>
        <w:rPr>
          <w:rFonts w:ascii="Times New Roman" w:hAnsi="Times New Roman"/>
          <w:sz w:val="24"/>
          <w:szCs w:val="24"/>
        </w:rPr>
        <w:t>-</w:t>
      </w:r>
      <w:r>
        <w:rPr>
          <w:rFonts w:ascii="Times New Roman" w:hAnsi="Times New Roman"/>
          <w:sz w:val="24"/>
          <w:szCs w:val="24"/>
          <w:lang w:val="en-US"/>
        </w:rPr>
        <w:t>KOH</w:t>
      </w:r>
      <w:r>
        <w:rPr>
          <w:rFonts w:ascii="Times New Roman" w:hAnsi="Times New Roman"/>
          <w:sz w:val="24"/>
          <w:szCs w:val="24"/>
        </w:rPr>
        <w:t>-</w:t>
      </w:r>
      <w:r>
        <w:rPr>
          <w:rFonts w:ascii="Times New Roman" w:hAnsi="Times New Roman"/>
          <w:sz w:val="24"/>
          <w:szCs w:val="24"/>
          <w:lang w:val="en-US"/>
        </w:rPr>
        <w:t>SiO</w:t>
      </w:r>
      <w:r>
        <w:rPr>
          <w:rFonts w:ascii="Times New Roman" w:hAnsi="Times New Roman"/>
          <w:sz w:val="24"/>
          <w:szCs w:val="24"/>
          <w:vertAlign w:val="subscript"/>
        </w:rPr>
        <w:t>2</w:t>
      </w:r>
      <w:r>
        <w:rPr>
          <w:rFonts w:ascii="Times New Roman" w:hAnsi="Times New Roman"/>
          <w:sz w:val="24"/>
          <w:szCs w:val="24"/>
        </w:rPr>
        <w:t>-</w:t>
      </w:r>
      <w:r>
        <w:rPr>
          <w:rFonts w:ascii="Times New Roman" w:hAnsi="Times New Roman"/>
          <w:sz w:val="24"/>
          <w:szCs w:val="24"/>
          <w:lang w:val="en-US"/>
        </w:rPr>
        <w:t>H</w:t>
      </w:r>
      <w:r>
        <w:rPr>
          <w:rFonts w:ascii="Times New Roman" w:hAnsi="Times New Roman"/>
          <w:sz w:val="24"/>
          <w:szCs w:val="24"/>
          <w:vertAlign w:val="subscript"/>
        </w:rPr>
        <w:t>2</w:t>
      </w:r>
      <w:r>
        <w:rPr>
          <w:rFonts w:ascii="Times New Roman" w:hAnsi="Times New Roman"/>
          <w:sz w:val="24"/>
          <w:szCs w:val="24"/>
          <w:lang w:val="en-US"/>
        </w:rPr>
        <w:t>O</w:t>
      </w:r>
      <w:r>
        <w:rPr>
          <w:rFonts w:ascii="Times New Roman" w:hAnsi="Times New Roman"/>
          <w:sz w:val="24"/>
          <w:szCs w:val="24"/>
        </w:rPr>
        <w:t>.</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t xml:space="preserve">Были установлены оптимальные параметры процесса сорбции, такие как сорбционная емкость, степень извлечения ионов, коэффициент межфазного распределения. Также, был изучен состав, и структура сорбента. Была установлена эффективность синтетического сорбента по отношению к ионам </w:t>
      </w:r>
      <w:r>
        <w:rPr>
          <w:rFonts w:ascii="Times New Roman" w:hAnsi="Times New Roman"/>
          <w:sz w:val="24"/>
          <w:szCs w:val="24"/>
          <w:lang w:val="en-US"/>
        </w:rPr>
        <w:t>Sr</w:t>
      </w:r>
      <w:r>
        <w:rPr>
          <w:rFonts w:ascii="Times New Roman" w:hAnsi="Times New Roman"/>
          <w:sz w:val="24"/>
          <w:szCs w:val="24"/>
          <w:vertAlign w:val="superscript"/>
        </w:rPr>
        <w:t>2+</w:t>
      </w:r>
      <w:r>
        <w:rPr>
          <w:rFonts w:ascii="Times New Roman" w:hAnsi="Times New Roman"/>
          <w:sz w:val="24"/>
          <w:szCs w:val="24"/>
        </w:rPr>
        <w:t xml:space="preserve">. Так, например, степень извлечения ионов </w:t>
      </w:r>
      <w:r>
        <w:rPr>
          <w:rFonts w:ascii="Times New Roman" w:hAnsi="Times New Roman"/>
          <w:sz w:val="24"/>
          <w:szCs w:val="24"/>
          <w:lang w:val="en-US"/>
        </w:rPr>
        <w:t>Sr</w:t>
      </w:r>
      <w:r>
        <w:rPr>
          <w:rFonts w:ascii="Times New Roman" w:hAnsi="Times New Roman"/>
          <w:sz w:val="24"/>
          <w:szCs w:val="24"/>
          <w:vertAlign w:val="superscript"/>
        </w:rPr>
        <w:t>2+</w:t>
      </w:r>
      <w:r>
        <w:rPr>
          <w:rFonts w:ascii="Times New Roman" w:hAnsi="Times New Roman"/>
          <w:sz w:val="24"/>
          <w:szCs w:val="24"/>
        </w:rPr>
        <w:t xml:space="preserve"> достигала в эксперименте 90 % и более, что является высоким показателем сорбции. Также, </w:t>
      </w:r>
      <w:r>
        <w:rPr>
          <w:rFonts w:ascii="Times New Roman" w:hAnsi="Times New Roman"/>
          <w:sz w:val="24"/>
          <w:szCs w:val="24"/>
        </w:rPr>
        <w:lastRenderedPageBreak/>
        <w:t xml:space="preserve">установлено, что коэффициент межфазного распределения синтетического сорбента был в два раза выше по сравнению с природными алюмосиликатами [2, </w:t>
      </w:r>
      <w:r>
        <w:rPr>
          <w:rFonts w:ascii="Times New Roman" w:hAnsi="Times New Roman"/>
          <w:sz w:val="24"/>
          <w:szCs w:val="24"/>
          <w:lang w:val="en-US"/>
        </w:rPr>
        <w:t>c</w:t>
      </w:r>
      <w:r>
        <w:rPr>
          <w:rFonts w:ascii="Times New Roman" w:hAnsi="Times New Roman"/>
          <w:sz w:val="24"/>
          <w:szCs w:val="24"/>
        </w:rPr>
        <w:t xml:space="preserve">. 997-999]. </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t>В Институте химии ДВО РАН в течение ряда лет проводятся исследования химического состава отходов производства риса, гречихи и подсолнечника. Которые представлены в виде плодовых оболочек (шелухи, лузги), соломы, а также мучки (отрубей). Особое внимание привлекает рисовая мучка, химический состав которой указываем на возможность извлечения из нее большого количества новых продуктов, в том числе инозитгексафосфорной кислоты (фитиновой кислоты). Сорбенты на основе фитиновой кислоты и ее производных могут применяться для извлечения ионов тяжелых металлов из водных растворов. Коллективом института химии были изучены важнейшие характеристики сорбента на основе производных фитиновой кислоты – величина сорбционной емкости, время достижения сорбционного равновесия, кинетические закономерности сорбции ионов тяжелых металлов (</w:t>
      </w:r>
      <w:r>
        <w:rPr>
          <w:rFonts w:ascii="Times New Roman" w:hAnsi="Times New Roman"/>
          <w:sz w:val="24"/>
          <w:szCs w:val="24"/>
          <w:lang w:val="en-US"/>
        </w:rPr>
        <w:t>Mn</w:t>
      </w:r>
      <w:r>
        <w:rPr>
          <w:rFonts w:ascii="Times New Roman" w:hAnsi="Times New Roman"/>
          <w:sz w:val="24"/>
          <w:szCs w:val="24"/>
          <w:vertAlign w:val="superscript"/>
        </w:rPr>
        <w:t>2+</w:t>
      </w:r>
      <w:r>
        <w:rPr>
          <w:rFonts w:ascii="Times New Roman" w:hAnsi="Times New Roman"/>
          <w:sz w:val="24"/>
          <w:szCs w:val="24"/>
        </w:rPr>
        <w:t xml:space="preserve">, </w:t>
      </w:r>
      <w:r>
        <w:rPr>
          <w:rFonts w:ascii="Times New Roman" w:hAnsi="Times New Roman"/>
          <w:sz w:val="24"/>
          <w:szCs w:val="24"/>
          <w:lang w:val="en-US"/>
        </w:rPr>
        <w:t>Co</w:t>
      </w:r>
      <w:r>
        <w:rPr>
          <w:rFonts w:ascii="Times New Roman" w:hAnsi="Times New Roman"/>
          <w:sz w:val="24"/>
          <w:szCs w:val="24"/>
          <w:vertAlign w:val="superscript"/>
        </w:rPr>
        <w:t>2+</w:t>
      </w:r>
      <w:r>
        <w:rPr>
          <w:rFonts w:ascii="Times New Roman" w:hAnsi="Times New Roman"/>
          <w:sz w:val="24"/>
          <w:szCs w:val="24"/>
        </w:rPr>
        <w:t xml:space="preserve">, </w:t>
      </w:r>
      <w:r>
        <w:rPr>
          <w:rFonts w:ascii="Times New Roman" w:hAnsi="Times New Roman"/>
          <w:sz w:val="24"/>
          <w:szCs w:val="24"/>
          <w:lang w:val="en-US"/>
        </w:rPr>
        <w:t>Ni</w:t>
      </w:r>
      <w:r>
        <w:rPr>
          <w:rFonts w:ascii="Times New Roman" w:hAnsi="Times New Roman"/>
          <w:sz w:val="24"/>
          <w:szCs w:val="24"/>
          <w:vertAlign w:val="superscript"/>
        </w:rPr>
        <w:t>2+</w:t>
      </w:r>
      <w:r>
        <w:rPr>
          <w:rFonts w:ascii="Times New Roman" w:hAnsi="Times New Roman"/>
          <w:sz w:val="24"/>
          <w:szCs w:val="24"/>
        </w:rPr>
        <w:t xml:space="preserve">, </w:t>
      </w:r>
      <w:r>
        <w:rPr>
          <w:rFonts w:ascii="Times New Roman" w:hAnsi="Times New Roman"/>
          <w:sz w:val="24"/>
          <w:szCs w:val="24"/>
          <w:lang w:val="en-US"/>
        </w:rPr>
        <w:t>Cu</w:t>
      </w:r>
      <w:r>
        <w:rPr>
          <w:rFonts w:ascii="Times New Roman" w:hAnsi="Times New Roman"/>
          <w:sz w:val="24"/>
          <w:szCs w:val="24"/>
          <w:vertAlign w:val="superscript"/>
        </w:rPr>
        <w:t>2+</w:t>
      </w:r>
      <w:r>
        <w:rPr>
          <w:rFonts w:ascii="Times New Roman" w:hAnsi="Times New Roman"/>
          <w:sz w:val="24"/>
          <w:szCs w:val="24"/>
        </w:rPr>
        <w:t xml:space="preserve">, </w:t>
      </w:r>
      <w:r>
        <w:rPr>
          <w:rFonts w:ascii="Times New Roman" w:hAnsi="Times New Roman"/>
          <w:sz w:val="24"/>
          <w:szCs w:val="24"/>
          <w:lang w:val="en-US"/>
        </w:rPr>
        <w:t>Zn</w:t>
      </w:r>
      <w:r>
        <w:rPr>
          <w:rFonts w:ascii="Times New Roman" w:hAnsi="Times New Roman"/>
          <w:sz w:val="24"/>
          <w:szCs w:val="24"/>
          <w:vertAlign w:val="superscript"/>
        </w:rPr>
        <w:t>2+</w:t>
      </w:r>
      <w:r>
        <w:rPr>
          <w:rFonts w:ascii="Times New Roman" w:hAnsi="Times New Roman"/>
          <w:sz w:val="24"/>
          <w:szCs w:val="24"/>
        </w:rPr>
        <w:t xml:space="preserve">, </w:t>
      </w:r>
      <w:r>
        <w:rPr>
          <w:rFonts w:ascii="Times New Roman" w:hAnsi="Times New Roman"/>
          <w:sz w:val="24"/>
          <w:szCs w:val="24"/>
          <w:lang w:val="en-US"/>
        </w:rPr>
        <w:t>Sr</w:t>
      </w:r>
      <w:r>
        <w:rPr>
          <w:rFonts w:ascii="Times New Roman" w:hAnsi="Times New Roman"/>
          <w:sz w:val="24"/>
          <w:szCs w:val="24"/>
          <w:vertAlign w:val="superscript"/>
        </w:rPr>
        <w:t>2+</w:t>
      </w:r>
      <w:r>
        <w:rPr>
          <w:rFonts w:ascii="Times New Roman" w:hAnsi="Times New Roman"/>
          <w:sz w:val="24"/>
          <w:szCs w:val="24"/>
        </w:rPr>
        <w:t xml:space="preserve">, </w:t>
      </w:r>
      <w:r>
        <w:rPr>
          <w:rFonts w:ascii="Times New Roman" w:hAnsi="Times New Roman"/>
          <w:sz w:val="24"/>
          <w:szCs w:val="24"/>
          <w:lang w:val="en-US"/>
        </w:rPr>
        <w:t>Cd</w:t>
      </w:r>
      <w:r>
        <w:rPr>
          <w:rFonts w:ascii="Times New Roman" w:hAnsi="Times New Roman"/>
          <w:sz w:val="24"/>
          <w:szCs w:val="24"/>
          <w:vertAlign w:val="superscript"/>
        </w:rPr>
        <w:t>2+</w:t>
      </w:r>
      <w:r>
        <w:rPr>
          <w:rFonts w:ascii="Times New Roman" w:hAnsi="Times New Roman"/>
          <w:sz w:val="24"/>
          <w:szCs w:val="24"/>
        </w:rPr>
        <w:t xml:space="preserve">, </w:t>
      </w:r>
      <w:r>
        <w:rPr>
          <w:rFonts w:ascii="Times New Roman" w:hAnsi="Times New Roman"/>
          <w:sz w:val="24"/>
          <w:szCs w:val="24"/>
          <w:lang w:val="en-US"/>
        </w:rPr>
        <w:t>Pb</w:t>
      </w:r>
      <w:r>
        <w:rPr>
          <w:rFonts w:ascii="Times New Roman" w:hAnsi="Times New Roman"/>
          <w:sz w:val="24"/>
          <w:szCs w:val="24"/>
          <w:vertAlign w:val="superscript"/>
        </w:rPr>
        <w:t>2+</w:t>
      </w:r>
      <w:r>
        <w:rPr>
          <w:rFonts w:ascii="Times New Roman" w:hAnsi="Times New Roman"/>
          <w:sz w:val="24"/>
          <w:szCs w:val="24"/>
        </w:rPr>
        <w:t xml:space="preserve">) [3, с. 94-95]. Основными задачами работы было: </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t>– изучить указанные характеристики для использования их при выборе оптимальных параметров процесса извлечения ионов тяжелых металлов,</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t xml:space="preserve">– показать возможность применения солей фитиновой кислоты в процессах очистки водных растворов от ионов тяжелых металлов. </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t xml:space="preserve">Были установлены условия достижения наибольших значений важнейших параметров, определяющих процесс сорбции – коэффициента межфазного распределения (зависимого от соотношения твердой и жидкой фаз), параметры классических уравнений Ленгмюра и Фрейндлиха, описывающих процесс сорбции. Изучено влияние температуры на кинетику извлечения ионов тяжелых металлов.   Показано, что наибольшая степень сорбции извлечения тяжелых металлов в условиях равновесия наблюдалась при сорбции ионов </w:t>
      </w:r>
      <w:r>
        <w:rPr>
          <w:rFonts w:ascii="Times New Roman" w:hAnsi="Times New Roman"/>
          <w:sz w:val="24"/>
          <w:szCs w:val="24"/>
          <w:lang w:val="en-US"/>
        </w:rPr>
        <w:t>Pb</w:t>
      </w:r>
      <w:r>
        <w:rPr>
          <w:rFonts w:ascii="Times New Roman" w:hAnsi="Times New Roman"/>
          <w:sz w:val="24"/>
          <w:szCs w:val="24"/>
          <w:vertAlign w:val="superscript"/>
        </w:rPr>
        <w:t>2+</w:t>
      </w:r>
      <w:r>
        <w:rPr>
          <w:rFonts w:ascii="Times New Roman" w:hAnsi="Times New Roman"/>
          <w:sz w:val="24"/>
          <w:szCs w:val="24"/>
        </w:rPr>
        <w:t xml:space="preserve">, </w:t>
      </w:r>
      <w:r>
        <w:rPr>
          <w:rFonts w:ascii="Times New Roman" w:hAnsi="Times New Roman"/>
          <w:sz w:val="24"/>
          <w:szCs w:val="24"/>
          <w:lang w:val="en-US"/>
        </w:rPr>
        <w:t>Zn</w:t>
      </w:r>
      <w:r>
        <w:rPr>
          <w:rFonts w:ascii="Times New Roman" w:hAnsi="Times New Roman"/>
          <w:sz w:val="24"/>
          <w:szCs w:val="24"/>
          <w:vertAlign w:val="superscript"/>
        </w:rPr>
        <w:t>2+</w:t>
      </w:r>
      <w:r>
        <w:rPr>
          <w:rFonts w:ascii="Times New Roman" w:hAnsi="Times New Roman"/>
          <w:sz w:val="24"/>
          <w:szCs w:val="24"/>
        </w:rPr>
        <w:t xml:space="preserve">, </w:t>
      </w:r>
      <w:r>
        <w:rPr>
          <w:rFonts w:ascii="Times New Roman" w:hAnsi="Times New Roman"/>
          <w:sz w:val="24"/>
          <w:szCs w:val="24"/>
          <w:lang w:val="en-US"/>
        </w:rPr>
        <w:t>Cu</w:t>
      </w:r>
      <w:r>
        <w:rPr>
          <w:rFonts w:ascii="Times New Roman" w:hAnsi="Times New Roman"/>
          <w:sz w:val="24"/>
          <w:szCs w:val="24"/>
          <w:vertAlign w:val="superscript"/>
        </w:rPr>
        <w:t>2+</w:t>
      </w:r>
      <w:r>
        <w:rPr>
          <w:rFonts w:ascii="Times New Roman" w:hAnsi="Times New Roman"/>
          <w:sz w:val="24"/>
          <w:szCs w:val="24"/>
        </w:rPr>
        <w:t xml:space="preserve">, </w:t>
      </w:r>
      <w:r>
        <w:rPr>
          <w:rFonts w:ascii="Times New Roman" w:hAnsi="Times New Roman"/>
          <w:sz w:val="24"/>
          <w:szCs w:val="24"/>
          <w:lang w:val="en-US"/>
        </w:rPr>
        <w:t>Cd</w:t>
      </w:r>
      <w:r>
        <w:rPr>
          <w:rFonts w:ascii="Times New Roman" w:hAnsi="Times New Roman"/>
          <w:sz w:val="24"/>
          <w:szCs w:val="24"/>
          <w:vertAlign w:val="superscript"/>
        </w:rPr>
        <w:t>2+</w:t>
      </w:r>
      <w:r>
        <w:rPr>
          <w:rFonts w:ascii="Times New Roman" w:hAnsi="Times New Roman"/>
          <w:sz w:val="24"/>
          <w:szCs w:val="24"/>
        </w:rPr>
        <w:t xml:space="preserve"> [3, 7].</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t xml:space="preserve">Таким образом, одним из направлений работ Института химии ДВО РАН является изучение процессов извлечения ионов тяжелых металлов и радионуклидов из водных сред сорбентами, полученными на основе природных и синтетических материалов. Технологии извлечения опасных компонентов с использованием сорбентов находят применение в области охраны окружающей среды, в различных отраслях промышленности при очистке технологических и сточных вод предприятий. Особый интерес представляют сорбенты, получаемые из вторичных ресурсов – промышленных и сельскохозяйственных отходов (в соответствии с концепцией безотходного производства). </w:t>
      </w:r>
    </w:p>
    <w:p w:rsidR="00517711" w:rsidRDefault="00F815BE">
      <w:pPr>
        <w:spacing w:after="0" w:line="240" w:lineRule="auto"/>
        <w:ind w:firstLine="709"/>
        <w:jc w:val="both"/>
        <w:rPr>
          <w:rFonts w:ascii="Times New Roman" w:hAnsi="Times New Roman"/>
          <w:b/>
          <w:sz w:val="24"/>
          <w:szCs w:val="24"/>
          <w:lang w:eastAsia="ru-RU"/>
        </w:rPr>
      </w:pPr>
      <w:r>
        <w:rPr>
          <w:rFonts w:ascii="Times New Roman" w:hAnsi="Times New Roman"/>
          <w:b/>
          <w:sz w:val="24"/>
          <w:szCs w:val="24"/>
          <w:lang w:eastAsia="ru-RU"/>
        </w:rPr>
        <w:t>________________________________________</w:t>
      </w:r>
    </w:p>
    <w:p w:rsidR="00517711" w:rsidRDefault="00F815BE">
      <w:pPr>
        <w:numPr>
          <w:ilvl w:val="0"/>
          <w:numId w:val="93"/>
        </w:numPr>
        <w:spacing w:after="0" w:line="240" w:lineRule="auto"/>
        <w:ind w:left="0" w:firstLine="709"/>
        <w:contextualSpacing/>
        <w:jc w:val="both"/>
        <w:rPr>
          <w:rFonts w:ascii="Times New Roman" w:eastAsia="TimesNewRomanPSMT" w:hAnsi="Times New Roman"/>
          <w:sz w:val="24"/>
          <w:szCs w:val="24"/>
        </w:rPr>
      </w:pPr>
      <w:r>
        <w:rPr>
          <w:rFonts w:ascii="Times New Roman" w:eastAsia="TimesNewRomanPSMT" w:hAnsi="Times New Roman"/>
          <w:sz w:val="24"/>
          <w:szCs w:val="24"/>
        </w:rPr>
        <w:t>Гордиенко П.С и др. Состав, структура и сорбционные свойства наноструктурированных алюмосиликатов/ П.С. Гордиенко, И.А. Шабалин, С.Б. Ярусова, Ю.А. Азарова, С.Н Сомова, А.В. Перфильев // Химическая технология. Т. 18. № 1, 2017 г. С. 2-8.</w:t>
      </w:r>
    </w:p>
    <w:p w:rsidR="00517711" w:rsidRDefault="00F815BE">
      <w:pPr>
        <w:numPr>
          <w:ilvl w:val="0"/>
          <w:numId w:val="93"/>
        </w:numPr>
        <w:spacing w:after="0" w:line="240" w:lineRule="auto"/>
        <w:ind w:left="0" w:firstLine="709"/>
        <w:contextualSpacing/>
        <w:jc w:val="both"/>
        <w:rPr>
          <w:rFonts w:ascii="Times New Roman" w:eastAsia="TimesNewRomanPSMT" w:hAnsi="Times New Roman"/>
          <w:sz w:val="24"/>
          <w:szCs w:val="24"/>
        </w:rPr>
      </w:pPr>
      <w:r>
        <w:rPr>
          <w:rFonts w:ascii="Times New Roman" w:eastAsia="TimesNewRomanPSMT" w:hAnsi="Times New Roman"/>
          <w:sz w:val="24"/>
          <w:szCs w:val="24"/>
        </w:rPr>
        <w:t xml:space="preserve">Гордиенко П.С и др. Синтетические алюмосиликаты кальция и их сорбционные свойства по отношению и инонам </w:t>
      </w:r>
      <w:r>
        <w:rPr>
          <w:rFonts w:ascii="Times New Roman" w:eastAsia="TimesNewRomanPSMT" w:hAnsi="Times New Roman"/>
          <w:sz w:val="24"/>
          <w:szCs w:val="24"/>
          <w:lang w:val="en-US"/>
        </w:rPr>
        <w:t>Sr</w:t>
      </w:r>
      <w:r>
        <w:rPr>
          <w:rFonts w:ascii="Times New Roman" w:eastAsia="TimesNewRomanPSMT" w:hAnsi="Times New Roman"/>
          <w:sz w:val="24"/>
          <w:szCs w:val="24"/>
          <w:vertAlign w:val="superscript"/>
        </w:rPr>
        <w:t>2+</w:t>
      </w:r>
      <w:r>
        <w:rPr>
          <w:rFonts w:ascii="Times New Roman" w:eastAsia="TimesNewRomanPSMT" w:hAnsi="Times New Roman"/>
          <w:sz w:val="24"/>
          <w:szCs w:val="24"/>
        </w:rPr>
        <w:t xml:space="preserve"> / П.С. Гордиенко, И.А. Шабалин, А.П. Супонина, С.Б. Ярусова, В.Г. Курявый, В.В Железнов, Т.А. Кайдалова, Д.Х. Шлык //Журнал неорганической химии. Т. 61. № 8, 2016 г. С. 993-1000.</w:t>
      </w:r>
    </w:p>
    <w:p w:rsidR="00517711" w:rsidRDefault="00F815BE">
      <w:pPr>
        <w:numPr>
          <w:ilvl w:val="0"/>
          <w:numId w:val="93"/>
        </w:numPr>
        <w:spacing w:after="0" w:line="240" w:lineRule="auto"/>
        <w:ind w:left="0" w:firstLine="709"/>
        <w:contextualSpacing/>
        <w:jc w:val="both"/>
        <w:rPr>
          <w:rFonts w:ascii="Times New Roman" w:eastAsia="TimesNewRomanPSMT" w:hAnsi="Times New Roman"/>
          <w:sz w:val="24"/>
          <w:szCs w:val="24"/>
        </w:rPr>
      </w:pPr>
      <w:r>
        <w:rPr>
          <w:rFonts w:ascii="Times New Roman" w:eastAsia="TimesNewRomanPSMT" w:hAnsi="Times New Roman"/>
          <w:sz w:val="24"/>
          <w:szCs w:val="24"/>
        </w:rPr>
        <w:t>Макаренко Н.В. и др. Кинетика сорбции ионов тяжелых металлов сорбентом из отходов прооизводства риса / Н.В. Макаренко, С.Б. Ярусова, Ю.А. Азарова, Л.А. Земнухова //Вестник ДВО РАН. № 4, 2015 г. С. 94-99.</w:t>
      </w:r>
    </w:p>
    <w:p w:rsidR="00517711" w:rsidRDefault="00F815BE">
      <w:pPr>
        <w:numPr>
          <w:ilvl w:val="0"/>
          <w:numId w:val="93"/>
        </w:numPr>
        <w:spacing w:after="0" w:line="240" w:lineRule="auto"/>
        <w:ind w:left="0" w:firstLine="709"/>
        <w:contextualSpacing/>
        <w:jc w:val="both"/>
        <w:rPr>
          <w:rFonts w:ascii="Times New Roman" w:eastAsia="TimesNewRomanPSMT" w:hAnsi="Times New Roman"/>
          <w:sz w:val="24"/>
          <w:szCs w:val="24"/>
        </w:rPr>
      </w:pPr>
      <w:r>
        <w:rPr>
          <w:rFonts w:ascii="Times New Roman" w:hAnsi="Times New Roman"/>
          <w:spacing w:val="2"/>
          <w:sz w:val="24"/>
          <w:szCs w:val="24"/>
        </w:rPr>
        <w:t xml:space="preserve">Об утверждении перечня организаций, эксплуатирующих особо радиационно опасные и ядерно опасные производства и объекты (с изменениями на 20 декабря 2016 года). Распоряжение Правительства Российской Федерации </w:t>
      </w:r>
      <w:r>
        <w:rPr>
          <w:rFonts w:ascii="Times New Roman" w:hAnsi="Times New Roman"/>
          <w:spacing w:val="2"/>
          <w:sz w:val="24"/>
          <w:szCs w:val="24"/>
          <w:shd w:val="clear" w:color="auto" w:fill="FFFFFF"/>
        </w:rPr>
        <w:t>от 14 сентября 2009 года N 1311-р</w:t>
      </w:r>
      <w:r>
        <w:rPr>
          <w:rFonts w:ascii="Times New Roman" w:hAnsi="Times New Roman"/>
          <w:spacing w:val="2"/>
          <w:sz w:val="24"/>
          <w:szCs w:val="24"/>
        </w:rPr>
        <w:t xml:space="preserve"> </w:t>
      </w:r>
      <w:r>
        <w:rPr>
          <w:rFonts w:ascii="Times New Roman" w:hAnsi="Times New Roman"/>
          <w:sz w:val="24"/>
          <w:szCs w:val="24"/>
        </w:rPr>
        <w:t xml:space="preserve">[Электронный ресурс]: Консорциум КОДЕКС. Электронный фонд правовой и нормативно-технической документации – официальный сайт – Режим доступа: </w:t>
      </w:r>
      <w:hyperlink r:id="rId306" w:history="1">
        <w:r>
          <w:rPr>
            <w:rFonts w:ascii="Times New Roman" w:hAnsi="Times New Roman"/>
            <w:sz w:val="24"/>
            <w:szCs w:val="24"/>
            <w:u w:val="single"/>
          </w:rPr>
          <w:t>http://docs.cntd.ru/document/902175518</w:t>
        </w:r>
      </w:hyperlink>
      <w:r>
        <w:rPr>
          <w:rFonts w:ascii="Times New Roman" w:hAnsi="Times New Roman"/>
          <w:sz w:val="24"/>
          <w:szCs w:val="24"/>
        </w:rPr>
        <w:t xml:space="preserve"> </w:t>
      </w:r>
      <w:r>
        <w:rPr>
          <w:rFonts w:ascii="Times New Roman" w:eastAsia="TimesNewRomanPSMT" w:hAnsi="Times New Roman"/>
          <w:sz w:val="24"/>
          <w:szCs w:val="24"/>
        </w:rPr>
        <w:t>(дата обращения: 31.03.2018).</w:t>
      </w:r>
    </w:p>
    <w:p w:rsidR="00517711" w:rsidRDefault="00F815BE">
      <w:pPr>
        <w:numPr>
          <w:ilvl w:val="0"/>
          <w:numId w:val="93"/>
        </w:numPr>
        <w:spacing w:after="0" w:line="240" w:lineRule="auto"/>
        <w:ind w:left="0" w:firstLine="709"/>
        <w:contextualSpacing/>
        <w:jc w:val="both"/>
        <w:rPr>
          <w:rFonts w:ascii="Times New Roman" w:eastAsia="TimesNewRomanPSMT" w:hAnsi="Times New Roman"/>
          <w:sz w:val="24"/>
          <w:szCs w:val="24"/>
        </w:rPr>
      </w:pPr>
      <w:r>
        <w:rPr>
          <w:rFonts w:ascii="Times New Roman" w:hAnsi="Times New Roman"/>
          <w:sz w:val="24"/>
          <w:szCs w:val="24"/>
        </w:rPr>
        <w:lastRenderedPageBreak/>
        <w:t xml:space="preserve">Радиационно-опасные объекты. Приморский край [Электронный ресурс]: Межведомственная информационная система по вопросам обеспечения радиационной безопасности населения и проблемам преодоления последствий радиационных аварий – официальный сайт – Режим доступа: </w:t>
      </w:r>
      <w:hyperlink r:id="rId307" w:history="1">
        <w:r>
          <w:rPr>
            <w:rFonts w:ascii="Times New Roman" w:hAnsi="Times New Roman"/>
            <w:sz w:val="24"/>
            <w:szCs w:val="24"/>
            <w:u w:val="single"/>
          </w:rPr>
          <w:t>http://rb.mchs.gov.ru/radiation_map?district=35</w:t>
        </w:r>
      </w:hyperlink>
      <w:r>
        <w:rPr>
          <w:rFonts w:ascii="Times New Roman" w:hAnsi="Times New Roman"/>
          <w:sz w:val="24"/>
          <w:szCs w:val="24"/>
        </w:rPr>
        <w:t xml:space="preserve"> </w:t>
      </w:r>
      <w:r>
        <w:rPr>
          <w:rFonts w:ascii="Times New Roman" w:eastAsia="TimesNewRomanPSMT" w:hAnsi="Times New Roman"/>
          <w:sz w:val="24"/>
          <w:szCs w:val="24"/>
        </w:rPr>
        <w:t>(дата обращения: 31.03.2018).</w:t>
      </w:r>
    </w:p>
    <w:p w:rsidR="00517711" w:rsidRDefault="00F815BE">
      <w:pPr>
        <w:numPr>
          <w:ilvl w:val="0"/>
          <w:numId w:val="93"/>
        </w:numPr>
        <w:spacing w:after="0" w:line="240" w:lineRule="auto"/>
        <w:ind w:left="0" w:firstLine="709"/>
        <w:contextualSpacing/>
        <w:jc w:val="both"/>
        <w:rPr>
          <w:rFonts w:ascii="Times New Roman" w:eastAsia="TimesNewRomanPSMT" w:hAnsi="Times New Roman"/>
          <w:sz w:val="24"/>
          <w:szCs w:val="24"/>
        </w:rPr>
      </w:pPr>
      <w:r>
        <w:rPr>
          <w:rFonts w:ascii="Times New Roman" w:eastAsia="TimesNewRomanPSMT" w:hAnsi="Times New Roman"/>
          <w:sz w:val="24"/>
          <w:szCs w:val="24"/>
        </w:rPr>
        <w:t>Ярусова С.Б и др. Кинетика сорбции ионов тяжелых металлов сорбентом, полученным из отходов производства борной кислоты / С.Б. Ярусова, П.С. Гордиенко, А.А. Юдаков, Ю.А. Азарова, Р.Д. Ящук // Химическая технология. Т. 16. № 10, 2015 г. С. 620-624.</w:t>
      </w:r>
    </w:p>
    <w:p w:rsidR="00517711" w:rsidRDefault="00F815BE">
      <w:pPr>
        <w:numPr>
          <w:ilvl w:val="0"/>
          <w:numId w:val="93"/>
        </w:numPr>
        <w:spacing w:after="0" w:line="240" w:lineRule="auto"/>
        <w:ind w:left="0" w:firstLine="709"/>
        <w:contextualSpacing/>
        <w:jc w:val="both"/>
        <w:rPr>
          <w:rFonts w:ascii="Times New Roman" w:eastAsia="TimesNewRomanPSMT" w:hAnsi="Times New Roman"/>
          <w:sz w:val="24"/>
          <w:szCs w:val="24"/>
        </w:rPr>
      </w:pPr>
      <w:r>
        <w:rPr>
          <w:rFonts w:ascii="Times New Roman" w:eastAsia="TimesNewRomanPSMT" w:hAnsi="Times New Roman"/>
          <w:sz w:val="24"/>
          <w:szCs w:val="24"/>
        </w:rPr>
        <w:t xml:space="preserve">Ярусова С.Б. и др. Извлечение ионов </w:t>
      </w:r>
      <w:r>
        <w:rPr>
          <w:rFonts w:ascii="Times New Roman" w:eastAsia="TimesNewRomanPSMT" w:hAnsi="Times New Roman"/>
          <w:sz w:val="24"/>
          <w:szCs w:val="24"/>
          <w:lang w:val="en-US"/>
        </w:rPr>
        <w:t>Co</w:t>
      </w:r>
      <w:r>
        <w:rPr>
          <w:rFonts w:ascii="Times New Roman" w:eastAsia="TimesNewRomanPSMT" w:hAnsi="Times New Roman"/>
          <w:sz w:val="24"/>
          <w:szCs w:val="24"/>
          <w:vertAlign w:val="superscript"/>
        </w:rPr>
        <w:t>2+</w:t>
      </w:r>
      <w:r>
        <w:rPr>
          <w:rFonts w:ascii="Times New Roman" w:eastAsia="TimesNewRomanPSMT" w:hAnsi="Times New Roman"/>
          <w:sz w:val="24"/>
          <w:szCs w:val="24"/>
        </w:rPr>
        <w:t xml:space="preserve"> сорбентом на основе производного инозитгексафосфорной кислоты / С.Б. Ярусова, Н.В. Макаренко, П.С. Гордиенко, Ю.А. Азарова, Е.С. Новикова // </w:t>
      </w:r>
      <w:r>
        <w:rPr>
          <w:rFonts w:ascii="Times New Roman" w:eastAsia="TimesNewRomanPSMT" w:hAnsi="Times New Roman"/>
          <w:sz w:val="24"/>
          <w:szCs w:val="24"/>
          <w:lang w:val="en-US"/>
        </w:rPr>
        <w:t>Advances</w:t>
      </w:r>
      <w:r>
        <w:rPr>
          <w:rFonts w:ascii="Times New Roman" w:eastAsia="TimesNewRomanPSMT" w:hAnsi="Times New Roman"/>
          <w:sz w:val="24"/>
          <w:szCs w:val="24"/>
        </w:rPr>
        <w:t xml:space="preserve"> </w:t>
      </w:r>
      <w:r>
        <w:rPr>
          <w:rFonts w:ascii="Times New Roman" w:eastAsia="TimesNewRomanPSMT" w:hAnsi="Times New Roman"/>
          <w:sz w:val="24"/>
          <w:szCs w:val="24"/>
          <w:lang w:val="en-US"/>
        </w:rPr>
        <w:t>in</w:t>
      </w:r>
      <w:r>
        <w:rPr>
          <w:rFonts w:ascii="Times New Roman" w:eastAsia="TimesNewRomanPSMT" w:hAnsi="Times New Roman"/>
          <w:sz w:val="24"/>
          <w:szCs w:val="24"/>
        </w:rPr>
        <w:t xml:space="preserve"> </w:t>
      </w:r>
      <w:r>
        <w:rPr>
          <w:rFonts w:ascii="Times New Roman" w:eastAsia="TimesNewRomanPSMT" w:hAnsi="Times New Roman"/>
          <w:sz w:val="24"/>
          <w:szCs w:val="24"/>
          <w:lang w:val="en-US"/>
        </w:rPr>
        <w:t>current</w:t>
      </w:r>
      <w:r>
        <w:rPr>
          <w:rFonts w:ascii="Times New Roman" w:eastAsia="TimesNewRomanPSMT" w:hAnsi="Times New Roman"/>
          <w:sz w:val="24"/>
          <w:szCs w:val="24"/>
        </w:rPr>
        <w:t xml:space="preserve"> </w:t>
      </w:r>
      <w:r>
        <w:rPr>
          <w:rFonts w:ascii="Times New Roman" w:eastAsia="TimesNewRomanPSMT" w:hAnsi="Times New Roman"/>
          <w:sz w:val="24"/>
          <w:szCs w:val="24"/>
          <w:lang w:val="en-US"/>
        </w:rPr>
        <w:t>natural</w:t>
      </w:r>
      <w:r>
        <w:rPr>
          <w:rFonts w:ascii="Times New Roman" w:eastAsia="TimesNewRomanPSMT" w:hAnsi="Times New Roman"/>
          <w:sz w:val="24"/>
          <w:szCs w:val="24"/>
        </w:rPr>
        <w:t xml:space="preserve"> </w:t>
      </w:r>
      <w:r>
        <w:rPr>
          <w:rFonts w:ascii="Times New Roman" w:eastAsia="TimesNewRomanPSMT" w:hAnsi="Times New Roman"/>
          <w:sz w:val="24"/>
          <w:szCs w:val="24"/>
          <w:lang w:val="en-US"/>
        </w:rPr>
        <w:t>sciences</w:t>
      </w:r>
      <w:r>
        <w:rPr>
          <w:rFonts w:ascii="Times New Roman" w:eastAsia="TimesNewRomanPSMT" w:hAnsi="Times New Roman"/>
          <w:sz w:val="24"/>
          <w:szCs w:val="24"/>
        </w:rPr>
        <w:t>. № 2, 2018 г. С. 30-34.</w:t>
      </w:r>
    </w:p>
    <w:p w:rsidR="00517711" w:rsidRDefault="00517711">
      <w:pPr>
        <w:tabs>
          <w:tab w:val="left" w:pos="2175"/>
        </w:tabs>
        <w:spacing w:after="0" w:line="240" w:lineRule="auto"/>
        <w:ind w:firstLine="709"/>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F815BE">
      <w:pPr>
        <w:spacing w:after="0" w:line="240" w:lineRule="auto"/>
        <w:rPr>
          <w:rFonts w:ascii="Times New Roman" w:hAnsi="Times New Roman"/>
          <w:color w:val="000000"/>
          <w:sz w:val="24"/>
          <w:szCs w:val="24"/>
          <w:lang w:eastAsia="ru-RU"/>
        </w:rPr>
      </w:pPr>
      <w:r>
        <w:rPr>
          <w:rFonts w:ascii="Times New Roman" w:hAnsi="Times New Roman"/>
          <w:color w:val="000000"/>
          <w:sz w:val="24"/>
          <w:szCs w:val="24"/>
          <w:lang w:eastAsia="ru-RU"/>
        </w:rPr>
        <w:t>Рубрика: Экономическая политика. Управление и планирование в экономике</w:t>
      </w:r>
    </w:p>
    <w:p w:rsidR="00517711" w:rsidRDefault="00517711">
      <w:pPr>
        <w:spacing w:after="0" w:line="240" w:lineRule="auto"/>
        <w:rPr>
          <w:rFonts w:ascii="Times New Roman" w:hAnsi="Times New Roman"/>
          <w:color w:val="000000"/>
          <w:sz w:val="24"/>
          <w:szCs w:val="24"/>
          <w:lang w:eastAsia="ru-RU"/>
        </w:rPr>
      </w:pPr>
    </w:p>
    <w:p w:rsidR="00517711" w:rsidRDefault="00F815BE">
      <w:pPr>
        <w:spacing w:after="0" w:line="240" w:lineRule="auto"/>
        <w:rPr>
          <w:rFonts w:ascii="Times New Roman" w:hAnsi="Times New Roman"/>
          <w:color w:val="000000"/>
          <w:sz w:val="24"/>
          <w:szCs w:val="24"/>
          <w:lang w:eastAsia="ru-RU"/>
        </w:rPr>
      </w:pPr>
      <w:r>
        <w:rPr>
          <w:rFonts w:ascii="Times New Roman" w:hAnsi="Times New Roman"/>
          <w:color w:val="000000"/>
          <w:sz w:val="24"/>
          <w:szCs w:val="24"/>
          <w:lang w:eastAsia="ru-RU"/>
        </w:rPr>
        <w:t>УДК 338.27</w:t>
      </w:r>
    </w:p>
    <w:p w:rsidR="00517711" w:rsidRDefault="00517711">
      <w:pPr>
        <w:spacing w:after="0" w:line="240" w:lineRule="auto"/>
        <w:rPr>
          <w:rFonts w:ascii="Times New Roman" w:hAnsi="Times New Roman"/>
          <w:color w:val="000000"/>
          <w:sz w:val="24"/>
          <w:szCs w:val="24"/>
          <w:lang w:eastAsia="ru-RU"/>
        </w:rPr>
      </w:pPr>
    </w:p>
    <w:p w:rsidR="00517711" w:rsidRDefault="00F815BE">
      <w:pPr>
        <w:spacing w:after="0" w:line="240" w:lineRule="auto"/>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Использование нейронных сетей в решении задач прогнозирования</w:t>
      </w:r>
    </w:p>
    <w:p w:rsidR="00517711" w:rsidRDefault="00517711">
      <w:pPr>
        <w:spacing w:after="0" w:line="240" w:lineRule="auto"/>
        <w:jc w:val="center"/>
        <w:rPr>
          <w:rFonts w:ascii="Times New Roman" w:hAnsi="Times New Roman"/>
          <w:b/>
          <w:color w:val="000000"/>
          <w:sz w:val="24"/>
          <w:szCs w:val="24"/>
          <w:lang w:eastAsia="ru-RU"/>
        </w:rPr>
      </w:pPr>
    </w:p>
    <w:p w:rsidR="00517711" w:rsidRDefault="00F815BE">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Романов Сергей Романович, бакалавр</w:t>
      </w:r>
    </w:p>
    <w:p w:rsidR="00517711" w:rsidRDefault="00F815BE">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Владивостокский государственный университет экономики и сервиса</w:t>
      </w:r>
    </w:p>
    <w:p w:rsidR="00517711" w:rsidRDefault="00F815BE">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Россия. Владивосток</w:t>
      </w:r>
    </w:p>
    <w:p w:rsidR="00517711" w:rsidRDefault="00F815BE">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val="en-US" w:eastAsia="ru-RU"/>
        </w:rPr>
        <w:t>Email</w:t>
      </w:r>
      <w:r>
        <w:rPr>
          <w:rFonts w:ascii="Times New Roman" w:hAnsi="Times New Roman"/>
          <w:color w:val="000000"/>
          <w:sz w:val="24"/>
          <w:szCs w:val="24"/>
          <w:lang w:eastAsia="ru-RU"/>
        </w:rPr>
        <w:t>:</w:t>
      </w:r>
      <w:r>
        <w:rPr>
          <w:rFonts w:ascii="Times New Roman" w:hAnsi="Times New Roman"/>
          <w:sz w:val="24"/>
          <w:szCs w:val="24"/>
          <w:lang w:eastAsia="ru-RU"/>
        </w:rPr>
        <w:t xml:space="preserve"> </w:t>
      </w:r>
      <w:r>
        <w:rPr>
          <w:rFonts w:ascii="Times New Roman" w:hAnsi="Times New Roman"/>
          <w:sz w:val="24"/>
          <w:szCs w:val="24"/>
          <w:lang w:val="en-US" w:eastAsia="ru-RU"/>
        </w:rPr>
        <w:t>sergey</w:t>
      </w:r>
      <w:r>
        <w:rPr>
          <w:rFonts w:ascii="Times New Roman" w:hAnsi="Times New Roman"/>
          <w:sz w:val="24"/>
          <w:szCs w:val="24"/>
          <w:lang w:eastAsia="ru-RU"/>
        </w:rPr>
        <w:t>12</w:t>
      </w:r>
      <w:r>
        <w:rPr>
          <w:rFonts w:ascii="Times New Roman" w:hAnsi="Times New Roman"/>
          <w:sz w:val="24"/>
          <w:szCs w:val="24"/>
          <w:lang w:val="en-US" w:eastAsia="ru-RU"/>
        </w:rPr>
        <w:t>rsr</w:t>
      </w:r>
      <w:r>
        <w:rPr>
          <w:rFonts w:ascii="Times New Roman" w:hAnsi="Times New Roman"/>
          <w:sz w:val="24"/>
          <w:szCs w:val="24"/>
          <w:lang w:eastAsia="ru-RU"/>
        </w:rPr>
        <w:t>@</w:t>
      </w:r>
      <w:r>
        <w:rPr>
          <w:rFonts w:ascii="Times New Roman" w:hAnsi="Times New Roman"/>
          <w:sz w:val="24"/>
          <w:szCs w:val="24"/>
          <w:lang w:val="en-US" w:eastAsia="ru-RU"/>
        </w:rPr>
        <w:t>yandex</w:t>
      </w:r>
      <w:r>
        <w:rPr>
          <w:rFonts w:ascii="Times New Roman" w:hAnsi="Times New Roman"/>
          <w:sz w:val="24"/>
          <w:szCs w:val="24"/>
          <w:lang w:eastAsia="ru-RU"/>
        </w:rPr>
        <w:t>.</w:t>
      </w:r>
      <w:r>
        <w:rPr>
          <w:rFonts w:ascii="Times New Roman" w:hAnsi="Times New Roman"/>
          <w:sz w:val="24"/>
          <w:szCs w:val="24"/>
          <w:lang w:val="en-US" w:eastAsia="ru-RU"/>
        </w:rPr>
        <w:t>ru</w:t>
      </w:r>
      <w:r>
        <w:rPr>
          <w:rFonts w:ascii="Times New Roman" w:hAnsi="Times New Roman"/>
          <w:color w:val="000000"/>
          <w:sz w:val="24"/>
          <w:szCs w:val="24"/>
          <w:lang w:eastAsia="ru-RU"/>
        </w:rPr>
        <w:t>; тел.: +79940240731</w:t>
      </w:r>
    </w:p>
    <w:p w:rsidR="00517711" w:rsidRDefault="00F815BE">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Ул. Гоголя, 41, г. Владивосток, Приморский край, Россия, 690014</w:t>
      </w:r>
    </w:p>
    <w:p w:rsidR="00517711" w:rsidRDefault="00517711">
      <w:pPr>
        <w:spacing w:after="0" w:line="240" w:lineRule="auto"/>
        <w:jc w:val="center"/>
        <w:rPr>
          <w:rFonts w:ascii="Times New Roman" w:hAnsi="Times New Roman"/>
          <w:color w:val="000000"/>
          <w:sz w:val="24"/>
          <w:szCs w:val="24"/>
          <w:lang w:eastAsia="ru-RU"/>
        </w:rPr>
      </w:pPr>
    </w:p>
    <w:p w:rsidR="00517711" w:rsidRDefault="00517711">
      <w:pPr>
        <w:spacing w:after="0" w:line="240" w:lineRule="auto"/>
        <w:ind w:firstLine="709"/>
        <w:jc w:val="both"/>
        <w:rPr>
          <w:rFonts w:ascii="Times New Roman" w:hAnsi="Times New Roman"/>
          <w:color w:val="000000"/>
          <w:sz w:val="24"/>
          <w:szCs w:val="24"/>
          <w:lang w:eastAsia="ru-RU"/>
        </w:rPr>
      </w:pPr>
    </w:p>
    <w:p w:rsidR="00517711" w:rsidRDefault="00F815BE">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Задача прогнозирования динамики курса доллара США как всемирного эквивалента является очень важной и актуальной. Несмотря на большое количество существующих методик прогнозирования, немногие из них способны предоставить исследователю адекватное решение проблемы. Более высокий потенциал перед многими другими методиками, на сегодняшний день имеют нейронные сети.</w:t>
      </w:r>
    </w:p>
    <w:p w:rsidR="00517711" w:rsidRDefault="00517711">
      <w:pPr>
        <w:spacing w:after="0" w:line="240" w:lineRule="auto"/>
        <w:ind w:firstLine="709"/>
        <w:jc w:val="both"/>
        <w:rPr>
          <w:rFonts w:ascii="Times New Roman" w:hAnsi="Times New Roman"/>
          <w:color w:val="000000"/>
          <w:sz w:val="24"/>
          <w:szCs w:val="24"/>
          <w:lang w:eastAsia="ru-RU"/>
        </w:rPr>
      </w:pPr>
    </w:p>
    <w:p w:rsidR="00517711" w:rsidRDefault="00F815BE">
      <w:pPr>
        <w:spacing w:after="0" w:line="240" w:lineRule="auto"/>
        <w:ind w:firstLine="709"/>
        <w:jc w:val="both"/>
        <w:rPr>
          <w:rFonts w:ascii="Times New Roman" w:hAnsi="Times New Roman"/>
          <w:color w:val="000000"/>
          <w:sz w:val="24"/>
          <w:szCs w:val="24"/>
          <w:lang w:eastAsia="ru-RU"/>
        </w:rPr>
      </w:pPr>
      <w:r>
        <w:rPr>
          <w:rFonts w:ascii="Times New Roman" w:hAnsi="Times New Roman"/>
          <w:b/>
          <w:color w:val="000000"/>
          <w:sz w:val="24"/>
          <w:szCs w:val="24"/>
          <w:lang w:eastAsia="ru-RU"/>
        </w:rPr>
        <w:t>Ключевые слова и словосочетания:</w:t>
      </w:r>
      <w:r>
        <w:rPr>
          <w:rFonts w:ascii="Times New Roman" w:hAnsi="Times New Roman"/>
          <w:color w:val="000000"/>
          <w:sz w:val="24"/>
          <w:szCs w:val="24"/>
          <w:lang w:eastAsia="ru-RU"/>
        </w:rPr>
        <w:t xml:space="preserve"> нейронные сети, прогнозирование, валютный курс USD/RUB, аналитическая платформа, временной ряд, Deductor Studio.</w:t>
      </w:r>
    </w:p>
    <w:p w:rsidR="00517711" w:rsidRDefault="00517711">
      <w:pPr>
        <w:spacing w:after="0" w:line="240" w:lineRule="auto"/>
        <w:ind w:firstLine="709"/>
        <w:jc w:val="both"/>
        <w:rPr>
          <w:rFonts w:ascii="Times New Roman" w:hAnsi="Times New Roman"/>
          <w:color w:val="000000"/>
          <w:sz w:val="24"/>
          <w:szCs w:val="24"/>
          <w:lang w:eastAsia="ru-RU"/>
        </w:rPr>
      </w:pPr>
    </w:p>
    <w:p w:rsidR="00517711" w:rsidRDefault="00F815BE">
      <w:pPr>
        <w:spacing w:after="0" w:line="240" w:lineRule="auto"/>
        <w:ind w:firstLine="709"/>
        <w:jc w:val="center"/>
        <w:rPr>
          <w:rFonts w:ascii="Times New Roman" w:hAnsi="Times New Roman"/>
          <w:b/>
          <w:sz w:val="24"/>
          <w:szCs w:val="24"/>
          <w:lang w:val="en-US" w:eastAsia="ru-RU"/>
        </w:rPr>
      </w:pPr>
      <w:r>
        <w:rPr>
          <w:rFonts w:ascii="Times New Roman" w:hAnsi="Times New Roman"/>
          <w:b/>
          <w:sz w:val="24"/>
          <w:szCs w:val="24"/>
          <w:lang w:val="en-US" w:eastAsia="ru-RU"/>
        </w:rPr>
        <w:t>The use of neural networks for solving forecasting problems</w:t>
      </w:r>
    </w:p>
    <w:p w:rsidR="00517711" w:rsidRDefault="00517711">
      <w:pPr>
        <w:spacing w:after="0" w:line="240" w:lineRule="auto"/>
        <w:ind w:firstLine="709"/>
        <w:jc w:val="both"/>
        <w:rPr>
          <w:rFonts w:ascii="Times New Roman" w:hAnsi="Times New Roman"/>
          <w:color w:val="000000"/>
          <w:sz w:val="24"/>
          <w:szCs w:val="24"/>
          <w:lang w:val="en-US" w:eastAsia="ru-RU"/>
        </w:rPr>
      </w:pPr>
    </w:p>
    <w:p w:rsidR="00517711" w:rsidRDefault="00F815BE">
      <w:pPr>
        <w:spacing w:after="0" w:line="240" w:lineRule="auto"/>
        <w:ind w:firstLine="709"/>
        <w:jc w:val="both"/>
        <w:rPr>
          <w:rFonts w:ascii="Times New Roman" w:hAnsi="Times New Roman"/>
          <w:sz w:val="24"/>
          <w:szCs w:val="24"/>
          <w:lang w:val="en-US" w:eastAsia="ru-RU"/>
        </w:rPr>
      </w:pPr>
      <w:r>
        <w:rPr>
          <w:rFonts w:ascii="Times New Roman" w:hAnsi="Times New Roman"/>
          <w:sz w:val="24"/>
          <w:szCs w:val="24"/>
          <w:lang w:val="en-US" w:eastAsia="ru-RU"/>
        </w:rPr>
        <w:t>The task of forecasting the dynamics of the us dollar as the world equivalent is very important and relevant. Despite the large number of existing methods of forecasting, few of them are able to provide the users with an adequate solution. Higher potential before many other techniques, today have neural networks.</w:t>
      </w:r>
    </w:p>
    <w:p w:rsidR="00517711" w:rsidRDefault="00517711">
      <w:pPr>
        <w:spacing w:after="0" w:line="240" w:lineRule="auto"/>
        <w:ind w:firstLine="709"/>
        <w:jc w:val="both"/>
        <w:rPr>
          <w:rFonts w:ascii="Times New Roman" w:hAnsi="Times New Roman"/>
          <w:color w:val="000000"/>
          <w:sz w:val="24"/>
          <w:szCs w:val="24"/>
          <w:lang w:val="en-US" w:eastAsia="ru-RU"/>
        </w:rPr>
      </w:pPr>
    </w:p>
    <w:p w:rsidR="00517711" w:rsidRDefault="00F815BE">
      <w:pPr>
        <w:spacing w:after="0" w:line="240" w:lineRule="auto"/>
        <w:ind w:firstLine="709"/>
        <w:jc w:val="both"/>
        <w:rPr>
          <w:rFonts w:ascii="Times New Roman" w:hAnsi="Times New Roman"/>
          <w:sz w:val="24"/>
          <w:szCs w:val="24"/>
          <w:lang w:val="en-US" w:eastAsia="ru-RU"/>
        </w:rPr>
      </w:pPr>
      <w:r>
        <w:rPr>
          <w:rFonts w:ascii="Times New Roman" w:hAnsi="Times New Roman"/>
          <w:b/>
          <w:sz w:val="24"/>
          <w:szCs w:val="24"/>
          <w:lang w:val="en-US" w:eastAsia="ru-RU"/>
        </w:rPr>
        <w:t>Key words and phrases:</w:t>
      </w:r>
      <w:r>
        <w:rPr>
          <w:rFonts w:ascii="Times New Roman" w:hAnsi="Times New Roman"/>
          <w:sz w:val="24"/>
          <w:szCs w:val="24"/>
          <w:lang w:val="en-US" w:eastAsia="ru-RU"/>
        </w:rPr>
        <w:t xml:space="preserve"> neural networks, forecasting, exchange rate USD / RUB, analytical platform, time series, Deductor Studio.</w:t>
      </w:r>
    </w:p>
    <w:p w:rsidR="00517711" w:rsidRDefault="00517711">
      <w:pPr>
        <w:spacing w:after="0" w:line="240" w:lineRule="auto"/>
        <w:ind w:firstLine="709"/>
        <w:jc w:val="both"/>
        <w:rPr>
          <w:rFonts w:ascii="Times New Roman" w:hAnsi="Times New Roman"/>
          <w:color w:val="000000"/>
          <w:sz w:val="24"/>
          <w:szCs w:val="24"/>
          <w:lang w:val="en-US" w:eastAsia="ru-RU"/>
        </w:rPr>
      </w:pPr>
    </w:p>
    <w:p w:rsidR="00517711" w:rsidRDefault="00517711">
      <w:pPr>
        <w:spacing w:after="0" w:line="240" w:lineRule="auto"/>
        <w:ind w:firstLine="709"/>
        <w:jc w:val="both"/>
        <w:rPr>
          <w:rFonts w:ascii="Times New Roman" w:hAnsi="Times New Roman"/>
          <w:b/>
          <w:color w:val="000000"/>
          <w:sz w:val="24"/>
          <w:szCs w:val="24"/>
          <w:lang w:val="en-US" w:eastAsia="ru-RU"/>
        </w:rPr>
      </w:pPr>
    </w:p>
    <w:p w:rsidR="00517711" w:rsidRDefault="00F815BE">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Искусственные нейронные сети – это математические модели, а также их программные или аппаратные реализации, построенные по принципу организации и функционирования биологических нейронных сетей – сетей нервных клеток живого организма.</w:t>
      </w:r>
    </w:p>
    <w:p w:rsidR="00517711" w:rsidRDefault="00F815BE">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Способности нейронной сети к прогнозированию напрямую следуют из ее способности к обобщению и выделению скрытых зависимостей между входными и выходными данными. После обучения сеть способна предсказать будущее значение некой последовательности на основе нескольких предыдущих значений или каких-то существующих в настоящий момент факторов.</w:t>
      </w:r>
    </w:p>
    <w:p w:rsidR="00517711" w:rsidRDefault="00F815BE">
      <w:pPr>
        <w:spacing w:after="0" w:line="240" w:lineRule="auto"/>
        <w:ind w:firstLine="709"/>
        <w:jc w:val="both"/>
        <w:rPr>
          <w:rFonts w:ascii="Times New Roman" w:hAnsi="Times New Roman"/>
          <w:b/>
          <w:color w:val="000000"/>
          <w:sz w:val="24"/>
          <w:szCs w:val="24"/>
          <w:lang w:eastAsia="ru-RU"/>
        </w:rPr>
      </w:pPr>
      <w:r>
        <w:rPr>
          <w:rFonts w:ascii="Times New Roman" w:hAnsi="Times New Roman"/>
          <w:color w:val="000000"/>
          <w:sz w:val="24"/>
          <w:szCs w:val="24"/>
          <w:lang w:eastAsia="ru-RU"/>
        </w:rPr>
        <w:t xml:space="preserve">Нейронные сети показывают хорошие результаты при решении неформализованных или плохо формализованных процессов, обладают устойчивостью к частым изменениям среды. </w:t>
      </w:r>
    </w:p>
    <w:p w:rsidR="00517711" w:rsidRDefault="00F815BE">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Показать актуальность и преимущество использования нейронных сетей для прогнозирования.</w:t>
      </w:r>
    </w:p>
    <w:p w:rsidR="00517711" w:rsidRDefault="00F815BE">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В настоящее время весьма актуальна проблема выбора методов и инструментов экономического прогнозирования. С развитием электронной торговли, биржевых площадок, рынка межбанковского обмена, торговли международной валютой - одним из слагаемых успеха в данной деятельности является адекватная оценка динамики курса валюты в будущем.</w:t>
      </w:r>
    </w:p>
    <w:p w:rsidR="00517711" w:rsidRDefault="00F815BE">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Имеется временной ряд, описывающий динамику стоимости доллара в Российских рублях с 01.01.2017 по 01.01.2018 года, с интервалом в 1 день. Данные взяты с сайта: «https://www.finam.ru/».</w:t>
      </w:r>
    </w:p>
    <w:p w:rsidR="00517711" w:rsidRDefault="00F815BE">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 xml:space="preserve">Требуется: </w:t>
      </w:r>
    </w:p>
    <w:p w:rsidR="00517711" w:rsidRDefault="00F815BE">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 xml:space="preserve">1. Сделать прогноз курса валюты на месяц вперёд - задача будет состоять в том, что на основе имеющейся статистической информации, необходимо произвести прогноз USD-RUB на 1 месяц вперед. </w:t>
      </w:r>
    </w:p>
    <w:p w:rsidR="00517711" w:rsidRDefault="00F815BE">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 xml:space="preserve">2. Оценить достоверность (качество) работы нейронной сети. </w:t>
      </w:r>
    </w:p>
    <w:p w:rsidR="00517711" w:rsidRDefault="00F815BE">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Прогнозирование валютного курса USD/RUB было выполнено с помощью аналитической платформы Deductor Studio. Данное ПО позволяет выполнить обработку данных, построение и визуализацию моделей, а также осуществить все этапы прогнозирования.</w:t>
      </w:r>
    </w:p>
    <w:p w:rsidR="00517711" w:rsidRDefault="00F815BE">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В ходе выполнения работы были выполнены следующие операции:</w:t>
      </w:r>
    </w:p>
    <w:p w:rsidR="00517711" w:rsidRDefault="00F815BE">
      <w:pPr>
        <w:spacing w:after="20" w:line="240" w:lineRule="auto"/>
        <w:ind w:firstLine="709"/>
        <w:jc w:val="both"/>
        <w:rPr>
          <w:rFonts w:ascii="Times New Roman" w:hAnsi="Times New Roman"/>
          <w:sz w:val="24"/>
          <w:szCs w:val="24"/>
          <w:lang w:eastAsia="ru-RU"/>
        </w:rPr>
      </w:pPr>
      <w:r>
        <w:rPr>
          <w:rFonts w:ascii="Times New Roman" w:hAnsi="Times New Roman"/>
          <w:sz w:val="24"/>
          <w:szCs w:val="24"/>
          <w:lang w:eastAsia="ru-RU"/>
        </w:rPr>
        <w:t>1. ИМПОРТ ДАННЫХ – Первым этапом мы импортируем данные из файла .txt в программу Deductor Studio для дальнейшей обработки.</w:t>
      </w:r>
    </w:p>
    <w:p w:rsidR="00517711" w:rsidRDefault="00F815BE">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2. РЕДАКТИРОВАНИЕ ВЫБРОСОВ И ЭКСТРЕМАЛЬНЫХ ЗНАЧЕНИЙ. Выбросы и экстремальные значения – это отклонения от нормального поведения чего-либо, т.е. резкое отклонение величины от ее ожидаемого значения. За ними трудно разглядеть тенденцию к изменению, поэтому их необходимо удалить.</w:t>
      </w:r>
    </w:p>
    <w:p w:rsidR="00517711" w:rsidRDefault="00F815BE">
      <w:pPr>
        <w:spacing w:after="120" w:line="240" w:lineRule="auto"/>
        <w:ind w:firstLine="709"/>
        <w:jc w:val="both"/>
        <w:rPr>
          <w:rFonts w:ascii="Times New Roman" w:hAnsi="Times New Roman"/>
          <w:sz w:val="24"/>
          <w:szCs w:val="24"/>
          <w:lang w:eastAsia="ru-RU"/>
        </w:rPr>
      </w:pPr>
      <w:r>
        <w:rPr>
          <w:rFonts w:ascii="Times New Roman" w:hAnsi="Times New Roman"/>
          <w:sz w:val="24"/>
          <w:szCs w:val="24"/>
          <w:lang w:eastAsia="ru-RU"/>
        </w:rPr>
        <w:t>3. СПЕКТРАЛЬНАЯ ОБРАБОТКА – это сглаживание. Спектральная обработка предназначена для сглаживания и очистки от шумовой составляющей рядов данных (шумы в данных не только скрывают общую тенденцию, но и проявляют себя при построении модели прогноза. Из-за них модель может получиться с плохими обобщающими качествами).</w:t>
      </w:r>
    </w:p>
    <w:p w:rsidR="00517711" w:rsidRDefault="00F815BE">
      <w:pPr>
        <w:spacing w:after="120" w:line="240" w:lineRule="auto"/>
        <w:ind w:firstLine="709"/>
        <w:jc w:val="both"/>
        <w:rPr>
          <w:rFonts w:ascii="Times New Roman" w:hAnsi="Times New Roman"/>
          <w:sz w:val="24"/>
          <w:szCs w:val="24"/>
          <w:lang w:eastAsia="ru-RU"/>
        </w:rPr>
      </w:pPr>
      <w:r>
        <w:rPr>
          <w:rFonts w:ascii="Times New Roman" w:hAnsi="Times New Roman"/>
          <w:sz w:val="24"/>
          <w:szCs w:val="24"/>
          <w:lang w:eastAsia="ru-RU"/>
        </w:rPr>
        <w:t>При  «сглаживании данных» – выбросы и шумы исчезли, также была видна тенденция к изменению курса.</w:t>
      </w:r>
    </w:p>
    <w:p w:rsidR="00517711" w:rsidRDefault="00F815BE">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4. СКОЛЬЗЯЩЕЕ ОКНО – Входными факторами для нашей модели могут быть продажи за текущий месяц, продажи за месяц ранее и т.д., а результатом должны быть продажи на следующий месяц. Т.е. нужно трансформировать данные к скользящему окну (скользящее окно - это метод отбора данных, при котором данные, относящиеся к конкретной позиции окна, последовательно располагаются в одной записи. Значения в одном из полей записи будут относиться к текущему отсчету, а в других смещены от текущего отсчета «в будущее» или «в прошлое». Таким образом, преобразование скользящего окна имеет два параметра: «глубина погружения = 12» количество «прошлых» отсчетов, попадающих в окно, и «горизонт прогнозирования» количество «будущих» отсчетов).</w:t>
      </w:r>
    </w:p>
    <w:p w:rsidR="00517711" w:rsidRDefault="00F815BE">
      <w:pPr>
        <w:spacing w:after="120" w:line="240" w:lineRule="auto"/>
        <w:ind w:firstLine="709"/>
        <w:jc w:val="center"/>
        <w:rPr>
          <w:rFonts w:ascii="Times New Roman" w:hAnsi="Times New Roman"/>
          <w:sz w:val="24"/>
          <w:szCs w:val="24"/>
          <w:lang w:eastAsia="ru-RU"/>
        </w:rPr>
      </w:pPr>
      <w:r>
        <w:rPr>
          <w:rFonts w:ascii="Times New Roman" w:hAnsi="Times New Roman"/>
          <w:noProof/>
          <w:sz w:val="24"/>
          <w:szCs w:val="24"/>
          <w:lang w:eastAsia="ru-RU"/>
        </w:rPr>
        <w:lastRenderedPageBreak/>
        <w:drawing>
          <wp:inline distT="0" distB="0" distL="0" distR="0">
            <wp:extent cx="5379808" cy="3106152"/>
            <wp:effectExtent l="0" t="0" r="0" b="0"/>
            <wp:docPr id="125" name="Рисунок 125"/>
            <wp:cNvGraphicFramePr/>
            <a:graphic xmlns:a="http://schemas.openxmlformats.org/drawingml/2006/main">
              <a:graphicData uri="http://schemas.openxmlformats.org/drawingml/2006/picture">
                <pic:pic xmlns:pic="http://schemas.openxmlformats.org/drawingml/2006/picture">
                  <pic:nvPicPr>
                    <pic:cNvPr id="54" name=""/>
                    <pic:cNvPicPr/>
                  </pic:nvPicPr>
                  <pic:blipFill>
                    <a:blip r:embed="rId308"/>
                    <a:stretch/>
                  </pic:blipFill>
                  <pic:spPr bwMode="auto">
                    <a:xfrm>
                      <a:off x="0" y="0"/>
                      <a:ext cx="5379809" cy="3106153"/>
                    </a:xfrm>
                    <a:prstGeom prst="rect">
                      <a:avLst/>
                    </a:prstGeom>
                    <a:noFill/>
                    <a:ln>
                      <a:solidFill>
                        <a:srgbClr val="000000"/>
                      </a:solidFill>
                    </a:ln>
                  </pic:spPr>
                </pic:pic>
              </a:graphicData>
            </a:graphic>
          </wp:inline>
        </w:drawing>
      </w:r>
    </w:p>
    <w:p w:rsidR="00517711" w:rsidRDefault="00F815BE">
      <w:pPr>
        <w:spacing w:after="80" w:line="240" w:lineRule="auto"/>
        <w:ind w:firstLine="709"/>
        <w:jc w:val="both"/>
        <w:rPr>
          <w:rFonts w:ascii="Times New Roman" w:hAnsi="Times New Roman"/>
          <w:sz w:val="24"/>
          <w:szCs w:val="24"/>
          <w:lang w:eastAsia="ru-RU"/>
        </w:rPr>
      </w:pPr>
      <w:r>
        <w:rPr>
          <w:rFonts w:ascii="Times New Roman" w:hAnsi="Times New Roman"/>
          <w:sz w:val="24"/>
          <w:szCs w:val="24"/>
          <w:lang w:eastAsia="ru-RU"/>
        </w:rPr>
        <w:t>5. НЕЙРОННАЯ СЕТЬ – На данном этапе мы выполняем построение и обучение нейронной сети. Получаем диаграмму прогноза и граф нейронной сети:</w:t>
      </w:r>
    </w:p>
    <w:p w:rsidR="00517711" w:rsidRDefault="00517711">
      <w:pPr>
        <w:spacing w:after="120" w:line="240" w:lineRule="auto"/>
        <w:ind w:firstLine="709"/>
        <w:jc w:val="center"/>
        <w:rPr>
          <w:rFonts w:ascii="Times New Roman" w:hAnsi="Times New Roman"/>
          <w:sz w:val="24"/>
          <w:szCs w:val="24"/>
          <w:lang w:eastAsia="ru-RU"/>
        </w:rPr>
      </w:pPr>
    </w:p>
    <w:p w:rsidR="00517711" w:rsidRDefault="00F815BE">
      <w:pPr>
        <w:spacing w:after="120" w:line="240" w:lineRule="auto"/>
        <w:ind w:firstLine="709"/>
        <w:jc w:val="center"/>
        <w:rPr>
          <w:rFonts w:ascii="Times New Roman" w:hAnsi="Times New Roman"/>
          <w:sz w:val="24"/>
          <w:szCs w:val="24"/>
          <w:lang w:eastAsia="ru-RU"/>
        </w:rPr>
      </w:pPr>
      <w:r>
        <w:rPr>
          <w:rFonts w:ascii="Times New Roman" w:hAnsi="Times New Roman"/>
          <w:noProof/>
          <w:sz w:val="24"/>
          <w:szCs w:val="24"/>
          <w:lang w:eastAsia="ru-RU"/>
        </w:rPr>
        <w:drawing>
          <wp:inline distT="0" distB="0" distL="0" distR="0">
            <wp:extent cx="4763172" cy="3160775"/>
            <wp:effectExtent l="0" t="0" r="0" b="0"/>
            <wp:docPr id="126" name="Рисунок 126"/>
            <wp:cNvGraphicFramePr/>
            <a:graphic xmlns:a="http://schemas.openxmlformats.org/drawingml/2006/main">
              <a:graphicData uri="http://schemas.openxmlformats.org/drawingml/2006/picture">
                <pic:pic xmlns:pic="http://schemas.openxmlformats.org/drawingml/2006/picture">
                  <pic:nvPicPr>
                    <pic:cNvPr id="55" name=""/>
                    <pic:cNvPicPr/>
                  </pic:nvPicPr>
                  <pic:blipFill>
                    <a:blip r:embed="rId309"/>
                    <a:stretch/>
                  </pic:blipFill>
                  <pic:spPr bwMode="auto">
                    <a:xfrm>
                      <a:off x="0" y="0"/>
                      <a:ext cx="4763173" cy="3160776"/>
                    </a:xfrm>
                    <a:prstGeom prst="rect">
                      <a:avLst/>
                    </a:prstGeom>
                    <a:noFill/>
                    <a:ln>
                      <a:solidFill>
                        <a:srgbClr val="000000"/>
                      </a:solidFill>
                    </a:ln>
                  </pic:spPr>
                </pic:pic>
              </a:graphicData>
            </a:graphic>
          </wp:inline>
        </w:drawing>
      </w:r>
    </w:p>
    <w:p w:rsidR="00517711" w:rsidRDefault="00F815BE">
      <w:pPr>
        <w:spacing w:after="120" w:line="240" w:lineRule="auto"/>
        <w:ind w:firstLine="709"/>
        <w:jc w:val="both"/>
        <w:rPr>
          <w:rFonts w:ascii="Times New Roman" w:hAnsi="Times New Roman"/>
          <w:sz w:val="24"/>
          <w:szCs w:val="24"/>
          <w:lang w:eastAsia="ru-RU"/>
        </w:rPr>
      </w:pPr>
      <w:r>
        <w:rPr>
          <w:rFonts w:ascii="Times New Roman" w:hAnsi="Times New Roman"/>
          <w:sz w:val="24"/>
          <w:szCs w:val="24"/>
          <w:lang w:eastAsia="ru-RU"/>
        </w:rPr>
        <w:t>6. ПРОГНОЗИРОВАНИЕ - выполнение требуемого прогноза и представление результатов. На этом этапе мы настраиваем связи столбцов для прогнозирования временного ряда: откуда брать данные для столбца при очередном шаге прогноза. После выполнения получили диаграмму прогноза:</w:t>
      </w:r>
    </w:p>
    <w:p w:rsidR="00517711" w:rsidRDefault="00F815BE">
      <w:pPr>
        <w:spacing w:after="40" w:line="240" w:lineRule="auto"/>
        <w:ind w:firstLine="709"/>
        <w:jc w:val="center"/>
        <w:rPr>
          <w:rFonts w:ascii="Times New Roman" w:hAnsi="Times New Roman"/>
          <w:sz w:val="24"/>
          <w:szCs w:val="24"/>
          <w:lang w:eastAsia="ru-RU"/>
        </w:rPr>
      </w:pPr>
      <w:r>
        <w:rPr>
          <w:rFonts w:ascii="Times New Roman" w:hAnsi="Times New Roman"/>
          <w:noProof/>
          <w:sz w:val="24"/>
          <w:szCs w:val="24"/>
          <w:lang w:eastAsia="ru-RU"/>
        </w:rPr>
        <w:lastRenderedPageBreak/>
        <w:drawing>
          <wp:inline distT="0" distB="0" distL="0" distR="0">
            <wp:extent cx="5717857" cy="3360420"/>
            <wp:effectExtent l="0" t="0" r="0" b="0"/>
            <wp:docPr id="127" name="Рисунок 127"/>
            <wp:cNvGraphicFramePr/>
            <a:graphic xmlns:a="http://schemas.openxmlformats.org/drawingml/2006/main">
              <a:graphicData uri="http://schemas.openxmlformats.org/drawingml/2006/picture">
                <pic:pic xmlns:pic="http://schemas.openxmlformats.org/drawingml/2006/picture">
                  <pic:nvPicPr>
                    <pic:cNvPr id="56" name=""/>
                    <pic:cNvPicPr/>
                  </pic:nvPicPr>
                  <pic:blipFill>
                    <a:blip r:embed="rId310"/>
                    <a:stretch/>
                  </pic:blipFill>
                  <pic:spPr bwMode="auto">
                    <a:xfrm>
                      <a:off x="0" y="0"/>
                      <a:ext cx="5717858" cy="3360420"/>
                    </a:xfrm>
                    <a:prstGeom prst="rect">
                      <a:avLst/>
                    </a:prstGeom>
                    <a:noFill/>
                    <a:ln>
                      <a:solidFill>
                        <a:srgbClr val="000000"/>
                      </a:solidFill>
                    </a:ln>
                  </pic:spPr>
                </pic:pic>
              </a:graphicData>
            </a:graphic>
          </wp:inline>
        </w:drawing>
      </w:r>
    </w:p>
    <w:p w:rsidR="00517711" w:rsidRDefault="00517711">
      <w:pPr>
        <w:spacing w:after="0" w:line="240" w:lineRule="auto"/>
        <w:ind w:firstLine="709"/>
        <w:jc w:val="right"/>
        <w:rPr>
          <w:rFonts w:ascii="Times New Roman" w:hAnsi="Times New Roman"/>
          <w:i/>
          <w:sz w:val="24"/>
          <w:szCs w:val="24"/>
          <w:lang w:eastAsia="ru-RU"/>
        </w:rPr>
      </w:pPr>
    </w:p>
    <w:p w:rsidR="00517711" w:rsidRDefault="00517711">
      <w:pPr>
        <w:spacing w:after="0" w:line="240" w:lineRule="auto"/>
        <w:ind w:firstLine="709"/>
        <w:jc w:val="right"/>
        <w:rPr>
          <w:rFonts w:ascii="Times New Roman" w:hAnsi="Times New Roman"/>
          <w:i/>
          <w:sz w:val="24"/>
          <w:szCs w:val="24"/>
          <w:lang w:eastAsia="ru-RU"/>
        </w:rPr>
      </w:pPr>
    </w:p>
    <w:p w:rsidR="00517711" w:rsidRDefault="00517711">
      <w:pPr>
        <w:spacing w:after="0" w:line="240" w:lineRule="auto"/>
        <w:ind w:firstLine="709"/>
        <w:jc w:val="right"/>
        <w:rPr>
          <w:rFonts w:ascii="Times New Roman" w:hAnsi="Times New Roman"/>
          <w:i/>
          <w:sz w:val="24"/>
          <w:szCs w:val="24"/>
          <w:lang w:eastAsia="ru-RU"/>
        </w:rPr>
      </w:pPr>
    </w:p>
    <w:p w:rsidR="00517711" w:rsidRDefault="00517711">
      <w:pPr>
        <w:spacing w:after="0" w:line="240" w:lineRule="auto"/>
        <w:ind w:firstLine="709"/>
        <w:jc w:val="right"/>
        <w:rPr>
          <w:rFonts w:ascii="Times New Roman" w:hAnsi="Times New Roman"/>
          <w:i/>
          <w:sz w:val="24"/>
          <w:szCs w:val="24"/>
          <w:lang w:eastAsia="ru-RU"/>
        </w:rPr>
      </w:pPr>
    </w:p>
    <w:p w:rsidR="00517711" w:rsidRDefault="00517711">
      <w:pPr>
        <w:spacing w:after="0" w:line="240" w:lineRule="auto"/>
        <w:ind w:firstLine="709"/>
        <w:jc w:val="right"/>
        <w:rPr>
          <w:rFonts w:ascii="Times New Roman" w:hAnsi="Times New Roman"/>
          <w:i/>
          <w:sz w:val="24"/>
          <w:szCs w:val="24"/>
          <w:lang w:eastAsia="ru-RU"/>
        </w:rPr>
      </w:pPr>
    </w:p>
    <w:p w:rsidR="00517711" w:rsidRDefault="00517711">
      <w:pPr>
        <w:spacing w:after="0" w:line="240" w:lineRule="auto"/>
        <w:ind w:firstLine="709"/>
        <w:jc w:val="right"/>
        <w:rPr>
          <w:rFonts w:ascii="Times New Roman" w:hAnsi="Times New Roman"/>
          <w:i/>
          <w:sz w:val="24"/>
          <w:szCs w:val="24"/>
          <w:lang w:eastAsia="ru-RU"/>
        </w:rPr>
      </w:pPr>
    </w:p>
    <w:p w:rsidR="00517711" w:rsidRDefault="00517711">
      <w:pPr>
        <w:spacing w:after="0" w:line="240" w:lineRule="auto"/>
        <w:ind w:firstLine="709"/>
        <w:jc w:val="right"/>
        <w:rPr>
          <w:rFonts w:ascii="Times New Roman" w:hAnsi="Times New Roman"/>
          <w:i/>
          <w:sz w:val="24"/>
          <w:szCs w:val="24"/>
          <w:lang w:eastAsia="ru-RU"/>
        </w:rPr>
      </w:pPr>
    </w:p>
    <w:p w:rsidR="00517711" w:rsidRDefault="00517711">
      <w:pPr>
        <w:spacing w:after="0" w:line="240" w:lineRule="auto"/>
        <w:ind w:firstLine="709"/>
        <w:jc w:val="right"/>
        <w:rPr>
          <w:rFonts w:ascii="Times New Roman" w:hAnsi="Times New Roman"/>
          <w:i/>
          <w:sz w:val="24"/>
          <w:szCs w:val="24"/>
          <w:lang w:eastAsia="ru-RU"/>
        </w:rPr>
      </w:pPr>
    </w:p>
    <w:p w:rsidR="00517711" w:rsidRDefault="00517711">
      <w:pPr>
        <w:spacing w:after="0" w:line="240" w:lineRule="auto"/>
        <w:ind w:firstLine="709"/>
        <w:jc w:val="right"/>
        <w:rPr>
          <w:rFonts w:ascii="Times New Roman" w:hAnsi="Times New Roman"/>
          <w:i/>
          <w:sz w:val="24"/>
          <w:szCs w:val="24"/>
          <w:lang w:eastAsia="ru-RU"/>
        </w:rPr>
      </w:pPr>
    </w:p>
    <w:p w:rsidR="00517711" w:rsidRDefault="00517711">
      <w:pPr>
        <w:spacing w:after="0" w:line="240" w:lineRule="auto"/>
        <w:rPr>
          <w:rFonts w:ascii="Times New Roman" w:hAnsi="Times New Roman"/>
          <w:i/>
          <w:sz w:val="24"/>
          <w:szCs w:val="24"/>
          <w:lang w:eastAsia="ru-RU"/>
        </w:rPr>
      </w:pPr>
    </w:p>
    <w:p w:rsidR="00517711" w:rsidRDefault="00F815BE">
      <w:pPr>
        <w:spacing w:after="240" w:line="240" w:lineRule="auto"/>
        <w:jc w:val="right"/>
        <w:rPr>
          <w:rFonts w:ascii="Times New Roman" w:hAnsi="Times New Roman"/>
          <w:i/>
          <w:sz w:val="24"/>
          <w:szCs w:val="24"/>
          <w:lang w:eastAsia="ru-RU"/>
        </w:rPr>
      </w:pPr>
      <w:r>
        <w:rPr>
          <w:rFonts w:ascii="Times New Roman" w:hAnsi="Times New Roman"/>
          <w:i/>
          <w:sz w:val="24"/>
          <w:szCs w:val="24"/>
          <w:lang w:eastAsia="ru-RU"/>
        </w:rPr>
        <w:t>Таблица 2</w:t>
      </w:r>
    </w:p>
    <w:p w:rsidR="00517711" w:rsidRDefault="00F815BE">
      <w:pPr>
        <w:spacing w:after="120" w:line="240" w:lineRule="auto"/>
        <w:jc w:val="center"/>
        <w:rPr>
          <w:rFonts w:ascii="Times New Roman" w:hAnsi="Times New Roman"/>
          <w:b/>
          <w:sz w:val="24"/>
          <w:szCs w:val="24"/>
          <w:lang w:eastAsia="ru-RU"/>
        </w:rPr>
      </w:pPr>
      <w:r>
        <w:rPr>
          <w:rFonts w:ascii="Times New Roman" w:hAnsi="Times New Roman"/>
          <w:b/>
          <w:sz w:val="24"/>
          <w:szCs w:val="24"/>
          <w:lang w:eastAsia="ru-RU"/>
        </w:rPr>
        <w:t>Прогнозные и реальные значения USD/RUB в период с 01.01.2018 по 31.01.2018.</w:t>
      </w:r>
    </w:p>
    <w:p w:rsidR="00517711" w:rsidRDefault="00F815BE">
      <w:pPr>
        <w:spacing w:after="0" w:line="240" w:lineRule="auto"/>
        <w:ind w:firstLine="709"/>
        <w:jc w:val="center"/>
        <w:rPr>
          <w:rFonts w:ascii="Times New Roman" w:hAnsi="Times New Roman"/>
          <w:sz w:val="24"/>
          <w:szCs w:val="24"/>
          <w:lang w:eastAsia="ru-RU"/>
        </w:rPr>
      </w:pPr>
      <w:r>
        <w:rPr>
          <w:rFonts w:ascii="Times New Roman" w:hAnsi="Times New Roman"/>
          <w:noProof/>
          <w:sz w:val="24"/>
          <w:szCs w:val="24"/>
          <w:lang w:eastAsia="ru-RU"/>
        </w:rPr>
        <w:lastRenderedPageBreak/>
        <w:drawing>
          <wp:inline distT="0" distB="0" distL="0" distR="0">
            <wp:extent cx="4868404" cy="4331677"/>
            <wp:effectExtent l="0" t="0" r="0" b="0"/>
            <wp:docPr id="128" name="Рисунок 128"/>
            <wp:cNvGraphicFramePr/>
            <a:graphic xmlns:a="http://schemas.openxmlformats.org/drawingml/2006/main">
              <a:graphicData uri="http://schemas.openxmlformats.org/drawingml/2006/picture">
                <pic:pic xmlns:pic="http://schemas.openxmlformats.org/drawingml/2006/picture">
                  <pic:nvPicPr>
                    <pic:cNvPr id="57" name=""/>
                    <pic:cNvPicPr/>
                  </pic:nvPicPr>
                  <pic:blipFill>
                    <a:blip r:embed="rId311"/>
                    <a:stretch/>
                  </pic:blipFill>
                  <pic:spPr bwMode="auto">
                    <a:xfrm>
                      <a:off x="0" y="0"/>
                      <a:ext cx="4868405" cy="4331678"/>
                    </a:xfrm>
                    <a:prstGeom prst="rect">
                      <a:avLst/>
                    </a:prstGeom>
                    <a:noFill/>
                    <a:ln>
                      <a:solidFill>
                        <a:srgbClr val="000000"/>
                      </a:solidFill>
                    </a:ln>
                  </pic:spPr>
                </pic:pic>
              </a:graphicData>
            </a:graphic>
          </wp:inline>
        </w:drawing>
      </w:r>
    </w:p>
    <w:p w:rsidR="00517711" w:rsidRDefault="00517711">
      <w:pPr>
        <w:spacing w:after="0" w:line="240" w:lineRule="auto"/>
        <w:ind w:firstLine="709"/>
        <w:jc w:val="center"/>
        <w:rPr>
          <w:rFonts w:ascii="Times New Roman" w:hAnsi="Times New Roman"/>
          <w:sz w:val="24"/>
          <w:szCs w:val="24"/>
          <w:lang w:eastAsia="ru-RU"/>
        </w:rPr>
      </w:pPr>
    </w:p>
    <w:p w:rsidR="00517711" w:rsidRDefault="00F815BE">
      <w:pPr>
        <w:spacing w:after="0" w:line="240" w:lineRule="auto"/>
        <w:ind w:firstLine="709"/>
        <w:jc w:val="both"/>
        <w:rPr>
          <w:rFonts w:ascii="Times New Roman" w:hAnsi="Times New Roman"/>
          <w:b/>
          <w:sz w:val="24"/>
          <w:szCs w:val="24"/>
          <w:lang w:eastAsia="ru-RU"/>
        </w:rPr>
      </w:pPr>
      <w:r>
        <w:rPr>
          <w:rFonts w:ascii="Times New Roman" w:hAnsi="Times New Roman"/>
          <w:b/>
          <w:sz w:val="24"/>
          <w:szCs w:val="24"/>
          <w:lang w:eastAsia="ru-RU"/>
        </w:rPr>
        <w:t>Вывод</w:t>
      </w:r>
    </w:p>
    <w:p w:rsidR="00517711" w:rsidRDefault="00F815BE">
      <w:pPr>
        <w:pBdr>
          <w:bottom w:val="single" w:sz="4" w:space="14" w:color="000000"/>
        </w:pBd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 xml:space="preserve">Проанализировав полученную таблицу, мы видим, что прогнозные значения весьма приближены к реальным значениям. </w:t>
      </w:r>
    </w:p>
    <w:p w:rsidR="00517711" w:rsidRDefault="00F815BE">
      <w:pPr>
        <w:pBdr>
          <w:bottom w:val="single" w:sz="4" w:space="14" w:color="000000"/>
        </w:pBd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Однако, имеются максимальные расхождения, которые больше всего заметны в период с 24 по 31 января. Вероятно, данное расхождение связано с другими факторами, влияющими на курс.</w:t>
      </w:r>
    </w:p>
    <w:p w:rsidR="00517711" w:rsidRDefault="00F815BE">
      <w:pPr>
        <w:pBdr>
          <w:bottom w:val="single" w:sz="4" w:space="14" w:color="000000"/>
        </w:pBd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Полученные результаты весьма доказывают важность прогнозирования валютного курса. Использование аналитической платформы Deductor Studio для прогнозирования котировок можно признать эффективным.</w:t>
      </w:r>
    </w:p>
    <w:p w:rsidR="00517711" w:rsidRDefault="00517711">
      <w:pPr>
        <w:pBdr>
          <w:bottom w:val="single" w:sz="4" w:space="14" w:color="000000"/>
        </w:pBdr>
        <w:spacing w:after="0" w:line="240" w:lineRule="auto"/>
        <w:jc w:val="both"/>
        <w:rPr>
          <w:rFonts w:ascii="Times New Roman" w:hAnsi="Times New Roman"/>
          <w:sz w:val="24"/>
          <w:szCs w:val="24"/>
          <w:lang w:eastAsia="ru-RU"/>
        </w:rPr>
      </w:pPr>
    </w:p>
    <w:p w:rsidR="00517711" w:rsidRDefault="00F815BE">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ЛИТЕРАТУРА:</w:t>
      </w:r>
    </w:p>
    <w:p w:rsidR="00517711" w:rsidRDefault="00F815BE">
      <w:pPr>
        <w:numPr>
          <w:ilvl w:val="0"/>
          <w:numId w:val="94"/>
        </w:numPr>
        <w:spacing w:after="0" w:line="240" w:lineRule="auto"/>
        <w:jc w:val="both"/>
        <w:rPr>
          <w:rFonts w:ascii="Times New Roman" w:hAnsi="Times New Roman"/>
          <w:sz w:val="24"/>
          <w:szCs w:val="24"/>
          <w:lang w:eastAsia="ru-RU"/>
        </w:rPr>
      </w:pPr>
      <w:r>
        <w:rPr>
          <w:rFonts w:ascii="Times New Roman" w:hAnsi="Times New Roman"/>
          <w:sz w:val="24"/>
          <w:szCs w:val="24"/>
          <w:lang w:eastAsia="ru-RU"/>
        </w:rPr>
        <w:t>BaseGroup Labs - Руководство аналитика – Версия 5.3;</w:t>
      </w:r>
    </w:p>
    <w:p w:rsidR="00517711" w:rsidRDefault="00F815BE">
      <w:pPr>
        <w:numPr>
          <w:ilvl w:val="0"/>
          <w:numId w:val="94"/>
        </w:numPr>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Сайт «Финам.ру» - https://www.finam.ru/ - информация о финансовых рынках; </w:t>
      </w:r>
    </w:p>
    <w:p w:rsidR="00517711" w:rsidRDefault="00F815BE">
      <w:pPr>
        <w:numPr>
          <w:ilvl w:val="0"/>
          <w:numId w:val="94"/>
        </w:numPr>
        <w:spacing w:after="0" w:line="240" w:lineRule="auto"/>
        <w:jc w:val="both"/>
        <w:rPr>
          <w:rFonts w:ascii="Times New Roman" w:hAnsi="Times New Roman"/>
          <w:sz w:val="24"/>
          <w:szCs w:val="24"/>
          <w:lang w:eastAsia="ru-RU"/>
        </w:rPr>
      </w:pPr>
      <w:r>
        <w:rPr>
          <w:rFonts w:ascii="Times New Roman" w:hAnsi="Times New Roman"/>
          <w:sz w:val="24"/>
          <w:szCs w:val="24"/>
          <w:lang w:eastAsia="ru-RU"/>
        </w:rPr>
        <w:t>Сайт «Курсы валют» - http://kurs-dollar-euro.ru/;</w:t>
      </w:r>
    </w:p>
    <w:p w:rsidR="00517711" w:rsidRDefault="00F815BE">
      <w:pPr>
        <w:numPr>
          <w:ilvl w:val="0"/>
          <w:numId w:val="94"/>
        </w:numPr>
        <w:spacing w:after="0" w:line="240" w:lineRule="auto"/>
        <w:jc w:val="both"/>
        <w:rPr>
          <w:rFonts w:ascii="Times New Roman" w:hAnsi="Times New Roman"/>
          <w:sz w:val="24"/>
          <w:szCs w:val="24"/>
          <w:lang w:eastAsia="ru-RU"/>
        </w:rPr>
      </w:pPr>
      <w:r>
        <w:rPr>
          <w:rFonts w:ascii="Times New Roman" w:hAnsi="Times New Roman"/>
          <w:sz w:val="24"/>
          <w:szCs w:val="24"/>
          <w:lang w:eastAsia="ru-RU"/>
        </w:rPr>
        <w:t>Кириченко А.А. – «Нейропакеты - современный интеллектуальный инструмент исследователя» 2013;</w:t>
      </w: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F815BE">
      <w:pPr>
        <w:spacing w:after="0" w:line="240" w:lineRule="auto"/>
        <w:jc w:val="both"/>
        <w:rPr>
          <w:rFonts w:ascii="Times New Roman" w:hAnsi="Times New Roman"/>
          <w:bCs/>
          <w:sz w:val="24"/>
          <w:szCs w:val="24"/>
        </w:rPr>
      </w:pPr>
      <w:r>
        <w:rPr>
          <w:rFonts w:ascii="Times New Roman" w:hAnsi="Times New Roman"/>
          <w:bCs/>
          <w:sz w:val="24"/>
          <w:szCs w:val="24"/>
        </w:rPr>
        <w:lastRenderedPageBreak/>
        <w:t>Рубрика: Актуальные проблемы современного дизайна</w:t>
      </w:r>
    </w:p>
    <w:p w:rsidR="00517711" w:rsidRDefault="00517711">
      <w:pPr>
        <w:spacing w:after="0" w:line="240" w:lineRule="auto"/>
        <w:jc w:val="both"/>
        <w:rPr>
          <w:rFonts w:ascii="Times New Roman" w:hAnsi="Times New Roman"/>
          <w:bCs/>
          <w:sz w:val="24"/>
          <w:szCs w:val="24"/>
        </w:rPr>
      </w:pPr>
    </w:p>
    <w:p w:rsidR="00517711" w:rsidRDefault="00F815BE">
      <w:pPr>
        <w:spacing w:after="0" w:line="240" w:lineRule="auto"/>
        <w:jc w:val="both"/>
        <w:rPr>
          <w:rFonts w:ascii="Times New Roman" w:hAnsi="Times New Roman"/>
          <w:bCs/>
          <w:sz w:val="24"/>
          <w:szCs w:val="24"/>
        </w:rPr>
      </w:pPr>
      <w:r>
        <w:rPr>
          <w:rFonts w:ascii="Times New Roman" w:hAnsi="Times New Roman"/>
          <w:bCs/>
          <w:sz w:val="24"/>
          <w:szCs w:val="24"/>
        </w:rPr>
        <w:t>УДК 7.067  и 72.012.8</w:t>
      </w:r>
    </w:p>
    <w:p w:rsidR="00517711" w:rsidRDefault="00517711">
      <w:pPr>
        <w:spacing w:after="0" w:line="240" w:lineRule="auto"/>
        <w:ind w:firstLine="709"/>
        <w:jc w:val="both"/>
        <w:rPr>
          <w:rFonts w:ascii="Times New Roman" w:hAnsi="Times New Roman"/>
          <w:b/>
          <w:bCs/>
          <w:sz w:val="24"/>
          <w:szCs w:val="24"/>
        </w:rPr>
      </w:pPr>
    </w:p>
    <w:p w:rsidR="00517711" w:rsidRDefault="00F815BE">
      <w:pPr>
        <w:spacing w:after="0" w:line="240" w:lineRule="auto"/>
        <w:ind w:firstLine="709"/>
        <w:jc w:val="center"/>
        <w:rPr>
          <w:rFonts w:ascii="Times New Roman" w:hAnsi="Times New Roman"/>
          <w:b/>
          <w:bCs/>
          <w:sz w:val="24"/>
          <w:szCs w:val="24"/>
        </w:rPr>
      </w:pPr>
      <w:r>
        <w:rPr>
          <w:rFonts w:ascii="Times New Roman" w:hAnsi="Times New Roman"/>
          <w:b/>
          <w:bCs/>
          <w:sz w:val="24"/>
          <w:szCs w:val="24"/>
        </w:rPr>
        <w:t>Оценка возможностей самодеятельного дизайна российского горожанина</w:t>
      </w:r>
    </w:p>
    <w:p w:rsidR="00517711" w:rsidRDefault="00F815BE">
      <w:pPr>
        <w:spacing w:after="0" w:line="240" w:lineRule="auto"/>
        <w:ind w:firstLine="709"/>
        <w:jc w:val="center"/>
        <w:rPr>
          <w:rFonts w:ascii="Times New Roman" w:hAnsi="Times New Roman"/>
          <w:b/>
          <w:bCs/>
          <w:sz w:val="24"/>
          <w:szCs w:val="24"/>
        </w:rPr>
      </w:pPr>
      <w:r>
        <w:rPr>
          <w:rFonts w:ascii="Times New Roman" w:hAnsi="Times New Roman"/>
          <w:b/>
          <w:bCs/>
          <w:sz w:val="24"/>
          <w:szCs w:val="24"/>
        </w:rPr>
        <w:t>(на примере г. Владивостока)</w:t>
      </w:r>
    </w:p>
    <w:p w:rsidR="00517711" w:rsidRDefault="00517711">
      <w:pPr>
        <w:spacing w:after="0" w:line="240" w:lineRule="auto"/>
        <w:ind w:firstLine="709"/>
        <w:jc w:val="center"/>
        <w:rPr>
          <w:rFonts w:ascii="Times New Roman" w:hAnsi="Times New Roman"/>
          <w:b/>
          <w:bCs/>
          <w:sz w:val="24"/>
          <w:szCs w:val="24"/>
        </w:rPr>
      </w:pPr>
    </w:p>
    <w:p w:rsidR="00517711" w:rsidRDefault="00F815BE">
      <w:pPr>
        <w:spacing w:after="0" w:line="240" w:lineRule="auto"/>
        <w:ind w:firstLine="709"/>
        <w:jc w:val="center"/>
        <w:rPr>
          <w:rFonts w:ascii="Times New Roman" w:hAnsi="Times New Roman"/>
          <w:b/>
          <w:sz w:val="24"/>
          <w:szCs w:val="24"/>
        </w:rPr>
      </w:pPr>
      <w:r>
        <w:rPr>
          <w:rFonts w:ascii="Times New Roman" w:hAnsi="Times New Roman"/>
          <w:b/>
          <w:sz w:val="24"/>
          <w:szCs w:val="24"/>
        </w:rPr>
        <w:t>Громак И.И., Рыжова Е. В., Шемилина Д.К.,</w:t>
      </w:r>
    </w:p>
    <w:p w:rsidR="00517711" w:rsidRDefault="00F815BE">
      <w:pPr>
        <w:spacing w:after="0" w:line="240" w:lineRule="auto"/>
        <w:ind w:firstLine="709"/>
        <w:jc w:val="center"/>
        <w:rPr>
          <w:rFonts w:ascii="Times New Roman" w:hAnsi="Times New Roman"/>
          <w:b/>
          <w:sz w:val="24"/>
          <w:szCs w:val="24"/>
        </w:rPr>
      </w:pPr>
      <w:r>
        <w:rPr>
          <w:rFonts w:ascii="Times New Roman" w:hAnsi="Times New Roman"/>
          <w:sz w:val="24"/>
          <w:szCs w:val="24"/>
        </w:rPr>
        <w:t>бакалавры</w:t>
      </w:r>
    </w:p>
    <w:p w:rsidR="00517711" w:rsidRDefault="00F815BE">
      <w:pPr>
        <w:spacing w:after="0" w:line="240" w:lineRule="auto"/>
        <w:ind w:firstLine="709"/>
        <w:jc w:val="center"/>
        <w:rPr>
          <w:rFonts w:ascii="Times New Roman" w:hAnsi="Times New Roman"/>
          <w:b/>
          <w:sz w:val="24"/>
          <w:szCs w:val="24"/>
        </w:rPr>
      </w:pPr>
      <w:r>
        <w:rPr>
          <w:rFonts w:ascii="Times New Roman" w:hAnsi="Times New Roman"/>
          <w:b/>
          <w:sz w:val="24"/>
          <w:szCs w:val="24"/>
        </w:rPr>
        <w:t xml:space="preserve">Плеханова В.А. </w:t>
      </w:r>
      <w:r>
        <w:rPr>
          <w:rFonts w:ascii="Times New Roman" w:hAnsi="Times New Roman"/>
          <w:sz w:val="24"/>
          <w:szCs w:val="24"/>
        </w:rPr>
        <w:t>старший преподаватель</w:t>
      </w:r>
    </w:p>
    <w:p w:rsidR="00517711" w:rsidRDefault="00F815BE">
      <w:pPr>
        <w:spacing w:after="0" w:line="240" w:lineRule="auto"/>
        <w:ind w:firstLine="709"/>
        <w:jc w:val="center"/>
        <w:rPr>
          <w:rFonts w:ascii="Times New Roman" w:hAnsi="Times New Roman"/>
          <w:i/>
          <w:sz w:val="24"/>
          <w:szCs w:val="24"/>
        </w:rPr>
      </w:pPr>
      <w:r>
        <w:rPr>
          <w:rFonts w:ascii="Times New Roman" w:hAnsi="Times New Roman"/>
          <w:i/>
          <w:sz w:val="24"/>
          <w:szCs w:val="24"/>
        </w:rPr>
        <w:t>Владивостокский государственный университет экономики и сервиса</w:t>
      </w:r>
    </w:p>
    <w:p w:rsidR="00517711" w:rsidRDefault="00F815BE">
      <w:pPr>
        <w:spacing w:after="0" w:line="240" w:lineRule="auto"/>
        <w:ind w:firstLine="709"/>
        <w:jc w:val="center"/>
        <w:rPr>
          <w:rFonts w:ascii="Times New Roman" w:hAnsi="Times New Roman"/>
          <w:i/>
          <w:sz w:val="24"/>
          <w:szCs w:val="24"/>
        </w:rPr>
      </w:pPr>
      <w:r>
        <w:rPr>
          <w:rFonts w:ascii="Times New Roman" w:hAnsi="Times New Roman"/>
          <w:i/>
          <w:sz w:val="24"/>
          <w:szCs w:val="24"/>
        </w:rPr>
        <w:t>Владивосток, Россия</w:t>
      </w:r>
    </w:p>
    <w:p w:rsidR="00517711" w:rsidRDefault="00F815BE">
      <w:pPr>
        <w:spacing w:after="0" w:line="240" w:lineRule="auto"/>
        <w:ind w:firstLine="709"/>
        <w:contextualSpacing/>
        <w:jc w:val="center"/>
        <w:rPr>
          <w:rFonts w:ascii="Times New Roman" w:hAnsi="Times New Roman"/>
          <w:sz w:val="24"/>
          <w:szCs w:val="24"/>
        </w:rPr>
      </w:pPr>
      <w:r>
        <w:rPr>
          <w:rFonts w:ascii="Times New Roman" w:hAnsi="Times New Roman"/>
          <w:sz w:val="24"/>
          <w:szCs w:val="24"/>
          <w:lang w:val="fr-FR"/>
        </w:rPr>
        <w:t>E</w:t>
      </w:r>
      <w:r>
        <w:rPr>
          <w:rFonts w:ascii="Times New Roman" w:hAnsi="Times New Roman"/>
          <w:sz w:val="24"/>
          <w:szCs w:val="24"/>
        </w:rPr>
        <w:t>-</w:t>
      </w:r>
      <w:r>
        <w:rPr>
          <w:rFonts w:ascii="Times New Roman" w:hAnsi="Times New Roman"/>
          <w:sz w:val="24"/>
          <w:szCs w:val="24"/>
          <w:lang w:val="fr-FR"/>
        </w:rPr>
        <w:t>mail</w:t>
      </w:r>
      <w:r>
        <w:rPr>
          <w:rFonts w:ascii="Times New Roman" w:hAnsi="Times New Roman"/>
          <w:sz w:val="24"/>
          <w:szCs w:val="24"/>
        </w:rPr>
        <w:t xml:space="preserve">: </w:t>
      </w:r>
      <w:r>
        <w:rPr>
          <w:rFonts w:ascii="Times New Roman" w:hAnsi="Times New Roman"/>
          <w:sz w:val="24"/>
          <w:szCs w:val="24"/>
          <w:lang w:val="en-US"/>
        </w:rPr>
        <w:t>viktoriya</w:t>
      </w:r>
      <w:r>
        <w:rPr>
          <w:rFonts w:ascii="Times New Roman" w:hAnsi="Times New Roman"/>
          <w:sz w:val="24"/>
          <w:szCs w:val="24"/>
        </w:rPr>
        <w:t>.</w:t>
      </w:r>
      <w:r>
        <w:rPr>
          <w:rFonts w:ascii="Times New Roman" w:hAnsi="Times New Roman"/>
          <w:sz w:val="24"/>
          <w:szCs w:val="24"/>
          <w:lang w:val="en-US"/>
        </w:rPr>
        <w:t>plehanova</w:t>
      </w:r>
      <w:r>
        <w:rPr>
          <w:rFonts w:ascii="Times New Roman" w:hAnsi="Times New Roman"/>
          <w:sz w:val="24"/>
          <w:szCs w:val="24"/>
        </w:rPr>
        <w:t>@</w:t>
      </w:r>
      <w:r>
        <w:rPr>
          <w:rFonts w:ascii="Times New Roman" w:hAnsi="Times New Roman"/>
          <w:sz w:val="24"/>
          <w:szCs w:val="24"/>
          <w:lang w:val="en-US"/>
        </w:rPr>
        <w:t>vvsu</w:t>
      </w:r>
      <w:r>
        <w:rPr>
          <w:rFonts w:ascii="Times New Roman" w:hAnsi="Times New Roman"/>
          <w:sz w:val="24"/>
          <w:szCs w:val="24"/>
        </w:rPr>
        <w:t>.</w:t>
      </w:r>
      <w:r>
        <w:rPr>
          <w:rFonts w:ascii="Times New Roman" w:hAnsi="Times New Roman"/>
          <w:sz w:val="24"/>
          <w:szCs w:val="24"/>
          <w:lang w:val="en-US"/>
        </w:rPr>
        <w:t>ru</w:t>
      </w:r>
      <w:r>
        <w:rPr>
          <w:rFonts w:ascii="Times New Roman" w:hAnsi="Times New Roman"/>
          <w:sz w:val="24"/>
          <w:szCs w:val="24"/>
        </w:rPr>
        <w:t>; тел: 8 (423)2404094</w:t>
      </w:r>
    </w:p>
    <w:p w:rsidR="00517711" w:rsidRDefault="00F815BE">
      <w:pPr>
        <w:spacing w:after="0" w:line="240" w:lineRule="auto"/>
        <w:ind w:firstLine="709"/>
        <w:contextualSpacing/>
        <w:jc w:val="center"/>
        <w:rPr>
          <w:rFonts w:ascii="Times New Roman" w:hAnsi="Times New Roman"/>
          <w:sz w:val="24"/>
          <w:szCs w:val="24"/>
        </w:rPr>
      </w:pPr>
      <w:r>
        <w:rPr>
          <w:rFonts w:ascii="Times New Roman" w:hAnsi="Times New Roman"/>
          <w:sz w:val="24"/>
          <w:szCs w:val="24"/>
        </w:rPr>
        <w:t>ул. Гоголя, 41, г. Владивосток, Приморский край, Россия, 690014</w:t>
      </w:r>
    </w:p>
    <w:p w:rsidR="00517711" w:rsidRDefault="00517711">
      <w:pPr>
        <w:spacing w:after="0" w:line="240" w:lineRule="auto"/>
        <w:ind w:firstLine="709"/>
        <w:contextualSpacing/>
        <w:jc w:val="center"/>
        <w:rPr>
          <w:rFonts w:ascii="Times New Roman" w:hAnsi="Times New Roman"/>
          <w:b/>
          <w:sz w:val="24"/>
          <w:szCs w:val="24"/>
        </w:rPr>
      </w:pPr>
    </w:p>
    <w:p w:rsidR="00517711" w:rsidRDefault="00F815BE">
      <w:pPr>
        <w:spacing w:after="0" w:line="240" w:lineRule="auto"/>
        <w:ind w:firstLine="703"/>
        <w:jc w:val="both"/>
        <w:rPr>
          <w:rFonts w:ascii="Times New Roman" w:hAnsi="Times New Roman"/>
          <w:i/>
          <w:sz w:val="24"/>
          <w:szCs w:val="24"/>
        </w:rPr>
      </w:pPr>
      <w:r>
        <w:rPr>
          <w:rFonts w:ascii="Times New Roman" w:hAnsi="Times New Roman"/>
          <w:i/>
          <w:sz w:val="24"/>
          <w:szCs w:val="24"/>
        </w:rPr>
        <w:t xml:space="preserve">Предпринята попытка характеристики основных черт потенциального потребителя профессиональных дизайнерских услуг в современном обществе. На основе небольшого сравнительного анализа советских и реальных современных интерьеров среднего горожанина выявлены изменения подходов к оформлению жилья относительно последних десятилетий советского периода (1960-1990х гг). В современных интерьерах среднего городского жителя выявлено: отсутствие рационального функционального зонирования; использование элементов наполнения несоразмерных с масштабом пространства; отсутствие перспективного взгляда на возможную трансформацию пространства; монотонность цветовых решений; недостаточное соблюдение эстетических принципов оформления. </w:t>
      </w:r>
      <w:r>
        <w:rPr>
          <w:rFonts w:ascii="Times New Roman" w:hAnsi="Times New Roman"/>
          <w:i/>
          <w:color w:val="000000"/>
          <w:sz w:val="24"/>
        </w:rPr>
        <w:t>Отмечено, что современный горожанин не имеет достаточных представлений о возможностях профессионального дизайна.</w:t>
      </w:r>
    </w:p>
    <w:p w:rsidR="00517711" w:rsidRPr="00BD6187" w:rsidRDefault="00517711">
      <w:pPr>
        <w:spacing w:after="0" w:line="240" w:lineRule="auto"/>
        <w:ind w:firstLine="709"/>
        <w:contextualSpacing/>
        <w:jc w:val="both"/>
        <w:rPr>
          <w:rFonts w:ascii="Times New Roman" w:hAnsi="Times New Roman"/>
          <w:i/>
          <w:sz w:val="24"/>
          <w:szCs w:val="24"/>
        </w:rPr>
      </w:pPr>
    </w:p>
    <w:p w:rsidR="00517711" w:rsidRDefault="00F815BE">
      <w:pPr>
        <w:spacing w:after="0" w:line="240" w:lineRule="auto"/>
        <w:ind w:firstLine="709"/>
        <w:contextualSpacing/>
        <w:jc w:val="both"/>
        <w:rPr>
          <w:rFonts w:ascii="Times New Roman" w:hAnsi="Times New Roman"/>
          <w:i/>
          <w:sz w:val="24"/>
          <w:szCs w:val="24"/>
        </w:rPr>
      </w:pPr>
      <w:r w:rsidRPr="00BD6187">
        <w:rPr>
          <w:rFonts w:ascii="Times New Roman" w:hAnsi="Times New Roman"/>
          <w:b/>
          <w:i/>
          <w:sz w:val="24"/>
          <w:szCs w:val="24"/>
        </w:rPr>
        <w:t>Ключевые слова и словосочетания</w:t>
      </w:r>
      <w:r w:rsidRPr="00BD6187">
        <w:rPr>
          <w:rFonts w:ascii="Times New Roman" w:hAnsi="Times New Roman"/>
          <w:i/>
          <w:sz w:val="24"/>
          <w:szCs w:val="24"/>
        </w:rPr>
        <w:t>:</w:t>
      </w:r>
      <w:r w:rsidRPr="00BD6187">
        <w:rPr>
          <w:rFonts w:ascii="Times New Roman" w:hAnsi="Times New Roman"/>
          <w:sz w:val="24"/>
          <w:szCs w:val="24"/>
        </w:rPr>
        <w:t xml:space="preserve"> </w:t>
      </w:r>
      <w:r>
        <w:rPr>
          <w:rFonts w:ascii="Times New Roman" w:hAnsi="Times New Roman"/>
          <w:i/>
          <w:sz w:val="24"/>
          <w:szCs w:val="24"/>
        </w:rPr>
        <w:t>дизайн</w:t>
      </w:r>
      <w:r w:rsidRPr="00BD6187">
        <w:rPr>
          <w:rFonts w:ascii="Times New Roman" w:hAnsi="Times New Roman"/>
          <w:i/>
          <w:sz w:val="24"/>
          <w:szCs w:val="24"/>
        </w:rPr>
        <w:t xml:space="preserve">, </w:t>
      </w:r>
      <w:r>
        <w:rPr>
          <w:rFonts w:ascii="Times New Roman" w:hAnsi="Times New Roman"/>
          <w:i/>
          <w:sz w:val="24"/>
          <w:szCs w:val="24"/>
        </w:rPr>
        <w:t xml:space="preserve">дизайн-услуги, интерьер, оформление, жилье, пространство, декорирование. </w:t>
      </w:r>
    </w:p>
    <w:p w:rsidR="00517711" w:rsidRDefault="00517711">
      <w:pPr>
        <w:spacing w:after="0" w:line="240" w:lineRule="auto"/>
        <w:ind w:firstLine="709"/>
        <w:jc w:val="center"/>
        <w:rPr>
          <w:rFonts w:ascii="Times New Roman" w:hAnsi="Times New Roman"/>
          <w:b/>
          <w:bCs/>
          <w:sz w:val="24"/>
          <w:szCs w:val="24"/>
        </w:rPr>
      </w:pPr>
    </w:p>
    <w:p w:rsidR="00517711" w:rsidRDefault="00F815BE">
      <w:pPr>
        <w:spacing w:after="0" w:line="240" w:lineRule="auto"/>
        <w:ind w:firstLine="709"/>
        <w:jc w:val="center"/>
        <w:rPr>
          <w:rFonts w:ascii="Times New Roman" w:hAnsi="Times New Roman"/>
          <w:b/>
          <w:bCs/>
          <w:sz w:val="24"/>
          <w:szCs w:val="24"/>
          <w:lang w:val="en-US"/>
        </w:rPr>
      </w:pPr>
      <w:r>
        <w:rPr>
          <w:rFonts w:ascii="Times New Roman" w:hAnsi="Times New Roman"/>
          <w:b/>
          <w:bCs/>
          <w:sz w:val="24"/>
          <w:szCs w:val="24"/>
          <w:lang w:val="en-US"/>
        </w:rPr>
        <w:t>Evaluation of opportunities for amateur design of a Russian citizen</w:t>
      </w:r>
    </w:p>
    <w:p w:rsidR="00517711" w:rsidRDefault="00F815BE">
      <w:pPr>
        <w:spacing w:after="0" w:line="240" w:lineRule="auto"/>
        <w:ind w:firstLine="709"/>
        <w:jc w:val="center"/>
        <w:rPr>
          <w:rFonts w:ascii="Times New Roman" w:hAnsi="Times New Roman"/>
          <w:b/>
          <w:bCs/>
          <w:sz w:val="24"/>
          <w:szCs w:val="24"/>
          <w:lang w:val="en-US"/>
        </w:rPr>
      </w:pPr>
      <w:r>
        <w:rPr>
          <w:rFonts w:ascii="Times New Roman" w:hAnsi="Times New Roman"/>
          <w:b/>
          <w:bCs/>
          <w:sz w:val="24"/>
          <w:szCs w:val="24"/>
          <w:lang w:val="en-US"/>
        </w:rPr>
        <w:t>(</w:t>
      </w:r>
      <w:r>
        <w:rPr>
          <w:rFonts w:ascii="Times New Roman" w:hAnsi="Times New Roman"/>
          <w:b/>
          <w:color w:val="212121"/>
          <w:sz w:val="24"/>
          <w:szCs w:val="24"/>
          <w:shd w:val="clear" w:color="auto" w:fill="FFFFFF"/>
          <w:lang w:val="en-US"/>
        </w:rPr>
        <w:t>on the example of Vladivostok</w:t>
      </w:r>
      <w:r>
        <w:rPr>
          <w:rFonts w:ascii="Times New Roman" w:hAnsi="Times New Roman"/>
          <w:b/>
          <w:bCs/>
          <w:sz w:val="24"/>
          <w:szCs w:val="24"/>
          <w:lang w:val="en-US"/>
        </w:rPr>
        <w:t>)</w:t>
      </w:r>
    </w:p>
    <w:p w:rsidR="00517711" w:rsidRDefault="00517711">
      <w:pPr>
        <w:spacing w:after="0" w:line="240" w:lineRule="auto"/>
        <w:ind w:firstLine="709"/>
        <w:contextualSpacing/>
        <w:jc w:val="both"/>
        <w:rPr>
          <w:rFonts w:ascii="Times New Roman" w:hAnsi="Times New Roman"/>
          <w:b/>
          <w:sz w:val="24"/>
          <w:szCs w:val="24"/>
          <w:lang w:val="en-US"/>
        </w:rPr>
      </w:pPr>
    </w:p>
    <w:p w:rsidR="00517711" w:rsidRDefault="00F815B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i/>
          <w:color w:val="212121"/>
          <w:sz w:val="24"/>
          <w:szCs w:val="24"/>
          <w:lang w:val="en-US" w:eastAsia="ru-RU"/>
        </w:rPr>
      </w:pPr>
      <w:r>
        <w:rPr>
          <w:rFonts w:ascii="Times New Roman" w:hAnsi="Times New Roman"/>
          <w:i/>
          <w:color w:val="212121"/>
          <w:sz w:val="24"/>
          <w:szCs w:val="24"/>
          <w:lang w:val="en-US" w:eastAsia="ru-RU"/>
        </w:rPr>
        <w:t>An attempt has been made to characterize the main features of a potential consumer of professional design services in modern society. Based on a small comparative analysis of Soviet and real modern interiors of the average citizen, changes in the approaches to housing design in relation to the last decades of the Soviet period (1960-1990) were revealed. In modern interiors of the average urban resident it was revealed: the lack of rational functional zoning; use of elements of filling incommensurate with the scale of space; the lack of a perspective view of the possible transformation of space; monotony of color solutions; insufficient compliance with the aesthetic principles of design. It is noted that the modern citizen does not have sufficient ideas about the possibilities of professional design.</w:t>
      </w:r>
    </w:p>
    <w:p w:rsidR="00517711" w:rsidRDefault="00517711">
      <w:pPr>
        <w:spacing w:after="0" w:line="240" w:lineRule="auto"/>
        <w:ind w:firstLine="709"/>
        <w:contextualSpacing/>
        <w:jc w:val="both"/>
        <w:rPr>
          <w:rFonts w:ascii="Times New Roman" w:hAnsi="Times New Roman"/>
          <w:b/>
          <w:i/>
          <w:sz w:val="24"/>
          <w:szCs w:val="24"/>
          <w:lang w:val="en-US"/>
        </w:rPr>
      </w:pPr>
    </w:p>
    <w:p w:rsidR="00517711" w:rsidRDefault="00F815BE">
      <w:pPr>
        <w:spacing w:after="0" w:line="240" w:lineRule="auto"/>
        <w:ind w:firstLine="709"/>
        <w:contextualSpacing/>
        <w:jc w:val="both"/>
        <w:rPr>
          <w:rFonts w:ascii="Times New Roman" w:hAnsi="Times New Roman"/>
          <w:b/>
          <w:i/>
          <w:sz w:val="24"/>
          <w:szCs w:val="24"/>
          <w:lang w:val="en-US"/>
        </w:rPr>
      </w:pPr>
      <w:r>
        <w:rPr>
          <w:rFonts w:ascii="Times New Roman" w:hAnsi="Times New Roman"/>
          <w:b/>
          <w:i/>
          <w:sz w:val="24"/>
          <w:szCs w:val="24"/>
          <w:lang w:val="en-US"/>
        </w:rPr>
        <w:t xml:space="preserve">Keywords: </w:t>
      </w:r>
      <w:r>
        <w:rPr>
          <w:rFonts w:ascii="Times New Roman" w:hAnsi="Times New Roman"/>
          <w:i/>
          <w:sz w:val="24"/>
          <w:szCs w:val="24"/>
          <w:lang w:val="en-US"/>
        </w:rPr>
        <w:t xml:space="preserve">design, design services, interior, interior decoration, </w:t>
      </w:r>
      <w:r>
        <w:rPr>
          <w:rFonts w:ascii="Times New Roman" w:hAnsi="Times New Roman"/>
          <w:i/>
          <w:color w:val="000000"/>
          <w:sz w:val="24"/>
          <w:szCs w:val="24"/>
          <w:shd w:val="clear" w:color="auto" w:fill="FFFFFF"/>
          <w:lang w:val="en-US"/>
        </w:rPr>
        <w:t>habitation</w:t>
      </w:r>
      <w:r>
        <w:rPr>
          <w:rFonts w:ascii="Times New Roman" w:hAnsi="Times New Roman"/>
          <w:i/>
          <w:sz w:val="24"/>
          <w:szCs w:val="24"/>
          <w:lang w:val="en-US"/>
        </w:rPr>
        <w:t>, space, decorating.</w:t>
      </w:r>
    </w:p>
    <w:p w:rsidR="00517711" w:rsidRDefault="00517711">
      <w:pPr>
        <w:spacing w:after="0" w:line="240" w:lineRule="auto"/>
        <w:ind w:firstLine="709"/>
        <w:contextualSpacing/>
        <w:jc w:val="both"/>
        <w:rPr>
          <w:rFonts w:ascii="Times New Roman" w:hAnsi="Times New Roman"/>
          <w:b/>
          <w:i/>
          <w:sz w:val="24"/>
          <w:szCs w:val="24"/>
          <w:lang w:val="en-US"/>
        </w:rPr>
      </w:pPr>
    </w:p>
    <w:p w:rsidR="00517711" w:rsidRDefault="00F815BE">
      <w:pPr>
        <w:spacing w:after="60" w:line="240" w:lineRule="auto"/>
        <w:ind w:firstLine="709"/>
        <w:jc w:val="both"/>
        <w:rPr>
          <w:rFonts w:ascii="Times New Roman" w:hAnsi="Times New Roman"/>
          <w:color w:val="000000"/>
          <w:sz w:val="24"/>
          <w:szCs w:val="24"/>
        </w:rPr>
      </w:pPr>
      <w:r>
        <w:rPr>
          <w:rFonts w:ascii="Times New Roman" w:hAnsi="Times New Roman"/>
          <w:color w:val="000000"/>
          <w:sz w:val="24"/>
          <w:szCs w:val="24"/>
        </w:rPr>
        <w:t>По данным ведущих российских дизайн-бюро, в наиболее обеспеченных слоях населения нашей страны дизайн-услуги стали достаточно востребованными. Представители этого класса много путешествуют по миру, обращают внимание на жизненный уклад других народов и соответственно переосмысливает отношение к оформлению своего жилья. Т.е. в этом слое общества произошла переориентация взглядов на дизайн интерьера, «закончились игры в дизайн самодеятельность» [</w:t>
      </w:r>
      <w:r>
        <w:rPr>
          <w:rFonts w:ascii="Times New Roman" w:hAnsi="Times New Roman"/>
          <w:color w:val="000000"/>
          <w:spacing w:val="3"/>
          <w:sz w:val="24"/>
          <w:szCs w:val="24"/>
        </w:rPr>
        <w:t>2</w:t>
      </w:r>
      <w:r>
        <w:rPr>
          <w:rFonts w:ascii="Times New Roman" w:hAnsi="Times New Roman"/>
          <w:sz w:val="24"/>
          <w:szCs w:val="24"/>
        </w:rPr>
        <w:t>].</w:t>
      </w:r>
      <w:r>
        <w:rPr>
          <w:rFonts w:ascii="Times New Roman" w:hAnsi="Times New Roman"/>
          <w:color w:val="000000"/>
          <w:sz w:val="24"/>
          <w:szCs w:val="24"/>
        </w:rPr>
        <w:t xml:space="preserve"> Однако, как показывает статистика ресурса «РИА </w:t>
      </w:r>
      <w:r>
        <w:rPr>
          <w:rFonts w:ascii="Times New Roman" w:hAnsi="Times New Roman"/>
          <w:color w:val="000000"/>
          <w:sz w:val="24"/>
          <w:szCs w:val="24"/>
        </w:rPr>
        <w:lastRenderedPageBreak/>
        <w:t xml:space="preserve">Рейтинг» [6], доля богатых людей в России не велика: 132000 миллионеров составляют всего около 0,1 % населения страны, а людей с заработной платой более 100 тыс. руб. даже в самых богатых регионах в среднем около 20% (рис. 1). </w:t>
      </w:r>
    </w:p>
    <w:p w:rsidR="00517711" w:rsidRDefault="00F815BE">
      <w:pPr>
        <w:spacing w:after="0" w:line="240" w:lineRule="auto"/>
        <w:jc w:val="center"/>
        <w:rPr>
          <w:rFonts w:ascii="Times New Roman" w:hAnsi="Times New Roman"/>
          <w:color w:val="000000"/>
          <w:sz w:val="24"/>
          <w:szCs w:val="24"/>
        </w:rPr>
      </w:pPr>
      <w:r>
        <w:rPr>
          <w:rFonts w:ascii="Times New Roman" w:hAnsi="Times New Roman"/>
          <w:noProof/>
          <w:color w:val="000000"/>
          <w:sz w:val="24"/>
          <w:szCs w:val="24"/>
          <w:lang w:eastAsia="ru-RU"/>
        </w:rPr>
        <w:drawing>
          <wp:inline distT="0" distB="0" distL="0" distR="0">
            <wp:extent cx="3332974" cy="1495221"/>
            <wp:effectExtent l="0" t="0" r="0" b="0"/>
            <wp:docPr id="129" name="Рисунок 129"/>
            <wp:cNvGraphicFramePr/>
            <a:graphic xmlns:a="http://schemas.openxmlformats.org/drawingml/2006/main">
              <a:graphicData uri="http://schemas.openxmlformats.org/drawingml/2006/picture">
                <pic:pic xmlns:pic="http://schemas.openxmlformats.org/drawingml/2006/picture">
                  <pic:nvPicPr>
                    <pic:cNvPr id="58" name=""/>
                    <pic:cNvPicPr/>
                  </pic:nvPicPr>
                  <pic:blipFill>
                    <a:blip r:embed="rId312"/>
                    <a:srcRect t="6424" b="9051"/>
                    <a:stretch/>
                  </pic:blipFill>
                  <pic:spPr bwMode="auto">
                    <a:xfrm>
                      <a:off x="0" y="0"/>
                      <a:ext cx="3332975" cy="1495222"/>
                    </a:xfrm>
                    <a:prstGeom prst="rect">
                      <a:avLst/>
                    </a:prstGeom>
                    <a:noFill/>
                    <a:ln>
                      <a:solidFill>
                        <a:srgbClr val="000000"/>
                      </a:solidFill>
                    </a:ln>
                  </pic:spPr>
                </pic:pic>
              </a:graphicData>
            </a:graphic>
          </wp:inline>
        </w:drawing>
      </w:r>
    </w:p>
    <w:p w:rsidR="00517711" w:rsidRDefault="00F815BE">
      <w:pPr>
        <w:spacing w:after="60" w:line="240" w:lineRule="auto"/>
        <w:jc w:val="center"/>
        <w:rPr>
          <w:rFonts w:ascii="Times New Roman" w:hAnsi="Times New Roman"/>
          <w:color w:val="000000"/>
          <w:sz w:val="24"/>
          <w:szCs w:val="24"/>
        </w:rPr>
      </w:pPr>
      <w:r>
        <w:rPr>
          <w:rFonts w:ascii="Times New Roman" w:hAnsi="Times New Roman"/>
          <w:color w:val="000000"/>
          <w:sz w:val="24"/>
          <w:szCs w:val="24"/>
        </w:rPr>
        <w:t>Рис. 1. Зарплатный рейтинг регионов России на 2017 год</w:t>
      </w:r>
    </w:p>
    <w:p w:rsidR="00517711" w:rsidRDefault="00F815BE">
      <w:pPr>
        <w:spacing w:after="0" w:line="240" w:lineRule="auto"/>
        <w:ind w:firstLine="703"/>
        <w:jc w:val="both"/>
        <w:rPr>
          <w:rFonts w:ascii="Times New Roman" w:hAnsi="Times New Roman"/>
          <w:sz w:val="24"/>
          <w:szCs w:val="24"/>
        </w:rPr>
      </w:pPr>
      <w:r>
        <w:rPr>
          <w:rFonts w:ascii="Times New Roman" w:hAnsi="Times New Roman"/>
          <w:sz w:val="24"/>
          <w:szCs w:val="24"/>
        </w:rPr>
        <w:t xml:space="preserve">Таким образом рынок дизайнерских услуг может развиваться только за счет массового человека, среднего жителя России. Чтобы овладеть этим контингентом, необходимо иметь достаточно полное представление о его ментальности, т.е. ценностях и приоритетах, в данном случае при формировании пространства повседневности. </w:t>
      </w:r>
    </w:p>
    <w:p w:rsidR="00517711" w:rsidRDefault="00F815BE">
      <w:pPr>
        <w:spacing w:after="0" w:line="240" w:lineRule="auto"/>
        <w:ind w:firstLine="703"/>
        <w:jc w:val="both"/>
        <w:rPr>
          <w:rFonts w:ascii="Times New Roman" w:hAnsi="Times New Roman"/>
          <w:sz w:val="24"/>
          <w:szCs w:val="24"/>
        </w:rPr>
      </w:pPr>
      <w:r>
        <w:rPr>
          <w:rFonts w:ascii="Times New Roman" w:hAnsi="Times New Roman"/>
          <w:sz w:val="24"/>
          <w:szCs w:val="24"/>
        </w:rPr>
        <w:t>Целью работы являлось определение характерных особенностей потенциального потребителя профессиональных дизайнерских услуг- выявление его отношения к своему жилью и профессиональному дизайну.</w:t>
      </w:r>
    </w:p>
    <w:p w:rsidR="00517711" w:rsidRDefault="00F815BE">
      <w:pPr>
        <w:spacing w:after="0" w:line="240" w:lineRule="auto"/>
        <w:ind w:firstLine="703"/>
        <w:jc w:val="both"/>
        <w:rPr>
          <w:rFonts w:ascii="Times New Roman" w:hAnsi="Times New Roman"/>
          <w:sz w:val="24"/>
          <w:szCs w:val="24"/>
        </w:rPr>
      </w:pPr>
      <w:r>
        <w:rPr>
          <w:rFonts w:ascii="Times New Roman" w:hAnsi="Times New Roman"/>
          <w:sz w:val="24"/>
          <w:szCs w:val="24"/>
        </w:rPr>
        <w:t>Для достижения поставленной цели авторы данного исследования попытались оценить в оформлении современного городского жилья: принципиальные подходы; соответствие вкусовых предпочтений пользователя современным тенденциям; способы решения проблемы дефицита пространства; предпочтения в элементах декора; представления об эргономике и экологических проблемах.</w:t>
      </w:r>
    </w:p>
    <w:p w:rsidR="00517711" w:rsidRDefault="00F815BE">
      <w:pPr>
        <w:spacing w:after="60" w:line="240" w:lineRule="auto"/>
        <w:ind w:firstLine="703"/>
        <w:jc w:val="both"/>
        <w:outlineLvl w:val="0"/>
        <w:rPr>
          <w:rFonts w:ascii="Times New Roman" w:hAnsi="Times New Roman"/>
          <w:bCs/>
          <w:sz w:val="24"/>
          <w:szCs w:val="24"/>
          <w:lang w:eastAsia="ru-RU"/>
        </w:rPr>
      </w:pPr>
      <w:r>
        <w:rPr>
          <w:rFonts w:ascii="Times New Roman" w:hAnsi="Times New Roman"/>
          <w:bCs/>
          <w:sz w:val="24"/>
          <w:szCs w:val="24"/>
          <w:lang w:eastAsia="ru-RU"/>
        </w:rPr>
        <w:t>Материал анкетного опроса и интервью В.А. Плехановой [4], в котором принимали участие респонденты разных возрастных групп (от 18 и старше 50) показал, что глубинные черты советского менталитета: самоограничение, непритязательность, привычка к бытовой неустроенности, психология коммунального быта,</w:t>
      </w:r>
      <w:r>
        <w:rPr>
          <w:rFonts w:ascii="Times New Roman" w:hAnsi="Times New Roman"/>
          <w:bCs/>
          <w:color w:val="92D050"/>
          <w:sz w:val="24"/>
          <w:szCs w:val="24"/>
          <w:lang w:eastAsia="ru-RU"/>
        </w:rPr>
        <w:t xml:space="preserve"> </w:t>
      </w:r>
      <w:r>
        <w:rPr>
          <w:rFonts w:ascii="Times New Roman" w:hAnsi="Times New Roman"/>
          <w:bCs/>
          <w:sz w:val="24"/>
          <w:szCs w:val="24"/>
          <w:lang w:eastAsia="ru-RU"/>
        </w:rPr>
        <w:t>прослеживаются и в менталитете современного горожанина. Авторам данной статьи представилось интересным оценить насколько изменились подходы к оформлению жилья у старшего поколения относительно тех принципов, на которых основывались интерьеры 60-90х годов - интерьеры их молодости, родительского жилья. На рис. 2 [1, 3, 5, 8]</w:t>
      </w:r>
      <w:r>
        <w:rPr>
          <w:rFonts w:ascii="Times New Roman" w:hAnsi="Times New Roman"/>
          <w:b/>
          <w:bCs/>
          <w:sz w:val="24"/>
          <w:szCs w:val="24"/>
          <w:lang w:eastAsia="ru-RU"/>
        </w:rPr>
        <w:t xml:space="preserve"> </w:t>
      </w:r>
      <w:r>
        <w:rPr>
          <w:rFonts w:ascii="Times New Roman" w:hAnsi="Times New Roman"/>
          <w:bCs/>
          <w:sz w:val="24"/>
          <w:szCs w:val="24"/>
          <w:lang w:eastAsia="ru-RU"/>
        </w:rPr>
        <w:t>показаны наиболее благополучные квартиры тех времен, о чем свидетельствуют импортные мебельные стенки и ковры</w:t>
      </w:r>
      <w:r>
        <w:rPr>
          <w:rFonts w:ascii="Times New Roman" w:hAnsi="Times New Roman"/>
          <w:b/>
          <w:bCs/>
          <w:sz w:val="24"/>
          <w:szCs w:val="24"/>
          <w:lang w:eastAsia="ru-RU"/>
        </w:rPr>
        <w:t xml:space="preserve"> </w:t>
      </w:r>
      <w:r>
        <w:rPr>
          <w:rFonts w:ascii="Times New Roman" w:hAnsi="Times New Roman"/>
          <w:bCs/>
          <w:sz w:val="24"/>
          <w:szCs w:val="24"/>
          <w:lang w:eastAsia="ru-RU"/>
        </w:rPr>
        <w:t>[7], которые во время всеобщего дефицита потребительских товаров не были доступны основной массе населения. Для представленных интерьеров характерны: однотипная мебель, бедное цветовое решение, ограниченность материалов и предметов декора. С точки зрения экологических показателей обилие ковров, гобеленов, салфеток ручной работы, открытых полок с множеством книг, фоторамок, дешёвых статуэток и различных безделушек приводит к скоплению пыли, что требует чаще проводить уборку помещений. Мебель в советских интерьерах преимущественно была прямоугольных форм с острыми углами, что противоречит эргономическим нормам, однако производилась или собиралась самостоятельно она из дерева, а не из не экологичного ДСтП, практически основного мебельного материала современной эпохи. Характерной чертой того времени являлось то, что люди подолгу хранили не очень нужные вещи прямо в квартире или на балконах, закрывая тем самым естественный свет для внутреннего пространства. Кроме того, в</w:t>
      </w:r>
      <w:r>
        <w:rPr>
          <w:rFonts w:ascii="Times New Roman" w:hAnsi="Times New Roman"/>
          <w:bCs/>
          <w:sz w:val="24"/>
          <w:szCs w:val="24"/>
        </w:rPr>
        <w:t xml:space="preserve">плоть до 90-х годов </w:t>
      </w:r>
      <w:r>
        <w:rPr>
          <w:rFonts w:ascii="Times New Roman" w:hAnsi="Times New Roman"/>
          <w:bCs/>
          <w:sz w:val="24"/>
          <w:szCs w:val="24"/>
          <w:lang w:eastAsia="ru-RU"/>
        </w:rPr>
        <w:t>распространённым</w:t>
      </w:r>
      <w:r>
        <w:rPr>
          <w:rFonts w:ascii="Times New Roman" w:hAnsi="Times New Roman"/>
          <w:bCs/>
          <w:sz w:val="24"/>
          <w:szCs w:val="24"/>
        </w:rPr>
        <w:t xml:space="preserve"> видом жилья был</w:t>
      </w:r>
      <w:r>
        <w:rPr>
          <w:rFonts w:ascii="Times New Roman" w:hAnsi="Times New Roman"/>
          <w:bCs/>
          <w:sz w:val="24"/>
          <w:szCs w:val="24"/>
          <w:lang w:eastAsia="ru-RU"/>
        </w:rPr>
        <w:t>и</w:t>
      </w:r>
      <w:r>
        <w:rPr>
          <w:rFonts w:ascii="Times New Roman" w:hAnsi="Times New Roman"/>
          <w:bCs/>
          <w:sz w:val="24"/>
          <w:szCs w:val="24"/>
        </w:rPr>
        <w:t xml:space="preserve"> </w:t>
      </w:r>
      <w:r>
        <w:rPr>
          <w:rFonts w:ascii="Times New Roman" w:hAnsi="Times New Roman"/>
          <w:bCs/>
          <w:sz w:val="24"/>
          <w:szCs w:val="24"/>
          <w:lang w:eastAsia="ru-RU"/>
        </w:rPr>
        <w:t>коммунальные</w:t>
      </w:r>
      <w:r>
        <w:rPr>
          <w:rFonts w:ascii="Times New Roman" w:hAnsi="Times New Roman"/>
          <w:bCs/>
          <w:sz w:val="24"/>
          <w:szCs w:val="24"/>
        </w:rPr>
        <w:t xml:space="preserve"> </w:t>
      </w:r>
      <w:r>
        <w:rPr>
          <w:rFonts w:ascii="Times New Roman" w:hAnsi="Times New Roman"/>
          <w:bCs/>
          <w:sz w:val="24"/>
          <w:szCs w:val="24"/>
          <w:lang w:eastAsia="ru-RU"/>
        </w:rPr>
        <w:t>квартиры</w:t>
      </w:r>
      <w:r>
        <w:rPr>
          <w:rFonts w:ascii="Times New Roman" w:hAnsi="Times New Roman"/>
          <w:bCs/>
          <w:sz w:val="24"/>
          <w:szCs w:val="24"/>
        </w:rPr>
        <w:t xml:space="preserve">, когда в одной комнате </w:t>
      </w:r>
      <w:r>
        <w:rPr>
          <w:rFonts w:ascii="Times New Roman" w:hAnsi="Times New Roman"/>
          <w:bCs/>
          <w:sz w:val="24"/>
          <w:szCs w:val="24"/>
          <w:lang w:eastAsia="ru-RU"/>
        </w:rPr>
        <w:t>совмещалось</w:t>
      </w:r>
      <w:r>
        <w:rPr>
          <w:rFonts w:ascii="Times New Roman" w:hAnsi="Times New Roman"/>
          <w:bCs/>
          <w:sz w:val="24"/>
          <w:szCs w:val="24"/>
        </w:rPr>
        <w:t xml:space="preserve"> несколько функций.</w:t>
      </w:r>
      <w:r>
        <w:rPr>
          <w:rFonts w:ascii="Times New Roman" w:hAnsi="Times New Roman"/>
          <w:bCs/>
          <w:sz w:val="24"/>
          <w:szCs w:val="24"/>
          <w:lang w:eastAsia="ru-RU"/>
        </w:rPr>
        <w:t xml:space="preserve"> Мебель в таких комнатах чаще всего располагаясь вдоль стен и свободное пространство оставалось лишь в центре, что также затрудняло уборку. Эргономическими принципами пренебрегали. </w:t>
      </w:r>
    </w:p>
    <w:p w:rsidR="00517711" w:rsidRDefault="00F815BE">
      <w:pPr>
        <w:spacing w:after="60" w:line="240" w:lineRule="auto"/>
        <w:jc w:val="center"/>
        <w:outlineLvl w:val="0"/>
        <w:rPr>
          <w:rFonts w:ascii="Times New Roman" w:hAnsi="Times New Roman"/>
          <w:bCs/>
          <w:sz w:val="24"/>
          <w:szCs w:val="24"/>
          <w:lang w:eastAsia="ru-RU"/>
        </w:rPr>
      </w:pPr>
      <w:r>
        <w:rPr>
          <w:rFonts w:ascii="Times New Roman" w:hAnsi="Times New Roman"/>
          <w:noProof/>
          <w:sz w:val="24"/>
          <w:szCs w:val="24"/>
          <w:lang w:eastAsia="ru-RU"/>
        </w:rPr>
        <w:lastRenderedPageBreak/>
        <w:drawing>
          <wp:inline distT="0" distB="0" distL="0" distR="0">
            <wp:extent cx="3945559" cy="2784348"/>
            <wp:effectExtent l="0" t="0" r="0" b="0"/>
            <wp:docPr id="130" name="Рисунок 130"/>
            <wp:cNvGraphicFramePr/>
            <a:graphic xmlns:a="http://schemas.openxmlformats.org/drawingml/2006/main">
              <a:graphicData uri="http://schemas.openxmlformats.org/drawingml/2006/picture">
                <pic:pic xmlns:pic="http://schemas.openxmlformats.org/drawingml/2006/picture">
                  <pic:nvPicPr>
                    <pic:cNvPr id="59" name=""/>
                    <pic:cNvPicPr/>
                  </pic:nvPicPr>
                  <pic:blipFill>
                    <a:blip r:embed="rId313"/>
                    <a:stretch/>
                  </pic:blipFill>
                  <pic:spPr bwMode="auto">
                    <a:xfrm>
                      <a:off x="0" y="0"/>
                      <a:ext cx="3945560" cy="2784348"/>
                    </a:xfrm>
                    <a:prstGeom prst="rect">
                      <a:avLst/>
                    </a:prstGeom>
                    <a:noFill/>
                    <a:ln>
                      <a:solidFill>
                        <a:srgbClr val="000000"/>
                      </a:solidFill>
                    </a:ln>
                  </pic:spPr>
                </pic:pic>
              </a:graphicData>
            </a:graphic>
          </wp:inline>
        </w:drawing>
      </w:r>
    </w:p>
    <w:p w:rsidR="00517711" w:rsidRDefault="00F815BE">
      <w:pPr>
        <w:spacing w:after="60" w:line="240" w:lineRule="auto"/>
        <w:jc w:val="center"/>
        <w:rPr>
          <w:rFonts w:ascii="Times New Roman" w:hAnsi="Times New Roman"/>
          <w:color w:val="000000"/>
          <w:sz w:val="24"/>
          <w:szCs w:val="24"/>
        </w:rPr>
      </w:pPr>
      <w:r>
        <w:rPr>
          <w:rFonts w:ascii="Times New Roman" w:hAnsi="Times New Roman"/>
          <w:color w:val="000000"/>
          <w:sz w:val="24"/>
          <w:szCs w:val="24"/>
        </w:rPr>
        <w:t>Рис. 2. Советские интерьеры 60-90х гг.</w:t>
      </w:r>
    </w:p>
    <w:p w:rsidR="00517711" w:rsidRDefault="00F815BE">
      <w:pPr>
        <w:spacing w:after="60" w:line="240" w:lineRule="auto"/>
        <w:ind w:firstLine="703"/>
        <w:jc w:val="both"/>
        <w:rPr>
          <w:rFonts w:ascii="Times New Roman" w:hAnsi="Times New Roman"/>
          <w:sz w:val="24"/>
          <w:szCs w:val="24"/>
        </w:rPr>
      </w:pPr>
      <w:r>
        <w:rPr>
          <w:rFonts w:ascii="Times New Roman" w:hAnsi="Times New Roman"/>
          <w:sz w:val="24"/>
          <w:szCs w:val="24"/>
        </w:rPr>
        <w:t xml:space="preserve">В результате анализа современных интерьеров можно отметить, что они безусловно отражают повышение благосостояние населения по сравнению с не очень отдаленным прошлым. В первую очередь это проявляется в возможности приобрести разнообразную мебель и материалы, насытить пространство различными техническими устройствами. Но осознания целесообразности и необходимости профессионального подхода к оформлению жилья у его собственников не заметно. Данные соответствующего опроса Плехановой [4] подтверждают этот факт: большая часть ее респондентов считает красивое и уютное жилье важнейшим условием высокого качества жизни, знакома с интерьерными стилями и примерами профессионально созданных интерьеров, но все же предпочитает оформлять свое жилое пространство в соответствии с собственными представлениями об уюте и красоте. Примеры такой самостоятельности показаны на рис. 3. </w:t>
      </w:r>
    </w:p>
    <w:p w:rsidR="00517711" w:rsidRDefault="00F815BE">
      <w:pPr>
        <w:spacing w:after="60" w:line="240" w:lineRule="auto"/>
        <w:jc w:val="center"/>
        <w:rPr>
          <w:rFonts w:ascii="Times New Roman" w:hAnsi="Times New Roman"/>
          <w:sz w:val="24"/>
          <w:szCs w:val="24"/>
        </w:rPr>
      </w:pPr>
      <w:r>
        <w:rPr>
          <w:rFonts w:ascii="Times New Roman" w:hAnsi="Times New Roman"/>
          <w:noProof/>
          <w:sz w:val="24"/>
          <w:szCs w:val="24"/>
          <w:lang w:eastAsia="ru-RU"/>
        </w:rPr>
        <w:drawing>
          <wp:inline distT="0" distB="0" distL="0" distR="0">
            <wp:extent cx="3656481" cy="3040011"/>
            <wp:effectExtent l="0" t="0" r="0" b="0"/>
            <wp:docPr id="131" name="Рисунок 131"/>
            <wp:cNvGraphicFramePr/>
            <a:graphic xmlns:a="http://schemas.openxmlformats.org/drawingml/2006/main">
              <a:graphicData uri="http://schemas.openxmlformats.org/drawingml/2006/picture">
                <pic:pic xmlns:pic="http://schemas.openxmlformats.org/drawingml/2006/picture">
                  <pic:nvPicPr>
                    <pic:cNvPr id="60" name=""/>
                    <pic:cNvPicPr/>
                  </pic:nvPicPr>
                  <pic:blipFill>
                    <a:blip r:embed="rId314"/>
                    <a:stretch/>
                  </pic:blipFill>
                  <pic:spPr bwMode="auto">
                    <a:xfrm>
                      <a:off x="0" y="0"/>
                      <a:ext cx="3656482" cy="3040012"/>
                    </a:xfrm>
                    <a:prstGeom prst="rect">
                      <a:avLst/>
                    </a:prstGeom>
                    <a:noFill/>
                    <a:ln>
                      <a:solidFill>
                        <a:srgbClr val="000000"/>
                      </a:solidFill>
                    </a:ln>
                  </pic:spPr>
                </pic:pic>
              </a:graphicData>
            </a:graphic>
          </wp:inline>
        </w:drawing>
      </w:r>
    </w:p>
    <w:p w:rsidR="00517711" w:rsidRDefault="00F815BE">
      <w:pPr>
        <w:spacing w:after="0" w:line="240" w:lineRule="auto"/>
        <w:jc w:val="center"/>
        <w:rPr>
          <w:rFonts w:ascii="Times New Roman" w:hAnsi="Times New Roman"/>
          <w:sz w:val="24"/>
          <w:szCs w:val="24"/>
        </w:rPr>
      </w:pPr>
      <w:r>
        <w:rPr>
          <w:rFonts w:ascii="Times New Roman" w:hAnsi="Times New Roman"/>
          <w:sz w:val="24"/>
          <w:szCs w:val="24"/>
        </w:rPr>
        <w:t xml:space="preserve">   Рис. 3. Современные интерьеры</w:t>
      </w:r>
    </w:p>
    <w:p w:rsidR="00517711" w:rsidRDefault="00F815BE">
      <w:pPr>
        <w:spacing w:after="0" w:line="240" w:lineRule="auto"/>
        <w:jc w:val="both"/>
        <w:rPr>
          <w:rFonts w:ascii="Times New Roman" w:hAnsi="Times New Roman"/>
          <w:sz w:val="24"/>
          <w:szCs w:val="24"/>
        </w:rPr>
      </w:pPr>
      <w:r>
        <w:rPr>
          <w:rFonts w:ascii="Times New Roman" w:hAnsi="Times New Roman"/>
          <w:sz w:val="24"/>
          <w:szCs w:val="24"/>
        </w:rPr>
        <w:t xml:space="preserve">Всего было рассмотрено 25 современных интерьеров. Общими их чертами являются: использование современных отделочных материалов, стремление к сохранению свободного места с помощью внедрения многофункциональной и встраиваемой мебели. В результате решаются проблемы «борьбы с бытовым хламом». Также хочется отметить практически во всех современных квартирах наличие компьютеров с выходом в интернет, что обеспечивает </w:t>
      </w:r>
      <w:r>
        <w:rPr>
          <w:rFonts w:ascii="Times New Roman" w:hAnsi="Times New Roman"/>
          <w:sz w:val="24"/>
          <w:szCs w:val="24"/>
        </w:rPr>
        <w:lastRenderedPageBreak/>
        <w:t xml:space="preserve">доступ современному обывателю к различным интернет ресурсам, в том числе и к он-лайн библиотекам. Вследствие этого в интерьерах значительно уменьшилось количество книжных стеллажей и полок В некоторых из них можно отметить наличие вкуса у хозяев, удачные попытки функционального зонирования. Однако, композиционные решения пространства, как правило, не удачны. Не выдерживаются такие принципы композиции как соподчинённость элементов наполнения, контраст и масштаб. Практически для всех рассмотренных современных интерьеров среднего российского горожанина характерны: монотонные цветовые решения; нерациональное зонирование; несоблюдение эргономических и экологических норм – непродуманное расположению проводов от техники и осветительных приборов, не соблюдение минимального расстояния между объектами наполнения интерьера, обеспечивающего безопасное передвижение жильцов; не организованность декоративного оформления. </w:t>
      </w:r>
    </w:p>
    <w:p w:rsidR="00517711" w:rsidRDefault="00F815BE">
      <w:pPr>
        <w:spacing w:after="0" w:line="240" w:lineRule="auto"/>
        <w:ind w:firstLine="703"/>
        <w:jc w:val="both"/>
        <w:rPr>
          <w:rFonts w:ascii="Times New Roman" w:hAnsi="Times New Roman"/>
          <w:sz w:val="24"/>
          <w:szCs w:val="24"/>
        </w:rPr>
      </w:pPr>
      <w:r>
        <w:rPr>
          <w:rFonts w:ascii="Times New Roman" w:hAnsi="Times New Roman"/>
          <w:sz w:val="24"/>
          <w:szCs w:val="24"/>
        </w:rPr>
        <w:t xml:space="preserve">Т.о. самостоятельное обустройство жилого пространства не решает важных эргономических и экологических проблем. </w:t>
      </w:r>
    </w:p>
    <w:p w:rsidR="00517711" w:rsidRDefault="00F815BE">
      <w:pPr>
        <w:spacing w:after="0" w:line="240" w:lineRule="auto"/>
        <w:ind w:firstLine="703"/>
        <w:jc w:val="both"/>
        <w:rPr>
          <w:rFonts w:ascii="Times New Roman" w:hAnsi="Times New Roman"/>
          <w:sz w:val="24"/>
          <w:szCs w:val="24"/>
        </w:rPr>
      </w:pPr>
      <w:r>
        <w:rPr>
          <w:rFonts w:ascii="Times New Roman" w:hAnsi="Times New Roman"/>
          <w:sz w:val="24"/>
          <w:szCs w:val="24"/>
        </w:rPr>
        <w:t>В представленных современных интерьерах среднего городского жителя выявлено: отсутствие рационального функционального зонирования; использование элементов наполнения несоразмерных с масштабом пространства; отсутствие перспективного взгляда на возможную трансформацию пространства; слабость цветовых решений; частичное соблюдение эстетических принципов оформления.</w:t>
      </w:r>
    </w:p>
    <w:p w:rsidR="00517711" w:rsidRDefault="00F815BE">
      <w:pPr>
        <w:spacing w:after="0" w:line="240" w:lineRule="auto"/>
        <w:ind w:firstLine="703"/>
        <w:jc w:val="both"/>
        <w:rPr>
          <w:rFonts w:ascii="Times New Roman" w:hAnsi="Times New Roman"/>
          <w:color w:val="000000"/>
          <w:sz w:val="24"/>
        </w:rPr>
      </w:pPr>
      <w:r>
        <w:rPr>
          <w:rFonts w:ascii="Times New Roman" w:hAnsi="Times New Roman"/>
          <w:color w:val="000000"/>
          <w:sz w:val="24"/>
        </w:rPr>
        <w:t>Оформление современного жилья определяется недостаточным представлением простого обывателя о возможностях профессионального дизайна. Поэтому очень важной, на взгляд авторов данной статьи, является более активная работа дизайнеров с главным потенциальным потребителем дизайн-услуг - средним российским горожанином.</w:t>
      </w:r>
      <w:r>
        <w:rPr>
          <w:rFonts w:ascii="Times New Roman" w:hAnsi="Times New Roman"/>
          <w:sz w:val="24"/>
          <w:szCs w:val="24"/>
        </w:rPr>
        <w:t xml:space="preserve">      </w:t>
      </w:r>
    </w:p>
    <w:p w:rsidR="00517711" w:rsidRDefault="00F815BE">
      <w:pPr>
        <w:spacing w:after="0" w:line="240" w:lineRule="auto"/>
        <w:ind w:firstLine="703"/>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b/>
          <w:sz w:val="24"/>
          <w:szCs w:val="24"/>
        </w:rPr>
        <w:t xml:space="preserve">                  </w:t>
      </w:r>
    </w:p>
    <w:p w:rsidR="00517711" w:rsidRDefault="00F815BE">
      <w:pPr>
        <w:spacing w:after="0" w:line="240" w:lineRule="auto"/>
        <w:ind w:firstLine="709"/>
        <w:contextualSpacing/>
        <w:jc w:val="both"/>
        <w:rPr>
          <w:rFonts w:ascii="Times New Roman" w:hAnsi="Times New Roman"/>
          <w:b/>
          <w:sz w:val="24"/>
          <w:szCs w:val="24"/>
        </w:rPr>
      </w:pPr>
      <w:r>
        <w:rPr>
          <w:sz w:val="16"/>
          <w:szCs w:val="16"/>
        </w:rPr>
        <w:t>__________________________</w:t>
      </w:r>
    </w:p>
    <w:p w:rsidR="00517711" w:rsidRDefault="00F815BE">
      <w:pPr>
        <w:numPr>
          <w:ilvl w:val="0"/>
          <w:numId w:val="95"/>
        </w:numPr>
        <w:tabs>
          <w:tab w:val="left" w:pos="993"/>
        </w:tabs>
        <w:spacing w:after="0" w:line="240" w:lineRule="auto"/>
        <w:ind w:left="0" w:firstLine="709"/>
        <w:jc w:val="both"/>
        <w:rPr>
          <w:rFonts w:ascii="Times New Roman" w:hAnsi="Times New Roman"/>
          <w:sz w:val="24"/>
          <w:szCs w:val="24"/>
        </w:rPr>
      </w:pPr>
      <w:r>
        <w:rPr>
          <w:rFonts w:ascii="Times New Roman" w:hAnsi="Times New Roman"/>
          <w:sz w:val="24"/>
          <w:szCs w:val="24"/>
          <w:shd w:val="clear" w:color="auto" w:fill="FFFFFF"/>
        </w:rPr>
        <w:t>Битэль Т.</w:t>
      </w:r>
      <w:r>
        <w:rPr>
          <w:rFonts w:ascii="Times New Roman" w:hAnsi="Times New Roman"/>
          <w:color w:val="000000"/>
          <w:sz w:val="24"/>
          <w:szCs w:val="24"/>
          <w:shd w:val="clear" w:color="auto" w:fill="FFFFFF"/>
        </w:rPr>
        <w:t xml:space="preserve"> </w:t>
      </w:r>
      <w:r>
        <w:rPr>
          <w:rFonts w:ascii="Times New Roman" w:hAnsi="Times New Roman"/>
          <w:sz w:val="24"/>
          <w:szCs w:val="24"/>
        </w:rPr>
        <w:t>Каким был интерьер советских квартир</w:t>
      </w:r>
      <w:r>
        <w:rPr>
          <w:rFonts w:ascii="Times New Roman" w:hAnsi="Times New Roman"/>
          <w:color w:val="000000"/>
          <w:sz w:val="24"/>
          <w:szCs w:val="24"/>
          <w:shd w:val="clear" w:color="auto" w:fill="FFFFFF"/>
        </w:rPr>
        <w:t xml:space="preserve"> </w:t>
      </w:r>
      <w:r>
        <w:rPr>
          <w:rFonts w:ascii="Times New Roman" w:hAnsi="Times New Roman"/>
          <w:sz w:val="24"/>
          <w:szCs w:val="24"/>
        </w:rPr>
        <w:t xml:space="preserve">[Электронный ресурс]: обо всем// Хочу ЕЩЁ – профессиональный женский журнал. 15.03.2017. </w:t>
      </w:r>
      <w:r>
        <w:rPr>
          <w:rFonts w:ascii="Times New Roman" w:hAnsi="Times New Roman"/>
          <w:spacing w:val="3"/>
          <w:sz w:val="24"/>
          <w:szCs w:val="24"/>
        </w:rPr>
        <w:t>Режим доступа:</w:t>
      </w:r>
      <w:r>
        <w:rPr>
          <w:rFonts w:ascii="Times New Roman" w:hAnsi="Times New Roman"/>
          <w:color w:val="000000"/>
          <w:sz w:val="24"/>
          <w:szCs w:val="24"/>
        </w:rPr>
        <w:t xml:space="preserve"> </w:t>
      </w:r>
      <w:hyperlink r:id="rId315" w:history="1">
        <w:r>
          <w:rPr>
            <w:color w:val="000000"/>
            <w:sz w:val="24"/>
            <w:szCs w:val="24"/>
            <w:u w:val="single"/>
            <w:shd w:val="clear" w:color="auto" w:fill="FFFFFF"/>
          </w:rPr>
          <w:t>https://e-w-e.ru/kakim-byl-interer-sovetskix-kvartir-nostalgiya-po-velikomu-i-moguchemu/</w:t>
        </w:r>
      </w:hyperlink>
      <w:r>
        <w:rPr>
          <w:rFonts w:ascii="Times New Roman" w:hAnsi="Times New Roman"/>
          <w:sz w:val="24"/>
          <w:szCs w:val="24"/>
          <w:shd w:val="clear" w:color="auto" w:fill="FFFFFF"/>
        </w:rPr>
        <w:t xml:space="preserve"> </w:t>
      </w:r>
      <w:r>
        <w:rPr>
          <w:rFonts w:ascii="Times New Roman" w:hAnsi="Times New Roman"/>
          <w:sz w:val="24"/>
          <w:szCs w:val="24"/>
        </w:rPr>
        <w:t xml:space="preserve"> </w:t>
      </w:r>
      <w:r>
        <w:rPr>
          <w:rFonts w:ascii="Times New Roman" w:hAnsi="Times New Roman"/>
          <w:color w:val="000000"/>
          <w:spacing w:val="3"/>
          <w:sz w:val="24"/>
          <w:szCs w:val="24"/>
        </w:rPr>
        <w:t>(дата обращения 06.04.2018)</w:t>
      </w:r>
    </w:p>
    <w:p w:rsidR="00517711" w:rsidRDefault="000D1C8F">
      <w:pPr>
        <w:numPr>
          <w:ilvl w:val="0"/>
          <w:numId w:val="95"/>
        </w:numPr>
        <w:tabs>
          <w:tab w:val="left" w:pos="993"/>
        </w:tabs>
        <w:spacing w:after="0" w:line="240" w:lineRule="auto"/>
        <w:ind w:left="0" w:firstLine="709"/>
        <w:jc w:val="both"/>
        <w:rPr>
          <w:rFonts w:ascii="Times New Roman" w:hAnsi="Times New Roman"/>
          <w:color w:val="000000"/>
          <w:spacing w:val="3"/>
          <w:sz w:val="24"/>
          <w:szCs w:val="24"/>
        </w:rPr>
      </w:pPr>
      <w:hyperlink r:id="rId316" w:history="1">
        <w:r w:rsidR="00F815BE">
          <w:rPr>
            <w:color w:val="000000"/>
            <w:spacing w:val="3"/>
            <w:sz w:val="24"/>
            <w:szCs w:val="24"/>
            <w:u w:val="single"/>
          </w:rPr>
          <w:t>Зубарева</w:t>
        </w:r>
      </w:hyperlink>
      <w:r w:rsidR="00F815BE">
        <w:rPr>
          <w:color w:val="000000"/>
          <w:spacing w:val="3"/>
          <w:sz w:val="24"/>
          <w:szCs w:val="24"/>
          <w:u w:val="single"/>
        </w:rPr>
        <w:t xml:space="preserve"> И. Возврат к истокам </w:t>
      </w:r>
      <w:r w:rsidR="00F815BE">
        <w:rPr>
          <w:rFonts w:ascii="Times New Roman" w:hAnsi="Times New Roman"/>
          <w:sz w:val="24"/>
          <w:szCs w:val="24"/>
        </w:rPr>
        <w:t xml:space="preserve">[Электронный ресурс]: культура // </w:t>
      </w:r>
      <w:hyperlink r:id="rId317" w:history="1">
        <w:r w:rsidR="00F815BE">
          <w:rPr>
            <w:color w:val="000000"/>
            <w:spacing w:val="3"/>
            <w:sz w:val="24"/>
            <w:szCs w:val="24"/>
            <w:u w:val="single"/>
          </w:rPr>
          <w:t>Российская газета - Спецвыпуск №6514 (0)</w:t>
        </w:r>
      </w:hyperlink>
      <w:r w:rsidR="00F815BE">
        <w:rPr>
          <w:color w:val="000000"/>
          <w:spacing w:val="3"/>
          <w:sz w:val="24"/>
          <w:szCs w:val="24"/>
          <w:u w:val="single"/>
        </w:rPr>
        <w:t xml:space="preserve">. </w:t>
      </w:r>
      <w:r w:rsidR="00F815BE">
        <w:rPr>
          <w:rFonts w:ascii="Times New Roman" w:hAnsi="Times New Roman"/>
          <w:spacing w:val="3"/>
          <w:sz w:val="24"/>
          <w:szCs w:val="24"/>
        </w:rPr>
        <w:t>23.10.2014. Режим доступа:</w:t>
      </w:r>
      <w:r w:rsidR="00F815BE">
        <w:rPr>
          <w:color w:val="000000"/>
          <w:spacing w:val="3"/>
          <w:sz w:val="24"/>
          <w:szCs w:val="24"/>
          <w:u w:val="single"/>
        </w:rPr>
        <w:t xml:space="preserve"> </w:t>
      </w:r>
      <w:r w:rsidR="00F815BE">
        <w:rPr>
          <w:rFonts w:ascii="Times New Roman" w:hAnsi="Times New Roman"/>
          <w:color w:val="000000"/>
          <w:spacing w:val="3"/>
          <w:sz w:val="24"/>
          <w:szCs w:val="24"/>
        </w:rPr>
        <w:t>https://rg.ru/2014/10/23/dizain.html (дата обращения 10.04.2018)</w:t>
      </w:r>
    </w:p>
    <w:p w:rsidR="00517711" w:rsidRDefault="00F815BE">
      <w:pPr>
        <w:numPr>
          <w:ilvl w:val="0"/>
          <w:numId w:val="95"/>
        </w:numPr>
        <w:tabs>
          <w:tab w:val="left" w:pos="993"/>
        </w:tabs>
        <w:spacing w:after="0" w:line="240" w:lineRule="auto"/>
        <w:ind w:left="0" w:firstLine="709"/>
        <w:jc w:val="both"/>
        <w:rPr>
          <w:rFonts w:ascii="Times New Roman" w:hAnsi="Times New Roman"/>
          <w:color w:val="000000"/>
          <w:spacing w:val="3"/>
          <w:sz w:val="24"/>
          <w:szCs w:val="24"/>
        </w:rPr>
      </w:pPr>
      <w:r>
        <w:rPr>
          <w:rFonts w:ascii="Times New Roman" w:hAnsi="Times New Roman"/>
          <w:sz w:val="24"/>
          <w:szCs w:val="24"/>
        </w:rPr>
        <w:t>Интерьер советских квартир [Электронный ресурс]. -</w:t>
      </w:r>
      <w:r>
        <w:rPr>
          <w:rFonts w:ascii="Times New Roman" w:hAnsi="Times New Roman"/>
          <w:spacing w:val="3"/>
          <w:sz w:val="24"/>
          <w:szCs w:val="24"/>
        </w:rPr>
        <w:t xml:space="preserve"> Режим доступа: </w:t>
      </w:r>
      <w:hyperlink r:id="rId318" w:history="1">
        <w:r>
          <w:rPr>
            <w:color w:val="000000"/>
            <w:sz w:val="24"/>
            <w:szCs w:val="24"/>
            <w:u w:val="single"/>
          </w:rPr>
          <w:t>https://www.drive2.ru/c/471924685366362325/</w:t>
        </w:r>
      </w:hyperlink>
      <w:r>
        <w:rPr>
          <w:rFonts w:ascii="Times New Roman" w:hAnsi="Times New Roman"/>
          <w:sz w:val="24"/>
          <w:szCs w:val="24"/>
        </w:rPr>
        <w:t xml:space="preserve"> </w:t>
      </w:r>
      <w:r>
        <w:rPr>
          <w:rFonts w:ascii="Times New Roman" w:hAnsi="Times New Roman"/>
          <w:color w:val="000000"/>
          <w:spacing w:val="3"/>
          <w:sz w:val="24"/>
          <w:szCs w:val="24"/>
        </w:rPr>
        <w:t>(дата обращения 08.04.2018)</w:t>
      </w:r>
    </w:p>
    <w:p w:rsidR="00517711" w:rsidRDefault="00F815BE">
      <w:pPr>
        <w:numPr>
          <w:ilvl w:val="0"/>
          <w:numId w:val="95"/>
        </w:numPr>
        <w:tabs>
          <w:tab w:val="left" w:pos="993"/>
        </w:tabs>
        <w:spacing w:after="0" w:line="240" w:lineRule="auto"/>
        <w:ind w:left="0" w:firstLine="709"/>
        <w:jc w:val="both"/>
        <w:rPr>
          <w:rFonts w:ascii="Times New Roman" w:hAnsi="Times New Roman"/>
          <w:sz w:val="24"/>
          <w:szCs w:val="24"/>
        </w:rPr>
      </w:pPr>
      <w:r>
        <w:rPr>
          <w:rFonts w:ascii="Times New Roman" w:hAnsi="Times New Roman"/>
          <w:sz w:val="24"/>
          <w:szCs w:val="24"/>
        </w:rPr>
        <w:t>Плеханова В.А. Исследование гендерных и возрастных различий культуры повседневности жилища россиян (на примере г. Владивостока) / В.А. Плеханова, Н.А. Коноплева // Гуманитарный вектор. 2018. Т.13, № 2.</w:t>
      </w:r>
    </w:p>
    <w:p w:rsidR="00517711" w:rsidRDefault="00F815BE">
      <w:pPr>
        <w:numPr>
          <w:ilvl w:val="0"/>
          <w:numId w:val="95"/>
        </w:numPr>
        <w:tabs>
          <w:tab w:val="left" w:pos="993"/>
        </w:tabs>
        <w:spacing w:after="0" w:line="240" w:lineRule="auto"/>
        <w:ind w:left="0" w:firstLine="709"/>
        <w:jc w:val="both"/>
        <w:rPr>
          <w:rFonts w:ascii="Times New Roman" w:hAnsi="Times New Roman"/>
          <w:sz w:val="24"/>
          <w:szCs w:val="24"/>
        </w:rPr>
      </w:pPr>
      <w:r>
        <w:rPr>
          <w:rFonts w:ascii="Times New Roman" w:hAnsi="Times New Roman"/>
          <w:color w:val="000000"/>
          <w:sz w:val="24"/>
          <w:szCs w:val="24"/>
          <w:shd w:val="clear" w:color="auto" w:fill="FFFFFF"/>
        </w:rPr>
        <w:t>Погорельский А. </w:t>
      </w:r>
      <w:r>
        <w:rPr>
          <w:rFonts w:ascii="Times New Roman" w:hAnsi="Times New Roman"/>
          <w:sz w:val="24"/>
          <w:szCs w:val="24"/>
        </w:rPr>
        <w:t xml:space="preserve"> </w:t>
      </w:r>
      <w:r>
        <w:rPr>
          <w:rFonts w:ascii="Times New Roman" w:hAnsi="Times New Roman"/>
          <w:color w:val="000000"/>
          <w:sz w:val="24"/>
          <w:szCs w:val="24"/>
          <w:shd w:val="clear" w:color="auto" w:fill="FFFFFF"/>
        </w:rPr>
        <w:t xml:space="preserve">Как советский дизайн и архитектура изменили привычки людей </w:t>
      </w:r>
      <w:r>
        <w:rPr>
          <w:rFonts w:ascii="Times New Roman" w:hAnsi="Times New Roman"/>
          <w:sz w:val="24"/>
          <w:szCs w:val="24"/>
        </w:rPr>
        <w:t xml:space="preserve">[Электронный ресурс]: деловое информационное пространство РБК. 12.08.2015. </w:t>
      </w:r>
      <w:r>
        <w:rPr>
          <w:rFonts w:ascii="Times New Roman" w:hAnsi="Times New Roman"/>
          <w:spacing w:val="3"/>
          <w:sz w:val="24"/>
          <w:szCs w:val="24"/>
        </w:rPr>
        <w:t>Режим доступа:</w:t>
      </w:r>
      <w:r>
        <w:rPr>
          <w:rFonts w:ascii="Times New Roman" w:hAnsi="Times New Roman"/>
          <w:color w:val="000000"/>
          <w:sz w:val="24"/>
          <w:szCs w:val="24"/>
        </w:rPr>
        <w:t xml:space="preserve"> </w:t>
      </w:r>
      <w:r>
        <w:rPr>
          <w:rFonts w:ascii="Times New Roman" w:hAnsi="Times New Roman"/>
          <w:sz w:val="24"/>
          <w:szCs w:val="24"/>
        </w:rPr>
        <w:t xml:space="preserve">https://realty.rbc.ru/news/577d20799a7947a78ce91070 </w:t>
      </w:r>
      <w:r>
        <w:rPr>
          <w:rFonts w:ascii="Times New Roman" w:hAnsi="Times New Roman"/>
          <w:color w:val="000000"/>
          <w:spacing w:val="3"/>
          <w:sz w:val="24"/>
          <w:szCs w:val="24"/>
        </w:rPr>
        <w:t>(дата обращения 05.04.2018)</w:t>
      </w:r>
    </w:p>
    <w:p w:rsidR="00517711" w:rsidRDefault="00F815BE">
      <w:pPr>
        <w:numPr>
          <w:ilvl w:val="0"/>
          <w:numId w:val="95"/>
        </w:numPr>
        <w:tabs>
          <w:tab w:val="left" w:pos="993"/>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t xml:space="preserve">Рейтинг регионов по зарплатам – 2017 </w:t>
      </w:r>
      <w:r>
        <w:rPr>
          <w:rFonts w:ascii="Times New Roman" w:hAnsi="Times New Roman"/>
          <w:sz w:val="24"/>
          <w:szCs w:val="24"/>
        </w:rPr>
        <w:t xml:space="preserve">[Электронный ресурс]. - </w:t>
      </w:r>
      <w:r>
        <w:rPr>
          <w:rFonts w:ascii="Times New Roman" w:hAnsi="Times New Roman"/>
          <w:color w:val="000000"/>
          <w:sz w:val="24"/>
          <w:szCs w:val="24"/>
        </w:rPr>
        <w:t xml:space="preserve"> </w:t>
      </w:r>
      <w:r>
        <w:rPr>
          <w:rFonts w:ascii="Times New Roman" w:hAnsi="Times New Roman"/>
          <w:spacing w:val="3"/>
          <w:sz w:val="24"/>
          <w:szCs w:val="24"/>
        </w:rPr>
        <w:t xml:space="preserve">Режим доступа: </w:t>
      </w:r>
      <w:hyperlink r:id="rId319" w:history="1">
        <w:r>
          <w:rPr>
            <w:color w:val="000000"/>
            <w:sz w:val="24"/>
            <w:szCs w:val="24"/>
            <w:u w:val="single"/>
          </w:rPr>
          <w:t>http://riarating.ru/regions/20171207/630078208.html</w:t>
        </w:r>
      </w:hyperlink>
      <w:r>
        <w:rPr>
          <w:rFonts w:ascii="Times New Roman" w:hAnsi="Times New Roman"/>
          <w:color w:val="000000"/>
          <w:sz w:val="24"/>
          <w:szCs w:val="24"/>
        </w:rPr>
        <w:t xml:space="preserve"> </w:t>
      </w:r>
      <w:r>
        <w:rPr>
          <w:rFonts w:ascii="Times New Roman" w:hAnsi="Times New Roman"/>
          <w:color w:val="000000"/>
          <w:spacing w:val="3"/>
          <w:sz w:val="24"/>
          <w:szCs w:val="24"/>
        </w:rPr>
        <w:t>(дата обращения 02.04.2018)</w:t>
      </w:r>
    </w:p>
    <w:p w:rsidR="00517711" w:rsidRDefault="00F815BE">
      <w:pPr>
        <w:numPr>
          <w:ilvl w:val="0"/>
          <w:numId w:val="95"/>
        </w:numPr>
        <w:tabs>
          <w:tab w:val="left" w:pos="993"/>
        </w:tabs>
        <w:spacing w:after="0" w:line="240" w:lineRule="auto"/>
        <w:ind w:left="0" w:firstLine="709"/>
        <w:jc w:val="both"/>
        <w:rPr>
          <w:rFonts w:ascii="Times New Roman" w:hAnsi="Times New Roman"/>
          <w:sz w:val="24"/>
          <w:szCs w:val="24"/>
        </w:rPr>
      </w:pPr>
      <w:r>
        <w:rPr>
          <w:rFonts w:ascii="Times New Roman" w:hAnsi="Times New Roman"/>
          <w:bCs/>
          <w:color w:val="000000"/>
          <w:sz w:val="24"/>
          <w:szCs w:val="24"/>
          <w:lang w:eastAsia="ru-RU"/>
        </w:rPr>
        <w:t xml:space="preserve">Усанова А.Л. Художественные особенности предметного комплекса в интерьере советского городского жилища 1930-1950-х годов </w:t>
      </w:r>
      <w:r>
        <w:rPr>
          <w:rFonts w:ascii="Times New Roman" w:hAnsi="Times New Roman"/>
          <w:sz w:val="24"/>
          <w:szCs w:val="24"/>
        </w:rPr>
        <w:t xml:space="preserve">[Электронный ресурс] / А.Л. Усанова // Архитектон: известия вузов – 2015. - №2 (50). - </w:t>
      </w:r>
      <w:r>
        <w:rPr>
          <w:rFonts w:ascii="Times New Roman" w:hAnsi="Times New Roman"/>
          <w:spacing w:val="3"/>
          <w:sz w:val="24"/>
          <w:szCs w:val="24"/>
        </w:rPr>
        <w:t xml:space="preserve">Режим доступа: </w:t>
      </w:r>
      <w:r>
        <w:rPr>
          <w:rFonts w:ascii="Times New Roman" w:hAnsi="Times New Roman"/>
          <w:sz w:val="24"/>
          <w:szCs w:val="24"/>
          <w:shd w:val="clear" w:color="auto" w:fill="FFFFFF"/>
        </w:rPr>
        <w:t>http://archvuz.ru/2015_2/19</w:t>
      </w:r>
    </w:p>
    <w:p w:rsidR="00517711" w:rsidRDefault="00F815BE">
      <w:pPr>
        <w:numPr>
          <w:ilvl w:val="0"/>
          <w:numId w:val="95"/>
        </w:numPr>
        <w:tabs>
          <w:tab w:val="left" w:pos="993"/>
        </w:tabs>
        <w:spacing w:after="0" w:line="240" w:lineRule="auto"/>
        <w:ind w:left="0" w:firstLine="709"/>
        <w:jc w:val="both"/>
        <w:rPr>
          <w:rFonts w:ascii="Times New Roman" w:hAnsi="Times New Roman"/>
          <w:sz w:val="24"/>
          <w:szCs w:val="24"/>
          <w:lang w:eastAsia="ru-RU"/>
        </w:rPr>
      </w:pPr>
      <w:r>
        <w:rPr>
          <w:rFonts w:ascii="Times New Roman" w:hAnsi="Times New Roman"/>
          <w:sz w:val="24"/>
          <w:szCs w:val="24"/>
        </w:rPr>
        <w:t xml:space="preserve">Чесноков Е. Назад в СССР: на Арбате открывается «Квартира времени» [Электронный ресурс]: Живой журнал. 22.10.2015. </w:t>
      </w:r>
      <w:r>
        <w:rPr>
          <w:rFonts w:ascii="Times New Roman" w:hAnsi="Times New Roman"/>
          <w:spacing w:val="3"/>
          <w:sz w:val="24"/>
          <w:szCs w:val="24"/>
        </w:rPr>
        <w:t>Режим доступа:</w:t>
      </w:r>
      <w:r>
        <w:rPr>
          <w:rFonts w:ascii="Times New Roman" w:hAnsi="Times New Roman"/>
          <w:color w:val="000000"/>
          <w:sz w:val="24"/>
          <w:szCs w:val="24"/>
        </w:rPr>
        <w:t xml:space="preserve"> </w:t>
      </w:r>
      <w:hyperlink r:id="rId320" w:history="1">
        <w:r>
          <w:rPr>
            <w:color w:val="000000"/>
            <w:sz w:val="24"/>
            <w:szCs w:val="24"/>
            <w:u w:val="single"/>
          </w:rPr>
          <w:t>https://evge-chesnokov.livejournal.com/715414.html</w:t>
        </w:r>
      </w:hyperlink>
      <w:r>
        <w:rPr>
          <w:rFonts w:ascii="Times New Roman" w:hAnsi="Times New Roman"/>
          <w:sz w:val="24"/>
          <w:szCs w:val="24"/>
        </w:rPr>
        <w:t xml:space="preserve"> </w:t>
      </w:r>
      <w:r>
        <w:rPr>
          <w:rFonts w:ascii="Times New Roman" w:hAnsi="Times New Roman"/>
          <w:color w:val="000000"/>
          <w:spacing w:val="3"/>
          <w:sz w:val="24"/>
          <w:szCs w:val="24"/>
        </w:rPr>
        <w:t>(дата обращения 07.04.2018)</w:t>
      </w: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F815BE">
      <w:pPr>
        <w:spacing w:after="0" w:line="240" w:lineRule="auto"/>
        <w:jc w:val="both"/>
        <w:rPr>
          <w:rFonts w:ascii="Times New Roman" w:hAnsi="Times New Roman"/>
          <w:sz w:val="24"/>
          <w:szCs w:val="24"/>
        </w:rPr>
      </w:pPr>
      <w:r>
        <w:rPr>
          <w:rFonts w:ascii="Times New Roman" w:hAnsi="Times New Roman"/>
          <w:sz w:val="24"/>
          <w:szCs w:val="24"/>
        </w:rPr>
        <w:t>Рубрика: Технология и первичная обработка текстильных материалов и сырья</w:t>
      </w:r>
    </w:p>
    <w:p w:rsidR="00517711" w:rsidRDefault="00F815BE">
      <w:pPr>
        <w:rPr>
          <w:rFonts w:ascii="Times New Roman" w:hAnsi="Times New Roman"/>
          <w:sz w:val="24"/>
          <w:szCs w:val="24"/>
          <w:lang w:val="en-US"/>
        </w:rPr>
      </w:pPr>
      <w:r>
        <w:rPr>
          <w:rFonts w:ascii="Times New Roman" w:hAnsi="Times New Roman"/>
          <w:sz w:val="24"/>
          <w:szCs w:val="24"/>
        </w:rPr>
        <w:t>УДК</w:t>
      </w:r>
      <w:r>
        <w:rPr>
          <w:rFonts w:ascii="Times New Roman" w:hAnsi="Times New Roman"/>
          <w:sz w:val="24"/>
          <w:szCs w:val="24"/>
          <w:lang w:val="en-US"/>
        </w:rPr>
        <w:t xml:space="preserve"> 677.02</w:t>
      </w:r>
    </w:p>
    <w:p w:rsidR="00517711" w:rsidRDefault="00F815BE">
      <w:pPr>
        <w:jc w:val="center"/>
        <w:rPr>
          <w:rFonts w:ascii="Times New Roman" w:hAnsi="Times New Roman"/>
          <w:b/>
          <w:sz w:val="24"/>
          <w:szCs w:val="24"/>
          <w:lang w:val="en-US"/>
        </w:rPr>
      </w:pPr>
      <w:r>
        <w:rPr>
          <w:rFonts w:ascii="Times New Roman" w:hAnsi="Times New Roman"/>
          <w:b/>
          <w:sz w:val="24"/>
          <w:szCs w:val="24"/>
          <w:lang w:val="en-US"/>
        </w:rPr>
        <w:lastRenderedPageBreak/>
        <w:t>Ecological problems of textile industry</w:t>
      </w:r>
    </w:p>
    <w:p w:rsidR="00517711" w:rsidRDefault="00F815BE">
      <w:pPr>
        <w:jc w:val="center"/>
        <w:rPr>
          <w:rFonts w:ascii="Times New Roman" w:hAnsi="Times New Roman"/>
          <w:sz w:val="24"/>
          <w:szCs w:val="24"/>
          <w:lang w:val="en-US"/>
        </w:rPr>
      </w:pPr>
      <w:r>
        <w:rPr>
          <w:rFonts w:ascii="Times New Roman" w:hAnsi="Times New Roman"/>
          <w:sz w:val="24"/>
          <w:szCs w:val="24"/>
          <w:lang w:val="en-US"/>
        </w:rPr>
        <w:t>Georgia Pavlidou, bachelor</w:t>
      </w:r>
    </w:p>
    <w:p w:rsidR="00517711" w:rsidRDefault="00F815BE">
      <w:pPr>
        <w:jc w:val="center"/>
        <w:rPr>
          <w:rFonts w:ascii="Times New Roman" w:hAnsi="Times New Roman"/>
          <w:i/>
          <w:sz w:val="24"/>
          <w:szCs w:val="24"/>
          <w:lang w:val="en-US"/>
        </w:rPr>
      </w:pPr>
      <w:r>
        <w:rPr>
          <w:rFonts w:ascii="Times New Roman" w:hAnsi="Times New Roman"/>
          <w:i/>
          <w:sz w:val="24"/>
          <w:szCs w:val="24"/>
          <w:lang w:val="en-US"/>
        </w:rPr>
        <w:t>Vladivostok University of Economics and Service, Russia, Vladivostok</w:t>
      </w:r>
    </w:p>
    <w:p w:rsidR="00517711" w:rsidRDefault="00F815BE">
      <w:pPr>
        <w:jc w:val="center"/>
        <w:rPr>
          <w:rFonts w:ascii="Times New Roman" w:hAnsi="Times New Roman"/>
          <w:i/>
          <w:sz w:val="24"/>
          <w:szCs w:val="24"/>
          <w:lang w:val="en-US"/>
        </w:rPr>
      </w:pPr>
      <w:r>
        <w:rPr>
          <w:rFonts w:ascii="Times New Roman" w:hAnsi="Times New Roman"/>
          <w:i/>
          <w:sz w:val="24"/>
          <w:szCs w:val="24"/>
          <w:lang w:val="en-US"/>
        </w:rPr>
        <w:t>E-mail:</w:t>
      </w:r>
      <w:r>
        <w:rPr>
          <w:lang w:val="en-US"/>
        </w:rPr>
        <w:t xml:space="preserve"> </w:t>
      </w:r>
      <w:hyperlink r:id="rId321" w:history="1">
        <w:r>
          <w:rPr>
            <w:rStyle w:val="aa"/>
            <w:i/>
            <w:sz w:val="24"/>
            <w:szCs w:val="24"/>
            <w:lang w:val="en-US"/>
          </w:rPr>
          <w:t>gpavlidou@hotmail.com</w:t>
        </w:r>
      </w:hyperlink>
      <w:r>
        <w:rPr>
          <w:rFonts w:ascii="Times New Roman" w:hAnsi="Times New Roman"/>
          <w:i/>
          <w:sz w:val="24"/>
          <w:szCs w:val="24"/>
          <w:lang w:val="en-US"/>
        </w:rPr>
        <w:t>; phone: +79681652208</w:t>
      </w:r>
    </w:p>
    <w:p w:rsidR="00517711" w:rsidRDefault="00F815BE">
      <w:pPr>
        <w:jc w:val="center"/>
        <w:rPr>
          <w:rFonts w:ascii="Times New Roman" w:hAnsi="Times New Roman"/>
          <w:sz w:val="24"/>
          <w:szCs w:val="24"/>
          <w:lang w:val="en-US"/>
        </w:rPr>
      </w:pPr>
      <w:r>
        <w:rPr>
          <w:rFonts w:ascii="Times New Roman" w:hAnsi="Times New Roman"/>
          <w:sz w:val="24"/>
          <w:szCs w:val="24"/>
          <w:lang w:val="en-US"/>
        </w:rPr>
        <w:t>Gogolya St., 41, Russia, Vladivostok, 690014</w:t>
      </w:r>
    </w:p>
    <w:p w:rsidR="00517711" w:rsidRDefault="00517711">
      <w:pPr>
        <w:rPr>
          <w:rFonts w:ascii="Times New Roman" w:hAnsi="Times New Roman"/>
          <w:b/>
          <w:sz w:val="24"/>
          <w:szCs w:val="24"/>
          <w:lang w:val="en-US"/>
        </w:rPr>
      </w:pPr>
    </w:p>
    <w:p w:rsidR="00517711" w:rsidRDefault="00F815BE">
      <w:pPr>
        <w:rPr>
          <w:rFonts w:ascii="Times New Roman" w:hAnsi="Times New Roman"/>
          <w:i/>
          <w:sz w:val="24"/>
          <w:szCs w:val="24"/>
          <w:lang w:val="en-US"/>
        </w:rPr>
      </w:pPr>
      <w:r>
        <w:rPr>
          <w:rFonts w:ascii="Times New Roman" w:hAnsi="Times New Roman"/>
          <w:i/>
          <w:sz w:val="24"/>
          <w:szCs w:val="24"/>
          <w:lang w:val="en-US"/>
        </w:rPr>
        <w:t>The following research work refers to the environmental problems caused by the textile sector, including cultivation and production of the various textile raw materials. It also mentions the ways in which it can partly provide solutions to the ecological problems which can directly sensitize the factor that causes them.</w:t>
      </w:r>
    </w:p>
    <w:p w:rsidR="00517711" w:rsidRDefault="00F815BE">
      <w:pPr>
        <w:jc w:val="both"/>
        <w:rPr>
          <w:rFonts w:ascii="Times New Roman" w:hAnsi="Times New Roman"/>
          <w:i/>
          <w:color w:val="000000"/>
          <w:sz w:val="24"/>
          <w:szCs w:val="24"/>
          <w:lang w:val="en-US"/>
        </w:rPr>
      </w:pPr>
      <w:r>
        <w:rPr>
          <w:b/>
          <w:i/>
          <w:color w:val="000000"/>
          <w:sz w:val="24"/>
          <w:szCs w:val="24"/>
          <w:lang w:val="en-US"/>
        </w:rPr>
        <w:t>Keywords:</w:t>
      </w:r>
      <w:r>
        <w:rPr>
          <w:i/>
          <w:color w:val="000000"/>
          <w:sz w:val="24"/>
          <w:szCs w:val="24"/>
          <w:lang w:val="en-US"/>
        </w:rPr>
        <w:t xml:space="preserve">  </w:t>
      </w:r>
      <w:r>
        <w:rPr>
          <w:rFonts w:ascii="Times New Roman" w:hAnsi="Times New Roman"/>
          <w:i/>
          <w:color w:val="000000"/>
          <w:sz w:val="24"/>
          <w:szCs w:val="24"/>
          <w:lang w:val="en-US"/>
        </w:rPr>
        <w:t>textile industry,</w:t>
      </w:r>
      <w:r>
        <w:rPr>
          <w:rFonts w:ascii="Times New Roman" w:hAnsi="Times New Roman"/>
          <w:i/>
          <w:sz w:val="24"/>
          <w:szCs w:val="24"/>
          <w:lang w:val="en-US"/>
        </w:rPr>
        <w:t xml:space="preserve"> soil and</w:t>
      </w:r>
      <w:r>
        <w:rPr>
          <w:rFonts w:ascii="Times New Roman" w:hAnsi="Times New Roman"/>
          <w:i/>
          <w:color w:val="000000"/>
          <w:sz w:val="24"/>
          <w:szCs w:val="24"/>
          <w:lang w:val="en-US"/>
        </w:rPr>
        <w:t xml:space="preserve"> groundwater contamination, energy consumption, synthetic fibers.</w:t>
      </w:r>
    </w:p>
    <w:p w:rsidR="00517711" w:rsidRDefault="00517711">
      <w:pPr>
        <w:spacing w:after="0" w:line="240" w:lineRule="auto"/>
        <w:ind w:firstLine="709"/>
        <w:jc w:val="both"/>
        <w:rPr>
          <w:rFonts w:ascii="Times New Roman" w:hAnsi="Times New Roman"/>
          <w:sz w:val="24"/>
          <w:szCs w:val="24"/>
          <w:lang w:val="en-US"/>
        </w:rPr>
      </w:pP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Today there are high demands on the environmental aspects of the production of consumer goods. The fashion industry in general, and in particular the textile industry, is now criticizing about the damage it causes to the environment.</w:t>
      </w:r>
      <w:r>
        <w:rPr>
          <w:lang w:val="en-US"/>
        </w:rPr>
        <w:t xml:space="preserve"> </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 xml:space="preserve">The article presents the results of the analysis of the specific and scientific literature. The types of harmful effects of textile production processes on the environment have been identified and systematized. </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rPr>
        <w:t>Τ</w:t>
      </w:r>
      <w:r>
        <w:rPr>
          <w:rFonts w:ascii="Times New Roman" w:hAnsi="Times New Roman"/>
          <w:sz w:val="24"/>
          <w:szCs w:val="24"/>
          <w:lang w:val="en-US"/>
        </w:rPr>
        <w:t>he development and improvement of this industry is necessary for the survival of the human race/ Textile is an important branch of Greek industry, which includes many sub-branches such as spinning, knitting, clothing and other closely related sectors. According to data from the Greek Textile Industry Association, the textile industry contributes about 15% to the GDP of the country and employs 70,000 workers. Including clothing workers, the total number of workers is close to 120,000, accounting for about 28% of those employed in domestic manufacturing. Continuous modernization of production units is necessary in order to reduce production costs, improve quality and specialize in products with high added value, in order to enhance the competitiveness of Greek companies in the Greek and international markets. Already, several large companies in the industry are producing high quality products. In Greece, the problems caused by the textile industry are evident.</w:t>
      </w:r>
    </w:p>
    <w:p w:rsidR="00517711" w:rsidRDefault="00F815BE">
      <w:pPr>
        <w:spacing w:after="0" w:line="240" w:lineRule="auto"/>
        <w:ind w:firstLine="709"/>
        <w:jc w:val="both"/>
        <w:rPr>
          <w:lang w:val="en-US"/>
        </w:rPr>
      </w:pPr>
      <w:r>
        <w:rPr>
          <w:rFonts w:ascii="Times New Roman" w:hAnsi="Times New Roman"/>
          <w:sz w:val="24"/>
          <w:szCs w:val="24"/>
          <w:lang w:val="en-US"/>
        </w:rPr>
        <w:t>The textile industry has a number of processing steps starting from harvesting, processing raw materials and resulting in weaving, painting and washing. These processes effect negatively the environment in various forms such as water pollution, air pollution, sound pollution, soil contamination and the disruption of the ecosystem by synthetic fiber residues. Recycling is a way of reducing the impacts of the problem, but it is not enough to be a solution.</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For this reason, solutions are sought to tackle directly the problems.</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Contamination of the environment is the most likely effect of textiles on the environment. It is very important to study the ways and the causes of various harmful substances being released into the environment and contaminating them.</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The production of all the products necessary for the textile industry inevitably leads to the dispersal of substances that pollute air, water and earth.</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In addition, the noise generated during the process reaches undesirably high levels.</w:t>
      </w:r>
    </w:p>
    <w:p w:rsidR="00517711" w:rsidRDefault="00F815BE">
      <w:pPr>
        <w:pStyle w:val="af4"/>
        <w:numPr>
          <w:ilvl w:val="0"/>
          <w:numId w:val="96"/>
        </w:numPr>
        <w:spacing w:after="160" w:line="259" w:lineRule="auto"/>
        <w:contextualSpacing/>
        <w:jc w:val="both"/>
        <w:rPr>
          <w:rFonts w:ascii="Times New Roman" w:hAnsi="Times New Roman"/>
          <w:sz w:val="24"/>
          <w:szCs w:val="24"/>
          <w:lang w:val="en-US"/>
        </w:rPr>
      </w:pPr>
      <w:r>
        <w:rPr>
          <w:rFonts w:ascii="Times New Roman" w:hAnsi="Times New Roman"/>
          <w:sz w:val="24"/>
          <w:szCs w:val="24"/>
          <w:lang w:val="en-US"/>
        </w:rPr>
        <w:t xml:space="preserve">Groundwater contamination for the general public is much more closely related to the textile Industry than any other type of contamination [1]. This is because when the infection occurs, it is clear visible. Evidence of its existence appears in the form of colored byproducts from the dyeing process and the printing [2], or lathering of surfactants from washing or rinsing. </w:t>
      </w:r>
      <w:r>
        <w:rPr>
          <w:rFonts w:ascii="Times New Roman" w:hAnsi="Times New Roman"/>
          <w:sz w:val="24"/>
          <w:szCs w:val="24"/>
          <w:lang w:val="en-US"/>
        </w:rPr>
        <w:lastRenderedPageBreak/>
        <w:t>However, there are other sources of water pollution caused by the textiles production process and an example is the process of delaminating woven fabrics.</w:t>
      </w:r>
    </w:p>
    <w:p w:rsidR="00517711" w:rsidRDefault="00F815BE">
      <w:pPr>
        <w:pStyle w:val="af4"/>
        <w:numPr>
          <w:ilvl w:val="0"/>
          <w:numId w:val="96"/>
        </w:numPr>
        <w:spacing w:after="160" w:line="259" w:lineRule="auto"/>
        <w:contextualSpacing/>
        <w:jc w:val="both"/>
        <w:rPr>
          <w:rFonts w:ascii="Times New Roman" w:hAnsi="Times New Roman"/>
          <w:sz w:val="24"/>
          <w:szCs w:val="24"/>
          <w:lang w:val="en-US"/>
        </w:rPr>
      </w:pPr>
      <w:r>
        <w:rPr>
          <w:rFonts w:ascii="Times New Roman" w:hAnsi="Times New Roman"/>
          <w:sz w:val="24"/>
          <w:szCs w:val="24"/>
          <w:lang w:val="en-US"/>
        </w:rPr>
        <w:t>Air pollution in the textile industry affects people, machines, and the products themselves. In enclosed production areas, air pollution is much more intense either with spinning fibers or with the various volatile chemicals and solutions used during fiber preparation, dyeing and finishing [3]. There is an increasing trend in the health problems of people working in the textile industry, especially pneumoconiosis, tuberculosis, asthma and various types of cancer. Although compared with other industries it is considered that the textile industry charges the air much less, the contribution of is important.</w:t>
      </w:r>
    </w:p>
    <w:p w:rsidR="00517711" w:rsidRDefault="00F815BE">
      <w:pPr>
        <w:pStyle w:val="af4"/>
        <w:numPr>
          <w:ilvl w:val="0"/>
          <w:numId w:val="96"/>
        </w:numPr>
        <w:spacing w:after="160" w:line="259" w:lineRule="auto"/>
        <w:contextualSpacing/>
        <w:jc w:val="both"/>
        <w:rPr>
          <w:rFonts w:ascii="Times New Roman" w:hAnsi="Times New Roman"/>
          <w:sz w:val="24"/>
          <w:szCs w:val="24"/>
          <w:lang w:val="en-US"/>
        </w:rPr>
      </w:pPr>
      <w:r>
        <w:rPr>
          <w:rFonts w:ascii="Times New Roman" w:hAnsi="Times New Roman"/>
          <w:sz w:val="24"/>
          <w:szCs w:val="24"/>
          <w:lang w:val="en-US"/>
        </w:rPr>
        <w:t>Soil contamination can occur during the production process of a textile product when various substances and materials used or even textiles are disposed of on land. Furthermore, the by-product created during the process of cleaning the wipes from the various wet treatments in the textile industry, and which is in the form of sludge, is particularly toxic and damaging the soil [4]. Fibers or chemicals, during their degradation under the influence of air, water or light, can become harmful and dangerous by causing toxic agents that contaminate the earth.</w:t>
      </w:r>
    </w:p>
    <w:p w:rsidR="00517711" w:rsidRDefault="00F815BE">
      <w:pPr>
        <w:pStyle w:val="af4"/>
        <w:jc w:val="both"/>
        <w:rPr>
          <w:rFonts w:ascii="Times New Roman" w:hAnsi="Times New Roman"/>
          <w:sz w:val="24"/>
          <w:szCs w:val="24"/>
          <w:lang w:val="en-US"/>
        </w:rPr>
      </w:pPr>
      <w:r>
        <w:rPr>
          <w:rFonts w:ascii="Times New Roman" w:hAnsi="Times New Roman"/>
          <w:sz w:val="24"/>
          <w:szCs w:val="24"/>
          <w:lang w:val="en-US"/>
        </w:rPr>
        <w:t>Also, visual-aesthetic contamination is a parameter of soil contamination that is not even considered a problem even though it is particularly disturbing.</w:t>
      </w:r>
    </w:p>
    <w:p w:rsidR="00517711" w:rsidRDefault="00F815BE">
      <w:pPr>
        <w:pStyle w:val="af4"/>
        <w:numPr>
          <w:ilvl w:val="0"/>
          <w:numId w:val="96"/>
        </w:numPr>
        <w:spacing w:after="160" w:line="259" w:lineRule="auto"/>
        <w:contextualSpacing/>
        <w:jc w:val="both"/>
        <w:rPr>
          <w:rFonts w:ascii="Times New Roman" w:hAnsi="Times New Roman"/>
          <w:sz w:val="24"/>
          <w:szCs w:val="24"/>
          <w:lang w:val="en-US"/>
        </w:rPr>
      </w:pPr>
      <w:r>
        <w:rPr>
          <w:rFonts w:ascii="Times New Roman" w:hAnsi="Times New Roman"/>
          <w:sz w:val="24"/>
          <w:szCs w:val="24"/>
          <w:lang w:val="en-US"/>
        </w:rPr>
        <w:t>Sound pollution is often considered as a simple problem that causes a little nuisance, but it is slowly becoming increasingly aware that it is a real and dangerous issue. Individuals who work in textile factories and are daily subjected to noise pollution caused by machines may lose some of their hearing. In addition, sounds of any intensity when repeated for long periods of time may affect the general physical and mental health of humans. Particularly high noise levels are generated during the production process of spinning, spinning, weaving and knitting.</w:t>
      </w:r>
    </w:p>
    <w:p w:rsidR="00517711" w:rsidRDefault="00F815BE">
      <w:pPr>
        <w:pStyle w:val="af4"/>
        <w:jc w:val="both"/>
        <w:rPr>
          <w:rFonts w:ascii="Times New Roman" w:hAnsi="Times New Roman"/>
          <w:sz w:val="24"/>
          <w:szCs w:val="24"/>
          <w:lang w:val="en-US"/>
        </w:rPr>
      </w:pPr>
      <w:r>
        <w:rPr>
          <w:rFonts w:ascii="Times New Roman" w:hAnsi="Times New Roman"/>
          <w:sz w:val="24"/>
          <w:szCs w:val="24"/>
          <w:lang w:val="en-US"/>
        </w:rPr>
        <w:t>Unpleasant high noise may also result from the use of machinery or other equipment during loading, unloading, dispatch, distribution or handling of raw materials or finished products.</w:t>
      </w:r>
    </w:p>
    <w:p w:rsidR="00517711" w:rsidRDefault="00F815BE">
      <w:pPr>
        <w:spacing w:after="0" w:line="240" w:lineRule="auto"/>
        <w:ind w:firstLine="709"/>
        <w:jc w:val="both"/>
        <w:rPr>
          <w:rFonts w:ascii="Times New Roman" w:hAnsi="Times New Roman"/>
          <w:b/>
          <w:sz w:val="24"/>
          <w:szCs w:val="24"/>
          <w:lang w:val="en-US"/>
        </w:rPr>
      </w:pPr>
      <w:r>
        <w:rPr>
          <w:rFonts w:ascii="Times New Roman" w:hAnsi="Times New Roman"/>
          <w:sz w:val="24"/>
          <w:szCs w:val="24"/>
          <w:lang w:val="en-US"/>
        </w:rPr>
        <w:t>The impact of textiles on the environment includes the entire lifecycle of products from the production and collection of raw materials, the production process of the products with the different treatments, their use, as well as their disposal. For cultivation of cotton, fertilizers, pesticides and herbicides are often used, which, when absorbed by the soil, change their composition by substituting it [5]. The same is true of continuous and intensive cultivation, because the cotton plant absorbs various substances from the soil. In addition, large quantities of water are required for growing. The use of insecticides and the spraying of crops has a wide chemical burden on the air. Flax while not requiring a lot of water and can grow on barren soils requires mechanical harvesting methods, such as jute, hemp and bamboo, which have a high energy consumption.</w:t>
      </w:r>
    </w:p>
    <w:p w:rsidR="00517711" w:rsidRDefault="00F815BE">
      <w:pPr>
        <w:spacing w:after="0" w:line="240" w:lineRule="auto"/>
        <w:ind w:firstLine="709"/>
        <w:jc w:val="both"/>
        <w:rPr>
          <w:rFonts w:ascii="Times New Roman" w:hAnsi="Times New Roman"/>
          <w:b/>
          <w:sz w:val="24"/>
          <w:szCs w:val="24"/>
          <w:lang w:val="en-US"/>
        </w:rPr>
      </w:pPr>
      <w:r>
        <w:rPr>
          <w:rFonts w:ascii="Times New Roman" w:hAnsi="Times New Roman"/>
          <w:sz w:val="24"/>
          <w:szCs w:val="24"/>
          <w:lang w:val="en-US"/>
        </w:rPr>
        <w:t>Wool usually from sheep, but also from other animals such as camels and rabbits can also cause soil degradation. This can happen when pesticides and fertilizers are used on the ground to produce more food for the animals, as well as to the continuous and extensive grazing of a region.</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Silkworm rearing consumes enough energy to be able to maintain the strictly specific environmental conditions necessary for its development, as well as for the collection of silk.</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 xml:space="preserve">For artificial fibers derived from natural polymers, such as rayon, cellulose acetate, viscose, lyocel and tencel, the burden imposed by their production-collection process on the environment is relatively lower than most natural fibers. This is the case, for example, for some artificial fibers, the raw material of which is the residuals of natural fibers collected during the spinning process. But there are also some artificial fibers, the raw material of which is various types of trees such as eucalyptus and bamboo, which require little water and can grow on barren soils, but their high </w:t>
      </w:r>
      <w:r>
        <w:rPr>
          <w:rFonts w:ascii="Times New Roman" w:hAnsi="Times New Roman"/>
          <w:sz w:val="24"/>
          <w:szCs w:val="24"/>
          <w:lang w:val="en-US"/>
        </w:rPr>
        <w:lastRenderedPageBreak/>
        <w:t>demand for fiber use can lead to intensive cultivation of these in inappropriate areas, thus degrading the natural biodiversity of the site as well as the soil.</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For synthetic fibers, man-made fibers from chemical polymers, the production and collection of raw materials is usually made by laboratory by-products of petroleum products. In some cases, such as in the production of recycled polyester, the raw material comes from used plastic packaging of industries as well as from used (usually) plastic bottles of consumers. The latter will have to be washed, so water and energy will be consumed, but environmental packaging will again be recycled.</w:t>
      </w:r>
      <w:r>
        <w:rPr>
          <w:lang w:val="en-US"/>
        </w:rPr>
        <w:t xml:space="preserve"> </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The process of painting and rinsing synthetic fabrics has the effect of contaminating the water with its remains. Microfibers, which are not visible to eye - and therefore theoretically do not be problem - end up in seas and poison aquatic organisms.</w:t>
      </w:r>
      <w:r>
        <w:rPr>
          <w:lang w:val="en-US"/>
        </w:rPr>
        <w:t xml:space="preserve"> </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The discovery of this problem was due to the systematic death aquatic organisms. A research have found in these organisms a quantity of synthetic microfibers.</w:t>
      </w:r>
      <w:r>
        <w:rPr>
          <w:lang w:val="en-US"/>
        </w:rPr>
        <w:t xml:space="preserve"> </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A proposal that could easily be carried out as a first test is the filters for dyeing and washing machines of synthetic fibers.</w:t>
      </w:r>
      <w:r>
        <w:rPr>
          <w:lang w:val="en-US"/>
        </w:rPr>
        <w:t xml:space="preserve"> </w:t>
      </w:r>
      <w:r>
        <w:rPr>
          <w:rFonts w:ascii="Times New Roman" w:hAnsi="Times New Roman"/>
          <w:sz w:val="24"/>
          <w:szCs w:val="24"/>
          <w:lang w:val="en-US"/>
        </w:rPr>
        <w:t>Then a very good way to tackle such problems is to reduce the use of synthetic fibers, so that a balance exists between synthetic and natural fabrics that in recent years the reduction in natural fiber has disrupted the levels of raw materials.</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Beyond the cropping and production of raw materials, procedures which polish and improve the environment is the innovation, weaving, knitting, painting, but these finishing. For example waste from the paint of textile products takes place in soil and waters influence the hydrogen environmental sources.</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Energy consumption is one of the most important issues in every industrial activity. All types of industrial production consume an amount of energy. One of these industrial units is also the textile industry. The textile industry keeps a record of lower efficiency in terms of energy use and is one of the industries with particularly high energy consumption. If along with the energy consumed to produce its products, we also take into account what is consumed for the collection of raw materials as well as for the distribution, use and disposal of finished products, we realize the need for greater energy savings in all its sectors. The magnitude of electricity consumption depends on the process itself, on the fibers used, on the speed of production as well as on maintenance, modernization and type of machinery.</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The total final energy consumption of the textile industry of any country depends on the country's structure in this sector. It can be reduced by examining and improving the individual production processes, the existing equipment, and the use of renewable energy sources. For a textiles business, good energy management, apart from saving significant energy costs, contributes substantially to its better management.</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The high energy consumption of the textile industry is not taken up by the whole, with the gravity it deserves, because it is more concerned with economic parameters than with ecological ones. The problem of the depletion of natural resources is mainly due to energy consumption and for the textile industry comes from the production process as well as from the distribution, promotion and use of its products. In addition, petroleum used in the manufacture of plastics, water used for the various needs of the production process, iron and other metals used in the construction of machinery and for dyeing processes are natural sources of energy coming from the earth and they are either limited or unlimited.</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Using the above, the problem of depletion of natural resources is exacerbated.</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Textile products can therefore be useful and reliable depending on the use made by the person and the qualities he chooses to use. Textiles can also be used for limit air pollution. This can be achieved with using air filters that have the ability to remove several micro particles of various sizes. Excellent fabric pores are ideal to contain any dirt while allowing air to circulates comfortably. Textile filters belong to a large category textile techniques used around the world on industries and for all kinds of similar situations.</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Still, geotextiles are used to restrict it water pollution by filtering waste, both industrial and non-industrial, in particular in sensitive coastal areas or in different ports, irreversible ecological disaster. Another use is the one in which stabilizing fabrics prevent the movement of soil it contains pesticides or other harmful reagents to water supplies. Also, the effective use of geotextile fabrics (membranes) has in many cases limited diffusion and spreading polluting substances. One example is the limitation of marine pollution from the release of oil due to an accident on an oil extraction platform or a sinking ship carrying large or small quantities of it. Textiles affect and greatly facilitate human everyday life. In some cases, they help people to reduce the burden of their body from contamination of the environment, for example by using gloves, air filters in masks, various uniforms, etc.</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The importance of recycling is enormous as the quantities of textiles used and disposed of are increasing daily. Textile recycling can be done either as recycling - reuse of end products or as recycling of rejected products and turning them into raw material to create a new one. It is therefore necessary to develop methods and establish separation facilities for textile waste. There, for example, fabrics will be divided into various categories such as over-worn or stained clothing and clothing or household equipment that can be reused.</w:t>
      </w:r>
    </w:p>
    <w:p w:rsidR="00517711" w:rsidRDefault="00F815BE">
      <w:pPr>
        <w:pStyle w:val="af4"/>
        <w:numPr>
          <w:ilvl w:val="0"/>
          <w:numId w:val="97"/>
        </w:numPr>
        <w:spacing w:after="160" w:line="259" w:lineRule="auto"/>
        <w:contextualSpacing/>
        <w:jc w:val="both"/>
        <w:rPr>
          <w:rFonts w:ascii="Times New Roman" w:hAnsi="Times New Roman"/>
          <w:sz w:val="24"/>
          <w:szCs w:val="24"/>
          <w:lang w:val="en-US"/>
        </w:rPr>
      </w:pPr>
      <w:r>
        <w:rPr>
          <w:rFonts w:ascii="Times New Roman" w:hAnsi="Times New Roman"/>
          <w:sz w:val="24"/>
          <w:szCs w:val="24"/>
          <w:lang w:val="en-US"/>
        </w:rPr>
        <w:t>Textiles that are in good shape will either be resold in different markets or distributed to institutions and needy people who usually have particularly large needs in clothing and household equipment.</w:t>
      </w:r>
    </w:p>
    <w:p w:rsidR="00517711" w:rsidRDefault="00F815BE">
      <w:pPr>
        <w:pStyle w:val="af4"/>
        <w:numPr>
          <w:ilvl w:val="0"/>
          <w:numId w:val="97"/>
        </w:numPr>
        <w:spacing w:after="160" w:line="259" w:lineRule="auto"/>
        <w:contextualSpacing/>
        <w:jc w:val="both"/>
        <w:rPr>
          <w:rFonts w:ascii="Times New Roman" w:hAnsi="Times New Roman"/>
          <w:sz w:val="24"/>
          <w:szCs w:val="24"/>
          <w:lang w:val="en-US"/>
        </w:rPr>
      </w:pPr>
      <w:r>
        <w:rPr>
          <w:rFonts w:ascii="Times New Roman" w:hAnsi="Times New Roman"/>
          <w:sz w:val="24"/>
          <w:szCs w:val="24"/>
          <w:lang w:val="en-US"/>
        </w:rPr>
        <w:t>Changing the use of textiles creates rags for the industry that are mainly used as wiping fabrics.</w:t>
      </w:r>
    </w:p>
    <w:p w:rsidR="00517711" w:rsidRDefault="00F815BE">
      <w:pPr>
        <w:pStyle w:val="af4"/>
        <w:numPr>
          <w:ilvl w:val="0"/>
          <w:numId w:val="97"/>
        </w:numPr>
        <w:spacing w:after="160" w:line="259" w:lineRule="auto"/>
        <w:contextualSpacing/>
        <w:jc w:val="both"/>
        <w:rPr>
          <w:rFonts w:ascii="Times New Roman" w:hAnsi="Times New Roman"/>
          <w:sz w:val="24"/>
          <w:szCs w:val="24"/>
          <w:lang w:val="en-US"/>
        </w:rPr>
      </w:pPr>
      <w:r>
        <w:rPr>
          <w:rFonts w:ascii="Times New Roman" w:hAnsi="Times New Roman"/>
          <w:sz w:val="24"/>
          <w:szCs w:val="24"/>
          <w:lang w:val="en-US"/>
        </w:rPr>
        <w:t>Cotton can be used as a raw material for high quality paper.</w:t>
      </w:r>
    </w:p>
    <w:p w:rsidR="00517711" w:rsidRDefault="00F815BE">
      <w:pPr>
        <w:pStyle w:val="af4"/>
        <w:numPr>
          <w:ilvl w:val="0"/>
          <w:numId w:val="97"/>
        </w:numPr>
        <w:spacing w:after="160" w:line="259" w:lineRule="auto"/>
        <w:contextualSpacing/>
        <w:jc w:val="both"/>
        <w:rPr>
          <w:rFonts w:ascii="Times New Roman" w:hAnsi="Times New Roman"/>
          <w:sz w:val="24"/>
          <w:szCs w:val="24"/>
          <w:lang w:val="en-US"/>
        </w:rPr>
      </w:pPr>
      <w:r>
        <w:rPr>
          <w:rFonts w:ascii="Times New Roman" w:hAnsi="Times New Roman"/>
          <w:sz w:val="24"/>
          <w:szCs w:val="24"/>
          <w:lang w:val="en-US"/>
        </w:rPr>
        <w:t>Knitted or woven woolen and similar materials end up in a fibrous state for use in the textile industry, for example in the filling or insulating of car seats.</w:t>
      </w:r>
    </w:p>
    <w:p w:rsidR="00517711" w:rsidRDefault="00F815BE">
      <w:pPr>
        <w:pStyle w:val="af4"/>
        <w:numPr>
          <w:ilvl w:val="0"/>
          <w:numId w:val="97"/>
        </w:numPr>
        <w:spacing w:after="160" w:line="259" w:lineRule="auto"/>
        <w:contextualSpacing/>
        <w:jc w:val="both"/>
        <w:rPr>
          <w:rFonts w:ascii="Times New Roman" w:hAnsi="Times New Roman"/>
          <w:sz w:val="24"/>
          <w:szCs w:val="24"/>
          <w:lang w:val="en-US"/>
        </w:rPr>
      </w:pPr>
      <w:r>
        <w:rPr>
          <w:rFonts w:ascii="Times New Roman" w:hAnsi="Times New Roman"/>
          <w:sz w:val="24"/>
          <w:szCs w:val="24"/>
          <w:lang w:val="en-US"/>
        </w:rPr>
        <w:t>Other types of fabrics that can be reprocessed into fibers are used for thermal and sound insulation in upholstery as well as in building materials in which the use of fibers gives elasticity to cement.</w:t>
      </w:r>
    </w:p>
    <w:p w:rsidR="00517711" w:rsidRDefault="00F815BE">
      <w:pPr>
        <w:pStyle w:val="af4"/>
        <w:numPr>
          <w:ilvl w:val="0"/>
          <w:numId w:val="97"/>
        </w:numPr>
        <w:spacing w:after="160" w:line="259" w:lineRule="auto"/>
        <w:contextualSpacing/>
        <w:jc w:val="both"/>
        <w:rPr>
          <w:rFonts w:ascii="Times New Roman" w:hAnsi="Times New Roman"/>
          <w:sz w:val="24"/>
          <w:szCs w:val="24"/>
          <w:lang w:val="en-US"/>
        </w:rPr>
      </w:pPr>
      <w:r>
        <w:rPr>
          <w:rFonts w:ascii="Times New Roman" w:hAnsi="Times New Roman"/>
          <w:sz w:val="24"/>
          <w:szCs w:val="24"/>
          <w:lang w:val="en-US"/>
        </w:rPr>
        <w:t>Textile natural materials such as the various waste from the opening and cleaning of cotton in ginners can be composted and give us fuel.</w:t>
      </w:r>
    </w:p>
    <w:p w:rsidR="00517711" w:rsidRDefault="00F815BE">
      <w:pPr>
        <w:pStyle w:val="af4"/>
        <w:numPr>
          <w:ilvl w:val="0"/>
          <w:numId w:val="97"/>
        </w:numPr>
        <w:spacing w:after="160" w:line="259" w:lineRule="auto"/>
        <w:contextualSpacing/>
        <w:jc w:val="both"/>
        <w:rPr>
          <w:rFonts w:ascii="Times New Roman" w:hAnsi="Times New Roman"/>
          <w:sz w:val="24"/>
          <w:szCs w:val="24"/>
          <w:lang w:val="en-US"/>
        </w:rPr>
      </w:pPr>
      <w:r>
        <w:rPr>
          <w:rFonts w:ascii="Times New Roman" w:hAnsi="Times New Roman"/>
          <w:sz w:val="24"/>
          <w:szCs w:val="24"/>
          <w:lang w:val="en-US"/>
        </w:rPr>
        <w:t>Another sector of recycling in the Textile Industry is the re-use of energy, water and chemicals used in all Manufacturing, Dyeing or Printing Industry processes, as well as finishing. For example, when the hot water of a process is recycled, it is reused and possibly heats up the next bath.[6]</w:t>
      </w:r>
    </w:p>
    <w:p w:rsidR="00517711" w:rsidRDefault="00F815BE">
      <w:pPr>
        <w:pStyle w:val="af4"/>
        <w:numPr>
          <w:ilvl w:val="0"/>
          <w:numId w:val="97"/>
        </w:numPr>
        <w:spacing w:after="160" w:line="259" w:lineRule="auto"/>
        <w:contextualSpacing/>
        <w:jc w:val="both"/>
        <w:rPr>
          <w:rFonts w:ascii="Times New Roman" w:hAnsi="Times New Roman"/>
          <w:sz w:val="24"/>
          <w:szCs w:val="24"/>
          <w:lang w:val="en-US"/>
        </w:rPr>
      </w:pPr>
      <w:r>
        <w:rPr>
          <w:rFonts w:ascii="Times New Roman" w:hAnsi="Times New Roman"/>
          <w:sz w:val="24"/>
          <w:szCs w:val="24"/>
          <w:lang w:val="en-US"/>
        </w:rPr>
        <w:t>Recycled fabrics can be used for household use, for clothing, linen, towels, tablecloths, curtains, carpets, blankets, furniture covers and for stuffing, ropes, twine, canvases, rags, dusters, bags and toys.</w:t>
      </w:r>
    </w:p>
    <w:p w:rsidR="00517711" w:rsidRDefault="00F815BE">
      <w:pPr>
        <w:pStyle w:val="af4"/>
        <w:numPr>
          <w:ilvl w:val="0"/>
          <w:numId w:val="97"/>
        </w:numPr>
        <w:spacing w:after="160" w:line="259" w:lineRule="auto"/>
        <w:contextualSpacing/>
        <w:jc w:val="both"/>
        <w:rPr>
          <w:rFonts w:ascii="Times New Roman" w:hAnsi="Times New Roman"/>
          <w:sz w:val="24"/>
          <w:szCs w:val="24"/>
          <w:lang w:val="en-US"/>
        </w:rPr>
      </w:pPr>
      <w:r>
        <w:rPr>
          <w:rFonts w:ascii="Times New Roman" w:hAnsi="Times New Roman"/>
          <w:sz w:val="24"/>
          <w:szCs w:val="24"/>
          <w:lang w:val="en-US"/>
        </w:rPr>
        <w:t>Disposable textiles and non-products, either in good or in bad shape, could still be used as raw material in the art.</w:t>
      </w:r>
    </w:p>
    <w:p w:rsidR="00517711" w:rsidRDefault="00F815BE">
      <w:pPr>
        <w:pStyle w:val="af4"/>
        <w:numPr>
          <w:ilvl w:val="0"/>
          <w:numId w:val="97"/>
        </w:numPr>
        <w:spacing w:after="160" w:line="259" w:lineRule="auto"/>
        <w:contextualSpacing/>
        <w:jc w:val="both"/>
        <w:rPr>
          <w:rFonts w:ascii="Times New Roman" w:hAnsi="Times New Roman"/>
          <w:sz w:val="24"/>
          <w:szCs w:val="24"/>
          <w:lang w:val="en-US"/>
        </w:rPr>
      </w:pPr>
      <w:r>
        <w:rPr>
          <w:rFonts w:ascii="Times New Roman" w:hAnsi="Times New Roman"/>
          <w:sz w:val="24"/>
          <w:szCs w:val="24"/>
          <w:lang w:val="en-US"/>
        </w:rPr>
        <w:t>This view can transform a “garbage” into a work of art and instead of transporting it to the dump, decorate the living room or take a seat in any gallery.</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The recycling process can reduce and slow down the environmental burden our planet has received.</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The solar energy that reaches the earth is so great that the three-day total collection of the incident radiation could provide enough electricity to meet the needs of the entire planet for a decade. Unfortunately, in this respect, account is not taken of problems related to the means needed to collect solar radiation. The use of solar energy is not widely applied in the textile industry due to the high cost of technology that is needed to collect it [7]/</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Alternative renewable energy sources such as wind, tidal and geothermal, require massive equipment to collect, convert and distribute energy. Additionally, accessories need frequent maintenance and replacement, because their equipment is subjected to heavy weathering, temperature changes and tidal activity.</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In conclusion recent years, it has been observed that man has begun to become aware of environmental protection. Recycling and environmental protection around industrial production greatly improves human health and helps to slow down global warming. Although the ecological problem is widespread, there has not yet been any solution that could "satisfy the environment" to such a degree that the problem is considered to be negligible.</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It has been found in this work, that great attention has been paid to these aspects of the problem, such as soil and water pollution, dyeing of waste and production of finishes, air pollution, and depletion of resources for the production of textiles.</w:t>
      </w:r>
      <w:r>
        <w:rPr>
          <w:lang w:val="en-US"/>
        </w:rPr>
        <w:t xml:space="preserve"> </w:t>
      </w:r>
      <w:r>
        <w:rPr>
          <w:rFonts w:ascii="Times New Roman" w:hAnsi="Times New Roman"/>
          <w:sz w:val="24"/>
          <w:szCs w:val="24"/>
          <w:lang w:val="en-US"/>
        </w:rPr>
        <w:t>At the same time, serious attention is not paid to the problem of environmental damage and human health due to the widespread spread of microfibers. Microfiber is now considered an innovative solution that determines the development of textiles in the future and is widely advertised. However, in review, it is noted that the particularities of the production of such a fiber lead to a continuous leaching of the structure of harmful production waste materials.</w:t>
      </w:r>
      <w:r>
        <w:rPr>
          <w:lang w:val="en-US"/>
        </w:rPr>
        <w:t xml:space="preserve"> </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Since man can not abandon synthetic materials, it is necessary to find solutions that will reduce the risk of their harmful effects on the environment.</w:t>
      </w:r>
      <w:r>
        <w:rPr>
          <w:lang w:val="en-US"/>
        </w:rPr>
        <w:t xml:space="preserve"> </w:t>
      </w:r>
      <w:r>
        <w:rPr>
          <w:rFonts w:ascii="Times New Roman" w:hAnsi="Times New Roman"/>
          <w:sz w:val="24"/>
          <w:szCs w:val="24"/>
          <w:lang w:val="en-US"/>
        </w:rPr>
        <w:t>For this, a good start would be the treatment of the microfibers who have experienced impacts and solutions that can be achieved.</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Scientific innovation of the work is linked to the negative aspects of the production and use of microfibers for the environment. The practical relevance of the project is related to the justification of the research direction in the context of VSUES collaboration with the University of Western Attica.</w:t>
      </w:r>
    </w:p>
    <w:p w:rsidR="00517711" w:rsidRDefault="00517711">
      <w:pPr>
        <w:spacing w:after="0" w:line="240" w:lineRule="auto"/>
        <w:ind w:firstLine="709"/>
        <w:jc w:val="both"/>
        <w:rPr>
          <w:rFonts w:ascii="Times New Roman" w:hAnsi="Times New Roman"/>
          <w:sz w:val="24"/>
          <w:szCs w:val="24"/>
          <w:lang w:val="en-US"/>
        </w:rPr>
      </w:pP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__________________________________</w:t>
      </w:r>
    </w:p>
    <w:p w:rsidR="00517711" w:rsidRDefault="00517711">
      <w:pPr>
        <w:spacing w:after="0" w:line="240" w:lineRule="auto"/>
        <w:ind w:firstLine="709"/>
        <w:jc w:val="both"/>
        <w:rPr>
          <w:rFonts w:ascii="Times New Roman" w:hAnsi="Times New Roman"/>
          <w:sz w:val="24"/>
          <w:szCs w:val="24"/>
          <w:lang w:val="en-US"/>
        </w:rPr>
      </w:pPr>
    </w:p>
    <w:p w:rsidR="00517711" w:rsidRDefault="00F815BE">
      <w:pPr>
        <w:spacing w:after="0" w:line="240" w:lineRule="auto"/>
        <w:jc w:val="both"/>
        <w:rPr>
          <w:rFonts w:ascii="Times New Roman" w:hAnsi="Times New Roman"/>
          <w:sz w:val="24"/>
          <w:szCs w:val="24"/>
          <w:lang w:val="en-US"/>
        </w:rPr>
      </w:pPr>
      <w:r>
        <w:rPr>
          <w:rFonts w:ascii="Times New Roman" w:hAnsi="Times New Roman"/>
          <w:sz w:val="24"/>
          <w:szCs w:val="24"/>
          <w:lang w:val="en-US"/>
        </w:rPr>
        <w:t>[1] Awomeso, J.A., Taiwo, A.M., Gbadebo, A.M. and Adenowo, J.A., ”Studies on the pollution of waterbody by textile industry effluents in Lagos, Nigeria,” J. Appl. Sci. Environ.Sanit. Sby. 5. p.353-359., 2010.</w:t>
      </w:r>
    </w:p>
    <w:p w:rsidR="00517711" w:rsidRDefault="00F815BE">
      <w:pPr>
        <w:spacing w:after="0" w:line="240" w:lineRule="auto"/>
        <w:jc w:val="both"/>
        <w:rPr>
          <w:rFonts w:ascii="Times New Roman" w:hAnsi="Times New Roman"/>
          <w:sz w:val="24"/>
          <w:szCs w:val="24"/>
          <w:lang w:val="en-US"/>
        </w:rPr>
      </w:pPr>
      <w:r>
        <w:rPr>
          <w:rFonts w:ascii="Times New Roman" w:hAnsi="Times New Roman"/>
          <w:sz w:val="24"/>
          <w:szCs w:val="24"/>
          <w:lang w:val="en-US"/>
        </w:rPr>
        <w:t>[2] Rita Kant “Textile dyeing industry an environmental hazard”, Natural Science, vol.4 (2012) p/22-26.</w:t>
      </w:r>
    </w:p>
    <w:p w:rsidR="00517711" w:rsidRDefault="00F815BE">
      <w:pPr>
        <w:spacing w:after="0" w:line="240" w:lineRule="auto"/>
        <w:jc w:val="both"/>
        <w:rPr>
          <w:rFonts w:ascii="Times New Roman" w:hAnsi="Times New Roman"/>
          <w:sz w:val="24"/>
          <w:szCs w:val="24"/>
          <w:lang w:val="en-US"/>
        </w:rPr>
      </w:pPr>
      <w:r>
        <w:rPr>
          <w:rFonts w:ascii="Times New Roman" w:hAnsi="Times New Roman"/>
          <w:sz w:val="24"/>
          <w:szCs w:val="24"/>
          <w:lang w:val="en-US"/>
        </w:rPr>
        <w:t>[3] Meenaxi Tiwari, Sudha Babel “Air pollution in textile industry”, Sian journal of environmental</w:t>
      </w:r>
    </w:p>
    <w:p w:rsidR="00517711" w:rsidRDefault="00F815BE">
      <w:pPr>
        <w:spacing w:after="0" w:line="240" w:lineRule="auto"/>
        <w:jc w:val="both"/>
        <w:rPr>
          <w:rFonts w:ascii="Times New Roman" w:hAnsi="Times New Roman"/>
          <w:sz w:val="24"/>
          <w:szCs w:val="24"/>
          <w:lang w:val="en-US"/>
        </w:rPr>
      </w:pPr>
      <w:r>
        <w:rPr>
          <w:rFonts w:ascii="Times New Roman" w:hAnsi="Times New Roman"/>
          <w:sz w:val="24"/>
          <w:szCs w:val="24"/>
          <w:lang w:val="en-US"/>
        </w:rPr>
        <w:t>science,8(1) June, 2013: p.64-66.</w:t>
      </w:r>
    </w:p>
    <w:p w:rsidR="00517711" w:rsidRDefault="00F815BE">
      <w:pPr>
        <w:spacing w:after="0" w:line="240" w:lineRule="auto"/>
        <w:jc w:val="both"/>
        <w:rPr>
          <w:rFonts w:ascii="Times New Roman" w:hAnsi="Times New Roman"/>
          <w:sz w:val="24"/>
          <w:szCs w:val="24"/>
          <w:lang w:val="en-US"/>
        </w:rPr>
      </w:pPr>
      <w:r>
        <w:rPr>
          <w:rFonts w:ascii="Times New Roman" w:hAnsi="Times New Roman"/>
          <w:sz w:val="24"/>
          <w:szCs w:val="24"/>
          <w:lang w:val="en-US"/>
        </w:rPr>
        <w:t>[4] A. K. Krishna, P. K. Govil “Soil Contamination Due to Heavy Metals from an Industrial Area of Surat, Gujarat, Western India”, Environmental Geology, 41(2006), p.461–469.</w:t>
      </w:r>
    </w:p>
    <w:p w:rsidR="00517711" w:rsidRDefault="00F815BE">
      <w:pPr>
        <w:spacing w:after="0" w:line="240" w:lineRule="auto"/>
        <w:jc w:val="both"/>
        <w:rPr>
          <w:rFonts w:ascii="Times New Roman" w:hAnsi="Times New Roman"/>
          <w:sz w:val="24"/>
          <w:szCs w:val="24"/>
          <w:lang w:val="en-US"/>
        </w:rPr>
      </w:pPr>
      <w:r>
        <w:rPr>
          <w:rFonts w:ascii="Times New Roman" w:hAnsi="Times New Roman"/>
          <w:sz w:val="24"/>
          <w:szCs w:val="24"/>
          <w:lang w:val="en-US"/>
        </w:rPr>
        <w:t>[5] Tariq Banuri “Pakistan: Environmental Impact of Cotton Production and Trade”, UNEP project,</w:t>
      </w:r>
    </w:p>
    <w:p w:rsidR="00517711" w:rsidRDefault="00F815BE">
      <w:pPr>
        <w:spacing w:after="0" w:line="240" w:lineRule="auto"/>
        <w:jc w:val="both"/>
        <w:rPr>
          <w:rFonts w:ascii="Times New Roman" w:hAnsi="Times New Roman"/>
          <w:sz w:val="24"/>
          <w:szCs w:val="24"/>
          <w:lang w:val="en-US"/>
        </w:rPr>
      </w:pPr>
      <w:r>
        <w:rPr>
          <w:rFonts w:ascii="Times New Roman" w:hAnsi="Times New Roman"/>
          <w:sz w:val="24"/>
          <w:szCs w:val="24"/>
          <w:lang w:val="en-US"/>
        </w:rPr>
        <w:t>1998, 62p.</w:t>
      </w:r>
    </w:p>
    <w:p w:rsidR="00517711" w:rsidRDefault="00F815BE">
      <w:pPr>
        <w:spacing w:after="0" w:line="240" w:lineRule="auto"/>
        <w:jc w:val="both"/>
        <w:rPr>
          <w:rFonts w:ascii="Times New Roman" w:hAnsi="Times New Roman"/>
          <w:sz w:val="24"/>
          <w:szCs w:val="24"/>
          <w:lang w:val="en-US"/>
        </w:rPr>
      </w:pPr>
      <w:r>
        <w:rPr>
          <w:rFonts w:ascii="Times New Roman" w:hAnsi="Times New Roman"/>
          <w:sz w:val="24"/>
          <w:szCs w:val="24"/>
          <w:lang w:val="en-US"/>
        </w:rPr>
        <w:t>[6] Mostafa MK, Peters RW “Applying the three R's: Reduce, reuse, and recycle in the chemical industry”, Journal of the Air &amp; Waste Management Association, 22 Sep 2016.</w:t>
      </w:r>
    </w:p>
    <w:p w:rsidR="00517711" w:rsidRDefault="00F815BE">
      <w:pPr>
        <w:spacing w:after="0" w:line="240" w:lineRule="auto"/>
        <w:jc w:val="both"/>
        <w:rPr>
          <w:rFonts w:ascii="Times New Roman" w:hAnsi="Times New Roman"/>
          <w:sz w:val="24"/>
          <w:szCs w:val="24"/>
          <w:lang w:val="en-US"/>
        </w:rPr>
      </w:pPr>
      <w:r>
        <w:rPr>
          <w:rFonts w:ascii="Times New Roman" w:hAnsi="Times New Roman"/>
          <w:sz w:val="24"/>
          <w:szCs w:val="24"/>
          <w:lang w:val="en-US"/>
        </w:rPr>
        <w:t>[7] Kostolia Athanasia/ “Textile and Environment”, 2012, p.22-26, p.30-35.</w:t>
      </w:r>
    </w:p>
    <w:p w:rsidR="00517711" w:rsidRDefault="00F815BE">
      <w:pPr>
        <w:spacing w:after="0" w:line="240" w:lineRule="auto"/>
        <w:jc w:val="both"/>
        <w:rPr>
          <w:rFonts w:ascii="Times New Roman" w:hAnsi="Times New Roman"/>
          <w:sz w:val="24"/>
          <w:szCs w:val="24"/>
          <w:lang w:val="en-US"/>
        </w:rPr>
      </w:pPr>
      <w:r>
        <w:rPr>
          <w:rFonts w:ascii="Times New Roman" w:hAnsi="Times New Roman"/>
          <w:sz w:val="24"/>
          <w:szCs w:val="24"/>
          <w:lang w:val="en-US"/>
        </w:rPr>
        <w:t xml:space="preserve">  </w:t>
      </w:r>
    </w:p>
    <w:p w:rsidR="00517711" w:rsidRDefault="00517711">
      <w:pPr>
        <w:pStyle w:val="af4"/>
        <w:spacing w:after="0" w:line="240" w:lineRule="auto"/>
        <w:jc w:val="both"/>
        <w:rPr>
          <w:rFonts w:ascii="Times New Roman" w:hAnsi="Times New Roman"/>
          <w:sz w:val="24"/>
          <w:szCs w:val="24"/>
          <w:lang w:val="en-US"/>
        </w:rPr>
      </w:pPr>
    </w:p>
    <w:p w:rsidR="00517711" w:rsidRDefault="00517711">
      <w:pPr>
        <w:pStyle w:val="af4"/>
        <w:spacing w:after="0" w:line="240" w:lineRule="auto"/>
        <w:jc w:val="both"/>
        <w:rPr>
          <w:rFonts w:ascii="Times New Roman" w:hAnsi="Times New Roman"/>
          <w:sz w:val="24"/>
          <w:szCs w:val="24"/>
          <w:lang w:val="en-US"/>
        </w:rPr>
      </w:pPr>
    </w:p>
    <w:p w:rsidR="00517711" w:rsidRPr="00BD6187" w:rsidRDefault="00517711">
      <w:pPr>
        <w:pStyle w:val="af4"/>
        <w:spacing w:after="0" w:line="240" w:lineRule="auto"/>
        <w:jc w:val="both"/>
        <w:rPr>
          <w:szCs w:val="24"/>
          <w:lang w:val="en-US"/>
        </w:rPr>
      </w:pPr>
    </w:p>
    <w:p w:rsidR="00517711" w:rsidRPr="00BD6187" w:rsidRDefault="00517711">
      <w:pPr>
        <w:pStyle w:val="af4"/>
        <w:spacing w:after="0" w:line="240" w:lineRule="auto"/>
        <w:jc w:val="both"/>
        <w:rPr>
          <w:szCs w:val="24"/>
          <w:lang w:val="en-US"/>
        </w:rPr>
      </w:pPr>
    </w:p>
    <w:p w:rsidR="00517711" w:rsidRPr="00BD6187" w:rsidRDefault="00517711">
      <w:pPr>
        <w:pStyle w:val="af4"/>
        <w:spacing w:after="0" w:line="240" w:lineRule="auto"/>
        <w:jc w:val="both"/>
        <w:rPr>
          <w:szCs w:val="24"/>
          <w:lang w:val="en-US"/>
        </w:rPr>
      </w:pPr>
    </w:p>
    <w:p w:rsidR="00517711" w:rsidRPr="00BD6187" w:rsidRDefault="00517711">
      <w:pPr>
        <w:pStyle w:val="af4"/>
        <w:spacing w:after="0" w:line="240" w:lineRule="auto"/>
        <w:jc w:val="both"/>
        <w:rPr>
          <w:szCs w:val="24"/>
          <w:lang w:val="en-US"/>
        </w:rPr>
      </w:pPr>
    </w:p>
    <w:p w:rsidR="00517711" w:rsidRPr="00BD6187" w:rsidRDefault="00517711">
      <w:pPr>
        <w:pStyle w:val="af4"/>
        <w:spacing w:after="0" w:line="240" w:lineRule="auto"/>
        <w:jc w:val="both"/>
        <w:rPr>
          <w:szCs w:val="24"/>
          <w:lang w:val="en-US"/>
        </w:rPr>
      </w:pPr>
    </w:p>
    <w:p w:rsidR="00517711" w:rsidRPr="00BD6187" w:rsidRDefault="00517711">
      <w:pPr>
        <w:pStyle w:val="af4"/>
        <w:spacing w:after="0" w:line="240" w:lineRule="auto"/>
        <w:jc w:val="both"/>
        <w:rPr>
          <w:szCs w:val="24"/>
          <w:lang w:val="en-US"/>
        </w:rPr>
      </w:pPr>
    </w:p>
    <w:p w:rsidR="00517711" w:rsidRPr="00BD6187" w:rsidRDefault="00517711">
      <w:pPr>
        <w:pStyle w:val="af4"/>
        <w:spacing w:after="0" w:line="240" w:lineRule="auto"/>
        <w:jc w:val="both"/>
        <w:rPr>
          <w:szCs w:val="24"/>
          <w:lang w:val="en-US"/>
        </w:rPr>
      </w:pPr>
    </w:p>
    <w:p w:rsidR="00517711" w:rsidRPr="00BD6187" w:rsidRDefault="00517711">
      <w:pPr>
        <w:pStyle w:val="af4"/>
        <w:spacing w:after="0" w:line="240" w:lineRule="auto"/>
        <w:jc w:val="both"/>
        <w:rPr>
          <w:szCs w:val="24"/>
          <w:lang w:val="en-US"/>
        </w:rPr>
      </w:pPr>
    </w:p>
    <w:p w:rsidR="00517711" w:rsidRDefault="00517711">
      <w:pPr>
        <w:pStyle w:val="af4"/>
        <w:spacing w:after="0" w:line="240" w:lineRule="auto"/>
        <w:jc w:val="both"/>
        <w:rPr>
          <w:rFonts w:ascii="Times New Roman" w:hAnsi="Times New Roman"/>
          <w:sz w:val="24"/>
          <w:szCs w:val="24"/>
          <w:lang w:val="en-US"/>
        </w:rPr>
      </w:pPr>
    </w:p>
    <w:p w:rsidR="00517711" w:rsidRDefault="00F815BE">
      <w:pPr>
        <w:spacing w:after="112" w:line="314" w:lineRule="exact"/>
        <w:rPr>
          <w:szCs w:val="24"/>
        </w:rPr>
      </w:pPr>
      <w:r>
        <w:rPr>
          <w:rFonts w:eastAsia="Calibri"/>
          <w:color w:val="000000"/>
        </w:rPr>
        <w:t xml:space="preserve">Рубрика: </w:t>
      </w:r>
      <w:r>
        <w:rPr>
          <w:rFonts w:ascii="Times New Roman" w:hAnsi="Times New Roman" w:cs="Times New Roman"/>
          <w:color w:val="000000"/>
          <w:sz w:val="24"/>
        </w:rPr>
        <w:t>Уголовный процесс </w:t>
      </w:r>
    </w:p>
    <w:p w:rsidR="00517711" w:rsidRDefault="00F815BE">
      <w:pPr>
        <w:spacing w:after="112" w:line="314" w:lineRule="exact"/>
      </w:pPr>
      <w:r>
        <w:rPr>
          <w:rFonts w:eastAsia="Calibri"/>
          <w:color w:val="000000"/>
        </w:rPr>
        <w:t>УДК 343 </w:t>
      </w:r>
    </w:p>
    <w:p w:rsidR="00517711" w:rsidRDefault="00F815BE">
      <w:pPr>
        <w:spacing w:after="112" w:line="314" w:lineRule="exact"/>
        <w:jc w:val="center"/>
      </w:pPr>
      <w:r>
        <w:rPr>
          <w:rFonts w:ascii="Times New Roman" w:hAnsi="Times New Roman" w:cs="Times New Roman"/>
          <w:b/>
          <w:color w:val="000000"/>
          <w:sz w:val="28"/>
        </w:rPr>
        <w:t>Процедура формирования коллегии присяжных заседателей: нормативная модель, проблемы регламентации и направления ее совершенствования</w:t>
      </w:r>
      <w:r>
        <w:rPr>
          <w:rFonts w:ascii="Times New Roman" w:hAnsi="Times New Roman" w:cs="Times New Roman"/>
          <w:color w:val="000000"/>
          <w:sz w:val="28"/>
        </w:rPr>
        <w:t> </w:t>
      </w:r>
    </w:p>
    <w:p w:rsidR="00517711" w:rsidRDefault="00F815BE">
      <w:pPr>
        <w:spacing w:after="112" w:line="314" w:lineRule="exact"/>
        <w:jc w:val="center"/>
      </w:pPr>
      <w:r>
        <w:rPr>
          <w:rFonts w:ascii="Times New Roman" w:hAnsi="Times New Roman" w:cs="Times New Roman"/>
          <w:color w:val="000000"/>
          <w:sz w:val="24"/>
        </w:rPr>
        <w:t>Верещагина Алла Васильевна,  </w:t>
      </w:r>
    </w:p>
    <w:p w:rsidR="00517711" w:rsidRDefault="00F815BE">
      <w:pPr>
        <w:spacing w:after="112" w:line="314" w:lineRule="exact"/>
        <w:jc w:val="center"/>
      </w:pPr>
      <w:r>
        <w:rPr>
          <w:rFonts w:ascii="Times New Roman" w:hAnsi="Times New Roman" w:cs="Times New Roman"/>
          <w:color w:val="000000"/>
          <w:sz w:val="24"/>
        </w:rPr>
        <w:t>К.Ю.Н., заведующий кафедрой УПД, Институт права </w:t>
      </w:r>
    </w:p>
    <w:p w:rsidR="00517711" w:rsidRDefault="00F815BE">
      <w:pPr>
        <w:spacing w:after="112" w:line="314" w:lineRule="exact"/>
        <w:jc w:val="center"/>
      </w:pPr>
      <w:r>
        <w:rPr>
          <w:rFonts w:ascii="Times New Roman" w:hAnsi="Times New Roman" w:cs="Times New Roman"/>
          <w:i/>
          <w:color w:val="000000"/>
          <w:sz w:val="24"/>
        </w:rPr>
        <w:t>Владивостокский государственный университет экономики и сервиса</w:t>
      </w:r>
      <w:r>
        <w:rPr>
          <w:rFonts w:ascii="Times New Roman" w:hAnsi="Times New Roman" w:cs="Times New Roman"/>
          <w:color w:val="000000"/>
          <w:sz w:val="24"/>
        </w:rPr>
        <w:t> </w:t>
      </w:r>
    </w:p>
    <w:p w:rsidR="00517711" w:rsidRDefault="00F815BE">
      <w:pPr>
        <w:spacing w:after="112" w:line="314" w:lineRule="exact"/>
        <w:jc w:val="center"/>
      </w:pPr>
      <w:r>
        <w:rPr>
          <w:rFonts w:ascii="Times New Roman" w:hAnsi="Times New Roman" w:cs="Times New Roman"/>
          <w:i/>
          <w:color w:val="000000"/>
          <w:sz w:val="24"/>
        </w:rPr>
        <w:t>Россия. Владивосток</w:t>
      </w:r>
      <w:r>
        <w:rPr>
          <w:rFonts w:ascii="Times New Roman" w:hAnsi="Times New Roman" w:cs="Times New Roman"/>
          <w:color w:val="000000"/>
          <w:sz w:val="24"/>
        </w:rPr>
        <w:t> </w:t>
      </w:r>
    </w:p>
    <w:p w:rsidR="00517711" w:rsidRDefault="00F815BE">
      <w:pPr>
        <w:spacing w:after="112" w:line="314" w:lineRule="exact"/>
        <w:jc w:val="center"/>
      </w:pPr>
      <w:r>
        <w:rPr>
          <w:rFonts w:ascii="Times New Roman" w:hAnsi="Times New Roman" w:cs="Times New Roman"/>
          <w:color w:val="000000"/>
          <w:sz w:val="24"/>
        </w:rPr>
        <w:t xml:space="preserve">E-mail: </w:t>
      </w:r>
      <w:r>
        <w:rPr>
          <w:rFonts w:ascii="Times New Roman" w:hAnsi="Times New Roman" w:cs="Times New Roman"/>
          <w:color w:val="000000"/>
          <w:sz w:val="24"/>
          <w:highlight w:val="white"/>
        </w:rPr>
        <w:t>vereschagina_alla@mail.ru</w:t>
      </w:r>
      <w:r>
        <w:rPr>
          <w:rFonts w:ascii="Times New Roman" w:hAnsi="Times New Roman" w:cs="Times New Roman"/>
          <w:color w:val="000000"/>
          <w:sz w:val="24"/>
        </w:rPr>
        <w:t>; тел.: 8914 687 87 16 </w:t>
      </w:r>
    </w:p>
    <w:p w:rsidR="00517711" w:rsidRDefault="00F815BE">
      <w:pPr>
        <w:spacing w:after="112" w:line="314" w:lineRule="exact"/>
        <w:jc w:val="center"/>
      </w:pPr>
      <w:r>
        <w:rPr>
          <w:rFonts w:ascii="Times New Roman" w:hAnsi="Times New Roman" w:cs="Times New Roman"/>
          <w:color w:val="000000"/>
          <w:sz w:val="24"/>
        </w:rPr>
        <w:t>ул. Гоголя, 41, г. Владивосток, Приморский край, Россия, 690014 </w:t>
      </w:r>
    </w:p>
    <w:p w:rsidR="00517711" w:rsidRDefault="00F815BE">
      <w:pPr>
        <w:spacing w:after="112" w:line="314" w:lineRule="exact"/>
        <w:jc w:val="center"/>
      </w:pPr>
      <w:r>
        <w:rPr>
          <w:rFonts w:ascii="Times New Roman" w:hAnsi="Times New Roman" w:cs="Times New Roman"/>
          <w:color w:val="000000"/>
          <w:sz w:val="24"/>
        </w:rPr>
        <w:t> </w:t>
      </w:r>
    </w:p>
    <w:p w:rsidR="00517711" w:rsidRDefault="00F815BE">
      <w:pPr>
        <w:spacing w:after="112" w:line="314" w:lineRule="exact"/>
        <w:jc w:val="center"/>
      </w:pPr>
      <w:r>
        <w:rPr>
          <w:rFonts w:ascii="Times New Roman" w:hAnsi="Times New Roman" w:cs="Times New Roman"/>
          <w:color w:val="000000"/>
          <w:sz w:val="24"/>
        </w:rPr>
        <w:t>Федоренко Елена Дмитриевна, </w:t>
      </w:r>
    </w:p>
    <w:p w:rsidR="00517711" w:rsidRDefault="00F815BE">
      <w:pPr>
        <w:spacing w:after="112" w:line="314" w:lineRule="exact"/>
        <w:jc w:val="center"/>
      </w:pPr>
      <w:r>
        <w:rPr>
          <w:rFonts w:ascii="Times New Roman" w:hAnsi="Times New Roman" w:cs="Times New Roman"/>
          <w:color w:val="000000"/>
          <w:sz w:val="24"/>
        </w:rPr>
        <w:t>бакалавр  </w:t>
      </w:r>
    </w:p>
    <w:p w:rsidR="00517711" w:rsidRDefault="00F815BE">
      <w:pPr>
        <w:spacing w:after="112" w:line="314" w:lineRule="exact"/>
        <w:jc w:val="center"/>
      </w:pPr>
      <w:r>
        <w:rPr>
          <w:rFonts w:ascii="Times New Roman" w:hAnsi="Times New Roman" w:cs="Times New Roman"/>
          <w:i/>
          <w:color w:val="000000"/>
          <w:sz w:val="24"/>
        </w:rPr>
        <w:t>Владивостокский государственный университет экономики и сервиса</w:t>
      </w:r>
      <w:r>
        <w:rPr>
          <w:rFonts w:ascii="Times New Roman" w:hAnsi="Times New Roman" w:cs="Times New Roman"/>
          <w:color w:val="000000"/>
          <w:sz w:val="24"/>
        </w:rPr>
        <w:t> </w:t>
      </w:r>
    </w:p>
    <w:p w:rsidR="00517711" w:rsidRDefault="00F815BE">
      <w:pPr>
        <w:spacing w:after="112" w:line="314" w:lineRule="exact"/>
        <w:jc w:val="center"/>
      </w:pPr>
      <w:r>
        <w:rPr>
          <w:rFonts w:ascii="Times New Roman" w:hAnsi="Times New Roman" w:cs="Times New Roman"/>
          <w:i/>
          <w:color w:val="000000"/>
          <w:sz w:val="24"/>
        </w:rPr>
        <w:t>Россия. Владивосток</w:t>
      </w:r>
      <w:r>
        <w:rPr>
          <w:rFonts w:ascii="Times New Roman" w:hAnsi="Times New Roman" w:cs="Times New Roman"/>
          <w:color w:val="000000"/>
          <w:sz w:val="24"/>
        </w:rPr>
        <w:t> </w:t>
      </w:r>
    </w:p>
    <w:p w:rsidR="00517711" w:rsidRDefault="00F815BE">
      <w:pPr>
        <w:spacing w:after="112" w:line="314" w:lineRule="exact"/>
        <w:jc w:val="center"/>
      </w:pPr>
      <w:r>
        <w:rPr>
          <w:rFonts w:ascii="Times New Roman" w:hAnsi="Times New Roman" w:cs="Times New Roman"/>
          <w:color w:val="000000"/>
          <w:sz w:val="24"/>
        </w:rPr>
        <w:t>E-mail: lenochka.f.96@mail.ru; тел.: 89147316428 </w:t>
      </w:r>
    </w:p>
    <w:p w:rsidR="00517711" w:rsidRDefault="00F815BE">
      <w:pPr>
        <w:spacing w:after="112" w:line="314" w:lineRule="exact"/>
        <w:jc w:val="center"/>
      </w:pPr>
      <w:r>
        <w:rPr>
          <w:rFonts w:ascii="Times New Roman" w:hAnsi="Times New Roman" w:cs="Times New Roman"/>
          <w:color w:val="000000"/>
          <w:sz w:val="24"/>
        </w:rPr>
        <w:t>ул. Гоголя, 41, г. Владивосток, Приморский край, Россия, 690014 </w:t>
      </w:r>
    </w:p>
    <w:p w:rsidR="00517711" w:rsidRDefault="00F815BE">
      <w:pPr>
        <w:spacing w:after="112" w:line="314" w:lineRule="exact"/>
        <w:jc w:val="center"/>
      </w:pPr>
      <w:r>
        <w:rPr>
          <w:rFonts w:ascii="Times New Roman" w:hAnsi="Times New Roman" w:cs="Times New Roman"/>
          <w:color w:val="000000"/>
          <w:sz w:val="28"/>
        </w:rPr>
        <w:t> </w:t>
      </w:r>
    </w:p>
    <w:p w:rsidR="00517711" w:rsidRDefault="00F815BE">
      <w:pPr>
        <w:spacing w:after="112" w:line="314" w:lineRule="exact"/>
        <w:ind w:firstLine="705"/>
        <w:jc w:val="both"/>
      </w:pPr>
      <w:r>
        <w:rPr>
          <w:rFonts w:ascii="Times New Roman" w:hAnsi="Times New Roman" w:cs="Times New Roman"/>
          <w:i/>
          <w:color w:val="000000"/>
          <w:sz w:val="24"/>
        </w:rPr>
        <w:t>В статье освещается порядок формирования коллегии присяжных заседателей, надлежащее урегулирование которого имеет существенное значение для формирования законного состава коллегии и эффективной работы суда с участием присяжных заседателей. Анализ научных исследований, зарубежного и дореволюционного опыта, практической деятельности данного института продемонстрировал необходимость и возможность совершенствования данного этапа.</w:t>
      </w:r>
      <w:r>
        <w:rPr>
          <w:rFonts w:ascii="Times New Roman" w:hAnsi="Times New Roman" w:cs="Times New Roman"/>
          <w:color w:val="000000"/>
          <w:sz w:val="24"/>
        </w:rPr>
        <w:t> </w:t>
      </w:r>
    </w:p>
    <w:p w:rsidR="00517711" w:rsidRDefault="00F815BE">
      <w:pPr>
        <w:spacing w:after="112" w:line="314" w:lineRule="exact"/>
        <w:ind w:firstLine="705"/>
        <w:jc w:val="both"/>
      </w:pPr>
      <w:r>
        <w:rPr>
          <w:rFonts w:ascii="Times New Roman" w:hAnsi="Times New Roman" w:cs="Times New Roman"/>
          <w:color w:val="000000"/>
          <w:sz w:val="24"/>
        </w:rPr>
        <w:t> </w:t>
      </w:r>
    </w:p>
    <w:p w:rsidR="00517711" w:rsidRDefault="00F815BE">
      <w:pPr>
        <w:spacing w:after="112" w:line="314" w:lineRule="exact"/>
        <w:ind w:firstLine="705"/>
        <w:jc w:val="both"/>
      </w:pPr>
      <w:r>
        <w:rPr>
          <w:rFonts w:ascii="Times New Roman" w:hAnsi="Times New Roman" w:cs="Times New Roman"/>
          <w:b/>
          <w:i/>
          <w:color w:val="000000"/>
          <w:sz w:val="24"/>
        </w:rPr>
        <w:t>Ключевые слова и словосочетания</w:t>
      </w:r>
      <w:r>
        <w:rPr>
          <w:rFonts w:ascii="Times New Roman" w:hAnsi="Times New Roman" w:cs="Times New Roman"/>
          <w:i/>
          <w:color w:val="000000"/>
          <w:sz w:val="24"/>
        </w:rPr>
        <w:t>:</w:t>
      </w:r>
      <w:r>
        <w:rPr>
          <w:rFonts w:ascii="Times New Roman" w:hAnsi="Times New Roman" w:cs="Times New Roman"/>
          <w:b/>
          <w:i/>
          <w:color w:val="000000"/>
          <w:sz w:val="24"/>
        </w:rPr>
        <w:t xml:space="preserve"> </w:t>
      </w:r>
      <w:r>
        <w:rPr>
          <w:rFonts w:ascii="Times New Roman" w:hAnsi="Times New Roman" w:cs="Times New Roman"/>
          <w:color w:val="000000"/>
          <w:sz w:val="24"/>
        </w:rPr>
        <w:t>суд присяжных, формирование коллегии, список кандидатов в присяжные заседатели, мотивированный и немотивированный отвод, сокрытие информации </w:t>
      </w:r>
    </w:p>
    <w:p w:rsidR="00517711" w:rsidRPr="00BD6187" w:rsidRDefault="00F815BE">
      <w:pPr>
        <w:spacing w:after="112" w:line="314" w:lineRule="exact"/>
        <w:ind w:firstLine="705"/>
        <w:jc w:val="center"/>
        <w:rPr>
          <w:lang w:val="en-US"/>
        </w:rPr>
      </w:pPr>
      <w:r>
        <w:rPr>
          <w:rFonts w:eastAsia="Calibri"/>
          <w:color w:val="000000"/>
        </w:rPr>
        <w:t> </w:t>
      </w:r>
      <w:r w:rsidRPr="0041409A">
        <w:rPr>
          <w:rFonts w:eastAsia="Calibri"/>
          <w:color w:val="000000"/>
          <w:lang w:val="en-US"/>
        </w:rPr>
        <w:br/>
      </w:r>
      <w:r w:rsidRPr="00BD6187">
        <w:rPr>
          <w:rFonts w:ascii="Times New Roman" w:hAnsi="Times New Roman" w:cs="Times New Roman"/>
          <w:b/>
          <w:color w:val="000000"/>
          <w:sz w:val="24"/>
          <w:highlight w:val="white"/>
          <w:lang w:val="en-US"/>
        </w:rPr>
        <w:t>The procedure for formation of the jury: normative model, problems of regulation and directions of its improvement</w:t>
      </w:r>
      <w:r w:rsidRPr="00BD6187">
        <w:rPr>
          <w:rFonts w:ascii="Times New Roman" w:hAnsi="Times New Roman" w:cs="Times New Roman"/>
          <w:color w:val="000000"/>
          <w:sz w:val="24"/>
          <w:lang w:val="en-US"/>
        </w:rPr>
        <w:t> </w:t>
      </w:r>
    </w:p>
    <w:p w:rsidR="00517711" w:rsidRPr="00BD6187" w:rsidRDefault="00F815BE">
      <w:pPr>
        <w:spacing w:after="112" w:line="314" w:lineRule="exact"/>
        <w:ind w:firstLine="705"/>
        <w:jc w:val="both"/>
        <w:rPr>
          <w:lang w:val="en-US"/>
        </w:rPr>
      </w:pPr>
      <w:r w:rsidRPr="00BD6187">
        <w:rPr>
          <w:rFonts w:ascii="Times New Roman" w:hAnsi="Times New Roman" w:cs="Times New Roman"/>
          <w:color w:val="000000"/>
          <w:sz w:val="24"/>
          <w:lang w:val="en-US"/>
        </w:rPr>
        <w:t> </w:t>
      </w:r>
    </w:p>
    <w:p w:rsidR="00517711" w:rsidRPr="00BD6187" w:rsidRDefault="00F815BE">
      <w:pPr>
        <w:shd w:val="clear" w:color="auto" w:fill="FFFFFF"/>
        <w:spacing w:after="112" w:line="314" w:lineRule="exact"/>
        <w:ind w:firstLine="915"/>
        <w:jc w:val="both"/>
        <w:rPr>
          <w:lang w:val="en-US"/>
        </w:rPr>
      </w:pPr>
      <w:r w:rsidRPr="00BD6187">
        <w:rPr>
          <w:rFonts w:ascii="Times New Roman" w:hAnsi="Times New Roman" w:cs="Times New Roman"/>
          <w:color w:val="212121"/>
          <w:sz w:val="24"/>
          <w:lang w:val="en-US"/>
        </w:rPr>
        <w:t>The article highlights the procedure for the formation of the jury, whose proper settlement is essential to the formation of the lawful composition of the collegium and the effective work of the court with the participation of jurors. Analysis of scientific research, foreign and pre-revolutionary experience, practical activities of this institute demonstrated the need and the possibility of improving this stage.</w:t>
      </w:r>
      <w:r w:rsidRPr="00BD6187">
        <w:rPr>
          <w:rFonts w:ascii="Times New Roman" w:hAnsi="Times New Roman" w:cs="Times New Roman"/>
          <w:color w:val="000000"/>
          <w:sz w:val="24"/>
          <w:lang w:val="en-US"/>
        </w:rPr>
        <w:t> </w:t>
      </w:r>
    </w:p>
    <w:p w:rsidR="00517711" w:rsidRPr="00BD6187" w:rsidRDefault="00F815BE">
      <w:pPr>
        <w:shd w:val="clear" w:color="auto" w:fill="FFFFFF"/>
        <w:spacing w:after="112" w:line="314" w:lineRule="exact"/>
        <w:ind w:firstLine="915"/>
        <w:jc w:val="both"/>
        <w:rPr>
          <w:lang w:val="en-US"/>
        </w:rPr>
      </w:pPr>
      <w:r w:rsidRPr="00BD6187">
        <w:rPr>
          <w:rFonts w:ascii="Times New Roman" w:hAnsi="Times New Roman" w:cs="Times New Roman"/>
          <w:b/>
          <w:i/>
          <w:color w:val="000000"/>
          <w:sz w:val="24"/>
          <w:lang w:val="en-US"/>
        </w:rPr>
        <w:t>Keywords:</w:t>
      </w:r>
      <w:r w:rsidRPr="00BD6187">
        <w:rPr>
          <w:rFonts w:ascii="Times New Roman" w:hAnsi="Times New Roman" w:cs="Times New Roman"/>
          <w:color w:val="212121"/>
          <w:sz w:val="24"/>
          <w:lang w:val="en-US"/>
        </w:rPr>
        <w:t xml:space="preserve"> a jury trial, the formation of a panel, list of candidates for jurors, </w:t>
      </w:r>
      <w:r w:rsidRPr="00BD6187">
        <w:rPr>
          <w:rFonts w:ascii="Times New Roman" w:hAnsi="Times New Roman" w:cs="Times New Roman"/>
          <w:color w:val="000000"/>
          <w:sz w:val="24"/>
          <w:lang w:val="en-US"/>
        </w:rPr>
        <w:t> </w:t>
      </w:r>
      <w:r w:rsidRPr="00BD6187">
        <w:rPr>
          <w:rFonts w:ascii="Times New Roman" w:hAnsi="Times New Roman" w:cs="Times New Roman"/>
          <w:color w:val="000000"/>
          <w:sz w:val="24"/>
          <w:lang w:val="en-US"/>
        </w:rPr>
        <w:br/>
      </w:r>
      <w:r w:rsidRPr="00BD6187">
        <w:rPr>
          <w:rFonts w:ascii="Times New Roman" w:hAnsi="Times New Roman" w:cs="Times New Roman"/>
          <w:color w:val="212121"/>
          <w:sz w:val="24"/>
          <w:highlight w:val="white"/>
          <w:lang w:val="en-US"/>
        </w:rPr>
        <w:t>motivated and unmotivated withdrawa,l</w:t>
      </w:r>
      <w:r w:rsidRPr="00BD6187">
        <w:rPr>
          <w:rFonts w:ascii="Times New Roman" w:hAnsi="Times New Roman" w:cs="Times New Roman"/>
          <w:color w:val="212121"/>
          <w:sz w:val="24"/>
          <w:lang w:val="en-US"/>
        </w:rPr>
        <w:t xml:space="preserve"> concealment of information</w:t>
      </w:r>
      <w:r w:rsidRPr="00BD6187">
        <w:rPr>
          <w:rFonts w:ascii="Times New Roman" w:hAnsi="Times New Roman" w:cs="Times New Roman"/>
          <w:color w:val="000000"/>
          <w:sz w:val="24"/>
          <w:lang w:val="en-US"/>
        </w:rPr>
        <w:t> </w:t>
      </w:r>
    </w:p>
    <w:p w:rsidR="00517711" w:rsidRPr="00BD6187" w:rsidRDefault="00F815BE">
      <w:pPr>
        <w:spacing w:after="112" w:line="314" w:lineRule="exact"/>
        <w:ind w:firstLine="705"/>
        <w:jc w:val="both"/>
        <w:rPr>
          <w:lang w:val="en-US"/>
        </w:rPr>
      </w:pPr>
      <w:r w:rsidRPr="00BD6187">
        <w:rPr>
          <w:rFonts w:ascii="Times New Roman" w:hAnsi="Times New Roman" w:cs="Times New Roman"/>
          <w:color w:val="000000"/>
          <w:sz w:val="24"/>
          <w:lang w:val="en-US"/>
        </w:rPr>
        <w:t> </w:t>
      </w:r>
    </w:p>
    <w:p w:rsidR="00517711" w:rsidRDefault="00F815BE">
      <w:pPr>
        <w:spacing w:after="112" w:line="314" w:lineRule="exact"/>
        <w:ind w:firstLine="705"/>
        <w:jc w:val="both"/>
      </w:pPr>
      <w:r>
        <w:rPr>
          <w:rFonts w:ascii="Times New Roman" w:hAnsi="Times New Roman" w:cs="Times New Roman"/>
          <w:color w:val="000000"/>
          <w:sz w:val="24"/>
          <w:highlight w:val="white"/>
        </w:rPr>
        <w:t xml:space="preserve">Конституцией РФ и УПК РФ обвиняемому в совершении </w:t>
      </w:r>
      <w:r>
        <w:rPr>
          <w:rFonts w:ascii="Times New Roman" w:hAnsi="Times New Roman" w:cs="Times New Roman"/>
          <w:color w:val="000000"/>
          <w:sz w:val="24"/>
        </w:rPr>
        <w:t xml:space="preserve">тяжкого и особо тяжкого </w:t>
      </w:r>
      <w:r>
        <w:rPr>
          <w:rFonts w:ascii="Times New Roman" w:hAnsi="Times New Roman" w:cs="Times New Roman"/>
          <w:color w:val="000000"/>
          <w:sz w:val="24"/>
          <w:highlight w:val="white"/>
        </w:rPr>
        <w:t xml:space="preserve">преступления предоставлено право </w:t>
      </w:r>
      <w:r>
        <w:rPr>
          <w:rFonts w:ascii="Times New Roman" w:hAnsi="Times New Roman" w:cs="Times New Roman"/>
          <w:color w:val="000000"/>
          <w:sz w:val="24"/>
        </w:rPr>
        <w:t>ходатайствовать о проведении слушания по его делу судом с участием присяжных заседателей (далее – суд присяжных) [</w:t>
      </w:r>
      <w:r>
        <w:rPr>
          <w:rFonts w:ascii="Times New Roman" w:hAnsi="Times New Roman" w:cs="Times New Roman"/>
          <w:color w:val="000000"/>
          <w:sz w:val="24"/>
          <w:highlight w:val="white"/>
        </w:rPr>
        <w:t>1, ч. 2 ст. 47</w:t>
      </w:r>
      <w:r>
        <w:rPr>
          <w:rFonts w:ascii="Times New Roman" w:hAnsi="Times New Roman" w:cs="Times New Roman"/>
          <w:color w:val="000000"/>
          <w:sz w:val="24"/>
        </w:rPr>
        <w:t>],</w:t>
      </w:r>
      <w:r>
        <w:rPr>
          <w:rFonts w:ascii="Times New Roman" w:hAnsi="Times New Roman" w:cs="Times New Roman"/>
          <w:color w:val="000000"/>
          <w:sz w:val="24"/>
          <w:highlight w:val="white"/>
        </w:rPr>
        <w:t xml:space="preserve"> [</w:t>
      </w:r>
      <w:r>
        <w:rPr>
          <w:rFonts w:ascii="Times New Roman" w:hAnsi="Times New Roman" w:cs="Times New Roman"/>
          <w:color w:val="000000"/>
          <w:sz w:val="24"/>
        </w:rPr>
        <w:t>2, ст. 325]. Это форма уголовного судопроизводства, при которой правосудие наравне с профессиональным судьей осуществляется гражданами, составляющими коллегию присяжных заседателей.  </w:t>
      </w:r>
    </w:p>
    <w:p w:rsidR="00517711" w:rsidRDefault="00F815BE">
      <w:pPr>
        <w:spacing w:after="112" w:line="314" w:lineRule="exact"/>
        <w:ind w:firstLine="705"/>
        <w:jc w:val="both"/>
      </w:pPr>
      <w:r>
        <w:rPr>
          <w:rFonts w:ascii="Times New Roman" w:hAnsi="Times New Roman" w:cs="Times New Roman"/>
          <w:color w:val="000000"/>
          <w:sz w:val="24"/>
        </w:rPr>
        <w:t>Институт суда присяжных отличает усложненная процессуальная форма: 1) компетенция судейских элементов дифференцирована. Коллегия устанавливает факт виновности подсудимого при вынесении вердикта, а председательствующий разрешает процессуальные вопросы, в том числе, касающиеся назначение наказания; 2) у присяжных отсутствует обязанность мотивировать решение, принимаемое на основе внутреннего убеждения и совести. </w:t>
      </w:r>
    </w:p>
    <w:p w:rsidR="00517711" w:rsidRDefault="00F815BE">
      <w:pPr>
        <w:spacing w:after="112" w:line="314" w:lineRule="exact"/>
        <w:ind w:firstLine="705"/>
        <w:jc w:val="both"/>
      </w:pPr>
      <w:r>
        <w:rPr>
          <w:rFonts w:ascii="Times New Roman" w:hAnsi="Times New Roman" w:cs="Times New Roman"/>
          <w:color w:val="000000"/>
          <w:sz w:val="24"/>
        </w:rPr>
        <w:t>Коллегия присяжных заседателей – это коллегиальный субъект. В российской модели суда присяжных вплоть до июня 2018 года ее количественный состав составлял двенадцать присяжных (плюс запасные). С внесением изменений в УПК РФ (с первого июня 2018 года) состав коллегии на уровне субъектов РФ значительно сокращен (до восьми присяжных). С этого же периода на уровне районных и военных (гарнизонных) судов начнет действовать коллегия из шести присяжных [3, п. а, б ч. 1 ст. 1].  </w:t>
      </w:r>
    </w:p>
    <w:p w:rsidR="00517711" w:rsidRDefault="00F815BE">
      <w:pPr>
        <w:spacing w:after="112" w:line="314" w:lineRule="exact"/>
        <w:ind w:firstLine="705"/>
        <w:jc w:val="both"/>
      </w:pPr>
      <w:r>
        <w:rPr>
          <w:rFonts w:ascii="Times New Roman" w:hAnsi="Times New Roman" w:cs="Times New Roman"/>
          <w:color w:val="000000"/>
          <w:sz w:val="24"/>
        </w:rPr>
        <w:t>Процедура формирования коллегии, по определению О. Н. Тисен, представляет «совокупность мер организационного и процессуального характера, направленных на формирование из числа граждан Российской Федерации коллегии присяжных заседателей, способной честно и беспристрастно судить об обстоятельствах дела и полномочной вынести объективный вердикт» [4, с. 47]. Она подразделяется на организационный (составление списков органами исполнительной власти) и процессуальный этапы. </w:t>
      </w:r>
    </w:p>
    <w:p w:rsidR="00517711" w:rsidRDefault="00F815BE">
      <w:pPr>
        <w:spacing w:after="112" w:line="314" w:lineRule="exact"/>
        <w:ind w:firstLine="705"/>
        <w:jc w:val="both"/>
      </w:pPr>
      <w:r>
        <w:rPr>
          <w:rFonts w:ascii="Times New Roman" w:hAnsi="Times New Roman" w:cs="Times New Roman"/>
          <w:color w:val="000000"/>
          <w:sz w:val="24"/>
        </w:rPr>
        <w:t>Необходимость тщательного урегулирования порядка формирования народного судейского элемента очевидна: 1) состав коллегии, который сумеет «честно и беспристрастно судить об обстоятельствах дела и ... вынести объективный вердикт», гарантирует обвиняемому право на справедливое судебное разбирательство [4, с. 47];  </w:t>
      </w:r>
    </w:p>
    <w:p w:rsidR="00517711" w:rsidRDefault="00F815BE">
      <w:pPr>
        <w:spacing w:after="112" w:line="314" w:lineRule="exact"/>
        <w:ind w:firstLine="705"/>
        <w:jc w:val="both"/>
      </w:pPr>
      <w:r>
        <w:rPr>
          <w:rFonts w:ascii="Times New Roman" w:hAnsi="Times New Roman" w:cs="Times New Roman"/>
          <w:color w:val="000000"/>
          <w:sz w:val="24"/>
        </w:rPr>
        <w:t>2) проблемы этого этапа влияют на эффективность деятельности всего института, на длительность рассматриваемого уголовного дела; </w:t>
      </w:r>
    </w:p>
    <w:p w:rsidR="00517711" w:rsidRDefault="00F815BE">
      <w:pPr>
        <w:spacing w:after="112" w:line="314" w:lineRule="exact"/>
        <w:ind w:firstLine="705"/>
        <w:jc w:val="both"/>
      </w:pPr>
      <w:r>
        <w:rPr>
          <w:rFonts w:ascii="Times New Roman" w:hAnsi="Times New Roman" w:cs="Times New Roman"/>
          <w:color w:val="000000"/>
          <w:sz w:val="24"/>
        </w:rPr>
        <w:t>3) допущенные при его проведении нарушения часто служат причиной отмен вышестоящей инстанцией решений суда присяжных, базирующихся на вердикте, вынесенном незаконным составом коллегии. Пересмотр уголовного дела влечет расходы и новое затяжное формирование коллегии, которое порой достигается с 6-8 раза. </w:t>
      </w:r>
    </w:p>
    <w:p w:rsidR="00517711" w:rsidRDefault="00F815BE">
      <w:pPr>
        <w:spacing w:after="112" w:line="314" w:lineRule="exact"/>
        <w:ind w:firstLine="705"/>
        <w:jc w:val="both"/>
      </w:pPr>
      <w:r>
        <w:rPr>
          <w:rFonts w:ascii="Times New Roman" w:hAnsi="Times New Roman" w:cs="Times New Roman"/>
          <w:color w:val="000000"/>
          <w:sz w:val="24"/>
        </w:rPr>
        <w:t>Целью проведенного исследования послужило выявление недостатков нормативного регулирования этапа формирования коллегии присяжных заседателей и практических проблем (возникающих при его проведении) с последующим предложением путей их устранения. </w:t>
      </w:r>
    </w:p>
    <w:p w:rsidR="00517711" w:rsidRDefault="00F815BE">
      <w:pPr>
        <w:spacing w:after="112" w:line="314" w:lineRule="exact"/>
        <w:ind w:firstLine="705"/>
        <w:jc w:val="both"/>
      </w:pPr>
      <w:r>
        <w:rPr>
          <w:rFonts w:ascii="Times New Roman" w:hAnsi="Times New Roman" w:cs="Times New Roman"/>
          <w:color w:val="000000"/>
          <w:sz w:val="24"/>
        </w:rPr>
        <w:t>Для ее достижения поставлены задачи: 1) изучить российскую нормативную модель формирования коллегии присяжных заседателей; 2) сопоставить ее с нормативными моделями зарубежных стран и российского дореволюционного суда присяжных. </w:t>
      </w:r>
    </w:p>
    <w:p w:rsidR="00517711" w:rsidRDefault="00F815BE">
      <w:pPr>
        <w:spacing w:after="112" w:line="314" w:lineRule="exact"/>
        <w:ind w:firstLine="705"/>
        <w:jc w:val="both"/>
      </w:pPr>
      <w:r>
        <w:rPr>
          <w:rFonts w:ascii="Times New Roman" w:hAnsi="Times New Roman" w:cs="Times New Roman"/>
          <w:color w:val="000000"/>
          <w:sz w:val="24"/>
        </w:rPr>
        <w:t>При проведении исследования применялись методы: сравнительного правоведения и формально-логический. </w:t>
      </w:r>
    </w:p>
    <w:p w:rsidR="00517711" w:rsidRDefault="00F815BE">
      <w:pPr>
        <w:spacing w:after="112" w:line="314" w:lineRule="exact"/>
        <w:ind w:firstLine="705"/>
        <w:jc w:val="both"/>
      </w:pPr>
      <w:r>
        <w:rPr>
          <w:rFonts w:ascii="Times New Roman" w:hAnsi="Times New Roman" w:cs="Times New Roman"/>
          <w:color w:val="000000"/>
          <w:sz w:val="24"/>
        </w:rPr>
        <w:t>Статус присяжного заседателя определен в ФЗ «О присяжных заседателях федеральных судов общей юрисдикции в Российской Федерации» (далее – Закон о присяжных заседателях) [5]. Среди требований, предъявляемых к кандидатам в присяжные: гражданство РФ, полная дееспособность, достижение двадцатипятилетнего возраста, отсутствие непогашенной (неснятой) судимости [5, ч. 2 ст. 3]. </w:t>
      </w:r>
    </w:p>
    <w:p w:rsidR="00517711" w:rsidRDefault="00F815BE">
      <w:pPr>
        <w:spacing w:after="112" w:line="314" w:lineRule="exact"/>
        <w:ind w:firstLine="705"/>
        <w:jc w:val="both"/>
      </w:pPr>
      <w:r>
        <w:rPr>
          <w:rFonts w:ascii="Times New Roman" w:hAnsi="Times New Roman" w:cs="Times New Roman"/>
          <w:color w:val="000000"/>
          <w:sz w:val="24"/>
        </w:rPr>
        <w:t>Присяжными заседателями (кандидатами в них) не могут быть: подозреваемые в совершении преступлений; не владеющие языком судопроизводства; состоящие на учете в наркологическом (психоневрологическом) диспансере; имеющие физические или психические недостатки, препятствующие полноценному участию в рассмотрении судом уголовного дела [5, ч. 3 ст. 3]. </w:t>
      </w:r>
    </w:p>
    <w:p w:rsidR="00517711" w:rsidRDefault="00F815BE">
      <w:pPr>
        <w:spacing w:after="112" w:line="314" w:lineRule="exact"/>
        <w:ind w:firstLine="705"/>
        <w:jc w:val="both"/>
      </w:pPr>
      <w:r>
        <w:rPr>
          <w:rFonts w:ascii="Times New Roman" w:hAnsi="Times New Roman" w:cs="Times New Roman"/>
          <w:color w:val="000000"/>
          <w:sz w:val="24"/>
        </w:rPr>
        <w:t>По собственному заявлению исключаются лица: </w:t>
      </w:r>
    </w:p>
    <w:p w:rsidR="00517711" w:rsidRDefault="00F815BE">
      <w:pPr>
        <w:spacing w:after="112" w:line="314" w:lineRule="exact"/>
        <w:ind w:firstLine="705"/>
        <w:jc w:val="both"/>
      </w:pPr>
      <w:r>
        <w:rPr>
          <w:rFonts w:ascii="Times New Roman" w:hAnsi="Times New Roman" w:cs="Times New Roman"/>
          <w:color w:val="000000"/>
          <w:sz w:val="24"/>
        </w:rPr>
        <w:t>-достигшие 65-летнего возраста;  </w:t>
      </w:r>
    </w:p>
    <w:p w:rsidR="00517711" w:rsidRDefault="00F815BE">
      <w:pPr>
        <w:spacing w:after="112" w:line="314" w:lineRule="exact"/>
        <w:ind w:firstLine="705"/>
        <w:jc w:val="both"/>
      </w:pPr>
      <w:r>
        <w:rPr>
          <w:rFonts w:ascii="Times New Roman" w:hAnsi="Times New Roman" w:cs="Times New Roman"/>
          <w:color w:val="000000"/>
          <w:sz w:val="24"/>
        </w:rPr>
        <w:t>-замещающие государственные (выборные) должности в органах местного самоуправления; </w:t>
      </w:r>
    </w:p>
    <w:p w:rsidR="00517711" w:rsidRDefault="00F815BE">
      <w:pPr>
        <w:spacing w:after="112" w:line="314" w:lineRule="exact"/>
        <w:ind w:firstLine="705"/>
        <w:jc w:val="both"/>
      </w:pPr>
      <w:r>
        <w:rPr>
          <w:rFonts w:ascii="Times New Roman" w:hAnsi="Times New Roman" w:cs="Times New Roman"/>
          <w:color w:val="000000"/>
          <w:sz w:val="24"/>
        </w:rPr>
        <w:t>-военнослужащие; </w:t>
      </w:r>
    </w:p>
    <w:p w:rsidR="00517711" w:rsidRDefault="00F815BE">
      <w:pPr>
        <w:spacing w:after="112" w:line="314" w:lineRule="exact"/>
        <w:ind w:firstLine="705"/>
        <w:jc w:val="both"/>
      </w:pPr>
      <w:r>
        <w:rPr>
          <w:rFonts w:ascii="Times New Roman" w:hAnsi="Times New Roman" w:cs="Times New Roman"/>
          <w:color w:val="000000"/>
          <w:sz w:val="24"/>
        </w:rPr>
        <w:t>-священнослужители; </w:t>
      </w:r>
    </w:p>
    <w:p w:rsidR="00517711" w:rsidRDefault="00F815BE">
      <w:pPr>
        <w:spacing w:after="112" w:line="314" w:lineRule="exact"/>
        <w:ind w:firstLine="705"/>
        <w:jc w:val="both"/>
      </w:pPr>
      <w:r>
        <w:rPr>
          <w:rFonts w:ascii="Times New Roman" w:hAnsi="Times New Roman" w:cs="Times New Roman"/>
          <w:color w:val="000000"/>
          <w:sz w:val="24"/>
        </w:rPr>
        <w:t>-лица, имеющие специальное звание сотрудников органов внутренних дел, таможенных органов (органов и учреждений УИС), в том числе уволенные оттуда – в течение пятилетнего срока [5, ст. 6, п. 2 ч. 1 ст. 7]. </w:t>
      </w:r>
    </w:p>
    <w:p w:rsidR="00517711" w:rsidRDefault="00F815BE">
      <w:pPr>
        <w:spacing w:after="112" w:line="314" w:lineRule="exact"/>
        <w:ind w:firstLine="705"/>
        <w:jc w:val="both"/>
      </w:pPr>
      <w:r>
        <w:rPr>
          <w:rFonts w:ascii="Times New Roman" w:hAnsi="Times New Roman" w:cs="Times New Roman"/>
          <w:color w:val="000000"/>
          <w:sz w:val="24"/>
        </w:rPr>
        <w:t>-лица, прекратившие осуществление профессиональной деятельности (в течение пятилетнего срока со дня прекращения): судьи, прокуроры, следователи, дознаватели, адвокаты, нотариусы, должностные лица службы судебных приставов, частные детективы;  </w:t>
      </w:r>
    </w:p>
    <w:p w:rsidR="00517711" w:rsidRDefault="00F815BE">
      <w:pPr>
        <w:spacing w:after="112" w:line="314" w:lineRule="exact"/>
        <w:ind w:firstLine="705"/>
        <w:jc w:val="both"/>
      </w:pPr>
      <w:r>
        <w:rPr>
          <w:rFonts w:ascii="Times New Roman" w:hAnsi="Times New Roman" w:cs="Times New Roman"/>
          <w:color w:val="000000"/>
          <w:sz w:val="24"/>
        </w:rPr>
        <w:t>-лица, уволенные с военной службы по контракту из органов ФСБ, органов государственной охраны или органов внешней разведки (в течение пятилетнего срока со дня увольнения) [5, ст. 6, п. 2 ч. 1 ст. 7]. </w:t>
      </w:r>
    </w:p>
    <w:p w:rsidR="00517711" w:rsidRDefault="00F815BE">
      <w:pPr>
        <w:spacing w:after="112" w:line="314" w:lineRule="exact"/>
        <w:ind w:firstLine="705"/>
        <w:jc w:val="both"/>
      </w:pPr>
      <w:r>
        <w:rPr>
          <w:rFonts w:ascii="Times New Roman" w:hAnsi="Times New Roman" w:cs="Times New Roman"/>
          <w:color w:val="000000"/>
          <w:sz w:val="24"/>
        </w:rPr>
        <w:t>С учетом вышеназванных законодательных ограничений исполнительно-распорядительным органом муниципального образования (раз в четыре года) составляются общий и запасной списки кандидатов в присяжные. В них вносятся граждане, соответствующие цензу постоянной оседлости на территории данного муниципального образования [5, ч. 1 ст. 4]; </w:t>
      </w:r>
    </w:p>
    <w:p w:rsidR="00517711" w:rsidRDefault="00F815BE">
      <w:pPr>
        <w:spacing w:after="112" w:line="314" w:lineRule="exact"/>
        <w:ind w:firstLine="705"/>
        <w:jc w:val="both"/>
      </w:pPr>
      <w:r>
        <w:rPr>
          <w:rFonts w:ascii="Times New Roman" w:hAnsi="Times New Roman" w:cs="Times New Roman"/>
          <w:color w:val="000000"/>
          <w:sz w:val="24"/>
        </w:rPr>
        <w:t>Составленные списки передаются в Высший исполнительный орган государственной власти субъекта РФ. Тот на их основе с идентичной периодичностью составляет списки кандидатов в присяжные заседатели как для субъектов РФ, так и для округов муниципальных образований [5, ч. 3 ст. 5].  </w:t>
      </w:r>
    </w:p>
    <w:p w:rsidR="00517711" w:rsidRDefault="00F815BE">
      <w:pPr>
        <w:spacing w:after="112" w:line="314" w:lineRule="exact"/>
        <w:ind w:firstLine="705"/>
        <w:jc w:val="both"/>
      </w:pPr>
      <w:r>
        <w:rPr>
          <w:rFonts w:ascii="Times New Roman" w:hAnsi="Times New Roman" w:cs="Times New Roman"/>
          <w:color w:val="000000"/>
          <w:sz w:val="24"/>
        </w:rPr>
        <w:t>Кандидаты в присяжные уведомляются о включении их в список. Списки направляются в суды, где служат основой отбора (в закрытом судебном заседании) кандидатов в присяжные, производимого секретарем судебного заседания либо помощником судьи с применением случайной выборки [2, ч. 1 ст. 326]. Принцип случайной выборки является существенным и позволяет исключить подбор присяжных, гарантируя каждому равный доступ к реализации судебной власти [6, с. 1]. </w:t>
      </w:r>
    </w:p>
    <w:p w:rsidR="00517711" w:rsidRDefault="00F815BE">
      <w:pPr>
        <w:spacing w:after="112" w:line="314" w:lineRule="exact"/>
        <w:ind w:firstLine="705"/>
        <w:jc w:val="both"/>
      </w:pPr>
      <w:r>
        <w:rPr>
          <w:rFonts w:ascii="Times New Roman" w:hAnsi="Times New Roman" w:cs="Times New Roman"/>
          <w:color w:val="000000"/>
          <w:sz w:val="24"/>
        </w:rPr>
        <w:t>После отбора составляется предварительный список с очередностью внесения фамилий в идентичном случайной выборке порядке [2, ч. 4 ст. 326]. </w:t>
      </w:r>
    </w:p>
    <w:p w:rsidR="00517711" w:rsidRDefault="00F815BE">
      <w:pPr>
        <w:spacing w:after="112" w:line="314" w:lineRule="exact"/>
        <w:ind w:firstLine="705"/>
        <w:jc w:val="both"/>
      </w:pPr>
      <w:r>
        <w:rPr>
          <w:rFonts w:ascii="Times New Roman" w:hAnsi="Times New Roman" w:cs="Times New Roman"/>
          <w:color w:val="000000"/>
          <w:sz w:val="24"/>
        </w:rPr>
        <w:t>Исходя из анализа действующего законодательства, можно прийти к выводу, что законодательная регламентация порядка составления списков проработана недостаточно. Среди недостатков отметим: </w:t>
      </w:r>
    </w:p>
    <w:p w:rsidR="00517711" w:rsidRDefault="00F815BE">
      <w:pPr>
        <w:spacing w:after="112" w:line="314" w:lineRule="exact"/>
        <w:ind w:firstLine="705"/>
        <w:jc w:val="both"/>
      </w:pPr>
      <w:r>
        <w:rPr>
          <w:rFonts w:ascii="Times New Roman" w:hAnsi="Times New Roman" w:cs="Times New Roman"/>
          <w:color w:val="000000"/>
          <w:sz w:val="24"/>
        </w:rPr>
        <w:t>1) большую периодичность составления списков (раз в четыре года). Такой длительный период приводит к потере актуальности сведений о кандидатах, содержащихся в списках. В результате возникают казусы включения в них умерших лиц, лишенных дееспособности, выбывших с места жительства и пр. [7, с. 15];  </w:t>
      </w:r>
    </w:p>
    <w:p w:rsidR="00517711" w:rsidRDefault="00F815BE">
      <w:pPr>
        <w:spacing w:after="112" w:line="314" w:lineRule="exact"/>
        <w:ind w:firstLine="705"/>
        <w:jc w:val="both"/>
      </w:pPr>
      <w:r>
        <w:rPr>
          <w:rFonts w:ascii="Times New Roman" w:hAnsi="Times New Roman" w:cs="Times New Roman"/>
          <w:color w:val="000000"/>
          <w:sz w:val="24"/>
        </w:rPr>
        <w:t>2) Закон о присяжных заседателях закрепляет проверку кандидатов только на ограничения, предусмотренные частью 2 статьи 3 [5, ч. 5 ст. 5]. Обязательная проверка по основаниям части 3 статьи 3 данного закона, а также на наличие предубеждения в отношении уголовной системы не закреплена; </w:t>
      </w:r>
    </w:p>
    <w:p w:rsidR="00517711" w:rsidRDefault="00F815BE">
      <w:pPr>
        <w:spacing w:after="112" w:line="314" w:lineRule="exact"/>
        <w:ind w:firstLine="705"/>
        <w:jc w:val="both"/>
      </w:pPr>
      <w:r>
        <w:rPr>
          <w:rFonts w:ascii="Times New Roman" w:hAnsi="Times New Roman" w:cs="Times New Roman"/>
          <w:color w:val="000000"/>
          <w:sz w:val="24"/>
        </w:rPr>
        <w:t>4) неотработанность системы извещения кандидатов; </w:t>
      </w:r>
    </w:p>
    <w:p w:rsidR="00517711" w:rsidRDefault="00F815BE">
      <w:pPr>
        <w:spacing w:after="112" w:line="314" w:lineRule="exact"/>
        <w:ind w:firstLine="705"/>
        <w:jc w:val="both"/>
      </w:pPr>
      <w:r>
        <w:rPr>
          <w:rFonts w:ascii="Times New Roman" w:hAnsi="Times New Roman" w:cs="Times New Roman"/>
          <w:color w:val="000000"/>
          <w:sz w:val="24"/>
        </w:rPr>
        <w:t>5) с введением суда с участием присяжных заседателей на уровне районных и гарнизонных (военных) судов (июнь 2018) законом не учтена необходимость составления отдельных списков для формирования коллегий в этих судах и судах субъектов РФ.  </w:t>
      </w:r>
    </w:p>
    <w:p w:rsidR="00517711" w:rsidRDefault="00F815BE">
      <w:pPr>
        <w:spacing w:after="112" w:line="314" w:lineRule="exact"/>
        <w:ind w:firstLine="705"/>
        <w:jc w:val="both"/>
      </w:pPr>
      <w:r>
        <w:rPr>
          <w:rFonts w:ascii="Times New Roman" w:hAnsi="Times New Roman" w:cs="Times New Roman"/>
          <w:color w:val="000000"/>
          <w:sz w:val="24"/>
        </w:rPr>
        <w:t>В суды разных уровней будут приглашаться одни и те же граждане, которым придется делать выбор, куда явиться. Время на формирование коллегии увеличится, так как вызванные районными судами кандидаты уже могут быть задействованы в судах субъектов РФ; </w:t>
      </w:r>
    </w:p>
    <w:p w:rsidR="00517711" w:rsidRDefault="00F815BE">
      <w:pPr>
        <w:spacing w:after="112" w:line="314" w:lineRule="exact"/>
        <w:ind w:firstLine="705"/>
        <w:jc w:val="both"/>
      </w:pPr>
      <w:r>
        <w:rPr>
          <w:rFonts w:ascii="Times New Roman" w:hAnsi="Times New Roman" w:cs="Times New Roman"/>
          <w:color w:val="000000"/>
          <w:sz w:val="24"/>
        </w:rPr>
        <w:t>6) законом не предусмотрена возможность отбора граждан, действительно желающих отправлять правосудие в качестве присяжного заседателя. Такие граждане, по уважительной причине не сумевшие явиться в суд именно в конкретный период, с большой вероятностью не будут снова в ближайшее время отобраны из общего числа граждан в кандидаты в присяжные, так как действует принцип случайной выборки. </w:t>
      </w:r>
    </w:p>
    <w:p w:rsidR="00517711" w:rsidRDefault="00F815BE">
      <w:pPr>
        <w:spacing w:after="112" w:line="314" w:lineRule="exact"/>
        <w:ind w:firstLine="705"/>
        <w:jc w:val="both"/>
      </w:pPr>
      <w:r>
        <w:rPr>
          <w:rFonts w:ascii="Times New Roman" w:hAnsi="Times New Roman" w:cs="Times New Roman"/>
          <w:color w:val="000000"/>
          <w:sz w:val="24"/>
        </w:rPr>
        <w:t>7) законом не урегулирован порядок проведения случайной выборки и не конкретизированы ее критерии [8, с. 86, 89]; </w:t>
      </w:r>
    </w:p>
    <w:p w:rsidR="00517711" w:rsidRDefault="00F815BE">
      <w:pPr>
        <w:spacing w:after="112" w:line="314" w:lineRule="exact"/>
        <w:ind w:firstLine="705"/>
        <w:jc w:val="both"/>
      </w:pPr>
      <w:r>
        <w:rPr>
          <w:rFonts w:ascii="Times New Roman" w:hAnsi="Times New Roman" w:cs="Times New Roman"/>
          <w:color w:val="000000"/>
          <w:sz w:val="24"/>
        </w:rPr>
        <w:t>8) к материалам уголовного дела не приобщаются документы (специальные протоколы), фиксирующие процедуру формирования предварительного списка кандидатов в присяжные заседатели [8, с. 86]. </w:t>
      </w:r>
    </w:p>
    <w:p w:rsidR="00517711" w:rsidRDefault="00F815BE">
      <w:pPr>
        <w:spacing w:after="112" w:line="314" w:lineRule="exact"/>
        <w:ind w:firstLine="705"/>
        <w:jc w:val="both"/>
      </w:pPr>
      <w:r>
        <w:rPr>
          <w:rFonts w:ascii="Times New Roman" w:hAnsi="Times New Roman" w:cs="Times New Roman"/>
          <w:color w:val="000000"/>
          <w:sz w:val="24"/>
        </w:rPr>
        <w:t>В апелляционном определении по рассмотрению жалобы Е. П. Петровича Судебная коллегия по уголовным делам ВС РФ не признала обоснованной доводы заявителя о необходимости наличия в деле как общего и запасного списка, так и протокола отбора кандидатов путем случайной выборки [9]. </w:t>
      </w:r>
    </w:p>
    <w:p w:rsidR="00517711" w:rsidRDefault="00F815BE">
      <w:pPr>
        <w:spacing w:after="112" w:line="314" w:lineRule="exact"/>
        <w:ind w:firstLine="705"/>
        <w:jc w:val="both"/>
      </w:pPr>
      <w:r>
        <w:rPr>
          <w:rFonts w:ascii="Times New Roman" w:hAnsi="Times New Roman" w:cs="Times New Roman"/>
          <w:color w:val="000000"/>
          <w:sz w:val="24"/>
        </w:rPr>
        <w:t>На практике возникают и иные проблемы: </w:t>
      </w:r>
    </w:p>
    <w:p w:rsidR="00517711" w:rsidRDefault="00F815BE">
      <w:pPr>
        <w:spacing w:after="112" w:line="314" w:lineRule="exact"/>
        <w:ind w:firstLine="705"/>
        <w:jc w:val="both"/>
      </w:pPr>
      <w:r>
        <w:rPr>
          <w:rFonts w:ascii="Times New Roman" w:hAnsi="Times New Roman" w:cs="Times New Roman"/>
          <w:color w:val="000000"/>
          <w:sz w:val="24"/>
        </w:rPr>
        <w:t>Во-первых, низкая явка кандидатов в присяжные в суд. На 1500 тысячи почтовых уведомлений является примерно 6-10 граждан. Лишь единицы по телефону сообщают уважительность причины неявки. Значительная часть уведомлений возвращается в связи с отсутствием адресата по месту прописки. Впустую затрачиваются труд работников суда на формирование почтовых отправлений вручную, финансы на конверты, бумагу, тонер, услуги почтовой связи. Иной возможности связаться с гражданами у суда нет, так как представленные администрацией списки не содержат иных контактных данных, кроме адреса прописки. Этот пробел усложняет процесс формирования. </w:t>
      </w:r>
    </w:p>
    <w:p w:rsidR="00517711" w:rsidRDefault="00F815BE">
      <w:pPr>
        <w:spacing w:after="112" w:line="314" w:lineRule="exact"/>
        <w:ind w:firstLine="705"/>
        <w:jc w:val="both"/>
      </w:pPr>
      <w:r>
        <w:rPr>
          <w:rFonts w:ascii="Times New Roman" w:hAnsi="Times New Roman" w:cs="Times New Roman"/>
          <w:color w:val="000000"/>
          <w:sz w:val="24"/>
        </w:rPr>
        <w:t>Во-вторых, формальное и небрежное составления списков администрацией. Передаваемые в суд списки включают и судимых, и нарко/алкозависимых, прокуроров, следователей, адвокатов и даже самих судьей, работников органа, составлявшего списки. В результате суды получают дополнительную нагрузку, занимаясь уведомлением и проверкой кандидатов, запрашивая сведения у других органов и учреждений, отвечая на негодования действующих юристов, приглашенных на роль присяжных, и выражая соболезнования лицам, умершие родственники которых приглашены в суд. </w:t>
      </w:r>
    </w:p>
    <w:p w:rsidR="00517711" w:rsidRDefault="00F815BE">
      <w:pPr>
        <w:spacing w:after="112" w:line="314" w:lineRule="exact"/>
        <w:ind w:firstLine="705"/>
        <w:jc w:val="both"/>
      </w:pPr>
      <w:r>
        <w:rPr>
          <w:rFonts w:ascii="Times New Roman" w:hAnsi="Times New Roman" w:cs="Times New Roman"/>
          <w:color w:val="000000"/>
          <w:sz w:val="24"/>
        </w:rPr>
        <w:t>В-третьих, неосведомленность граждан об институте суда с участием присяжных заседателей. Получая почтовые извещения, некоторые из них пугаются, что их «вызывают» в суд, уточняют на каком основании и почему они должны за это платить. Другие интересуются не розыгрыш (мошенничество) ли это и как они будут рассматривать дело, не обладая юридическими знаниями. </w:t>
      </w:r>
    </w:p>
    <w:p w:rsidR="00517711" w:rsidRDefault="00F815BE">
      <w:pPr>
        <w:spacing w:after="112" w:line="314" w:lineRule="exact"/>
        <w:ind w:firstLine="705"/>
        <w:jc w:val="both"/>
      </w:pPr>
      <w:r>
        <w:rPr>
          <w:rFonts w:ascii="Times New Roman" w:hAnsi="Times New Roman" w:cs="Times New Roman"/>
          <w:color w:val="000000"/>
          <w:sz w:val="24"/>
        </w:rPr>
        <w:t>Это обнаруживает проблему недоверия к судебной системе, сложность юридической формулировки приглашения в суд, получаемого гражданами. Составленный формальным юридическим языком текст труднодоступен для обыденного понимания.  </w:t>
      </w:r>
    </w:p>
    <w:p w:rsidR="00517711" w:rsidRDefault="00F815BE">
      <w:pPr>
        <w:spacing w:after="112" w:line="314" w:lineRule="exact"/>
        <w:ind w:firstLine="705"/>
        <w:jc w:val="both"/>
      </w:pPr>
      <w:r>
        <w:rPr>
          <w:rFonts w:ascii="Times New Roman" w:hAnsi="Times New Roman" w:cs="Times New Roman"/>
          <w:color w:val="000000"/>
          <w:sz w:val="24"/>
        </w:rPr>
        <w:t>Проблема небрежного составления списков не нова и, как отмечает А. Ф. Кони, имела место и в дореволюционный период функционирования суда присяжных [10, с. 340]. Вместе с тем, установленный порядок формирования коллегии присяжных заседателей того периода имел интересные особенности.  </w:t>
      </w:r>
    </w:p>
    <w:p w:rsidR="00517711" w:rsidRDefault="00F815BE">
      <w:pPr>
        <w:spacing w:after="112" w:line="314" w:lineRule="exact"/>
        <w:ind w:firstLine="705"/>
        <w:jc w:val="both"/>
      </w:pPr>
      <w:r>
        <w:rPr>
          <w:rFonts w:ascii="Times New Roman" w:hAnsi="Times New Roman" w:cs="Times New Roman"/>
          <w:color w:val="000000"/>
          <w:sz w:val="24"/>
        </w:rPr>
        <w:t>Составлением о</w:t>
      </w:r>
      <w:r>
        <w:rPr>
          <w:rFonts w:ascii="Times New Roman" w:hAnsi="Times New Roman" w:cs="Times New Roman"/>
          <w:color w:val="000000"/>
          <w:sz w:val="24"/>
          <w:highlight w:val="white"/>
        </w:rPr>
        <w:t>бщих списков присяжных заседателей отдельно по каждому уезду занимались особые временные комиссии. Они же</w:t>
      </w:r>
      <w:r>
        <w:rPr>
          <w:rFonts w:ascii="Times New Roman" w:hAnsi="Times New Roman" w:cs="Times New Roman"/>
          <w:color w:val="000000"/>
          <w:sz w:val="24"/>
        </w:rPr>
        <w:t xml:space="preserve"> совместно с одним из мировых судей уездного города под председательством уездных предводителей дворянства составляли очередной и запасной списки [11, ст. 97, 101]. </w:t>
      </w:r>
      <w:r>
        <w:rPr>
          <w:rFonts w:ascii="Times New Roman" w:hAnsi="Times New Roman" w:cs="Times New Roman"/>
          <w:color w:val="000000"/>
          <w:sz w:val="24"/>
          <w:highlight w:val="white"/>
        </w:rPr>
        <w:t xml:space="preserve">В состав комиссий входили лица, </w:t>
      </w:r>
      <w:r>
        <w:rPr>
          <w:rFonts w:ascii="Times New Roman" w:hAnsi="Times New Roman" w:cs="Times New Roman"/>
          <w:color w:val="000000"/>
          <w:sz w:val="24"/>
        </w:rPr>
        <w:t>«</w:t>
      </w:r>
      <w:r>
        <w:rPr>
          <w:rFonts w:ascii="Times New Roman" w:hAnsi="Times New Roman" w:cs="Times New Roman"/>
          <w:color w:val="000000"/>
          <w:sz w:val="24"/>
          <w:highlight w:val="white"/>
        </w:rPr>
        <w:t>назначаемых для сей цели ежегодно уездными земскими собраниями, а в столицах соединенными заседаниями общих городских дум и местных уездных земских собраний...</w:t>
      </w:r>
      <w:r>
        <w:rPr>
          <w:rFonts w:ascii="Times New Roman" w:hAnsi="Times New Roman" w:cs="Times New Roman"/>
          <w:color w:val="000000"/>
          <w:sz w:val="24"/>
        </w:rPr>
        <w:t>»</w:t>
      </w:r>
      <w:r>
        <w:rPr>
          <w:rFonts w:ascii="Times New Roman" w:hAnsi="Times New Roman" w:cs="Times New Roman"/>
          <w:color w:val="000000"/>
          <w:sz w:val="24"/>
          <w:highlight w:val="white"/>
        </w:rPr>
        <w:t xml:space="preserve"> [8, ст. 89].</w:t>
      </w:r>
      <w:r>
        <w:rPr>
          <w:rFonts w:ascii="Times New Roman" w:hAnsi="Times New Roman" w:cs="Times New Roman"/>
          <w:color w:val="000000"/>
          <w:sz w:val="24"/>
        </w:rPr>
        <w:t> </w:t>
      </w:r>
    </w:p>
    <w:p w:rsidR="00517711" w:rsidRDefault="00F815BE">
      <w:pPr>
        <w:spacing w:after="112" w:line="314" w:lineRule="exact"/>
        <w:ind w:firstLine="705"/>
        <w:jc w:val="both"/>
      </w:pPr>
      <w:r>
        <w:rPr>
          <w:rFonts w:ascii="Times New Roman" w:hAnsi="Times New Roman" w:cs="Times New Roman"/>
          <w:color w:val="000000"/>
          <w:sz w:val="24"/>
        </w:rPr>
        <w:t>В общие списки включались все местные жители, имеющие право быть избранными в присяжные заседатели в следующем году. Периодичность их составления была один раз в год [8, ст. 90]. Очередные списки, составляемые на основе общих, включали только тех лиц, которые «в продолжение наступающего за тем года должны быть призываемы для участия в заседаниях судебных мест» [8, ст. 97]. Из лиц, имеющих место жительства в тех городах, в которых в определенные сроки проводились сессии суда присяжных составлялись запасные списки [8, ст. 101]. Вошедшие в очередные и запасные списки присяжные заседатели, распределялись по четвертям года, в результате чего формировались периодические списки [8, ст. 107]. Таким образом, в дореволюционном суде присяжных предусматривалось четыре разновидности списков. </w:t>
      </w:r>
    </w:p>
    <w:p w:rsidR="00517711" w:rsidRDefault="00F815BE">
      <w:pPr>
        <w:spacing w:after="112" w:line="314" w:lineRule="exact"/>
        <w:ind w:firstLine="705"/>
        <w:jc w:val="both"/>
      </w:pPr>
      <w:r>
        <w:rPr>
          <w:rFonts w:ascii="Times New Roman" w:hAnsi="Times New Roman" w:cs="Times New Roman"/>
          <w:color w:val="000000"/>
          <w:sz w:val="24"/>
        </w:rPr>
        <w:t>Согласно статье 550 Уставов уголовного судопроизводства 1864 года</w:t>
      </w:r>
      <w:r>
        <w:rPr>
          <w:rFonts w:ascii="Times New Roman" w:hAnsi="Times New Roman" w:cs="Times New Roman"/>
          <w:b/>
          <w:color w:val="000000"/>
          <w:sz w:val="24"/>
        </w:rPr>
        <w:t xml:space="preserve"> </w:t>
      </w:r>
      <w:r>
        <w:rPr>
          <w:rFonts w:ascii="Times New Roman" w:hAnsi="Times New Roman" w:cs="Times New Roman"/>
          <w:color w:val="000000"/>
          <w:sz w:val="24"/>
        </w:rPr>
        <w:t>из очередного списка «за три недели до открытия судебного заседания назначались по жребию тридцать заседателей для присутствования в течение всего периода заседаний» [12, ст. 550].</w:t>
      </w:r>
      <w:r>
        <w:rPr>
          <w:rFonts w:ascii="Times New Roman" w:hAnsi="Times New Roman" w:cs="Times New Roman"/>
          <w:b/>
          <w:color w:val="000000"/>
          <w:sz w:val="24"/>
        </w:rPr>
        <w:t> </w:t>
      </w:r>
    </w:p>
    <w:p w:rsidR="00517711" w:rsidRDefault="00F815BE">
      <w:pPr>
        <w:spacing w:after="112" w:line="314" w:lineRule="exact"/>
        <w:ind w:firstLine="705"/>
        <w:jc w:val="both"/>
      </w:pPr>
      <w:r>
        <w:rPr>
          <w:rFonts w:ascii="Times New Roman" w:hAnsi="Times New Roman" w:cs="Times New Roman"/>
          <w:color w:val="000000"/>
          <w:sz w:val="24"/>
        </w:rPr>
        <w:t>Временные комиссии были обязаны проводить проверку и дополнение общих списков текущего года по своим уездам, исключать умерших и потерявших право быть присяжными заседателями, вносить тех, кто его получил [11, ст. 90]. Вторично списки проверял губернатор, рассматривая и разрешая заявления граждан о неправильном внесении (невнесении) их в списки, мотивированно исключая из них неправильно внесенных [11, ст. 92, 93].  </w:t>
      </w:r>
    </w:p>
    <w:p w:rsidR="00517711" w:rsidRDefault="00F815BE">
      <w:pPr>
        <w:spacing w:after="112" w:line="314" w:lineRule="exact"/>
        <w:ind w:firstLine="705"/>
        <w:jc w:val="both"/>
      </w:pPr>
      <w:r>
        <w:rPr>
          <w:rFonts w:ascii="Times New Roman" w:hAnsi="Times New Roman" w:cs="Times New Roman"/>
          <w:color w:val="000000"/>
          <w:sz w:val="24"/>
        </w:rPr>
        <w:t>После проверки общие списки возвращались составившим их временным комиссиям, опубликовались в местных ведомостях [11, ст. 94]. Кандидатов в присяжные расформировывали по четвертям года. Окончательно сформированные списки направлялись председателю окружного суда.  </w:t>
      </w:r>
    </w:p>
    <w:p w:rsidR="00517711" w:rsidRDefault="00F815BE">
      <w:pPr>
        <w:spacing w:after="112" w:line="314" w:lineRule="exact"/>
        <w:ind w:firstLine="705"/>
        <w:jc w:val="both"/>
      </w:pPr>
      <w:r>
        <w:rPr>
          <w:rFonts w:ascii="Times New Roman" w:hAnsi="Times New Roman" w:cs="Times New Roman"/>
          <w:color w:val="000000"/>
          <w:sz w:val="24"/>
        </w:rPr>
        <w:t>Извещение кандидатов о необходимости явки в суд производилось через местную полицию [8, ст. 107]. Допустим был перенос очереди из одной четверти в другую, для чего кандидат, внесенный в список, обращался с просьбой к председателю окружного суда, объясняя причину невозможности участия в данный сессионный период [11, ст. 107].  </w:t>
      </w:r>
    </w:p>
    <w:p w:rsidR="00517711" w:rsidRDefault="00F815BE">
      <w:pPr>
        <w:spacing w:after="112" w:line="314" w:lineRule="exact"/>
        <w:ind w:firstLine="705"/>
        <w:jc w:val="both"/>
      </w:pPr>
      <w:r>
        <w:rPr>
          <w:rFonts w:ascii="Times New Roman" w:hAnsi="Times New Roman" w:cs="Times New Roman"/>
          <w:color w:val="000000"/>
          <w:sz w:val="24"/>
        </w:rPr>
        <w:t>Было бы упущением не перенять положительные разработки дореволюционного периода деятельности суда присяжных при рассмотрении вопроса совершенствования порядка формирования коллегии современной модели суда с участием присяжных заседателей.  </w:t>
      </w:r>
    </w:p>
    <w:p w:rsidR="00517711" w:rsidRDefault="00F815BE">
      <w:pPr>
        <w:spacing w:after="112" w:line="314" w:lineRule="exact"/>
        <w:ind w:firstLine="705"/>
        <w:jc w:val="both"/>
      </w:pPr>
      <w:r>
        <w:rPr>
          <w:rFonts w:ascii="Times New Roman" w:hAnsi="Times New Roman" w:cs="Times New Roman"/>
          <w:color w:val="000000"/>
          <w:sz w:val="24"/>
        </w:rPr>
        <w:t>Поддерживаем идею возрождения специализирующихся на формировании коллегии присяжных заседателей специальных Комиссий, в состав которых желательно включить психологов, представителей правоохранительных органов. Комиссии будут составлять списки, проверять кандидатов в присяжные на соответствие закону, систематически вносить изменения. Такой независимый, разносоставный орган, деятельность которого сфокусирована именно на организационном этапе составления списков необходим российской модели суда с участием присяжных заседателей. </w:t>
      </w:r>
    </w:p>
    <w:p w:rsidR="00517711" w:rsidRDefault="00F815BE">
      <w:pPr>
        <w:spacing w:after="112" w:line="314" w:lineRule="exact"/>
        <w:ind w:firstLine="705"/>
        <w:jc w:val="both"/>
      </w:pPr>
      <w:r>
        <w:rPr>
          <w:rFonts w:ascii="Times New Roman" w:hAnsi="Times New Roman" w:cs="Times New Roman"/>
          <w:color w:val="000000"/>
          <w:sz w:val="24"/>
        </w:rPr>
        <w:t>Желательно сократить периодичность составления списков и создать список желающих быть присяжными заседателями, закрепив право переноса очереди для участия в отправлении правосудия на другой период. Целесообразно предусмотреть составление отдельных списков для формирования коллегии в судах субъектов РФ и военных (гарнизонных), районных судах, а также оформление процедуры формирования коллегии специальным протоколом [8]. </w:t>
      </w:r>
    </w:p>
    <w:p w:rsidR="00517711" w:rsidRDefault="00F815BE">
      <w:pPr>
        <w:spacing w:after="112" w:line="314" w:lineRule="exact"/>
        <w:ind w:firstLine="705"/>
        <w:jc w:val="both"/>
      </w:pPr>
      <w:r>
        <w:rPr>
          <w:rFonts w:ascii="Times New Roman" w:hAnsi="Times New Roman" w:cs="Times New Roman"/>
          <w:color w:val="000000"/>
          <w:sz w:val="24"/>
        </w:rPr>
        <w:t>Применение иных источников уведомления кандидатов (интернет-рассылка, смс сообщения, телефонный звонок) не только сократит финансовые затраты, но и ускорит процесс формирования коллегии. Для этого нужно предоставлять судам соответствующие контактные данные </w:t>
      </w:r>
    </w:p>
    <w:p w:rsidR="00517711" w:rsidRDefault="00F815BE">
      <w:pPr>
        <w:spacing w:after="112" w:line="314" w:lineRule="exact"/>
        <w:ind w:firstLine="705"/>
        <w:jc w:val="both"/>
      </w:pPr>
      <w:r>
        <w:rPr>
          <w:rFonts w:ascii="Times New Roman" w:hAnsi="Times New Roman" w:cs="Times New Roman"/>
          <w:color w:val="000000"/>
          <w:sz w:val="24"/>
        </w:rPr>
        <w:t>Важно изменить текст приглашения граждан в суд на более доступный и простой, а также информировать их о суде присяжных со «школьной скамьи». </w:t>
      </w:r>
    </w:p>
    <w:p w:rsidR="00517711" w:rsidRDefault="00F815BE">
      <w:pPr>
        <w:spacing w:after="112" w:line="314" w:lineRule="exact"/>
        <w:ind w:firstLine="705"/>
        <w:jc w:val="both"/>
      </w:pPr>
      <w:r>
        <w:rPr>
          <w:rFonts w:ascii="Times New Roman" w:hAnsi="Times New Roman" w:cs="Times New Roman"/>
          <w:color w:val="000000"/>
          <w:sz w:val="24"/>
        </w:rPr>
        <w:t>Стоит рассмотреть возможность введения штрафной санкции за неявку отказ кандидата от участия в суде присяжных без уважительных причин. Такой вид ответственности не только действует в некоторых зарубежных странах (США, Япония), но и был установлен в дореволюционной модели суда присяжных. </w:t>
      </w:r>
    </w:p>
    <w:p w:rsidR="00517711" w:rsidRDefault="00F815BE">
      <w:pPr>
        <w:spacing w:after="112" w:line="314" w:lineRule="exact"/>
        <w:ind w:firstLine="705"/>
        <w:jc w:val="both"/>
      </w:pPr>
      <w:r>
        <w:rPr>
          <w:rFonts w:ascii="Times New Roman" w:hAnsi="Times New Roman" w:cs="Times New Roman"/>
          <w:color w:val="000000"/>
          <w:sz w:val="24"/>
        </w:rPr>
        <w:t>Вместе с тем это предложение не бесспорно. Не все граждане готовы брать на себя ответственность, переживать, рассматривая дела, например об изнасиловании ребенка. Любое принуждение может вызвать большее отторжение, привести к формальному рассмотрению дела.  </w:t>
      </w:r>
    </w:p>
    <w:p w:rsidR="00517711" w:rsidRDefault="00F815BE">
      <w:pPr>
        <w:spacing w:after="112" w:line="314" w:lineRule="exact"/>
        <w:ind w:firstLine="705"/>
        <w:jc w:val="both"/>
      </w:pPr>
      <w:r>
        <w:rPr>
          <w:rFonts w:ascii="Times New Roman" w:hAnsi="Times New Roman" w:cs="Times New Roman"/>
          <w:color w:val="000000"/>
          <w:sz w:val="24"/>
        </w:rPr>
        <w:t>В самом российском законодательстве нет четкой формулировки, что отправление правосудия присяжными является обязанностью. Конституцией РФ оно определено в качестве права гражданина. Следовательно, любое принуждение будет нарушением ее положений.  </w:t>
      </w:r>
    </w:p>
    <w:p w:rsidR="00517711" w:rsidRDefault="00F815BE">
      <w:pPr>
        <w:spacing w:after="112" w:line="314" w:lineRule="exact"/>
        <w:ind w:firstLine="705"/>
        <w:jc w:val="both"/>
      </w:pPr>
      <w:r>
        <w:rPr>
          <w:rFonts w:ascii="Times New Roman" w:hAnsi="Times New Roman" w:cs="Times New Roman"/>
          <w:color w:val="000000"/>
          <w:sz w:val="24"/>
          <w:highlight w:val="white"/>
        </w:rPr>
        <w:t>После составления предварительного списка начинается процессуальный этап формирования коллегии. Он происходит в закрытой части судебного заседания. В зал суда приглашаются кандидаты в присяжные заседатели. Ключевым процессуальным действием служит их опрос председательствующим судьей. Его цель состоит в выявлении оснований, препятствуют участию в рассмотрении дела (обозначены в Законе о присяжных заседателях), а также обстоятельств, мешающих непредвзятому восприятию и объективной оценке представленных доказательств. Учитываются профессиональные, мировоззренческие взгляды присяжных, сложившиеся стереотипы и неприязни. </w:t>
      </w:r>
      <w:r>
        <w:rPr>
          <w:rFonts w:ascii="Times New Roman" w:hAnsi="Times New Roman" w:cs="Times New Roman"/>
          <w:color w:val="000000"/>
          <w:sz w:val="24"/>
        </w:rPr>
        <w:t> </w:t>
      </w:r>
    </w:p>
    <w:p w:rsidR="00517711" w:rsidRDefault="00F815BE">
      <w:pPr>
        <w:spacing w:after="112" w:line="314" w:lineRule="exact"/>
        <w:ind w:firstLine="705"/>
        <w:jc w:val="both"/>
      </w:pPr>
      <w:r>
        <w:rPr>
          <w:rFonts w:ascii="Times New Roman" w:hAnsi="Times New Roman" w:cs="Times New Roman"/>
          <w:color w:val="000000"/>
          <w:sz w:val="24"/>
          <w:highlight w:val="white"/>
        </w:rPr>
        <w:t xml:space="preserve">Практика показывает, что частым основанием отмены решений суда присяжных служит сокрытие кандидатами в присяжные заседатели информации при их опросе. </w:t>
      </w:r>
      <w:r>
        <w:rPr>
          <w:rFonts w:ascii="Times New Roman" w:hAnsi="Times New Roman" w:cs="Times New Roman"/>
          <w:color w:val="000000"/>
          <w:sz w:val="24"/>
        </w:rPr>
        <w:t xml:space="preserve">Согласно части 1 пункта 14 ПВС РФ № 23 от 22.11.2005, «сокрытие кандидатами в присяжные заседатели, включенными впоследствии в состав коллегии, информации, которая могла повлиять на принятие решения по делу и лишила стороны права на мотивированный или немотивированный отвод, является основанием для отмены приговора» </w:t>
      </w:r>
      <w:r>
        <w:rPr>
          <w:rFonts w:eastAsia="Calibri"/>
          <w:color w:val="000000"/>
          <w:sz w:val="24"/>
        </w:rPr>
        <w:t>[</w:t>
      </w:r>
      <w:r>
        <w:rPr>
          <w:rFonts w:ascii="Times New Roman" w:hAnsi="Times New Roman" w:cs="Times New Roman"/>
          <w:color w:val="000000"/>
          <w:sz w:val="24"/>
        </w:rPr>
        <w:t>13</w:t>
      </w:r>
      <w:r>
        <w:rPr>
          <w:rFonts w:eastAsia="Calibri"/>
          <w:color w:val="000000"/>
          <w:sz w:val="24"/>
        </w:rPr>
        <w:t>]. </w:t>
      </w:r>
    </w:p>
    <w:p w:rsidR="00517711" w:rsidRDefault="00F815BE">
      <w:pPr>
        <w:spacing w:after="112" w:line="314" w:lineRule="exact"/>
        <w:ind w:firstLine="705"/>
        <w:jc w:val="both"/>
      </w:pPr>
      <w:r>
        <w:rPr>
          <w:rFonts w:ascii="Times New Roman" w:hAnsi="Times New Roman" w:cs="Times New Roman"/>
          <w:color w:val="000000"/>
          <w:sz w:val="24"/>
        </w:rPr>
        <w:t>Поскольку процессуальная часть этапа формирования коллегии преследует целью достижение ее оптимального состава, способного вынести объективное решение по конкретному уголовному делу, то реализация права сторон на мотивированные и немотивированный отвод приобретает особенную значимость.  </w:t>
      </w:r>
    </w:p>
    <w:p w:rsidR="00517711" w:rsidRDefault="00F815BE">
      <w:pPr>
        <w:spacing w:after="112" w:line="314" w:lineRule="exact"/>
        <w:ind w:firstLine="705"/>
        <w:jc w:val="both"/>
      </w:pPr>
      <w:r>
        <w:rPr>
          <w:rFonts w:ascii="Times New Roman" w:hAnsi="Times New Roman" w:cs="Times New Roman"/>
          <w:color w:val="000000"/>
          <w:sz w:val="24"/>
        </w:rPr>
        <w:t>В результате лишении сторон возможности реализации предоставленного им права заявить мотивированные отводы и один немотивированный отвод присяжному заседателю возникает риск формирования состава суда в интересах одной из сторон, с попаданием в него лиц, имеющих предубеждение либо заранее сложившееся мнение по делу. Предотвратить данное нарушение со стороны будущих присяжных возможно несколькими способами:  </w:t>
      </w:r>
    </w:p>
    <w:p w:rsidR="00517711" w:rsidRDefault="00F815BE">
      <w:pPr>
        <w:spacing w:after="112" w:line="314" w:lineRule="exact"/>
        <w:ind w:firstLine="705"/>
        <w:jc w:val="both"/>
      </w:pPr>
      <w:r>
        <w:rPr>
          <w:rFonts w:ascii="Times New Roman" w:hAnsi="Times New Roman" w:cs="Times New Roman"/>
          <w:color w:val="000000"/>
          <w:sz w:val="24"/>
        </w:rPr>
        <w:t>Во-первых, ввести этап анкетирования. Направлять будущим присяжным специальную анкету-вопросник (до начала формирования предварительного списка) для заблаговременного выявления оснований отвода предлагают А. В. Петров и Н. А. Полякова [43, с. 62]. Придерживаются мнения, что рассылка анкет позволит получить дополнительную информацию о присяжных А. В. Верещагина и М. Е. Омельяненко [8, с. 87].  </w:t>
      </w:r>
    </w:p>
    <w:p w:rsidR="00517711" w:rsidRDefault="00F815BE">
      <w:pPr>
        <w:spacing w:after="112" w:line="314" w:lineRule="exact"/>
        <w:ind w:firstLine="705"/>
        <w:jc w:val="both"/>
      </w:pPr>
      <w:r>
        <w:rPr>
          <w:rFonts w:ascii="Times New Roman" w:hAnsi="Times New Roman" w:cs="Times New Roman"/>
          <w:color w:val="000000"/>
          <w:sz w:val="24"/>
        </w:rPr>
        <w:t>Во-вторых, необходимо установить штрафную санкцию за намеренное искажение сведений о себе присяжным во время его опроса.  </w:t>
      </w:r>
    </w:p>
    <w:p w:rsidR="00517711" w:rsidRDefault="00F815BE">
      <w:pPr>
        <w:spacing w:after="112" w:line="314" w:lineRule="exact"/>
        <w:ind w:firstLine="705"/>
        <w:jc w:val="both"/>
      </w:pPr>
      <w:r>
        <w:rPr>
          <w:rFonts w:ascii="Times New Roman" w:hAnsi="Times New Roman" w:cs="Times New Roman"/>
          <w:color w:val="000000"/>
          <w:sz w:val="24"/>
        </w:rPr>
        <w:t>Например, в штате Калифорния перед процессом отбора потенциальные присяжные дают клятву,</w:t>
      </w:r>
      <w:r>
        <w:rPr>
          <w:rFonts w:ascii="Times New Roman" w:hAnsi="Times New Roman" w:cs="Times New Roman"/>
          <w:color w:val="000000"/>
          <w:sz w:val="24"/>
          <w:highlight w:val="white"/>
        </w:rPr>
        <w:t xml:space="preserve"> что будут правдиво отвечать на все вопросы, заданные об их квалификации. За лжесвидетельство возможно уголовное преследование [16].</w:t>
      </w:r>
      <w:r>
        <w:rPr>
          <w:rFonts w:ascii="Times New Roman" w:hAnsi="Times New Roman" w:cs="Times New Roman"/>
          <w:color w:val="000000"/>
          <w:sz w:val="24"/>
        </w:rPr>
        <w:t> </w:t>
      </w:r>
    </w:p>
    <w:p w:rsidR="00517711" w:rsidRDefault="00F815BE">
      <w:pPr>
        <w:spacing w:after="112" w:line="314" w:lineRule="exact"/>
        <w:ind w:firstLine="705"/>
        <w:jc w:val="both"/>
      </w:pPr>
      <w:r>
        <w:rPr>
          <w:rFonts w:ascii="Times New Roman" w:hAnsi="Times New Roman" w:cs="Times New Roman"/>
          <w:color w:val="000000"/>
          <w:sz w:val="24"/>
          <w:highlight w:val="white"/>
        </w:rPr>
        <w:t>Обратим внимание на тот факт, что перечень информации, скрываемой присяжными, которая в дальнейшем влияет на отмену решения, не является закрытым, что служит отличной лазейкой как для сторон, так и властей, позволяющей отменять решения суда присяжных в вышестоящей инстанции.</w:t>
      </w:r>
      <w:r>
        <w:rPr>
          <w:rFonts w:ascii="Times New Roman" w:hAnsi="Times New Roman" w:cs="Times New Roman"/>
          <w:color w:val="000000"/>
          <w:sz w:val="24"/>
        </w:rPr>
        <w:t> </w:t>
      </w:r>
    </w:p>
    <w:p w:rsidR="00517711" w:rsidRDefault="00F815BE">
      <w:pPr>
        <w:spacing w:after="112" w:line="314" w:lineRule="exact"/>
        <w:ind w:firstLine="705"/>
        <w:jc w:val="both"/>
      </w:pPr>
      <w:r>
        <w:rPr>
          <w:rFonts w:ascii="Times New Roman" w:hAnsi="Times New Roman" w:cs="Times New Roman"/>
          <w:color w:val="000000"/>
          <w:sz w:val="24"/>
          <w:highlight w:val="white"/>
        </w:rPr>
        <w:t>Ярким примером является дело С. В. Капралова [14].</w:t>
      </w:r>
      <w:r>
        <w:rPr>
          <w:rFonts w:ascii="Times New Roman" w:hAnsi="Times New Roman" w:cs="Times New Roman"/>
          <w:color w:val="000000"/>
          <w:sz w:val="24"/>
        </w:rPr>
        <w:t xml:space="preserve"> Четыре раза Верховный Суд РФ возвращал уголовное дело на новое рассмотрение, отменяя по представлениям прокурора оправдательные приговоры Астраханского областного суда от 6 июня 2006 г., от 6 февраля 2007 г., от 2 октября 2007 г. и от 4 июня 2008 г. по основаниям сокрытия присяжными информации о привлечении их либо их близких к административной или уголовной ответственности.  </w:t>
      </w:r>
    </w:p>
    <w:p w:rsidR="00517711" w:rsidRDefault="00F815BE">
      <w:pPr>
        <w:spacing w:after="112" w:line="314" w:lineRule="exact"/>
        <w:ind w:firstLine="705"/>
        <w:jc w:val="both"/>
      </w:pPr>
      <w:r>
        <w:rPr>
          <w:rFonts w:ascii="Times New Roman" w:hAnsi="Times New Roman" w:cs="Times New Roman"/>
          <w:color w:val="000000"/>
          <w:sz w:val="24"/>
        </w:rPr>
        <w:t>Возникает вопрос: что мешало прокурору представить данные сведения ранее, дабы избежать отмен и пересмотра решений суда присяжных, повлекших не только большие финансовые расходы, но и затягивание рассматриваемого уголовного дела обвиняемого? На лицо намеренные действие сотрудника власти с целью добиться обвинительного приговора подсудимому, достичь которую ему в итоге удалось. Решения суда присяжных отменялись по формальным основаниям (скрытый факт привлечения к административной ответственности как кандидатов, так их родственников). Следовательно, необходимо ввести закрытый перечень информации, сокрытие которой присяжными будет считаться основанием отмены приговора вышестоящей инстанцией.  </w:t>
      </w:r>
    </w:p>
    <w:p w:rsidR="00517711" w:rsidRDefault="00F815BE">
      <w:pPr>
        <w:spacing w:after="112" w:line="314" w:lineRule="exact"/>
        <w:ind w:firstLine="705"/>
        <w:jc w:val="both"/>
      </w:pPr>
      <w:r>
        <w:rPr>
          <w:rFonts w:ascii="Times New Roman" w:hAnsi="Times New Roman" w:cs="Times New Roman"/>
          <w:color w:val="000000"/>
          <w:sz w:val="24"/>
        </w:rPr>
        <w:t>Удачно предложение А. В. Верещагиной и М. Е. Омельяненко о направлении «электронных запросов о наличии (отсутствии) судимости на каждого кандидата в Информационный центр Управления министерства внутренних дел соответствующего региона» [8, с. 88]. Авторы предлагают подключить к этой работе специальные отделы, созданные на базе судов первой инстанции, дабы снять нагрузку с секретарей судебного заседания и (или) помощника судьи. Такие отделы возьмут на себя рассылку приглашений о явке в суд и анкет, будут осуществлять запросы в отношении кандидатов, оказывать организационную помощь гражданам, желающим участвовать в рассмотрении уголовного дела (в т. ч. бронирование гостинец, организация питания присяжных, обеспечение канцелярскими принадлежностями и пр.) [8, с. 88]. </w:t>
      </w:r>
    </w:p>
    <w:p w:rsidR="00517711" w:rsidRDefault="00F815BE">
      <w:pPr>
        <w:spacing w:after="112" w:line="314" w:lineRule="exact"/>
        <w:ind w:firstLine="705"/>
        <w:jc w:val="both"/>
      </w:pPr>
      <w:r>
        <w:rPr>
          <w:rFonts w:ascii="Times New Roman" w:hAnsi="Times New Roman" w:cs="Times New Roman"/>
          <w:color w:val="000000"/>
          <w:sz w:val="24"/>
        </w:rPr>
        <w:t xml:space="preserve">Направление предварительного списка присяжных заседателей на обязательную проверку в </w:t>
      </w:r>
      <w:r>
        <w:rPr>
          <w:rFonts w:ascii="Times New Roman" w:hAnsi="Times New Roman" w:cs="Times New Roman"/>
          <w:color w:val="000000"/>
          <w:sz w:val="24"/>
          <w:highlight w:val="white"/>
        </w:rPr>
        <w:t>территориальные органы управлений МВД</w:t>
      </w:r>
      <w:r>
        <w:rPr>
          <w:rFonts w:ascii="Times New Roman" w:hAnsi="Times New Roman" w:cs="Times New Roman"/>
          <w:color w:val="000000"/>
          <w:sz w:val="24"/>
        </w:rPr>
        <w:t xml:space="preserve"> и своевременное получение информации: 1) позволит заблаговременно выявить и отвести «неподходящих» кандидатов</w:t>
      </w:r>
      <w:r>
        <w:rPr>
          <w:rFonts w:ascii="Times New Roman" w:hAnsi="Times New Roman" w:cs="Times New Roman"/>
          <w:color w:val="000000"/>
          <w:sz w:val="24"/>
          <w:highlight w:val="white"/>
        </w:rPr>
        <w:t>; 2</w:t>
      </w:r>
      <w:r>
        <w:rPr>
          <w:rFonts w:ascii="Times New Roman" w:hAnsi="Times New Roman" w:cs="Times New Roman"/>
          <w:color w:val="000000"/>
          <w:sz w:val="24"/>
        </w:rPr>
        <w:t>) предотвратит расходы на новый пересмотр уголовного дела и исключит работу по формированию новых коллегий (в случае отмены приговора по данным основаниям); 3) сократит связанные с ними сроки рассмотрения уголовного дела, уменьшив психологическую напряженность подсудимого. </w:t>
      </w:r>
    </w:p>
    <w:p w:rsidR="00517711" w:rsidRDefault="00F815BE">
      <w:pPr>
        <w:spacing w:after="112" w:line="314" w:lineRule="exact"/>
        <w:ind w:firstLine="705"/>
        <w:jc w:val="both"/>
      </w:pPr>
      <w:r>
        <w:rPr>
          <w:rFonts w:ascii="Times New Roman" w:hAnsi="Times New Roman" w:cs="Times New Roman"/>
          <w:color w:val="000000"/>
          <w:sz w:val="24"/>
        </w:rPr>
        <w:t>Таким образом, процедура формирования коллегии присяжных заседателей определяет ее законный состав. Именно случайное формирование списков, значительный количественный состав коллегии, а также опрос присяжного на процессуальном этапе при наличии сомнения в его беспристрастности (для изучения личности и убеждения) приравниваются Европейским Судом по правам человека к процедурным гарантиям, обеспечивающим независимость и беспристрастность присяжного [15, с. 136].  </w:t>
      </w:r>
    </w:p>
    <w:p w:rsidR="00517711" w:rsidRDefault="00F815BE">
      <w:pPr>
        <w:spacing w:after="112" w:line="314" w:lineRule="exact"/>
        <w:ind w:firstLine="705"/>
        <w:jc w:val="both"/>
      </w:pPr>
      <w:r>
        <w:rPr>
          <w:rFonts w:ascii="Times New Roman" w:hAnsi="Times New Roman" w:cs="Times New Roman"/>
          <w:color w:val="000000"/>
          <w:sz w:val="24"/>
        </w:rPr>
        <w:t>Важно, чтобы процедура формирования коллегии присяжных заседателей исключала любую возможность незаконного, произвольного, формального либо предвзятого отбора присяжных. Надеемся, что сформулированные в исследовании предложения по совершенствованию позволят приблизиться к данной цели. </w:t>
      </w:r>
    </w:p>
    <w:p w:rsidR="00517711" w:rsidRDefault="00F815BE">
      <w:pPr>
        <w:spacing w:after="112" w:line="314" w:lineRule="exact"/>
        <w:jc w:val="both"/>
      </w:pPr>
      <w:r>
        <w:rPr>
          <w:rFonts w:ascii="Times New Roman" w:hAnsi="Times New Roman" w:cs="Times New Roman"/>
          <w:color w:val="000000"/>
          <w:sz w:val="24"/>
        </w:rPr>
        <w:t>________________________________________________________________________________ </w:t>
      </w:r>
    </w:p>
    <w:p w:rsidR="00517711" w:rsidRDefault="00F815BE">
      <w:pPr>
        <w:spacing w:after="112" w:line="314" w:lineRule="exact"/>
        <w:ind w:firstLine="705"/>
        <w:jc w:val="both"/>
      </w:pPr>
      <w:r>
        <w:rPr>
          <w:rFonts w:ascii="Times New Roman" w:hAnsi="Times New Roman" w:cs="Times New Roman"/>
          <w:color w:val="000000"/>
          <w:sz w:val="24"/>
        </w:rPr>
        <w:t>1 Конституция Российской Федерации: принята всенародным голосованием 12.12.1993 (ред. от 21.07.2014) [Электронный ресурс] // СПС «КонсультантПлюс». – Режим доступа: http://www.consultant.ru/document/cons_doc_LAW_28399/ </w:t>
      </w:r>
    </w:p>
    <w:p w:rsidR="00517711" w:rsidRDefault="00F815BE">
      <w:pPr>
        <w:spacing w:after="112" w:line="314" w:lineRule="exact"/>
        <w:ind w:firstLine="705"/>
        <w:jc w:val="both"/>
      </w:pPr>
      <w:r>
        <w:rPr>
          <w:rFonts w:ascii="Times New Roman" w:hAnsi="Times New Roman" w:cs="Times New Roman"/>
          <w:color w:val="000000"/>
          <w:sz w:val="24"/>
        </w:rPr>
        <w:t>2 Уголовно-процессуальный кодекс Российской Федерации: федеральный закон от 18.12.2001 № 177-ФЗ (ред. от 23.04.2018) [Электронный ресурс] // СПС «КонсультантПлюс». – Режим доступа: http://www.consultant.ru/document/cons_doc_LAW_34481/ </w:t>
      </w:r>
    </w:p>
    <w:p w:rsidR="00517711" w:rsidRDefault="00F815BE">
      <w:pPr>
        <w:spacing w:after="112" w:line="314" w:lineRule="exact"/>
        <w:ind w:firstLine="705"/>
        <w:jc w:val="both"/>
      </w:pPr>
      <w:r>
        <w:rPr>
          <w:rFonts w:ascii="Times New Roman" w:hAnsi="Times New Roman" w:cs="Times New Roman"/>
          <w:color w:val="000000"/>
          <w:sz w:val="24"/>
        </w:rPr>
        <w:t>3 О внесении изменений в Уголовно-процессуальный кодекс Российской Федерации в связи с расширением применения института присяжных заседателей: федеральный закон от 23.06.2016 № 190-ФЗ [Электронный ресурс] // СПС «КонсультантПлюс». – Режим доступа: http://www.consultant.ru /document/cons_doc_LAW_199974/ </w:t>
      </w:r>
    </w:p>
    <w:p w:rsidR="00517711" w:rsidRDefault="00F815BE">
      <w:pPr>
        <w:spacing w:after="112" w:line="314" w:lineRule="exact"/>
        <w:ind w:firstLine="705"/>
        <w:jc w:val="both"/>
      </w:pPr>
      <w:r>
        <w:rPr>
          <w:rFonts w:ascii="Times New Roman" w:hAnsi="Times New Roman" w:cs="Times New Roman"/>
          <w:color w:val="000000"/>
          <w:sz w:val="24"/>
        </w:rPr>
        <w:t>4 Тисен О. Н. Теоретические и практические проблемы формирования коллегии присяжных заседателей: монография / О. Н. Тисен. – М.: Юрлитинформ, 2010. – 240 с. </w:t>
      </w:r>
    </w:p>
    <w:p w:rsidR="00517711" w:rsidRDefault="00F815BE">
      <w:pPr>
        <w:spacing w:after="112" w:line="314" w:lineRule="exact"/>
        <w:ind w:firstLine="705"/>
        <w:jc w:val="both"/>
      </w:pPr>
      <w:r>
        <w:rPr>
          <w:rFonts w:ascii="Times New Roman" w:hAnsi="Times New Roman" w:cs="Times New Roman"/>
          <w:color w:val="000000"/>
          <w:sz w:val="24"/>
        </w:rPr>
        <w:t>5 О присяжных заседателях федеральных судов общей юрисдикции в Российской Федерации: федеральный закон от 20.08.2004 № 113-ФЗ (ред. от 01.07.2017) [Электронный ресурс] // СПС «КонсультантПлюс». – Режим доступа: http://www.consultant.ru/document/cons_doc_LAW_48943/  </w:t>
      </w:r>
    </w:p>
    <w:p w:rsidR="00517711" w:rsidRDefault="00F815BE">
      <w:pPr>
        <w:spacing w:after="112" w:line="314" w:lineRule="exact"/>
        <w:ind w:firstLine="705"/>
        <w:jc w:val="both"/>
      </w:pPr>
      <w:r>
        <w:rPr>
          <w:rFonts w:ascii="Times New Roman" w:hAnsi="Times New Roman" w:cs="Times New Roman"/>
          <w:color w:val="000000"/>
          <w:sz w:val="24"/>
        </w:rPr>
        <w:t>6 Шигуров А. В. Проблемы реализации принципа случайной выборки при формировании коллегии присяжных заседателей в российском уголовном процессе [Электронный ресурс] / А.В. Шигуров // Электронные журналы. – Режим доступа: http://e-notabene.ru/lr/article_17907.html </w:t>
      </w:r>
    </w:p>
    <w:p w:rsidR="00517711" w:rsidRDefault="00F815BE">
      <w:pPr>
        <w:spacing w:after="112" w:line="314" w:lineRule="exact"/>
        <w:ind w:firstLine="705"/>
        <w:jc w:val="both"/>
      </w:pPr>
      <w:r>
        <w:rPr>
          <w:rFonts w:ascii="Times New Roman" w:hAnsi="Times New Roman" w:cs="Times New Roman"/>
          <w:color w:val="000000"/>
          <w:sz w:val="24"/>
        </w:rPr>
        <w:t xml:space="preserve">7 </w:t>
      </w:r>
      <w:r>
        <w:rPr>
          <w:rFonts w:ascii="Times New Roman" w:hAnsi="Times New Roman" w:cs="Times New Roman"/>
          <w:color w:val="000000"/>
          <w:sz w:val="24"/>
          <w:highlight w:val="white"/>
        </w:rPr>
        <w:t xml:space="preserve">Тюхтенев С. С. </w:t>
      </w:r>
      <w:r>
        <w:rPr>
          <w:rFonts w:ascii="Times New Roman" w:hAnsi="Times New Roman" w:cs="Times New Roman"/>
          <w:color w:val="000000"/>
          <w:sz w:val="24"/>
        </w:rPr>
        <w:t>Суд присяжных заседателей в Российской Федерации: учебно-методический комплекс / С. С. Тюхтенев. – Горно-Алтайск: РИО ГАГУ, 2008. – 36 с. </w:t>
      </w:r>
    </w:p>
    <w:p w:rsidR="00517711" w:rsidRDefault="00F815BE">
      <w:pPr>
        <w:spacing w:after="112" w:line="314" w:lineRule="exact"/>
        <w:ind w:firstLine="705"/>
        <w:jc w:val="both"/>
      </w:pPr>
      <w:r>
        <w:rPr>
          <w:rFonts w:ascii="Times New Roman" w:hAnsi="Times New Roman" w:cs="Times New Roman"/>
          <w:color w:val="000000"/>
          <w:sz w:val="24"/>
        </w:rPr>
        <w:t>8 Верещагина А. В. Реорганизация устройства и работы городских (районных) судов в связи с реформированием института присяжных заседателей / А. В. Верещагина, М. Е. Омельяненко // Территория новых возможностей. Вестник Владивостокского государственного университета экономики и сервиса. – 2018. – Т. 10. – № 1. – С. 84–92. </w:t>
      </w:r>
    </w:p>
    <w:p w:rsidR="00517711" w:rsidRDefault="00F815BE">
      <w:pPr>
        <w:spacing w:after="112" w:line="314" w:lineRule="exact"/>
        <w:ind w:firstLine="705"/>
        <w:jc w:val="both"/>
      </w:pPr>
      <w:r>
        <w:rPr>
          <w:rFonts w:ascii="Times New Roman" w:hAnsi="Times New Roman" w:cs="Times New Roman"/>
          <w:color w:val="000000"/>
          <w:sz w:val="24"/>
        </w:rPr>
        <w:t>9 Апелляционное определение Верховного Суда РФ от 25.10.2016 № 2-АПУ16-5сп [Электронный ресурс] // СПС «КонсультантПлюс». – Режим доступа: http://www.consultant.ru/cons/cgi/online.cgi?req=doc;base=ARB;n=480005#018413959518641798 </w:t>
      </w:r>
    </w:p>
    <w:p w:rsidR="00517711" w:rsidRDefault="00F815BE">
      <w:pPr>
        <w:spacing w:after="112" w:line="314" w:lineRule="exact"/>
        <w:ind w:firstLine="705"/>
        <w:jc w:val="both"/>
      </w:pPr>
      <w:r>
        <w:rPr>
          <w:rFonts w:ascii="Times New Roman" w:hAnsi="Times New Roman" w:cs="Times New Roman"/>
          <w:color w:val="000000"/>
          <w:sz w:val="24"/>
        </w:rPr>
        <w:t>10 Кони А. Ф. Собрание сочинений в восьми томах. Т. 1. Из записок судебного деятеля / А. Ф. Кони / под общей ред. В. Г. Базанова и др.; ред. тома А. П. Могилянский; прим. В. Гинева и М. Выдри. – М.: Юрид. лит., 1966. – 567 с.: фот. Предм. указ.: с. 530-540. </w:t>
      </w:r>
    </w:p>
    <w:p w:rsidR="00517711" w:rsidRDefault="00F815BE">
      <w:pPr>
        <w:spacing w:after="112" w:line="314" w:lineRule="exact"/>
        <w:ind w:firstLine="705"/>
        <w:jc w:val="both"/>
      </w:pPr>
      <w:r>
        <w:rPr>
          <w:rFonts w:ascii="Times New Roman" w:hAnsi="Times New Roman" w:cs="Times New Roman"/>
          <w:color w:val="000000"/>
          <w:sz w:val="24"/>
        </w:rPr>
        <w:t>11 Учреждение судебных установлений 20.11.1864 [Электронный ресурс] // СПС «Гарант». – Режим доступа: http://base.garant.ru/57791718/8/#block_2200 </w:t>
      </w:r>
    </w:p>
    <w:p w:rsidR="00517711" w:rsidRDefault="00F815BE">
      <w:pPr>
        <w:spacing w:after="112" w:line="314" w:lineRule="exact"/>
        <w:ind w:firstLine="705"/>
        <w:jc w:val="both"/>
      </w:pPr>
      <w:r>
        <w:rPr>
          <w:rFonts w:ascii="Times New Roman" w:hAnsi="Times New Roman" w:cs="Times New Roman"/>
          <w:color w:val="000000"/>
          <w:sz w:val="24"/>
        </w:rPr>
        <w:t>9 Уставы уголовного судопроизводства 1864 года [Электронный ресурс] // СПС «Гарант». – Режим доступа: http://base.garant.ru/57791498/ </w:t>
      </w:r>
    </w:p>
    <w:p w:rsidR="00517711" w:rsidRDefault="00F815BE">
      <w:pPr>
        <w:spacing w:after="112" w:line="314" w:lineRule="exact"/>
        <w:ind w:firstLine="705"/>
        <w:jc w:val="both"/>
      </w:pPr>
      <w:r>
        <w:rPr>
          <w:rFonts w:ascii="Times New Roman" w:hAnsi="Times New Roman" w:cs="Times New Roman"/>
          <w:color w:val="000000"/>
          <w:sz w:val="24"/>
        </w:rPr>
        <w:t>13 О применении судами норм УПК РФ, регулирующих судопроизводство с участием присяжных заседателей: постановление Пленума Верховного Суда РФ от 22.11.2005 № 23 (ред. от 22.12.2015) [Электронный ресурс] // СПС «КонсультантПлюс». – Режим доступа: http://www.consultant.ru/document/cons_doc_LAW_56702/ </w:t>
      </w:r>
    </w:p>
    <w:p w:rsidR="00517711" w:rsidRDefault="00F815BE">
      <w:pPr>
        <w:spacing w:after="112" w:line="314" w:lineRule="exact"/>
        <w:ind w:firstLine="705"/>
        <w:jc w:val="both"/>
      </w:pPr>
      <w:r>
        <w:rPr>
          <w:rFonts w:ascii="Times New Roman" w:hAnsi="Times New Roman" w:cs="Times New Roman"/>
          <w:color w:val="000000"/>
          <w:sz w:val="24"/>
        </w:rPr>
        <w:t xml:space="preserve">14 </w:t>
      </w:r>
      <w:r>
        <w:rPr>
          <w:rFonts w:ascii="Times New Roman" w:hAnsi="Times New Roman" w:cs="Times New Roman"/>
          <w:color w:val="000000"/>
          <w:sz w:val="24"/>
          <w:highlight w:val="white"/>
        </w:rPr>
        <w:t xml:space="preserve">Об отказе в принятии к рассмотрению жалобы гражданина Капралова Станислава Владимировича на нарушение его конституционных прав положениями статей 326, 327 и 328 Уголовно-процессуального кодекса Российской Федерации, а также статей 5, 7 и 8 Федерального закона </w:t>
      </w:r>
      <w:r>
        <w:rPr>
          <w:rFonts w:ascii="Times New Roman" w:hAnsi="Times New Roman" w:cs="Times New Roman"/>
          <w:color w:val="000000"/>
          <w:sz w:val="24"/>
        </w:rPr>
        <w:t>«</w:t>
      </w:r>
      <w:r>
        <w:rPr>
          <w:rFonts w:ascii="Times New Roman" w:hAnsi="Times New Roman" w:cs="Times New Roman"/>
          <w:color w:val="000000"/>
          <w:sz w:val="24"/>
          <w:highlight w:val="white"/>
        </w:rPr>
        <w:t>О присяжных заседателях федеральных судов общей юрисдикции в Российской Федерации</w:t>
      </w:r>
      <w:r>
        <w:rPr>
          <w:rFonts w:ascii="Times New Roman" w:hAnsi="Times New Roman" w:cs="Times New Roman"/>
          <w:color w:val="000000"/>
          <w:sz w:val="24"/>
        </w:rPr>
        <w:t>»</w:t>
      </w:r>
      <w:r>
        <w:rPr>
          <w:rFonts w:ascii="Times New Roman" w:hAnsi="Times New Roman" w:cs="Times New Roman"/>
          <w:color w:val="000000"/>
          <w:sz w:val="24"/>
          <w:highlight w:val="white"/>
        </w:rPr>
        <w:t>: определение Конституционного Суда РФ от 17.11.2009 по делу № 1446-О-О</w:t>
      </w:r>
      <w:r>
        <w:rPr>
          <w:rFonts w:ascii="Times New Roman" w:hAnsi="Times New Roman" w:cs="Times New Roman"/>
          <w:color w:val="000000"/>
          <w:sz w:val="24"/>
        </w:rPr>
        <w:t xml:space="preserve"> [Электронный ресурс] // СПС «Гарант». – Режим доступа: http://base.garant.ru/1793744/ </w:t>
      </w:r>
    </w:p>
    <w:p w:rsidR="00517711" w:rsidRDefault="00F815BE">
      <w:pPr>
        <w:spacing w:after="112" w:line="314" w:lineRule="exact"/>
        <w:ind w:firstLine="705"/>
        <w:jc w:val="both"/>
      </w:pPr>
      <w:r>
        <w:rPr>
          <w:rFonts w:ascii="Times New Roman" w:hAnsi="Times New Roman" w:cs="Times New Roman"/>
          <w:color w:val="000000"/>
          <w:sz w:val="24"/>
        </w:rPr>
        <w:t>15 Стрелкова Ю. В. комментарий от 04.03.2015 [Электронный ресурс] // Суд присяжных. – Режим доступа: http://jurytrial.ru/forum/post/18 </w:t>
      </w:r>
    </w:p>
    <w:p w:rsidR="00517711" w:rsidRPr="00BD6187" w:rsidRDefault="00F815BE">
      <w:pPr>
        <w:spacing w:after="112" w:line="314" w:lineRule="exact"/>
        <w:ind w:firstLine="705"/>
        <w:jc w:val="both"/>
        <w:rPr>
          <w:lang w:val="en-US"/>
        </w:rPr>
      </w:pPr>
      <w:r w:rsidRPr="00BD6187">
        <w:rPr>
          <w:rFonts w:ascii="Times New Roman" w:hAnsi="Times New Roman" w:cs="Times New Roman"/>
          <w:color w:val="000000"/>
          <w:sz w:val="24"/>
          <w:lang w:val="en-US"/>
        </w:rPr>
        <w:t xml:space="preserve">16 </w:t>
      </w:r>
      <w:r w:rsidRPr="00BD6187">
        <w:rPr>
          <w:rFonts w:ascii="Times New Roman" w:hAnsi="Times New Roman" w:cs="Times New Roman"/>
          <w:color w:val="222222"/>
          <w:sz w:val="24"/>
          <w:lang w:val="en-US"/>
        </w:rPr>
        <w:t xml:space="preserve">About the Trial Process </w:t>
      </w:r>
      <w:r w:rsidRPr="00BD6187">
        <w:rPr>
          <w:rFonts w:ascii="Times New Roman" w:hAnsi="Times New Roman" w:cs="Times New Roman"/>
          <w:color w:val="000000"/>
          <w:sz w:val="24"/>
          <w:lang w:val="en-US"/>
        </w:rPr>
        <w:t>[</w:t>
      </w:r>
      <w:r>
        <w:rPr>
          <w:rFonts w:ascii="Times New Roman" w:hAnsi="Times New Roman" w:cs="Times New Roman"/>
          <w:color w:val="000000"/>
          <w:sz w:val="24"/>
        </w:rPr>
        <w:t>Электронный</w:t>
      </w:r>
      <w:r w:rsidRPr="00BD6187">
        <w:rPr>
          <w:rFonts w:ascii="Times New Roman" w:hAnsi="Times New Roman" w:cs="Times New Roman"/>
          <w:color w:val="000000"/>
          <w:sz w:val="24"/>
          <w:lang w:val="en-US"/>
        </w:rPr>
        <w:t xml:space="preserve"> </w:t>
      </w:r>
      <w:r>
        <w:rPr>
          <w:rFonts w:ascii="Times New Roman" w:hAnsi="Times New Roman" w:cs="Times New Roman"/>
          <w:color w:val="000000"/>
          <w:sz w:val="24"/>
        </w:rPr>
        <w:t>ресурс</w:t>
      </w:r>
      <w:r w:rsidRPr="00BD6187">
        <w:rPr>
          <w:rFonts w:ascii="Times New Roman" w:hAnsi="Times New Roman" w:cs="Times New Roman"/>
          <w:color w:val="000000"/>
          <w:sz w:val="24"/>
          <w:lang w:val="en-US"/>
        </w:rPr>
        <w:t xml:space="preserve">] // California courts: the judicial branch of California. – </w:t>
      </w:r>
      <w:r>
        <w:rPr>
          <w:rFonts w:ascii="Times New Roman" w:hAnsi="Times New Roman" w:cs="Times New Roman"/>
          <w:color w:val="000000"/>
          <w:sz w:val="24"/>
        </w:rPr>
        <w:t>Режим</w:t>
      </w:r>
      <w:r w:rsidRPr="00BD6187">
        <w:rPr>
          <w:rFonts w:ascii="Times New Roman" w:hAnsi="Times New Roman" w:cs="Times New Roman"/>
          <w:color w:val="000000"/>
          <w:sz w:val="24"/>
          <w:lang w:val="en-US"/>
        </w:rPr>
        <w:t xml:space="preserve"> </w:t>
      </w:r>
      <w:r>
        <w:rPr>
          <w:rFonts w:ascii="Times New Roman" w:hAnsi="Times New Roman" w:cs="Times New Roman"/>
          <w:color w:val="000000"/>
          <w:sz w:val="24"/>
        </w:rPr>
        <w:t>доступа</w:t>
      </w:r>
      <w:r w:rsidRPr="00BD6187">
        <w:rPr>
          <w:rFonts w:ascii="Times New Roman" w:hAnsi="Times New Roman" w:cs="Times New Roman"/>
          <w:color w:val="000000"/>
          <w:sz w:val="24"/>
          <w:lang w:val="en-US"/>
        </w:rPr>
        <w:t xml:space="preserve">:  </w:t>
      </w:r>
      <w:hyperlink r:id="rId322" w:history="1">
        <w:r w:rsidRPr="00BD6187">
          <w:rPr>
            <w:rStyle w:val="aa"/>
            <w:rFonts w:ascii="Times New Roman" w:hAnsi="Times New Roman" w:cs="Times New Roman"/>
            <w:sz w:val="24"/>
            <w:lang w:val="en-US"/>
          </w:rPr>
          <w:t>http://www.courts.ca.gov/2240.htm</w:t>
        </w:r>
      </w:hyperlink>
    </w:p>
    <w:p w:rsidR="00517711" w:rsidRDefault="00517711">
      <w:pPr>
        <w:pStyle w:val="af4"/>
        <w:spacing w:after="0" w:line="240" w:lineRule="auto"/>
        <w:jc w:val="both"/>
        <w:rPr>
          <w:rFonts w:ascii="Times New Roman" w:hAnsi="Times New Roman"/>
          <w:sz w:val="24"/>
          <w:szCs w:val="24"/>
          <w:lang w:val="en-US"/>
        </w:rPr>
      </w:pPr>
    </w:p>
    <w:p w:rsidR="00517711" w:rsidRDefault="00F815BE">
      <w:pPr>
        <w:pStyle w:val="af4"/>
        <w:spacing w:after="0" w:line="240" w:lineRule="auto"/>
        <w:jc w:val="both"/>
        <w:rPr>
          <w:rFonts w:ascii="Times New Roman" w:hAnsi="Times New Roman"/>
          <w:sz w:val="24"/>
          <w:szCs w:val="24"/>
          <w:lang w:val="en-US"/>
        </w:rPr>
      </w:pPr>
      <w:r>
        <w:rPr>
          <w:rFonts w:ascii="Times New Roman" w:hAnsi="Times New Roman"/>
          <w:sz w:val="24"/>
          <w:szCs w:val="24"/>
          <w:lang w:val="en-US"/>
        </w:rPr>
        <w:t xml:space="preserve"> </w:t>
      </w:r>
    </w:p>
    <w:p w:rsidR="00517711" w:rsidRDefault="00517711">
      <w:pPr>
        <w:pStyle w:val="af4"/>
        <w:spacing w:after="0" w:line="240" w:lineRule="auto"/>
        <w:jc w:val="both"/>
        <w:rPr>
          <w:rFonts w:ascii="Times New Roman" w:hAnsi="Times New Roman"/>
          <w:sz w:val="24"/>
          <w:szCs w:val="24"/>
          <w:lang w:val="en-US"/>
        </w:rPr>
      </w:pPr>
    </w:p>
    <w:p w:rsidR="00517711" w:rsidRDefault="00517711">
      <w:pPr>
        <w:pStyle w:val="af4"/>
        <w:spacing w:after="0" w:line="240" w:lineRule="auto"/>
        <w:jc w:val="both"/>
        <w:rPr>
          <w:rFonts w:ascii="Times New Roman" w:hAnsi="Times New Roman"/>
          <w:sz w:val="24"/>
          <w:szCs w:val="24"/>
          <w:lang w:val="en-US"/>
        </w:rPr>
      </w:pPr>
    </w:p>
    <w:p w:rsidR="00517711" w:rsidRDefault="00517711">
      <w:pPr>
        <w:pStyle w:val="af4"/>
        <w:spacing w:after="0" w:line="240" w:lineRule="auto"/>
        <w:jc w:val="both"/>
        <w:rPr>
          <w:rFonts w:ascii="Times New Roman" w:hAnsi="Times New Roman"/>
          <w:sz w:val="24"/>
          <w:szCs w:val="24"/>
          <w:lang w:val="en-US"/>
        </w:rPr>
      </w:pPr>
    </w:p>
    <w:p w:rsidR="00517711" w:rsidRDefault="00517711">
      <w:pPr>
        <w:pStyle w:val="af4"/>
        <w:spacing w:after="0" w:line="240" w:lineRule="auto"/>
        <w:jc w:val="both"/>
        <w:rPr>
          <w:rFonts w:ascii="Times New Roman" w:hAnsi="Times New Roman"/>
          <w:sz w:val="24"/>
          <w:szCs w:val="24"/>
          <w:lang w:val="en-US"/>
        </w:rPr>
      </w:pPr>
    </w:p>
    <w:p w:rsidR="00517711" w:rsidRDefault="00517711">
      <w:pPr>
        <w:pStyle w:val="af4"/>
        <w:spacing w:after="0" w:line="240" w:lineRule="auto"/>
        <w:jc w:val="both"/>
        <w:rPr>
          <w:rFonts w:ascii="Times New Roman" w:hAnsi="Times New Roman"/>
          <w:sz w:val="24"/>
          <w:szCs w:val="24"/>
          <w:lang w:val="en-US"/>
        </w:rPr>
      </w:pPr>
    </w:p>
    <w:p w:rsidR="00517711" w:rsidRDefault="00517711">
      <w:pPr>
        <w:pStyle w:val="af4"/>
        <w:spacing w:after="0" w:line="240" w:lineRule="auto"/>
        <w:jc w:val="both"/>
        <w:rPr>
          <w:rFonts w:ascii="Times New Roman" w:hAnsi="Times New Roman"/>
          <w:sz w:val="24"/>
          <w:szCs w:val="24"/>
          <w:lang w:val="en-US"/>
        </w:rPr>
      </w:pPr>
    </w:p>
    <w:p w:rsidR="00517711" w:rsidRDefault="00F815BE">
      <w:pPr>
        <w:shd w:val="clear" w:color="auto" w:fill="FFFFFF"/>
        <w:spacing w:after="120"/>
        <w:jc w:val="both"/>
        <w:rPr>
          <w:rFonts w:ascii="Times New Roman" w:hAnsi="Times New Roman" w:cs="Times New Roman"/>
          <w:sz w:val="24"/>
          <w:szCs w:val="24"/>
          <w:lang w:bidi="ja-JP"/>
        </w:rPr>
      </w:pPr>
      <w:r>
        <w:rPr>
          <w:rFonts w:ascii="Times New Roman" w:hAnsi="Times New Roman" w:cs="Times New Roman"/>
          <w:sz w:val="24"/>
          <w:szCs w:val="24"/>
          <w:lang w:bidi="ja-JP"/>
        </w:rPr>
        <w:t>Рубрика: Международные отношения и приграничное сотрудничество в АТР: опыт, проблемы и перспективы развития</w:t>
      </w:r>
    </w:p>
    <w:p w:rsidR="00517711" w:rsidRDefault="00F815BE">
      <w:pPr>
        <w:shd w:val="clear" w:color="auto" w:fill="FFFFFF"/>
        <w:spacing w:after="120"/>
        <w:jc w:val="both"/>
        <w:rPr>
          <w:rFonts w:ascii="Times New Roman" w:hAnsi="Times New Roman" w:cs="Times New Roman"/>
          <w:sz w:val="24"/>
          <w:szCs w:val="24"/>
          <w:lang w:bidi="ja-JP"/>
        </w:rPr>
      </w:pPr>
      <w:r>
        <w:rPr>
          <w:rFonts w:ascii="Times New Roman" w:hAnsi="Times New Roman" w:cs="Times New Roman"/>
          <w:sz w:val="24"/>
          <w:szCs w:val="24"/>
          <w:lang w:bidi="ja-JP"/>
        </w:rPr>
        <w:t>УДК 327</w:t>
      </w:r>
    </w:p>
    <w:p w:rsidR="00517711" w:rsidRDefault="00F815BE">
      <w:pPr>
        <w:shd w:val="clear" w:color="auto" w:fill="FFFFFF"/>
        <w:spacing w:after="120"/>
        <w:ind w:firstLine="709"/>
        <w:jc w:val="center"/>
        <w:rPr>
          <w:rFonts w:ascii="Times New Roman" w:hAnsi="Times New Roman" w:cs="Times New Roman"/>
          <w:b/>
          <w:bCs/>
          <w:sz w:val="24"/>
          <w:szCs w:val="24"/>
          <w:lang w:bidi="ja-JP"/>
        </w:rPr>
      </w:pPr>
      <w:r>
        <w:rPr>
          <w:rFonts w:ascii="Times New Roman" w:hAnsi="Times New Roman" w:cs="Times New Roman"/>
          <w:b/>
          <w:bCs/>
          <w:sz w:val="24"/>
          <w:szCs w:val="24"/>
          <w:lang w:bidi="ja-JP"/>
        </w:rPr>
        <w:t>Японо-китайское экономическое</w:t>
      </w:r>
      <w:r>
        <w:rPr>
          <w:rFonts w:ascii="Times New Roman" w:hAnsi="Times New Roman" w:cs="Times New Roman"/>
          <w:sz w:val="24"/>
          <w:szCs w:val="24"/>
          <w:lang w:bidi="ja-JP"/>
        </w:rPr>
        <w:t xml:space="preserve"> </w:t>
      </w:r>
      <w:r>
        <w:rPr>
          <w:rFonts w:ascii="Times New Roman" w:hAnsi="Times New Roman" w:cs="Times New Roman"/>
          <w:b/>
          <w:bCs/>
          <w:sz w:val="24"/>
          <w:szCs w:val="24"/>
          <w:lang w:bidi="ja-JP"/>
        </w:rPr>
        <w:t>сотрудничество, влияние Японии на рост экономики Китая</w:t>
      </w:r>
    </w:p>
    <w:p w:rsidR="00517711" w:rsidRDefault="00F815BE">
      <w:pPr>
        <w:tabs>
          <w:tab w:val="left" w:pos="1665"/>
        </w:tabs>
        <w:ind w:firstLine="709"/>
        <w:jc w:val="center"/>
        <w:rPr>
          <w:rFonts w:ascii="Times New Roman" w:hAnsi="Times New Roman" w:cs="Times New Roman"/>
          <w:sz w:val="24"/>
          <w:szCs w:val="24"/>
          <w:lang w:bidi="ja-JP"/>
        </w:rPr>
      </w:pPr>
      <w:r>
        <w:rPr>
          <w:rFonts w:ascii="Times New Roman" w:hAnsi="Times New Roman" w:cs="Times New Roman"/>
          <w:sz w:val="24"/>
          <w:szCs w:val="24"/>
          <w:lang w:bidi="ja-JP"/>
        </w:rPr>
        <w:t>Шульга Надежда Геннадьевна,</w:t>
      </w:r>
    </w:p>
    <w:p w:rsidR="00517711" w:rsidRDefault="00F815BE">
      <w:pPr>
        <w:tabs>
          <w:tab w:val="left" w:pos="1665"/>
        </w:tabs>
        <w:ind w:firstLine="709"/>
        <w:jc w:val="center"/>
        <w:rPr>
          <w:rFonts w:ascii="Times New Roman" w:hAnsi="Times New Roman" w:cs="Times New Roman"/>
          <w:sz w:val="24"/>
          <w:szCs w:val="24"/>
          <w:lang w:bidi="ja-JP"/>
        </w:rPr>
      </w:pPr>
      <w:r>
        <w:rPr>
          <w:rFonts w:ascii="Times New Roman" w:hAnsi="Times New Roman" w:cs="Times New Roman"/>
          <w:sz w:val="24"/>
          <w:szCs w:val="24"/>
          <w:lang w:bidi="ja-JP"/>
        </w:rPr>
        <w:t>бакалавр 4 курса</w:t>
      </w:r>
    </w:p>
    <w:p w:rsidR="00517711" w:rsidRDefault="00F815BE">
      <w:pPr>
        <w:tabs>
          <w:tab w:val="left" w:pos="1665"/>
        </w:tabs>
        <w:ind w:firstLine="709"/>
        <w:jc w:val="center"/>
        <w:rPr>
          <w:rFonts w:ascii="Times New Roman" w:hAnsi="Times New Roman" w:cs="Times New Roman"/>
          <w:sz w:val="24"/>
          <w:szCs w:val="24"/>
          <w:lang w:bidi="ja-JP"/>
        </w:rPr>
      </w:pPr>
      <w:r>
        <w:rPr>
          <w:rFonts w:ascii="Times New Roman" w:hAnsi="Times New Roman" w:cs="Times New Roman"/>
          <w:sz w:val="24"/>
          <w:szCs w:val="24"/>
          <w:lang w:bidi="ja-JP"/>
        </w:rPr>
        <w:t>кафедра теории и истории российского и зарубежного права</w:t>
      </w:r>
    </w:p>
    <w:p w:rsidR="00517711" w:rsidRDefault="00F815BE">
      <w:pPr>
        <w:tabs>
          <w:tab w:val="left" w:pos="1665"/>
        </w:tabs>
        <w:ind w:firstLine="709"/>
        <w:jc w:val="center"/>
        <w:rPr>
          <w:rFonts w:ascii="Times New Roman" w:hAnsi="Times New Roman" w:cs="Times New Roman"/>
          <w:i/>
          <w:iCs/>
          <w:sz w:val="24"/>
          <w:szCs w:val="24"/>
          <w:lang w:bidi="ja-JP"/>
        </w:rPr>
      </w:pPr>
      <w:r>
        <w:rPr>
          <w:rFonts w:ascii="Times New Roman" w:hAnsi="Times New Roman" w:cs="Times New Roman"/>
          <w:i/>
          <w:iCs/>
          <w:sz w:val="24"/>
          <w:szCs w:val="24"/>
          <w:lang w:bidi="ja-JP"/>
        </w:rPr>
        <w:t>Владивостокский государственный университет экономики и сервиса</w:t>
      </w:r>
    </w:p>
    <w:p w:rsidR="00517711" w:rsidRDefault="00F815BE">
      <w:pPr>
        <w:tabs>
          <w:tab w:val="left" w:pos="1665"/>
        </w:tabs>
        <w:ind w:firstLine="709"/>
        <w:jc w:val="center"/>
        <w:rPr>
          <w:rFonts w:ascii="Times New Roman" w:hAnsi="Times New Roman" w:cs="Times New Roman"/>
          <w:sz w:val="24"/>
          <w:szCs w:val="24"/>
          <w:lang w:bidi="ja-JP"/>
        </w:rPr>
      </w:pPr>
      <w:r>
        <w:rPr>
          <w:rFonts w:ascii="Times New Roman" w:hAnsi="Times New Roman" w:cs="Times New Roman"/>
          <w:i/>
          <w:iCs/>
          <w:sz w:val="24"/>
          <w:szCs w:val="24"/>
          <w:lang w:bidi="ja-JP"/>
        </w:rPr>
        <w:t>Россия. Владивосток</w:t>
      </w:r>
    </w:p>
    <w:p w:rsidR="00517711" w:rsidRPr="00BD6187" w:rsidRDefault="00F815BE">
      <w:pPr>
        <w:tabs>
          <w:tab w:val="left" w:pos="1665"/>
        </w:tabs>
        <w:ind w:firstLine="709"/>
        <w:jc w:val="center"/>
        <w:rPr>
          <w:rFonts w:ascii="Times New Roman" w:hAnsi="Times New Roman" w:cs="Times New Roman"/>
          <w:sz w:val="24"/>
          <w:szCs w:val="24"/>
          <w:lang w:bidi="ja-JP"/>
        </w:rPr>
      </w:pPr>
      <w:r>
        <w:rPr>
          <w:rFonts w:ascii="Times New Roman" w:hAnsi="Times New Roman" w:cs="Times New Roman"/>
          <w:sz w:val="24"/>
          <w:szCs w:val="24"/>
          <w:lang w:val="en-US" w:bidi="ja-JP"/>
        </w:rPr>
        <w:t>E</w:t>
      </w:r>
      <w:r w:rsidRPr="00BD6187">
        <w:rPr>
          <w:rFonts w:ascii="Times New Roman" w:hAnsi="Times New Roman" w:cs="Times New Roman"/>
          <w:sz w:val="24"/>
          <w:szCs w:val="24"/>
          <w:lang w:bidi="ja-JP"/>
        </w:rPr>
        <w:t>-</w:t>
      </w:r>
      <w:r>
        <w:rPr>
          <w:rFonts w:ascii="Times New Roman" w:hAnsi="Times New Roman" w:cs="Times New Roman"/>
          <w:sz w:val="24"/>
          <w:szCs w:val="24"/>
          <w:lang w:val="en-US" w:bidi="ja-JP"/>
        </w:rPr>
        <w:t>mail</w:t>
      </w:r>
      <w:r w:rsidRPr="00BD6187">
        <w:rPr>
          <w:rFonts w:ascii="Times New Roman" w:hAnsi="Times New Roman" w:cs="Times New Roman"/>
          <w:sz w:val="24"/>
          <w:szCs w:val="24"/>
          <w:lang w:bidi="ja-JP"/>
        </w:rPr>
        <w:t xml:space="preserve">: </w:t>
      </w:r>
      <w:hyperlink r:id="rId323" w:history="1">
        <w:r>
          <w:rPr>
            <w:rStyle w:val="aa"/>
            <w:rFonts w:ascii="Times New Roman" w:hAnsi="Times New Roman" w:cs="Times New Roman"/>
            <w:sz w:val="24"/>
            <w:szCs w:val="24"/>
            <w:lang w:val="en-US" w:bidi="ja-JP"/>
          </w:rPr>
          <w:t>sh</w:t>
        </w:r>
        <w:r w:rsidRPr="00BD6187">
          <w:rPr>
            <w:rStyle w:val="aa"/>
            <w:rFonts w:ascii="Times New Roman" w:hAnsi="Times New Roman" w:cs="Times New Roman"/>
            <w:sz w:val="24"/>
            <w:szCs w:val="24"/>
            <w:lang w:bidi="ja-JP"/>
          </w:rPr>
          <w:t>-</w:t>
        </w:r>
        <w:r>
          <w:rPr>
            <w:rStyle w:val="aa"/>
            <w:rFonts w:ascii="Times New Roman" w:hAnsi="Times New Roman" w:cs="Times New Roman"/>
            <w:sz w:val="24"/>
            <w:szCs w:val="24"/>
            <w:lang w:val="en-US" w:bidi="ja-JP"/>
          </w:rPr>
          <w:t>nadusha</w:t>
        </w:r>
        <w:r w:rsidRPr="00BD6187">
          <w:rPr>
            <w:rStyle w:val="aa"/>
            <w:rFonts w:ascii="Times New Roman" w:hAnsi="Times New Roman" w:cs="Times New Roman"/>
            <w:sz w:val="24"/>
            <w:szCs w:val="24"/>
            <w:lang w:bidi="ja-JP"/>
          </w:rPr>
          <w:t>2010@</w:t>
        </w:r>
        <w:r>
          <w:rPr>
            <w:rStyle w:val="aa"/>
            <w:rFonts w:ascii="Times New Roman" w:hAnsi="Times New Roman" w:cs="Times New Roman"/>
            <w:sz w:val="24"/>
            <w:szCs w:val="24"/>
            <w:lang w:val="en-US" w:bidi="ja-JP"/>
          </w:rPr>
          <w:t>yandex</w:t>
        </w:r>
        <w:r w:rsidRPr="00BD6187">
          <w:rPr>
            <w:rStyle w:val="aa"/>
            <w:rFonts w:ascii="Times New Roman" w:hAnsi="Times New Roman" w:cs="Times New Roman"/>
            <w:sz w:val="24"/>
            <w:szCs w:val="24"/>
            <w:lang w:bidi="ja-JP"/>
          </w:rPr>
          <w:t>.</w:t>
        </w:r>
        <w:r>
          <w:rPr>
            <w:rStyle w:val="aa"/>
            <w:rFonts w:ascii="Times New Roman" w:hAnsi="Times New Roman" w:cs="Times New Roman"/>
            <w:sz w:val="24"/>
            <w:szCs w:val="24"/>
            <w:lang w:val="en-US" w:bidi="ja-JP"/>
          </w:rPr>
          <w:t>ru</w:t>
        </w:r>
      </w:hyperlink>
      <w:r w:rsidRPr="00BD6187">
        <w:rPr>
          <w:rFonts w:ascii="Times New Roman" w:hAnsi="Times New Roman" w:cs="Times New Roman"/>
          <w:sz w:val="24"/>
          <w:szCs w:val="24"/>
          <w:lang w:bidi="ja-JP"/>
        </w:rPr>
        <w:t>; тел.: +79662734249</w:t>
      </w:r>
    </w:p>
    <w:p w:rsidR="00517711" w:rsidRDefault="00F815BE">
      <w:pPr>
        <w:tabs>
          <w:tab w:val="left" w:pos="1665"/>
        </w:tabs>
        <w:ind w:firstLine="709"/>
        <w:jc w:val="center"/>
        <w:rPr>
          <w:rFonts w:ascii="Times New Roman" w:hAnsi="Times New Roman" w:cs="Times New Roman"/>
          <w:sz w:val="24"/>
          <w:szCs w:val="24"/>
          <w:lang w:bidi="ja-JP"/>
        </w:rPr>
      </w:pPr>
      <w:r>
        <w:rPr>
          <w:rFonts w:ascii="Times New Roman" w:hAnsi="Times New Roman" w:cs="Times New Roman"/>
          <w:sz w:val="24"/>
          <w:szCs w:val="24"/>
          <w:lang w:bidi="ja-JP"/>
        </w:rPr>
        <w:t>Ул. Гоголя, 41, г. Владивосток, Приморский край, Россия, 690014</w:t>
      </w:r>
    </w:p>
    <w:p w:rsidR="00517711" w:rsidRDefault="00517711">
      <w:pPr>
        <w:tabs>
          <w:tab w:val="left" w:pos="1665"/>
        </w:tabs>
        <w:ind w:firstLine="709"/>
        <w:rPr>
          <w:rFonts w:ascii="Times New Roman" w:hAnsi="Times New Roman" w:cs="Times New Roman"/>
          <w:b/>
          <w:bCs/>
          <w:i/>
          <w:iCs/>
          <w:sz w:val="24"/>
          <w:szCs w:val="24"/>
          <w:lang w:bidi="ja-JP"/>
        </w:rPr>
      </w:pPr>
    </w:p>
    <w:p w:rsidR="00517711" w:rsidRDefault="00F815BE">
      <w:pPr>
        <w:tabs>
          <w:tab w:val="left" w:pos="1665"/>
        </w:tabs>
        <w:ind w:firstLine="709"/>
        <w:jc w:val="both"/>
        <w:rPr>
          <w:rFonts w:ascii="Times New Roman" w:hAnsi="Times New Roman" w:cs="Times New Roman"/>
          <w:i/>
          <w:iCs/>
          <w:sz w:val="24"/>
          <w:szCs w:val="24"/>
          <w:lang w:bidi="ja-JP"/>
        </w:rPr>
      </w:pPr>
      <w:r>
        <w:rPr>
          <w:rFonts w:ascii="Times New Roman" w:hAnsi="Times New Roman" w:cs="Times New Roman"/>
          <w:i/>
          <w:iCs/>
          <w:sz w:val="24"/>
          <w:szCs w:val="24"/>
          <w:lang w:bidi="ja-JP"/>
        </w:rPr>
        <w:t xml:space="preserve">Китай и Япония – страны соседи. На протяжении длительного исторического периода они враждовали и только в  70-х годах ХХ века подписали мирный договор. К этому моменту Китай в отличии от Японии имел слаборазвитую экономику. </w:t>
      </w:r>
    </w:p>
    <w:p w:rsidR="00517711" w:rsidRDefault="00F815BE">
      <w:pPr>
        <w:tabs>
          <w:tab w:val="left" w:pos="1665"/>
        </w:tabs>
        <w:ind w:firstLine="709"/>
        <w:jc w:val="both"/>
        <w:rPr>
          <w:rFonts w:ascii="Times New Roman" w:hAnsi="Times New Roman" w:cs="Times New Roman"/>
          <w:i/>
          <w:iCs/>
          <w:sz w:val="24"/>
          <w:szCs w:val="24"/>
          <w:lang w:bidi="ja-JP"/>
        </w:rPr>
      </w:pPr>
      <w:r>
        <w:rPr>
          <w:rFonts w:ascii="Times New Roman" w:hAnsi="Times New Roman" w:cs="Times New Roman"/>
          <w:i/>
          <w:iCs/>
          <w:sz w:val="24"/>
          <w:szCs w:val="24"/>
          <w:lang w:bidi="ja-JP"/>
        </w:rPr>
        <w:t xml:space="preserve">В данной статье рассматривается, за счет чего Китай получил возможность поднять уровень своей экономики, и какую роль сыграла в этом процессе Япония. </w:t>
      </w:r>
    </w:p>
    <w:p w:rsidR="00517711" w:rsidRDefault="00517711">
      <w:pPr>
        <w:tabs>
          <w:tab w:val="left" w:pos="1665"/>
        </w:tabs>
        <w:ind w:firstLine="709"/>
        <w:rPr>
          <w:rFonts w:ascii="Times New Roman" w:hAnsi="Times New Roman" w:cs="Times New Roman"/>
          <w:b/>
          <w:bCs/>
          <w:i/>
          <w:iCs/>
          <w:sz w:val="24"/>
          <w:szCs w:val="24"/>
          <w:lang w:bidi="ja-JP"/>
        </w:rPr>
      </w:pPr>
    </w:p>
    <w:p w:rsidR="00517711" w:rsidRDefault="00F815BE">
      <w:pPr>
        <w:tabs>
          <w:tab w:val="left" w:pos="1665"/>
        </w:tabs>
        <w:ind w:firstLine="709"/>
        <w:jc w:val="both"/>
        <w:rPr>
          <w:rFonts w:ascii="Times New Roman" w:hAnsi="Times New Roman" w:cs="Times New Roman"/>
          <w:i/>
          <w:iCs/>
          <w:sz w:val="24"/>
          <w:szCs w:val="24"/>
          <w:lang w:bidi="ja-JP"/>
        </w:rPr>
      </w:pPr>
      <w:r>
        <w:rPr>
          <w:rFonts w:ascii="Times New Roman" w:hAnsi="Times New Roman" w:cs="Times New Roman"/>
          <w:b/>
          <w:bCs/>
          <w:i/>
          <w:iCs/>
          <w:sz w:val="24"/>
          <w:szCs w:val="24"/>
          <w:lang w:bidi="ja-JP"/>
        </w:rPr>
        <w:t xml:space="preserve">Ключевые слова и словосочетания: </w:t>
      </w:r>
      <w:r>
        <w:rPr>
          <w:rFonts w:ascii="Times New Roman" w:hAnsi="Times New Roman" w:cs="Times New Roman"/>
          <w:i/>
          <w:iCs/>
          <w:sz w:val="24"/>
          <w:szCs w:val="24"/>
          <w:lang w:bidi="ja-JP"/>
        </w:rPr>
        <w:t>Япония, Китай, сотрудничество, экономика, экономическая помощь.</w:t>
      </w:r>
    </w:p>
    <w:p w:rsidR="00517711" w:rsidRDefault="00517711">
      <w:pPr>
        <w:tabs>
          <w:tab w:val="left" w:pos="1665"/>
        </w:tabs>
        <w:ind w:firstLine="709"/>
        <w:rPr>
          <w:rFonts w:ascii="Times New Roman" w:hAnsi="Times New Roman" w:cs="Times New Roman"/>
          <w:b/>
          <w:bCs/>
          <w:i/>
          <w:iCs/>
          <w:sz w:val="24"/>
          <w:szCs w:val="24"/>
          <w:lang w:bidi="ja-JP"/>
        </w:rPr>
      </w:pPr>
    </w:p>
    <w:p w:rsidR="00517711" w:rsidRDefault="00F815BE">
      <w:pPr>
        <w:tabs>
          <w:tab w:val="left" w:pos="1665"/>
        </w:tabs>
        <w:ind w:firstLine="709"/>
        <w:jc w:val="both"/>
        <w:rPr>
          <w:rFonts w:ascii="Times New Roman" w:hAnsi="Times New Roman" w:cs="Times New Roman"/>
          <w:i/>
          <w:iCs/>
          <w:sz w:val="24"/>
          <w:szCs w:val="24"/>
          <w:lang w:val="en-US" w:bidi="ja-JP"/>
        </w:rPr>
      </w:pPr>
      <w:r>
        <w:rPr>
          <w:rFonts w:ascii="Times New Roman" w:hAnsi="Times New Roman" w:cs="Times New Roman"/>
          <w:i/>
          <w:iCs/>
          <w:sz w:val="24"/>
          <w:szCs w:val="24"/>
          <w:lang w:val="en-US" w:bidi="ja-JP"/>
        </w:rPr>
        <w:t>China and Japan – neighboring nations. During long historical time they were enemies, and only in 70</w:t>
      </w:r>
      <w:r>
        <w:rPr>
          <w:rFonts w:ascii="Times New Roman" w:hAnsi="Times New Roman" w:cs="Times New Roman"/>
          <w:i/>
          <w:iCs/>
          <w:sz w:val="24"/>
          <w:szCs w:val="24"/>
          <w:vertAlign w:val="superscript"/>
          <w:lang w:val="en-US" w:bidi="ja-JP"/>
        </w:rPr>
        <w:t>th</w:t>
      </w:r>
      <w:r>
        <w:rPr>
          <w:rFonts w:ascii="Times New Roman" w:hAnsi="Times New Roman" w:cs="Times New Roman"/>
          <w:i/>
          <w:iCs/>
          <w:sz w:val="24"/>
          <w:szCs w:val="24"/>
          <w:lang w:val="en-US" w:bidi="ja-JP"/>
        </w:rPr>
        <w:t xml:space="preserve"> 20 century these countries signed peace treaty. By that moment China, different from Japan, had weak economy.</w:t>
      </w:r>
    </w:p>
    <w:p w:rsidR="00517711" w:rsidRDefault="00F815BE">
      <w:pPr>
        <w:tabs>
          <w:tab w:val="left" w:pos="1665"/>
        </w:tabs>
        <w:ind w:firstLine="709"/>
        <w:jc w:val="both"/>
        <w:rPr>
          <w:rFonts w:ascii="Times New Roman" w:hAnsi="Times New Roman" w:cs="Times New Roman"/>
          <w:i/>
          <w:iCs/>
          <w:sz w:val="24"/>
          <w:szCs w:val="24"/>
          <w:lang w:val="en-US" w:bidi="ja-JP"/>
        </w:rPr>
      </w:pPr>
      <w:r>
        <w:rPr>
          <w:rFonts w:ascii="Times New Roman" w:hAnsi="Times New Roman" w:cs="Times New Roman"/>
          <w:i/>
          <w:iCs/>
          <w:sz w:val="24"/>
          <w:szCs w:val="24"/>
          <w:lang w:val="en-US" w:bidi="ja-JP"/>
        </w:rPr>
        <w:t>In that article is considered how China got the possibility to raise the level of it’s economics, and which role played in this process Japan.</w:t>
      </w:r>
    </w:p>
    <w:p w:rsidR="00517711" w:rsidRDefault="00517711">
      <w:pPr>
        <w:tabs>
          <w:tab w:val="left" w:pos="1665"/>
        </w:tabs>
        <w:ind w:firstLine="709"/>
        <w:rPr>
          <w:rFonts w:ascii="Times New Roman" w:hAnsi="Times New Roman" w:cs="Times New Roman"/>
          <w:b/>
          <w:bCs/>
          <w:i/>
          <w:iCs/>
          <w:sz w:val="24"/>
          <w:szCs w:val="24"/>
          <w:lang w:val="en-US" w:bidi="ja-JP"/>
        </w:rPr>
      </w:pPr>
    </w:p>
    <w:p w:rsidR="00517711" w:rsidRDefault="00F815BE">
      <w:pPr>
        <w:tabs>
          <w:tab w:val="left" w:pos="1665"/>
        </w:tabs>
        <w:ind w:firstLine="709"/>
        <w:rPr>
          <w:rFonts w:ascii="Times New Roman" w:hAnsi="Times New Roman" w:cs="Times New Roman"/>
          <w:i/>
          <w:iCs/>
          <w:sz w:val="24"/>
          <w:szCs w:val="24"/>
          <w:lang w:val="en-US" w:bidi="ja-JP"/>
        </w:rPr>
      </w:pPr>
      <w:r>
        <w:rPr>
          <w:rFonts w:ascii="Times New Roman" w:hAnsi="Times New Roman" w:cs="Times New Roman"/>
          <w:b/>
          <w:bCs/>
          <w:i/>
          <w:iCs/>
          <w:sz w:val="24"/>
          <w:szCs w:val="24"/>
          <w:lang w:val="en-US" w:bidi="ja-JP"/>
        </w:rPr>
        <w:t xml:space="preserve"> Keywords and phrases: </w:t>
      </w:r>
      <w:r>
        <w:rPr>
          <w:rFonts w:ascii="Times New Roman" w:hAnsi="Times New Roman" w:cs="Times New Roman"/>
          <w:i/>
          <w:iCs/>
          <w:sz w:val="24"/>
          <w:szCs w:val="24"/>
          <w:lang w:val="en-US" w:bidi="ja-JP"/>
        </w:rPr>
        <w:t>Japan, China, cooperation, economics, economic aid.</w:t>
      </w:r>
    </w:p>
    <w:p w:rsidR="00517711" w:rsidRDefault="00517711">
      <w:pPr>
        <w:tabs>
          <w:tab w:val="left" w:pos="1665"/>
        </w:tabs>
        <w:ind w:firstLine="709"/>
        <w:jc w:val="center"/>
        <w:rPr>
          <w:rFonts w:ascii="Times New Roman" w:hAnsi="Times New Roman" w:cs="Times New Roman"/>
          <w:sz w:val="24"/>
          <w:szCs w:val="24"/>
          <w:lang w:val="en-US" w:bidi="ja-JP"/>
        </w:rPr>
      </w:pPr>
    </w:p>
    <w:p w:rsidR="00517711" w:rsidRDefault="00517711">
      <w:pPr>
        <w:shd w:val="clear" w:color="auto" w:fill="FFFFFF"/>
        <w:spacing w:after="120"/>
        <w:ind w:firstLine="709"/>
        <w:jc w:val="both"/>
        <w:rPr>
          <w:rFonts w:ascii="Times New Roman" w:hAnsi="Times New Roman" w:cs="Times New Roman"/>
          <w:sz w:val="24"/>
          <w:szCs w:val="24"/>
          <w:lang w:val="en-US" w:bidi="ja-JP"/>
        </w:rPr>
      </w:pP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Японо-китайское экономическое сотрудничество, влияние Японии на рост экономики Китая.</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В настоящее время Китай и Япония – крупные экономики мира, занимающие соответственно второе и третье место. Они являются крупными торговыми партнерами, и товарооборот между ними все время растет. Так, в 2010 году объем двусторонней торговли составил 230 млрд. долл., прямые инвестиции Японии в китайскую экономику – около 70 млрд. долл.  На территории КНР действует более 25 тыс. компаний с японским капиталом [2]. Китай, в свою очередь, является крупным импортером японских товаров. Однако такое соотношение сил в экономике было не всегда, и если в Японии с начала ХХ века началось стремительное развитие экономики, а затем и самых передовых технологий то Китай довольно долго можно  было считать государством со слаборазвитой экономикой. Рассмотрим, как Китай смог выйти на столь высокий уровень экономического развития, и какую роль в этом сыграли Японские инвестиции.</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Помимо географической близости двух стран и взаимодополняющей природой их экономик, действует ряд факторов, стимулирующих интеграцию:</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1. Высокие темпы экономического роста в Китае, стимулирующие спрос на японский экспорт в Китае и китайский экспорт в Японии.</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2. Процессы либерализации торговли двух стран и вступление Китая в ВТО.</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3. Масштабные японские прямые инвестиции в китайскую экономику, способствующие интеграции отраслей промышленности Китая в глобальные производственные сети Японии и расширению внутриотраслевой торговли между двумя странами [4].</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 xml:space="preserve"> Начиная с 70-х годов, началось стремительное экономическое развитие Китая, которое в значительной степени  опиралось на иностранные инвестиции и заимствованные технологии в экономике и управлении. Рассмотрим, что послужило основой этого развития.</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Одним из существенных, однако, малоизученных каналов поступления иностранных инвестиций, прежде всего «залогового характера», являлись инвестиции из Японии, которые предоставлялись в форме официальной помощи развитию.</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После Второй мировой войны Япония, обязанная по условиям мирного договора выплачивать репарации жертвам японской агрессии на Тихом океане, е, постепенно стала превращаться в донора официальной помощи развитию (official development assistance, ODA). Начиная с 1950-х гг., когда официальная помощь развитию стала играть роль дополнения к послевоенным репарациям, ее размеры непрерывно возрастали, и уже начиная с 1970-х гг. льготные (йеновые, или низкопроцентные) займы и гранты из Токио превратились в важный источник международного экономического динамизма, в первую очередь в развивающихся странах Азиатско-Тихоокеанского региона. К началу 1990-х гг. экономическое сотрудничество в форме официальной помощи развитию стало своего рода визитной карточкой Японии. Японская официальная помощь развитию принадлежит к числу важнейших феноменов современной истории. С 1954 по 2010 г. 189 суверенных стран и зависимых территорий в то или иное время входили в число бенефициариев японских льготных кредитов и грантов. На фоне других реципиентов особое место занимала Китайская Народная Республика, доля которой в общей сумме японской помощи развивающимся странам составила почти 20%. В течение 1979–2008 гг. Китай получил по этому каналу около 45 млрд долл. США (40,5 млрд – в виде долгосрочных займов и 4,5 млрд – в виде грантов). Доля Японии в общем объеме средств, предоставлявшихся Китаю развитыми государствами – членами Комитета помощи развитию (КПР при ОЭСР), превышала 60% (Приложение 1 табл. 1). В частности, более 60% иностранных студентов и стажеров, обучавшихся в Японии по линии технического сотрудничества за счет ее правительства, составляла китайская молодежь.</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Сотрудничество Японии с Китаем, было основано на стремлении использовать возможности повышения собственной значимости в глобальной и региональной политике и направлено на усиление своего влияния на формирование новой архитектуры международной безопасности и соразвития мира [5, с. 50]. Так же экономическая помощь со стороны Японии стала одним из важных компонентов, формирующих общую конфликтную среду: если для Японии официальная помощь Китаю являлась инструментом экономического и политического влияния, то со стороны Китая она воспринималась как замена военных репараций, а, следовательно, с китайской точки зрения, Япония, раз начав предоставлять займы и гранты Китаю, не имела права, во-первых, их приостанавливать и, во-вторых, оказывать политическое давление на Китай [3, с.50].</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Анализируется период двухсторонних отношений на этапе оказания официальной помощи развитию Японией Китаю с 1979 по 2008 гг. его можно разделить на три этапа: первый – энтузиазм и эйфория среди деловых кругов и населения; второй – фаза относительно стабильного инерционного развития; третий – разочарование политическими результатами оказания помощи Китаю, сокращение и фактическое завершение почти всех программ. Рассмотрим эти этапы более подробно.</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 xml:space="preserve"> Как было отмечено ранее, официальная помощь развитию имела под собой две основы: геоэкономическую и гуманитарную. Гуманитарная выражалась в том, что среди широких кругов японского населения поддержка официальной помощи развитию Китаю реально основывалась на моральных обязательствах по отношению к бывшей жертве агрессии. Чувство вины за жестокости в Китае в 1930–1940-х гг. обострялось тем, что с незапамятных времен Китайская империя была главным источником искусства, культуры и религии для японцев. Военные интервенции в страну, которая, в сущности, породила японскую цивилизацию, всерьез воспринимались японскими массами как грубая несправедливость и требовали щедрой компенсации. </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Геоэкономическая подразумевала, что финансовое содействие Китаю это инвестиции особой важности [16, p. 95], с экономической точки зрения, официальная помощи развитию была предназначена играть роль «смазки» при продвижении и защите собственных японских разнообразных интересов. Главной задачей японского делового сообщества стало «новое открытие» Китая. Щедрые трансферты в Китай могли стать основой для превращения его в ведущую экономическую базу за рубежом, как оно и было долгое время до конца Второй мировой войны. Помимо прямого доступа к китайским товарным и инвестиционным рынкам, интересы японских корпораций были связаны с тем, что, во-первых, финансовые вливания помогут модернизировать архаичную инфраструктуру Китая до уровня, приемлемого для крупномасштабных частных инвестиций японских транс-национальных корпораций [3, с. 60], во-вторых, японские компании получат крупные заказы на реализацию инфраструктурных проектов в Китае.</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 xml:space="preserve">Японская помощь ведет свое происхождение от послевоенных репарационных платежей, которые начались в 1950-х гг. и которые Япония обязана была выплачивать нациям Тихоокеанской Азии, пострадавшим от ее агрессии. Почти все эти государства тогда только что обрели независимость, и почти все из них впоследствии вошли в состав Ассоциации стран Юго-Восточной Азии (АСЕАН). Однако Китай, будучи главной жертвой, не мог воспользоваться японскими фондами до восстановления дипломатических отношений между Токио и Пекином. Лишь в 1972 г. при переговорах о нормализации китайское коммунистическое руководство заявило о намерении возобновить отношения с Японией «с чистого листа». При этом Мао Цзэдун отказался от финансовых претензий к Японии. Официальное заявление китайского руководства о том, что в трагедии Китая в 1930–1940-е гг. виновата только японская военщина, оказалась благом для Японии, избавив ее от угрозы финансового краха, так как КНР могла бы выставить астрономический счет за массовые разрушения и за гибель более  10 млн китайцев от рук японских военных. Политическое решение китайского руководства «начать с чистого листа» помогло разорвать официальные связи между Японией и «мятежной» китайской провинцией Тайвань и облегчить признание КНР Японией в качестве легитимного члена международного сообщества [4]. В 1978 г., когда был подписан китайско-японский договор о мире и дружбе, Дэн Сяопин практически открыто потребовал возмещения ущерба от бывшей державы-агрессора. Японское руководство, со своей стороны, тоже явно понимало необходимость существенной материальной поддержки прагматикам, которые пришли к власти в соседнем государстве. </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В декабре 1979 г. премьер-министр М. Охира в рамках так называемой дипломатии подарков предложил Китаю пакет низкопроцентных займов в размере 330 млрд иен (около 1,4 млрд долл.) для выполнения очередного китайского пятилетнего плана (1979–1983 гг.) [12, p. 194]. Характерно, что ни в каких официальных документах связь между несостоявшимися репарациями и начавшейся официальной помощью развития не упоминалась. Тем не менее понималось, что эта и последующие программы являлись именно заменителем репараций «дешевым способом избежать выплаты реальных репараций» [15]. При этом основная часть официальной помощи развития финансировалась не из госбюджета, а из специальной Программы финансовых инвестиций и кредитов, источником фондов для которой являлись почтово-сберегательные кассы, аккумулирующие сбережения населения [1].</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 xml:space="preserve">В конечном итоге Китай стал крупным реципиентов льготных фондов из Японии, потребляя ежегодно более 10% всех средств, выделяемых ими. На первоначальной стадии японо-китайского сближения бизнес-сообщество Японии было очень увлечено инвестиционными возможностями в соседнем государстве. На фоне радикальных экономических реформ Дэн Сяопина японские фирмы подписали в Китае десятки контрактов. Китайская сторона тоже возлагала большие надежды на эти инвестиционные сделки. В Пекине очень рассчитывали на то, что приток частного капитала из технологически продвинутой Японии сыграет ведущую роль в модернизации китайской экономики. Однако, когда дело дошло до стадии реализации проектов, оказалось, что Китай явно не подготовлен для крупномасштабных инвестиций по ряду причин – из-за той же устарелой инфраструктуры, укоренившейся коррупции, бюрократической волокиты и просто из-за разницы в менталитетах. Китайское правительство не смогло реализовать заключаемые инвестиционные контракты [11], которые один за другим начали расторгаться. Таким образом, частные японские фирмы объективно оказались не в состоянии привнести в экономику соседней державы капиталы и технологии, на которые, прежде всего, рассчитывал Китай. </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 xml:space="preserve">Китай стал единственным из развивающихся государств, получающим займы и субсидии (гранты) на основе пятилетних планов помощи, а не на основе обычных соглашений, рассчитанных на год. Более того, эти планы коррелировались с собственными китайскими пятилетними планами развития народного хозяйства. Другими словами, Япония, страна с рыночной экономикой, строила свои отношения с Китаем в соответствии с социалистическими принципами планирования. В общей сложности четыре пятилетних плана помощи были реализованы с 1979 г. до конца XX столетия, и каждый был намного больше по размерам предыдущего. Первый пакет, согласованный М. Охирой (1979–1983 гг.), составлял около 1,4 млрд долл. Вторая программа, подготовленная правительством Я. Накасонэ (1984–1989 гг.), – 2,1 млрд долл. Третий пакет (1990– 1995 гг.) предусматривал выплату займов и грантов на сумму 5,4 млрд долл. Наконец, четвертый, последний пакет (1996–2000 гг.), был разбит на две части (3 и 2 года соответственно), причем только по первому трехлетнему периоду выплаты должны были достигнуть 5,8 млрд долл. Важность этих программ подчеркивалась тем фактом, что они персонально представлялись премьер-министрами Японии руководителям Китая, минуя обычный бюрократический уровень протокола [20]. </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 xml:space="preserve">В 1998 и 1999 гг. в соответствии в предыдущими соглашениями (первая часть четвертого пакета помощи) китайскому правительству из Токио было перечислено 1,158 млрд и 1,226 млрд долл. соответственно. Казалось, что помощь Пекину в принципе не может быть сокращена, будучи «священным ресурсом» японской дипломатии. Но уже в середине 1990-х гг. появились предпосылки к спаду в отношениях между Китаем в Японией  [13, p. 112]. Так среди японского населения ощущалось беспокойство, связанное с китайскими программами военной модернизации. Имелось подозрение о том, что рост китайских военных расходов косвенно финансировался за счет средств, поступающих из Токио. Дополнительным раздражающим фактором стало приписываемое Китаю вмешательство во внутренние дела Японии. На этом фоне японское общественное мнение было крайне недовольно жесткими, недружественными заявлениями Председателя Цзян Цзэминя в ходе его официального визита в Японию в 1998 г., который настойчиво требовал от Японии новых формальных извинений за военное прошлое и в то же время не произнес ни одного доброго слова относительно двух предыдущих десятилетий японской помощи. Его бескомпромиссные формулировки убеждали японцев в том, что Китай не ценит помощь из Токио и принимает ее как нечто должное [10, р. 94], что свидетельствовало о том, что вообще в долгосрочной перспективе не следует быть уверенным в дружелюбии и благодарности со стороны наций-реципиентов. </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 xml:space="preserve">В мае 2000 г. глава МИД Японии Ехэй Коно в первый раз предупредил своего китайского коллегу, что Япония может начать урезание программ субсидирования соседней державы. Пекинские власти не смогли адекватно воспринять растущее раздражение в Японии, позволив своим «исследовательским» судам несколько раз нарушить японскую эксклюзивную экономическую зону. Японские СМИ сочли китайские действия провокационными и еще более активно начали призывать правительство заканчивать с ежегодной и бесполезной перекачкой японских средств на инфраструктурные проекты на китайской территории. Нарушения морских границ Японии китайскими кораблями привели к временному замораживанию целевого займа Китаю (на сумму 17,2 млрд иен), предназначенного для модернизации железнодорожной сети вокруг Пекина и аэропорта в Сиане. Это заставило китайское правительство реагировать, и в ходе официального визита премьер-министра Китая Чжу Жунцзи в Токио в октябре 2000 г. он в несвойственной для китайских политиков манере высоко оценивал содействие со стороны Японии, открыто назвав его «важной помощью в развитии китайской экономики и строительстве китайского государства». </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 xml:space="preserve">В январе 2002 г. новый Кабинет министров под руководством Дзюнъитиро Коидзуми, не связанный более пятилетными соглашениями, объявил о решении снизить объем помощи Китаю на 25%. В списке ведущих реципиентов фондов из Японии КНР впервые отошла на 3-е место вслед за Индонезией и Вьетнамом [9, р. 165]. </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 xml:space="preserve">Осенью 2004 г. внешнеполитическое ведомство Японии сообщило о планах окончательного прекращения помощи Китаю. Упреждая это заявление, министр иностранных дел Китая на саммите АСЕАН во Вьентьяне заявил, что его страна сможет обойтись без японской помощи и будет полагаться на собственные финансовые ресурсы [6]. </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В марте 2005 г. китайский премьер-министр Вэнь Цзябао обратился к своему японскому коллеге с призывом «хорошо закончить то, что хорошо началось», другими словами, призвал завершить многолетнее экономическое сотрудничество безболезненно, не создавая атмосферу скандала [11]. Япония отнеслась к китайской просьбе с пониманием, и в 2005 финансовом году КНР получила последнюю крупную помощь (1064 млн долл.), после чего к 2008 г. остались только гранты, связанные с экологией и энергосбережением. Кабинеты Демократической партии, пришедшей к власти в 2009 г., не стали восстанавливать крупномасштабное сотрудничество с Китаем. Например, в 2010 г. через Банк международного сотрудничества было переведено только 56 млн долл. Более того, министр иностранных дел Сэйдзи Маэхара распорядился сократить даже эти незначительные платежи (хотя Япония продолжала выполнять свои обязательства в рамках существующих проектов) [22, р. 291]. Таким образом, тридцатилетняя история китайско-японского экономического сотрудничества завершилась.</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 xml:space="preserve">Отметим, что в отличии от геоэкономического «гуманитарное» измерение в японской помощи Китаю проявилось лишь к началу 1990-х гг. когда диапазон японских программ в Китае расширился за счет направлений, связанных с насущными потребностями населения Китая, такими как доступ к чистой воде, улучшение санитарных условий, строительство объектов социальной инфраструктуры. В 1990-х гг. началось сотрудничество в области защиты окружающей среды, в котором Япония могла применить свой богатый накопленный опыт. Уже в 1995 г. премьер-социалист Мураяма озвучил термин «безопасность человека» в качестве одной из целей японской официальной помощи развитию и внешней политики в целом. В 1999 г. этот термин был многократно использован в «Голубой книге» внешнеполитического ведомства, а в 2003 г. политика «безопасности человека» была официально закреплена в новой редакции Хартии ОПР [7]. </w:t>
      </w:r>
    </w:p>
    <w:p w:rsidR="00517711" w:rsidRDefault="00F815BE">
      <w:pPr>
        <w:shd w:val="clear" w:color="auto" w:fill="FFFFFF"/>
        <w:ind w:firstLine="709"/>
        <w:contextualSpacing/>
        <w:jc w:val="both"/>
        <w:rPr>
          <w:rFonts w:ascii="Times New Roman" w:hAnsi="Times New Roman" w:cs="Times New Roman"/>
          <w:sz w:val="24"/>
          <w:szCs w:val="24"/>
          <w:lang w:bidi="ja-JP"/>
        </w:rPr>
      </w:pPr>
      <w:r>
        <w:rPr>
          <w:rFonts w:ascii="Times New Roman" w:hAnsi="Times New Roman" w:cs="Times New Roman"/>
          <w:sz w:val="24"/>
          <w:szCs w:val="24"/>
          <w:lang w:bidi="ja-JP"/>
        </w:rPr>
        <w:t xml:space="preserve">В заключении можно сказать, что Япония извлекла ощутимую пользу от потраченных за тридцать лет 45 млрд. долл. на помощь в Китае, если в 1980-х годах он был всего лишь незначительным торговым агентом, то к 2010 году стал даже более важным торговым контрагентом чем Соединенные Штаты Америки. Так же для Японии экономическая помощь Китаю была необходимой предпосылкой стимулирования японского экспорта и долгосрочных инвестиций, и, судя по исключительно быстрому росту хозяйственных связей в 1980–2000-х гг., эти издержки себя вполне оправдали. Всего через десять лет с начала действия программ сотрудничества уже слышны были китайские обвинения в адрес Японии в том, что она посредством официальной помощи развитию смогла достичь таких экономических преимуществ в Китае, каких не могла добиться посредством военной интервенции в 1930–1940-х гг. </w:t>
      </w:r>
    </w:p>
    <w:p w:rsidR="00517711" w:rsidRDefault="00F815BE">
      <w:pPr>
        <w:shd w:val="clear" w:color="auto" w:fill="FFFFFF"/>
        <w:spacing w:after="240"/>
        <w:ind w:firstLine="709"/>
        <w:contextualSpacing/>
        <w:jc w:val="both"/>
        <w:rPr>
          <w:rFonts w:ascii="Times New Roman" w:hAnsi="Times New Roman" w:cs="Times New Roman"/>
          <w:sz w:val="24"/>
          <w:szCs w:val="24"/>
          <w:lang w:bidi="ja-JP"/>
        </w:rPr>
      </w:pPr>
      <w:r>
        <w:rPr>
          <w:rFonts w:ascii="Times New Roman" w:hAnsi="Times New Roman" w:cs="Times New Roman"/>
          <w:noProof/>
          <w:sz w:val="24"/>
          <w:szCs w:val="24"/>
          <w:lang w:eastAsia="ru-RU"/>
        </w:rPr>
        <mc:AlternateContent>
          <mc:Choice Requires="wps">
            <w:drawing>
              <wp:anchor distT="0" distB="0" distL="114300" distR="114300" simplePos="0" relativeHeight="251658240" behindDoc="0" locked="0" layoutInCell="1" allowOverlap="1">
                <wp:simplePos x="0" y="0"/>
                <wp:positionH relativeFrom="column">
                  <wp:posOffset>461009</wp:posOffset>
                </wp:positionH>
                <wp:positionV relativeFrom="paragraph">
                  <wp:posOffset>255904</wp:posOffset>
                </wp:positionV>
                <wp:extent cx="2066924" cy="0"/>
                <wp:effectExtent l="0" t="0" r="0" b="0"/>
                <wp:wrapNone/>
                <wp:docPr id="132" name=""/>
                <wp:cNvGraphicFramePr/>
                <a:graphic xmlns:a="http://schemas.openxmlformats.org/drawingml/2006/main">
                  <a:graphicData uri="http://schemas.microsoft.com/office/word/2010/wordprocessingShape">
                    <wps:wsp>
                      <wps:cNvSpPr/>
                      <wps:spPr bwMode="auto">
                        <a:xfrm>
                          <a:off x="0" y="0"/>
                          <a:ext cx="2066925"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w14:anchorId="5F794C0C" id="Полилиния 132" o:spid="_x0000_s1026" style="position:absolute;margin-left:36.3pt;margin-top:20.15pt;width:162.75pt;height:0;z-index:251658240;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" path="m,l21600,21600e">
                <v:path arrowok="t" o:extrusionok="f" textboxrect="0,0,21600,0"/>
              </v:shape>
            </w:pict>
          </mc:Fallback>
        </mc:AlternateContent>
      </w:r>
    </w:p>
    <w:p w:rsidR="00517711" w:rsidRDefault="00F815BE">
      <w:pPr>
        <w:pStyle w:val="Default"/>
        <w:numPr>
          <w:ilvl w:val="0"/>
          <w:numId w:val="98"/>
        </w:numPr>
        <w:tabs>
          <w:tab w:val="left" w:pos="1134"/>
        </w:tabs>
        <w:ind w:left="0" w:firstLine="709"/>
        <w:jc w:val="both"/>
        <w:rPr>
          <w:rFonts w:eastAsia="Times New Roman"/>
          <w:lang w:bidi="ja-JP"/>
        </w:rPr>
      </w:pPr>
      <w:r>
        <w:rPr>
          <w:rFonts w:eastAsia="Times New Roman"/>
          <w:lang w:bidi="ja-JP"/>
        </w:rPr>
        <w:t xml:space="preserve">Время Востока [Электронный ресурс] // Институт стратегического анализа и прогноза (ИСАП). – 17 May, 2009. – Режим доступа: </w:t>
      </w:r>
      <w:hyperlink r:id="rId324" w:history="1">
        <w:r>
          <w:rPr>
            <w:rStyle w:val="aa"/>
            <w:rFonts w:eastAsia="Times New Roman"/>
            <w:color w:val="000000"/>
            <w:lang w:val="en-US" w:bidi="ja-JP"/>
          </w:rPr>
          <w:t>http</w:t>
        </w:r>
        <w:r w:rsidRPr="008A2A0D">
          <w:rPr>
            <w:rStyle w:val="aa"/>
            <w:rFonts w:eastAsia="Times New Roman"/>
            <w:color w:val="000000"/>
            <w:lang w:bidi="ja-JP"/>
          </w:rPr>
          <w:t>://</w:t>
        </w:r>
        <w:r>
          <w:rPr>
            <w:rStyle w:val="aa"/>
            <w:rFonts w:eastAsia="Times New Roman"/>
            <w:color w:val="000000"/>
            <w:lang w:val="en-US" w:bidi="ja-JP"/>
          </w:rPr>
          <w:t>www</w:t>
        </w:r>
        <w:r w:rsidRPr="008A2A0D">
          <w:rPr>
            <w:rStyle w:val="aa"/>
            <w:rFonts w:eastAsia="Times New Roman"/>
            <w:color w:val="000000"/>
            <w:lang w:bidi="ja-JP"/>
          </w:rPr>
          <w:t>.</w:t>
        </w:r>
        <w:r>
          <w:rPr>
            <w:rStyle w:val="aa"/>
            <w:rFonts w:eastAsia="Times New Roman"/>
            <w:color w:val="000000"/>
            <w:lang w:val="en-US" w:bidi="ja-JP"/>
          </w:rPr>
          <w:t>easttime</w:t>
        </w:r>
        <w:r w:rsidRPr="008A2A0D">
          <w:rPr>
            <w:rStyle w:val="aa"/>
            <w:rFonts w:eastAsia="Times New Roman"/>
            <w:color w:val="000000"/>
            <w:lang w:bidi="ja-JP"/>
          </w:rPr>
          <w:t>.</w:t>
        </w:r>
        <w:r>
          <w:rPr>
            <w:rStyle w:val="aa"/>
            <w:rFonts w:eastAsia="Times New Roman"/>
            <w:color w:val="000000"/>
            <w:lang w:val="en-US" w:bidi="ja-JP"/>
          </w:rPr>
          <w:t>ru</w:t>
        </w:r>
      </w:hyperlink>
      <w:r>
        <w:rPr>
          <w:rFonts w:eastAsia="Times New Roman"/>
          <w:lang w:bidi="ja-JP"/>
        </w:rPr>
        <w:t xml:space="preserve"> (дата обращения: 05.06.2012).</w:t>
      </w:r>
    </w:p>
    <w:p w:rsidR="00517711" w:rsidRDefault="00F815BE">
      <w:pPr>
        <w:pStyle w:val="af4"/>
        <w:numPr>
          <w:ilvl w:val="0"/>
          <w:numId w:val="98"/>
        </w:numPr>
        <w:tabs>
          <w:tab w:val="left" w:pos="1134"/>
        </w:tabs>
        <w:ind w:left="0" w:firstLine="709"/>
        <w:contextualSpacing/>
        <w:jc w:val="both"/>
        <w:rPr>
          <w:rFonts w:ascii="Times New Roman" w:hAnsi="Times New Roman" w:cs="Times New Roman"/>
          <w:sz w:val="24"/>
          <w:szCs w:val="24"/>
          <w:lang w:bidi="ja-JP"/>
        </w:rPr>
      </w:pPr>
      <w:r>
        <w:rPr>
          <w:rFonts w:ascii="Times New Roman" w:hAnsi="Times New Roman" w:cs="Times New Roman"/>
          <w:sz w:val="24"/>
          <w:szCs w:val="24"/>
          <w:lang w:bidi="ja-JP"/>
        </w:rPr>
        <w:t>К. Идэ. Модернизация Китая и вклад Японии / Доклад в Институте Дальнего Востока РАН. – 15.03.2011.</w:t>
      </w:r>
    </w:p>
    <w:p w:rsidR="00517711" w:rsidRDefault="00F815BE">
      <w:pPr>
        <w:pStyle w:val="af4"/>
        <w:numPr>
          <w:ilvl w:val="0"/>
          <w:numId w:val="98"/>
        </w:numPr>
        <w:tabs>
          <w:tab w:val="left" w:pos="1134"/>
        </w:tabs>
        <w:ind w:left="0" w:firstLine="709"/>
        <w:contextualSpacing/>
        <w:jc w:val="both"/>
        <w:rPr>
          <w:rFonts w:ascii="Times New Roman" w:hAnsi="Times New Roman" w:cs="Times New Roman"/>
          <w:sz w:val="24"/>
          <w:szCs w:val="24"/>
          <w:lang w:bidi="ja-JP"/>
        </w:rPr>
      </w:pPr>
      <w:r>
        <w:rPr>
          <w:rFonts w:ascii="Times New Roman" w:hAnsi="Times New Roman" w:cs="Times New Roman"/>
          <w:sz w:val="24"/>
          <w:szCs w:val="24"/>
          <w:lang w:bidi="ja-JP"/>
        </w:rPr>
        <w:t>Михеев В. В. Китай и Япония на фоне глобальных тенденций // Мировая экономика и международные отношения. – 2007. – №4. – С. 50-60.</w:t>
      </w:r>
    </w:p>
    <w:p w:rsidR="00517711" w:rsidRDefault="00F815BE">
      <w:pPr>
        <w:pStyle w:val="af4"/>
        <w:numPr>
          <w:ilvl w:val="0"/>
          <w:numId w:val="98"/>
        </w:numPr>
        <w:shd w:val="clear" w:color="auto" w:fill="FFFFFF"/>
        <w:tabs>
          <w:tab w:val="left" w:pos="1134"/>
        </w:tabs>
        <w:ind w:left="0" w:firstLine="709"/>
        <w:contextualSpacing/>
        <w:jc w:val="both"/>
        <w:rPr>
          <w:rFonts w:ascii="Times New Roman" w:hAnsi="Times New Roman" w:cs="Times New Roman"/>
          <w:sz w:val="24"/>
          <w:szCs w:val="24"/>
          <w:lang w:bidi="ja-JP"/>
        </w:rPr>
      </w:pPr>
      <w:r>
        <w:rPr>
          <w:rFonts w:ascii="Times New Roman" w:hAnsi="Times New Roman" w:cs="Times New Roman"/>
          <w:sz w:val="24"/>
          <w:szCs w:val="24"/>
          <w:lang w:bidi="ja-JP"/>
        </w:rPr>
        <w:t xml:space="preserve">А. Сёмин // Сетевой журнал «Новое Восточное Обозрение». – 2011. – 06 апреля. </w:t>
      </w:r>
    </w:p>
    <w:p w:rsidR="00517711" w:rsidRDefault="00F815BE">
      <w:pPr>
        <w:pStyle w:val="af4"/>
        <w:numPr>
          <w:ilvl w:val="0"/>
          <w:numId w:val="98"/>
        </w:numPr>
        <w:tabs>
          <w:tab w:val="left" w:pos="1134"/>
        </w:tabs>
        <w:ind w:left="0" w:firstLine="709"/>
        <w:contextualSpacing/>
        <w:jc w:val="both"/>
        <w:rPr>
          <w:rFonts w:ascii="Times New Roman" w:hAnsi="Times New Roman" w:cs="Times New Roman"/>
          <w:sz w:val="24"/>
          <w:szCs w:val="24"/>
          <w:lang w:bidi="ja-JP"/>
        </w:rPr>
      </w:pPr>
      <w:r>
        <w:rPr>
          <w:rFonts w:ascii="Times New Roman" w:hAnsi="Times New Roman" w:cs="Times New Roman"/>
          <w:sz w:val="24"/>
          <w:szCs w:val="24"/>
          <w:lang w:bidi="ja-JP"/>
        </w:rPr>
        <w:t>Стрельцов Д. В. Официальная помощь развитию – важнейший фактор внешней политики Японии / под ред. Э. В. Молодяковой // «Внешняя политика Японии: история и современность». – М.: Восточная литература, 2008. – 319 с.</w:t>
      </w:r>
    </w:p>
    <w:p w:rsidR="00517711" w:rsidRDefault="00F815BE">
      <w:pPr>
        <w:numPr>
          <w:ilvl w:val="0"/>
          <w:numId w:val="98"/>
        </w:numPr>
        <w:shd w:val="clear" w:color="auto" w:fill="FFFFFF"/>
        <w:tabs>
          <w:tab w:val="left" w:pos="42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rFonts w:ascii="Times New Roman" w:hAnsi="Times New Roman" w:cs="Times New Roman"/>
          <w:sz w:val="24"/>
          <w:szCs w:val="24"/>
          <w:lang w:val="en-US" w:bidi="ru-RU"/>
        </w:rPr>
      </w:pPr>
      <w:r>
        <w:rPr>
          <w:rFonts w:ascii="Times New Roman" w:hAnsi="Times New Roman" w:cs="Times New Roman"/>
          <w:sz w:val="24"/>
          <w:szCs w:val="24"/>
          <w:shd w:val="clear" w:color="auto" w:fill="FFFFFF"/>
          <w:lang w:val="en-US" w:bidi="ru-RU"/>
        </w:rPr>
        <w:t xml:space="preserve">Asahi Evening News. </w:t>
      </w:r>
      <w:r>
        <w:rPr>
          <w:rFonts w:ascii="Times New Roman" w:hAnsi="Times New Roman" w:cs="Times New Roman"/>
          <w:sz w:val="24"/>
          <w:szCs w:val="24"/>
          <w:lang w:bidi="ja-JP"/>
        </w:rPr>
        <w:t xml:space="preserve">– </w:t>
      </w:r>
      <w:r>
        <w:rPr>
          <w:rFonts w:ascii="Times New Roman" w:hAnsi="Times New Roman" w:cs="Times New Roman"/>
          <w:sz w:val="24"/>
          <w:szCs w:val="24"/>
          <w:shd w:val="clear" w:color="auto" w:fill="FFFFFF"/>
          <w:lang w:val="en-US" w:bidi="ru-RU"/>
        </w:rPr>
        <w:t>25 October, 2000.</w:t>
      </w:r>
    </w:p>
    <w:p w:rsidR="00517711" w:rsidRDefault="00F815BE">
      <w:pPr>
        <w:numPr>
          <w:ilvl w:val="0"/>
          <w:numId w:val="98"/>
        </w:numPr>
        <w:shd w:val="clear" w:color="auto" w:fill="FFFFFF"/>
        <w:tabs>
          <w:tab w:val="left" w:pos="1134"/>
        </w:tabs>
        <w:ind w:left="0" w:firstLine="709"/>
        <w:jc w:val="both"/>
        <w:rPr>
          <w:rFonts w:ascii="Times New Roman" w:hAnsi="Times New Roman" w:cs="Times New Roman"/>
          <w:sz w:val="24"/>
          <w:szCs w:val="24"/>
          <w:lang w:val="en-US" w:bidi="ja-JP"/>
        </w:rPr>
      </w:pPr>
      <w:r>
        <w:rPr>
          <w:rFonts w:ascii="Times New Roman" w:hAnsi="Times New Roman" w:cs="Times New Roman"/>
          <w:sz w:val="24"/>
          <w:szCs w:val="24"/>
          <w:lang w:val="en-US" w:bidi="ja-JP"/>
        </w:rPr>
        <w:t>Asahi Shinbun. – 15 November, 2000.</w:t>
      </w:r>
    </w:p>
    <w:p w:rsidR="00517711" w:rsidRDefault="00F815BE">
      <w:pPr>
        <w:numPr>
          <w:ilvl w:val="0"/>
          <w:numId w:val="98"/>
        </w:numPr>
        <w:tabs>
          <w:tab w:val="left" w:pos="1134"/>
        </w:tabs>
        <w:ind w:left="0" w:firstLine="709"/>
        <w:jc w:val="both"/>
        <w:rPr>
          <w:rFonts w:ascii="Times New Roman" w:hAnsi="Times New Roman" w:cs="Times New Roman"/>
          <w:sz w:val="24"/>
          <w:szCs w:val="24"/>
          <w:lang w:val="en-US" w:bidi="ja-JP"/>
        </w:rPr>
      </w:pPr>
      <w:r>
        <w:rPr>
          <w:rFonts w:ascii="Times New Roman" w:hAnsi="Times New Roman" w:cs="Times New Roman"/>
          <w:sz w:val="24"/>
          <w:szCs w:val="24"/>
          <w:lang w:val="en-US" w:bidi="ja-JP"/>
        </w:rPr>
        <w:t>Chinese – Japanese relations in the 21</w:t>
      </w:r>
      <w:r>
        <w:rPr>
          <w:rFonts w:ascii="Times New Roman" w:hAnsi="Times New Roman" w:cs="Times New Roman"/>
          <w:sz w:val="24"/>
          <w:szCs w:val="24"/>
          <w:vertAlign w:val="superscript"/>
          <w:lang w:val="en-US" w:bidi="ja-JP"/>
        </w:rPr>
        <w:t>st</w:t>
      </w:r>
      <w:r>
        <w:rPr>
          <w:rFonts w:ascii="Times New Roman" w:hAnsi="Times New Roman" w:cs="Times New Roman"/>
          <w:sz w:val="24"/>
          <w:szCs w:val="24"/>
          <w:lang w:val="en-US" w:bidi="ja-JP"/>
        </w:rPr>
        <w:t xml:space="preserve"> century / ed. Soderberg Marie. – London and New York: Routledge, 2002. – 224 p.</w:t>
      </w:r>
    </w:p>
    <w:p w:rsidR="00517711" w:rsidRDefault="00F815BE">
      <w:pPr>
        <w:numPr>
          <w:ilvl w:val="0"/>
          <w:numId w:val="98"/>
        </w:numPr>
        <w:shd w:val="clear" w:color="auto" w:fill="FFFFFF"/>
        <w:tabs>
          <w:tab w:val="left" w:pos="42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rFonts w:ascii="Times New Roman" w:hAnsi="Times New Roman" w:cs="Times New Roman"/>
          <w:sz w:val="24"/>
          <w:szCs w:val="24"/>
          <w:lang w:val="en-US" w:bidi="ru-RU"/>
        </w:rPr>
      </w:pPr>
      <w:r>
        <w:rPr>
          <w:rFonts w:ascii="Times New Roman" w:hAnsi="Times New Roman" w:cs="Times New Roman"/>
          <w:sz w:val="24"/>
          <w:szCs w:val="24"/>
          <w:lang w:val="en-US" w:bidi="ru-RU"/>
        </w:rPr>
        <w:t>Drifte R. Japan’s foreign policy in the 1990s: From economic superpower to what power? – Basingstoke: Macmillan Press, 1996. – 209 p.</w:t>
      </w:r>
    </w:p>
    <w:p w:rsidR="00517711" w:rsidRDefault="00F815BE">
      <w:pPr>
        <w:numPr>
          <w:ilvl w:val="0"/>
          <w:numId w:val="98"/>
        </w:numPr>
        <w:tabs>
          <w:tab w:val="left" w:pos="1134"/>
        </w:tabs>
        <w:ind w:left="0" w:firstLine="709"/>
        <w:jc w:val="both"/>
        <w:rPr>
          <w:rFonts w:ascii="Times New Roman" w:hAnsi="Times New Roman" w:cs="Times New Roman"/>
          <w:sz w:val="24"/>
          <w:szCs w:val="24"/>
          <w:lang w:val="en-US" w:bidi="ja-JP"/>
        </w:rPr>
      </w:pPr>
      <w:r>
        <w:rPr>
          <w:rFonts w:ascii="Times New Roman" w:hAnsi="Times New Roman" w:cs="Times New Roman"/>
          <w:sz w:val="24"/>
          <w:szCs w:val="24"/>
          <w:lang w:val="en-US" w:bidi="ja-JP"/>
        </w:rPr>
        <w:t>Drifte R. The ending of Japan’s ODA loan programs to China – all is well that ends well? // Asia-Pacific Review. – 2006. – Vol. 13. – №1. – Pp. 94-117.</w:t>
      </w:r>
    </w:p>
    <w:p w:rsidR="00517711" w:rsidRDefault="00F815BE">
      <w:pPr>
        <w:pStyle w:val="af4"/>
        <w:numPr>
          <w:ilvl w:val="0"/>
          <w:numId w:val="98"/>
        </w:numPr>
        <w:tabs>
          <w:tab w:val="left" w:pos="1134"/>
        </w:tabs>
        <w:ind w:left="0" w:firstLine="709"/>
        <w:contextualSpacing/>
        <w:jc w:val="both"/>
        <w:rPr>
          <w:rFonts w:ascii="Times New Roman" w:hAnsi="Times New Roman" w:cs="Times New Roman"/>
          <w:sz w:val="24"/>
          <w:szCs w:val="24"/>
          <w:lang w:val="en-US" w:bidi="ja-JP"/>
        </w:rPr>
      </w:pPr>
      <w:r>
        <w:rPr>
          <w:rFonts w:ascii="Times New Roman" w:hAnsi="Times New Roman" w:cs="Times New Roman"/>
          <w:sz w:val="24"/>
          <w:szCs w:val="24"/>
          <w:lang w:val="en-US" w:bidi="ja-JP"/>
        </w:rPr>
        <w:t>Japan’s international relations: Politics, economics and security / eds. Hook Glenn et. Al. – London and New York: Routledge, 2005. – 576 p.</w:t>
      </w:r>
    </w:p>
    <w:p w:rsidR="00517711" w:rsidRDefault="00F815BE">
      <w:pPr>
        <w:pStyle w:val="af4"/>
        <w:numPr>
          <w:ilvl w:val="0"/>
          <w:numId w:val="98"/>
        </w:numPr>
        <w:tabs>
          <w:tab w:val="left" w:pos="1134"/>
        </w:tabs>
        <w:ind w:left="0" w:firstLine="709"/>
        <w:contextualSpacing/>
        <w:jc w:val="both"/>
        <w:rPr>
          <w:rFonts w:ascii="Times New Roman" w:hAnsi="Times New Roman" w:cs="Times New Roman"/>
          <w:sz w:val="24"/>
          <w:szCs w:val="24"/>
          <w:lang w:val="en-US" w:bidi="ja-JP"/>
        </w:rPr>
      </w:pPr>
      <w:r>
        <w:rPr>
          <w:rFonts w:ascii="Times New Roman" w:hAnsi="Times New Roman" w:cs="Times New Roman"/>
          <w:sz w:val="24"/>
          <w:szCs w:val="24"/>
          <w:lang w:val="en-US" w:bidi="ja-JP"/>
        </w:rPr>
        <w:t>Katada S. Japan’s two-track approach: The forces behindcompeting trends // Asian Survey. – 2002. – Vol. 42. – № 2. – Pp. 320-342.</w:t>
      </w:r>
    </w:p>
    <w:p w:rsidR="00517711" w:rsidRDefault="00F815BE">
      <w:pPr>
        <w:pStyle w:val="af4"/>
        <w:numPr>
          <w:ilvl w:val="0"/>
          <w:numId w:val="98"/>
        </w:numPr>
        <w:tabs>
          <w:tab w:val="left" w:pos="851"/>
          <w:tab w:val="left" w:pos="1134"/>
        </w:tabs>
        <w:ind w:left="0" w:firstLine="709"/>
        <w:contextualSpacing/>
        <w:jc w:val="both"/>
        <w:rPr>
          <w:rFonts w:ascii="Times New Roman" w:hAnsi="Times New Roman" w:cs="Times New Roman"/>
          <w:sz w:val="24"/>
          <w:szCs w:val="24"/>
          <w:lang w:val="en-US" w:bidi="ja-JP"/>
        </w:rPr>
      </w:pPr>
      <w:r>
        <w:rPr>
          <w:rFonts w:ascii="Times New Roman" w:hAnsi="Times New Roman" w:cs="Times New Roman"/>
          <w:sz w:val="24"/>
          <w:szCs w:val="24"/>
          <w:lang w:val="en-US" w:bidi="ja-JP"/>
        </w:rPr>
        <w:t>Katada S. Old visions and new actors in foreign aid politics: Explaining changes in Japanese ODA to China // Japanese aid and construction of global development: Inescapable solutions / eds. Leheny, David and Warren, Key, London: Routledge, 2012. – 304 p.</w:t>
      </w:r>
    </w:p>
    <w:p w:rsidR="00517711" w:rsidRDefault="00F815BE">
      <w:pPr>
        <w:numPr>
          <w:ilvl w:val="0"/>
          <w:numId w:val="98"/>
        </w:numPr>
        <w:shd w:val="clear" w:color="auto" w:fill="FFFFFF"/>
        <w:tabs>
          <w:tab w:val="left" w:pos="1134"/>
        </w:tabs>
        <w:ind w:left="0" w:firstLine="709"/>
        <w:jc w:val="both"/>
        <w:rPr>
          <w:rFonts w:ascii="Times New Roman" w:hAnsi="Times New Roman" w:cs="Times New Roman"/>
          <w:sz w:val="24"/>
          <w:szCs w:val="24"/>
          <w:lang w:val="en-US" w:bidi="ja-JP"/>
        </w:rPr>
      </w:pPr>
      <w:r>
        <w:rPr>
          <w:rFonts w:ascii="Times New Roman" w:hAnsi="Times New Roman" w:cs="Times New Roman"/>
          <w:sz w:val="24"/>
          <w:szCs w:val="24"/>
          <w:lang w:val="en-US" w:bidi="ja-JP"/>
        </w:rPr>
        <w:t>Kurusu K. Japan as an active agent for global norms; The political dynamism behind the acceptance and promotion of human security // Asia-Pacific Review. – 2011. – Vol. 18. – №2. – Pp. 115-137.</w:t>
      </w:r>
    </w:p>
    <w:p w:rsidR="00517711" w:rsidRDefault="00F815BE">
      <w:pPr>
        <w:pStyle w:val="af4"/>
        <w:numPr>
          <w:ilvl w:val="0"/>
          <w:numId w:val="98"/>
        </w:numPr>
        <w:tabs>
          <w:tab w:val="left" w:pos="1134"/>
        </w:tabs>
        <w:ind w:left="0" w:firstLine="709"/>
        <w:contextualSpacing/>
        <w:jc w:val="both"/>
        <w:rPr>
          <w:rFonts w:ascii="Times New Roman" w:hAnsi="Times New Roman" w:cs="Times New Roman"/>
          <w:sz w:val="24"/>
          <w:szCs w:val="24"/>
          <w:lang w:val="en-US" w:bidi="ja-JP"/>
        </w:rPr>
      </w:pPr>
      <w:r>
        <w:rPr>
          <w:rFonts w:ascii="Times New Roman" w:hAnsi="Times New Roman" w:cs="Times New Roman"/>
          <w:sz w:val="24"/>
          <w:szCs w:val="24"/>
          <w:lang w:val="en-US" w:bidi="ja-JP"/>
        </w:rPr>
        <w:t>Naisbitt J. Megatrends Asia: The eight Asian megatrends that are changing the world. – London: Nicholas Brealy Publishing, 1995. – 271 p.</w:t>
      </w:r>
    </w:p>
    <w:p w:rsidR="00517711" w:rsidRDefault="00F815BE">
      <w:pPr>
        <w:pStyle w:val="af4"/>
        <w:numPr>
          <w:ilvl w:val="0"/>
          <w:numId w:val="98"/>
        </w:numPr>
        <w:tabs>
          <w:tab w:val="left" w:pos="1134"/>
        </w:tabs>
        <w:ind w:left="0" w:firstLine="709"/>
        <w:contextualSpacing/>
        <w:jc w:val="both"/>
        <w:rPr>
          <w:rFonts w:ascii="Times New Roman" w:hAnsi="Times New Roman" w:cs="Times New Roman"/>
          <w:sz w:val="24"/>
          <w:szCs w:val="24"/>
          <w:lang w:val="en-US" w:bidi="ja-JP"/>
        </w:rPr>
      </w:pPr>
      <w:r>
        <w:rPr>
          <w:rFonts w:ascii="Times New Roman" w:hAnsi="Times New Roman" w:cs="Times New Roman"/>
          <w:sz w:val="24"/>
          <w:szCs w:val="24"/>
          <w:lang w:val="en-US" w:bidi="ja-JP"/>
        </w:rPr>
        <w:t>Rozman G. China’s changing images of Japan, 1989 – 2001: The struggle to balance partnership and rivalry // International Relations of the Asia-Pacific, 2002. – № 1. – Pp. 95-129.</w:t>
      </w:r>
    </w:p>
    <w:p w:rsidR="00517711" w:rsidRDefault="00F815BE">
      <w:pPr>
        <w:numPr>
          <w:ilvl w:val="0"/>
          <w:numId w:val="98"/>
        </w:numPr>
        <w:shd w:val="clear" w:color="auto" w:fill="FFFFFF"/>
        <w:tabs>
          <w:tab w:val="left" w:pos="1134"/>
        </w:tabs>
        <w:ind w:left="0" w:firstLine="709"/>
        <w:jc w:val="both"/>
        <w:rPr>
          <w:rFonts w:ascii="Times New Roman" w:hAnsi="Times New Roman" w:cs="Times New Roman"/>
          <w:sz w:val="24"/>
          <w:szCs w:val="24"/>
          <w:lang w:bidi="ja-JP"/>
        </w:rPr>
      </w:pPr>
      <w:r>
        <w:rPr>
          <w:rFonts w:ascii="Times New Roman" w:hAnsi="Times New Roman" w:cs="Times New Roman"/>
          <w:sz w:val="24"/>
          <w:szCs w:val="24"/>
          <w:lang w:val="en-US" w:bidi="ja-JP"/>
        </w:rPr>
        <w:t>The Epoch Times. – 3 March, 2011.</w:t>
      </w:r>
    </w:p>
    <w:p w:rsidR="00517711" w:rsidRDefault="00F815BE">
      <w:pPr>
        <w:numPr>
          <w:ilvl w:val="0"/>
          <w:numId w:val="98"/>
        </w:numPr>
        <w:shd w:val="clear" w:color="auto" w:fill="FFFFFF"/>
        <w:tabs>
          <w:tab w:val="left" w:pos="1134"/>
        </w:tabs>
        <w:ind w:left="0" w:firstLine="709"/>
        <w:jc w:val="both"/>
        <w:rPr>
          <w:rFonts w:ascii="Times New Roman" w:hAnsi="Times New Roman" w:cs="Times New Roman"/>
          <w:sz w:val="24"/>
          <w:szCs w:val="24"/>
          <w:lang w:val="en-US" w:bidi="ja-JP"/>
        </w:rPr>
      </w:pPr>
      <w:r>
        <w:rPr>
          <w:rFonts w:ascii="Times New Roman" w:hAnsi="Times New Roman" w:cs="Times New Roman"/>
          <w:sz w:val="24"/>
          <w:szCs w:val="24"/>
          <w:lang w:val="en-US" w:bidi="ja-JP"/>
        </w:rPr>
        <w:t>The Japan Times. – 19 January, 2002.</w:t>
      </w:r>
    </w:p>
    <w:p w:rsidR="00517711" w:rsidRDefault="00F815BE">
      <w:pPr>
        <w:numPr>
          <w:ilvl w:val="0"/>
          <w:numId w:val="98"/>
        </w:numPr>
        <w:shd w:val="clear" w:color="auto" w:fill="FFFFFF"/>
        <w:tabs>
          <w:tab w:val="left" w:pos="1134"/>
        </w:tabs>
        <w:ind w:left="0" w:firstLine="709"/>
        <w:jc w:val="both"/>
        <w:rPr>
          <w:rFonts w:ascii="Times New Roman" w:hAnsi="Times New Roman" w:cs="Times New Roman"/>
          <w:sz w:val="24"/>
          <w:szCs w:val="24"/>
          <w:lang w:val="en-US" w:bidi="ja-JP"/>
        </w:rPr>
      </w:pPr>
      <w:r>
        <w:rPr>
          <w:rFonts w:ascii="Times New Roman" w:hAnsi="Times New Roman" w:cs="Times New Roman"/>
          <w:sz w:val="24"/>
          <w:szCs w:val="24"/>
          <w:lang w:val="en-US" w:bidi="ja-JP"/>
        </w:rPr>
        <w:t>The Japan Times. – 29 November, 2004.</w:t>
      </w:r>
    </w:p>
    <w:p w:rsidR="00517711" w:rsidRDefault="00F815BE">
      <w:pPr>
        <w:pStyle w:val="af4"/>
        <w:numPr>
          <w:ilvl w:val="0"/>
          <w:numId w:val="98"/>
        </w:numPr>
        <w:tabs>
          <w:tab w:val="left" w:pos="1134"/>
        </w:tabs>
        <w:ind w:left="0" w:firstLine="709"/>
        <w:contextualSpacing/>
        <w:jc w:val="both"/>
        <w:rPr>
          <w:rFonts w:ascii="Times New Roman" w:hAnsi="Times New Roman" w:cs="Times New Roman"/>
          <w:sz w:val="24"/>
          <w:szCs w:val="24"/>
          <w:lang w:bidi="ja-JP"/>
        </w:rPr>
      </w:pPr>
      <w:r>
        <w:rPr>
          <w:rFonts w:ascii="Times New Roman" w:hAnsi="Times New Roman" w:cs="Times New Roman"/>
          <w:sz w:val="24"/>
          <w:szCs w:val="24"/>
          <w:lang w:val="en-US" w:bidi="ja-JP"/>
        </w:rPr>
        <w:t>The Japan Times. – 30 May, 2005.</w:t>
      </w:r>
    </w:p>
    <w:p w:rsidR="00517711" w:rsidRDefault="00F815BE">
      <w:pPr>
        <w:numPr>
          <w:ilvl w:val="0"/>
          <w:numId w:val="98"/>
        </w:numPr>
        <w:shd w:val="clear" w:color="auto" w:fill="FFFFFF"/>
        <w:tabs>
          <w:tab w:val="left" w:pos="1134"/>
        </w:tabs>
        <w:ind w:left="0" w:firstLine="709"/>
        <w:jc w:val="both"/>
        <w:rPr>
          <w:rFonts w:ascii="Times New Roman" w:hAnsi="Times New Roman" w:cs="Times New Roman"/>
          <w:sz w:val="24"/>
          <w:szCs w:val="24"/>
          <w:lang w:val="en-US" w:bidi="ja-JP"/>
        </w:rPr>
      </w:pPr>
      <w:r>
        <w:rPr>
          <w:rFonts w:ascii="Times New Roman" w:hAnsi="Times New Roman" w:cs="Times New Roman"/>
          <w:sz w:val="24"/>
          <w:szCs w:val="24"/>
          <w:lang w:val="en-US" w:bidi="ja-JP"/>
        </w:rPr>
        <w:t>Tong X. Japan's ODA and the Peoples' Republic of China: Strategic aid?: presented at the international conference on Japan’s ODA to East Asian nation (Bangkok, 21 – 22 March). – 1991.</w:t>
      </w:r>
    </w:p>
    <w:p w:rsidR="00517711" w:rsidRDefault="00F815BE">
      <w:pPr>
        <w:numPr>
          <w:ilvl w:val="0"/>
          <w:numId w:val="98"/>
        </w:numPr>
        <w:shd w:val="clear" w:color="auto" w:fill="FFFFFF"/>
        <w:tabs>
          <w:tab w:val="left" w:pos="1134"/>
        </w:tabs>
        <w:ind w:left="0" w:firstLine="709"/>
        <w:jc w:val="both"/>
        <w:rPr>
          <w:rFonts w:ascii="Times New Roman" w:hAnsi="Times New Roman" w:cs="Times New Roman"/>
          <w:sz w:val="24"/>
          <w:szCs w:val="24"/>
          <w:lang w:val="en-US" w:bidi="ja-JP"/>
        </w:rPr>
      </w:pPr>
      <w:r>
        <w:rPr>
          <w:rFonts w:ascii="Times New Roman" w:hAnsi="Times New Roman" w:cs="Times New Roman"/>
          <w:sz w:val="24"/>
          <w:szCs w:val="24"/>
          <w:lang w:val="en-US" w:bidi="ja-JP"/>
        </w:rPr>
        <w:t>Yahuda M. The international politics of the Asia – Pacific, London and New York: Routledge, 2011. – 368 p.</w:t>
      </w:r>
    </w:p>
    <w:p w:rsidR="00517711" w:rsidRDefault="00517711">
      <w:pPr>
        <w:tabs>
          <w:tab w:val="left" w:pos="1134"/>
        </w:tabs>
        <w:ind w:left="851" w:hanging="490"/>
        <w:jc w:val="both"/>
        <w:rPr>
          <w:rFonts w:ascii="Times New Roman" w:hAnsi="Times New Roman" w:cs="Times New Roman"/>
          <w:sz w:val="24"/>
          <w:szCs w:val="24"/>
          <w:lang w:val="en-US" w:bidi="ja-JP"/>
        </w:rPr>
      </w:pPr>
    </w:p>
    <w:p w:rsidR="00517711" w:rsidRDefault="00517711">
      <w:pPr>
        <w:pStyle w:val="af4"/>
        <w:tabs>
          <w:tab w:val="left" w:pos="851"/>
        </w:tabs>
        <w:ind w:left="0" w:firstLine="709"/>
        <w:contextualSpacing/>
        <w:jc w:val="both"/>
        <w:rPr>
          <w:rFonts w:ascii="Times New Roman" w:hAnsi="Times New Roman" w:cs="Times New Roman"/>
          <w:sz w:val="24"/>
          <w:szCs w:val="24"/>
          <w:lang w:val="en-US" w:bidi="ja-JP"/>
        </w:rPr>
      </w:pPr>
    </w:p>
    <w:p w:rsidR="00517711" w:rsidRDefault="00517711">
      <w:pPr>
        <w:pStyle w:val="af4"/>
        <w:ind w:left="0" w:firstLine="709"/>
        <w:contextualSpacing/>
        <w:jc w:val="both"/>
        <w:rPr>
          <w:rFonts w:ascii="Times New Roman" w:hAnsi="Times New Roman" w:cs="Times New Roman"/>
          <w:sz w:val="24"/>
          <w:szCs w:val="24"/>
          <w:lang w:val="en-US" w:bidi="ja-JP"/>
        </w:rPr>
      </w:pPr>
    </w:p>
    <w:p w:rsidR="00517711" w:rsidRDefault="00517711">
      <w:pPr>
        <w:tabs>
          <w:tab w:val="left" w:pos="1134"/>
        </w:tabs>
        <w:ind w:firstLine="709"/>
        <w:jc w:val="both"/>
        <w:rPr>
          <w:rFonts w:ascii="Times New Roman" w:hAnsi="Times New Roman" w:cs="Times New Roman"/>
          <w:sz w:val="24"/>
          <w:szCs w:val="24"/>
          <w:lang w:val="en-US" w:bidi="ja-JP"/>
        </w:rPr>
      </w:pPr>
    </w:p>
    <w:p w:rsidR="00517711" w:rsidRPr="008A2A0D" w:rsidRDefault="00517711">
      <w:pPr>
        <w:rPr>
          <w:rFonts w:ascii="Times New Roman" w:hAnsi="Times New Roman" w:cs="Times New Roman"/>
          <w:sz w:val="24"/>
          <w:szCs w:val="24"/>
          <w:lang w:val="en-US" w:bidi="ja-JP"/>
        </w:rPr>
      </w:pPr>
    </w:p>
    <w:p w:rsidR="00517711" w:rsidRDefault="00F815BE">
      <w:pPr>
        <w:ind w:firstLine="709"/>
        <w:jc w:val="right"/>
        <w:rPr>
          <w:rFonts w:ascii="Times New Roman" w:hAnsi="Times New Roman" w:cs="Times New Roman"/>
          <w:sz w:val="24"/>
          <w:szCs w:val="24"/>
          <w:lang w:bidi="ja-JP"/>
        </w:rPr>
      </w:pPr>
      <w:r>
        <w:rPr>
          <w:rFonts w:ascii="Times New Roman" w:hAnsi="Times New Roman" w:cs="Times New Roman"/>
          <w:sz w:val="24"/>
          <w:szCs w:val="24"/>
          <w:lang w:bidi="ja-JP"/>
        </w:rPr>
        <w:t>Приложение 1</w:t>
      </w:r>
    </w:p>
    <w:p w:rsidR="00517711" w:rsidRDefault="00F815BE">
      <w:pPr>
        <w:ind w:firstLine="709"/>
        <w:jc w:val="right"/>
        <w:rPr>
          <w:rFonts w:ascii="Times New Roman" w:hAnsi="Times New Roman" w:cs="Times New Roman"/>
          <w:i/>
          <w:iCs/>
          <w:sz w:val="24"/>
          <w:szCs w:val="24"/>
          <w:lang w:bidi="ja-JP"/>
        </w:rPr>
      </w:pPr>
      <w:r>
        <w:rPr>
          <w:rFonts w:ascii="Times New Roman" w:hAnsi="Times New Roman" w:cs="Times New Roman"/>
          <w:i/>
          <w:iCs/>
          <w:sz w:val="24"/>
          <w:szCs w:val="24"/>
          <w:lang w:bidi="ja-JP"/>
        </w:rPr>
        <w:t>Таблица 1</w:t>
      </w:r>
    </w:p>
    <w:p w:rsidR="00517711" w:rsidRDefault="00F815BE">
      <w:pPr>
        <w:ind w:firstLine="709"/>
        <w:jc w:val="center"/>
        <w:rPr>
          <w:rFonts w:ascii="Times New Roman" w:hAnsi="Times New Roman" w:cs="Times New Roman"/>
          <w:b/>
          <w:bCs/>
          <w:sz w:val="24"/>
          <w:szCs w:val="24"/>
          <w:lang w:bidi="ja-JP"/>
        </w:rPr>
      </w:pPr>
      <w:r>
        <w:rPr>
          <w:rFonts w:ascii="Times New Roman" w:hAnsi="Times New Roman" w:cs="Times New Roman"/>
          <w:b/>
          <w:bCs/>
          <w:sz w:val="24"/>
          <w:szCs w:val="24"/>
          <w:lang w:bidi="ja-JP"/>
        </w:rPr>
        <w:t>Показатели двусторонней японской помощи КНР</w:t>
      </w:r>
    </w:p>
    <w:tbl>
      <w:tblPr>
        <w:tblStyle w:val="af1"/>
        <w:tblW w:w="0" w:type="auto"/>
        <w:tblInd w:w="-33" w:type="dxa"/>
        <w:tblLook w:val="04A0" w:firstRow="1" w:lastRow="0" w:firstColumn="1" w:lastColumn="0" w:noHBand="0" w:noVBand="1"/>
      </w:tblPr>
      <w:tblGrid>
        <w:gridCol w:w="1607"/>
        <w:gridCol w:w="876"/>
        <w:gridCol w:w="876"/>
        <w:gridCol w:w="756"/>
        <w:gridCol w:w="756"/>
        <w:gridCol w:w="876"/>
        <w:gridCol w:w="876"/>
        <w:gridCol w:w="876"/>
        <w:gridCol w:w="876"/>
        <w:gridCol w:w="756"/>
        <w:gridCol w:w="756"/>
      </w:tblGrid>
      <w:tr w:rsidR="00517711">
        <w:tc>
          <w:tcPr>
            <w:tcW w:w="1609" w:type="dxa"/>
            <w:tcBorders>
              <w:top w:val="single" w:sz="4" w:space="0" w:color="000000"/>
              <w:left w:val="single" w:sz="4" w:space="0" w:color="000000"/>
              <w:bottom w:val="single" w:sz="4" w:space="0" w:color="000000"/>
              <w:right w:val="single" w:sz="4" w:space="0" w:color="000000"/>
            </w:tcBorders>
          </w:tcPr>
          <w:p w:rsidR="00517711" w:rsidRDefault="00F815BE">
            <w:pPr>
              <w:spacing w:line="240" w:lineRule="auto"/>
              <w:rPr>
                <w:rFonts w:ascii="Times New Roman" w:hAnsi="Times New Roman" w:cs="Times New Roman"/>
              </w:rPr>
            </w:pPr>
            <w:r>
              <w:rPr>
                <w:rFonts w:ascii="Times New Roman" w:hAnsi="Times New Roman" w:cs="Times New Roman"/>
                <w:sz w:val="24"/>
                <w:szCs w:val="24"/>
                <w:lang w:bidi="ja-JP"/>
              </w:rPr>
              <w:t>Показатель японской помощи, млн долл.</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1988</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1989</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1990</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1991</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1992</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1993</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1994</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1995</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1996</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1997</w:t>
            </w:r>
          </w:p>
        </w:tc>
      </w:tr>
      <w:tr w:rsidR="00517711">
        <w:tc>
          <w:tcPr>
            <w:tcW w:w="1609" w:type="dxa"/>
            <w:tcBorders>
              <w:top w:val="single" w:sz="4" w:space="0" w:color="000000"/>
              <w:left w:val="single" w:sz="4" w:space="0" w:color="000000"/>
              <w:bottom w:val="single" w:sz="4" w:space="0" w:color="000000"/>
              <w:right w:val="single" w:sz="4" w:space="0" w:color="000000"/>
            </w:tcBorders>
          </w:tcPr>
          <w:p w:rsidR="00517711" w:rsidRDefault="00F815BE">
            <w:pPr>
              <w:spacing w:line="240" w:lineRule="auto"/>
              <w:rPr>
                <w:rFonts w:ascii="Times New Roman" w:hAnsi="Times New Roman" w:cs="Times New Roman"/>
              </w:rPr>
            </w:pPr>
            <w:r>
              <w:rPr>
                <w:rFonts w:ascii="Times New Roman" w:hAnsi="Times New Roman" w:cs="Times New Roman"/>
                <w:sz w:val="24"/>
                <w:szCs w:val="24"/>
                <w:lang w:bidi="ja-JP"/>
              </w:rPr>
              <w:t>Доля Японии во всей помощи ОЭСР Китаю, %</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673,7</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832,2</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723,0</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585,3</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1050,8</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1350,8</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1479,4</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1380,2</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861,7</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576,9</w:t>
            </w:r>
          </w:p>
        </w:tc>
      </w:tr>
      <w:tr w:rsidR="00517711">
        <w:tc>
          <w:tcPr>
            <w:tcW w:w="1609" w:type="dxa"/>
            <w:tcBorders>
              <w:top w:val="single" w:sz="4" w:space="0" w:color="000000"/>
              <w:left w:val="single" w:sz="4" w:space="0" w:color="000000"/>
              <w:bottom w:val="single" w:sz="4" w:space="0" w:color="000000"/>
              <w:right w:val="single" w:sz="4" w:space="0" w:color="000000"/>
            </w:tcBorders>
          </w:tcPr>
          <w:p w:rsidR="00517711" w:rsidRDefault="00F815BE">
            <w:pPr>
              <w:spacing w:line="240" w:lineRule="auto"/>
              <w:rPr>
                <w:rFonts w:ascii="Times New Roman" w:hAnsi="Times New Roman" w:cs="Times New Roman"/>
              </w:rPr>
            </w:pPr>
            <w:r>
              <w:rPr>
                <w:rFonts w:ascii="Times New Roman" w:hAnsi="Times New Roman" w:cs="Times New Roman"/>
                <w:sz w:val="24"/>
                <w:szCs w:val="24"/>
                <w:lang w:bidi="ja-JP"/>
              </w:rPr>
              <w:t>Показатель</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56,3</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55,6</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47,8</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46,7</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50,6</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60,3</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61,8</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54,5</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51,6</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46,5</w:t>
            </w:r>
          </w:p>
        </w:tc>
      </w:tr>
      <w:tr w:rsidR="00517711">
        <w:tc>
          <w:tcPr>
            <w:tcW w:w="1609" w:type="dxa"/>
            <w:tcBorders>
              <w:top w:val="single" w:sz="4" w:space="0" w:color="000000"/>
              <w:left w:val="single" w:sz="4" w:space="0" w:color="000000"/>
              <w:bottom w:val="single" w:sz="4" w:space="0" w:color="000000"/>
              <w:right w:val="single" w:sz="4" w:space="0" w:color="000000"/>
            </w:tcBorders>
          </w:tcPr>
          <w:p w:rsidR="00517711" w:rsidRDefault="00F815BE">
            <w:pPr>
              <w:spacing w:line="240" w:lineRule="auto"/>
              <w:rPr>
                <w:rFonts w:ascii="Times New Roman" w:hAnsi="Times New Roman" w:cs="Times New Roman"/>
              </w:rPr>
            </w:pPr>
            <w:r>
              <w:rPr>
                <w:rFonts w:ascii="Times New Roman" w:hAnsi="Times New Roman" w:cs="Times New Roman"/>
                <w:sz w:val="24"/>
                <w:szCs w:val="24"/>
                <w:lang w:bidi="ja-JP"/>
              </w:rPr>
              <w:t>Обьем японской помощи, млн долл.</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1158,2</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1226,0</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769,2</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686,1</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828,7</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759,7</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964,7</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1064,3</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569,4</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435,6</w:t>
            </w:r>
          </w:p>
        </w:tc>
      </w:tr>
      <w:tr w:rsidR="00517711">
        <w:tc>
          <w:tcPr>
            <w:tcW w:w="1609" w:type="dxa"/>
            <w:tcBorders>
              <w:top w:val="single" w:sz="4" w:space="0" w:color="000000"/>
              <w:left w:val="single" w:sz="4" w:space="0" w:color="000000"/>
              <w:bottom w:val="single" w:sz="4" w:space="0" w:color="000000"/>
              <w:right w:val="single" w:sz="4" w:space="0" w:color="000000"/>
            </w:tcBorders>
          </w:tcPr>
          <w:p w:rsidR="00517711" w:rsidRDefault="00F815BE">
            <w:pPr>
              <w:spacing w:line="240" w:lineRule="auto"/>
              <w:rPr>
                <w:rFonts w:ascii="Times New Roman" w:hAnsi="Times New Roman" w:cs="Times New Roman"/>
              </w:rPr>
            </w:pPr>
            <w:r>
              <w:rPr>
                <w:rFonts w:ascii="Times New Roman" w:hAnsi="Times New Roman" w:cs="Times New Roman"/>
                <w:sz w:val="24"/>
                <w:szCs w:val="24"/>
                <w:lang w:bidi="ja-JP"/>
              </w:rPr>
              <w:t>Доля Японии во всей помощи ОЭСР Китаю, %</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66,6</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68,4</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61,3</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64,1</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68,4</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66,7</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60,8</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63,8</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517711">
            <w:pPr>
              <w:tabs>
                <w:tab w:val="center" w:pos="270"/>
              </w:tabs>
              <w:spacing w:line="240" w:lineRule="auto"/>
              <w:jc w:val="center"/>
              <w:rPr>
                <w:rFonts w:ascii="Times New Roman" w:hAnsi="Times New Roman" w:cs="Times New Roman"/>
              </w:rPr>
            </w:pPr>
          </w:p>
          <w:p w:rsidR="00517711" w:rsidRDefault="00F815BE">
            <w:pPr>
              <w:tabs>
                <w:tab w:val="center" w:pos="270"/>
              </w:tabs>
              <w:spacing w:line="240" w:lineRule="auto"/>
              <w:jc w:val="center"/>
              <w:rPr>
                <w:rFonts w:ascii="Times New Roman" w:hAnsi="Times New Roman" w:cs="Times New Roman"/>
              </w:rPr>
            </w:pPr>
            <w:r>
              <w:rPr>
                <w:rFonts w:ascii="Times New Roman" w:hAnsi="Times New Roman" w:cs="Times New Roman"/>
                <w:sz w:val="24"/>
                <w:szCs w:val="24"/>
                <w:lang w:val="en-US" w:bidi="ja-JP"/>
              </w:rPr>
              <w:t>49,4</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32,7</w:t>
            </w:r>
          </w:p>
        </w:tc>
      </w:tr>
    </w:tbl>
    <w:p w:rsidR="00517711" w:rsidRDefault="00517711">
      <w:pPr>
        <w:ind w:firstLine="709"/>
        <w:jc w:val="center"/>
        <w:rPr>
          <w:rFonts w:ascii="Times New Roman" w:hAnsi="Times New Roman" w:cs="Times New Roman"/>
          <w:sz w:val="24"/>
          <w:szCs w:val="24"/>
          <w:lang w:bidi="ja-JP"/>
        </w:rPr>
      </w:pPr>
    </w:p>
    <w:p w:rsidR="00517711" w:rsidRDefault="00517711">
      <w:pPr>
        <w:ind w:firstLine="709"/>
        <w:rPr>
          <w:rFonts w:ascii="Times New Roman" w:hAnsi="Times New Roman" w:cs="Times New Roman"/>
          <w:sz w:val="24"/>
          <w:szCs w:val="24"/>
          <w:lang w:bidi="ja-JP"/>
        </w:rPr>
      </w:pPr>
    </w:p>
    <w:p w:rsidR="00517711" w:rsidRDefault="00517711">
      <w:pPr>
        <w:pStyle w:val="af4"/>
        <w:spacing w:after="0" w:line="240" w:lineRule="auto"/>
        <w:jc w:val="both"/>
        <w:rPr>
          <w:szCs w:val="24"/>
        </w:rPr>
      </w:pPr>
    </w:p>
    <w:p w:rsidR="008A2A0D" w:rsidRPr="00517B1B" w:rsidRDefault="008A2A0D" w:rsidP="008A2A0D">
      <w:pPr>
        <w:spacing w:after="200"/>
        <w:rPr>
          <w:rFonts w:cs="Times New Roman"/>
          <w:szCs w:val="24"/>
        </w:rPr>
      </w:pPr>
      <w:r w:rsidRPr="00517B1B">
        <w:rPr>
          <w:rFonts w:cs="Times New Roman"/>
          <w:szCs w:val="24"/>
        </w:rPr>
        <w:t>Рубрика: Туристско-рекреационный комплекс Дальнего Востока как перспективная модель развития территории</w:t>
      </w:r>
    </w:p>
    <w:p w:rsidR="008A2A0D" w:rsidRPr="00517B1B" w:rsidRDefault="008A2A0D" w:rsidP="008A2A0D">
      <w:pPr>
        <w:spacing w:after="200"/>
        <w:rPr>
          <w:rFonts w:cs="Times New Roman"/>
          <w:szCs w:val="24"/>
        </w:rPr>
      </w:pPr>
      <w:r w:rsidRPr="00517B1B">
        <w:rPr>
          <w:rFonts w:cs="Times New Roman"/>
          <w:szCs w:val="24"/>
        </w:rPr>
        <w:t xml:space="preserve">УДК: 379.85 </w:t>
      </w:r>
    </w:p>
    <w:p w:rsidR="008A2A0D" w:rsidRPr="00517B1B" w:rsidRDefault="008A2A0D" w:rsidP="008A2A0D">
      <w:pPr>
        <w:jc w:val="center"/>
        <w:rPr>
          <w:rFonts w:cs="Times New Roman"/>
          <w:b/>
          <w:szCs w:val="24"/>
        </w:rPr>
      </w:pPr>
      <w:r w:rsidRPr="00517B1B">
        <w:rPr>
          <w:rFonts w:cs="Times New Roman"/>
          <w:b/>
          <w:szCs w:val="24"/>
        </w:rPr>
        <w:t>Информационный портал как инструмент продвижения гастрономического туризма в РФ</w:t>
      </w:r>
    </w:p>
    <w:p w:rsidR="008A2A0D" w:rsidRPr="00517B1B" w:rsidRDefault="008A2A0D" w:rsidP="008A2A0D">
      <w:pPr>
        <w:jc w:val="center"/>
        <w:rPr>
          <w:rFonts w:cs="Times New Roman"/>
          <w:szCs w:val="24"/>
        </w:rPr>
      </w:pPr>
      <w:r w:rsidRPr="00517B1B">
        <w:rPr>
          <w:rFonts w:cs="Times New Roman"/>
          <w:szCs w:val="24"/>
        </w:rPr>
        <w:t>Голянкин Евгений Олегович,</w:t>
      </w:r>
    </w:p>
    <w:p w:rsidR="008A2A0D" w:rsidRPr="00517B1B" w:rsidRDefault="008A2A0D" w:rsidP="008A2A0D">
      <w:pPr>
        <w:jc w:val="center"/>
        <w:rPr>
          <w:rFonts w:cs="Times New Roman"/>
          <w:szCs w:val="24"/>
        </w:rPr>
      </w:pPr>
      <w:r w:rsidRPr="00517B1B">
        <w:rPr>
          <w:rFonts w:cs="Times New Roman"/>
          <w:szCs w:val="24"/>
        </w:rPr>
        <w:t>магистрант</w:t>
      </w:r>
    </w:p>
    <w:p w:rsidR="008A2A0D" w:rsidRPr="00517B1B" w:rsidRDefault="008A2A0D" w:rsidP="008A2A0D">
      <w:pPr>
        <w:jc w:val="center"/>
        <w:rPr>
          <w:rFonts w:cs="Times New Roman"/>
          <w:i/>
          <w:szCs w:val="24"/>
        </w:rPr>
      </w:pPr>
      <w:r w:rsidRPr="00517B1B">
        <w:rPr>
          <w:rFonts w:cs="Times New Roman"/>
          <w:i/>
          <w:szCs w:val="24"/>
        </w:rPr>
        <w:t>Владивостокский государственный университет экономики и сервиса. Россия. Владивосток.</w:t>
      </w:r>
    </w:p>
    <w:p w:rsidR="008A2A0D" w:rsidRPr="008A2A0D" w:rsidRDefault="008A2A0D" w:rsidP="008A2A0D">
      <w:pPr>
        <w:jc w:val="center"/>
        <w:rPr>
          <w:rFonts w:cs="Times New Roman"/>
          <w:szCs w:val="24"/>
        </w:rPr>
      </w:pPr>
      <w:r w:rsidRPr="00517B1B">
        <w:rPr>
          <w:rFonts w:cs="Times New Roman"/>
          <w:szCs w:val="24"/>
          <w:lang w:val="en-US"/>
        </w:rPr>
        <w:t>E</w:t>
      </w:r>
      <w:r w:rsidRPr="008A2A0D">
        <w:rPr>
          <w:rFonts w:cs="Times New Roman"/>
          <w:szCs w:val="24"/>
        </w:rPr>
        <w:t>-</w:t>
      </w:r>
      <w:r w:rsidRPr="00517B1B">
        <w:rPr>
          <w:rFonts w:cs="Times New Roman"/>
          <w:szCs w:val="24"/>
          <w:lang w:val="en-US"/>
        </w:rPr>
        <w:t>mail</w:t>
      </w:r>
      <w:r w:rsidRPr="008A2A0D">
        <w:rPr>
          <w:rFonts w:cs="Times New Roman"/>
          <w:szCs w:val="24"/>
        </w:rPr>
        <w:t xml:space="preserve">: </w:t>
      </w:r>
      <w:hyperlink r:id="rId325" w:history="1">
        <w:r w:rsidRPr="00517B1B">
          <w:rPr>
            <w:rStyle w:val="aa"/>
            <w:rFonts w:eastAsia="Arial" w:cs="Times New Roman"/>
            <w:szCs w:val="24"/>
            <w:lang w:val="en-US"/>
          </w:rPr>
          <w:t>Plum</w:t>
        </w:r>
        <w:r w:rsidRPr="008A2A0D">
          <w:rPr>
            <w:rStyle w:val="aa"/>
            <w:rFonts w:eastAsia="Arial" w:cs="Times New Roman"/>
            <w:szCs w:val="24"/>
          </w:rPr>
          <w:t>95@</w:t>
        </w:r>
        <w:r w:rsidRPr="00517B1B">
          <w:rPr>
            <w:rStyle w:val="aa"/>
            <w:rFonts w:eastAsia="Arial" w:cs="Times New Roman"/>
            <w:szCs w:val="24"/>
            <w:lang w:val="en-US"/>
          </w:rPr>
          <w:t>mail</w:t>
        </w:r>
        <w:r w:rsidRPr="008A2A0D">
          <w:rPr>
            <w:rStyle w:val="aa"/>
            <w:rFonts w:eastAsia="Arial" w:cs="Times New Roman"/>
            <w:szCs w:val="24"/>
          </w:rPr>
          <w:t>.</w:t>
        </w:r>
        <w:r w:rsidRPr="00517B1B">
          <w:rPr>
            <w:rStyle w:val="aa"/>
            <w:rFonts w:eastAsia="Arial" w:cs="Times New Roman"/>
            <w:szCs w:val="24"/>
            <w:lang w:val="en-US"/>
          </w:rPr>
          <w:t>ru</w:t>
        </w:r>
      </w:hyperlink>
      <w:r w:rsidRPr="008A2A0D">
        <w:rPr>
          <w:rFonts w:cs="Times New Roman"/>
          <w:szCs w:val="24"/>
        </w:rPr>
        <w:t xml:space="preserve">; </w:t>
      </w:r>
      <w:r w:rsidRPr="00517B1B">
        <w:rPr>
          <w:rFonts w:cs="Times New Roman"/>
          <w:szCs w:val="24"/>
        </w:rPr>
        <w:t>тел</w:t>
      </w:r>
      <w:r w:rsidRPr="008A2A0D">
        <w:rPr>
          <w:rFonts w:cs="Times New Roman"/>
          <w:szCs w:val="24"/>
        </w:rPr>
        <w:t>.: 8924-249-55-72</w:t>
      </w:r>
    </w:p>
    <w:p w:rsidR="008A2A0D" w:rsidRPr="00517B1B" w:rsidRDefault="008A2A0D" w:rsidP="008A2A0D">
      <w:pPr>
        <w:jc w:val="center"/>
        <w:rPr>
          <w:rFonts w:cs="Times New Roman"/>
          <w:szCs w:val="24"/>
        </w:rPr>
      </w:pPr>
      <w:r w:rsidRPr="00517B1B">
        <w:rPr>
          <w:rFonts w:cs="Times New Roman"/>
          <w:szCs w:val="24"/>
        </w:rPr>
        <w:t>Ул. Гоголя, 41, г.Владивосток, Приморский край, Россия, 690014</w:t>
      </w:r>
    </w:p>
    <w:p w:rsidR="008A2A0D" w:rsidRPr="00517B1B" w:rsidRDefault="008A2A0D" w:rsidP="008A2A0D">
      <w:pPr>
        <w:rPr>
          <w:rFonts w:cs="Times New Roman"/>
          <w:szCs w:val="24"/>
        </w:rPr>
      </w:pPr>
    </w:p>
    <w:p w:rsidR="008A2A0D" w:rsidRPr="00517B1B" w:rsidRDefault="008A2A0D" w:rsidP="008A2A0D">
      <w:pPr>
        <w:rPr>
          <w:rFonts w:cs="Times New Roman"/>
          <w:i/>
          <w:szCs w:val="24"/>
        </w:rPr>
      </w:pPr>
      <w:r w:rsidRPr="00517B1B">
        <w:rPr>
          <w:rFonts w:cs="Times New Roman"/>
          <w:i/>
          <w:szCs w:val="24"/>
        </w:rPr>
        <w:t>Для успешного продвижения и развития гастрономического туризма Приморском крае и России в целом очень важен современный подход в работе. Так как гастрономический туризм является достаточно слабо развитым видом туризма, то для его развития необходимо применять самые последние технологии. Конечно же никакие технологии не смогут сделать что-либо популярным без качественного продвижения и для этого необходим маркетинг. В настоящее время маркетинг шагнул далеко вперед в своем развитии, появилось огромное количество способов, инструментов, технологий продвижения. В работе отраженно на сколько важен маркетинг для гастрономического туризма и насколько важно правильное и качественное его продвижение.</w:t>
      </w:r>
    </w:p>
    <w:p w:rsidR="008A2A0D" w:rsidRPr="00517B1B" w:rsidRDefault="008A2A0D" w:rsidP="008A2A0D">
      <w:pPr>
        <w:rPr>
          <w:rFonts w:cs="Times New Roman"/>
          <w:i/>
          <w:szCs w:val="24"/>
        </w:rPr>
      </w:pPr>
      <w:r w:rsidRPr="00517B1B">
        <w:rPr>
          <w:rFonts w:cs="Times New Roman"/>
          <w:b/>
          <w:i/>
          <w:szCs w:val="24"/>
        </w:rPr>
        <w:t xml:space="preserve">Ключевые слова и словосочетания: </w:t>
      </w:r>
      <w:r w:rsidRPr="00517B1B">
        <w:rPr>
          <w:rFonts w:cs="Times New Roman"/>
          <w:i/>
          <w:szCs w:val="24"/>
        </w:rPr>
        <w:t>информационный портал, продвижение, гастрономический туризм, инструменты продвижения, маркетинг в гастрономическом туризме.</w:t>
      </w:r>
    </w:p>
    <w:p w:rsidR="008A2A0D" w:rsidRPr="00517B1B" w:rsidRDefault="008A2A0D" w:rsidP="008A2A0D">
      <w:pPr>
        <w:rPr>
          <w:rFonts w:cs="Times New Roman"/>
          <w:i/>
          <w:szCs w:val="24"/>
        </w:rPr>
      </w:pPr>
    </w:p>
    <w:p w:rsidR="008A2A0D" w:rsidRPr="00D8573B" w:rsidRDefault="008A2A0D" w:rsidP="008A2A0D">
      <w:pPr>
        <w:jc w:val="center"/>
        <w:rPr>
          <w:rFonts w:cs="Times New Roman"/>
          <w:b/>
          <w:szCs w:val="24"/>
          <w:lang w:val="en-US"/>
        </w:rPr>
      </w:pPr>
      <w:r w:rsidRPr="00517B1B">
        <w:rPr>
          <w:rFonts w:cs="Times New Roman"/>
          <w:b/>
          <w:szCs w:val="24"/>
          <w:lang w:val="en-US"/>
        </w:rPr>
        <w:t>Information portal as a tool fo</w:t>
      </w:r>
      <w:r>
        <w:rPr>
          <w:rFonts w:cs="Times New Roman"/>
          <w:b/>
          <w:szCs w:val="24"/>
          <w:lang w:val="en-US"/>
        </w:rPr>
        <w:t>r promoting gastronomic tourism</w:t>
      </w:r>
    </w:p>
    <w:p w:rsidR="008A2A0D" w:rsidRPr="00517B1B" w:rsidRDefault="008A2A0D" w:rsidP="008A2A0D">
      <w:pPr>
        <w:jc w:val="center"/>
        <w:rPr>
          <w:rFonts w:cs="Times New Roman"/>
          <w:b/>
          <w:szCs w:val="24"/>
          <w:lang w:val="en-US"/>
        </w:rPr>
      </w:pPr>
      <w:r w:rsidRPr="00517B1B">
        <w:rPr>
          <w:rFonts w:cs="Times New Roman"/>
          <w:b/>
          <w:szCs w:val="24"/>
          <w:lang w:val="en-US"/>
        </w:rPr>
        <w:t>in the Russian Federation</w:t>
      </w:r>
    </w:p>
    <w:p w:rsidR="008A2A0D" w:rsidRPr="00517B1B" w:rsidRDefault="008A2A0D" w:rsidP="008A2A0D">
      <w:pPr>
        <w:rPr>
          <w:rFonts w:cs="Times New Roman"/>
          <w:b/>
          <w:szCs w:val="24"/>
          <w:lang w:val="en-US"/>
        </w:rPr>
      </w:pPr>
    </w:p>
    <w:p w:rsidR="008A2A0D" w:rsidRPr="00517B1B" w:rsidRDefault="008A2A0D" w:rsidP="008A2A0D">
      <w:pPr>
        <w:rPr>
          <w:rFonts w:cs="Times New Roman"/>
          <w:i/>
          <w:szCs w:val="24"/>
          <w:lang w:val="en-US"/>
        </w:rPr>
      </w:pPr>
      <w:r w:rsidRPr="00517B1B">
        <w:rPr>
          <w:rFonts w:cs="Times New Roman"/>
          <w:i/>
          <w:szCs w:val="24"/>
          <w:lang w:val="en-US"/>
        </w:rPr>
        <w:t>For the successful promotion and development of gastronomic tourism in Primorsky Krai and Russia as a whole, a very modern approach to work is very important. Since gastronomic tourism is a fairly poorly developed type of tourism, it is necessary to apply the latest technologies for its development. Of course, no technology can do anything popular without quality promotion and for this we need marketing. Currently, marketing has stepped far ahead in its development, there appeared a huge number of ways, tools, technologies of promotion. The work reflects the importance of marketing for gastronomic tourism and how important is its correct and high-quality promotion.</w:t>
      </w:r>
    </w:p>
    <w:p w:rsidR="008A2A0D" w:rsidRPr="00517B1B" w:rsidRDefault="008A2A0D" w:rsidP="008A2A0D">
      <w:pPr>
        <w:rPr>
          <w:rFonts w:cs="Times New Roman"/>
          <w:i/>
          <w:szCs w:val="24"/>
          <w:lang w:val="en-US"/>
        </w:rPr>
      </w:pPr>
    </w:p>
    <w:p w:rsidR="008A2A0D" w:rsidRPr="00517B1B" w:rsidRDefault="008A2A0D" w:rsidP="008A2A0D">
      <w:pPr>
        <w:rPr>
          <w:rFonts w:cs="Times New Roman"/>
          <w:i/>
          <w:szCs w:val="24"/>
          <w:lang w:val="en-US"/>
        </w:rPr>
      </w:pPr>
      <w:r w:rsidRPr="00517B1B">
        <w:rPr>
          <w:rFonts w:cs="Times New Roman"/>
          <w:b/>
          <w:i/>
          <w:szCs w:val="24"/>
          <w:lang w:val="en-US"/>
        </w:rPr>
        <w:t xml:space="preserve">Keywords: </w:t>
      </w:r>
      <w:r w:rsidRPr="00517B1B">
        <w:rPr>
          <w:rFonts w:cs="Times New Roman"/>
          <w:i/>
          <w:szCs w:val="24"/>
          <w:lang w:val="en-US"/>
        </w:rPr>
        <w:t>information portal, promotion, gastronomic tourism, promotion tools, marketing in gastronomic tourism.</w:t>
      </w:r>
    </w:p>
    <w:p w:rsidR="008A2A0D" w:rsidRPr="00517B1B" w:rsidRDefault="008A2A0D" w:rsidP="008A2A0D">
      <w:pPr>
        <w:rPr>
          <w:rFonts w:cs="Times New Roman"/>
          <w:i/>
          <w:szCs w:val="24"/>
          <w:lang w:val="en-US"/>
        </w:rPr>
      </w:pPr>
    </w:p>
    <w:p w:rsidR="008A2A0D" w:rsidRPr="00517B1B" w:rsidRDefault="008A2A0D" w:rsidP="008A2A0D">
      <w:pPr>
        <w:rPr>
          <w:rFonts w:cs="Times New Roman"/>
          <w:szCs w:val="24"/>
        </w:rPr>
      </w:pPr>
      <w:r w:rsidRPr="00517B1B">
        <w:rPr>
          <w:rFonts w:cs="Times New Roman"/>
          <w:szCs w:val="24"/>
        </w:rPr>
        <w:t>Сегодня незаметно для нас самих все большую роль в нашей жизни приобретает так называемая «экономика впечатлений». Американцы Б. Джозеф Пайн II и Джеймс Гилмор, рассматривая впечатления как четвертое экономическое предложение, пришли к выводу, что они имеют свои отличительные черты и отличаются от услуг так же, как услуги от товаров. Человек, покупая впечатления, платит за свои собственные чувства и ощущения[1]. Впечатления готовит и предлагает на рынке большое количество компаний, а в их продвижении участвуют и турфирмы.</w:t>
      </w:r>
    </w:p>
    <w:p w:rsidR="008A2A0D" w:rsidRPr="00517B1B" w:rsidRDefault="008A2A0D" w:rsidP="008A2A0D">
      <w:pPr>
        <w:rPr>
          <w:rFonts w:cs="Times New Roman"/>
          <w:szCs w:val="24"/>
        </w:rPr>
      </w:pPr>
      <w:r w:rsidRPr="00517B1B">
        <w:rPr>
          <w:rFonts w:cs="Times New Roman"/>
          <w:szCs w:val="24"/>
        </w:rPr>
        <w:t>Вышеназванные авторы рассматривают воздействие товаров на органы чувств и предлагают насытить эти товары впечатлениями, добавив к ним то, что может оказать непосредственное воздействие на органы чувств покупателя. Так, некоторые товары по своей природе зависят от чувственного восприятия. К таким товарам смело можно отнести гастрономические фестивали и гастрономические туры. Гастрономический туризм как самостоятельное направление туризма стал развиваться относительно недавно. Существует несколько дефиниций, позволяющих относить поездки к данному виду туризма. В специальной литературе встречаются такие понятия, как: «culinary tourism» - «кулинарный туризм», «food tourism» - «продовольственный туризм», «gastronomic tourism» - гастрономический туризм. Продовольственный, дегустационный, кулинарный, пищевой, винный, пивной и др. - это все разновидности гастрономического туризма. Впервые термин «culinary tourism» был введен в обращение в 1998 г. доцентом кафедры народной культуры в Университете Bowling Green, штат Огайо (США) Л.Лонгом для выражения идеи о том, что люди познают другие культуры через местную пищу[1].</w:t>
      </w:r>
    </w:p>
    <w:p w:rsidR="008A2A0D" w:rsidRPr="00517B1B" w:rsidRDefault="008A2A0D" w:rsidP="008A2A0D">
      <w:pPr>
        <w:rPr>
          <w:rFonts w:cs="Times New Roman"/>
          <w:szCs w:val="24"/>
        </w:rPr>
      </w:pPr>
      <w:r w:rsidRPr="00517B1B">
        <w:rPr>
          <w:rFonts w:cs="Times New Roman"/>
          <w:szCs w:val="24"/>
        </w:rPr>
        <w:t>Гастрономический туризм – туризм, когда туристы и посетители, которые планируют частично или полностью попробовать кухню определенной местности или осуществить мероприятия, связанные с гастрономией, посещают определенные дестинации. Другими словами, гастрономический туризм - поездка с целью ознакомления с национальной кухней страны, особенностями производства и приготовления продуктов и блюд, а также обучение и повышение уровня профессиональных знаний[1].</w:t>
      </w:r>
    </w:p>
    <w:p w:rsidR="008A2A0D" w:rsidRPr="00517B1B" w:rsidRDefault="008A2A0D" w:rsidP="008A2A0D">
      <w:pPr>
        <w:rPr>
          <w:rFonts w:cs="Times New Roman"/>
          <w:szCs w:val="24"/>
        </w:rPr>
      </w:pPr>
      <w:r w:rsidRPr="00517B1B">
        <w:rPr>
          <w:rFonts w:cs="Times New Roman"/>
          <w:szCs w:val="24"/>
        </w:rPr>
        <w:t>Сегодня именно гастрономический туризм стал одной из самых быстроразвивающихся инновационных сфер туризма. Туризм подвержен процессу глобализации, в том числе, на этот процесс оказало большое влияние Шенгенское соглашение. Люди ищут в путешествиях опыт, основанный на региональных особенностях и культуре. Гастрономический туризм также можно рассматривать как ветвь туризма, направленную на развитие и продвижение еды и напитков как объектов привлечения туристов. По словам эксперта по туризму ЮНВТО Марии Изабел Рамос Абаскаль, сегодня на наших глазах происходят глобальные изменения в предпочтениях туристов, и именно гастрономический туризм выходит в лидеры [2].</w:t>
      </w:r>
    </w:p>
    <w:p w:rsidR="008A2A0D" w:rsidRPr="00517B1B" w:rsidRDefault="008A2A0D" w:rsidP="008A2A0D">
      <w:pPr>
        <w:rPr>
          <w:rFonts w:cs="Times New Roman"/>
          <w:color w:val="222222"/>
          <w:szCs w:val="24"/>
          <w:shd w:val="clear" w:color="auto" w:fill="FFFFFF"/>
        </w:rPr>
      </w:pPr>
      <w:r w:rsidRPr="00517B1B">
        <w:rPr>
          <w:rFonts w:cs="Times New Roman"/>
          <w:szCs w:val="24"/>
        </w:rPr>
        <w:t xml:space="preserve">Для начала дадим определение что мы подразумеваем под понятие гастрономический туризм. В нашем понимание гастрономический туризм – это </w:t>
      </w:r>
      <w:r w:rsidRPr="00517B1B">
        <w:rPr>
          <w:rFonts w:cs="Times New Roman"/>
          <w:color w:val="222222"/>
          <w:szCs w:val="24"/>
          <w:shd w:val="clear" w:color="auto" w:fill="FFFFFF"/>
        </w:rPr>
        <w:t>вид туризма, основная цель которого знакомство с той или иной страной через призму национальной </w:t>
      </w:r>
      <w:r w:rsidRPr="00517B1B">
        <w:rPr>
          <w:rFonts w:cs="Times New Roman"/>
          <w:szCs w:val="24"/>
          <w:shd w:val="clear" w:color="auto" w:fill="FFFFFF"/>
        </w:rPr>
        <w:t>гастрономии</w:t>
      </w:r>
      <w:r w:rsidRPr="00517B1B">
        <w:rPr>
          <w:rFonts w:cs="Times New Roman"/>
          <w:color w:val="222222"/>
          <w:szCs w:val="24"/>
          <w:shd w:val="clear" w:color="auto" w:fill="FFFFFF"/>
        </w:rPr>
        <w:t>. Для гастрономического туриста еда — в первую очередь категория культуры. С такой позиции традиционная кухня воспринимается в связи с историей, религией, экономикой, политикой, обычаями, легендами и другими факторами, формирующими уникальную идентичность страны или региона.</w:t>
      </w:r>
    </w:p>
    <w:p w:rsidR="008A2A0D" w:rsidRPr="00517B1B" w:rsidRDefault="008A2A0D" w:rsidP="008A2A0D">
      <w:pPr>
        <w:rPr>
          <w:rFonts w:cs="Times New Roman"/>
          <w:color w:val="222222"/>
          <w:szCs w:val="24"/>
          <w:shd w:val="clear" w:color="auto" w:fill="FFFFFF"/>
        </w:rPr>
      </w:pPr>
      <w:r w:rsidRPr="00517B1B">
        <w:rPr>
          <w:rFonts w:cs="Times New Roman"/>
          <w:color w:val="222222"/>
          <w:szCs w:val="24"/>
          <w:shd w:val="clear" w:color="auto" w:fill="FFFFFF"/>
        </w:rPr>
        <w:t>Под определением гастрономического тура мы понимаем следующее. Гастрономический тур, или </w:t>
      </w:r>
      <w:r w:rsidRPr="00517B1B">
        <w:rPr>
          <w:rFonts w:cs="Times New Roman"/>
          <w:bCs/>
          <w:color w:val="222222"/>
          <w:szCs w:val="24"/>
          <w:shd w:val="clear" w:color="auto" w:fill="FFFFFF"/>
        </w:rPr>
        <w:t>гастротур</w:t>
      </w:r>
      <w:r w:rsidRPr="00517B1B">
        <w:rPr>
          <w:rFonts w:cs="Times New Roman"/>
          <w:color w:val="222222"/>
          <w:szCs w:val="24"/>
          <w:shd w:val="clear" w:color="auto" w:fill="FFFFFF"/>
        </w:rPr>
        <w:t> – комплекс мероприятий по дегустации блюд, характерных для местной кухни</w:t>
      </w:r>
      <w:hyperlink r:id="rId326" w:anchor="cite_note-%D0%A1%D0%B0%D0%B9%D1%821-2" w:history="1"/>
      <w:r w:rsidRPr="00517B1B">
        <w:rPr>
          <w:rFonts w:cs="Times New Roman"/>
          <w:color w:val="222222"/>
          <w:szCs w:val="24"/>
          <w:shd w:val="clear" w:color="auto" w:fill="FFFFFF"/>
        </w:rPr>
        <w:t>. «Уроки кулинарного страноведения проходят не только в ресторанах, но и на рынках, фермах, кухнях местных жителей, во время карнавала и сбора урожая, за столом и просто на улице».</w:t>
      </w:r>
    </w:p>
    <w:p w:rsidR="008A2A0D" w:rsidRPr="00517B1B" w:rsidRDefault="008A2A0D" w:rsidP="008A2A0D">
      <w:pPr>
        <w:rPr>
          <w:rFonts w:cs="Times New Roman"/>
          <w:color w:val="222222"/>
          <w:szCs w:val="24"/>
          <w:shd w:val="clear" w:color="auto" w:fill="FFFFFF"/>
        </w:rPr>
      </w:pPr>
      <w:r w:rsidRPr="00517B1B">
        <w:rPr>
          <w:rFonts w:cs="Times New Roman"/>
          <w:color w:val="222222"/>
          <w:szCs w:val="24"/>
          <w:shd w:val="clear" w:color="auto" w:fill="FFFFFF"/>
        </w:rPr>
        <w:t>Проведя мониторинг и оценку гастрономического туризма в России мы определили, что данный вид туризма становится одним из самых быстрорастущих во внутреннем туризме.</w:t>
      </w:r>
    </w:p>
    <w:p w:rsidR="008A2A0D" w:rsidRPr="00517B1B" w:rsidRDefault="008A2A0D" w:rsidP="008A2A0D">
      <w:pPr>
        <w:rPr>
          <w:rFonts w:cs="Times New Roman"/>
          <w:color w:val="222222"/>
          <w:szCs w:val="24"/>
          <w:shd w:val="clear" w:color="auto" w:fill="FFFFFF"/>
        </w:rPr>
      </w:pPr>
      <w:r w:rsidRPr="00517B1B">
        <w:rPr>
          <w:rFonts w:cs="Times New Roman"/>
          <w:color w:val="222222"/>
          <w:szCs w:val="24"/>
          <w:shd w:val="clear" w:color="auto" w:fill="FFFFFF"/>
        </w:rPr>
        <w:t>В России наибольшей популярностью пользуются одно-двухдневные гастрономические туры выходного дня и поездки на гастрономические фестивали где можно стать гурманом за определенную небольшую сумму денег.</w:t>
      </w:r>
    </w:p>
    <w:p w:rsidR="008A2A0D" w:rsidRPr="00517B1B" w:rsidRDefault="008A2A0D" w:rsidP="008A2A0D">
      <w:pPr>
        <w:pStyle w:val="af6"/>
        <w:shd w:val="clear" w:color="auto" w:fill="FFFFFF"/>
        <w:spacing w:before="0" w:beforeAutospacing="0" w:after="0" w:afterAutospacing="0"/>
        <w:textAlignment w:val="baseline"/>
        <w:rPr>
          <w:color w:val="000000"/>
        </w:rPr>
      </w:pPr>
      <w:r w:rsidRPr="00517B1B">
        <w:rPr>
          <w:color w:val="000000"/>
        </w:rPr>
        <w:t>Например, гастрономический сет в ресторанах Москвы и Санкт-Петербурга во время ресторанного фестиваля стоит от 1 тыс. до 2 тыс. рублей, однодневный гастрономический тур из Москвы в Тулу с посещением фабрики пряника и молочного комбината — 2 тыс. рублей, а тур из Москвы в Коломну с посещением фабрики пастилы и купеческим обедом — 3 тыс. рублей.</w:t>
      </w:r>
    </w:p>
    <w:p w:rsidR="008A2A0D" w:rsidRPr="00517B1B" w:rsidRDefault="008A2A0D" w:rsidP="008A2A0D">
      <w:pPr>
        <w:pStyle w:val="af6"/>
        <w:shd w:val="clear" w:color="auto" w:fill="FFFFFF"/>
        <w:spacing w:before="0" w:beforeAutospacing="0" w:after="0" w:afterAutospacing="0"/>
        <w:textAlignment w:val="baseline"/>
        <w:rPr>
          <w:color w:val="000000"/>
        </w:rPr>
      </w:pPr>
      <w:r w:rsidRPr="00517B1B">
        <w:rPr>
          <w:color w:val="000000"/>
        </w:rPr>
        <w:t>По оценке ТурСтат, гастрономический туризм в России является одним из самых быстрорастущих во внутреннем туризме. В 2016 году рост рынка гастрономического туризма в России оказался в два раза быстрее роста рынка внутреннего туризма в стране равного 10%, а выездной гастрономический туризм в Италию, Францию и Испанию снизился [3].</w:t>
      </w:r>
    </w:p>
    <w:p w:rsidR="008A2A0D" w:rsidRPr="00517B1B" w:rsidRDefault="008A2A0D" w:rsidP="008A2A0D">
      <w:pPr>
        <w:rPr>
          <w:rFonts w:cs="Times New Roman"/>
          <w:color w:val="222222"/>
          <w:szCs w:val="24"/>
          <w:shd w:val="clear" w:color="auto" w:fill="FFFFFF"/>
        </w:rPr>
      </w:pPr>
      <w:r w:rsidRPr="00517B1B">
        <w:rPr>
          <w:rFonts w:cs="Times New Roman"/>
          <w:color w:val="222222"/>
          <w:szCs w:val="24"/>
          <w:shd w:val="clear" w:color="auto" w:fill="FFFFFF"/>
        </w:rPr>
        <w:t>На</w:t>
      </w:r>
      <w:r>
        <w:rPr>
          <w:rFonts w:cs="Times New Roman"/>
          <w:color w:val="222222"/>
          <w:szCs w:val="24"/>
          <w:shd w:val="clear" w:color="auto" w:fill="FFFFFF"/>
        </w:rPr>
        <w:t xml:space="preserve"> данный момент существует Топ-10</w:t>
      </w:r>
      <w:r w:rsidRPr="00517B1B">
        <w:rPr>
          <w:rFonts w:cs="Times New Roman"/>
          <w:color w:val="222222"/>
          <w:szCs w:val="24"/>
          <w:shd w:val="clear" w:color="auto" w:fill="FFFFFF"/>
        </w:rPr>
        <w:t xml:space="preserve"> популярных направлений гастрономического туризма в России, вошли: </w:t>
      </w:r>
    </w:p>
    <w:p w:rsidR="008A2A0D" w:rsidRPr="00517B1B" w:rsidRDefault="008A2A0D" w:rsidP="008A2A0D">
      <w:pPr>
        <w:pStyle w:val="af4"/>
        <w:numPr>
          <w:ilvl w:val="0"/>
          <w:numId w:val="99"/>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jc w:val="both"/>
        <w:rPr>
          <w:rFonts w:cs="Times New Roman"/>
          <w:szCs w:val="24"/>
          <w:lang w:eastAsia="ru-RU"/>
        </w:rPr>
      </w:pPr>
      <w:r w:rsidRPr="00517B1B">
        <w:rPr>
          <w:rFonts w:cs="Times New Roman"/>
          <w:szCs w:val="24"/>
          <w:bdr w:val="none" w:sz="0" w:space="0" w:color="auto" w:frame="1"/>
          <w:shd w:val="clear" w:color="auto" w:fill="FFFFFF"/>
          <w:lang w:eastAsia="ru-RU"/>
        </w:rPr>
        <w:t>Москва,</w:t>
      </w:r>
    </w:p>
    <w:p w:rsidR="008A2A0D" w:rsidRPr="00517B1B" w:rsidRDefault="008A2A0D" w:rsidP="008A2A0D">
      <w:pPr>
        <w:pStyle w:val="af4"/>
        <w:numPr>
          <w:ilvl w:val="0"/>
          <w:numId w:val="99"/>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jc w:val="both"/>
        <w:rPr>
          <w:rFonts w:cs="Times New Roman"/>
          <w:szCs w:val="24"/>
          <w:lang w:eastAsia="ru-RU"/>
        </w:rPr>
      </w:pPr>
      <w:r w:rsidRPr="00517B1B">
        <w:rPr>
          <w:rFonts w:cs="Times New Roman"/>
          <w:szCs w:val="24"/>
          <w:bdr w:val="none" w:sz="0" w:space="0" w:color="auto" w:frame="1"/>
          <w:shd w:val="clear" w:color="auto" w:fill="FFFFFF"/>
          <w:lang w:eastAsia="ru-RU"/>
        </w:rPr>
        <w:t>Санкт-Петербург,</w:t>
      </w:r>
    </w:p>
    <w:p w:rsidR="008A2A0D" w:rsidRPr="00517B1B" w:rsidRDefault="008A2A0D" w:rsidP="008A2A0D">
      <w:pPr>
        <w:pStyle w:val="af4"/>
        <w:numPr>
          <w:ilvl w:val="0"/>
          <w:numId w:val="99"/>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jc w:val="both"/>
        <w:rPr>
          <w:rFonts w:cs="Times New Roman"/>
          <w:szCs w:val="24"/>
          <w:lang w:eastAsia="ru-RU"/>
        </w:rPr>
      </w:pPr>
      <w:r w:rsidRPr="00517B1B">
        <w:rPr>
          <w:rFonts w:cs="Times New Roman"/>
          <w:szCs w:val="24"/>
          <w:bdr w:val="none" w:sz="0" w:space="0" w:color="auto" w:frame="1"/>
          <w:shd w:val="clear" w:color="auto" w:fill="FFFFFF"/>
          <w:lang w:eastAsia="ru-RU"/>
        </w:rPr>
        <w:t>Московская область (Коломна),</w:t>
      </w:r>
    </w:p>
    <w:p w:rsidR="008A2A0D" w:rsidRPr="00517B1B" w:rsidRDefault="008A2A0D" w:rsidP="008A2A0D">
      <w:pPr>
        <w:pStyle w:val="af4"/>
        <w:numPr>
          <w:ilvl w:val="0"/>
          <w:numId w:val="99"/>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jc w:val="both"/>
        <w:rPr>
          <w:rFonts w:cs="Times New Roman"/>
          <w:szCs w:val="24"/>
          <w:lang w:eastAsia="ru-RU"/>
        </w:rPr>
      </w:pPr>
      <w:r w:rsidRPr="00517B1B">
        <w:rPr>
          <w:rFonts w:cs="Times New Roman"/>
          <w:szCs w:val="24"/>
          <w:bdr w:val="none" w:sz="0" w:space="0" w:color="auto" w:frame="1"/>
          <w:shd w:val="clear" w:color="auto" w:fill="FFFFFF"/>
          <w:lang w:eastAsia="ru-RU"/>
        </w:rPr>
        <w:t>Владимирская область (Суздаль),</w:t>
      </w:r>
    </w:p>
    <w:p w:rsidR="008A2A0D" w:rsidRPr="00517B1B" w:rsidRDefault="008A2A0D" w:rsidP="008A2A0D">
      <w:pPr>
        <w:pStyle w:val="af4"/>
        <w:numPr>
          <w:ilvl w:val="0"/>
          <w:numId w:val="99"/>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jc w:val="both"/>
        <w:rPr>
          <w:rFonts w:cs="Times New Roman"/>
          <w:szCs w:val="24"/>
          <w:lang w:eastAsia="ru-RU"/>
        </w:rPr>
      </w:pPr>
      <w:r w:rsidRPr="00517B1B">
        <w:rPr>
          <w:rFonts w:cs="Times New Roman"/>
          <w:szCs w:val="24"/>
          <w:bdr w:val="none" w:sz="0" w:space="0" w:color="auto" w:frame="1"/>
          <w:shd w:val="clear" w:color="auto" w:fill="FFFFFF"/>
          <w:lang w:eastAsia="ru-RU"/>
        </w:rPr>
        <w:t>Казань (Татария),</w:t>
      </w:r>
    </w:p>
    <w:p w:rsidR="008A2A0D" w:rsidRPr="00517B1B" w:rsidRDefault="008A2A0D" w:rsidP="008A2A0D">
      <w:pPr>
        <w:pStyle w:val="af4"/>
        <w:numPr>
          <w:ilvl w:val="0"/>
          <w:numId w:val="99"/>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jc w:val="both"/>
        <w:rPr>
          <w:rFonts w:cs="Times New Roman"/>
          <w:szCs w:val="24"/>
          <w:lang w:eastAsia="ru-RU"/>
        </w:rPr>
      </w:pPr>
      <w:r w:rsidRPr="00517B1B">
        <w:rPr>
          <w:rFonts w:cs="Times New Roman"/>
          <w:szCs w:val="24"/>
          <w:bdr w:val="none" w:sz="0" w:space="0" w:color="auto" w:frame="1"/>
          <w:shd w:val="clear" w:color="auto" w:fill="FFFFFF"/>
          <w:lang w:eastAsia="ru-RU"/>
        </w:rPr>
        <w:t>Тверская область (Торжок, Тверь),</w:t>
      </w:r>
    </w:p>
    <w:p w:rsidR="008A2A0D" w:rsidRPr="00517B1B" w:rsidRDefault="008A2A0D" w:rsidP="008A2A0D">
      <w:pPr>
        <w:pStyle w:val="af4"/>
        <w:numPr>
          <w:ilvl w:val="0"/>
          <w:numId w:val="99"/>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jc w:val="both"/>
        <w:rPr>
          <w:rFonts w:cs="Times New Roman"/>
          <w:szCs w:val="24"/>
          <w:lang w:eastAsia="ru-RU"/>
        </w:rPr>
      </w:pPr>
      <w:r w:rsidRPr="00517B1B">
        <w:rPr>
          <w:rFonts w:cs="Times New Roman"/>
          <w:szCs w:val="24"/>
          <w:bdr w:val="none" w:sz="0" w:space="0" w:color="auto" w:frame="1"/>
          <w:shd w:val="clear" w:color="auto" w:fill="FFFFFF"/>
          <w:lang w:eastAsia="ru-RU"/>
        </w:rPr>
        <w:t>Тульская область (Тула),</w:t>
      </w:r>
    </w:p>
    <w:p w:rsidR="008A2A0D" w:rsidRPr="00517B1B" w:rsidRDefault="008A2A0D" w:rsidP="008A2A0D">
      <w:pPr>
        <w:pStyle w:val="af4"/>
        <w:numPr>
          <w:ilvl w:val="0"/>
          <w:numId w:val="99"/>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jc w:val="both"/>
        <w:rPr>
          <w:rFonts w:cs="Times New Roman"/>
          <w:szCs w:val="24"/>
          <w:lang w:eastAsia="ru-RU"/>
        </w:rPr>
      </w:pPr>
      <w:r w:rsidRPr="00517B1B">
        <w:rPr>
          <w:rFonts w:cs="Times New Roman"/>
          <w:szCs w:val="24"/>
          <w:bdr w:val="none" w:sz="0" w:space="0" w:color="auto" w:frame="1"/>
          <w:shd w:val="clear" w:color="auto" w:fill="FFFFFF"/>
          <w:lang w:eastAsia="ru-RU"/>
        </w:rPr>
        <w:t>Алтайский край,</w:t>
      </w:r>
    </w:p>
    <w:p w:rsidR="008A2A0D" w:rsidRPr="00517B1B" w:rsidRDefault="008A2A0D" w:rsidP="008A2A0D">
      <w:pPr>
        <w:pStyle w:val="af4"/>
        <w:numPr>
          <w:ilvl w:val="0"/>
          <w:numId w:val="99"/>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jc w:val="both"/>
        <w:rPr>
          <w:rFonts w:cs="Times New Roman"/>
          <w:szCs w:val="24"/>
          <w:lang w:eastAsia="ru-RU"/>
        </w:rPr>
      </w:pPr>
      <w:r w:rsidRPr="00517B1B">
        <w:rPr>
          <w:rFonts w:cs="Times New Roman"/>
          <w:szCs w:val="24"/>
          <w:bdr w:val="none" w:sz="0" w:space="0" w:color="auto" w:frame="1"/>
          <w:shd w:val="clear" w:color="auto" w:fill="FFFFFF"/>
          <w:lang w:eastAsia="ru-RU"/>
        </w:rPr>
        <w:t>Калининградская область (Калининград, Зеленоградск),</w:t>
      </w:r>
    </w:p>
    <w:p w:rsidR="008A2A0D" w:rsidRPr="00517B1B" w:rsidRDefault="008A2A0D" w:rsidP="008A2A0D">
      <w:pPr>
        <w:pStyle w:val="af4"/>
        <w:numPr>
          <w:ilvl w:val="0"/>
          <w:numId w:val="99"/>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jc w:val="both"/>
        <w:rPr>
          <w:rFonts w:cs="Times New Roman"/>
          <w:szCs w:val="24"/>
          <w:lang w:eastAsia="ru-RU"/>
        </w:rPr>
      </w:pPr>
      <w:r w:rsidRPr="00517B1B">
        <w:rPr>
          <w:rFonts w:cs="Times New Roman"/>
          <w:szCs w:val="24"/>
          <w:bdr w:val="none" w:sz="0" w:space="0" w:color="auto" w:frame="1"/>
          <w:shd w:val="clear" w:color="auto" w:fill="FFFFFF"/>
          <w:lang w:eastAsia="ru-RU"/>
        </w:rPr>
        <w:t>Новгородская область (Великий Новгород),</w:t>
      </w:r>
    </w:p>
    <w:p w:rsidR="008A2A0D" w:rsidRPr="00517B1B" w:rsidRDefault="008A2A0D" w:rsidP="008A2A0D">
      <w:pPr>
        <w:rPr>
          <w:rFonts w:cs="Times New Roman"/>
          <w:szCs w:val="24"/>
          <w:lang w:eastAsia="ru-RU"/>
        </w:rPr>
      </w:pPr>
      <w:r w:rsidRPr="00517B1B">
        <w:rPr>
          <w:rFonts w:cs="Times New Roman"/>
          <w:szCs w:val="24"/>
          <w:lang w:eastAsia="ru-RU"/>
        </w:rPr>
        <w:t xml:space="preserve">Как мы видим, как Приморского края, так и Дальнего Востока в целом в этом списке нет. Мы считаем, что это связанно не с плохой или не интересной кухней нашего региона, а с недостаточной работой предприятий общественного питания и Туристско-информационного центра Приморского края в части маркетинга. Для того что Приморский край, со своей уникальной кухней и традициями, вошел в Топ-15 популярных направлений гастрономического туризма нам необходимо работать в части продвижения по популярным и модным информационным каналам. В настоящее время такими каналами информации являются: </w:t>
      </w:r>
      <w:r w:rsidRPr="00517B1B">
        <w:rPr>
          <w:rFonts w:cs="Times New Roman"/>
          <w:szCs w:val="24"/>
          <w:lang w:val="en-US" w:eastAsia="ru-RU"/>
        </w:rPr>
        <w:t>Instagram</w:t>
      </w:r>
      <w:r w:rsidRPr="00517B1B">
        <w:rPr>
          <w:rFonts w:cs="Times New Roman"/>
          <w:szCs w:val="24"/>
          <w:lang w:eastAsia="ru-RU"/>
        </w:rPr>
        <w:t xml:space="preserve">; </w:t>
      </w:r>
      <w:r w:rsidRPr="00517B1B">
        <w:rPr>
          <w:rFonts w:cs="Times New Roman"/>
          <w:szCs w:val="24"/>
          <w:lang w:val="en-US" w:eastAsia="ru-RU"/>
        </w:rPr>
        <w:t>Telegram</w:t>
      </w:r>
      <w:r w:rsidRPr="00517B1B">
        <w:rPr>
          <w:rFonts w:cs="Times New Roman"/>
          <w:szCs w:val="24"/>
          <w:lang w:eastAsia="ru-RU"/>
        </w:rPr>
        <w:t xml:space="preserve">; Вконтакте; </w:t>
      </w:r>
      <w:r w:rsidRPr="00517B1B">
        <w:rPr>
          <w:rFonts w:cs="Times New Roman"/>
          <w:szCs w:val="24"/>
          <w:lang w:val="en-US" w:eastAsia="ru-RU"/>
        </w:rPr>
        <w:t>TripAdvisor</w:t>
      </w:r>
      <w:r w:rsidRPr="00517B1B">
        <w:rPr>
          <w:rFonts w:cs="Times New Roman"/>
          <w:szCs w:val="24"/>
          <w:lang w:eastAsia="ru-RU"/>
        </w:rPr>
        <w:t xml:space="preserve"> и конечно же Информационные порталы. Но не стоит забывать, что использование всех этих ресурсов должно соответствовать всем требованиям маркетинга, в том числе маркетинг в социальных сетях (</w:t>
      </w:r>
      <w:hyperlink r:id="rId327" w:tooltip="Английский язык" w:history="1">
        <w:r w:rsidRPr="00517B1B">
          <w:rPr>
            <w:rFonts w:cs="Times New Roman"/>
            <w:szCs w:val="24"/>
            <w:lang w:eastAsia="ru-RU"/>
          </w:rPr>
          <w:t>англ.</w:t>
        </w:r>
      </w:hyperlink>
      <w:r w:rsidRPr="00517B1B">
        <w:rPr>
          <w:rFonts w:cs="Times New Roman"/>
          <w:szCs w:val="24"/>
          <w:lang w:eastAsia="ru-RU"/>
        </w:rPr>
        <w:t xml:space="preserve"> Social Media Marketing, SMM) и наполнение качественным, интересным, современным контентом. </w:t>
      </w:r>
    </w:p>
    <w:p w:rsidR="008A2A0D" w:rsidRPr="00517B1B" w:rsidRDefault="008A2A0D" w:rsidP="008A2A0D">
      <w:pPr>
        <w:rPr>
          <w:rFonts w:cs="Times New Roman"/>
          <w:szCs w:val="24"/>
          <w:lang w:eastAsia="ru-RU"/>
        </w:rPr>
      </w:pPr>
      <w:r w:rsidRPr="00517B1B">
        <w:rPr>
          <w:rFonts w:cs="Times New Roman"/>
          <w:szCs w:val="24"/>
          <w:lang w:eastAsia="ru-RU"/>
        </w:rPr>
        <w:t xml:space="preserve">Проведя мониторинг гастрономических информационных порталов в России, мы видим, что работа на достойном, качественном уровне ведется в таких городах, как Москва и Санкт-Петербург. В этом нет ничего удивительного, так это города гиганты, столицы экономики, туризма и развития в целом. К примеру, в Москве ведет свою работу гастрономический центр Зарядье, расположенный на территории городского парка Зарядье, по соседству с Кремлем. Гастрономический центр объединил на площадке восемь островков с блюдами переосмысленной русской кухни регионов, разделенные тематически: мясо, птицу, рыбу, супы, пироги, вареники и кондитерские изделия готовят в разных точках фуд-корта. У каждого корнера собственная открытая кухня, и почти в каждом островке можно сидеть прямо за баром и наблюдать за работой поваров: вареники лепят прямо при гостях, а рыбу можно выбрать самостоятельно [4]. Гастрономический центр Зарядье имеет прекрасный информационный портал, страницы в социальных сетях с качественным и современным контентом. Сам информационный портал очень прост в использовании, интуитивен, понятен, обладает красивым и запоминающимся дизайном. </w:t>
      </w:r>
    </w:p>
    <w:p w:rsidR="008A2A0D" w:rsidRPr="00517B1B" w:rsidRDefault="008A2A0D" w:rsidP="008A2A0D">
      <w:pPr>
        <w:rPr>
          <w:rFonts w:cs="Times New Roman"/>
          <w:szCs w:val="24"/>
          <w:lang w:eastAsia="ru-RU"/>
        </w:rPr>
      </w:pPr>
      <w:r w:rsidRPr="00517B1B">
        <w:rPr>
          <w:rFonts w:cs="Times New Roman"/>
          <w:szCs w:val="24"/>
          <w:lang w:eastAsia="ru-RU"/>
        </w:rPr>
        <w:t>Такой гастрономический центр является отличным примером как должно выглядеть продвижение и развитие гастрономического туризма по всей России.</w:t>
      </w:r>
    </w:p>
    <w:p w:rsidR="008A2A0D" w:rsidRPr="00517B1B" w:rsidRDefault="008A2A0D" w:rsidP="008A2A0D">
      <w:pPr>
        <w:rPr>
          <w:rFonts w:cs="Times New Roman"/>
          <w:szCs w:val="24"/>
        </w:rPr>
      </w:pPr>
      <w:r w:rsidRPr="00517B1B">
        <w:rPr>
          <w:rFonts w:cs="Times New Roman"/>
          <w:szCs w:val="24"/>
          <w:lang w:eastAsia="ru-RU"/>
        </w:rPr>
        <w:t xml:space="preserve">Дадим определение что мы понимаем под термином информационный портал. </w:t>
      </w:r>
      <w:r w:rsidRPr="00517B1B">
        <w:rPr>
          <w:rFonts w:cs="Times New Roman"/>
          <w:bCs/>
          <w:szCs w:val="24"/>
        </w:rPr>
        <w:t>Информационный портал</w:t>
      </w:r>
      <w:r w:rsidRPr="00517B1B">
        <w:rPr>
          <w:rFonts w:cs="Times New Roman"/>
          <w:szCs w:val="24"/>
        </w:rPr>
        <w:t> – крупный веб-сайт, организованный как многоуровневое объединение различных ресурсов и сервисов, обновление которых происходит в реальном времени.</w:t>
      </w:r>
    </w:p>
    <w:p w:rsidR="008A2A0D" w:rsidRPr="00517B1B" w:rsidRDefault="008A2A0D" w:rsidP="008A2A0D">
      <w:pPr>
        <w:rPr>
          <w:rFonts w:cs="Times New Roman"/>
          <w:szCs w:val="24"/>
          <w:lang w:eastAsia="ru-RU"/>
        </w:rPr>
      </w:pPr>
      <w:r w:rsidRPr="00517B1B">
        <w:rPr>
          <w:rFonts w:cs="Times New Roman"/>
          <w:szCs w:val="24"/>
          <w:lang w:eastAsia="ru-RU"/>
        </w:rPr>
        <w:t>Информационный портал содержит колоссальное количество контента, как правило, уникального и рассчитан на большие нагрузки по посещаемости. Сайты такого типа имеют сложную структуру и навигацию и содержат различные интерактивные сервисы. Информационные порталы предназначены для большого количества посетителей.</w:t>
      </w:r>
    </w:p>
    <w:p w:rsidR="008A2A0D" w:rsidRPr="00517B1B" w:rsidRDefault="008A2A0D" w:rsidP="008A2A0D">
      <w:pPr>
        <w:rPr>
          <w:rFonts w:cs="Times New Roman"/>
          <w:szCs w:val="24"/>
          <w:lang w:eastAsia="ru-RU"/>
        </w:rPr>
      </w:pPr>
      <w:r w:rsidRPr="00517B1B">
        <w:rPr>
          <w:rFonts w:cs="Times New Roman"/>
          <w:bCs/>
          <w:szCs w:val="24"/>
          <w:lang w:eastAsia="ru-RU"/>
        </w:rPr>
        <w:t>Главная задача информационного портала</w:t>
      </w:r>
      <w:r w:rsidRPr="00517B1B">
        <w:rPr>
          <w:rFonts w:cs="Times New Roman"/>
          <w:szCs w:val="24"/>
          <w:lang w:eastAsia="ru-RU"/>
        </w:rPr>
        <w:t> – помочь пользователям найти необходимую информацию по определенной тематике. Благодаря наличию специальных функций, все имеющиеся на сайте данные легко структурировать и систематизировать, что делает работу с порталом максимально эффективной и удобной. В данном случае информационный портал выступает в роли путеводителя в интернете, который значительно упрощает поиск тематических материалов, по сравнению с поисковыми системами.</w:t>
      </w:r>
    </w:p>
    <w:p w:rsidR="008A2A0D" w:rsidRPr="00517B1B" w:rsidRDefault="008A2A0D" w:rsidP="008A2A0D">
      <w:pPr>
        <w:rPr>
          <w:rFonts w:cs="Times New Roman"/>
          <w:szCs w:val="24"/>
          <w:lang w:eastAsia="ru-RU"/>
        </w:rPr>
      </w:pPr>
      <w:r w:rsidRPr="00517B1B">
        <w:rPr>
          <w:rFonts w:cs="Times New Roman"/>
          <w:szCs w:val="24"/>
          <w:lang w:eastAsia="ru-RU"/>
        </w:rPr>
        <w:t>Часто </w:t>
      </w:r>
      <w:r w:rsidRPr="00517B1B">
        <w:rPr>
          <w:rFonts w:cs="Times New Roman"/>
          <w:bCs/>
          <w:szCs w:val="24"/>
          <w:lang w:eastAsia="ru-RU"/>
        </w:rPr>
        <w:t>информационные порталы создаются крупными</w:t>
      </w:r>
      <w:r w:rsidRPr="00517B1B">
        <w:rPr>
          <w:rFonts w:cs="Times New Roman"/>
          <w:b/>
          <w:bCs/>
          <w:szCs w:val="24"/>
          <w:lang w:eastAsia="ru-RU"/>
        </w:rPr>
        <w:t xml:space="preserve"> </w:t>
      </w:r>
      <w:r w:rsidRPr="00517B1B">
        <w:rPr>
          <w:rFonts w:cs="Times New Roman"/>
          <w:bCs/>
          <w:szCs w:val="24"/>
          <w:lang w:eastAsia="ru-RU"/>
        </w:rPr>
        <w:t>организациями</w:t>
      </w:r>
      <w:r w:rsidRPr="00517B1B">
        <w:rPr>
          <w:rFonts w:cs="Times New Roman"/>
          <w:szCs w:val="24"/>
          <w:lang w:eastAsia="ru-RU"/>
        </w:rPr>
        <w:t>, которые располагают большим количеством информации в своей области и готовы поделиться ею с клиентами и партнерами по бизнесу. В нашем случае информационный портал будет использоваться как информационная площадка гастрономического кластера в городе Владивосток, с включенным в него максимальным количеством предприятий общественного питания.</w:t>
      </w:r>
    </w:p>
    <w:p w:rsidR="008A2A0D" w:rsidRPr="00517B1B" w:rsidRDefault="008A2A0D" w:rsidP="008A2A0D">
      <w:pPr>
        <w:rPr>
          <w:rFonts w:cs="Times New Roman"/>
          <w:szCs w:val="24"/>
          <w:lang w:eastAsia="ru-RU"/>
        </w:rPr>
      </w:pPr>
      <w:r w:rsidRPr="00517B1B">
        <w:rPr>
          <w:rFonts w:cs="Times New Roman"/>
          <w:szCs w:val="24"/>
          <w:lang w:eastAsia="ru-RU"/>
        </w:rPr>
        <w:t>Как таковых информационных порталов в части гастрономии в РФ не существует, за исключением единичных случаев, есть только различные сайты отдалённо напоминающие информационный портал. На многих сайтах выкладывается информация в очень простом виде, то есть, много пустого текста, мало того, что бросается в глаза и запоминается, того что привлекает внимание туриста, либо жителя того или иного города.</w:t>
      </w:r>
    </w:p>
    <w:p w:rsidR="008A2A0D" w:rsidRPr="00517B1B" w:rsidRDefault="008A2A0D" w:rsidP="008A2A0D">
      <w:pPr>
        <w:rPr>
          <w:rFonts w:cs="Times New Roman"/>
          <w:szCs w:val="24"/>
          <w:lang w:eastAsia="ru-RU"/>
        </w:rPr>
      </w:pPr>
      <w:r w:rsidRPr="00517B1B">
        <w:rPr>
          <w:rFonts w:cs="Times New Roman"/>
          <w:szCs w:val="24"/>
          <w:lang w:eastAsia="ru-RU"/>
        </w:rPr>
        <w:t>В настоящее время на территории Приморского края нет ни одного похожего ресурса, который бы соответствовал современным требованиям. Есть несколько отдельно взятых заведений, которые уже давно сделали свое «имя» и продвигают его самостоятельно. Из порталов для жителей или туристов – сайт города Владивосток (</w:t>
      </w:r>
      <w:hyperlink r:id="rId328" w:history="1">
        <w:r w:rsidRPr="00517B1B">
          <w:rPr>
            <w:rStyle w:val="aa"/>
            <w:rFonts w:cs="Times New Roman"/>
            <w:szCs w:val="24"/>
            <w:lang w:eastAsia="ru-RU"/>
          </w:rPr>
          <w:t>www.VL.ru</w:t>
        </w:r>
      </w:hyperlink>
      <w:r w:rsidRPr="00517B1B">
        <w:rPr>
          <w:rFonts w:cs="Times New Roman"/>
          <w:szCs w:val="24"/>
          <w:lang w:eastAsia="ru-RU"/>
        </w:rPr>
        <w:t>), но опять же, по контенту понятно, что основной вид деятельности – это информирование, но в части гастрономии очень слабое информирование.</w:t>
      </w:r>
    </w:p>
    <w:p w:rsidR="008A2A0D" w:rsidRPr="00517B1B" w:rsidRDefault="008A2A0D" w:rsidP="008A2A0D">
      <w:pPr>
        <w:rPr>
          <w:rFonts w:cs="Times New Roman"/>
          <w:szCs w:val="24"/>
          <w:lang w:eastAsia="ru-RU"/>
        </w:rPr>
      </w:pPr>
      <w:r w:rsidRPr="00517B1B">
        <w:rPr>
          <w:rFonts w:cs="Times New Roman"/>
          <w:szCs w:val="24"/>
          <w:lang w:eastAsia="ru-RU"/>
        </w:rPr>
        <w:t xml:space="preserve">Суммируя все вышесказанное, хочется отметить, городу Владивосток необходим качественный, современный, интересный и простой в использовании Информационный портал, как инструмент продвижения гастрономического туризма в городе и Приморском крае в целом. </w:t>
      </w:r>
    </w:p>
    <w:p w:rsidR="008A2A0D" w:rsidRPr="00517B1B" w:rsidRDefault="008A2A0D" w:rsidP="008A2A0D">
      <w:pPr>
        <w:rPr>
          <w:rFonts w:cs="Times New Roman"/>
          <w:szCs w:val="24"/>
          <w:lang w:eastAsia="ru-RU"/>
        </w:rPr>
      </w:pPr>
      <w:r w:rsidRPr="00517B1B">
        <w:rPr>
          <w:rFonts w:cs="Times New Roman"/>
          <w:szCs w:val="24"/>
          <w:lang w:eastAsia="ru-RU"/>
        </w:rPr>
        <w:t>Для решения данной проблемы, мы предлагаем разработать и запустить в работу Информационный портал гастрономической направленности, который будет включать в себя информацию о заведениях общественного питания (концепция заведения, чем оно интересно, чем может запомнится гостям, его легенды и так далее); семинары, обучения, мастер-классы проходящее в городе; экскурсии и шоу программы; для более активной жизни портала добавить форум в котором люди могли бы писать свои впечатления и делится полученными эмоциями; блог с интервью знаменитостей посетивших заведения, ресторанных критиков, шеф-поваров. Благодаря наличию специальных функций (фильтров), всю имеющуюся информацию на сайте легко настроить для каждого пользователя индивидуально, а также структурировать и систематизировать. Данные фильтры делают работу с порталом максимально эффективной и продуктивной. В данном случае наш информационный портал, от части, выступает в роли путеводителя в интернете по просторам гастрономии Владивостока, который значительно упрощает поиск тематических материалов, по сравнению с поисковыми системами.</w:t>
      </w:r>
    </w:p>
    <w:p w:rsidR="008A2A0D" w:rsidRPr="00517B1B" w:rsidRDefault="008A2A0D" w:rsidP="008A2A0D">
      <w:pPr>
        <w:rPr>
          <w:rFonts w:cs="Times New Roman"/>
          <w:szCs w:val="24"/>
          <w:lang w:eastAsia="ru-RU"/>
        </w:rPr>
      </w:pPr>
      <w:r w:rsidRPr="00517B1B">
        <w:rPr>
          <w:rFonts w:cs="Times New Roman"/>
          <w:szCs w:val="24"/>
          <w:lang w:eastAsia="ru-RU"/>
        </w:rPr>
        <w:t>Используя возможности информационного портала можно общаться с посетителями и партнерами, что поможет отладить его работу, наполнить необходимым контентом, а также своевременно оповещать посетителей портала о новых событиях, акциях и нововведениях, при помощи мобильной версии приложения нашего информационного портала.</w:t>
      </w:r>
    </w:p>
    <w:p w:rsidR="008A2A0D" w:rsidRPr="00517B1B" w:rsidRDefault="000D1C8F" w:rsidP="008A2A0D">
      <w:pPr>
        <w:rPr>
          <w:rFonts w:cs="Times New Roman"/>
          <w:szCs w:val="24"/>
          <w:u w:val="thick"/>
          <w:lang w:eastAsia="ru-RU"/>
        </w:rPr>
      </w:pPr>
      <w:r>
        <w:rPr>
          <w:rFonts w:cs="Times New Roman"/>
          <w:szCs w:val="24"/>
          <w:u w:val="thick"/>
          <w:lang w:eastAsia="ru-RU"/>
        </w:rPr>
        <w:pict>
          <v:rect id="_x0000_i1035" style="width:0;height:1.5pt" o:hralign="center" o:hrstd="t" o:hr="t" fillcolor="#a0a0a0" stroked="f"/>
        </w:pict>
      </w:r>
    </w:p>
    <w:p w:rsidR="008A2A0D" w:rsidRPr="00517B1B" w:rsidRDefault="008A2A0D" w:rsidP="008A2A0D">
      <w:pPr>
        <w:numPr>
          <w:ilvl w:val="0"/>
          <w:numId w:val="100"/>
        </w:numPr>
        <w:pBdr>
          <w:top w:val="none" w:sz="0" w:space="0" w:color="auto"/>
          <w:left w:val="none" w:sz="0" w:space="0" w:color="auto"/>
          <w:bottom w:val="none" w:sz="0" w:space="0" w:color="auto"/>
          <w:right w:val="none" w:sz="0" w:space="0" w:color="auto"/>
          <w:between w:val="none" w:sz="0" w:space="0" w:color="auto"/>
        </w:pBdr>
        <w:spacing w:after="0" w:line="240" w:lineRule="auto"/>
        <w:ind w:left="851" w:firstLine="709"/>
        <w:jc w:val="both"/>
        <w:rPr>
          <w:rFonts w:cs="Times New Roman"/>
          <w:szCs w:val="24"/>
        </w:rPr>
      </w:pPr>
      <w:r w:rsidRPr="00517B1B">
        <w:rPr>
          <w:rFonts w:cs="Times New Roman"/>
          <w:szCs w:val="24"/>
        </w:rPr>
        <w:t xml:space="preserve">Гастрономический туризм: современные тенденции и перспективы. [Электронный ресурс]. – Режим доступа: </w:t>
      </w:r>
      <w:hyperlink r:id="rId329" w:history="1">
        <w:r w:rsidRPr="00517B1B">
          <w:rPr>
            <w:rStyle w:val="aa"/>
            <w:rFonts w:eastAsia="Arial" w:cs="Times New Roman"/>
            <w:szCs w:val="24"/>
          </w:rPr>
          <w:t>http://futureruss.ru/wp-content/uploads/2015/08-.pdf</w:t>
        </w:r>
      </w:hyperlink>
      <w:r w:rsidRPr="00517B1B">
        <w:rPr>
          <w:rFonts w:cs="Times New Roman"/>
          <w:szCs w:val="24"/>
        </w:rPr>
        <w:t>;</w:t>
      </w:r>
    </w:p>
    <w:p w:rsidR="008A2A0D" w:rsidRPr="00517B1B" w:rsidRDefault="008A2A0D" w:rsidP="008A2A0D">
      <w:pPr>
        <w:numPr>
          <w:ilvl w:val="0"/>
          <w:numId w:val="100"/>
        </w:numPr>
        <w:pBdr>
          <w:top w:val="none" w:sz="0" w:space="0" w:color="auto"/>
          <w:left w:val="none" w:sz="0" w:space="0" w:color="auto"/>
          <w:bottom w:val="none" w:sz="0" w:space="0" w:color="auto"/>
          <w:right w:val="none" w:sz="0" w:space="0" w:color="auto"/>
          <w:between w:val="none" w:sz="0" w:space="0" w:color="auto"/>
        </w:pBdr>
        <w:spacing w:after="0" w:line="240" w:lineRule="auto"/>
        <w:ind w:left="851" w:firstLine="709"/>
        <w:jc w:val="both"/>
        <w:rPr>
          <w:rFonts w:cs="Times New Roman"/>
          <w:szCs w:val="24"/>
        </w:rPr>
      </w:pPr>
      <w:r w:rsidRPr="00517B1B">
        <w:rPr>
          <w:rFonts w:cs="Times New Roman"/>
          <w:szCs w:val="24"/>
        </w:rPr>
        <w:t xml:space="preserve">Итоги форума «Перспективы развития гастрономического туризма в России». [Электронный ресурс]. – Режим доступа: </w:t>
      </w:r>
      <w:hyperlink r:id="rId330" w:history="1">
        <w:r w:rsidRPr="00517B1B">
          <w:rPr>
            <w:rStyle w:val="aa"/>
            <w:rFonts w:eastAsia="Arial" w:cs="Times New Roman"/>
            <w:szCs w:val="24"/>
          </w:rPr>
          <w:t>https://spb.hse.ru/press/129261265.html</w:t>
        </w:r>
      </w:hyperlink>
      <w:r w:rsidRPr="00517B1B">
        <w:rPr>
          <w:rFonts w:cs="Times New Roman"/>
          <w:szCs w:val="24"/>
        </w:rPr>
        <w:t>;</w:t>
      </w:r>
    </w:p>
    <w:p w:rsidR="008A2A0D" w:rsidRPr="00517B1B" w:rsidRDefault="008A2A0D" w:rsidP="008A2A0D">
      <w:pPr>
        <w:numPr>
          <w:ilvl w:val="0"/>
          <w:numId w:val="100"/>
        </w:numPr>
        <w:pBdr>
          <w:top w:val="none" w:sz="0" w:space="0" w:color="auto"/>
          <w:left w:val="none" w:sz="0" w:space="0" w:color="auto"/>
          <w:bottom w:val="none" w:sz="0" w:space="0" w:color="auto"/>
          <w:right w:val="none" w:sz="0" w:space="0" w:color="auto"/>
          <w:between w:val="none" w:sz="0" w:space="0" w:color="auto"/>
        </w:pBdr>
        <w:spacing w:after="0" w:line="240" w:lineRule="auto"/>
        <w:ind w:left="851" w:firstLine="709"/>
        <w:jc w:val="both"/>
        <w:rPr>
          <w:rFonts w:cs="Times New Roman"/>
          <w:szCs w:val="24"/>
        </w:rPr>
      </w:pPr>
      <w:r w:rsidRPr="00517B1B">
        <w:rPr>
          <w:rFonts w:cs="Times New Roman"/>
          <w:szCs w:val="24"/>
        </w:rPr>
        <w:t xml:space="preserve">Исследования рынка туризма и путешествий по России и СНГ. [Электронный ресурс]. – Режим доступа: </w:t>
      </w:r>
      <w:hyperlink r:id="rId331" w:history="1">
        <w:r w:rsidRPr="00517B1B">
          <w:rPr>
            <w:rStyle w:val="aa"/>
            <w:rFonts w:eastAsia="Arial" w:cs="Times New Roman"/>
            <w:szCs w:val="24"/>
          </w:rPr>
          <w:t>http://turstat.com/bestgastronomictoursrussia2017</w:t>
        </w:r>
      </w:hyperlink>
      <w:r w:rsidRPr="00517B1B">
        <w:rPr>
          <w:rFonts w:cs="Times New Roman"/>
          <w:szCs w:val="24"/>
        </w:rPr>
        <w:t>;</w:t>
      </w:r>
    </w:p>
    <w:p w:rsidR="008A2A0D" w:rsidRPr="00517B1B" w:rsidRDefault="008A2A0D" w:rsidP="008A2A0D">
      <w:pPr>
        <w:numPr>
          <w:ilvl w:val="0"/>
          <w:numId w:val="100"/>
        </w:numPr>
        <w:pBdr>
          <w:top w:val="none" w:sz="0" w:space="0" w:color="auto"/>
          <w:left w:val="none" w:sz="0" w:space="0" w:color="auto"/>
          <w:bottom w:val="none" w:sz="0" w:space="0" w:color="auto"/>
          <w:right w:val="none" w:sz="0" w:space="0" w:color="auto"/>
          <w:between w:val="none" w:sz="0" w:space="0" w:color="auto"/>
        </w:pBdr>
        <w:spacing w:after="0" w:line="240" w:lineRule="auto"/>
        <w:ind w:left="851" w:firstLine="709"/>
        <w:jc w:val="both"/>
        <w:rPr>
          <w:rFonts w:cs="Times New Roman"/>
          <w:szCs w:val="24"/>
        </w:rPr>
      </w:pPr>
      <w:r w:rsidRPr="00517B1B">
        <w:rPr>
          <w:rFonts w:cs="Times New Roman"/>
          <w:szCs w:val="24"/>
        </w:rPr>
        <w:t xml:space="preserve">Фуд-корт Раппопорта в главном парке Москвы. [Электронный ресурс]. – Режим доступа: </w:t>
      </w:r>
      <w:r w:rsidRPr="00517B1B">
        <w:rPr>
          <w:rFonts w:cs="Times New Roman"/>
          <w:szCs w:val="24"/>
          <w:lang w:eastAsia="ru-RU"/>
        </w:rPr>
        <w:t>http://www.the-village.ru/village/food/place/283934-restoran-v-zaryadie.</w:t>
      </w:r>
    </w:p>
    <w:p w:rsidR="008A2A0D" w:rsidRPr="00517B1B" w:rsidRDefault="008A2A0D" w:rsidP="008A2A0D">
      <w:pPr>
        <w:numPr>
          <w:ilvl w:val="0"/>
          <w:numId w:val="100"/>
        </w:numPr>
        <w:pBdr>
          <w:top w:val="none" w:sz="0" w:space="0" w:color="auto"/>
          <w:left w:val="none" w:sz="0" w:space="0" w:color="auto"/>
          <w:bottom w:val="none" w:sz="0" w:space="0" w:color="auto"/>
          <w:right w:val="none" w:sz="0" w:space="0" w:color="auto"/>
          <w:between w:val="none" w:sz="0" w:space="0" w:color="auto"/>
        </w:pBdr>
        <w:spacing w:after="0" w:line="240" w:lineRule="auto"/>
        <w:ind w:left="851" w:firstLine="709"/>
        <w:jc w:val="both"/>
        <w:rPr>
          <w:rFonts w:cs="Times New Roman"/>
          <w:szCs w:val="24"/>
        </w:rPr>
      </w:pPr>
    </w:p>
    <w:p w:rsidR="00517711" w:rsidRDefault="00517711">
      <w:pPr>
        <w:pStyle w:val="af4"/>
        <w:spacing w:after="0" w:line="240" w:lineRule="auto"/>
        <w:jc w:val="both"/>
        <w:rPr>
          <w:szCs w:val="24"/>
        </w:rPr>
      </w:pPr>
    </w:p>
    <w:p w:rsidR="00517711" w:rsidRPr="008A2A0D"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ind w:left="0"/>
        <w:jc w:val="both"/>
        <w:rPr>
          <w:rFonts w:ascii="Times New Roman" w:eastAsia="Calibri" w:hAnsi="Times New Roman"/>
          <w:b/>
          <w:color w:val="000000"/>
          <w:sz w:val="20"/>
          <w:szCs w:val="20"/>
        </w:rPr>
      </w:pPr>
    </w:p>
    <w:p w:rsidR="008A2A0D" w:rsidRDefault="008A2A0D">
      <w:pPr>
        <w:pStyle w:val="af4"/>
        <w:spacing w:after="0" w:line="240" w:lineRule="auto"/>
        <w:ind w:left="0"/>
        <w:jc w:val="both"/>
        <w:rPr>
          <w:rFonts w:ascii="Times New Roman" w:eastAsia="Calibri" w:hAnsi="Times New Roman"/>
          <w:b/>
          <w:color w:val="000000"/>
          <w:sz w:val="20"/>
          <w:szCs w:val="20"/>
        </w:rPr>
      </w:pPr>
    </w:p>
    <w:p w:rsidR="008A2A0D" w:rsidRDefault="008A2A0D">
      <w:pPr>
        <w:pStyle w:val="af4"/>
        <w:spacing w:after="0" w:line="240" w:lineRule="auto"/>
        <w:ind w:left="0"/>
        <w:jc w:val="both"/>
        <w:rPr>
          <w:rFonts w:ascii="Times New Roman" w:eastAsia="Calibri" w:hAnsi="Times New Roman"/>
          <w:b/>
          <w:color w:val="000000"/>
          <w:sz w:val="20"/>
          <w:szCs w:val="20"/>
        </w:rPr>
      </w:pPr>
    </w:p>
    <w:p w:rsidR="00BD6187" w:rsidRDefault="00BD6187">
      <w:pPr>
        <w:pStyle w:val="af4"/>
        <w:spacing w:after="0" w:line="240" w:lineRule="auto"/>
        <w:ind w:left="0"/>
        <w:jc w:val="both"/>
        <w:rPr>
          <w:rFonts w:ascii="Times New Roman" w:eastAsia="Calibri" w:hAnsi="Times New Roman"/>
          <w:b/>
          <w:color w:val="000000"/>
          <w:sz w:val="20"/>
          <w:szCs w:val="20"/>
        </w:rPr>
      </w:pPr>
    </w:p>
    <w:p w:rsidR="00BD6187" w:rsidRDefault="00BD6187">
      <w:pPr>
        <w:pStyle w:val="af4"/>
        <w:spacing w:after="0" w:line="240" w:lineRule="auto"/>
        <w:ind w:left="0"/>
        <w:jc w:val="both"/>
        <w:rPr>
          <w:rFonts w:ascii="Times New Roman" w:eastAsia="Calibri" w:hAnsi="Times New Roman"/>
          <w:b/>
          <w:color w:val="000000"/>
          <w:sz w:val="20"/>
          <w:szCs w:val="20"/>
        </w:rPr>
      </w:pPr>
    </w:p>
    <w:p w:rsidR="00BD6187" w:rsidRDefault="00BD6187">
      <w:pPr>
        <w:pStyle w:val="af4"/>
        <w:spacing w:after="0" w:line="240" w:lineRule="auto"/>
        <w:ind w:left="0"/>
        <w:jc w:val="both"/>
        <w:rPr>
          <w:rFonts w:ascii="Times New Roman" w:eastAsia="Calibri" w:hAnsi="Times New Roman"/>
          <w:b/>
          <w:color w:val="000000"/>
          <w:sz w:val="20"/>
          <w:szCs w:val="20"/>
        </w:rPr>
      </w:pPr>
    </w:p>
    <w:p w:rsidR="00BD6187" w:rsidRDefault="00BD6187">
      <w:pPr>
        <w:pStyle w:val="af4"/>
        <w:spacing w:after="0" w:line="240" w:lineRule="auto"/>
        <w:ind w:left="0"/>
        <w:jc w:val="both"/>
        <w:rPr>
          <w:rFonts w:ascii="Times New Roman" w:eastAsia="Calibri" w:hAnsi="Times New Roman"/>
          <w:b/>
          <w:color w:val="000000"/>
          <w:sz w:val="20"/>
          <w:szCs w:val="20"/>
        </w:rPr>
      </w:pPr>
    </w:p>
    <w:p w:rsidR="00BD6187" w:rsidRDefault="00BD6187">
      <w:pPr>
        <w:pStyle w:val="af4"/>
        <w:spacing w:after="0" w:line="240" w:lineRule="auto"/>
        <w:ind w:left="0"/>
        <w:jc w:val="both"/>
        <w:rPr>
          <w:rFonts w:ascii="Times New Roman" w:eastAsia="Calibri" w:hAnsi="Times New Roman"/>
          <w:b/>
          <w:color w:val="000000"/>
          <w:sz w:val="20"/>
          <w:szCs w:val="20"/>
        </w:rPr>
      </w:pPr>
    </w:p>
    <w:p w:rsidR="00BD6187" w:rsidRDefault="00BD6187">
      <w:pPr>
        <w:pStyle w:val="af4"/>
        <w:spacing w:after="0" w:line="240" w:lineRule="auto"/>
        <w:ind w:left="0"/>
        <w:jc w:val="both"/>
        <w:rPr>
          <w:rFonts w:ascii="Times New Roman" w:eastAsia="Calibri" w:hAnsi="Times New Roman"/>
          <w:b/>
          <w:color w:val="000000"/>
          <w:sz w:val="20"/>
          <w:szCs w:val="20"/>
        </w:rPr>
      </w:pPr>
    </w:p>
    <w:p w:rsidR="00BD6187" w:rsidRPr="006E27FF" w:rsidRDefault="00BD6187" w:rsidP="00BD6187">
      <w:pPr>
        <w:spacing w:after="0" w:line="240" w:lineRule="auto"/>
        <w:ind w:firstLine="420"/>
        <w:rPr>
          <w:rFonts w:ascii="Times New Roman" w:hAnsi="Times New Roman" w:cs="Times New Roman"/>
          <w:sz w:val="24"/>
        </w:rPr>
      </w:pPr>
      <w:r w:rsidRPr="006E27FF">
        <w:rPr>
          <w:rFonts w:ascii="Times New Roman" w:hAnsi="Times New Roman" w:cs="Times New Roman"/>
          <w:sz w:val="24"/>
        </w:rPr>
        <w:t xml:space="preserve">Рубрика: Региональная </w:t>
      </w:r>
      <w:r>
        <w:rPr>
          <w:rFonts w:ascii="Times New Roman" w:hAnsi="Times New Roman" w:cs="Times New Roman"/>
          <w:sz w:val="24"/>
        </w:rPr>
        <w:t>экономика</w:t>
      </w:r>
    </w:p>
    <w:p w:rsidR="00BD6187" w:rsidRPr="006E27FF" w:rsidRDefault="00BD6187" w:rsidP="00BD6187">
      <w:pPr>
        <w:spacing w:after="0" w:line="240" w:lineRule="auto"/>
        <w:ind w:firstLine="420"/>
        <w:rPr>
          <w:rFonts w:ascii="Times New Roman" w:hAnsi="Times New Roman" w:cs="Times New Roman"/>
          <w:sz w:val="24"/>
        </w:rPr>
      </w:pPr>
      <w:r w:rsidRPr="006E27FF">
        <w:rPr>
          <w:rFonts w:ascii="Times New Roman" w:hAnsi="Times New Roman" w:cs="Times New Roman"/>
          <w:sz w:val="24"/>
        </w:rPr>
        <w:t>УДК 332.1</w:t>
      </w:r>
    </w:p>
    <w:p w:rsidR="00BD6187" w:rsidRPr="006E27FF" w:rsidRDefault="00BD6187" w:rsidP="00BD6187">
      <w:pPr>
        <w:spacing w:after="0" w:line="240" w:lineRule="auto"/>
        <w:ind w:firstLine="420"/>
        <w:rPr>
          <w:rFonts w:ascii="Times New Roman" w:hAnsi="Times New Roman" w:cs="Times New Roman"/>
          <w:sz w:val="24"/>
        </w:rPr>
      </w:pPr>
    </w:p>
    <w:p w:rsidR="00BD6187" w:rsidRPr="00BB1A83" w:rsidRDefault="00BD6187" w:rsidP="00BD6187">
      <w:pPr>
        <w:spacing w:after="0" w:line="240" w:lineRule="auto"/>
        <w:ind w:firstLine="420"/>
        <w:jc w:val="center"/>
        <w:rPr>
          <w:rFonts w:ascii="Times New Roman" w:hAnsi="Times New Roman" w:cs="Times New Roman"/>
          <w:b/>
          <w:bCs/>
          <w:sz w:val="24"/>
        </w:rPr>
      </w:pPr>
      <w:r w:rsidRPr="00BB1A83">
        <w:rPr>
          <w:rFonts w:ascii="Times New Roman" w:hAnsi="Times New Roman" w:cs="Times New Roman"/>
          <w:b/>
          <w:bCs/>
          <w:sz w:val="24"/>
        </w:rPr>
        <w:t>Динамика развития китайской Fashion-индустрии</w:t>
      </w:r>
    </w:p>
    <w:p w:rsidR="00BD6187" w:rsidRPr="006E27FF" w:rsidRDefault="00BD6187" w:rsidP="00BD6187">
      <w:pPr>
        <w:spacing w:after="0" w:line="240" w:lineRule="auto"/>
        <w:ind w:firstLine="420"/>
        <w:jc w:val="center"/>
        <w:rPr>
          <w:rFonts w:ascii="Times New Roman" w:hAnsi="Times New Roman" w:cs="Times New Roman"/>
          <w:sz w:val="24"/>
        </w:rPr>
      </w:pPr>
      <w:r w:rsidRPr="006E27FF">
        <w:rPr>
          <w:rFonts w:ascii="Times New Roman" w:hAnsi="Times New Roman" w:cs="Times New Roman"/>
          <w:sz w:val="24"/>
        </w:rPr>
        <w:t>Ян Ипэн</w:t>
      </w:r>
      <w:r>
        <w:rPr>
          <w:rFonts w:ascii="Times New Roman" w:hAnsi="Times New Roman" w:cs="Times New Roman"/>
          <w:sz w:val="24"/>
        </w:rPr>
        <w:t xml:space="preserve">, </w:t>
      </w:r>
    </w:p>
    <w:p w:rsidR="00BD6187" w:rsidRDefault="00BD6187" w:rsidP="00BD6187">
      <w:pPr>
        <w:spacing w:after="0" w:line="240" w:lineRule="auto"/>
        <w:ind w:firstLine="420"/>
        <w:jc w:val="center"/>
        <w:rPr>
          <w:rFonts w:ascii="Times New Roman" w:hAnsi="Times New Roman" w:cs="Times New Roman"/>
          <w:sz w:val="24"/>
        </w:rPr>
      </w:pPr>
      <w:r w:rsidRPr="006E27FF">
        <w:rPr>
          <w:rFonts w:ascii="Times New Roman" w:hAnsi="Times New Roman" w:cs="Times New Roman"/>
          <w:sz w:val="24"/>
        </w:rPr>
        <w:t>Магистрант</w:t>
      </w:r>
    </w:p>
    <w:p w:rsidR="00BD6187" w:rsidRDefault="00BD6187" w:rsidP="00BD6187">
      <w:pPr>
        <w:spacing w:after="0" w:line="240" w:lineRule="auto"/>
        <w:ind w:firstLine="420"/>
        <w:jc w:val="center"/>
        <w:rPr>
          <w:rFonts w:ascii="Times New Roman" w:hAnsi="Times New Roman" w:cs="Times New Roman"/>
          <w:sz w:val="24"/>
        </w:rPr>
      </w:pPr>
      <w:r>
        <w:rPr>
          <w:rFonts w:ascii="Times New Roman" w:hAnsi="Times New Roman" w:cs="Times New Roman"/>
          <w:sz w:val="24"/>
        </w:rPr>
        <w:t>Данилова</w:t>
      </w:r>
      <w:r w:rsidRPr="00BB1A83">
        <w:rPr>
          <w:rFonts w:ascii="Times New Roman" w:hAnsi="Times New Roman" w:cs="Times New Roman"/>
          <w:sz w:val="24"/>
        </w:rPr>
        <w:t xml:space="preserve"> </w:t>
      </w:r>
      <w:r>
        <w:rPr>
          <w:rFonts w:ascii="Times New Roman" w:hAnsi="Times New Roman" w:cs="Times New Roman"/>
          <w:sz w:val="24"/>
        </w:rPr>
        <w:t>Ольга Николаевна,</w:t>
      </w:r>
    </w:p>
    <w:p w:rsidR="00BD6187" w:rsidRPr="006E27FF" w:rsidRDefault="00BD6187" w:rsidP="00BD6187">
      <w:pPr>
        <w:spacing w:after="0" w:line="240" w:lineRule="auto"/>
        <w:ind w:firstLine="420"/>
        <w:jc w:val="center"/>
        <w:rPr>
          <w:rFonts w:ascii="Times New Roman" w:hAnsi="Times New Roman" w:cs="Times New Roman"/>
          <w:sz w:val="24"/>
        </w:rPr>
      </w:pPr>
      <w:r>
        <w:rPr>
          <w:rFonts w:ascii="Times New Roman" w:hAnsi="Times New Roman" w:cs="Times New Roman"/>
          <w:sz w:val="24"/>
        </w:rPr>
        <w:t>канд. техн. наук, доцент кафедры ДЗТ</w:t>
      </w:r>
    </w:p>
    <w:p w:rsidR="00BD6187" w:rsidRPr="006E27FF" w:rsidRDefault="00BD6187" w:rsidP="00BD6187">
      <w:pPr>
        <w:spacing w:after="0" w:line="240" w:lineRule="auto"/>
        <w:ind w:firstLine="420"/>
        <w:jc w:val="center"/>
        <w:rPr>
          <w:rFonts w:ascii="Times New Roman" w:hAnsi="Times New Roman" w:cs="Times New Roman"/>
          <w:i/>
          <w:iCs/>
          <w:sz w:val="24"/>
        </w:rPr>
      </w:pPr>
      <w:r w:rsidRPr="006E27FF">
        <w:rPr>
          <w:rFonts w:ascii="Times New Roman" w:hAnsi="Times New Roman" w:cs="Times New Roman"/>
          <w:i/>
          <w:iCs/>
          <w:sz w:val="24"/>
        </w:rPr>
        <w:t xml:space="preserve">Владивостокский государственный университет экономики и сервиса </w:t>
      </w:r>
    </w:p>
    <w:p w:rsidR="00BD6187" w:rsidRPr="006E27FF" w:rsidRDefault="00BD6187" w:rsidP="00BD6187">
      <w:pPr>
        <w:spacing w:after="0" w:line="240" w:lineRule="auto"/>
        <w:ind w:firstLine="420"/>
        <w:jc w:val="center"/>
        <w:rPr>
          <w:rFonts w:ascii="Times New Roman" w:hAnsi="Times New Roman" w:cs="Times New Roman"/>
          <w:i/>
          <w:iCs/>
          <w:sz w:val="24"/>
        </w:rPr>
      </w:pPr>
      <w:r w:rsidRPr="006E27FF">
        <w:rPr>
          <w:rFonts w:ascii="Times New Roman" w:hAnsi="Times New Roman" w:cs="Times New Roman"/>
          <w:i/>
          <w:iCs/>
          <w:sz w:val="24"/>
        </w:rPr>
        <w:t>Россия. Владивосток</w:t>
      </w:r>
    </w:p>
    <w:p w:rsidR="00BD6187" w:rsidRPr="00BB1A83" w:rsidRDefault="00BD6187" w:rsidP="00BD6187">
      <w:pPr>
        <w:widowControl w:val="0"/>
        <w:numPr>
          <w:ilvl w:val="0"/>
          <w:numId w:val="101"/>
        </w:numPr>
        <w:pBdr>
          <w:top w:val="none" w:sz="0" w:space="0" w:color="auto"/>
          <w:left w:val="none" w:sz="0" w:space="0" w:color="auto"/>
          <w:bottom w:val="none" w:sz="0" w:space="0" w:color="auto"/>
          <w:right w:val="none" w:sz="0" w:space="0" w:color="auto"/>
          <w:between w:val="none" w:sz="0" w:space="0" w:color="auto"/>
        </w:pBdr>
        <w:spacing w:after="0" w:line="240" w:lineRule="auto"/>
        <w:ind w:firstLine="420"/>
        <w:jc w:val="center"/>
        <w:rPr>
          <w:rFonts w:ascii="Times New Roman" w:hAnsi="Times New Roman" w:cs="Times New Roman"/>
          <w:sz w:val="24"/>
        </w:rPr>
      </w:pPr>
      <w:r w:rsidRPr="006E27FF">
        <w:rPr>
          <w:rFonts w:ascii="Times New Roman" w:hAnsi="Times New Roman" w:cs="Times New Roman"/>
          <w:sz w:val="24"/>
        </w:rPr>
        <w:t>mail</w:t>
      </w:r>
      <w:r w:rsidRPr="00BB1A83">
        <w:rPr>
          <w:rFonts w:ascii="Times New Roman" w:hAnsi="Times New Roman" w:cs="Times New Roman"/>
          <w:sz w:val="24"/>
        </w:rPr>
        <w:t>:</w:t>
      </w:r>
      <w:r w:rsidRPr="006E27FF">
        <w:rPr>
          <w:rFonts w:ascii="Times New Roman" w:hAnsi="Times New Roman" w:cs="Times New Roman"/>
          <w:sz w:val="24"/>
        </w:rPr>
        <w:t>823523609</w:t>
      </w:r>
      <w:r w:rsidRPr="00BB1A83">
        <w:rPr>
          <w:rFonts w:ascii="Times New Roman" w:hAnsi="Times New Roman" w:cs="Times New Roman"/>
          <w:sz w:val="24"/>
        </w:rPr>
        <w:t>@</w:t>
      </w:r>
      <w:r w:rsidRPr="006E27FF">
        <w:rPr>
          <w:rFonts w:ascii="Times New Roman" w:hAnsi="Times New Roman" w:cs="Times New Roman"/>
          <w:sz w:val="24"/>
        </w:rPr>
        <w:t>qq</w:t>
      </w:r>
      <w:r w:rsidRPr="00BB1A83">
        <w:rPr>
          <w:rFonts w:ascii="Times New Roman" w:hAnsi="Times New Roman" w:cs="Times New Roman"/>
          <w:sz w:val="24"/>
        </w:rPr>
        <w:t>.</w:t>
      </w:r>
      <w:r w:rsidRPr="006E27FF">
        <w:rPr>
          <w:rFonts w:ascii="Times New Roman" w:hAnsi="Times New Roman" w:cs="Times New Roman"/>
          <w:sz w:val="24"/>
        </w:rPr>
        <w:t>com</w:t>
      </w:r>
      <w:r w:rsidRPr="00BB1A83">
        <w:rPr>
          <w:rFonts w:ascii="Times New Roman" w:hAnsi="Times New Roman" w:cs="Times New Roman"/>
          <w:sz w:val="24"/>
        </w:rPr>
        <w:t xml:space="preserve">; </w:t>
      </w:r>
      <w:r w:rsidRPr="006E27FF">
        <w:rPr>
          <w:rFonts w:ascii="Times New Roman" w:hAnsi="Times New Roman" w:cs="Times New Roman"/>
          <w:sz w:val="24"/>
        </w:rPr>
        <w:t>тел</w:t>
      </w:r>
      <w:r w:rsidRPr="00BB1A83">
        <w:rPr>
          <w:rFonts w:ascii="Times New Roman" w:hAnsi="Times New Roman" w:cs="Times New Roman"/>
          <w:sz w:val="24"/>
        </w:rPr>
        <w:t>: +79681436315</w:t>
      </w:r>
    </w:p>
    <w:p w:rsidR="00BD6187" w:rsidRDefault="00BD6187" w:rsidP="00BD6187">
      <w:pPr>
        <w:spacing w:after="0" w:line="240" w:lineRule="auto"/>
        <w:jc w:val="center"/>
        <w:rPr>
          <w:rFonts w:ascii="Times New Roman" w:hAnsi="Times New Roman" w:cs="Times New Roman"/>
          <w:sz w:val="24"/>
        </w:rPr>
      </w:pPr>
      <w:r>
        <w:rPr>
          <w:rFonts w:ascii="Times New Roman" w:hAnsi="Times New Roman" w:cs="Times New Roman"/>
          <w:sz w:val="24"/>
        </w:rPr>
        <w:t xml:space="preserve">ул. </w:t>
      </w:r>
      <w:r w:rsidRPr="006E27FF">
        <w:rPr>
          <w:rFonts w:ascii="Times New Roman" w:hAnsi="Times New Roman" w:cs="Times New Roman"/>
          <w:sz w:val="24"/>
        </w:rPr>
        <w:t>Гоголя, 41, г</w:t>
      </w:r>
      <w:r>
        <w:rPr>
          <w:rFonts w:ascii="Times New Roman" w:hAnsi="Times New Roman" w:cs="Times New Roman"/>
          <w:sz w:val="24"/>
        </w:rPr>
        <w:t>.</w:t>
      </w:r>
      <w:r w:rsidRPr="006E27FF">
        <w:rPr>
          <w:rFonts w:ascii="Times New Roman" w:hAnsi="Times New Roman" w:cs="Times New Roman"/>
          <w:sz w:val="24"/>
        </w:rPr>
        <w:t xml:space="preserve"> Владивосток, Приморский край, Россия, 690014</w:t>
      </w:r>
    </w:p>
    <w:p w:rsidR="00BD6187" w:rsidRPr="006E27FF" w:rsidRDefault="00BD6187" w:rsidP="00BD6187">
      <w:pPr>
        <w:spacing w:after="0" w:line="240" w:lineRule="auto"/>
        <w:jc w:val="center"/>
        <w:rPr>
          <w:rFonts w:ascii="Times New Roman" w:hAnsi="Times New Roman" w:cs="Times New Roman"/>
          <w:sz w:val="24"/>
        </w:rPr>
      </w:pPr>
    </w:p>
    <w:p w:rsidR="00BD6187" w:rsidRPr="006E27FF" w:rsidRDefault="00BD6187" w:rsidP="00BD6187">
      <w:pPr>
        <w:spacing w:after="0" w:line="240" w:lineRule="auto"/>
        <w:ind w:rightChars="-39" w:right="-86" w:firstLine="420"/>
        <w:rPr>
          <w:rFonts w:ascii="Times New Roman" w:hAnsi="Times New Roman" w:cs="Times New Roman"/>
          <w:i/>
          <w:iCs/>
          <w:sz w:val="24"/>
        </w:rPr>
      </w:pPr>
      <w:r w:rsidRPr="006E27FF">
        <w:rPr>
          <w:rFonts w:ascii="Times New Roman" w:hAnsi="Times New Roman" w:cs="Times New Roman"/>
          <w:i/>
          <w:iCs/>
          <w:sz w:val="24"/>
        </w:rPr>
        <w:t xml:space="preserve">В настоящее время индустрия моды как среда проектирования определенного ассортимента одежды и ее эстетики исследуется, в основном, с точки зрения социологии, психологии и дизайна. </w:t>
      </w:r>
      <w:r>
        <w:rPr>
          <w:rFonts w:ascii="Times New Roman" w:hAnsi="Times New Roman" w:cs="Times New Roman"/>
          <w:i/>
          <w:iCs/>
          <w:sz w:val="24"/>
        </w:rPr>
        <w:t>Проблемы г</w:t>
      </w:r>
      <w:r w:rsidRPr="006E27FF">
        <w:rPr>
          <w:rFonts w:ascii="Times New Roman" w:hAnsi="Times New Roman" w:cs="Times New Roman"/>
          <w:i/>
          <w:iCs/>
          <w:sz w:val="24"/>
        </w:rPr>
        <w:t>локализаци</w:t>
      </w:r>
      <w:r>
        <w:rPr>
          <w:rFonts w:ascii="Times New Roman" w:hAnsi="Times New Roman" w:cs="Times New Roman"/>
          <w:i/>
          <w:iCs/>
          <w:sz w:val="24"/>
        </w:rPr>
        <w:t xml:space="preserve">и </w:t>
      </w:r>
      <w:r w:rsidRPr="006E27FF">
        <w:rPr>
          <w:rFonts w:ascii="Times New Roman" w:hAnsi="Times New Roman" w:cs="Times New Roman"/>
          <w:i/>
          <w:iCs/>
          <w:sz w:val="24"/>
        </w:rPr>
        <w:t>в контексте экономической теории китайской швейной промышленности не в полной мере разработаны. При этом не существует стабильного консенсуса по некоторым важным вопросам, раскрывающим значение роста произво</w:t>
      </w:r>
      <w:r>
        <w:rPr>
          <w:rFonts w:ascii="Times New Roman" w:hAnsi="Times New Roman" w:cs="Times New Roman"/>
          <w:i/>
          <w:iCs/>
          <w:sz w:val="24"/>
        </w:rPr>
        <w:t>д</w:t>
      </w:r>
      <w:r w:rsidRPr="006E27FF">
        <w:rPr>
          <w:rFonts w:ascii="Times New Roman" w:hAnsi="Times New Roman" w:cs="Times New Roman"/>
          <w:i/>
          <w:iCs/>
          <w:sz w:val="24"/>
        </w:rPr>
        <w:t xml:space="preserve">ства одежды. </w:t>
      </w:r>
    </w:p>
    <w:p w:rsidR="00BD6187" w:rsidRDefault="00BD6187" w:rsidP="00BD6187">
      <w:pPr>
        <w:spacing w:after="0" w:line="240" w:lineRule="auto"/>
        <w:ind w:firstLine="420"/>
        <w:rPr>
          <w:rFonts w:ascii="Times New Roman" w:hAnsi="Times New Roman" w:cs="Times New Roman"/>
          <w:i/>
          <w:iCs/>
          <w:sz w:val="24"/>
        </w:rPr>
      </w:pPr>
      <w:r w:rsidRPr="006E27FF">
        <w:rPr>
          <w:rFonts w:ascii="Times New Roman" w:hAnsi="Times New Roman" w:cs="Times New Roman"/>
          <w:bCs/>
          <w:i/>
          <w:iCs/>
          <w:sz w:val="24"/>
        </w:rPr>
        <w:t>Ключевые слова и словосочетания</w:t>
      </w:r>
      <w:r w:rsidRPr="006E27FF">
        <w:rPr>
          <w:rFonts w:ascii="Times New Roman" w:hAnsi="Times New Roman" w:cs="Times New Roman"/>
          <w:i/>
          <w:iCs/>
          <w:sz w:val="24"/>
        </w:rPr>
        <w:t>: глокализация, Fashion-индустрии, китайская мода и швейная промышленность, дизайн</w:t>
      </w:r>
      <w:r>
        <w:rPr>
          <w:rFonts w:ascii="Times New Roman" w:hAnsi="Times New Roman" w:cs="Times New Roman"/>
          <w:i/>
          <w:iCs/>
          <w:sz w:val="24"/>
        </w:rPr>
        <w:t xml:space="preserve"> костюма</w:t>
      </w:r>
      <w:r w:rsidRPr="006E27FF">
        <w:rPr>
          <w:rFonts w:ascii="Times New Roman" w:hAnsi="Times New Roman" w:cs="Times New Roman"/>
          <w:i/>
          <w:iCs/>
          <w:sz w:val="24"/>
        </w:rPr>
        <w:t>.</w:t>
      </w:r>
    </w:p>
    <w:p w:rsidR="00BD6187" w:rsidRPr="00BD6187" w:rsidRDefault="00BD6187" w:rsidP="00BD6187">
      <w:pPr>
        <w:spacing w:after="0" w:line="240" w:lineRule="auto"/>
        <w:ind w:firstLine="420"/>
        <w:jc w:val="center"/>
        <w:rPr>
          <w:rFonts w:ascii="Times New Roman" w:hAnsi="Times New Roman" w:cs="Times New Roman"/>
          <w:b/>
          <w:iCs/>
          <w:sz w:val="24"/>
          <w:lang w:val="en-US"/>
        </w:rPr>
      </w:pPr>
      <w:r w:rsidRPr="00BD6187">
        <w:rPr>
          <w:rFonts w:ascii="Times New Roman" w:hAnsi="Times New Roman" w:cs="Times New Roman"/>
          <w:b/>
          <w:iCs/>
          <w:sz w:val="24"/>
          <w:lang w:val="en-US"/>
        </w:rPr>
        <w:t>Dynamics of the development of the Chinese Fashion Industry</w:t>
      </w:r>
    </w:p>
    <w:p w:rsidR="00BD6187" w:rsidRPr="00BD6187" w:rsidRDefault="00BD6187" w:rsidP="00BD6187">
      <w:pPr>
        <w:spacing w:after="0" w:line="240" w:lineRule="auto"/>
        <w:ind w:firstLine="420"/>
        <w:rPr>
          <w:rFonts w:ascii="Times New Roman" w:hAnsi="Times New Roman" w:cs="Times New Roman"/>
          <w:i/>
          <w:iCs/>
          <w:sz w:val="24"/>
          <w:lang w:val="en-US"/>
        </w:rPr>
      </w:pPr>
      <w:r w:rsidRPr="00BD6187">
        <w:rPr>
          <w:rFonts w:ascii="Times New Roman" w:hAnsi="Times New Roman" w:cs="Times New Roman"/>
          <w:i/>
          <w:iCs/>
          <w:sz w:val="24"/>
          <w:lang w:val="en-US"/>
        </w:rPr>
        <w:t>Currently, the fashion industry as a design environment for a specific range of clothing and its aesthetics is investigated, mainly in terms of sociology, psychology and design. The problems of glocalization in the context of the economic theory of the Chinese garment industry are not fully developed.</w:t>
      </w:r>
      <w:r w:rsidRPr="00BD6187">
        <w:rPr>
          <w:lang w:val="en-US"/>
        </w:rPr>
        <w:t xml:space="preserve"> </w:t>
      </w:r>
      <w:r w:rsidRPr="00BD6187">
        <w:rPr>
          <w:rFonts w:ascii="Times New Roman" w:hAnsi="Times New Roman" w:cs="Times New Roman"/>
          <w:i/>
          <w:iCs/>
          <w:sz w:val="24"/>
          <w:lang w:val="en-US"/>
        </w:rPr>
        <w:t>At the same time, there is no stable consensus on some important issues revealing the significance of the increase in clothing production.</w:t>
      </w:r>
    </w:p>
    <w:p w:rsidR="00BD6187" w:rsidRPr="00BD6187" w:rsidRDefault="00BD6187" w:rsidP="00BD6187">
      <w:pPr>
        <w:spacing w:after="0" w:line="240" w:lineRule="auto"/>
        <w:ind w:firstLine="420"/>
        <w:rPr>
          <w:rFonts w:ascii="Times New Roman" w:hAnsi="Times New Roman" w:cs="Times New Roman"/>
          <w:i/>
          <w:iCs/>
          <w:sz w:val="24"/>
          <w:lang w:val="en-US"/>
        </w:rPr>
      </w:pPr>
      <w:r w:rsidRPr="00BD6187">
        <w:rPr>
          <w:rFonts w:ascii="Times New Roman" w:hAnsi="Times New Roman" w:cs="Times New Roman"/>
          <w:bCs/>
          <w:i/>
          <w:iCs/>
          <w:sz w:val="24"/>
          <w:lang w:val="en-US"/>
        </w:rPr>
        <w:t>Keywords</w:t>
      </w:r>
      <w:r w:rsidRPr="00BD6187">
        <w:rPr>
          <w:rFonts w:ascii="Times New Roman" w:hAnsi="Times New Roman" w:cs="Times New Roman"/>
          <w:i/>
          <w:iCs/>
          <w:sz w:val="24"/>
          <w:lang w:val="en-US"/>
        </w:rPr>
        <w:t>: Globalization, fashion-industry, Chinese fashion and garment industry, design</w:t>
      </w:r>
    </w:p>
    <w:p w:rsidR="00BD6187" w:rsidRPr="006E27FF" w:rsidRDefault="00BD6187" w:rsidP="00BD6187">
      <w:pPr>
        <w:spacing w:after="0" w:line="240" w:lineRule="auto"/>
        <w:ind w:rightChars="-39" w:right="-86" w:firstLine="420"/>
        <w:rPr>
          <w:rFonts w:ascii="Times New Roman" w:hAnsi="Times New Roman" w:cs="Times New Roman"/>
          <w:sz w:val="24"/>
        </w:rPr>
      </w:pPr>
      <w:r w:rsidRPr="006E27FF">
        <w:rPr>
          <w:rFonts w:ascii="Times New Roman" w:hAnsi="Times New Roman" w:cs="Times New Roman"/>
          <w:sz w:val="24"/>
        </w:rPr>
        <w:t>Мода относится к</w:t>
      </w:r>
      <w:r>
        <w:rPr>
          <w:rFonts w:ascii="Times New Roman" w:hAnsi="Times New Roman" w:cs="Times New Roman"/>
          <w:sz w:val="24"/>
        </w:rPr>
        <w:t xml:space="preserve"> наиболее актуальным</w:t>
      </w:r>
      <w:r w:rsidRPr="006E27FF">
        <w:rPr>
          <w:rFonts w:ascii="Times New Roman" w:hAnsi="Times New Roman" w:cs="Times New Roman"/>
          <w:sz w:val="24"/>
        </w:rPr>
        <w:t xml:space="preserve"> явлениям современности, но при всем этом она является также и показателем направления улучшения качества жизни, к которому люди стремятся. Поэтому, если компаниям удается в полной мере понять направления развития модных тенденций в Китае, то они смогут с меньшими барьерами войти на китайский рынок на волне покупательского спроса на новизну. </w:t>
      </w:r>
    </w:p>
    <w:p w:rsidR="00BD6187" w:rsidRPr="006E27FF" w:rsidRDefault="00BD6187" w:rsidP="00BD6187">
      <w:pPr>
        <w:spacing w:after="0" w:line="240" w:lineRule="auto"/>
        <w:ind w:rightChars="-39" w:right="-86" w:firstLine="420"/>
        <w:rPr>
          <w:rFonts w:ascii="Times New Roman" w:hAnsi="Times New Roman" w:cs="Times New Roman"/>
          <w:sz w:val="24"/>
        </w:rPr>
      </w:pPr>
      <w:r w:rsidRPr="006E27FF">
        <w:rPr>
          <w:rFonts w:ascii="Times New Roman" w:hAnsi="Times New Roman" w:cs="Times New Roman"/>
          <w:sz w:val="24"/>
        </w:rPr>
        <w:t>Существующие исследования в сфере китайской швейной индустрии являются частью практических разработок, которые могут быть переосмыслены с позиций теории гло</w:t>
      </w:r>
      <w:r>
        <w:rPr>
          <w:rFonts w:ascii="Times New Roman" w:hAnsi="Times New Roman" w:cs="Times New Roman"/>
          <w:sz w:val="24"/>
        </w:rPr>
        <w:t>к</w:t>
      </w:r>
      <w:r w:rsidRPr="006E27FF">
        <w:rPr>
          <w:rFonts w:ascii="Times New Roman" w:hAnsi="Times New Roman" w:cs="Times New Roman"/>
          <w:sz w:val="24"/>
        </w:rPr>
        <w:t xml:space="preserve">ализации. Многие проблемы </w:t>
      </w:r>
      <w:r w:rsidRPr="004E6ED5">
        <w:rPr>
          <w:rFonts w:ascii="Times New Roman" w:hAnsi="Times New Roman" w:cs="Times New Roman"/>
          <w:sz w:val="24"/>
        </w:rPr>
        <w:t>fashion-</w:t>
      </w:r>
      <w:r w:rsidRPr="000D4000">
        <w:rPr>
          <w:rFonts w:ascii="Times New Roman" w:hAnsi="Times New Roman" w:cs="Times New Roman"/>
          <w:iCs/>
          <w:sz w:val="24"/>
        </w:rPr>
        <w:t>индустрии</w:t>
      </w:r>
      <w:r w:rsidRPr="006E27FF">
        <w:rPr>
          <w:rFonts w:ascii="Times New Roman" w:hAnsi="Times New Roman" w:cs="Times New Roman"/>
          <w:sz w:val="24"/>
        </w:rPr>
        <w:t xml:space="preserve"> имеют большое значение в контексте тенденций мировой экономики, в частности, в процессах глокализации. Менеджмент в сфере моды влияет на быстрое развитие экономики Китая и </w:t>
      </w:r>
      <w:r>
        <w:rPr>
          <w:rFonts w:ascii="Times New Roman" w:hAnsi="Times New Roman" w:cs="Times New Roman"/>
          <w:sz w:val="24"/>
        </w:rPr>
        <w:t xml:space="preserve">дальнейшие </w:t>
      </w:r>
      <w:r w:rsidRPr="006E27FF">
        <w:rPr>
          <w:rFonts w:ascii="Times New Roman" w:hAnsi="Times New Roman" w:cs="Times New Roman"/>
          <w:sz w:val="24"/>
        </w:rPr>
        <w:t>трансформации режима своего развития.</w:t>
      </w:r>
    </w:p>
    <w:p w:rsidR="00BD6187" w:rsidRPr="006E27FF" w:rsidRDefault="00BD6187" w:rsidP="00BD6187">
      <w:pPr>
        <w:spacing w:after="0" w:line="240" w:lineRule="auto"/>
        <w:ind w:rightChars="-39" w:right="-86" w:firstLine="420"/>
        <w:rPr>
          <w:rFonts w:ascii="Times New Roman" w:hAnsi="Times New Roman" w:cs="Times New Roman"/>
          <w:sz w:val="24"/>
        </w:rPr>
      </w:pPr>
      <w:r w:rsidRPr="006E27FF">
        <w:rPr>
          <w:rFonts w:ascii="Times New Roman" w:hAnsi="Times New Roman" w:cs="Times New Roman"/>
          <w:sz w:val="24"/>
        </w:rPr>
        <w:t>Fashion-индустрия зародилась в странах Западной Европы</w:t>
      </w:r>
      <w:r w:rsidRPr="008E71A7">
        <w:rPr>
          <w:rFonts w:ascii="Times New Roman" w:hAnsi="Times New Roman" w:cs="Times New Roman"/>
          <w:sz w:val="24"/>
        </w:rPr>
        <w:t xml:space="preserve"> </w:t>
      </w:r>
      <w:r w:rsidRPr="006E27FF">
        <w:rPr>
          <w:rFonts w:ascii="Times New Roman" w:hAnsi="Times New Roman" w:cs="Times New Roman"/>
          <w:sz w:val="24"/>
        </w:rPr>
        <w:t xml:space="preserve">в середине ХХ в., </w:t>
      </w:r>
      <w:r>
        <w:rPr>
          <w:rFonts w:ascii="Times New Roman" w:hAnsi="Times New Roman" w:cs="Times New Roman"/>
          <w:sz w:val="24"/>
        </w:rPr>
        <w:t xml:space="preserve">затем </w:t>
      </w:r>
      <w:r w:rsidRPr="006E27FF">
        <w:rPr>
          <w:rFonts w:ascii="Times New Roman" w:hAnsi="Times New Roman" w:cs="Times New Roman"/>
          <w:sz w:val="24"/>
        </w:rPr>
        <w:t>получила свое развитие в США и других странах с высокоразвитой экономикой, но за это короткое время индустрия моды успела сформироваться в многоликое и обширное направление. В Китае традиционные технологии</w:t>
      </w:r>
      <w:r>
        <w:rPr>
          <w:rFonts w:ascii="Times New Roman" w:hAnsi="Times New Roman" w:cs="Times New Roman"/>
          <w:sz w:val="24"/>
        </w:rPr>
        <w:t xml:space="preserve"> индустрии моды ад</w:t>
      </w:r>
      <w:r w:rsidRPr="006E27FF">
        <w:rPr>
          <w:rFonts w:ascii="Times New Roman" w:hAnsi="Times New Roman" w:cs="Times New Roman"/>
          <w:sz w:val="24"/>
        </w:rPr>
        <w:t>аптированы для международного дизайна, что позволяет их использовать для развития</w:t>
      </w:r>
      <w:r>
        <w:rPr>
          <w:rFonts w:ascii="Times New Roman" w:hAnsi="Times New Roman" w:cs="Times New Roman"/>
          <w:sz w:val="24"/>
        </w:rPr>
        <w:t xml:space="preserve"> актуальных</w:t>
      </w:r>
      <w:r w:rsidRPr="006E27FF">
        <w:rPr>
          <w:rFonts w:ascii="Times New Roman" w:hAnsi="Times New Roman" w:cs="Times New Roman"/>
          <w:sz w:val="24"/>
        </w:rPr>
        <w:t xml:space="preserve"> мод</w:t>
      </w:r>
      <w:r>
        <w:rPr>
          <w:rFonts w:ascii="Times New Roman" w:hAnsi="Times New Roman" w:cs="Times New Roman"/>
          <w:sz w:val="24"/>
        </w:rPr>
        <w:t>ных тенденций</w:t>
      </w:r>
      <w:r w:rsidRPr="006E27FF">
        <w:rPr>
          <w:rFonts w:ascii="Times New Roman" w:hAnsi="Times New Roman" w:cs="Times New Roman"/>
          <w:sz w:val="24"/>
        </w:rPr>
        <w:t>. В эпоху экономической гло</w:t>
      </w:r>
      <w:r>
        <w:rPr>
          <w:rFonts w:ascii="Times New Roman" w:hAnsi="Times New Roman" w:cs="Times New Roman"/>
          <w:sz w:val="24"/>
        </w:rPr>
        <w:t>к</w:t>
      </w:r>
      <w:r w:rsidRPr="006E27FF">
        <w:rPr>
          <w:rFonts w:ascii="Times New Roman" w:hAnsi="Times New Roman" w:cs="Times New Roman"/>
          <w:sz w:val="24"/>
        </w:rPr>
        <w:t>ализации процесс интернационализации дизайна костюма становится все более и более очевидным. Из общего числа товаров промышленного производства fashion-индустрия содержит только те, которые считаются модными и удовлетворяют актуальные индивидуальные потребности человека. К ним относятся: одежда, аксессуары личного характера, ко</w:t>
      </w:r>
      <w:r>
        <w:rPr>
          <w:rFonts w:ascii="Times New Roman" w:hAnsi="Times New Roman" w:cs="Times New Roman"/>
          <w:sz w:val="24"/>
        </w:rPr>
        <w:t>сметика и парфюмерия, украшения, товары для дома</w:t>
      </w:r>
      <w:r w:rsidRPr="006E27FF">
        <w:rPr>
          <w:rFonts w:ascii="Times New Roman" w:hAnsi="Times New Roman" w:cs="Times New Roman"/>
          <w:sz w:val="24"/>
        </w:rPr>
        <w:t>. Производством всего вышеперечисленного</w:t>
      </w:r>
      <w:r>
        <w:rPr>
          <w:rFonts w:ascii="Times New Roman" w:hAnsi="Times New Roman" w:cs="Times New Roman"/>
          <w:sz w:val="24"/>
        </w:rPr>
        <w:t xml:space="preserve"> ассортимента товаров</w:t>
      </w:r>
      <w:r w:rsidRPr="006E27FF">
        <w:rPr>
          <w:rFonts w:ascii="Times New Roman" w:hAnsi="Times New Roman" w:cs="Times New Roman"/>
          <w:sz w:val="24"/>
        </w:rPr>
        <w:t xml:space="preserve"> занимается индустрия моды как определенный динамичный сектор экономики.</w:t>
      </w:r>
      <w:r w:rsidRPr="006E27FF">
        <w:rPr>
          <w:rFonts w:ascii="Times New Roman" w:hAnsi="Times New Roman" w:cs="Times New Roman"/>
        </w:rPr>
        <w:t xml:space="preserve"> </w:t>
      </w:r>
      <w:r w:rsidRPr="008E71A7">
        <w:rPr>
          <w:rFonts w:ascii="Times New Roman" w:hAnsi="Times New Roman" w:cs="Times New Roman"/>
          <w:sz w:val="24"/>
        </w:rPr>
        <w:t>П</w:t>
      </w:r>
      <w:r>
        <w:rPr>
          <w:rFonts w:ascii="Times New Roman" w:hAnsi="Times New Roman" w:cs="Times New Roman"/>
          <w:sz w:val="24"/>
        </w:rPr>
        <w:t>ри этом п</w:t>
      </w:r>
      <w:r w:rsidRPr="008E71A7">
        <w:rPr>
          <w:rFonts w:ascii="Times New Roman" w:hAnsi="Times New Roman" w:cs="Times New Roman"/>
          <w:sz w:val="24"/>
        </w:rPr>
        <w:t>остоянно наблюдается</w:t>
      </w:r>
      <w:r w:rsidRPr="006E27FF">
        <w:rPr>
          <w:rFonts w:ascii="Times New Roman" w:hAnsi="Times New Roman" w:cs="Times New Roman"/>
          <w:sz w:val="24"/>
        </w:rPr>
        <w:t xml:space="preserve"> процесс так называемого «цикла престижного потребления» [</w:t>
      </w:r>
      <w:r>
        <w:rPr>
          <w:rFonts w:ascii="Times New Roman" w:hAnsi="Times New Roman" w:cs="Times New Roman"/>
          <w:sz w:val="24"/>
        </w:rPr>
        <w:t xml:space="preserve">1, </w:t>
      </w:r>
      <w:r w:rsidRPr="006E27FF">
        <w:rPr>
          <w:rFonts w:ascii="Times New Roman" w:hAnsi="Times New Roman" w:cs="Times New Roman"/>
          <w:sz w:val="24"/>
        </w:rPr>
        <w:t>2], который непрерывно развивается по спирали.</w:t>
      </w:r>
    </w:p>
    <w:p w:rsidR="00BD6187" w:rsidRPr="006E27FF" w:rsidRDefault="00BD6187" w:rsidP="00BD6187">
      <w:pPr>
        <w:spacing w:after="0" w:line="240" w:lineRule="auto"/>
        <w:ind w:rightChars="-39" w:right="-86" w:firstLine="420"/>
        <w:rPr>
          <w:rFonts w:ascii="Times New Roman" w:hAnsi="Times New Roman" w:cs="Times New Roman"/>
          <w:sz w:val="24"/>
        </w:rPr>
      </w:pPr>
      <w:r w:rsidRPr="006E27FF">
        <w:rPr>
          <w:rFonts w:ascii="Times New Roman" w:hAnsi="Times New Roman" w:cs="Times New Roman"/>
          <w:sz w:val="24"/>
        </w:rPr>
        <w:t>Почти весь рын</w:t>
      </w:r>
      <w:r>
        <w:rPr>
          <w:rFonts w:ascii="Times New Roman" w:hAnsi="Times New Roman" w:cs="Times New Roman"/>
          <w:sz w:val="24"/>
        </w:rPr>
        <w:t>ок сбыта в Китае основан на формировании</w:t>
      </w:r>
      <w:r w:rsidRPr="006E27FF">
        <w:rPr>
          <w:rFonts w:ascii="Times New Roman" w:hAnsi="Times New Roman" w:cs="Times New Roman"/>
          <w:sz w:val="24"/>
        </w:rPr>
        <w:t xml:space="preserve"> модных тенденций, которые воспринимаю</w:t>
      </w:r>
      <w:r>
        <w:rPr>
          <w:rFonts w:ascii="Times New Roman" w:hAnsi="Times New Roman" w:cs="Times New Roman"/>
          <w:sz w:val="24"/>
        </w:rPr>
        <w:t>тся покупателями как возможность</w:t>
      </w:r>
      <w:r w:rsidRPr="006E27FF">
        <w:rPr>
          <w:rFonts w:ascii="Times New Roman" w:hAnsi="Times New Roman" w:cs="Times New Roman"/>
          <w:sz w:val="24"/>
        </w:rPr>
        <w:t xml:space="preserve"> повысить свой статус, идентифицироваться или презентовать себя обществу. Отвечая на потребности в новизне, незаурядности, актуальности, формируя новые веяния,  откликаясь на потребности высших слоев населения или внедряя инновационные технологии в разных областях жизни, маркетинг формирует </w:t>
      </w:r>
      <w:r>
        <w:rPr>
          <w:rFonts w:ascii="Times New Roman" w:hAnsi="Times New Roman" w:cs="Times New Roman"/>
          <w:sz w:val="24"/>
        </w:rPr>
        <w:t>инновационные</w:t>
      </w:r>
      <w:r w:rsidRPr="006E27FF">
        <w:rPr>
          <w:rFonts w:ascii="Times New Roman" w:hAnsi="Times New Roman" w:cs="Times New Roman"/>
          <w:sz w:val="24"/>
        </w:rPr>
        <w:t xml:space="preserve"> стратегии и раскрывает все новые возможности продвижения товаров. </w:t>
      </w:r>
    </w:p>
    <w:p w:rsidR="00BD6187" w:rsidRPr="006E27FF" w:rsidRDefault="00BD6187" w:rsidP="00BD6187">
      <w:pPr>
        <w:spacing w:after="0" w:line="240" w:lineRule="auto"/>
        <w:ind w:firstLine="420"/>
        <w:rPr>
          <w:rFonts w:ascii="Times New Roman" w:hAnsi="Times New Roman" w:cs="Times New Roman"/>
          <w:sz w:val="24"/>
        </w:rPr>
      </w:pPr>
      <w:r w:rsidRPr="006E27FF">
        <w:rPr>
          <w:rFonts w:ascii="Times New Roman" w:hAnsi="Times New Roman" w:cs="Times New Roman"/>
          <w:sz w:val="24"/>
        </w:rPr>
        <w:t>Кроме того, анализ китайского fashion-рынка напрямую зависит от темпов роста рыночной экономики. Швейная промышленность Китая также добилась значительного прогресса. Одежда, как основная часть швейной промышленности, в китайской концепции потребления характеризуется еще более открытыми для содействия технологиями продвижения. Рыночная шкала стабильного роста</w:t>
      </w:r>
      <w:r>
        <w:rPr>
          <w:rFonts w:ascii="Times New Roman" w:hAnsi="Times New Roman" w:cs="Times New Roman"/>
          <w:sz w:val="24"/>
        </w:rPr>
        <w:t xml:space="preserve"> потребления</w:t>
      </w:r>
      <w:r w:rsidRPr="006E27FF">
        <w:rPr>
          <w:rFonts w:ascii="Times New Roman" w:hAnsi="Times New Roman" w:cs="Times New Roman"/>
          <w:sz w:val="24"/>
        </w:rPr>
        <w:t xml:space="preserve"> показывает локализацию, индивидуальность, интернационализацию, характеризует успешность брендов. Концентрация производства одежды в Китае зависит от степени дифференциации продукта и отсутствия барьеров для выхода готовой продук</w:t>
      </w:r>
      <w:r>
        <w:rPr>
          <w:rFonts w:ascii="Times New Roman" w:hAnsi="Times New Roman" w:cs="Times New Roman"/>
          <w:sz w:val="24"/>
        </w:rPr>
        <w:t>ции на уровень мировой торговли</w:t>
      </w:r>
      <w:r w:rsidRPr="008E71A7">
        <w:t xml:space="preserve"> </w:t>
      </w:r>
      <w:r w:rsidRPr="008E71A7">
        <w:rPr>
          <w:rFonts w:ascii="Times New Roman" w:hAnsi="Times New Roman" w:cs="Times New Roman"/>
          <w:sz w:val="24"/>
        </w:rPr>
        <w:t>[</w:t>
      </w:r>
      <w:r>
        <w:rPr>
          <w:rFonts w:ascii="Times New Roman" w:hAnsi="Times New Roman" w:cs="Times New Roman"/>
          <w:sz w:val="24"/>
        </w:rPr>
        <w:t>7</w:t>
      </w:r>
      <w:r w:rsidRPr="008E71A7">
        <w:rPr>
          <w:rFonts w:ascii="Times New Roman" w:hAnsi="Times New Roman" w:cs="Times New Roman"/>
          <w:sz w:val="24"/>
        </w:rPr>
        <w:t>]</w:t>
      </w:r>
      <w:r>
        <w:rPr>
          <w:rFonts w:ascii="Times New Roman" w:hAnsi="Times New Roman" w:cs="Times New Roman"/>
          <w:sz w:val="24"/>
        </w:rPr>
        <w:t>.</w:t>
      </w:r>
    </w:p>
    <w:p w:rsidR="00BD6187" w:rsidRDefault="00BD6187" w:rsidP="00BD6187">
      <w:pPr>
        <w:spacing w:after="0" w:line="240" w:lineRule="auto"/>
        <w:ind w:rightChars="-39" w:right="-86" w:firstLine="420"/>
        <w:rPr>
          <w:rFonts w:ascii="Times New Roman" w:hAnsi="Times New Roman" w:cs="Times New Roman"/>
          <w:sz w:val="24"/>
        </w:rPr>
      </w:pPr>
      <w:r w:rsidRPr="006E27FF">
        <w:rPr>
          <w:rFonts w:ascii="Times New Roman" w:hAnsi="Times New Roman" w:cs="Times New Roman"/>
          <w:sz w:val="24"/>
        </w:rPr>
        <w:t>Ки</w:t>
      </w:r>
      <w:r>
        <w:rPr>
          <w:rFonts w:ascii="Times New Roman" w:hAnsi="Times New Roman" w:cs="Times New Roman"/>
          <w:sz w:val="24"/>
        </w:rPr>
        <w:t>тай в последнее время достиг не</w:t>
      </w:r>
      <w:r w:rsidRPr="006E27FF">
        <w:rPr>
          <w:rFonts w:ascii="Times New Roman" w:hAnsi="Times New Roman" w:cs="Times New Roman"/>
          <w:sz w:val="24"/>
        </w:rPr>
        <w:t>бывалого развития как в экономике и науке, так и в индустрии моды</w:t>
      </w:r>
      <w:r>
        <w:rPr>
          <w:rFonts w:ascii="Times New Roman" w:hAnsi="Times New Roman" w:cs="Times New Roman"/>
          <w:sz w:val="24"/>
        </w:rPr>
        <w:t xml:space="preserve"> (рисунок 1)</w:t>
      </w:r>
      <w:r w:rsidRPr="006E27FF">
        <w:rPr>
          <w:rFonts w:ascii="Times New Roman" w:hAnsi="Times New Roman" w:cs="Times New Roman"/>
          <w:sz w:val="24"/>
        </w:rPr>
        <w:t>. Все мировые концерны переносят сюда свои основные офисы, что делает главные города Китая мировыми центрами торговли и бизнеса. Такие крупные китайские города как Гонконг, Шанхай, Пекин растут небывалыми темпами, становясь прогрессивными законодателями моды и современными городами с высокоразв</w:t>
      </w:r>
      <w:r>
        <w:rPr>
          <w:rFonts w:ascii="Times New Roman" w:hAnsi="Times New Roman" w:cs="Times New Roman"/>
          <w:sz w:val="24"/>
        </w:rPr>
        <w:t>и</w:t>
      </w:r>
      <w:r w:rsidRPr="006E27FF">
        <w:rPr>
          <w:rFonts w:ascii="Times New Roman" w:hAnsi="Times New Roman" w:cs="Times New Roman"/>
          <w:sz w:val="24"/>
        </w:rPr>
        <w:t xml:space="preserve">той инфраструктурой. Практически невозможно перечислить все ее составляющие, так как их количество невообразимо велико. </w:t>
      </w:r>
    </w:p>
    <w:p w:rsidR="00BD6187" w:rsidRDefault="00BD6187" w:rsidP="00BD6187">
      <w:pPr>
        <w:spacing w:after="0" w:line="240" w:lineRule="auto"/>
        <w:ind w:rightChars="-39" w:right="-86" w:firstLine="420"/>
        <w:rPr>
          <w:rFonts w:ascii="Times New Roman" w:hAnsi="Times New Roman" w:cs="Times New Roman"/>
          <w:sz w:val="24"/>
        </w:rPr>
      </w:pPr>
    </w:p>
    <w:p w:rsidR="00BD6187" w:rsidRDefault="00BD6187" w:rsidP="00BD6187">
      <w:pPr>
        <w:spacing w:after="0" w:line="240" w:lineRule="auto"/>
        <w:ind w:rightChars="-39" w:right="-86" w:firstLine="420"/>
        <w:rPr>
          <w:rFonts w:ascii="Times New Roman" w:hAnsi="Times New Roman" w:cs="Times New Roman"/>
          <w:sz w:val="24"/>
        </w:rPr>
      </w:pPr>
      <w:r>
        <w:rPr>
          <w:rFonts w:ascii="Times New Roman" w:hAnsi="Times New Roman" w:cs="Times New Roman"/>
          <w:noProof/>
          <w:sz w:val="24"/>
          <w:lang w:eastAsia="ru-RU"/>
        </w:rPr>
        <w:drawing>
          <wp:inline distT="0" distB="0" distL="0" distR="0" wp14:anchorId="47720D16" wp14:editId="7D6CDA2F">
            <wp:extent cx="4866198" cy="1971923"/>
            <wp:effectExtent l="0" t="0" r="0" b="0"/>
            <wp:docPr id="155" name="Рисунок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32" cstate="print">
                      <a:extLst>
                        <a:ext uri="{28A0092B-C50C-407E-A947-70E740481C1C}">
                          <a14:useLocalDpi xmlns:a14="http://schemas.microsoft.com/office/drawing/2010/main" val="0"/>
                        </a:ext>
                      </a:extLst>
                    </a:blip>
                    <a:srcRect r="9601" b="12326"/>
                    <a:stretch/>
                  </pic:blipFill>
                  <pic:spPr bwMode="auto">
                    <a:xfrm>
                      <a:off x="0" y="0"/>
                      <a:ext cx="4881109" cy="1977965"/>
                    </a:xfrm>
                    <a:prstGeom prst="rect">
                      <a:avLst/>
                    </a:prstGeom>
                    <a:noFill/>
                    <a:ln>
                      <a:noFill/>
                    </a:ln>
                    <a:extLst>
                      <a:ext uri="{53640926-AAD7-44D8-BBD7-CCE9431645EC}">
                        <a14:shadowObscured xmlns:a14="http://schemas.microsoft.com/office/drawing/2010/main"/>
                      </a:ext>
                    </a:extLst>
                  </pic:spPr>
                </pic:pic>
              </a:graphicData>
            </a:graphic>
          </wp:inline>
        </w:drawing>
      </w:r>
    </w:p>
    <w:p w:rsidR="00BD6187" w:rsidRDefault="00BD6187" w:rsidP="00BD6187">
      <w:pPr>
        <w:spacing w:after="0" w:line="240" w:lineRule="auto"/>
        <w:ind w:rightChars="-39" w:right="-86" w:firstLine="420"/>
        <w:rPr>
          <w:rFonts w:ascii="Times New Roman" w:hAnsi="Times New Roman" w:cs="Times New Roman"/>
          <w:noProof/>
          <w:sz w:val="24"/>
          <w:lang w:eastAsia="ru-RU"/>
        </w:rPr>
      </w:pPr>
      <w:r>
        <w:rPr>
          <w:rFonts w:ascii="Times New Roman" w:hAnsi="Times New Roman" w:cs="Times New Roman"/>
          <w:noProof/>
          <w:sz w:val="24"/>
          <w:lang w:eastAsia="ru-RU"/>
        </w:rPr>
        <w:t xml:space="preserve">         1990 г.             1997 г.          2007 г .          2017 г.</w:t>
      </w:r>
    </w:p>
    <w:p w:rsidR="00BD6187" w:rsidRDefault="00BD6187" w:rsidP="00BD6187">
      <w:pPr>
        <w:spacing w:after="0" w:line="240" w:lineRule="auto"/>
        <w:ind w:rightChars="-39" w:right="-86" w:firstLine="420"/>
        <w:rPr>
          <w:rFonts w:ascii="Times New Roman" w:hAnsi="Times New Roman" w:cs="Times New Roman"/>
          <w:noProof/>
          <w:sz w:val="24"/>
          <w:lang w:eastAsia="ru-RU"/>
        </w:rPr>
      </w:pPr>
    </w:p>
    <w:p w:rsidR="00BD6187" w:rsidRDefault="00BD6187" w:rsidP="00BD6187">
      <w:pPr>
        <w:spacing w:after="0" w:line="240" w:lineRule="auto"/>
        <w:ind w:rightChars="-39" w:right="-86" w:firstLine="420"/>
        <w:rPr>
          <w:rFonts w:ascii="Times New Roman" w:hAnsi="Times New Roman" w:cs="Times New Roman"/>
          <w:noProof/>
          <w:sz w:val="24"/>
          <w:lang w:eastAsia="ru-RU"/>
        </w:rPr>
      </w:pPr>
      <w:r>
        <w:rPr>
          <w:rFonts w:ascii="Times New Roman" w:hAnsi="Times New Roman" w:cs="Times New Roman"/>
          <w:noProof/>
          <w:sz w:val="24"/>
          <w:lang w:eastAsia="ru-RU"/>
        </w:rPr>
        <w:t>Рисунок 1 – Динамика экономического роста в текстильной отрасли Китая</w:t>
      </w:r>
    </w:p>
    <w:p w:rsidR="00BD6187" w:rsidRPr="006E27FF" w:rsidRDefault="00BD6187" w:rsidP="00BD6187">
      <w:pPr>
        <w:spacing w:after="0" w:line="240" w:lineRule="auto"/>
        <w:ind w:rightChars="-39" w:right="-86" w:firstLine="420"/>
        <w:rPr>
          <w:rFonts w:ascii="Times New Roman" w:hAnsi="Times New Roman" w:cs="Times New Roman"/>
          <w:sz w:val="24"/>
        </w:rPr>
      </w:pPr>
      <w:r>
        <w:rPr>
          <w:rFonts w:ascii="Times New Roman" w:hAnsi="Times New Roman" w:cs="Times New Roman"/>
          <w:noProof/>
          <w:sz w:val="24"/>
          <w:lang w:eastAsia="ru-RU"/>
        </w:rPr>
        <w:t xml:space="preserve">  </w:t>
      </w:r>
    </w:p>
    <w:p w:rsidR="00BD6187" w:rsidRDefault="00BD6187" w:rsidP="00BD6187">
      <w:pPr>
        <w:spacing w:after="0" w:line="240" w:lineRule="auto"/>
        <w:ind w:rightChars="-39" w:right="-86" w:firstLine="420"/>
        <w:rPr>
          <w:rFonts w:ascii="Times New Roman" w:hAnsi="Times New Roman" w:cs="Times New Roman"/>
          <w:sz w:val="24"/>
        </w:rPr>
      </w:pPr>
      <w:r w:rsidRPr="00DB6D93">
        <w:rPr>
          <w:rFonts w:ascii="Times New Roman" w:hAnsi="Times New Roman" w:cs="Times New Roman"/>
          <w:sz w:val="24"/>
        </w:rPr>
        <w:t>Период структурной перестройки экономики Китая (1990-1997 гг.) потребовал проведения срочного и глубокого исследования индустрии моды, которая может стимулировать продвижение традиционных отраслей промышленности, таких как текстильная промышленность и производство одежды.</w:t>
      </w:r>
    </w:p>
    <w:p w:rsidR="00BD6187" w:rsidRDefault="00BD6187" w:rsidP="00BD6187">
      <w:pPr>
        <w:spacing w:after="0" w:line="240" w:lineRule="auto"/>
        <w:ind w:rightChars="-39" w:right="-86" w:firstLine="420"/>
        <w:rPr>
          <w:rFonts w:ascii="Times New Roman" w:hAnsi="Times New Roman" w:cs="Times New Roman"/>
          <w:sz w:val="24"/>
        </w:rPr>
      </w:pPr>
      <w:r>
        <w:rPr>
          <w:rFonts w:ascii="Times New Roman" w:hAnsi="Times New Roman" w:cs="Times New Roman"/>
          <w:sz w:val="24"/>
        </w:rPr>
        <w:t>Установлено, что в</w:t>
      </w:r>
      <w:r w:rsidRPr="00DB6D93">
        <w:rPr>
          <w:rFonts w:ascii="Times New Roman" w:hAnsi="Times New Roman" w:cs="Times New Roman"/>
          <w:sz w:val="24"/>
        </w:rPr>
        <w:t xml:space="preserve"> процессе развития маркетинговой стратегии </w:t>
      </w:r>
      <w:r>
        <w:rPr>
          <w:rFonts w:ascii="Times New Roman" w:hAnsi="Times New Roman" w:cs="Times New Roman"/>
          <w:sz w:val="24"/>
        </w:rPr>
        <w:t xml:space="preserve">Китая и </w:t>
      </w:r>
      <w:r w:rsidRPr="00DB6D93">
        <w:rPr>
          <w:rFonts w:ascii="Times New Roman" w:hAnsi="Times New Roman" w:cs="Times New Roman"/>
          <w:sz w:val="24"/>
        </w:rPr>
        <w:t>для выхода на международный рынок, необходимо ориентироваться на модные предпочтения двух групп потребителей: высшее руководство компаний</w:t>
      </w:r>
      <w:r>
        <w:rPr>
          <w:rFonts w:ascii="Times New Roman" w:hAnsi="Times New Roman" w:cs="Times New Roman"/>
          <w:sz w:val="24"/>
        </w:rPr>
        <w:t xml:space="preserve"> и работающие женщины</w:t>
      </w:r>
      <w:r w:rsidRPr="00DB6D93">
        <w:rPr>
          <w:rFonts w:ascii="Times New Roman" w:hAnsi="Times New Roman" w:cs="Times New Roman"/>
          <w:sz w:val="24"/>
        </w:rPr>
        <w:t>. Добившись их признания, можно начинать распространение информации среди других социальных слоев.</w:t>
      </w:r>
    </w:p>
    <w:p w:rsidR="00BD6187" w:rsidRPr="006E27FF" w:rsidRDefault="00BD6187" w:rsidP="00BD6187">
      <w:pPr>
        <w:spacing w:after="0" w:line="240" w:lineRule="auto"/>
        <w:ind w:rightChars="-39" w:right="-86" w:firstLine="420"/>
        <w:rPr>
          <w:rFonts w:ascii="Times New Roman" w:hAnsi="Times New Roman" w:cs="Times New Roman"/>
          <w:sz w:val="24"/>
        </w:rPr>
      </w:pPr>
      <w:r>
        <w:rPr>
          <w:rFonts w:ascii="Times New Roman" w:hAnsi="Times New Roman" w:cs="Times New Roman"/>
          <w:sz w:val="24"/>
        </w:rPr>
        <w:t>В рамках настоящего исследования изучены особенности позиционирования Китайской</w:t>
      </w:r>
      <w:r w:rsidRPr="006E27FF">
        <w:rPr>
          <w:rFonts w:ascii="Times New Roman" w:hAnsi="Times New Roman" w:cs="Times New Roman"/>
          <w:sz w:val="24"/>
        </w:rPr>
        <w:t xml:space="preserve"> Междунар</w:t>
      </w:r>
      <w:r>
        <w:rPr>
          <w:rFonts w:ascii="Times New Roman" w:hAnsi="Times New Roman" w:cs="Times New Roman"/>
          <w:sz w:val="24"/>
        </w:rPr>
        <w:t>одной недели моды (КМНМ), не только в качестве</w:t>
      </w:r>
      <w:r w:rsidRPr="006E27FF">
        <w:rPr>
          <w:rFonts w:ascii="Times New Roman" w:hAnsi="Times New Roman" w:cs="Times New Roman"/>
          <w:sz w:val="24"/>
        </w:rPr>
        <w:t xml:space="preserve"> реклам</w:t>
      </w:r>
      <w:r>
        <w:rPr>
          <w:rFonts w:ascii="Times New Roman" w:hAnsi="Times New Roman" w:cs="Times New Roman"/>
          <w:sz w:val="24"/>
        </w:rPr>
        <w:t>ы</w:t>
      </w:r>
      <w:r w:rsidRPr="006E27FF">
        <w:rPr>
          <w:rFonts w:ascii="Times New Roman" w:hAnsi="Times New Roman" w:cs="Times New Roman"/>
          <w:sz w:val="24"/>
        </w:rPr>
        <w:t xml:space="preserve"> известных брендов зарубежных дизайнеров моды, но и с позиций создания нового издател</w:t>
      </w:r>
      <w:r>
        <w:rPr>
          <w:rFonts w:ascii="Times New Roman" w:hAnsi="Times New Roman" w:cs="Times New Roman"/>
          <w:sz w:val="24"/>
        </w:rPr>
        <w:t>ьского центра для пропаганды пе</w:t>
      </w:r>
      <w:r w:rsidRPr="006E27FF">
        <w:rPr>
          <w:rFonts w:ascii="Times New Roman" w:hAnsi="Times New Roman" w:cs="Times New Roman"/>
          <w:sz w:val="24"/>
        </w:rPr>
        <w:t>р</w:t>
      </w:r>
      <w:r>
        <w:rPr>
          <w:rFonts w:ascii="Times New Roman" w:hAnsi="Times New Roman" w:cs="Times New Roman"/>
          <w:sz w:val="24"/>
        </w:rPr>
        <w:t>с</w:t>
      </w:r>
      <w:r w:rsidRPr="006E27FF">
        <w:rPr>
          <w:rFonts w:ascii="Times New Roman" w:hAnsi="Times New Roman" w:cs="Times New Roman"/>
          <w:sz w:val="24"/>
        </w:rPr>
        <w:t>пективных модных тенденци</w:t>
      </w:r>
      <w:r>
        <w:rPr>
          <w:rFonts w:ascii="Times New Roman" w:hAnsi="Times New Roman" w:cs="Times New Roman"/>
          <w:sz w:val="24"/>
        </w:rPr>
        <w:t>й</w:t>
      </w:r>
      <w:r w:rsidRPr="006E27FF">
        <w:rPr>
          <w:rFonts w:ascii="Times New Roman" w:hAnsi="Times New Roman" w:cs="Times New Roman"/>
          <w:sz w:val="24"/>
        </w:rPr>
        <w:t xml:space="preserve">. </w:t>
      </w:r>
      <w:r>
        <w:rPr>
          <w:rFonts w:ascii="Times New Roman" w:hAnsi="Times New Roman" w:cs="Times New Roman"/>
          <w:sz w:val="24"/>
        </w:rPr>
        <w:t xml:space="preserve">В настоящее время </w:t>
      </w:r>
      <w:r w:rsidRPr="006E27FF">
        <w:rPr>
          <w:rFonts w:ascii="Times New Roman" w:hAnsi="Times New Roman" w:cs="Times New Roman"/>
          <w:sz w:val="24"/>
        </w:rPr>
        <w:t>КМНМ превращается в культурный творческий центр, где представители промышленности демонстрируют свои достижения, устанавливают новые деловые контакты. Отечественные и зарубежные средства массовой информации уделяют большое внимание анализу и пропаганде достижений инсайдеров промышленности.</w:t>
      </w:r>
      <w:r w:rsidRPr="008E71A7">
        <w:t xml:space="preserve"> </w:t>
      </w:r>
      <w:r w:rsidRPr="001A4054">
        <w:rPr>
          <w:rFonts w:ascii="Times New Roman" w:hAnsi="Times New Roman" w:cs="Times New Roman"/>
          <w:sz w:val="24"/>
        </w:rPr>
        <w:t>Это объясняется тем</w:t>
      </w:r>
      <w:r>
        <w:rPr>
          <w:rFonts w:ascii="Times New Roman" w:hAnsi="Times New Roman" w:cs="Times New Roman"/>
          <w:sz w:val="24"/>
        </w:rPr>
        <w:t xml:space="preserve"> обстоятельством</w:t>
      </w:r>
      <w:r w:rsidRPr="001A4054">
        <w:rPr>
          <w:rFonts w:ascii="Times New Roman" w:hAnsi="Times New Roman" w:cs="Times New Roman"/>
          <w:sz w:val="24"/>
        </w:rPr>
        <w:t xml:space="preserve">, что в изучении </w:t>
      </w:r>
      <w:r>
        <w:rPr>
          <w:rFonts w:ascii="Times New Roman" w:hAnsi="Times New Roman" w:cs="Times New Roman"/>
          <w:sz w:val="24"/>
        </w:rPr>
        <w:t xml:space="preserve">тенденций </w:t>
      </w:r>
      <w:r w:rsidRPr="001A4054">
        <w:rPr>
          <w:rFonts w:ascii="Times New Roman" w:hAnsi="Times New Roman" w:cs="Times New Roman"/>
          <w:sz w:val="24"/>
        </w:rPr>
        <w:t xml:space="preserve">индустрии модной одежды существует много проблем, таких, например, как неоднозначность процессов </w:t>
      </w:r>
      <w:r>
        <w:rPr>
          <w:rFonts w:ascii="Times New Roman" w:hAnsi="Times New Roman" w:cs="Times New Roman"/>
          <w:sz w:val="24"/>
        </w:rPr>
        <w:t xml:space="preserve">менеджмента </w:t>
      </w:r>
      <w:r w:rsidRPr="001A4054">
        <w:rPr>
          <w:rFonts w:ascii="Times New Roman" w:hAnsi="Times New Roman" w:cs="Times New Roman"/>
          <w:sz w:val="24"/>
        </w:rPr>
        <w:t>и необходимость выявления трудностей</w:t>
      </w:r>
      <w:r>
        <w:rPr>
          <w:rFonts w:ascii="Times New Roman" w:hAnsi="Times New Roman" w:cs="Times New Roman"/>
          <w:sz w:val="24"/>
        </w:rPr>
        <w:t xml:space="preserve"> в их реализации </w:t>
      </w:r>
      <w:r w:rsidRPr="003B0C01">
        <w:rPr>
          <w:rFonts w:ascii="Times New Roman" w:hAnsi="Times New Roman" w:cs="Times New Roman"/>
          <w:sz w:val="24"/>
        </w:rPr>
        <w:t>[</w:t>
      </w:r>
      <w:r>
        <w:rPr>
          <w:rFonts w:ascii="Times New Roman" w:hAnsi="Times New Roman" w:cs="Times New Roman"/>
          <w:sz w:val="24"/>
        </w:rPr>
        <w:t>8</w:t>
      </w:r>
      <w:r w:rsidRPr="003B0C01">
        <w:rPr>
          <w:rFonts w:ascii="Times New Roman" w:hAnsi="Times New Roman" w:cs="Times New Roman"/>
          <w:sz w:val="24"/>
        </w:rPr>
        <w:t>]</w:t>
      </w:r>
      <w:r>
        <w:rPr>
          <w:rFonts w:ascii="Times New Roman" w:hAnsi="Times New Roman" w:cs="Times New Roman"/>
          <w:sz w:val="24"/>
        </w:rPr>
        <w:t>.</w:t>
      </w:r>
    </w:p>
    <w:p w:rsidR="00BD6187" w:rsidRDefault="00BD6187" w:rsidP="00BD6187">
      <w:pPr>
        <w:spacing w:after="0" w:line="240" w:lineRule="auto"/>
        <w:ind w:firstLine="420"/>
        <w:rPr>
          <w:rFonts w:ascii="Times New Roman" w:hAnsi="Times New Roman" w:cs="Times New Roman"/>
          <w:sz w:val="24"/>
        </w:rPr>
      </w:pPr>
      <w:r>
        <w:rPr>
          <w:rFonts w:ascii="Times New Roman" w:hAnsi="Times New Roman" w:cs="Times New Roman"/>
          <w:sz w:val="24"/>
        </w:rPr>
        <w:t xml:space="preserve">В последние несколько лет проблема финансирования стала наиболее актуальной темой для дизайнеров, при этом следует отметить тот факт, что все большее количество крупных предприятий или инвестиционных учреждений начали сосредотачиваться на дизайнерских брендах. Чтобы лучше согласовать свои проекты с капиталом </w:t>
      </w:r>
      <w:r>
        <w:rPr>
          <w:rFonts w:ascii="Times New Roman" w:hAnsi="Times New Roman" w:cs="Times New Roman"/>
          <w:bCs/>
          <w:sz w:val="24"/>
        </w:rPr>
        <w:t>[5],</w:t>
      </w:r>
      <w:r>
        <w:rPr>
          <w:rFonts w:ascii="Times New Roman" w:hAnsi="Times New Roman" w:cs="Times New Roman"/>
          <w:sz w:val="24"/>
        </w:rPr>
        <w:t xml:space="preserve"> дизайнеры должны иметь более четкое и дифференцированное позиционирование отдельных лиц (индивидуальных предпринимателей) и брендов, а также разрабатывать более убедительные бизнес-планы </w:t>
      </w:r>
      <w:r>
        <w:rPr>
          <w:rFonts w:ascii="Times New Roman" w:hAnsi="Times New Roman" w:cs="Times New Roman"/>
          <w:bCs/>
          <w:sz w:val="24"/>
        </w:rPr>
        <w:t>[6]</w:t>
      </w:r>
      <w:r>
        <w:rPr>
          <w:rFonts w:ascii="Times New Roman" w:hAnsi="Times New Roman" w:cs="Times New Roman"/>
          <w:sz w:val="24"/>
        </w:rPr>
        <w:t xml:space="preserve">. Рассматривая </w:t>
      </w:r>
      <w:r w:rsidRPr="006E27FF">
        <w:rPr>
          <w:rFonts w:ascii="Times New Roman" w:hAnsi="Times New Roman" w:cs="Times New Roman"/>
          <w:sz w:val="24"/>
        </w:rPr>
        <w:t>концепци</w:t>
      </w:r>
      <w:r>
        <w:rPr>
          <w:rFonts w:ascii="Times New Roman" w:hAnsi="Times New Roman" w:cs="Times New Roman"/>
          <w:sz w:val="24"/>
        </w:rPr>
        <w:t>ю</w:t>
      </w:r>
      <w:r w:rsidRPr="006E27FF">
        <w:rPr>
          <w:rFonts w:ascii="Times New Roman" w:hAnsi="Times New Roman" w:cs="Times New Roman"/>
          <w:sz w:val="24"/>
        </w:rPr>
        <w:t xml:space="preserve"> бренда, необходимо также остановиться на </w:t>
      </w:r>
      <w:r>
        <w:rPr>
          <w:rFonts w:ascii="Times New Roman" w:hAnsi="Times New Roman" w:cs="Times New Roman"/>
          <w:sz w:val="24"/>
        </w:rPr>
        <w:t xml:space="preserve">акцентировании внимания на </w:t>
      </w:r>
      <w:r w:rsidRPr="006E27FF">
        <w:rPr>
          <w:rFonts w:ascii="Times New Roman" w:hAnsi="Times New Roman" w:cs="Times New Roman"/>
          <w:sz w:val="24"/>
        </w:rPr>
        <w:t>добавленной стоимости, которую формирует торговая марка. Глобальный (многофакторный) подход к торговой марке заключается в следующем: Марка = Продукт + Упа</w:t>
      </w:r>
      <w:r>
        <w:rPr>
          <w:rFonts w:ascii="Times New Roman" w:hAnsi="Times New Roman" w:cs="Times New Roman"/>
          <w:sz w:val="24"/>
        </w:rPr>
        <w:t>ковка + Добавленная стоимость [3</w:t>
      </w:r>
      <w:r w:rsidRPr="006E27FF">
        <w:rPr>
          <w:rFonts w:ascii="Times New Roman" w:hAnsi="Times New Roman" w:cs="Times New Roman"/>
          <w:sz w:val="24"/>
        </w:rPr>
        <w:t>]. Материальные компоненты бренда (сама продукция, ее физические характеристики и качества, марочное название, марка бренда, выгоды) и нематериальные (доверие, надежность, психологическое вознаграждение пользователя, качество дифференциации) позволяют торговой марке создавать добавленную стоимость, выраженную для п</w:t>
      </w:r>
      <w:r>
        <w:rPr>
          <w:rFonts w:ascii="Times New Roman" w:hAnsi="Times New Roman" w:cs="Times New Roman"/>
          <w:sz w:val="24"/>
        </w:rPr>
        <w:t>отребителя в премиальной цене [4</w:t>
      </w:r>
      <w:r w:rsidRPr="006E27FF">
        <w:rPr>
          <w:rFonts w:ascii="Times New Roman" w:hAnsi="Times New Roman" w:cs="Times New Roman"/>
          <w:sz w:val="24"/>
        </w:rPr>
        <w:t xml:space="preserve">]. </w:t>
      </w:r>
    </w:p>
    <w:p w:rsidR="00BD6187" w:rsidRDefault="00BD6187" w:rsidP="00BD6187">
      <w:pPr>
        <w:spacing w:after="0" w:line="240" w:lineRule="auto"/>
        <w:ind w:firstLine="420"/>
      </w:pPr>
      <w:r w:rsidRPr="006E27FF">
        <w:rPr>
          <w:rFonts w:ascii="Times New Roman" w:hAnsi="Times New Roman" w:cs="Times New Roman"/>
          <w:sz w:val="24"/>
        </w:rPr>
        <w:t>Премиальные цены широко используются не только для дифференциации дизайнерских торговых марок с продуктами массового производства, но и для создания ценовых ниш внутри самих дизайнерских марок. Ценовое позиционирование внутри дизайнерской торговой м</w:t>
      </w:r>
      <w:r>
        <w:rPr>
          <w:rFonts w:ascii="Times New Roman" w:hAnsi="Times New Roman" w:cs="Times New Roman"/>
          <w:sz w:val="24"/>
        </w:rPr>
        <w:t xml:space="preserve">арки выглядит следующим образом: китайский производитель современной модной одежды в массовом сознании "берёт количеством" </w:t>
      </w:r>
      <w:r>
        <w:rPr>
          <w:rFonts w:ascii="Times New Roman" w:hAnsi="Times New Roman" w:cs="Times New Roman"/>
          <w:bCs/>
          <w:sz w:val="24"/>
        </w:rPr>
        <w:t>[7]</w:t>
      </w:r>
      <w:r>
        <w:rPr>
          <w:rFonts w:ascii="Times New Roman" w:hAnsi="Times New Roman" w:cs="Times New Roman"/>
          <w:sz w:val="24"/>
        </w:rPr>
        <w:t>.</w:t>
      </w:r>
      <w:r w:rsidRPr="00DB6D93">
        <w:t xml:space="preserve"> </w:t>
      </w:r>
    </w:p>
    <w:p w:rsidR="00BD6187" w:rsidRDefault="00BD6187" w:rsidP="00BD6187">
      <w:pPr>
        <w:spacing w:after="0" w:line="240" w:lineRule="auto"/>
        <w:ind w:firstLine="420"/>
        <w:rPr>
          <w:rFonts w:ascii="Times New Roman" w:hAnsi="Times New Roman" w:cs="Times New Roman"/>
          <w:sz w:val="24"/>
        </w:rPr>
      </w:pPr>
      <w:r w:rsidRPr="00DB6D93">
        <w:rPr>
          <w:rFonts w:ascii="Times New Roman" w:hAnsi="Times New Roman" w:cs="Times New Roman"/>
          <w:sz w:val="24"/>
        </w:rPr>
        <w:t xml:space="preserve">Таким образом, </w:t>
      </w:r>
      <w:r>
        <w:rPr>
          <w:rFonts w:ascii="Times New Roman" w:hAnsi="Times New Roman" w:cs="Times New Roman"/>
          <w:sz w:val="24"/>
        </w:rPr>
        <w:t>к</w:t>
      </w:r>
      <w:r w:rsidRPr="00DB6D93">
        <w:rPr>
          <w:rFonts w:ascii="Times New Roman" w:hAnsi="Times New Roman" w:cs="Times New Roman"/>
          <w:sz w:val="24"/>
        </w:rPr>
        <w:t xml:space="preserve">онцентрация производства </w:t>
      </w:r>
      <w:r>
        <w:rPr>
          <w:rFonts w:ascii="Times New Roman" w:hAnsi="Times New Roman" w:cs="Times New Roman"/>
          <w:sz w:val="24"/>
        </w:rPr>
        <w:t xml:space="preserve">модной </w:t>
      </w:r>
      <w:r w:rsidRPr="00DB6D93">
        <w:rPr>
          <w:rFonts w:ascii="Times New Roman" w:hAnsi="Times New Roman" w:cs="Times New Roman"/>
          <w:sz w:val="24"/>
        </w:rPr>
        <w:t>одежды в Китае зависит от степени дифференциации продукта и отсутствия барьеров для выхода готовой продукции на уровень мировой торговли.</w:t>
      </w:r>
      <w:r>
        <w:rPr>
          <w:rFonts w:ascii="Times New Roman" w:hAnsi="Times New Roman" w:cs="Times New Roman"/>
          <w:sz w:val="24"/>
        </w:rPr>
        <w:t xml:space="preserve"> </w:t>
      </w:r>
      <w:r w:rsidRPr="00BB1A83">
        <w:rPr>
          <w:rFonts w:ascii="Times New Roman" w:hAnsi="Times New Roman" w:cs="Times New Roman"/>
          <w:sz w:val="24"/>
        </w:rPr>
        <w:t xml:space="preserve">С другой стороны, менеджмент </w:t>
      </w:r>
      <w:r w:rsidRPr="003B0C01">
        <w:rPr>
          <w:rFonts w:ascii="Times New Roman" w:hAnsi="Times New Roman" w:cs="Times New Roman"/>
          <w:sz w:val="24"/>
        </w:rPr>
        <w:t>fashion</w:t>
      </w:r>
      <w:r w:rsidRPr="00BB1A83">
        <w:rPr>
          <w:rFonts w:ascii="Times New Roman" w:hAnsi="Times New Roman" w:cs="Times New Roman"/>
          <w:sz w:val="24"/>
        </w:rPr>
        <w:t xml:space="preserve">-индустрии также включает </w:t>
      </w:r>
      <w:r>
        <w:rPr>
          <w:rFonts w:ascii="Times New Roman" w:hAnsi="Times New Roman" w:cs="Times New Roman"/>
          <w:sz w:val="24"/>
        </w:rPr>
        <w:t xml:space="preserve">существенную </w:t>
      </w:r>
      <w:r w:rsidRPr="00BB1A83">
        <w:rPr>
          <w:rFonts w:ascii="Times New Roman" w:hAnsi="Times New Roman" w:cs="Times New Roman"/>
          <w:sz w:val="24"/>
        </w:rPr>
        <w:t>социокультурную составляющую.</w:t>
      </w:r>
    </w:p>
    <w:p w:rsidR="00BD6187" w:rsidRPr="00991BB4" w:rsidRDefault="00BD6187" w:rsidP="00BD6187">
      <w:pPr>
        <w:spacing w:after="0" w:line="240" w:lineRule="auto"/>
        <w:ind w:firstLine="420"/>
        <w:rPr>
          <w:rFonts w:ascii="Times New Roman" w:eastAsia="SimSun" w:hAnsi="Times New Roman" w:cs="Times New Roman"/>
          <w:sz w:val="24"/>
        </w:rPr>
      </w:pPr>
    </w:p>
    <w:p w:rsidR="00BD6187" w:rsidRPr="006E27FF" w:rsidRDefault="00BD6187" w:rsidP="00BD6187">
      <w:pPr>
        <w:spacing w:after="0" w:line="240" w:lineRule="auto"/>
        <w:ind w:firstLine="420"/>
        <w:rPr>
          <w:rFonts w:ascii="Times New Roman" w:hAnsi="Times New Roman" w:cs="Times New Roman"/>
          <w:iCs/>
          <w:sz w:val="24"/>
        </w:rPr>
      </w:pPr>
      <w:r>
        <w:rPr>
          <w:rFonts w:ascii="Times New Roman" w:hAnsi="Times New Roman" w:cs="Times New Roman"/>
          <w:iCs/>
          <w:sz w:val="24"/>
        </w:rPr>
        <w:t>_____________________________________________</w:t>
      </w:r>
    </w:p>
    <w:p w:rsidR="00BD6187" w:rsidRPr="006E27FF" w:rsidRDefault="00BD6187" w:rsidP="00BD6187">
      <w:pPr>
        <w:widowControl w:val="0"/>
        <w:numPr>
          <w:ilvl w:val="0"/>
          <w:numId w:val="102"/>
        </w:numPr>
        <w:pBdr>
          <w:top w:val="none" w:sz="0" w:space="0" w:color="auto"/>
          <w:left w:val="none" w:sz="0" w:space="0" w:color="auto"/>
          <w:bottom w:val="none" w:sz="0" w:space="0" w:color="auto"/>
          <w:right w:val="none" w:sz="0" w:space="0" w:color="auto"/>
          <w:between w:val="none" w:sz="0" w:space="0" w:color="auto"/>
        </w:pBdr>
        <w:spacing w:after="0" w:line="240" w:lineRule="auto"/>
        <w:ind w:firstLine="680"/>
        <w:jc w:val="both"/>
        <w:rPr>
          <w:rFonts w:ascii="Times New Roman" w:hAnsi="Times New Roman" w:cs="Times New Roman"/>
          <w:sz w:val="24"/>
        </w:rPr>
      </w:pPr>
      <w:r w:rsidRPr="00BD6187">
        <w:rPr>
          <w:rFonts w:ascii="Times New Roman" w:eastAsia="SimSun" w:hAnsi="Times New Roman" w:cs="Times New Roman"/>
          <w:sz w:val="24"/>
          <w:lang w:val="en-US"/>
        </w:rPr>
        <w:t xml:space="preserve">Conrad M. Arensbcrg and Solon Kimball, Family and Community in Ireland// Review, xxvi. </w:t>
      </w:r>
      <w:r>
        <w:rPr>
          <w:rFonts w:ascii="Times New Roman" w:eastAsia="SimSun" w:hAnsi="Times New Roman" w:cs="Times New Roman"/>
          <w:sz w:val="24"/>
        </w:rPr>
        <w:t>1940</w:t>
      </w:r>
      <w:r w:rsidRPr="00843916">
        <w:rPr>
          <w:rFonts w:ascii="Times New Roman" w:eastAsia="SimSun" w:hAnsi="Times New Roman" w:cs="Times New Roman"/>
          <w:sz w:val="24"/>
        </w:rPr>
        <w:t>, №</w:t>
      </w:r>
      <w:r w:rsidRPr="005C63E4">
        <w:rPr>
          <w:rFonts w:ascii="Times New Roman" w:eastAsia="SimSun" w:hAnsi="Times New Roman" w:cs="Times New Roman"/>
          <w:sz w:val="24"/>
        </w:rPr>
        <w:t xml:space="preserve"> 5. - </w:t>
      </w:r>
      <w:r w:rsidRPr="006E27FF">
        <w:rPr>
          <w:rFonts w:ascii="Times New Roman" w:eastAsia="SimSun" w:hAnsi="Times New Roman" w:cs="Times New Roman"/>
          <w:sz w:val="24"/>
        </w:rPr>
        <w:t>Cambridge:</w:t>
      </w:r>
      <w:r w:rsidRPr="005C63E4">
        <w:rPr>
          <w:rFonts w:ascii="Times New Roman" w:eastAsia="SimSun" w:hAnsi="Times New Roman" w:cs="Times New Roman"/>
          <w:sz w:val="24"/>
        </w:rPr>
        <w:t xml:space="preserve"> </w:t>
      </w:r>
      <w:r>
        <w:rPr>
          <w:rFonts w:ascii="Times New Roman" w:eastAsia="SimSun" w:hAnsi="Times New Roman" w:cs="Times New Roman"/>
          <w:sz w:val="24"/>
        </w:rPr>
        <w:t>Harvard University Press</w:t>
      </w:r>
      <w:r w:rsidRPr="005C63E4">
        <w:rPr>
          <w:rFonts w:ascii="Times New Roman" w:eastAsia="SimSun" w:hAnsi="Times New Roman" w:cs="Times New Roman"/>
          <w:sz w:val="24"/>
        </w:rPr>
        <w:t xml:space="preserve">. - </w:t>
      </w:r>
      <w:r>
        <w:rPr>
          <w:rFonts w:ascii="Times New Roman" w:eastAsia="SimSun" w:hAnsi="Times New Roman" w:cs="Times New Roman"/>
          <w:sz w:val="24"/>
        </w:rPr>
        <w:t>P</w:t>
      </w:r>
      <w:r w:rsidRPr="005C63E4">
        <w:rPr>
          <w:rFonts w:ascii="Times New Roman" w:eastAsia="SimSun" w:hAnsi="Times New Roman" w:cs="Times New Roman"/>
          <w:sz w:val="24"/>
        </w:rPr>
        <w:t>.</w:t>
      </w:r>
      <w:r w:rsidRPr="006E27FF">
        <w:rPr>
          <w:rFonts w:ascii="Times New Roman" w:eastAsia="SimSun" w:hAnsi="Times New Roman" w:cs="Times New Roman"/>
          <w:sz w:val="24"/>
        </w:rPr>
        <w:t xml:space="preserve"> </w:t>
      </w:r>
      <w:r w:rsidRPr="005C63E4">
        <w:rPr>
          <w:rFonts w:ascii="Times New Roman" w:eastAsia="SimSun" w:hAnsi="Times New Roman" w:cs="Times New Roman"/>
          <w:sz w:val="24"/>
        </w:rPr>
        <w:t>1-12.</w:t>
      </w:r>
    </w:p>
    <w:p w:rsidR="00BD6187" w:rsidRPr="00BD6187" w:rsidRDefault="00BD6187" w:rsidP="00BD6187">
      <w:pPr>
        <w:widowControl w:val="0"/>
        <w:numPr>
          <w:ilvl w:val="0"/>
          <w:numId w:val="102"/>
        </w:numPr>
        <w:pBdr>
          <w:top w:val="none" w:sz="0" w:space="0" w:color="auto"/>
          <w:left w:val="none" w:sz="0" w:space="0" w:color="auto"/>
          <w:bottom w:val="none" w:sz="0" w:space="0" w:color="auto"/>
          <w:right w:val="none" w:sz="0" w:space="0" w:color="auto"/>
          <w:between w:val="none" w:sz="0" w:space="0" w:color="auto"/>
        </w:pBdr>
        <w:spacing w:after="0" w:line="240" w:lineRule="auto"/>
        <w:ind w:firstLine="680"/>
        <w:jc w:val="both"/>
        <w:rPr>
          <w:rFonts w:ascii="Times New Roman" w:hAnsi="Times New Roman" w:cs="Times New Roman"/>
          <w:sz w:val="24"/>
          <w:lang w:val="en-US"/>
        </w:rPr>
      </w:pPr>
      <w:r w:rsidRPr="00BD6187">
        <w:rPr>
          <w:rFonts w:ascii="Times New Roman" w:eastAsia="SimSun" w:hAnsi="Times New Roman" w:cs="Times New Roman"/>
          <w:sz w:val="24"/>
          <w:lang w:val="en-US"/>
        </w:rPr>
        <w:t xml:space="preserve">Durkheim </w:t>
      </w:r>
      <w:r>
        <w:rPr>
          <w:rFonts w:ascii="Times New Roman" w:eastAsia="SimSun" w:hAnsi="Times New Roman" w:cs="Times New Roman"/>
          <w:sz w:val="24"/>
        </w:rPr>
        <w:t>Е</w:t>
      </w:r>
      <w:r w:rsidRPr="00BD6187">
        <w:rPr>
          <w:rFonts w:ascii="Times New Roman" w:eastAsia="SimSun" w:hAnsi="Times New Roman" w:cs="Times New Roman"/>
          <w:sz w:val="24"/>
          <w:lang w:val="en-US"/>
        </w:rPr>
        <w:t xml:space="preserve">. The Rules of Sociological Method/ L'Education morale. - Paris: Felix Alcan, 1925. - </w:t>
      </w:r>
      <w:r>
        <w:rPr>
          <w:rFonts w:ascii="Times New Roman" w:eastAsia="SimSun" w:hAnsi="Times New Roman" w:cs="Times New Roman"/>
          <w:sz w:val="24"/>
        </w:rPr>
        <w:t>Р</w:t>
      </w:r>
      <w:r w:rsidRPr="00BD6187">
        <w:rPr>
          <w:rFonts w:ascii="Times New Roman" w:eastAsia="SimSun" w:hAnsi="Times New Roman" w:cs="Times New Roman"/>
          <w:sz w:val="24"/>
          <w:lang w:val="en-US"/>
        </w:rPr>
        <w:t>. 9-45.</w:t>
      </w:r>
      <w:r w:rsidRPr="00BD6187">
        <w:rPr>
          <w:lang w:val="en-US"/>
        </w:rPr>
        <w:t xml:space="preserve"> </w:t>
      </w:r>
      <w:r w:rsidRPr="00BD6187">
        <w:rPr>
          <w:rFonts w:ascii="Times New Roman" w:eastAsia="SimSun" w:hAnsi="Times New Roman" w:cs="Times New Roman"/>
          <w:sz w:val="24"/>
          <w:lang w:val="en-US"/>
        </w:rPr>
        <w:t xml:space="preserve"> </w:t>
      </w:r>
    </w:p>
    <w:p w:rsidR="00BD6187" w:rsidRPr="006E27FF" w:rsidRDefault="00BD6187" w:rsidP="00BD6187">
      <w:pPr>
        <w:spacing w:after="0" w:line="240" w:lineRule="auto"/>
        <w:ind w:firstLine="680"/>
        <w:rPr>
          <w:rFonts w:ascii="Times New Roman" w:hAnsi="Times New Roman" w:cs="Times New Roman"/>
          <w:iCs/>
          <w:sz w:val="24"/>
        </w:rPr>
      </w:pPr>
      <w:r w:rsidRPr="003B0C01">
        <w:rPr>
          <w:rFonts w:ascii="Times New Roman" w:hAnsi="Times New Roman" w:cs="Times New Roman"/>
          <w:iCs/>
          <w:sz w:val="24"/>
        </w:rPr>
        <w:t>3.</w:t>
      </w:r>
      <w:r>
        <w:rPr>
          <w:rFonts w:ascii="Times New Roman" w:hAnsi="Times New Roman" w:cs="Times New Roman"/>
          <w:iCs/>
          <w:sz w:val="24"/>
        </w:rPr>
        <w:t xml:space="preserve"> </w:t>
      </w:r>
      <w:r w:rsidRPr="00CC0D92">
        <w:rPr>
          <w:rFonts w:ascii="Times New Roman" w:hAnsi="Times New Roman" w:cs="Times New Roman"/>
          <w:iCs/>
          <w:sz w:val="24"/>
        </w:rPr>
        <w:t>Экономическое</w:t>
      </w:r>
      <w:r w:rsidRPr="003B0C01">
        <w:rPr>
          <w:rFonts w:ascii="Times New Roman" w:hAnsi="Times New Roman" w:cs="Times New Roman"/>
          <w:iCs/>
          <w:sz w:val="24"/>
        </w:rPr>
        <w:t xml:space="preserve"> </w:t>
      </w:r>
      <w:r w:rsidRPr="00CC0D92">
        <w:rPr>
          <w:rFonts w:ascii="Times New Roman" w:hAnsi="Times New Roman" w:cs="Times New Roman"/>
          <w:iCs/>
          <w:sz w:val="24"/>
        </w:rPr>
        <w:t>развитие</w:t>
      </w:r>
      <w:r w:rsidRPr="003B0C01">
        <w:rPr>
          <w:rFonts w:ascii="Times New Roman" w:hAnsi="Times New Roman" w:cs="Times New Roman"/>
          <w:iCs/>
          <w:sz w:val="24"/>
        </w:rPr>
        <w:t xml:space="preserve"> </w:t>
      </w:r>
      <w:r w:rsidRPr="00CC0D92">
        <w:rPr>
          <w:rFonts w:ascii="Times New Roman" w:hAnsi="Times New Roman" w:cs="Times New Roman"/>
          <w:iCs/>
          <w:sz w:val="24"/>
        </w:rPr>
        <w:t>Китая</w:t>
      </w:r>
      <w:r w:rsidRPr="003B0C01">
        <w:rPr>
          <w:rFonts w:ascii="Times New Roman" w:hAnsi="Times New Roman" w:cs="Times New Roman"/>
          <w:iCs/>
          <w:sz w:val="24"/>
        </w:rPr>
        <w:t xml:space="preserve"> [</w:t>
      </w:r>
      <w:r w:rsidRPr="00CC0D92">
        <w:rPr>
          <w:rFonts w:ascii="Times New Roman" w:hAnsi="Times New Roman" w:cs="Times New Roman"/>
          <w:iCs/>
          <w:sz w:val="24"/>
        </w:rPr>
        <w:t>Электронный</w:t>
      </w:r>
      <w:r w:rsidRPr="003B0C01">
        <w:rPr>
          <w:rFonts w:ascii="Times New Roman" w:hAnsi="Times New Roman" w:cs="Times New Roman"/>
          <w:iCs/>
          <w:sz w:val="24"/>
        </w:rPr>
        <w:t xml:space="preserve"> </w:t>
      </w:r>
      <w:r w:rsidRPr="00CC0D92">
        <w:rPr>
          <w:rFonts w:ascii="Times New Roman" w:hAnsi="Times New Roman" w:cs="Times New Roman"/>
          <w:iCs/>
          <w:sz w:val="24"/>
        </w:rPr>
        <w:t>ресурс</w:t>
      </w:r>
      <w:r w:rsidRPr="003B0C01">
        <w:rPr>
          <w:rFonts w:ascii="Times New Roman" w:hAnsi="Times New Roman" w:cs="Times New Roman"/>
          <w:iCs/>
          <w:sz w:val="24"/>
        </w:rPr>
        <w:t xml:space="preserve">] </w:t>
      </w:r>
      <w:r w:rsidRPr="00CC0D92">
        <w:rPr>
          <w:rFonts w:ascii="Times New Roman" w:hAnsi="Times New Roman" w:cs="Times New Roman"/>
          <w:iCs/>
          <w:sz w:val="24"/>
        </w:rPr>
        <w:t>Режим</w:t>
      </w:r>
      <w:r w:rsidRPr="003B0C01">
        <w:rPr>
          <w:rFonts w:ascii="Times New Roman" w:hAnsi="Times New Roman" w:cs="Times New Roman"/>
          <w:iCs/>
          <w:sz w:val="24"/>
        </w:rPr>
        <w:t xml:space="preserve"> </w:t>
      </w:r>
      <w:r w:rsidRPr="006E27FF">
        <w:rPr>
          <w:rFonts w:ascii="Times New Roman" w:hAnsi="Times New Roman" w:cs="Times New Roman"/>
          <w:iCs/>
          <w:sz w:val="24"/>
        </w:rPr>
        <w:t>доступа</w:t>
      </w:r>
      <w:r w:rsidRPr="003B0C01">
        <w:rPr>
          <w:rFonts w:ascii="Times New Roman" w:hAnsi="Times New Roman" w:cs="Times New Roman"/>
          <w:iCs/>
          <w:sz w:val="24"/>
        </w:rPr>
        <w:t xml:space="preserve">: </w:t>
      </w:r>
      <w:r w:rsidRPr="00843916">
        <w:rPr>
          <w:rFonts w:ascii="Times New Roman" w:hAnsi="Times New Roman" w:cs="Times New Roman"/>
          <w:iCs/>
          <w:sz w:val="24"/>
        </w:rPr>
        <w:t>http</w:t>
      </w:r>
      <w:r w:rsidRPr="003B0C01">
        <w:rPr>
          <w:rFonts w:ascii="Times New Roman" w:hAnsi="Times New Roman" w:cs="Times New Roman"/>
          <w:iCs/>
          <w:sz w:val="24"/>
        </w:rPr>
        <w:t>://</w:t>
      </w:r>
      <w:r w:rsidRPr="00843916">
        <w:rPr>
          <w:rFonts w:ascii="Times New Roman" w:hAnsi="Times New Roman" w:cs="Times New Roman"/>
          <w:iCs/>
          <w:sz w:val="24"/>
        </w:rPr>
        <w:t>defactokurumsal</w:t>
      </w:r>
      <w:r w:rsidRPr="003B0C01">
        <w:rPr>
          <w:rFonts w:ascii="Times New Roman" w:hAnsi="Times New Roman" w:cs="Times New Roman"/>
          <w:iCs/>
          <w:sz w:val="24"/>
        </w:rPr>
        <w:t>.</w:t>
      </w:r>
      <w:r w:rsidRPr="00843916">
        <w:rPr>
          <w:rFonts w:ascii="Times New Roman" w:hAnsi="Times New Roman" w:cs="Times New Roman"/>
          <w:iCs/>
          <w:sz w:val="24"/>
        </w:rPr>
        <w:t>com</w:t>
      </w:r>
      <w:r w:rsidRPr="003B0C01">
        <w:rPr>
          <w:rFonts w:ascii="Times New Roman" w:hAnsi="Times New Roman" w:cs="Times New Roman"/>
          <w:iCs/>
          <w:sz w:val="24"/>
        </w:rPr>
        <w:t>/</w:t>
      </w:r>
      <w:r w:rsidRPr="00843916">
        <w:rPr>
          <w:rFonts w:ascii="Times New Roman" w:hAnsi="Times New Roman" w:cs="Times New Roman"/>
          <w:iCs/>
          <w:sz w:val="24"/>
        </w:rPr>
        <w:t>pages</w:t>
      </w:r>
      <w:r w:rsidRPr="003B0C01">
        <w:rPr>
          <w:rFonts w:ascii="Times New Roman" w:hAnsi="Times New Roman" w:cs="Times New Roman"/>
          <w:iCs/>
          <w:sz w:val="24"/>
        </w:rPr>
        <w:t>/2102/2102/</w:t>
      </w:r>
      <w:r w:rsidRPr="00843916">
        <w:rPr>
          <w:rFonts w:ascii="Times New Roman" w:hAnsi="Times New Roman" w:cs="Times New Roman"/>
          <w:iCs/>
          <w:sz w:val="24"/>
        </w:rPr>
        <w:t>f</w:t>
      </w:r>
      <w:r w:rsidRPr="003B0C01">
        <w:rPr>
          <w:rFonts w:ascii="Times New Roman" w:hAnsi="Times New Roman" w:cs="Times New Roman"/>
          <w:iCs/>
          <w:sz w:val="24"/>
        </w:rPr>
        <w:t>/</w:t>
      </w:r>
      <w:r w:rsidRPr="00843916">
        <w:rPr>
          <w:rFonts w:ascii="Times New Roman" w:hAnsi="Times New Roman" w:cs="Times New Roman"/>
          <w:iCs/>
          <w:sz w:val="24"/>
        </w:rPr>
        <w:t>ru</w:t>
      </w:r>
      <w:r w:rsidRPr="003B0C01">
        <w:rPr>
          <w:rFonts w:ascii="Times New Roman" w:hAnsi="Times New Roman" w:cs="Times New Roman"/>
          <w:iCs/>
          <w:sz w:val="24"/>
        </w:rPr>
        <w:t>-</w:t>
      </w:r>
      <w:r w:rsidRPr="00843916">
        <w:rPr>
          <w:rFonts w:ascii="Times New Roman" w:hAnsi="Times New Roman" w:cs="Times New Roman"/>
          <w:iCs/>
          <w:sz w:val="24"/>
        </w:rPr>
        <w:t>RU</w:t>
      </w:r>
      <w:r w:rsidRPr="003B0C01">
        <w:rPr>
          <w:rFonts w:ascii="Times New Roman" w:hAnsi="Times New Roman" w:cs="Times New Roman"/>
          <w:iCs/>
          <w:sz w:val="24"/>
        </w:rPr>
        <w:t>/</w:t>
      </w:r>
      <w:r w:rsidRPr="00843916">
        <w:rPr>
          <w:rFonts w:ascii="Times New Roman" w:hAnsi="Times New Roman" w:cs="Times New Roman"/>
          <w:iCs/>
          <w:sz w:val="24"/>
        </w:rPr>
        <w:t>TURQUALi</w:t>
      </w:r>
      <w:r>
        <w:rPr>
          <w:rFonts w:ascii="Times New Roman" w:hAnsi="Times New Roman" w:cs="Times New Roman"/>
          <w:iCs/>
          <w:sz w:val="24"/>
        </w:rPr>
        <w:t>TY.aspx</w:t>
      </w:r>
      <w:r w:rsidRPr="006E27FF">
        <w:rPr>
          <w:rFonts w:ascii="Times New Roman" w:hAnsi="Times New Roman" w:cs="Times New Roman"/>
          <w:iCs/>
          <w:sz w:val="24"/>
        </w:rPr>
        <w:t xml:space="preserve"> (дата обращения 26.02.2018) </w:t>
      </w:r>
    </w:p>
    <w:p w:rsidR="00BD6187" w:rsidRPr="006E27FF" w:rsidRDefault="00BD6187" w:rsidP="00BD6187">
      <w:pPr>
        <w:spacing w:after="0" w:line="240" w:lineRule="auto"/>
        <w:ind w:firstLine="680"/>
        <w:rPr>
          <w:rFonts w:ascii="Times New Roman" w:hAnsi="Times New Roman" w:cs="Times New Roman"/>
          <w:iCs/>
          <w:sz w:val="24"/>
        </w:rPr>
      </w:pPr>
      <w:r>
        <w:rPr>
          <w:rFonts w:ascii="Times New Roman" w:hAnsi="Times New Roman" w:cs="Times New Roman"/>
          <w:iCs/>
          <w:sz w:val="24"/>
        </w:rPr>
        <w:t>4.</w:t>
      </w:r>
      <w:r w:rsidRPr="006E27FF">
        <w:rPr>
          <w:rFonts w:ascii="Times New Roman" w:hAnsi="Times New Roman" w:cs="Times New Roman"/>
          <w:iCs/>
          <w:sz w:val="24"/>
        </w:rPr>
        <w:t>Тенденции современной китайской одежды 丁国强.我国服装业现状与趋势分析[J].武汉科技学院学报,</w:t>
      </w:r>
      <w:r>
        <w:rPr>
          <w:rFonts w:ascii="Times New Roman" w:hAnsi="Times New Roman" w:cs="Times New Roman"/>
          <w:iCs/>
          <w:sz w:val="24"/>
        </w:rPr>
        <w:t xml:space="preserve"> </w:t>
      </w:r>
      <w:r w:rsidRPr="006E27FF">
        <w:rPr>
          <w:rFonts w:ascii="Times New Roman" w:hAnsi="Times New Roman" w:cs="Times New Roman"/>
          <w:iCs/>
          <w:sz w:val="24"/>
        </w:rPr>
        <w:t>2004(10)</w:t>
      </w:r>
    </w:p>
    <w:p w:rsidR="00BD6187" w:rsidRPr="006E27FF" w:rsidRDefault="00BD6187" w:rsidP="00BD6187">
      <w:pPr>
        <w:spacing w:after="0" w:line="240" w:lineRule="auto"/>
        <w:ind w:firstLine="680"/>
        <w:rPr>
          <w:rFonts w:ascii="Times New Roman" w:hAnsi="Times New Roman" w:cs="Times New Roman"/>
          <w:iCs/>
          <w:sz w:val="24"/>
        </w:rPr>
      </w:pPr>
      <w:r>
        <w:rPr>
          <w:rFonts w:ascii="Times New Roman" w:hAnsi="Times New Roman" w:cs="Times New Roman"/>
          <w:iCs/>
          <w:sz w:val="24"/>
        </w:rPr>
        <w:t>5</w:t>
      </w:r>
      <w:r w:rsidRPr="006E27FF">
        <w:rPr>
          <w:rFonts w:ascii="Times New Roman" w:hAnsi="Times New Roman" w:cs="Times New Roman"/>
          <w:iCs/>
          <w:sz w:val="24"/>
        </w:rPr>
        <w:t>.</w:t>
      </w:r>
      <w:r>
        <w:rPr>
          <w:rFonts w:ascii="Times New Roman" w:hAnsi="Times New Roman" w:cs="Times New Roman"/>
          <w:iCs/>
          <w:sz w:val="24"/>
        </w:rPr>
        <w:t xml:space="preserve"> Анализ отраслей производства китайской одежды</w:t>
      </w:r>
      <w:r w:rsidRPr="006E27FF">
        <w:rPr>
          <w:rFonts w:ascii="Times New Roman" w:hAnsi="Times New Roman" w:cs="Times New Roman"/>
          <w:iCs/>
          <w:sz w:val="24"/>
        </w:rPr>
        <w:t xml:space="preserve"> 姜涛.我国服装业现状分析及对策[J].辽宁丝绸,2006(2)</w:t>
      </w:r>
    </w:p>
    <w:p w:rsidR="00BD6187" w:rsidRPr="006E27FF" w:rsidRDefault="00BD6187" w:rsidP="00BD6187">
      <w:pPr>
        <w:spacing w:after="0" w:line="240" w:lineRule="auto"/>
        <w:ind w:firstLine="680"/>
        <w:rPr>
          <w:rFonts w:ascii="Times New Roman" w:hAnsi="Times New Roman" w:cs="Times New Roman"/>
          <w:iCs/>
          <w:sz w:val="24"/>
        </w:rPr>
      </w:pPr>
      <w:r>
        <w:rPr>
          <w:rFonts w:ascii="Times New Roman" w:hAnsi="Times New Roman" w:cs="Times New Roman"/>
          <w:iCs/>
          <w:sz w:val="24"/>
        </w:rPr>
        <w:t>6</w:t>
      </w:r>
      <w:r w:rsidRPr="006E27FF">
        <w:rPr>
          <w:rFonts w:ascii="Times New Roman" w:hAnsi="Times New Roman" w:cs="Times New Roman"/>
          <w:iCs/>
          <w:sz w:val="24"/>
        </w:rPr>
        <w:t xml:space="preserve">. Организация деятельности </w:t>
      </w:r>
      <w:r>
        <w:rPr>
          <w:rFonts w:ascii="Times New Roman" w:hAnsi="Times New Roman" w:cs="Times New Roman"/>
          <w:iCs/>
          <w:sz w:val="24"/>
        </w:rPr>
        <w:t>// В</w:t>
      </w:r>
      <w:r w:rsidRPr="006E27FF">
        <w:rPr>
          <w:rFonts w:ascii="Times New Roman" w:hAnsi="Times New Roman" w:cs="Times New Roman"/>
          <w:iCs/>
          <w:sz w:val="24"/>
        </w:rPr>
        <w:t>сероссийский форум о банкротстве. [Электронный ресурс] Режим доступа:</w:t>
      </w:r>
      <w:r>
        <w:rPr>
          <w:rFonts w:ascii="Times New Roman" w:hAnsi="Times New Roman" w:cs="Times New Roman"/>
          <w:iCs/>
          <w:sz w:val="24"/>
        </w:rPr>
        <w:t xml:space="preserve"> </w:t>
      </w:r>
      <w:r w:rsidRPr="006E27FF">
        <w:rPr>
          <w:rFonts w:ascii="Times New Roman" w:hAnsi="Times New Roman" w:cs="Times New Roman"/>
          <w:iCs/>
          <w:sz w:val="24"/>
        </w:rPr>
        <w:t>http://www.bankrot.org/threads/niderlandskii-proizvoditel-odezhdy-mexx- obiavil—bankrotstve.27689/#ixzz3Lw80URDm</w:t>
      </w:r>
      <w:r>
        <w:rPr>
          <w:rFonts w:ascii="Times New Roman" w:hAnsi="Times New Roman" w:cs="Times New Roman"/>
          <w:iCs/>
          <w:sz w:val="24"/>
        </w:rPr>
        <w:t xml:space="preserve"> </w:t>
      </w:r>
      <w:r w:rsidRPr="006E27FF">
        <w:rPr>
          <w:rFonts w:ascii="Times New Roman" w:hAnsi="Times New Roman" w:cs="Times New Roman"/>
          <w:iCs/>
          <w:sz w:val="24"/>
        </w:rPr>
        <w:t>(дата обращения 15.03.2018)</w:t>
      </w:r>
    </w:p>
    <w:p w:rsidR="00BD6187" w:rsidRPr="006E27FF" w:rsidRDefault="00BD6187" w:rsidP="00BD6187">
      <w:pPr>
        <w:spacing w:after="0" w:line="240" w:lineRule="auto"/>
        <w:ind w:firstLine="680"/>
        <w:rPr>
          <w:rFonts w:ascii="Times New Roman" w:hAnsi="Times New Roman" w:cs="Times New Roman"/>
          <w:iCs/>
          <w:sz w:val="24"/>
        </w:rPr>
      </w:pPr>
      <w:r>
        <w:rPr>
          <w:rFonts w:ascii="Times New Roman" w:hAnsi="Times New Roman" w:cs="Times New Roman"/>
          <w:iCs/>
          <w:sz w:val="24"/>
        </w:rPr>
        <w:t>7. Индустрия</w:t>
      </w:r>
      <w:r w:rsidRPr="006E27FF">
        <w:rPr>
          <w:rFonts w:ascii="Times New Roman" w:hAnsi="Times New Roman" w:cs="Times New Roman"/>
          <w:iCs/>
          <w:sz w:val="24"/>
        </w:rPr>
        <w:t xml:space="preserve"> моды в Китае 金素斌.服装企业成本控制与对策[J].中外企业家,</w:t>
      </w:r>
      <w:r>
        <w:rPr>
          <w:rFonts w:ascii="Times New Roman" w:hAnsi="Times New Roman" w:cs="Times New Roman"/>
          <w:iCs/>
          <w:sz w:val="24"/>
        </w:rPr>
        <w:t xml:space="preserve"> </w:t>
      </w:r>
      <w:r w:rsidRPr="006E27FF">
        <w:rPr>
          <w:rFonts w:ascii="Times New Roman" w:hAnsi="Times New Roman" w:cs="Times New Roman"/>
          <w:iCs/>
          <w:sz w:val="24"/>
        </w:rPr>
        <w:t>2014(36)</w:t>
      </w:r>
    </w:p>
    <w:p w:rsidR="00BD6187" w:rsidRPr="006E27FF" w:rsidRDefault="00BD6187" w:rsidP="00BD6187">
      <w:pPr>
        <w:spacing w:after="0" w:line="240" w:lineRule="auto"/>
        <w:ind w:firstLine="680"/>
        <w:rPr>
          <w:rFonts w:ascii="Times New Roman" w:hAnsi="Times New Roman" w:cs="Times New Roman"/>
          <w:iCs/>
          <w:sz w:val="24"/>
        </w:rPr>
      </w:pPr>
      <w:r>
        <w:rPr>
          <w:rFonts w:ascii="Times New Roman" w:hAnsi="Times New Roman" w:cs="Times New Roman"/>
          <w:iCs/>
          <w:sz w:val="24"/>
        </w:rPr>
        <w:t>8. Менеджмент и контроль в инд</w:t>
      </w:r>
      <w:r w:rsidRPr="006E27FF">
        <w:rPr>
          <w:rFonts w:ascii="Times New Roman" w:hAnsi="Times New Roman" w:cs="Times New Roman"/>
          <w:iCs/>
          <w:sz w:val="24"/>
        </w:rPr>
        <w:t>устрии моды付显锋.服装企业成本控制管理模式探讨[J].财经界(学术版),2014(18)</w:t>
      </w:r>
    </w:p>
    <w:p w:rsidR="00BD6187" w:rsidRDefault="00BD6187">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Pr="00452D45" w:rsidRDefault="00D6563D" w:rsidP="00D6563D">
      <w:pPr>
        <w:spacing w:line="240" w:lineRule="auto"/>
        <w:rPr>
          <w:rFonts w:ascii="Times New Roman" w:hAnsi="Times New Roman" w:cs="Times New Roman"/>
          <w:color w:val="000000" w:themeColor="text1"/>
          <w:sz w:val="23"/>
          <w:szCs w:val="23"/>
          <w:shd w:val="clear" w:color="auto" w:fill="FFFFFF"/>
        </w:rPr>
      </w:pPr>
      <w:r w:rsidRPr="00452D45">
        <w:rPr>
          <w:rFonts w:ascii="Times New Roman" w:hAnsi="Times New Roman" w:cs="Times New Roman"/>
          <w:color w:val="000000" w:themeColor="text1"/>
          <w:sz w:val="23"/>
          <w:szCs w:val="23"/>
          <w:shd w:val="clear" w:color="auto" w:fill="FFFFFF"/>
        </w:rPr>
        <w:t>Рубрика: Статистическое и эконометрическое моделирование социально-экономических процессов</w:t>
      </w:r>
    </w:p>
    <w:p w:rsidR="00D6563D" w:rsidRPr="00452D45" w:rsidRDefault="00D6563D" w:rsidP="00D6563D">
      <w:pPr>
        <w:spacing w:line="240" w:lineRule="auto"/>
        <w:rPr>
          <w:rFonts w:ascii="Times New Roman" w:hAnsi="Times New Roman" w:cs="Times New Roman"/>
          <w:color w:val="000000" w:themeColor="text1"/>
          <w:sz w:val="23"/>
          <w:szCs w:val="23"/>
          <w:shd w:val="clear" w:color="auto" w:fill="FFFFFF"/>
        </w:rPr>
      </w:pPr>
      <w:r w:rsidRPr="00452D45">
        <w:rPr>
          <w:rFonts w:ascii="Times New Roman" w:hAnsi="Times New Roman" w:cs="Times New Roman"/>
          <w:color w:val="000000" w:themeColor="text1"/>
          <w:sz w:val="23"/>
          <w:szCs w:val="23"/>
          <w:highlight w:val="yellow"/>
          <w:shd w:val="clear" w:color="auto" w:fill="FFFFFF"/>
        </w:rPr>
        <w:t>УДК</w:t>
      </w:r>
      <w:r w:rsidRPr="00870877">
        <w:rPr>
          <w:rFonts w:ascii="Times New Roman" w:hAnsi="Times New Roman" w:cs="Times New Roman"/>
          <w:color w:val="000000" w:themeColor="text1"/>
          <w:sz w:val="23"/>
          <w:szCs w:val="23"/>
          <w:highlight w:val="yellow"/>
          <w:shd w:val="clear" w:color="auto" w:fill="FFFFFF"/>
        </w:rPr>
        <w:t>: 330.43</w:t>
      </w:r>
    </w:p>
    <w:p w:rsidR="00D6563D" w:rsidRPr="00452D45" w:rsidRDefault="00D6563D" w:rsidP="00D6563D">
      <w:pPr>
        <w:spacing w:line="240" w:lineRule="auto"/>
        <w:jc w:val="center"/>
        <w:rPr>
          <w:rFonts w:ascii="Times New Roman" w:hAnsi="Times New Roman" w:cs="Times New Roman"/>
          <w:b/>
          <w:color w:val="000000" w:themeColor="text1"/>
          <w:sz w:val="28"/>
          <w:szCs w:val="28"/>
          <w:shd w:val="clear" w:color="auto" w:fill="FFFFFF"/>
        </w:rPr>
      </w:pPr>
      <w:r w:rsidRPr="00452D45">
        <w:rPr>
          <w:rFonts w:ascii="Times New Roman" w:hAnsi="Times New Roman" w:cs="Times New Roman"/>
          <w:b/>
          <w:color w:val="000000" w:themeColor="text1"/>
          <w:sz w:val="28"/>
          <w:szCs w:val="28"/>
          <w:shd w:val="clear" w:color="auto" w:fill="FFFFFF"/>
        </w:rPr>
        <w:t>Прогнозирование выручки предприятия</w:t>
      </w:r>
    </w:p>
    <w:p w:rsidR="00D6563D" w:rsidRPr="00452D45" w:rsidRDefault="00D6563D" w:rsidP="00D6563D">
      <w:pPr>
        <w:spacing w:line="240" w:lineRule="auto"/>
        <w:jc w:val="center"/>
        <w:rPr>
          <w:rFonts w:ascii="Times New Roman" w:hAnsi="Times New Roman" w:cs="Times New Roman"/>
          <w:color w:val="000000" w:themeColor="text1"/>
          <w:sz w:val="24"/>
          <w:szCs w:val="24"/>
          <w:shd w:val="clear" w:color="auto" w:fill="FFFFFF"/>
        </w:rPr>
      </w:pPr>
      <w:r w:rsidRPr="00452D45">
        <w:rPr>
          <w:rFonts w:ascii="Times New Roman" w:hAnsi="Times New Roman" w:cs="Times New Roman"/>
          <w:color w:val="000000" w:themeColor="text1"/>
          <w:sz w:val="24"/>
          <w:szCs w:val="24"/>
          <w:shd w:val="clear" w:color="auto" w:fill="FFFFFF"/>
        </w:rPr>
        <w:t xml:space="preserve">Свяжина Анна Сергеевна, Шубина Ксения Сергеевна, </w:t>
      </w:r>
    </w:p>
    <w:p w:rsidR="00D6563D" w:rsidRPr="00452D45" w:rsidRDefault="00D6563D" w:rsidP="00D6563D">
      <w:pPr>
        <w:spacing w:line="240" w:lineRule="auto"/>
        <w:jc w:val="center"/>
        <w:rPr>
          <w:rFonts w:ascii="Times New Roman" w:hAnsi="Times New Roman" w:cs="Times New Roman"/>
          <w:color w:val="000000" w:themeColor="text1"/>
          <w:sz w:val="24"/>
          <w:szCs w:val="24"/>
          <w:shd w:val="clear" w:color="auto" w:fill="FFFFFF"/>
        </w:rPr>
      </w:pPr>
      <w:r w:rsidRPr="00452D45">
        <w:rPr>
          <w:rFonts w:ascii="Times New Roman" w:hAnsi="Times New Roman" w:cs="Times New Roman"/>
          <w:color w:val="000000" w:themeColor="text1"/>
          <w:sz w:val="24"/>
          <w:szCs w:val="24"/>
          <w:shd w:val="clear" w:color="auto" w:fill="FFFFFF"/>
        </w:rPr>
        <w:t>бакалавры</w:t>
      </w:r>
    </w:p>
    <w:p w:rsidR="00D6563D" w:rsidRPr="00452D45" w:rsidRDefault="00D6563D" w:rsidP="00D6563D">
      <w:pPr>
        <w:spacing w:line="240" w:lineRule="auto"/>
        <w:jc w:val="center"/>
        <w:rPr>
          <w:rFonts w:ascii="Times New Roman" w:hAnsi="Times New Roman" w:cs="Times New Roman"/>
          <w:i/>
          <w:color w:val="000000" w:themeColor="text1"/>
          <w:sz w:val="24"/>
          <w:szCs w:val="24"/>
          <w:shd w:val="clear" w:color="auto" w:fill="FFFFFF"/>
        </w:rPr>
      </w:pPr>
      <w:r w:rsidRPr="00452D45">
        <w:rPr>
          <w:rFonts w:ascii="Times New Roman" w:hAnsi="Times New Roman" w:cs="Times New Roman"/>
          <w:i/>
          <w:color w:val="000000" w:themeColor="text1"/>
          <w:sz w:val="24"/>
          <w:szCs w:val="24"/>
          <w:shd w:val="clear" w:color="auto" w:fill="FFFFFF"/>
        </w:rPr>
        <w:t xml:space="preserve">Владивостокский государственный университет экономики и сервиса, </w:t>
      </w:r>
    </w:p>
    <w:p w:rsidR="00D6563D" w:rsidRPr="00452D45" w:rsidRDefault="00D6563D" w:rsidP="00D6563D">
      <w:pPr>
        <w:spacing w:line="240" w:lineRule="auto"/>
        <w:jc w:val="center"/>
        <w:rPr>
          <w:rFonts w:ascii="Times New Roman" w:hAnsi="Times New Roman" w:cs="Times New Roman"/>
          <w:color w:val="000000" w:themeColor="text1"/>
          <w:sz w:val="24"/>
          <w:szCs w:val="24"/>
          <w:shd w:val="clear" w:color="auto" w:fill="FFFFFF"/>
        </w:rPr>
      </w:pPr>
      <w:r w:rsidRPr="00452D45">
        <w:rPr>
          <w:rFonts w:ascii="Times New Roman" w:hAnsi="Times New Roman" w:cs="Times New Roman"/>
          <w:color w:val="000000" w:themeColor="text1"/>
          <w:sz w:val="24"/>
          <w:szCs w:val="24"/>
          <w:shd w:val="clear" w:color="auto" w:fill="FFFFFF"/>
        </w:rPr>
        <w:t>Россия Владивосток</w:t>
      </w:r>
    </w:p>
    <w:p w:rsidR="00D6563D" w:rsidRPr="00452D45" w:rsidRDefault="00D6563D" w:rsidP="00D6563D">
      <w:pPr>
        <w:spacing w:line="240" w:lineRule="auto"/>
        <w:jc w:val="center"/>
        <w:rPr>
          <w:rFonts w:ascii="Times New Roman" w:hAnsi="Times New Roman" w:cs="Times New Roman"/>
          <w:color w:val="000000" w:themeColor="text1"/>
          <w:sz w:val="24"/>
          <w:szCs w:val="24"/>
          <w:shd w:val="clear" w:color="auto" w:fill="FFFFFF"/>
        </w:rPr>
      </w:pPr>
      <w:r w:rsidRPr="00452D45">
        <w:rPr>
          <w:rFonts w:ascii="Times New Roman" w:hAnsi="Times New Roman" w:cs="Times New Roman"/>
          <w:color w:val="000000" w:themeColor="text1"/>
          <w:sz w:val="24"/>
          <w:szCs w:val="24"/>
          <w:shd w:val="clear" w:color="auto" w:fill="FFFFFF"/>
          <w:lang w:val="en-US"/>
        </w:rPr>
        <w:t>E</w:t>
      </w:r>
      <w:r w:rsidRPr="00452D45">
        <w:rPr>
          <w:rFonts w:ascii="Times New Roman" w:hAnsi="Times New Roman" w:cs="Times New Roman"/>
          <w:color w:val="000000" w:themeColor="text1"/>
          <w:sz w:val="24"/>
          <w:szCs w:val="24"/>
          <w:shd w:val="clear" w:color="auto" w:fill="FFFFFF"/>
        </w:rPr>
        <w:t>-</w:t>
      </w:r>
      <w:r w:rsidRPr="00452D45">
        <w:rPr>
          <w:rFonts w:ascii="Times New Roman" w:hAnsi="Times New Roman" w:cs="Times New Roman"/>
          <w:color w:val="000000" w:themeColor="text1"/>
          <w:sz w:val="24"/>
          <w:szCs w:val="24"/>
          <w:shd w:val="clear" w:color="auto" w:fill="FFFFFF"/>
          <w:lang w:val="en-US"/>
        </w:rPr>
        <w:t>mail</w:t>
      </w:r>
      <w:r w:rsidRPr="00452D45">
        <w:rPr>
          <w:rFonts w:ascii="Times New Roman" w:hAnsi="Times New Roman" w:cs="Times New Roman"/>
          <w:color w:val="000000" w:themeColor="text1"/>
          <w:sz w:val="24"/>
          <w:szCs w:val="24"/>
          <w:shd w:val="clear" w:color="auto" w:fill="FFFFFF"/>
        </w:rPr>
        <w:t xml:space="preserve">: </w:t>
      </w:r>
      <w:r w:rsidRPr="00452D45">
        <w:rPr>
          <w:rFonts w:ascii="Times New Roman" w:hAnsi="Times New Roman" w:cs="Times New Roman"/>
          <w:color w:val="000000" w:themeColor="text1"/>
          <w:sz w:val="24"/>
          <w:szCs w:val="24"/>
          <w:shd w:val="clear" w:color="auto" w:fill="FFFFFF"/>
          <w:lang w:val="en-US"/>
        </w:rPr>
        <w:t>anuta</w:t>
      </w:r>
      <w:r w:rsidRPr="00452D45">
        <w:rPr>
          <w:rFonts w:ascii="Times New Roman" w:hAnsi="Times New Roman" w:cs="Times New Roman"/>
          <w:color w:val="000000" w:themeColor="text1"/>
          <w:sz w:val="24"/>
          <w:szCs w:val="24"/>
          <w:shd w:val="clear" w:color="auto" w:fill="FFFFFF"/>
        </w:rPr>
        <w:t>99-98@</w:t>
      </w:r>
      <w:r w:rsidRPr="00452D45">
        <w:rPr>
          <w:rFonts w:ascii="Times New Roman" w:hAnsi="Times New Roman" w:cs="Times New Roman"/>
          <w:color w:val="000000" w:themeColor="text1"/>
          <w:sz w:val="24"/>
          <w:szCs w:val="24"/>
          <w:shd w:val="clear" w:color="auto" w:fill="FFFFFF"/>
          <w:lang w:val="en-US"/>
        </w:rPr>
        <w:t>mail</w:t>
      </w:r>
      <w:r w:rsidRPr="00452D45">
        <w:rPr>
          <w:rFonts w:ascii="Times New Roman" w:hAnsi="Times New Roman" w:cs="Times New Roman"/>
          <w:color w:val="000000" w:themeColor="text1"/>
          <w:sz w:val="24"/>
          <w:szCs w:val="24"/>
          <w:shd w:val="clear" w:color="auto" w:fill="FFFFFF"/>
        </w:rPr>
        <w:t>.</w:t>
      </w:r>
      <w:r w:rsidRPr="00452D45">
        <w:rPr>
          <w:rFonts w:ascii="Times New Roman" w:hAnsi="Times New Roman" w:cs="Times New Roman"/>
          <w:color w:val="000000" w:themeColor="text1"/>
          <w:sz w:val="24"/>
          <w:szCs w:val="24"/>
          <w:shd w:val="clear" w:color="auto" w:fill="FFFFFF"/>
          <w:lang w:val="en-US"/>
        </w:rPr>
        <w:t>ru</w:t>
      </w:r>
      <w:r w:rsidRPr="00452D45">
        <w:rPr>
          <w:rFonts w:ascii="Times New Roman" w:hAnsi="Times New Roman" w:cs="Times New Roman"/>
          <w:color w:val="000000" w:themeColor="text1"/>
          <w:sz w:val="24"/>
          <w:szCs w:val="24"/>
          <w:shd w:val="clear" w:color="auto" w:fill="FFFFFF"/>
        </w:rPr>
        <w:t xml:space="preserve">, </w:t>
      </w:r>
      <w:r w:rsidRPr="00452D45">
        <w:rPr>
          <w:rFonts w:ascii="Times New Roman" w:hAnsi="Times New Roman" w:cs="Times New Roman"/>
          <w:color w:val="000000" w:themeColor="text1"/>
          <w:sz w:val="24"/>
          <w:szCs w:val="24"/>
          <w:shd w:val="clear" w:color="auto" w:fill="FFFFFF"/>
          <w:lang w:val="en-US"/>
        </w:rPr>
        <w:t>mysticmozg</w:t>
      </w:r>
      <w:r w:rsidRPr="00452D45">
        <w:rPr>
          <w:rFonts w:ascii="Times New Roman" w:hAnsi="Times New Roman" w:cs="Times New Roman"/>
          <w:color w:val="000000" w:themeColor="text1"/>
          <w:sz w:val="24"/>
          <w:szCs w:val="24"/>
          <w:shd w:val="clear" w:color="auto" w:fill="FFFFFF"/>
        </w:rPr>
        <w:t>@</w:t>
      </w:r>
      <w:r w:rsidRPr="00452D45">
        <w:rPr>
          <w:rFonts w:ascii="Times New Roman" w:hAnsi="Times New Roman" w:cs="Times New Roman"/>
          <w:color w:val="000000" w:themeColor="text1"/>
          <w:sz w:val="24"/>
          <w:szCs w:val="24"/>
          <w:shd w:val="clear" w:color="auto" w:fill="FFFFFF"/>
          <w:lang w:val="en-US"/>
        </w:rPr>
        <w:t>mail</w:t>
      </w:r>
      <w:r w:rsidRPr="00452D45">
        <w:rPr>
          <w:rFonts w:ascii="Times New Roman" w:hAnsi="Times New Roman" w:cs="Times New Roman"/>
          <w:color w:val="000000" w:themeColor="text1"/>
          <w:sz w:val="24"/>
          <w:szCs w:val="24"/>
          <w:shd w:val="clear" w:color="auto" w:fill="FFFFFF"/>
        </w:rPr>
        <w:t>.</w:t>
      </w:r>
      <w:r w:rsidRPr="00452D45">
        <w:rPr>
          <w:rFonts w:ascii="Times New Roman" w:hAnsi="Times New Roman" w:cs="Times New Roman"/>
          <w:color w:val="000000" w:themeColor="text1"/>
          <w:sz w:val="24"/>
          <w:szCs w:val="24"/>
          <w:shd w:val="clear" w:color="auto" w:fill="FFFFFF"/>
          <w:lang w:val="en-US"/>
        </w:rPr>
        <w:t>ru</w:t>
      </w:r>
      <w:r w:rsidRPr="00452D45">
        <w:rPr>
          <w:rFonts w:ascii="Times New Roman" w:hAnsi="Times New Roman" w:cs="Times New Roman"/>
          <w:color w:val="000000" w:themeColor="text1"/>
          <w:sz w:val="24"/>
          <w:szCs w:val="24"/>
          <w:shd w:val="clear" w:color="auto" w:fill="FFFFFF"/>
        </w:rPr>
        <w:t>; тел.: +79146960043</w:t>
      </w:r>
    </w:p>
    <w:p w:rsidR="00D6563D" w:rsidRPr="00452D45" w:rsidRDefault="00D6563D" w:rsidP="00D6563D">
      <w:pPr>
        <w:spacing w:line="240" w:lineRule="auto"/>
        <w:jc w:val="center"/>
        <w:rPr>
          <w:rFonts w:ascii="Times New Roman" w:hAnsi="Times New Roman" w:cs="Times New Roman"/>
          <w:color w:val="000000" w:themeColor="text1"/>
          <w:sz w:val="24"/>
          <w:szCs w:val="24"/>
          <w:shd w:val="clear" w:color="auto" w:fill="FFFFFF"/>
        </w:rPr>
      </w:pPr>
      <w:r w:rsidRPr="00452D45">
        <w:rPr>
          <w:rFonts w:ascii="Times New Roman" w:hAnsi="Times New Roman" w:cs="Times New Roman"/>
          <w:color w:val="000000" w:themeColor="text1"/>
          <w:sz w:val="24"/>
          <w:szCs w:val="24"/>
          <w:shd w:val="clear" w:color="auto" w:fill="FFFFFF"/>
        </w:rPr>
        <w:t>ул. Гоголя, 41, г. Владивосток, Приморский край, Россия, 690014</w:t>
      </w:r>
    </w:p>
    <w:p w:rsidR="00D6563D" w:rsidRPr="00452D45" w:rsidRDefault="00D6563D" w:rsidP="00D6563D">
      <w:pPr>
        <w:spacing w:line="240" w:lineRule="auto"/>
        <w:jc w:val="center"/>
        <w:rPr>
          <w:rFonts w:ascii="Times New Roman" w:hAnsi="Times New Roman" w:cs="Times New Roman"/>
          <w:color w:val="000000" w:themeColor="text1"/>
          <w:sz w:val="24"/>
          <w:szCs w:val="24"/>
          <w:shd w:val="clear" w:color="auto" w:fill="FFFFFF"/>
        </w:rPr>
      </w:pPr>
      <w:r w:rsidRPr="00452D45">
        <w:rPr>
          <w:rFonts w:ascii="Times New Roman" w:hAnsi="Times New Roman" w:cs="Times New Roman"/>
          <w:color w:val="000000" w:themeColor="text1"/>
          <w:sz w:val="24"/>
          <w:szCs w:val="24"/>
          <w:shd w:val="clear" w:color="auto" w:fill="FFFFFF"/>
        </w:rPr>
        <w:t>Научный руководитель:</w:t>
      </w:r>
      <w:r>
        <w:rPr>
          <w:rFonts w:ascii="Times New Roman" w:hAnsi="Times New Roman" w:cs="Times New Roman"/>
          <w:color w:val="000000" w:themeColor="text1"/>
          <w:sz w:val="24"/>
          <w:szCs w:val="24"/>
          <w:shd w:val="clear" w:color="auto" w:fill="FFFFFF"/>
        </w:rPr>
        <w:t xml:space="preserve"> </w:t>
      </w:r>
      <w:r w:rsidRPr="00452D45">
        <w:rPr>
          <w:rFonts w:ascii="Times New Roman" w:hAnsi="Times New Roman" w:cs="Times New Roman"/>
          <w:color w:val="000000" w:themeColor="text1"/>
          <w:sz w:val="24"/>
          <w:szCs w:val="24"/>
          <w:shd w:val="clear" w:color="auto" w:fill="FFFFFF"/>
        </w:rPr>
        <w:t>Одияко</w:t>
      </w:r>
      <w:r w:rsidRPr="00F16FCB">
        <w:rPr>
          <w:rFonts w:ascii="Times New Roman" w:hAnsi="Times New Roman" w:cs="Times New Roman"/>
          <w:color w:val="000000" w:themeColor="text1"/>
          <w:sz w:val="24"/>
          <w:szCs w:val="24"/>
          <w:shd w:val="clear" w:color="auto" w:fill="FFFFFF"/>
        </w:rPr>
        <w:t xml:space="preserve"> </w:t>
      </w:r>
      <w:r w:rsidRPr="00452D45">
        <w:rPr>
          <w:rFonts w:ascii="Times New Roman" w:hAnsi="Times New Roman" w:cs="Times New Roman"/>
          <w:color w:val="000000" w:themeColor="text1"/>
          <w:sz w:val="24"/>
          <w:szCs w:val="24"/>
          <w:shd w:val="clear" w:color="auto" w:fill="FFFFFF"/>
        </w:rPr>
        <w:t>Наталья Николаевна,</w:t>
      </w:r>
    </w:p>
    <w:p w:rsidR="00D6563D" w:rsidRPr="00452D45" w:rsidRDefault="00D6563D" w:rsidP="00D6563D">
      <w:pPr>
        <w:spacing w:line="240" w:lineRule="auto"/>
        <w:jc w:val="center"/>
        <w:rPr>
          <w:rFonts w:ascii="Times New Roman" w:hAnsi="Times New Roman" w:cs="Times New Roman"/>
          <w:color w:val="000000" w:themeColor="text1"/>
          <w:sz w:val="24"/>
          <w:szCs w:val="24"/>
          <w:shd w:val="clear" w:color="auto" w:fill="FFFFFF"/>
        </w:rPr>
      </w:pPr>
      <w:r w:rsidRPr="00452D45">
        <w:rPr>
          <w:rFonts w:ascii="Times New Roman" w:hAnsi="Times New Roman" w:cs="Times New Roman"/>
          <w:color w:val="000000" w:themeColor="text1"/>
          <w:sz w:val="24"/>
          <w:szCs w:val="24"/>
          <w:shd w:val="clear" w:color="auto" w:fill="FFFFFF"/>
        </w:rPr>
        <w:t>доцент кафедры математики и моделирования</w:t>
      </w:r>
    </w:p>
    <w:p w:rsidR="00D6563D" w:rsidRPr="00452D45" w:rsidRDefault="00D6563D" w:rsidP="00D6563D">
      <w:pPr>
        <w:spacing w:line="240" w:lineRule="auto"/>
        <w:jc w:val="center"/>
        <w:rPr>
          <w:rFonts w:ascii="Times New Roman" w:hAnsi="Times New Roman" w:cs="Times New Roman"/>
          <w:i/>
          <w:color w:val="000000" w:themeColor="text1"/>
          <w:sz w:val="24"/>
          <w:szCs w:val="24"/>
          <w:shd w:val="clear" w:color="auto" w:fill="FFFFFF"/>
        </w:rPr>
      </w:pPr>
      <w:r w:rsidRPr="00452D45">
        <w:rPr>
          <w:rFonts w:ascii="Times New Roman" w:hAnsi="Times New Roman" w:cs="Times New Roman"/>
          <w:i/>
          <w:color w:val="000000" w:themeColor="text1"/>
          <w:sz w:val="24"/>
          <w:szCs w:val="24"/>
          <w:shd w:val="clear" w:color="auto" w:fill="FFFFFF"/>
        </w:rPr>
        <w:t xml:space="preserve">Владивостокский государственный университет экономики и сервиса, </w:t>
      </w:r>
    </w:p>
    <w:p w:rsidR="00D6563D" w:rsidRPr="00452D45" w:rsidRDefault="00D6563D" w:rsidP="00D6563D">
      <w:pPr>
        <w:spacing w:line="240" w:lineRule="auto"/>
        <w:jc w:val="center"/>
        <w:rPr>
          <w:rFonts w:ascii="Times New Roman" w:hAnsi="Times New Roman" w:cs="Times New Roman"/>
          <w:color w:val="000000" w:themeColor="text1"/>
          <w:sz w:val="24"/>
          <w:szCs w:val="24"/>
          <w:shd w:val="clear" w:color="auto" w:fill="FFFFFF"/>
        </w:rPr>
      </w:pPr>
      <w:r w:rsidRPr="00452D45">
        <w:rPr>
          <w:rFonts w:ascii="Times New Roman" w:hAnsi="Times New Roman" w:cs="Times New Roman"/>
          <w:color w:val="000000" w:themeColor="text1"/>
          <w:sz w:val="24"/>
          <w:szCs w:val="24"/>
          <w:shd w:val="clear" w:color="auto" w:fill="FFFFFF"/>
        </w:rPr>
        <w:t>Россия Владивосток</w:t>
      </w:r>
    </w:p>
    <w:p w:rsidR="00D6563D" w:rsidRPr="00452D45" w:rsidRDefault="00D6563D" w:rsidP="00D6563D">
      <w:pPr>
        <w:spacing w:line="240" w:lineRule="auto"/>
        <w:jc w:val="center"/>
        <w:rPr>
          <w:rFonts w:ascii="Times New Roman" w:hAnsi="Times New Roman" w:cs="Times New Roman"/>
          <w:color w:val="000000" w:themeColor="text1"/>
          <w:sz w:val="24"/>
          <w:szCs w:val="24"/>
          <w:shd w:val="clear" w:color="auto" w:fill="FFFFFF"/>
        </w:rPr>
      </w:pPr>
      <w:r w:rsidRPr="00452D45">
        <w:rPr>
          <w:rFonts w:ascii="Times New Roman" w:hAnsi="Times New Roman" w:cs="Times New Roman"/>
          <w:color w:val="000000" w:themeColor="text1"/>
          <w:sz w:val="24"/>
          <w:szCs w:val="24"/>
          <w:shd w:val="clear" w:color="auto" w:fill="FFFFFF"/>
          <w:lang w:val="en-US"/>
        </w:rPr>
        <w:t>E</w:t>
      </w:r>
      <w:r w:rsidRPr="00452D45">
        <w:rPr>
          <w:rFonts w:ascii="Times New Roman" w:hAnsi="Times New Roman" w:cs="Times New Roman"/>
          <w:color w:val="000000" w:themeColor="text1"/>
          <w:sz w:val="24"/>
          <w:szCs w:val="24"/>
          <w:shd w:val="clear" w:color="auto" w:fill="FFFFFF"/>
        </w:rPr>
        <w:t>-</w:t>
      </w:r>
      <w:r w:rsidRPr="00452D45">
        <w:rPr>
          <w:rFonts w:ascii="Times New Roman" w:hAnsi="Times New Roman" w:cs="Times New Roman"/>
          <w:color w:val="000000" w:themeColor="text1"/>
          <w:sz w:val="24"/>
          <w:szCs w:val="24"/>
          <w:shd w:val="clear" w:color="auto" w:fill="FFFFFF"/>
          <w:lang w:val="en-US"/>
        </w:rPr>
        <w:t>mail</w:t>
      </w:r>
      <w:r w:rsidRPr="00452D45">
        <w:rPr>
          <w:rFonts w:ascii="Times New Roman" w:hAnsi="Times New Roman" w:cs="Times New Roman"/>
          <w:color w:val="000000" w:themeColor="text1"/>
          <w:sz w:val="24"/>
          <w:szCs w:val="24"/>
          <w:shd w:val="clear" w:color="auto" w:fill="FFFFFF"/>
        </w:rPr>
        <w:t xml:space="preserve">: </w:t>
      </w:r>
      <w:r w:rsidRPr="00452D45">
        <w:rPr>
          <w:rFonts w:ascii="Times New Roman" w:hAnsi="Times New Roman" w:cs="Times New Roman"/>
          <w:color w:val="000000" w:themeColor="text1"/>
          <w:sz w:val="24"/>
          <w:szCs w:val="24"/>
          <w:shd w:val="clear" w:color="auto" w:fill="FFFFFF"/>
          <w:lang w:val="en-US"/>
        </w:rPr>
        <w:t>nataliya</w:t>
      </w:r>
      <w:r w:rsidRPr="00452D45">
        <w:rPr>
          <w:rFonts w:ascii="Times New Roman" w:hAnsi="Times New Roman" w:cs="Times New Roman"/>
          <w:color w:val="000000" w:themeColor="text1"/>
          <w:sz w:val="24"/>
          <w:szCs w:val="24"/>
          <w:shd w:val="clear" w:color="auto" w:fill="FFFFFF"/>
        </w:rPr>
        <w:t>.</w:t>
      </w:r>
      <w:r w:rsidRPr="00452D45">
        <w:rPr>
          <w:rFonts w:ascii="Times New Roman" w:hAnsi="Times New Roman" w:cs="Times New Roman"/>
          <w:color w:val="000000" w:themeColor="text1"/>
          <w:sz w:val="24"/>
          <w:szCs w:val="24"/>
          <w:shd w:val="clear" w:color="auto" w:fill="FFFFFF"/>
          <w:lang w:val="en-US"/>
        </w:rPr>
        <w:t>odiyako</w:t>
      </w:r>
      <w:r w:rsidRPr="00452D45">
        <w:rPr>
          <w:rFonts w:ascii="Times New Roman" w:hAnsi="Times New Roman" w:cs="Times New Roman"/>
          <w:color w:val="000000" w:themeColor="text1"/>
          <w:sz w:val="24"/>
          <w:szCs w:val="24"/>
          <w:shd w:val="clear" w:color="auto" w:fill="FFFFFF"/>
        </w:rPr>
        <w:t>@</w:t>
      </w:r>
      <w:r w:rsidRPr="00452D45">
        <w:rPr>
          <w:rFonts w:ascii="Times New Roman" w:hAnsi="Times New Roman" w:cs="Times New Roman"/>
          <w:color w:val="000000" w:themeColor="text1"/>
          <w:sz w:val="24"/>
          <w:szCs w:val="24"/>
          <w:shd w:val="clear" w:color="auto" w:fill="FFFFFF"/>
          <w:lang w:val="en-US"/>
        </w:rPr>
        <w:t>vvsu</w:t>
      </w:r>
      <w:r w:rsidRPr="00452D45">
        <w:rPr>
          <w:rFonts w:ascii="Times New Roman" w:hAnsi="Times New Roman" w:cs="Times New Roman"/>
          <w:color w:val="000000" w:themeColor="text1"/>
          <w:sz w:val="24"/>
          <w:szCs w:val="24"/>
          <w:shd w:val="clear" w:color="auto" w:fill="FFFFFF"/>
        </w:rPr>
        <w:t>.</w:t>
      </w:r>
      <w:r w:rsidRPr="00452D45">
        <w:rPr>
          <w:rFonts w:ascii="Times New Roman" w:hAnsi="Times New Roman" w:cs="Times New Roman"/>
          <w:color w:val="000000" w:themeColor="text1"/>
          <w:sz w:val="24"/>
          <w:szCs w:val="24"/>
          <w:shd w:val="clear" w:color="auto" w:fill="FFFFFF"/>
          <w:lang w:val="en-US"/>
        </w:rPr>
        <w:t>ru</w:t>
      </w:r>
      <w:r w:rsidRPr="00452D45">
        <w:rPr>
          <w:rFonts w:ascii="Times New Roman" w:hAnsi="Times New Roman" w:cs="Times New Roman"/>
          <w:color w:val="000000" w:themeColor="text1"/>
          <w:sz w:val="24"/>
          <w:szCs w:val="24"/>
          <w:shd w:val="clear" w:color="auto" w:fill="FFFFFF"/>
        </w:rPr>
        <w:t>; тел.: +79502978386</w:t>
      </w:r>
    </w:p>
    <w:p w:rsidR="00D6563D" w:rsidRPr="00452D45" w:rsidRDefault="00D6563D" w:rsidP="00D6563D">
      <w:pPr>
        <w:spacing w:line="240" w:lineRule="auto"/>
        <w:jc w:val="center"/>
        <w:rPr>
          <w:rFonts w:ascii="Times New Roman" w:hAnsi="Times New Roman" w:cs="Times New Roman"/>
          <w:color w:val="000000" w:themeColor="text1"/>
          <w:sz w:val="24"/>
          <w:szCs w:val="24"/>
          <w:shd w:val="clear" w:color="auto" w:fill="FFFFFF"/>
        </w:rPr>
      </w:pPr>
      <w:r w:rsidRPr="00452D45">
        <w:rPr>
          <w:rFonts w:ascii="Times New Roman" w:hAnsi="Times New Roman" w:cs="Times New Roman"/>
          <w:color w:val="000000" w:themeColor="text1"/>
          <w:sz w:val="24"/>
          <w:szCs w:val="24"/>
          <w:shd w:val="clear" w:color="auto" w:fill="FFFFFF"/>
        </w:rPr>
        <w:t>ул. Гоголя, 41, г. Владивосток, Приморский край, Россия, 690014</w:t>
      </w:r>
    </w:p>
    <w:p w:rsidR="00D6563D" w:rsidRPr="00452D45" w:rsidRDefault="00D6563D" w:rsidP="00D6563D">
      <w:pPr>
        <w:spacing w:line="240" w:lineRule="auto"/>
        <w:ind w:firstLine="709"/>
        <w:rPr>
          <w:rFonts w:ascii="Times New Roman" w:hAnsi="Times New Roman" w:cs="Times New Roman"/>
          <w:color w:val="000000" w:themeColor="text1"/>
          <w:sz w:val="24"/>
          <w:szCs w:val="24"/>
          <w:shd w:val="clear" w:color="auto" w:fill="FFFFFF"/>
        </w:rPr>
      </w:pPr>
      <w:r w:rsidRPr="00452D45">
        <w:rPr>
          <w:rFonts w:ascii="Times New Roman" w:hAnsi="Times New Roman" w:cs="Times New Roman"/>
          <w:color w:val="000000" w:themeColor="text1"/>
          <w:sz w:val="24"/>
          <w:szCs w:val="24"/>
          <w:shd w:val="clear" w:color="auto" w:fill="FFFFFF"/>
        </w:rPr>
        <w:t>В наше время для многих малых и крупных предприятий актуальной является проблема максимально точного и </w:t>
      </w:r>
      <w:r w:rsidRPr="00452D45">
        <w:rPr>
          <w:rStyle w:val="affe"/>
          <w:rFonts w:ascii="Times New Roman" w:eastAsia="Arial" w:hAnsi="Times New Roman" w:cs="Times New Roman"/>
          <w:color w:val="000000" w:themeColor="text1"/>
          <w:sz w:val="24"/>
          <w:szCs w:val="24"/>
          <w:shd w:val="clear" w:color="auto" w:fill="FFFFFF"/>
        </w:rPr>
        <w:t>обоснованного прогнозирования</w:t>
      </w:r>
      <w:r w:rsidRPr="00452D45">
        <w:rPr>
          <w:rFonts w:ascii="Times New Roman" w:hAnsi="Times New Roman" w:cs="Times New Roman"/>
          <w:color w:val="000000" w:themeColor="text1"/>
          <w:sz w:val="24"/>
          <w:szCs w:val="24"/>
          <w:shd w:val="clear" w:color="auto" w:fill="FFFFFF"/>
        </w:rPr>
        <w:t> на длительный промежуток времени на основании данных, полученных от предприятия. Для получения прогноза были использованы линии тренда (прямая, логарифмическая, полиномиальная, степенная). Все расчеты производились в ППП MS</w:t>
      </w:r>
      <w:r w:rsidRPr="009A45BE">
        <w:rPr>
          <w:rFonts w:ascii="Times New Roman" w:hAnsi="Times New Roman" w:cs="Times New Roman"/>
          <w:color w:val="000000" w:themeColor="text1"/>
          <w:sz w:val="24"/>
          <w:szCs w:val="24"/>
          <w:shd w:val="clear" w:color="auto" w:fill="FFFFFF"/>
        </w:rPr>
        <w:t xml:space="preserve"> </w:t>
      </w:r>
      <w:r w:rsidRPr="00452D45">
        <w:rPr>
          <w:rFonts w:ascii="Times New Roman" w:hAnsi="Times New Roman" w:cs="Times New Roman"/>
          <w:color w:val="000000" w:themeColor="text1"/>
          <w:sz w:val="24"/>
          <w:szCs w:val="24"/>
          <w:shd w:val="clear" w:color="auto" w:fill="FFFFFF"/>
          <w:lang w:val="en-US"/>
        </w:rPr>
        <w:t>Office</w:t>
      </w:r>
      <w:r w:rsidRPr="009A45BE">
        <w:rPr>
          <w:rFonts w:ascii="Times New Roman" w:hAnsi="Times New Roman" w:cs="Times New Roman"/>
          <w:color w:val="000000" w:themeColor="text1"/>
          <w:sz w:val="24"/>
          <w:szCs w:val="24"/>
          <w:shd w:val="clear" w:color="auto" w:fill="FFFFFF"/>
        </w:rPr>
        <w:t xml:space="preserve"> </w:t>
      </w:r>
      <w:r w:rsidRPr="00452D45">
        <w:rPr>
          <w:rFonts w:ascii="Times New Roman" w:hAnsi="Times New Roman" w:cs="Times New Roman"/>
          <w:color w:val="000000" w:themeColor="text1"/>
          <w:sz w:val="24"/>
          <w:szCs w:val="24"/>
          <w:shd w:val="clear" w:color="auto" w:fill="FFFFFF"/>
        </w:rPr>
        <w:t>Excel.</w:t>
      </w:r>
    </w:p>
    <w:p w:rsidR="00D6563D" w:rsidRPr="00452D45" w:rsidRDefault="00D6563D" w:rsidP="00D6563D">
      <w:pPr>
        <w:spacing w:before="120" w:line="240" w:lineRule="auto"/>
        <w:ind w:firstLine="709"/>
        <w:rPr>
          <w:rFonts w:ascii="Times New Roman" w:hAnsi="Times New Roman" w:cs="Times New Roman"/>
          <w:color w:val="000000" w:themeColor="text1"/>
          <w:sz w:val="24"/>
          <w:szCs w:val="24"/>
          <w:shd w:val="clear" w:color="auto" w:fill="FFFFFF"/>
        </w:rPr>
      </w:pPr>
      <w:r w:rsidRPr="00452D45">
        <w:rPr>
          <w:rFonts w:ascii="Times New Roman" w:hAnsi="Times New Roman" w:cs="Times New Roman"/>
          <w:b/>
          <w:color w:val="000000" w:themeColor="text1"/>
          <w:sz w:val="24"/>
          <w:szCs w:val="24"/>
          <w:shd w:val="clear" w:color="auto" w:fill="FFFFFF"/>
        </w:rPr>
        <w:t>Ключевые слова и словосочетания</w:t>
      </w:r>
      <w:r w:rsidRPr="00452D45">
        <w:rPr>
          <w:rFonts w:ascii="Times New Roman" w:hAnsi="Times New Roman" w:cs="Times New Roman"/>
          <w:color w:val="000000" w:themeColor="text1"/>
          <w:sz w:val="24"/>
          <w:szCs w:val="24"/>
          <w:shd w:val="clear" w:color="auto" w:fill="FFFFFF"/>
        </w:rPr>
        <w:t>: прогнозирование, выручка, прибыль, предприятие, статистика</w:t>
      </w:r>
    </w:p>
    <w:p w:rsidR="00D6563D" w:rsidRPr="00452D45" w:rsidRDefault="00D6563D" w:rsidP="00D656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jc w:val="center"/>
        <w:rPr>
          <w:rFonts w:ascii="Times New Roman" w:hAnsi="Times New Roman" w:cs="Times New Roman"/>
          <w:b/>
          <w:color w:val="000000" w:themeColor="text1"/>
          <w:sz w:val="28"/>
          <w:szCs w:val="28"/>
          <w:lang w:val="en-US" w:eastAsia="ru-RU"/>
        </w:rPr>
      </w:pPr>
      <w:r w:rsidRPr="00452D45">
        <w:rPr>
          <w:rFonts w:ascii="Times New Roman" w:hAnsi="Times New Roman" w:cs="Times New Roman"/>
          <w:b/>
          <w:color w:val="000000" w:themeColor="text1"/>
          <w:sz w:val="28"/>
          <w:szCs w:val="28"/>
          <w:lang w:val="en-US" w:eastAsia="ru-RU"/>
        </w:rPr>
        <w:t>Forecasting the company's revenue</w:t>
      </w:r>
    </w:p>
    <w:p w:rsidR="00D6563D" w:rsidRPr="00452D45" w:rsidRDefault="00D6563D" w:rsidP="00D656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ind w:firstLine="709"/>
        <w:jc w:val="both"/>
        <w:rPr>
          <w:rFonts w:ascii="Times New Roman" w:hAnsi="Times New Roman" w:cs="Times New Roman"/>
          <w:color w:val="000000" w:themeColor="text1"/>
          <w:sz w:val="24"/>
          <w:szCs w:val="24"/>
          <w:lang w:val="en-US" w:eastAsia="ru-RU"/>
        </w:rPr>
      </w:pPr>
      <w:r w:rsidRPr="00452D45">
        <w:rPr>
          <w:rFonts w:ascii="Times New Roman" w:hAnsi="Times New Roman" w:cs="Times New Roman"/>
          <w:color w:val="000000" w:themeColor="text1"/>
          <w:sz w:val="24"/>
          <w:szCs w:val="24"/>
          <w:lang w:val="en-US" w:eastAsia="ru-RU"/>
        </w:rPr>
        <w:t>Nowadays for many small and large enterprises the problem of the most accurate and reasonable forecasting for a long period of time is based on the data received from the enterprise. To obtain the forecast, trend lines (straight, logarithmic, polynomial, power) were used. All calculations were made in the MS Office Excel.</w:t>
      </w:r>
    </w:p>
    <w:p w:rsidR="00D6563D" w:rsidRPr="00452D45" w:rsidRDefault="00D6563D" w:rsidP="00D6563D">
      <w:pPr>
        <w:spacing w:before="120" w:after="120"/>
        <w:ind w:firstLine="709"/>
        <w:rPr>
          <w:rFonts w:ascii="Times New Roman" w:hAnsi="Times New Roman" w:cs="Times New Roman"/>
          <w:color w:val="000000" w:themeColor="text1"/>
          <w:sz w:val="24"/>
          <w:szCs w:val="24"/>
          <w:shd w:val="clear" w:color="auto" w:fill="FFFFFF"/>
          <w:lang w:val="en-US"/>
        </w:rPr>
      </w:pPr>
      <w:r w:rsidRPr="00452D45">
        <w:rPr>
          <w:rFonts w:ascii="Times New Roman" w:hAnsi="Times New Roman" w:cs="Times New Roman"/>
          <w:b/>
          <w:color w:val="000000" w:themeColor="text1"/>
          <w:sz w:val="24"/>
          <w:szCs w:val="24"/>
          <w:shd w:val="clear" w:color="auto" w:fill="FFFFFF"/>
          <w:lang w:val="en-US"/>
        </w:rPr>
        <w:t>Key words</w:t>
      </w:r>
      <w:r w:rsidRPr="00452D45">
        <w:rPr>
          <w:rFonts w:ascii="Times New Roman" w:hAnsi="Times New Roman" w:cs="Times New Roman"/>
          <w:color w:val="000000" w:themeColor="text1"/>
          <w:sz w:val="24"/>
          <w:szCs w:val="24"/>
          <w:shd w:val="clear" w:color="auto" w:fill="FFFFFF"/>
          <w:lang w:val="en-US"/>
        </w:rPr>
        <w:t>: forecasting, revenue, profit, enterprise, statistics</w:t>
      </w:r>
    </w:p>
    <w:p w:rsidR="00D6563D" w:rsidRPr="00F16FCB" w:rsidRDefault="00D6563D" w:rsidP="00D6563D">
      <w:pPr>
        <w:pStyle w:val="af6"/>
        <w:shd w:val="clear" w:color="auto" w:fill="FFFFFF"/>
        <w:spacing w:before="120" w:beforeAutospacing="0" w:after="120" w:afterAutospacing="0"/>
        <w:ind w:firstLine="709"/>
        <w:jc w:val="both"/>
        <w:textAlignment w:val="baseline"/>
        <w:rPr>
          <w:color w:val="000000" w:themeColor="text1"/>
        </w:rPr>
      </w:pPr>
      <w:r w:rsidRPr="00DC10C9">
        <w:rPr>
          <w:color w:val="000000" w:themeColor="text1"/>
        </w:rPr>
        <w:t>Одним из самых сложных бизнес-инструментов является</w:t>
      </w:r>
      <w:r>
        <w:rPr>
          <w:color w:val="000000" w:themeColor="text1"/>
        </w:rPr>
        <w:t xml:space="preserve"> </w:t>
      </w:r>
      <w:r w:rsidRPr="00DC10C9">
        <w:rPr>
          <w:rStyle w:val="affe"/>
          <w:rFonts w:eastAsia="Arial"/>
          <w:color w:val="000000" w:themeColor="text1"/>
        </w:rPr>
        <w:t>прогнозирование выручки</w:t>
      </w:r>
      <w:r w:rsidRPr="00DC10C9">
        <w:rPr>
          <w:color w:val="000000" w:themeColor="text1"/>
        </w:rPr>
        <w:t xml:space="preserve">, посредством которого предприниматели стараются </w:t>
      </w:r>
      <w:r>
        <w:rPr>
          <w:color w:val="000000" w:themeColor="text1"/>
        </w:rPr>
        <w:t>вычислить значение выручки предприятия на определенный период производства.</w:t>
      </w:r>
    </w:p>
    <w:p w:rsidR="00D6563D" w:rsidRPr="00DC10C9" w:rsidRDefault="00D6563D" w:rsidP="00D6563D">
      <w:pPr>
        <w:pStyle w:val="af6"/>
        <w:shd w:val="clear" w:color="auto" w:fill="FFFFFF"/>
        <w:spacing w:before="120" w:beforeAutospacing="0" w:after="120" w:afterAutospacing="0"/>
        <w:ind w:firstLine="709"/>
        <w:jc w:val="both"/>
        <w:textAlignment w:val="baseline"/>
        <w:rPr>
          <w:color w:val="000000" w:themeColor="text1"/>
        </w:rPr>
      </w:pPr>
      <w:r w:rsidRPr="00DC10C9">
        <w:rPr>
          <w:color w:val="000000" w:themeColor="text1"/>
        </w:rPr>
        <w:t>Планируемые показатели доходной части бюджета предприятия являются фундаментом для большей части стратегических и тактических финансовых планов. Планирование выручки необходимо для определения будущей прибыли предприятия и оперативного составления финансовой деятельности</w:t>
      </w:r>
      <w:r w:rsidRPr="0065515D">
        <w:rPr>
          <w:color w:val="000000" w:themeColor="text1"/>
        </w:rPr>
        <w:t xml:space="preserve"> [10]</w:t>
      </w:r>
      <w:r w:rsidRPr="00DC10C9">
        <w:rPr>
          <w:color w:val="000000" w:themeColor="text1"/>
        </w:rPr>
        <w:t>. Планирование выручки подчинено главной цели – управлению прибылью, что обеспечивают системой мероприятий по расчету ее отдельных видов от текущей и финансовой деятельности</w:t>
      </w:r>
      <w:r w:rsidRPr="00432830">
        <w:rPr>
          <w:color w:val="000000" w:themeColor="text1"/>
        </w:rPr>
        <w:t xml:space="preserve"> [9]</w:t>
      </w:r>
      <w:r w:rsidRPr="00DC10C9">
        <w:rPr>
          <w:color w:val="000000" w:themeColor="text1"/>
        </w:rPr>
        <w:t>.</w:t>
      </w:r>
    </w:p>
    <w:p w:rsidR="00D6563D" w:rsidRDefault="00D6563D" w:rsidP="00D6563D">
      <w:pPr>
        <w:spacing w:before="120" w:after="120" w:line="240" w:lineRule="auto"/>
        <w:ind w:firstLine="709"/>
        <w:jc w:val="both"/>
        <w:rPr>
          <w:rFonts w:ascii="Times New Roman" w:hAnsi="Times New Roman" w:cs="Times New Roman"/>
          <w:color w:val="000000" w:themeColor="text1"/>
          <w:sz w:val="24"/>
          <w:szCs w:val="24"/>
          <w:shd w:val="clear" w:color="auto" w:fill="FFFFFF"/>
        </w:rPr>
      </w:pPr>
      <w:r w:rsidRPr="00DC10C9">
        <w:rPr>
          <w:rFonts w:ascii="Times New Roman" w:hAnsi="Times New Roman" w:cs="Times New Roman"/>
          <w:color w:val="000000" w:themeColor="text1"/>
          <w:sz w:val="24"/>
          <w:szCs w:val="24"/>
          <w:shd w:val="clear" w:color="auto" w:fill="FFFFFF"/>
        </w:rPr>
        <w:t>На сегодняшний день наука достаточно далеко продвинулась в разработке технологий прогнозирования</w:t>
      </w:r>
      <w:r w:rsidRPr="00E14758">
        <w:rPr>
          <w:rFonts w:ascii="Times New Roman" w:hAnsi="Times New Roman" w:cs="Times New Roman"/>
          <w:color w:val="000000" w:themeColor="text1"/>
          <w:sz w:val="24"/>
          <w:szCs w:val="24"/>
          <w:shd w:val="clear" w:color="auto" w:fill="FFFFFF"/>
        </w:rPr>
        <w:t xml:space="preserve"> [7]</w:t>
      </w:r>
      <w:r w:rsidRPr="00DC10C9">
        <w:rPr>
          <w:rFonts w:ascii="Times New Roman" w:hAnsi="Times New Roman" w:cs="Times New Roman"/>
          <w:color w:val="000000" w:themeColor="text1"/>
          <w:sz w:val="24"/>
          <w:szCs w:val="24"/>
          <w:shd w:val="clear" w:color="auto" w:fill="FFFFFF"/>
        </w:rPr>
        <w:t xml:space="preserve">. Специалистам хорошо известны методы нейросетевого прогнозирования, нечёткой логики и </w:t>
      </w:r>
      <w:r>
        <w:rPr>
          <w:rFonts w:ascii="Times New Roman" w:hAnsi="Times New Roman" w:cs="Times New Roman"/>
          <w:color w:val="000000" w:themeColor="text1"/>
          <w:sz w:val="24"/>
          <w:szCs w:val="24"/>
          <w:shd w:val="clear" w:color="auto" w:fill="FFFFFF"/>
        </w:rPr>
        <w:t xml:space="preserve">других </w:t>
      </w:r>
      <w:r w:rsidRPr="001B34B9">
        <w:rPr>
          <w:rFonts w:ascii="Times New Roman" w:hAnsi="Times New Roman" w:cs="Times New Roman"/>
          <w:color w:val="000000" w:themeColor="text1"/>
          <w:sz w:val="24"/>
          <w:szCs w:val="24"/>
          <w:shd w:val="clear" w:color="auto" w:fill="FFFFFF"/>
        </w:rPr>
        <w:t>[2]</w:t>
      </w:r>
      <w:r w:rsidRPr="00DC10C9">
        <w:rPr>
          <w:rFonts w:ascii="Times New Roman" w:hAnsi="Times New Roman" w:cs="Times New Roman"/>
          <w:color w:val="000000" w:themeColor="text1"/>
          <w:sz w:val="24"/>
          <w:szCs w:val="24"/>
          <w:shd w:val="clear" w:color="auto" w:fill="FFFFFF"/>
        </w:rPr>
        <w:t>.  Разработаны соответствующие программные пакеты, но на практике они, к сожалению, не всегда доступны рядовому пользователю, а в то же время многие из этих проблем можно достаточно успешно решать, используя методы исследования операций, в частности имитационное моделирование</w:t>
      </w:r>
      <w:r>
        <w:rPr>
          <w:rFonts w:ascii="Times New Roman" w:hAnsi="Times New Roman" w:cs="Times New Roman"/>
          <w:color w:val="000000" w:themeColor="text1"/>
          <w:sz w:val="24"/>
          <w:szCs w:val="24"/>
          <w:shd w:val="clear" w:color="auto" w:fill="FFFFFF"/>
        </w:rPr>
        <w:t xml:space="preserve"> [</w:t>
      </w:r>
      <w:r w:rsidRPr="00432830">
        <w:rPr>
          <w:rFonts w:ascii="Times New Roman" w:hAnsi="Times New Roman" w:cs="Times New Roman"/>
          <w:color w:val="000000" w:themeColor="text1"/>
          <w:sz w:val="24"/>
          <w:szCs w:val="24"/>
          <w:shd w:val="clear" w:color="auto" w:fill="FFFFFF"/>
        </w:rPr>
        <w:t>8</w:t>
      </w:r>
      <w:r>
        <w:rPr>
          <w:rFonts w:ascii="Times New Roman" w:hAnsi="Times New Roman" w:cs="Times New Roman"/>
          <w:color w:val="000000" w:themeColor="text1"/>
          <w:sz w:val="24"/>
          <w:szCs w:val="24"/>
          <w:shd w:val="clear" w:color="auto" w:fill="FFFFFF"/>
        </w:rPr>
        <w:t>]</w:t>
      </w:r>
      <w:r w:rsidRPr="00DC10C9">
        <w:rPr>
          <w:rFonts w:ascii="Times New Roman" w:hAnsi="Times New Roman" w:cs="Times New Roman"/>
          <w:color w:val="000000" w:themeColor="text1"/>
          <w:sz w:val="24"/>
          <w:szCs w:val="24"/>
          <w:shd w:val="clear" w:color="auto" w:fill="FFFFFF"/>
        </w:rPr>
        <w:t>, теорию игр, регрессионный и трендовый анализ, реализуя эти алгоритмы в широко известном и распространённом пакете прикладных программ Microsoft</w:t>
      </w:r>
      <w:r w:rsidRPr="00E14758">
        <w:rPr>
          <w:rFonts w:ascii="Times New Roman" w:hAnsi="Times New Roman" w:cs="Times New Roman"/>
          <w:color w:val="000000" w:themeColor="text1"/>
          <w:sz w:val="24"/>
          <w:szCs w:val="24"/>
          <w:shd w:val="clear" w:color="auto" w:fill="FFFFFF"/>
        </w:rPr>
        <w:t xml:space="preserve"> </w:t>
      </w:r>
      <w:r w:rsidRPr="00DC10C9">
        <w:rPr>
          <w:rFonts w:ascii="Times New Roman" w:hAnsi="Times New Roman" w:cs="Times New Roman"/>
          <w:color w:val="000000" w:themeColor="text1"/>
          <w:sz w:val="24"/>
          <w:szCs w:val="24"/>
          <w:shd w:val="clear" w:color="auto" w:fill="FFFFFF"/>
          <w:lang w:val="en-US"/>
        </w:rPr>
        <w:t>Office</w:t>
      </w:r>
      <w:r w:rsidRPr="00E14758">
        <w:rPr>
          <w:rFonts w:ascii="Times New Roman" w:hAnsi="Times New Roman" w:cs="Times New Roman"/>
          <w:color w:val="000000" w:themeColor="text1"/>
          <w:sz w:val="24"/>
          <w:szCs w:val="24"/>
          <w:shd w:val="clear" w:color="auto" w:fill="FFFFFF"/>
        </w:rPr>
        <w:t xml:space="preserve"> </w:t>
      </w:r>
      <w:r w:rsidRPr="00DC10C9">
        <w:rPr>
          <w:rFonts w:ascii="Times New Roman" w:hAnsi="Times New Roman" w:cs="Times New Roman"/>
          <w:color w:val="000000" w:themeColor="text1"/>
          <w:sz w:val="24"/>
          <w:szCs w:val="24"/>
          <w:shd w:val="clear" w:color="auto" w:fill="FFFFFF"/>
        </w:rPr>
        <w:t>Excel.</w:t>
      </w:r>
      <w:r>
        <w:rPr>
          <w:rFonts w:ascii="Times New Roman" w:hAnsi="Times New Roman" w:cs="Times New Roman"/>
          <w:color w:val="000000" w:themeColor="text1"/>
          <w:sz w:val="24"/>
          <w:szCs w:val="24"/>
          <w:shd w:val="clear" w:color="auto" w:fill="FFFFFF"/>
        </w:rPr>
        <w:t xml:space="preserve"> </w:t>
      </w:r>
      <w:r w:rsidRPr="00DC10C9">
        <w:rPr>
          <w:rFonts w:ascii="Times New Roman" w:hAnsi="Times New Roman" w:cs="Times New Roman"/>
          <w:color w:val="000000" w:themeColor="text1"/>
          <w:sz w:val="24"/>
          <w:szCs w:val="24"/>
          <w:shd w:val="clear" w:color="auto" w:fill="FFFFFF"/>
        </w:rPr>
        <w:t>Используя стандартные возможности Excel, такие как «линии тренда</w:t>
      </w:r>
      <w:r w:rsidRPr="00DC10C9">
        <w:rPr>
          <w:rFonts w:ascii="Times New Roman" w:hAnsi="Times New Roman" w:cs="Times New Roman"/>
          <w:sz w:val="24"/>
          <w:szCs w:val="24"/>
        </w:rPr>
        <w:t>»</w:t>
      </w:r>
      <w:r w:rsidRPr="00DC10C9">
        <w:rPr>
          <w:rFonts w:ascii="Times New Roman" w:hAnsi="Times New Roman" w:cs="Times New Roman"/>
          <w:color w:val="000000" w:themeColor="text1"/>
          <w:sz w:val="24"/>
          <w:szCs w:val="24"/>
          <w:shd w:val="clear" w:color="auto" w:fill="FFFFFF"/>
        </w:rPr>
        <w:t>, можно за короткое время построить прогноз будущей выручки</w:t>
      </w:r>
      <w:r w:rsidRPr="0036170E">
        <w:rPr>
          <w:rFonts w:ascii="Times New Roman" w:hAnsi="Times New Roman" w:cs="Times New Roman"/>
          <w:color w:val="000000" w:themeColor="text1"/>
          <w:sz w:val="24"/>
          <w:szCs w:val="24"/>
          <w:shd w:val="clear" w:color="auto" w:fill="FFFFFF"/>
        </w:rPr>
        <w:t xml:space="preserve"> [1]</w:t>
      </w:r>
      <w:r w:rsidRPr="00DC10C9">
        <w:rPr>
          <w:rFonts w:ascii="Times New Roman" w:hAnsi="Times New Roman" w:cs="Times New Roman"/>
          <w:color w:val="000000" w:themeColor="text1"/>
          <w:sz w:val="24"/>
          <w:szCs w:val="24"/>
          <w:shd w:val="clear" w:color="auto" w:fill="FFFFFF"/>
        </w:rPr>
        <w:t>.</w:t>
      </w:r>
    </w:p>
    <w:p w:rsidR="00D6563D" w:rsidRPr="00DC10C9" w:rsidRDefault="00D6563D" w:rsidP="00D6563D">
      <w:pPr>
        <w:spacing w:before="120" w:after="120" w:line="240" w:lineRule="auto"/>
        <w:ind w:firstLine="709"/>
        <w:jc w:val="both"/>
        <w:rPr>
          <w:rFonts w:ascii="Times New Roman" w:hAnsi="Times New Roman" w:cs="Times New Roman"/>
          <w:color w:val="000000" w:themeColor="text1"/>
          <w:sz w:val="24"/>
          <w:szCs w:val="24"/>
          <w:shd w:val="clear" w:color="auto" w:fill="FFFFFF"/>
        </w:rPr>
      </w:pPr>
      <w:r w:rsidRPr="00DC10C9">
        <w:rPr>
          <w:rFonts w:ascii="Times New Roman" w:hAnsi="Times New Roman" w:cs="Times New Roman"/>
          <w:color w:val="000000" w:themeColor="text1"/>
          <w:sz w:val="24"/>
          <w:szCs w:val="24"/>
          <w:shd w:val="clear" w:color="auto" w:fill="FFFFFF"/>
        </w:rPr>
        <w:t>Линия тренда в Excel – это график аппроксимирующей функции. Он нужен для составления прогнозов на основе статистических данных</w:t>
      </w:r>
      <w:r w:rsidRPr="0036170E">
        <w:rPr>
          <w:rFonts w:ascii="Times New Roman" w:hAnsi="Times New Roman" w:cs="Times New Roman"/>
          <w:color w:val="000000" w:themeColor="text1"/>
          <w:sz w:val="24"/>
          <w:szCs w:val="24"/>
          <w:shd w:val="clear" w:color="auto" w:fill="FFFFFF"/>
        </w:rPr>
        <w:t xml:space="preserve"> [3]</w:t>
      </w:r>
      <w:r w:rsidRPr="00DC10C9">
        <w:rPr>
          <w:rFonts w:ascii="Times New Roman" w:hAnsi="Times New Roman" w:cs="Times New Roman"/>
          <w:color w:val="000000" w:themeColor="text1"/>
          <w:sz w:val="24"/>
          <w:szCs w:val="24"/>
          <w:shd w:val="clear" w:color="auto" w:fill="FFFFFF"/>
        </w:rPr>
        <w:t xml:space="preserve">. </w:t>
      </w:r>
    </w:p>
    <w:p w:rsidR="00D6563D" w:rsidRDefault="00D6563D" w:rsidP="00D6563D">
      <w:pPr>
        <w:pStyle w:val="af4"/>
        <w:spacing w:before="120" w:after="120" w:line="240" w:lineRule="auto"/>
        <w:ind w:left="0" w:firstLine="709"/>
        <w:jc w:val="both"/>
        <w:rPr>
          <w:rFonts w:ascii="Times New Roman" w:hAnsi="Times New Roman" w:cs="Times New Roman"/>
          <w:color w:val="000000" w:themeColor="text1"/>
          <w:sz w:val="24"/>
          <w:szCs w:val="24"/>
        </w:rPr>
      </w:pPr>
      <w:r w:rsidRPr="00DC10C9">
        <w:rPr>
          <w:rFonts w:ascii="Times New Roman" w:hAnsi="Times New Roman" w:cs="Times New Roman"/>
          <w:color w:val="000000" w:themeColor="text1"/>
          <w:sz w:val="24"/>
          <w:szCs w:val="24"/>
        </w:rPr>
        <w:t>Для моделирования выручки предприятия Х (руб.) были выбраны помесячные данные 2017 года, которые отображены в таблице 1.</w:t>
      </w:r>
    </w:p>
    <w:p w:rsidR="00D6563D" w:rsidRPr="00DC10C9" w:rsidRDefault="00D6563D" w:rsidP="00D6563D">
      <w:pPr>
        <w:pStyle w:val="af4"/>
        <w:spacing w:before="120" w:after="120" w:line="240" w:lineRule="auto"/>
        <w:ind w:left="0" w:firstLine="709"/>
        <w:jc w:val="right"/>
        <w:rPr>
          <w:rFonts w:ascii="Times New Roman" w:hAnsi="Times New Roman" w:cs="Times New Roman"/>
          <w:i/>
          <w:color w:val="000000" w:themeColor="text1"/>
          <w:sz w:val="24"/>
          <w:szCs w:val="24"/>
        </w:rPr>
      </w:pPr>
      <w:r w:rsidRPr="00DC10C9">
        <w:rPr>
          <w:rFonts w:ascii="Times New Roman" w:hAnsi="Times New Roman" w:cs="Times New Roman"/>
          <w:noProof/>
          <w:color w:val="000000" w:themeColor="text1"/>
          <w:sz w:val="24"/>
          <w:szCs w:val="24"/>
          <w:lang w:eastAsia="ru-RU"/>
        </w:rPr>
        <w:drawing>
          <wp:anchor distT="0" distB="0" distL="114300" distR="114300" simplePos="0" relativeHeight="251730944" behindDoc="1" locked="0" layoutInCell="1" allowOverlap="1" wp14:anchorId="50F86FF1" wp14:editId="65EB563B">
            <wp:simplePos x="0" y="0"/>
            <wp:positionH relativeFrom="column">
              <wp:posOffset>-15240</wp:posOffset>
            </wp:positionH>
            <wp:positionV relativeFrom="paragraph">
              <wp:posOffset>277495</wp:posOffset>
            </wp:positionV>
            <wp:extent cx="6134100" cy="561975"/>
            <wp:effectExtent l="19050" t="0" r="0" b="0"/>
            <wp:wrapTight wrapText="bothSides">
              <wp:wrapPolygon edited="0">
                <wp:start x="-67" y="0"/>
                <wp:lineTo x="-67" y="21234"/>
                <wp:lineTo x="21600" y="21234"/>
                <wp:lineTo x="21600" y="0"/>
                <wp:lineTo x="-67" y="0"/>
              </wp:wrapPolygon>
            </wp:wrapTight>
            <wp:docPr id="156" name="Рисунок 0" descr="Безымянны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png"/>
                    <pic:cNvPicPr/>
                  </pic:nvPicPr>
                  <pic:blipFill>
                    <a:blip r:embed="rId333">
                      <a:extLst>
                        <a:ext uri="{28A0092B-C50C-407E-A947-70E740481C1C}">
                          <a14:useLocalDpi xmlns:a14="http://schemas.microsoft.com/office/drawing/2010/main" val="0"/>
                        </a:ext>
                      </a:extLst>
                    </a:blip>
                    <a:stretch>
                      <a:fillRect/>
                    </a:stretch>
                  </pic:blipFill>
                  <pic:spPr>
                    <a:xfrm>
                      <a:off x="0" y="0"/>
                      <a:ext cx="6134100" cy="561975"/>
                    </a:xfrm>
                    <a:prstGeom prst="rect">
                      <a:avLst/>
                    </a:prstGeom>
                  </pic:spPr>
                </pic:pic>
              </a:graphicData>
            </a:graphic>
          </wp:anchor>
        </w:drawing>
      </w:r>
      <w:r w:rsidRPr="00DC10C9">
        <w:rPr>
          <w:rFonts w:ascii="Times New Roman" w:hAnsi="Times New Roman" w:cs="Times New Roman"/>
          <w:i/>
          <w:color w:val="000000" w:themeColor="text1"/>
          <w:sz w:val="24"/>
          <w:szCs w:val="24"/>
        </w:rPr>
        <w:t>Таблица 1</w:t>
      </w:r>
    </w:p>
    <w:p w:rsidR="00D6563D" w:rsidRPr="00AD3E73" w:rsidRDefault="00D6563D" w:rsidP="00D6563D">
      <w:pPr>
        <w:pStyle w:val="af4"/>
        <w:spacing w:before="600" w:after="120" w:line="240" w:lineRule="auto"/>
        <w:ind w:left="0" w:firstLine="709"/>
        <w:jc w:val="center"/>
        <w:rPr>
          <w:rFonts w:ascii="Times New Roman" w:hAnsi="Times New Roman" w:cs="Times New Roman"/>
          <w:b/>
          <w:color w:val="000000" w:themeColor="text1"/>
          <w:sz w:val="24"/>
          <w:szCs w:val="24"/>
        </w:rPr>
      </w:pPr>
      <w:r w:rsidRPr="00DC10C9">
        <w:rPr>
          <w:rFonts w:ascii="Times New Roman" w:hAnsi="Times New Roman" w:cs="Times New Roman"/>
          <w:b/>
          <w:color w:val="000000" w:themeColor="text1"/>
          <w:sz w:val="24"/>
          <w:szCs w:val="24"/>
          <w:shd w:val="clear" w:color="auto" w:fill="FFFFFF"/>
        </w:rPr>
        <w:t>Выручка предприятия за 2017 год</w:t>
      </w:r>
    </w:p>
    <w:p w:rsidR="00D6563D" w:rsidRPr="00DC10C9" w:rsidRDefault="00D6563D" w:rsidP="00D6563D">
      <w:pPr>
        <w:spacing w:before="120" w:after="120" w:line="240" w:lineRule="auto"/>
        <w:ind w:firstLine="709"/>
        <w:jc w:val="both"/>
        <w:rPr>
          <w:rFonts w:ascii="Times New Roman" w:hAnsi="Times New Roman" w:cs="Times New Roman"/>
          <w:color w:val="000000" w:themeColor="text1"/>
          <w:sz w:val="24"/>
          <w:szCs w:val="24"/>
          <w:shd w:val="clear" w:color="auto" w:fill="FFFFFF"/>
        </w:rPr>
      </w:pPr>
      <w:r w:rsidRPr="00DC10C9">
        <w:rPr>
          <w:rFonts w:ascii="Times New Roman" w:hAnsi="Times New Roman" w:cs="Times New Roman"/>
          <w:color w:val="000000" w:themeColor="text1"/>
          <w:sz w:val="24"/>
          <w:szCs w:val="24"/>
          <w:shd w:val="clear" w:color="auto" w:fill="FFFFFF"/>
        </w:rPr>
        <w:t>Рассмотрим параметры линии тренда:</w:t>
      </w:r>
    </w:p>
    <w:p w:rsidR="00D6563D" w:rsidRPr="00AD3E73" w:rsidRDefault="00D6563D" w:rsidP="00D6563D">
      <w:pPr>
        <w:pStyle w:val="af4"/>
        <w:numPr>
          <w:ilvl w:val="0"/>
          <w:numId w:val="103"/>
        </w:numPr>
        <w:pBdr>
          <w:top w:val="none" w:sz="0" w:space="0" w:color="auto"/>
          <w:left w:val="none" w:sz="0" w:space="0" w:color="auto"/>
          <w:bottom w:val="none" w:sz="0" w:space="0" w:color="auto"/>
          <w:right w:val="none" w:sz="0" w:space="0" w:color="auto"/>
          <w:between w:val="none" w:sz="0" w:space="0" w:color="auto"/>
        </w:pBdr>
        <w:spacing w:before="120" w:after="120" w:line="240" w:lineRule="auto"/>
        <w:ind w:left="0" w:firstLine="709"/>
        <w:contextualSpacing/>
        <w:jc w:val="both"/>
        <w:rPr>
          <w:rFonts w:ascii="Times New Roman" w:hAnsi="Times New Roman" w:cs="Times New Roman"/>
          <w:color w:val="000000" w:themeColor="text1"/>
          <w:sz w:val="24"/>
          <w:szCs w:val="24"/>
        </w:rPr>
      </w:pPr>
      <w:r w:rsidRPr="00DC10C9">
        <w:rPr>
          <w:rFonts w:ascii="Times New Roman" w:hAnsi="Times New Roman" w:cs="Times New Roman"/>
          <w:color w:val="000000" w:themeColor="text1"/>
          <w:sz w:val="24"/>
          <w:szCs w:val="24"/>
        </w:rPr>
        <w:t>Прямая линия тренда</w:t>
      </w:r>
      <w:r>
        <w:rPr>
          <w:rFonts w:ascii="Times New Roman" w:hAnsi="Times New Roman" w:cs="Times New Roman"/>
          <w:color w:val="000000" w:themeColor="text1"/>
          <w:sz w:val="24"/>
          <w:szCs w:val="24"/>
        </w:rPr>
        <w:t xml:space="preserve"> </w:t>
      </w:r>
      <w:r w:rsidRPr="00DC10C9">
        <w:rPr>
          <w:rFonts w:ascii="Times New Roman" w:hAnsi="Times New Roman" w:cs="Times New Roman"/>
          <w:color w:val="000000" w:themeColor="text1"/>
          <w:sz w:val="24"/>
          <w:szCs w:val="24"/>
          <w:shd w:val="clear" w:color="auto" w:fill="FFFFFF"/>
        </w:rPr>
        <w:t xml:space="preserve">хорошо подходит для величины, которая возрастает или убывает с постоянной </w:t>
      </w:r>
      <w:r w:rsidRPr="00AD3E73">
        <w:rPr>
          <w:rFonts w:ascii="Times New Roman" w:hAnsi="Times New Roman" w:cs="Times New Roman"/>
          <w:sz w:val="24"/>
          <w:szCs w:val="24"/>
          <w:shd w:val="clear" w:color="auto" w:fill="FFFFFF"/>
        </w:rPr>
        <w:t>скоростью</w:t>
      </w:r>
      <w:r w:rsidRPr="00AD3E73">
        <w:rPr>
          <w:rFonts w:ascii="Times New Roman" w:hAnsi="Times New Roman" w:cs="Times New Roman"/>
          <w:sz w:val="24"/>
          <w:szCs w:val="24"/>
        </w:rPr>
        <w:t xml:space="preserve">. </w:t>
      </w:r>
      <w:r w:rsidRPr="00AD3E73">
        <w:rPr>
          <w:rFonts w:ascii="Times New Roman" w:hAnsi="Times New Roman" w:cs="Times New Roman"/>
          <w:sz w:val="24"/>
          <w:szCs w:val="24"/>
          <w:shd w:val="clear" w:color="auto" w:fill="FFFFFF"/>
        </w:rPr>
        <w:t>Её используют для создания прямой линии, которая наилучшим образом описывает простой линейный набор данных. Она применяется в случаях, когда точки данных расположены близко к прямой.</w:t>
      </w:r>
      <w:r>
        <w:rPr>
          <w:rFonts w:ascii="Segoe UI" w:hAnsi="Segoe UI" w:cs="Segoe UI"/>
          <w:color w:val="2F2F2F"/>
          <w:sz w:val="21"/>
          <w:szCs w:val="21"/>
          <w:shd w:val="clear" w:color="auto" w:fill="FFFFFF"/>
        </w:rPr>
        <w:t> </w:t>
      </w:r>
    </w:p>
    <w:p w:rsidR="00D6563D" w:rsidRPr="00DC10C9" w:rsidRDefault="00D6563D" w:rsidP="00D6563D">
      <w:pPr>
        <w:pStyle w:val="af4"/>
        <w:spacing w:before="120" w:after="120" w:line="240" w:lineRule="auto"/>
        <w:ind w:left="0" w:firstLine="709"/>
        <w:jc w:val="center"/>
        <w:rPr>
          <w:rFonts w:ascii="Times New Roman" w:hAnsi="Times New Roman" w:cs="Times New Roman"/>
          <w:noProof/>
          <w:color w:val="000000" w:themeColor="text1"/>
          <w:sz w:val="24"/>
          <w:szCs w:val="24"/>
          <w:lang w:eastAsia="ru-RU"/>
        </w:rPr>
      </w:pPr>
      <w:r w:rsidRPr="00DC10C9">
        <w:rPr>
          <w:rFonts w:ascii="Times New Roman" w:hAnsi="Times New Roman" w:cs="Times New Roman"/>
          <w:noProof/>
          <w:color w:val="000000" w:themeColor="text1"/>
          <w:sz w:val="24"/>
          <w:szCs w:val="24"/>
          <w:lang w:eastAsia="ru-RU"/>
        </w:rPr>
        <w:object w:dxaOrig="8688" w:dyaOrig="4084">
          <v:shape id="_x0000_i1036" type="#_x0000_t75" style="width:456.75pt;height:215.25pt" o:ole="">
            <v:imagedata r:id="rId334" o:title=""/>
          </v:shape>
          <o:OLEObject Type="Embed" ProgID="Excel.Sheet.12" ShapeID="_x0000_i1036" DrawAspect="Content" ObjectID="_1603718612" r:id="rId335"/>
        </w:object>
      </w:r>
      <w:r>
        <w:rPr>
          <w:rFonts w:ascii="Times New Roman" w:hAnsi="Times New Roman" w:cs="Times New Roman"/>
          <w:noProof/>
          <w:color w:val="000000" w:themeColor="text1"/>
          <w:sz w:val="24"/>
          <w:szCs w:val="24"/>
          <w:lang w:eastAsia="ru-RU"/>
        </w:rPr>
        <w:t>Рис.1. Г</w:t>
      </w:r>
      <w:r w:rsidRPr="00DC10C9">
        <w:rPr>
          <w:rFonts w:ascii="Times New Roman" w:hAnsi="Times New Roman" w:cs="Times New Roman"/>
          <w:noProof/>
          <w:color w:val="000000" w:themeColor="text1"/>
          <w:sz w:val="24"/>
          <w:szCs w:val="24"/>
          <w:lang w:eastAsia="ru-RU"/>
        </w:rPr>
        <w:t>рафик прямой линии тренда</w:t>
      </w:r>
    </w:p>
    <w:p w:rsidR="00D6563D" w:rsidRPr="00DC10C9" w:rsidRDefault="00D6563D" w:rsidP="00D6563D">
      <w:pPr>
        <w:pStyle w:val="af4"/>
        <w:spacing w:before="120" w:after="120" w:line="240" w:lineRule="auto"/>
        <w:ind w:left="0" w:firstLine="709"/>
        <w:jc w:val="both"/>
        <w:rPr>
          <w:rFonts w:ascii="Times New Roman" w:hAnsi="Times New Roman" w:cs="Times New Roman"/>
          <w:color w:val="000000" w:themeColor="text1"/>
          <w:sz w:val="24"/>
          <w:szCs w:val="24"/>
          <w:shd w:val="clear" w:color="auto" w:fill="FFFFFF"/>
        </w:rPr>
      </w:pPr>
      <w:r w:rsidRPr="00DC10C9">
        <w:rPr>
          <w:rFonts w:ascii="Times New Roman" w:hAnsi="Times New Roman" w:cs="Times New Roman"/>
          <w:color w:val="000000" w:themeColor="text1"/>
          <w:sz w:val="24"/>
          <w:szCs w:val="24"/>
        </w:rPr>
        <w:t xml:space="preserve">На рисунке 1 мы видим, </w:t>
      </w:r>
      <w:r w:rsidRPr="00DC10C9">
        <w:rPr>
          <w:rFonts w:ascii="Times New Roman" w:hAnsi="Times New Roman" w:cs="Times New Roman"/>
          <w:color w:val="000000" w:themeColor="text1"/>
          <w:sz w:val="24"/>
          <w:szCs w:val="24"/>
          <w:shd w:val="clear" w:color="auto" w:fill="FFFFFF"/>
        </w:rPr>
        <w:t>что выбор линейной аппроксимации дал низкую достоверность (</w:t>
      </w:r>
      <w:r w:rsidRPr="00DC10C9">
        <w:rPr>
          <w:rFonts w:ascii="Times New Roman" w:hAnsi="Times New Roman" w:cs="Times New Roman"/>
          <w:color w:val="000000" w:themeColor="text1"/>
          <w:sz w:val="24"/>
          <w:szCs w:val="24"/>
          <w:shd w:val="clear" w:color="auto" w:fill="FFFFFF"/>
          <w:lang w:val="en-US"/>
        </w:rPr>
        <w:t>R</w:t>
      </w:r>
      <w:r w:rsidRPr="00DC10C9">
        <w:rPr>
          <w:rFonts w:ascii="Times New Roman" w:hAnsi="Times New Roman" w:cs="Times New Roman"/>
          <w:color w:val="000000" w:themeColor="text1"/>
          <w:sz w:val="24"/>
          <w:szCs w:val="24"/>
          <w:shd w:val="clear" w:color="auto" w:fill="FFFFFF"/>
          <w:vertAlign w:val="superscript"/>
        </w:rPr>
        <w:t>2</w:t>
      </w:r>
      <w:r w:rsidRPr="00DC10C9">
        <w:rPr>
          <w:rFonts w:ascii="Times New Roman" w:hAnsi="Times New Roman" w:cs="Times New Roman"/>
          <w:color w:val="000000" w:themeColor="text1"/>
          <w:sz w:val="24"/>
          <w:szCs w:val="24"/>
          <w:shd w:val="clear" w:color="auto" w:fill="FFFFFF"/>
        </w:rPr>
        <w:t>=0,411) и плохой резу</w:t>
      </w:r>
      <w:r>
        <w:rPr>
          <w:rFonts w:ascii="Times New Roman" w:hAnsi="Times New Roman" w:cs="Times New Roman"/>
          <w:color w:val="000000" w:themeColor="text1"/>
          <w:sz w:val="24"/>
          <w:szCs w:val="24"/>
          <w:shd w:val="clear" w:color="auto" w:fill="FFFFFF"/>
        </w:rPr>
        <w:t xml:space="preserve">льтат. Прогноз будет неточным. </w:t>
      </w:r>
    </w:p>
    <w:p w:rsidR="00D6563D" w:rsidRPr="00DC10C9" w:rsidRDefault="00D6563D" w:rsidP="00D6563D">
      <w:pPr>
        <w:pStyle w:val="af4"/>
        <w:numPr>
          <w:ilvl w:val="0"/>
          <w:numId w:val="103"/>
        </w:numPr>
        <w:pBdr>
          <w:top w:val="none" w:sz="0" w:space="0" w:color="auto"/>
          <w:left w:val="none" w:sz="0" w:space="0" w:color="auto"/>
          <w:bottom w:val="none" w:sz="0" w:space="0" w:color="auto"/>
          <w:right w:val="none" w:sz="0" w:space="0" w:color="auto"/>
          <w:between w:val="none" w:sz="0" w:space="0" w:color="auto"/>
        </w:pBdr>
        <w:spacing w:before="120" w:after="120" w:line="240" w:lineRule="auto"/>
        <w:ind w:left="0" w:firstLine="709"/>
        <w:contextualSpacing/>
        <w:jc w:val="both"/>
        <w:rPr>
          <w:rFonts w:ascii="Times New Roman" w:hAnsi="Times New Roman" w:cs="Times New Roman"/>
          <w:color w:val="000000" w:themeColor="text1"/>
          <w:sz w:val="24"/>
          <w:szCs w:val="24"/>
        </w:rPr>
      </w:pPr>
      <w:r w:rsidRPr="00DC10C9">
        <w:rPr>
          <w:rFonts w:ascii="Times New Roman" w:hAnsi="Times New Roman" w:cs="Times New Roman"/>
          <w:color w:val="000000" w:themeColor="text1"/>
          <w:sz w:val="24"/>
          <w:szCs w:val="24"/>
        </w:rPr>
        <w:t xml:space="preserve">Логарифмическая линия тренда: </w:t>
      </w:r>
      <w:r w:rsidRPr="00DC10C9">
        <w:rPr>
          <w:rFonts w:ascii="Times New Roman" w:hAnsi="Times New Roman" w:cs="Times New Roman"/>
          <w:color w:val="000000" w:themeColor="text1"/>
          <w:sz w:val="24"/>
          <w:szCs w:val="24"/>
          <w:shd w:val="clear" w:color="auto" w:fill="FFFFFF"/>
        </w:rPr>
        <w:t>эта линия тренда полезна для описания величины, которая вначале быстро растет или убывает, а затем постепенно стабилизируется</w:t>
      </w:r>
      <w:r w:rsidRPr="00DC10C9">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AD3E73">
        <w:rPr>
          <w:rFonts w:ascii="Times New Roman" w:hAnsi="Times New Roman" w:cs="Times New Roman"/>
          <w:sz w:val="24"/>
          <w:szCs w:val="24"/>
          <w:shd w:val="clear" w:color="auto" w:fill="FFFFFF"/>
        </w:rPr>
        <w:t>Данная линия тренда может использовать отрицательные и положительные значения данных.</w:t>
      </w:r>
    </w:p>
    <w:p w:rsidR="00D6563D" w:rsidRPr="00DC10C9" w:rsidRDefault="00D6563D" w:rsidP="00D6563D">
      <w:pPr>
        <w:pStyle w:val="af4"/>
        <w:spacing w:before="120" w:after="120" w:line="240" w:lineRule="auto"/>
        <w:ind w:left="0" w:right="-1" w:firstLine="709"/>
        <w:jc w:val="center"/>
        <w:rPr>
          <w:rFonts w:ascii="Times New Roman" w:hAnsi="Times New Roman" w:cs="Times New Roman"/>
          <w:color w:val="000000" w:themeColor="text1"/>
          <w:sz w:val="24"/>
          <w:szCs w:val="24"/>
        </w:rPr>
      </w:pPr>
      <w:r w:rsidRPr="00DC10C9">
        <w:rPr>
          <w:rFonts w:ascii="Times New Roman" w:hAnsi="Times New Roman" w:cs="Times New Roman"/>
          <w:color w:val="000000" w:themeColor="text1"/>
          <w:sz w:val="24"/>
          <w:szCs w:val="24"/>
        </w:rPr>
        <w:object w:dxaOrig="8702" w:dyaOrig="4082">
          <v:shape id="_x0000_i1037" type="#_x0000_t75" style="width:458.25pt;height:220.5pt" o:ole="">
            <v:imagedata r:id="rId336" o:title=""/>
          </v:shape>
          <o:OLEObject Type="Embed" ProgID="Excel.Sheet.12" ShapeID="_x0000_i1037" DrawAspect="Content" ObjectID="_1603718613" r:id="rId337"/>
        </w:object>
      </w:r>
      <w:r>
        <w:rPr>
          <w:rFonts w:ascii="Times New Roman" w:hAnsi="Times New Roman" w:cs="Times New Roman"/>
          <w:noProof/>
          <w:color w:val="000000" w:themeColor="text1"/>
          <w:sz w:val="24"/>
          <w:szCs w:val="24"/>
          <w:lang w:eastAsia="ru-RU"/>
        </w:rPr>
        <w:t>Рис.</w:t>
      </w:r>
      <w:r w:rsidRPr="00DC10C9">
        <w:rPr>
          <w:rFonts w:ascii="Times New Roman" w:hAnsi="Times New Roman" w:cs="Times New Roman"/>
          <w:noProof/>
          <w:color w:val="000000" w:themeColor="text1"/>
          <w:sz w:val="24"/>
          <w:szCs w:val="24"/>
          <w:lang w:eastAsia="ru-RU"/>
        </w:rPr>
        <w:t>2</w:t>
      </w:r>
      <w:r>
        <w:rPr>
          <w:rFonts w:ascii="Times New Roman" w:hAnsi="Times New Roman" w:cs="Times New Roman"/>
          <w:noProof/>
          <w:color w:val="000000" w:themeColor="text1"/>
          <w:sz w:val="24"/>
          <w:szCs w:val="24"/>
          <w:lang w:eastAsia="ru-RU"/>
        </w:rPr>
        <w:t>. Г</w:t>
      </w:r>
      <w:r w:rsidRPr="00DC10C9">
        <w:rPr>
          <w:rFonts w:ascii="Times New Roman" w:hAnsi="Times New Roman" w:cs="Times New Roman"/>
          <w:noProof/>
          <w:color w:val="000000" w:themeColor="text1"/>
          <w:sz w:val="24"/>
          <w:szCs w:val="24"/>
          <w:lang w:eastAsia="ru-RU"/>
        </w:rPr>
        <w:t>рафик логарифмической линии тренда</w:t>
      </w:r>
    </w:p>
    <w:p w:rsidR="00D6563D" w:rsidRPr="00DC10C9" w:rsidRDefault="00D6563D" w:rsidP="00D6563D">
      <w:pPr>
        <w:pStyle w:val="af4"/>
        <w:spacing w:before="120" w:after="120" w:line="240" w:lineRule="auto"/>
        <w:ind w:left="0" w:firstLine="709"/>
        <w:jc w:val="both"/>
        <w:rPr>
          <w:rFonts w:ascii="Times New Roman" w:hAnsi="Times New Roman" w:cs="Times New Roman"/>
          <w:color w:val="000000" w:themeColor="text1"/>
          <w:sz w:val="24"/>
          <w:szCs w:val="24"/>
        </w:rPr>
      </w:pPr>
      <w:r w:rsidRPr="00DC10C9">
        <w:rPr>
          <w:rFonts w:ascii="Times New Roman" w:hAnsi="Times New Roman" w:cs="Times New Roman"/>
          <w:color w:val="000000" w:themeColor="text1"/>
          <w:sz w:val="24"/>
          <w:szCs w:val="24"/>
        </w:rPr>
        <w:t>Согласно рисунку 2, величина достоверности аппроксимации</w:t>
      </w:r>
      <w:r>
        <w:rPr>
          <w:rFonts w:ascii="Times New Roman" w:hAnsi="Times New Roman" w:cs="Times New Roman"/>
          <w:color w:val="000000" w:themeColor="text1"/>
          <w:sz w:val="24"/>
          <w:szCs w:val="24"/>
        </w:rPr>
        <w:t xml:space="preserve"> [</w:t>
      </w:r>
      <w:r w:rsidRPr="00CE6865">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w:t>
      </w:r>
      <w:r w:rsidRPr="00DC10C9">
        <w:rPr>
          <w:rFonts w:ascii="Times New Roman" w:hAnsi="Times New Roman" w:cs="Times New Roman"/>
          <w:color w:val="000000" w:themeColor="text1"/>
          <w:sz w:val="24"/>
          <w:szCs w:val="24"/>
        </w:rPr>
        <w:t xml:space="preserve"> логарифмической линии тренда также низка (</w:t>
      </w:r>
      <w:r w:rsidRPr="00DC10C9">
        <w:rPr>
          <w:rFonts w:ascii="Times New Roman" w:hAnsi="Times New Roman" w:cs="Times New Roman"/>
          <w:color w:val="000000" w:themeColor="text1"/>
          <w:sz w:val="24"/>
          <w:szCs w:val="24"/>
          <w:shd w:val="clear" w:color="auto" w:fill="FFFFFF"/>
          <w:lang w:val="en-US"/>
        </w:rPr>
        <w:t>R</w:t>
      </w:r>
      <w:r w:rsidRPr="00DC10C9">
        <w:rPr>
          <w:rFonts w:ascii="Times New Roman" w:hAnsi="Times New Roman" w:cs="Times New Roman"/>
          <w:color w:val="000000" w:themeColor="text1"/>
          <w:sz w:val="24"/>
          <w:szCs w:val="24"/>
          <w:shd w:val="clear" w:color="auto" w:fill="FFFFFF"/>
          <w:vertAlign w:val="superscript"/>
        </w:rPr>
        <w:t>2</w:t>
      </w:r>
      <w:r w:rsidRPr="00DC10C9">
        <w:rPr>
          <w:rFonts w:ascii="Times New Roman" w:hAnsi="Times New Roman" w:cs="Times New Roman"/>
          <w:color w:val="000000" w:themeColor="text1"/>
          <w:sz w:val="24"/>
          <w:szCs w:val="24"/>
          <w:shd w:val="clear" w:color="auto" w:fill="FFFFFF"/>
        </w:rPr>
        <w:t>=0,412), вероятнее всего, не даст точного прогноза.</w:t>
      </w:r>
    </w:p>
    <w:p w:rsidR="00D6563D" w:rsidRPr="00DC10C9" w:rsidRDefault="00D6563D" w:rsidP="00D6563D">
      <w:pPr>
        <w:pStyle w:val="af4"/>
        <w:numPr>
          <w:ilvl w:val="0"/>
          <w:numId w:val="103"/>
        </w:numPr>
        <w:pBdr>
          <w:top w:val="none" w:sz="0" w:space="0" w:color="auto"/>
          <w:left w:val="none" w:sz="0" w:space="0" w:color="auto"/>
          <w:bottom w:val="none" w:sz="0" w:space="0" w:color="auto"/>
          <w:right w:val="none" w:sz="0" w:space="0" w:color="auto"/>
          <w:between w:val="none" w:sz="0" w:space="0" w:color="auto"/>
        </w:pBdr>
        <w:spacing w:before="120" w:after="120" w:line="240" w:lineRule="auto"/>
        <w:ind w:left="0" w:firstLine="709"/>
        <w:contextualSpacing/>
        <w:jc w:val="both"/>
        <w:rPr>
          <w:rFonts w:ascii="Times New Roman" w:hAnsi="Times New Roman" w:cs="Times New Roman"/>
          <w:color w:val="000000" w:themeColor="text1"/>
          <w:sz w:val="24"/>
          <w:szCs w:val="24"/>
        </w:rPr>
      </w:pPr>
      <w:r w:rsidRPr="00DC10C9">
        <w:rPr>
          <w:rFonts w:ascii="Times New Roman" w:hAnsi="Times New Roman" w:cs="Times New Roman"/>
          <w:color w:val="000000" w:themeColor="text1"/>
          <w:sz w:val="24"/>
          <w:szCs w:val="24"/>
        </w:rPr>
        <w:t xml:space="preserve">Экспоненциальная линия тренда: </w:t>
      </w:r>
      <w:r w:rsidRPr="00DC10C9">
        <w:rPr>
          <w:rFonts w:ascii="Times New Roman" w:hAnsi="Times New Roman" w:cs="Times New Roman"/>
          <w:color w:val="000000" w:themeColor="text1"/>
          <w:sz w:val="24"/>
          <w:szCs w:val="24"/>
          <w:shd w:val="clear" w:color="auto" w:fill="FFFFFF"/>
        </w:rPr>
        <w:t>эта линия тренда полезна, если скорость изменения данных непрерывно возрастает. Однако для данных, которые содержат нулевые или отрицательные значения, экспоненциальная линия тренда неприменима</w:t>
      </w:r>
      <w:r w:rsidRPr="00DC10C9">
        <w:rPr>
          <w:rFonts w:ascii="Times New Roman" w:hAnsi="Times New Roman" w:cs="Times New Roman"/>
          <w:color w:val="000000" w:themeColor="text1"/>
          <w:sz w:val="24"/>
          <w:szCs w:val="24"/>
        </w:rPr>
        <w:t>.</w:t>
      </w:r>
    </w:p>
    <w:p w:rsidR="00D6563D" w:rsidRPr="00DC10C9" w:rsidRDefault="00D6563D" w:rsidP="00D6563D">
      <w:pPr>
        <w:pStyle w:val="af4"/>
        <w:spacing w:before="120" w:after="120" w:line="240" w:lineRule="auto"/>
        <w:ind w:left="0" w:right="-1" w:firstLine="709"/>
        <w:jc w:val="center"/>
        <w:rPr>
          <w:rFonts w:ascii="Times New Roman" w:hAnsi="Times New Roman" w:cs="Times New Roman"/>
          <w:color w:val="000000" w:themeColor="text1"/>
          <w:sz w:val="24"/>
          <w:szCs w:val="24"/>
        </w:rPr>
      </w:pPr>
      <w:r w:rsidRPr="00DC10C9">
        <w:rPr>
          <w:rFonts w:ascii="Times New Roman" w:hAnsi="Times New Roman" w:cs="Times New Roman"/>
          <w:color w:val="000000" w:themeColor="text1"/>
          <w:sz w:val="24"/>
          <w:szCs w:val="24"/>
        </w:rPr>
        <w:object w:dxaOrig="8688" w:dyaOrig="4084">
          <v:shape id="_x0000_i1038" type="#_x0000_t75" style="width:435pt;height:189pt" o:ole="">
            <v:imagedata r:id="rId338" o:title=""/>
          </v:shape>
          <o:OLEObject Type="Embed" ProgID="Excel.Sheet.12" ShapeID="_x0000_i1038" DrawAspect="Content" ObjectID="_1603718614" r:id="rId339"/>
        </w:object>
      </w:r>
      <w:r>
        <w:rPr>
          <w:rFonts w:ascii="Times New Roman" w:hAnsi="Times New Roman" w:cs="Times New Roman"/>
          <w:color w:val="000000" w:themeColor="text1"/>
          <w:sz w:val="24"/>
          <w:szCs w:val="24"/>
        </w:rPr>
        <w:t>Рис.3. Г</w:t>
      </w:r>
      <w:r w:rsidRPr="00DC10C9">
        <w:rPr>
          <w:rFonts w:ascii="Times New Roman" w:hAnsi="Times New Roman" w:cs="Times New Roman"/>
          <w:color w:val="000000" w:themeColor="text1"/>
          <w:sz w:val="24"/>
          <w:szCs w:val="24"/>
        </w:rPr>
        <w:t>рафик экспоненциальной линии тренда</w:t>
      </w:r>
    </w:p>
    <w:p w:rsidR="00D6563D" w:rsidRDefault="00D6563D" w:rsidP="00D6563D">
      <w:pPr>
        <w:pStyle w:val="af4"/>
        <w:spacing w:before="120" w:after="120" w:line="240" w:lineRule="auto"/>
        <w:ind w:left="0" w:firstLine="709"/>
        <w:jc w:val="both"/>
        <w:rPr>
          <w:rFonts w:ascii="Times New Roman" w:hAnsi="Times New Roman" w:cs="Times New Roman"/>
          <w:color w:val="000000" w:themeColor="text1"/>
          <w:sz w:val="24"/>
          <w:szCs w:val="24"/>
        </w:rPr>
      </w:pPr>
      <w:r w:rsidRPr="00DC10C9">
        <w:rPr>
          <w:rFonts w:ascii="Times New Roman" w:hAnsi="Times New Roman" w:cs="Times New Roman"/>
          <w:color w:val="000000" w:themeColor="text1"/>
          <w:sz w:val="24"/>
          <w:szCs w:val="24"/>
        </w:rPr>
        <w:t xml:space="preserve">По рисунку </w:t>
      </w:r>
      <w:r>
        <w:rPr>
          <w:rFonts w:ascii="Times New Roman" w:hAnsi="Times New Roman" w:cs="Times New Roman"/>
          <w:color w:val="000000" w:themeColor="text1"/>
          <w:sz w:val="24"/>
          <w:szCs w:val="24"/>
        </w:rPr>
        <w:t>3</w:t>
      </w:r>
      <w:r w:rsidRPr="00DC10C9">
        <w:rPr>
          <w:rFonts w:ascii="Times New Roman" w:hAnsi="Times New Roman" w:cs="Times New Roman"/>
          <w:color w:val="000000" w:themeColor="text1"/>
          <w:sz w:val="24"/>
          <w:szCs w:val="24"/>
        </w:rPr>
        <w:t xml:space="preserve"> видно, что прогноз будет недостоверным.</w:t>
      </w:r>
    </w:p>
    <w:p w:rsidR="00D6563D" w:rsidRDefault="00D6563D" w:rsidP="00D6563D">
      <w:pPr>
        <w:pStyle w:val="af4"/>
        <w:numPr>
          <w:ilvl w:val="0"/>
          <w:numId w:val="103"/>
        </w:numPr>
        <w:pBdr>
          <w:top w:val="none" w:sz="0" w:space="0" w:color="auto"/>
          <w:left w:val="none" w:sz="0" w:space="0" w:color="auto"/>
          <w:bottom w:val="none" w:sz="0" w:space="0" w:color="auto"/>
          <w:right w:val="none" w:sz="0" w:space="0" w:color="auto"/>
          <w:between w:val="none" w:sz="0" w:space="0" w:color="auto"/>
        </w:pBdr>
        <w:spacing w:before="120" w:after="120" w:line="240" w:lineRule="auto"/>
        <w:ind w:left="0" w:firstLine="709"/>
        <w:contextualSpacing/>
        <w:jc w:val="both"/>
        <w:rPr>
          <w:rFonts w:ascii="Times New Roman" w:hAnsi="Times New Roman" w:cs="Times New Roman"/>
          <w:color w:val="000000" w:themeColor="text1"/>
          <w:sz w:val="24"/>
          <w:szCs w:val="24"/>
        </w:rPr>
      </w:pPr>
      <w:r w:rsidRPr="00DC10C9">
        <w:rPr>
          <w:rFonts w:ascii="Times New Roman" w:hAnsi="Times New Roman" w:cs="Times New Roman"/>
          <w:color w:val="000000" w:themeColor="text1"/>
          <w:sz w:val="24"/>
          <w:szCs w:val="24"/>
        </w:rPr>
        <w:t xml:space="preserve">Полиномиальная линия тренда: </w:t>
      </w:r>
      <w:r w:rsidRPr="00DC10C9">
        <w:rPr>
          <w:rFonts w:ascii="Times New Roman" w:hAnsi="Times New Roman" w:cs="Times New Roman"/>
          <w:color w:val="000000" w:themeColor="text1"/>
          <w:sz w:val="24"/>
          <w:szCs w:val="24"/>
          <w:shd w:val="clear" w:color="auto" w:fill="FFFFFF"/>
        </w:rPr>
        <w:t>эта линия тренда полезна для описания вели</w:t>
      </w:r>
      <w:r>
        <w:rPr>
          <w:rFonts w:ascii="Times New Roman" w:hAnsi="Times New Roman" w:cs="Times New Roman"/>
          <w:color w:val="000000" w:themeColor="text1"/>
          <w:sz w:val="24"/>
          <w:szCs w:val="24"/>
          <w:shd w:val="clear" w:color="auto" w:fill="FFFFFF"/>
        </w:rPr>
        <w:t xml:space="preserve">чин, попеременно возрастающих и </w:t>
      </w:r>
      <w:r w:rsidRPr="00DC10C9">
        <w:rPr>
          <w:rFonts w:ascii="Times New Roman" w:hAnsi="Times New Roman" w:cs="Times New Roman"/>
          <w:color w:val="000000" w:themeColor="text1"/>
          <w:sz w:val="24"/>
          <w:szCs w:val="24"/>
          <w:shd w:val="clear" w:color="auto" w:fill="FFFFFF"/>
        </w:rPr>
        <w:t>убывающих. Например, при анализе большого набора данных о нестабильной величине</w:t>
      </w:r>
      <w:r w:rsidRPr="00DC10C9">
        <w:rPr>
          <w:rFonts w:ascii="Times New Roman" w:hAnsi="Times New Roman" w:cs="Times New Roman"/>
          <w:color w:val="000000" w:themeColor="text1"/>
          <w:sz w:val="24"/>
          <w:szCs w:val="24"/>
        </w:rPr>
        <w:t>.</w:t>
      </w:r>
    </w:p>
    <w:p w:rsidR="00D6563D" w:rsidRPr="00F16FCB" w:rsidRDefault="00D6563D" w:rsidP="00D6563D">
      <w:pPr>
        <w:spacing w:before="120" w:after="120" w:line="240" w:lineRule="auto"/>
        <w:ind w:firstLine="709"/>
        <w:jc w:val="both"/>
        <w:rPr>
          <w:rFonts w:ascii="Times New Roman" w:hAnsi="Times New Roman" w:cs="Times New Roman"/>
          <w:color w:val="000000" w:themeColor="text1"/>
          <w:sz w:val="24"/>
          <w:szCs w:val="24"/>
        </w:rPr>
      </w:pPr>
      <w:r w:rsidRPr="00F16FCB">
        <w:rPr>
          <w:rFonts w:ascii="Times New Roman" w:hAnsi="Times New Roman" w:cs="Times New Roman"/>
          <w:color w:val="000000" w:themeColor="text1"/>
          <w:sz w:val="24"/>
          <w:szCs w:val="24"/>
          <w:shd w:val="clear" w:color="auto" w:fill="FFFFFF"/>
        </w:rPr>
        <w:t>На рисунке 4 мы видим, что величина достоверности аппроксимации</w:t>
      </w:r>
      <w:r>
        <w:rPr>
          <w:rFonts w:ascii="Times New Roman" w:hAnsi="Times New Roman" w:cs="Times New Roman"/>
          <w:color w:val="000000" w:themeColor="text1"/>
          <w:sz w:val="24"/>
          <w:szCs w:val="24"/>
          <w:shd w:val="clear" w:color="auto" w:fill="FFFFFF"/>
        </w:rPr>
        <w:t xml:space="preserve"> полиномом четвертой степени</w:t>
      </w:r>
      <w:r w:rsidRPr="00F16FCB">
        <w:rPr>
          <w:rFonts w:ascii="Times New Roman" w:hAnsi="Times New Roman" w:cs="Times New Roman"/>
          <w:color w:val="000000" w:themeColor="text1"/>
          <w:sz w:val="24"/>
          <w:szCs w:val="24"/>
          <w:shd w:val="clear" w:color="auto" w:fill="FFFFFF"/>
        </w:rPr>
        <w:t xml:space="preserve"> равна </w:t>
      </w:r>
      <w:r w:rsidRPr="00F16FCB">
        <w:rPr>
          <w:rFonts w:ascii="Times New Roman" w:hAnsi="Times New Roman" w:cs="Times New Roman"/>
          <w:color w:val="000000" w:themeColor="text1"/>
          <w:sz w:val="24"/>
          <w:szCs w:val="24"/>
          <w:shd w:val="clear" w:color="auto" w:fill="FFFFFF"/>
          <w:lang w:val="en-US"/>
        </w:rPr>
        <w:t>R</w:t>
      </w:r>
      <w:r w:rsidRPr="00F16FCB">
        <w:rPr>
          <w:rFonts w:ascii="Times New Roman" w:hAnsi="Times New Roman" w:cs="Times New Roman"/>
          <w:color w:val="000000" w:themeColor="text1"/>
          <w:sz w:val="24"/>
          <w:szCs w:val="24"/>
          <w:shd w:val="clear" w:color="auto" w:fill="FFFFFF"/>
          <w:vertAlign w:val="superscript"/>
        </w:rPr>
        <w:t>2</w:t>
      </w:r>
      <w:r w:rsidRPr="00F16FCB">
        <w:rPr>
          <w:rFonts w:ascii="Times New Roman" w:hAnsi="Times New Roman" w:cs="Times New Roman"/>
          <w:color w:val="000000" w:themeColor="text1"/>
          <w:sz w:val="24"/>
          <w:szCs w:val="24"/>
          <w:shd w:val="clear" w:color="auto" w:fill="FFFFFF"/>
        </w:rPr>
        <w:t>=0,993, что свидетельствует о хорошем совпадении расчетной линии с данными.</w:t>
      </w:r>
      <w:r w:rsidRPr="00F16FCB">
        <w:rPr>
          <w:rFonts w:ascii="Times New Roman" w:hAnsi="Times New Roman" w:cs="Times New Roman"/>
          <w:color w:val="000000" w:themeColor="text1"/>
          <w:sz w:val="24"/>
          <w:szCs w:val="24"/>
        </w:rPr>
        <w:t xml:space="preserve">Уравнение полинома четвертой степени было проверено на адекватность [5]. </w:t>
      </w:r>
    </w:p>
    <w:p w:rsidR="00D6563D" w:rsidRPr="00F16FCB" w:rsidRDefault="00D6563D" w:rsidP="00D6563D">
      <w:pPr>
        <w:spacing w:before="120" w:after="120" w:line="240" w:lineRule="auto"/>
        <w:ind w:firstLine="709"/>
        <w:jc w:val="both"/>
        <w:rPr>
          <w:rFonts w:ascii="Times New Roman" w:hAnsi="Times New Roman" w:cs="Times New Roman"/>
          <w:color w:val="000000" w:themeColor="text1"/>
          <w:sz w:val="24"/>
          <w:szCs w:val="24"/>
        </w:rPr>
      </w:pPr>
      <w:r w:rsidRPr="00F16FCB">
        <w:rPr>
          <w:rFonts w:ascii="Times New Roman" w:hAnsi="Times New Roman" w:cs="Times New Roman"/>
          <w:color w:val="000000" w:themeColor="text1"/>
          <w:sz w:val="24"/>
          <w:szCs w:val="24"/>
        </w:rPr>
        <w:t>Для этого была выдвинута нулевая гипотеза – уравнение адекватно. В ходе вычислений был</w:t>
      </w:r>
      <w:r>
        <w:rPr>
          <w:rFonts w:ascii="Times New Roman" w:hAnsi="Times New Roman" w:cs="Times New Roman"/>
          <w:color w:val="000000" w:themeColor="text1"/>
          <w:sz w:val="24"/>
          <w:szCs w:val="24"/>
        </w:rPr>
        <w:t>о</w:t>
      </w:r>
      <w:r w:rsidRPr="00F16FCB">
        <w:rPr>
          <w:rFonts w:ascii="Times New Roman" w:hAnsi="Times New Roman" w:cs="Times New Roman"/>
          <w:color w:val="000000" w:themeColor="text1"/>
          <w:sz w:val="24"/>
          <w:szCs w:val="24"/>
        </w:rPr>
        <w:t xml:space="preserve"> найден</w:t>
      </w:r>
      <w:r>
        <w:rPr>
          <w:rFonts w:ascii="Times New Roman" w:hAnsi="Times New Roman" w:cs="Times New Roman"/>
          <w:color w:val="000000" w:themeColor="text1"/>
          <w:sz w:val="24"/>
          <w:szCs w:val="24"/>
        </w:rPr>
        <w:t>о значение</w:t>
      </w:r>
      <w:r w:rsidRPr="00F16FCB">
        <w:rPr>
          <w:rFonts w:ascii="Times New Roman" w:hAnsi="Times New Roman" w:cs="Times New Roman"/>
          <w:color w:val="000000" w:themeColor="text1"/>
          <w:sz w:val="24"/>
          <w:szCs w:val="24"/>
        </w:rPr>
        <w:t xml:space="preserve"> критери</w:t>
      </w:r>
      <w:r>
        <w:rPr>
          <w:rFonts w:ascii="Times New Roman" w:hAnsi="Times New Roman" w:cs="Times New Roman"/>
          <w:color w:val="000000" w:themeColor="text1"/>
          <w:sz w:val="24"/>
          <w:szCs w:val="24"/>
        </w:rPr>
        <w:t>я</w:t>
      </w:r>
      <w:r w:rsidRPr="00F16FCB">
        <w:rPr>
          <w:rFonts w:ascii="Times New Roman" w:hAnsi="Times New Roman" w:cs="Times New Roman"/>
          <w:color w:val="000000" w:themeColor="text1"/>
          <w:sz w:val="24"/>
          <w:szCs w:val="24"/>
        </w:rPr>
        <w:t xml:space="preserve"> </w:t>
      </w:r>
      <w:r w:rsidRPr="00F16FCB">
        <w:rPr>
          <w:rFonts w:ascii="Times New Roman" w:hAnsi="Times New Roman" w:cs="Times New Roman"/>
          <w:color w:val="000000" w:themeColor="text1"/>
          <w:sz w:val="24"/>
          <w:szCs w:val="24"/>
          <w:lang w:val="en-US"/>
        </w:rPr>
        <w:t>F</w:t>
      </w:r>
      <w:r w:rsidRPr="00F16FCB">
        <w:rPr>
          <w:rFonts w:ascii="Times New Roman" w:hAnsi="Times New Roman" w:cs="Times New Roman"/>
          <w:color w:val="000000" w:themeColor="text1"/>
          <w:sz w:val="24"/>
          <w:szCs w:val="24"/>
        </w:rPr>
        <w:t xml:space="preserve"> = 0,2 и степени свободы </w:t>
      </w:r>
      <w:r w:rsidRPr="00F16FCB">
        <w:rPr>
          <w:rFonts w:ascii="Times New Roman" w:hAnsi="Times New Roman" w:cs="Times New Roman"/>
          <w:color w:val="000000" w:themeColor="text1"/>
          <w:sz w:val="24"/>
          <w:szCs w:val="24"/>
          <w:lang w:val="en-US"/>
        </w:rPr>
        <w:t>k</w:t>
      </w:r>
      <w:r w:rsidRPr="00F16FCB">
        <w:rPr>
          <w:rFonts w:ascii="Times New Roman" w:hAnsi="Times New Roman" w:cs="Times New Roman"/>
          <w:color w:val="000000" w:themeColor="text1"/>
          <w:sz w:val="24"/>
          <w:szCs w:val="24"/>
          <w:vertAlign w:val="subscript"/>
        </w:rPr>
        <w:t>1</w:t>
      </w:r>
      <w:r w:rsidRPr="00F16FCB">
        <w:rPr>
          <w:rFonts w:ascii="Times New Roman" w:hAnsi="Times New Roman" w:cs="Times New Roman"/>
          <w:color w:val="000000" w:themeColor="text1"/>
          <w:sz w:val="24"/>
          <w:szCs w:val="24"/>
        </w:rPr>
        <w:t xml:space="preserve">= 4 и </w:t>
      </w:r>
      <w:r w:rsidRPr="00F16FCB">
        <w:rPr>
          <w:rFonts w:ascii="Times New Roman" w:hAnsi="Times New Roman" w:cs="Times New Roman"/>
          <w:color w:val="000000" w:themeColor="text1"/>
          <w:sz w:val="24"/>
          <w:szCs w:val="24"/>
          <w:lang w:val="en-US"/>
        </w:rPr>
        <w:t>k</w:t>
      </w:r>
      <w:r w:rsidRPr="00F16FCB">
        <w:rPr>
          <w:rFonts w:ascii="Times New Roman" w:hAnsi="Times New Roman" w:cs="Times New Roman"/>
          <w:color w:val="000000" w:themeColor="text1"/>
          <w:sz w:val="24"/>
          <w:szCs w:val="24"/>
          <w:vertAlign w:val="subscript"/>
        </w:rPr>
        <w:t>2</w:t>
      </w:r>
      <w:r w:rsidRPr="00F16FCB">
        <w:rPr>
          <w:rFonts w:ascii="Times New Roman" w:hAnsi="Times New Roman" w:cs="Times New Roman"/>
          <w:color w:val="000000" w:themeColor="text1"/>
          <w:sz w:val="24"/>
          <w:szCs w:val="24"/>
        </w:rPr>
        <w:t xml:space="preserve"> = 6. Степени свободы позволяют найти</w:t>
      </w:r>
      <w:r>
        <w:rPr>
          <w:rFonts w:ascii="Times New Roman" w:hAnsi="Times New Roman" w:cs="Times New Roman"/>
          <w:color w:val="000000" w:themeColor="text1"/>
          <w:sz w:val="24"/>
          <w:szCs w:val="24"/>
        </w:rPr>
        <w:t xml:space="preserve"> значение</w:t>
      </w:r>
      <w:r w:rsidRPr="00F16FCB">
        <w:rPr>
          <w:rFonts w:ascii="Times New Roman" w:hAnsi="Times New Roman" w:cs="Times New Roman"/>
          <w:color w:val="000000" w:themeColor="text1"/>
          <w:sz w:val="24"/>
          <w:szCs w:val="24"/>
        </w:rPr>
        <w:t xml:space="preserve"> </w:t>
      </w:r>
      <w:r w:rsidRPr="00F16FCB">
        <w:rPr>
          <w:rFonts w:ascii="Times New Roman" w:hAnsi="Times New Roman" w:cs="Times New Roman"/>
          <w:color w:val="000000" w:themeColor="text1"/>
          <w:sz w:val="24"/>
          <w:szCs w:val="24"/>
          <w:lang w:val="en-US"/>
        </w:rPr>
        <w:t>F</w:t>
      </w:r>
      <w:r w:rsidRPr="00F16FCB">
        <w:rPr>
          <w:rFonts w:ascii="Times New Roman" w:hAnsi="Times New Roman" w:cs="Times New Roman"/>
          <w:color w:val="000000" w:themeColor="text1"/>
          <w:sz w:val="24"/>
          <w:szCs w:val="24"/>
        </w:rPr>
        <w:t>-критери</w:t>
      </w:r>
      <w:r>
        <w:rPr>
          <w:rFonts w:ascii="Times New Roman" w:hAnsi="Times New Roman" w:cs="Times New Roman"/>
          <w:color w:val="000000" w:themeColor="text1"/>
          <w:sz w:val="24"/>
          <w:szCs w:val="24"/>
        </w:rPr>
        <w:t>я</w:t>
      </w:r>
      <w:r w:rsidRPr="00F16FCB">
        <w:rPr>
          <w:rFonts w:ascii="Times New Roman" w:hAnsi="Times New Roman" w:cs="Times New Roman"/>
          <w:color w:val="000000" w:themeColor="text1"/>
          <w:sz w:val="24"/>
          <w:szCs w:val="24"/>
        </w:rPr>
        <w:t xml:space="preserve"> Фишера [6]. Он равен 4,53. </w:t>
      </w:r>
    </w:p>
    <w:p w:rsidR="00D6563D" w:rsidRPr="00F16FCB" w:rsidRDefault="00D6563D" w:rsidP="00D6563D">
      <w:pPr>
        <w:spacing w:before="120" w:after="120" w:line="240" w:lineRule="auto"/>
        <w:ind w:firstLine="709"/>
        <w:jc w:val="both"/>
        <w:rPr>
          <w:rFonts w:ascii="Times New Roman" w:hAnsi="Times New Roman" w:cs="Times New Roman"/>
          <w:color w:val="000000" w:themeColor="text1"/>
          <w:sz w:val="24"/>
          <w:szCs w:val="24"/>
        </w:rPr>
      </w:pPr>
      <w:r w:rsidRPr="00F16FCB">
        <w:rPr>
          <w:rFonts w:ascii="Times New Roman" w:hAnsi="Times New Roman" w:cs="Times New Roman"/>
          <w:color w:val="000000" w:themeColor="text1"/>
          <w:sz w:val="24"/>
          <w:szCs w:val="24"/>
        </w:rPr>
        <w:t xml:space="preserve">Так как </w:t>
      </w:r>
      <w:r w:rsidRPr="00F16FCB">
        <w:rPr>
          <w:rFonts w:ascii="Times New Roman" w:hAnsi="Times New Roman" w:cs="Times New Roman"/>
          <w:color w:val="000000" w:themeColor="text1"/>
          <w:sz w:val="24"/>
          <w:szCs w:val="24"/>
          <w:lang w:val="en-US"/>
        </w:rPr>
        <w:t>F</w:t>
      </w:r>
      <w:r w:rsidRPr="00F16FCB">
        <w:rPr>
          <w:rFonts w:ascii="Times New Roman" w:hAnsi="Times New Roman" w:cs="Times New Roman"/>
          <w:color w:val="000000" w:themeColor="text1"/>
          <w:sz w:val="24"/>
          <w:szCs w:val="24"/>
        </w:rPr>
        <w:t>&lt;</w:t>
      </w:r>
      <w:r w:rsidRPr="00F16FCB">
        <w:rPr>
          <w:rFonts w:ascii="Times New Roman" w:hAnsi="Times New Roman" w:cs="Times New Roman"/>
          <w:color w:val="000000" w:themeColor="text1"/>
          <w:sz w:val="24"/>
          <w:szCs w:val="24"/>
          <w:lang w:val="en-US"/>
        </w:rPr>
        <w:t>F</w:t>
      </w:r>
      <w:r w:rsidRPr="00F16FCB">
        <w:rPr>
          <w:rFonts w:ascii="Times New Roman" w:hAnsi="Times New Roman" w:cs="Times New Roman"/>
          <w:color w:val="000000" w:themeColor="text1"/>
          <w:sz w:val="24"/>
          <w:szCs w:val="24"/>
          <w:vertAlign w:val="subscript"/>
        </w:rPr>
        <w:t>ф</w:t>
      </w:r>
      <w:r w:rsidRPr="00F16FCB">
        <w:rPr>
          <w:rFonts w:ascii="Times New Roman" w:hAnsi="Times New Roman" w:cs="Times New Roman"/>
          <w:color w:val="000000" w:themeColor="text1"/>
          <w:sz w:val="24"/>
          <w:szCs w:val="24"/>
        </w:rPr>
        <w:t xml:space="preserve"> (0,2 &lt; 4,53),  можно сделать вывод, что нулевая гипотеза верна и уравнение адекватно.</w:t>
      </w:r>
    </w:p>
    <w:p w:rsidR="00D6563D" w:rsidRPr="00F16FCB" w:rsidRDefault="00D6563D" w:rsidP="00D6563D">
      <w:pPr>
        <w:spacing w:before="120" w:after="120" w:line="240" w:lineRule="auto"/>
        <w:jc w:val="both"/>
        <w:rPr>
          <w:rFonts w:ascii="Times New Roman" w:hAnsi="Times New Roman" w:cs="Times New Roman"/>
          <w:color w:val="000000" w:themeColor="text1"/>
          <w:sz w:val="24"/>
          <w:szCs w:val="24"/>
        </w:rPr>
      </w:pPr>
    </w:p>
    <w:p w:rsidR="00D6563D" w:rsidRPr="00DC10C9" w:rsidRDefault="00D6563D" w:rsidP="00D6563D">
      <w:pPr>
        <w:pStyle w:val="af4"/>
        <w:spacing w:before="120" w:after="120" w:line="240" w:lineRule="auto"/>
        <w:ind w:left="709"/>
        <w:jc w:val="both"/>
        <w:rPr>
          <w:rFonts w:ascii="Times New Roman" w:hAnsi="Times New Roman" w:cs="Times New Roman"/>
          <w:color w:val="000000" w:themeColor="text1"/>
          <w:sz w:val="24"/>
          <w:szCs w:val="24"/>
        </w:rPr>
      </w:pPr>
    </w:p>
    <w:p w:rsidR="00D6563D" w:rsidRPr="00DC10C9" w:rsidRDefault="00D6563D" w:rsidP="00D6563D">
      <w:pPr>
        <w:pStyle w:val="af4"/>
        <w:spacing w:before="120" w:after="120" w:line="240" w:lineRule="auto"/>
        <w:ind w:left="0" w:firstLine="709"/>
        <w:jc w:val="center"/>
        <w:rPr>
          <w:rFonts w:ascii="Times New Roman" w:hAnsi="Times New Roman" w:cs="Times New Roman"/>
          <w:color w:val="000000" w:themeColor="text1"/>
          <w:sz w:val="24"/>
          <w:szCs w:val="24"/>
        </w:rPr>
      </w:pPr>
      <w:r w:rsidRPr="00DC10C9">
        <w:rPr>
          <w:rFonts w:ascii="Times New Roman" w:hAnsi="Times New Roman" w:cs="Times New Roman"/>
          <w:color w:val="000000" w:themeColor="text1"/>
          <w:sz w:val="24"/>
          <w:szCs w:val="24"/>
        </w:rPr>
        <w:object w:dxaOrig="8688" w:dyaOrig="4084">
          <v:shape id="_x0000_i1039" type="#_x0000_t75" style="width:459.75pt;height:218.25pt" o:ole="">
            <v:imagedata r:id="rId340" o:title=""/>
          </v:shape>
          <o:OLEObject Type="Embed" ProgID="Excel.Sheet.12" ShapeID="_x0000_i1039" DrawAspect="Content" ObjectID="_1603718615" r:id="rId341"/>
        </w:object>
      </w:r>
      <w:r>
        <w:rPr>
          <w:rFonts w:ascii="Times New Roman" w:hAnsi="Times New Roman" w:cs="Times New Roman"/>
          <w:noProof/>
          <w:color w:val="000000" w:themeColor="text1"/>
          <w:sz w:val="24"/>
          <w:szCs w:val="24"/>
          <w:lang w:eastAsia="ru-RU"/>
        </w:rPr>
        <w:t>Рис.4. Г</w:t>
      </w:r>
      <w:r w:rsidRPr="00DC10C9">
        <w:rPr>
          <w:rFonts w:ascii="Times New Roman" w:hAnsi="Times New Roman" w:cs="Times New Roman"/>
          <w:noProof/>
          <w:color w:val="000000" w:themeColor="text1"/>
          <w:sz w:val="24"/>
          <w:szCs w:val="24"/>
          <w:lang w:eastAsia="ru-RU"/>
        </w:rPr>
        <w:t>рафик полиномиальной линии тренда</w:t>
      </w:r>
    </w:p>
    <w:p w:rsidR="00D6563D" w:rsidRPr="000524EB" w:rsidRDefault="00D6563D" w:rsidP="00D6563D">
      <w:pPr>
        <w:pStyle w:val="af4"/>
        <w:spacing w:before="120" w:after="120" w:line="240" w:lineRule="auto"/>
        <w:ind w:left="0" w:firstLine="709"/>
        <w:jc w:val="both"/>
        <w:rPr>
          <w:rFonts w:ascii="Times New Roman" w:hAnsi="Times New Roman" w:cs="Times New Roman"/>
          <w:color w:val="000000" w:themeColor="text1"/>
          <w:sz w:val="24"/>
          <w:szCs w:val="24"/>
        </w:rPr>
      </w:pPr>
      <w:r w:rsidRPr="00DC10C9">
        <w:rPr>
          <w:rFonts w:ascii="Times New Roman" w:hAnsi="Times New Roman" w:cs="Times New Roman"/>
          <w:color w:val="000000" w:themeColor="text1"/>
          <w:sz w:val="24"/>
          <w:szCs w:val="24"/>
        </w:rPr>
        <w:t>Исходя из выше представленных данных, мы можем сделать вывод, что полиномиальная линия тренда является наиболее точной для прогнозирования выручки данного предприятия.</w:t>
      </w:r>
    </w:p>
    <w:p w:rsidR="00D6563D" w:rsidRPr="001B34B9" w:rsidRDefault="00D6563D" w:rsidP="00D6563D">
      <w:pPr>
        <w:pStyle w:val="af4"/>
        <w:spacing w:before="120" w:after="120" w:line="240" w:lineRule="auto"/>
        <w:ind w:left="0" w:firstLine="709"/>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__________________________________________________________________________</w:t>
      </w:r>
    </w:p>
    <w:p w:rsidR="00D6563D" w:rsidRPr="00B65866" w:rsidRDefault="00D6563D" w:rsidP="00D6563D">
      <w:pPr>
        <w:pStyle w:val="af4"/>
        <w:numPr>
          <w:ilvl w:val="0"/>
          <w:numId w:val="104"/>
        </w:numPr>
        <w:pBdr>
          <w:top w:val="none" w:sz="0" w:space="0" w:color="auto"/>
          <w:left w:val="none" w:sz="0" w:space="0" w:color="auto"/>
          <w:bottom w:val="none" w:sz="0" w:space="0" w:color="auto"/>
          <w:right w:val="none" w:sz="0" w:space="0" w:color="auto"/>
          <w:between w:val="none" w:sz="0" w:space="0" w:color="auto"/>
        </w:pBdr>
        <w:spacing w:before="120" w:after="120" w:line="240" w:lineRule="auto"/>
        <w:ind w:left="1077" w:hanging="357"/>
        <w:contextualSpacing/>
        <w:jc w:val="both"/>
        <w:rPr>
          <w:rFonts w:ascii="Times New Roman" w:hAnsi="Times New Roman" w:cs="Times New Roman"/>
          <w:color w:val="000000" w:themeColor="text1"/>
          <w:sz w:val="24"/>
          <w:szCs w:val="24"/>
        </w:rPr>
      </w:pPr>
      <w:r w:rsidRPr="00B65866">
        <w:rPr>
          <w:rFonts w:ascii="Times New Roman" w:hAnsi="Times New Roman" w:cs="Times New Roman"/>
          <w:color w:val="000000" w:themeColor="text1"/>
          <w:sz w:val="24"/>
          <w:szCs w:val="24"/>
        </w:rPr>
        <w:t>[Электронный ресурс].- Режим доступа: http://www.cfin.ru/finanalysis/sales_forecast.shtml</w:t>
      </w:r>
    </w:p>
    <w:p w:rsidR="00D6563D" w:rsidRPr="00B65866" w:rsidRDefault="00D6563D" w:rsidP="00D6563D">
      <w:pPr>
        <w:pStyle w:val="af4"/>
        <w:numPr>
          <w:ilvl w:val="0"/>
          <w:numId w:val="104"/>
        </w:numPr>
        <w:pBdr>
          <w:top w:val="none" w:sz="0" w:space="0" w:color="auto"/>
          <w:left w:val="none" w:sz="0" w:space="0" w:color="auto"/>
          <w:bottom w:val="none" w:sz="0" w:space="0" w:color="auto"/>
          <w:right w:val="none" w:sz="0" w:space="0" w:color="auto"/>
          <w:between w:val="none" w:sz="0" w:space="0" w:color="auto"/>
        </w:pBdr>
        <w:spacing w:line="240" w:lineRule="auto"/>
        <w:ind w:left="1077" w:hanging="357"/>
        <w:contextualSpacing/>
        <w:jc w:val="both"/>
        <w:rPr>
          <w:rFonts w:ascii="Times New Roman" w:hAnsi="Times New Roman" w:cs="Times New Roman"/>
          <w:color w:val="000000" w:themeColor="text1"/>
          <w:sz w:val="24"/>
          <w:szCs w:val="24"/>
        </w:rPr>
      </w:pPr>
      <w:r w:rsidRPr="00B65866">
        <w:rPr>
          <w:rFonts w:ascii="Times New Roman" w:hAnsi="Times New Roman" w:cs="Times New Roman"/>
          <w:color w:val="000000" w:themeColor="text1"/>
          <w:sz w:val="24"/>
          <w:szCs w:val="24"/>
        </w:rPr>
        <w:t>[Электронный ресурс].- Режим доступа: https://studme.org/1076080323065/finansy/planirovanie_prognozirovanie_vyruchki_realizatsii_produktsii</w:t>
      </w:r>
    </w:p>
    <w:p w:rsidR="00D6563D" w:rsidRPr="009A45BE" w:rsidRDefault="00D6563D" w:rsidP="00D6563D">
      <w:pPr>
        <w:pStyle w:val="af4"/>
        <w:numPr>
          <w:ilvl w:val="0"/>
          <w:numId w:val="104"/>
        </w:numPr>
        <w:pBdr>
          <w:top w:val="none" w:sz="0" w:space="0" w:color="auto"/>
          <w:left w:val="none" w:sz="0" w:space="0" w:color="auto"/>
          <w:bottom w:val="none" w:sz="0" w:space="0" w:color="auto"/>
          <w:right w:val="none" w:sz="0" w:space="0" w:color="auto"/>
          <w:between w:val="none" w:sz="0" w:space="0" w:color="auto"/>
        </w:pBdr>
        <w:spacing w:line="240" w:lineRule="auto"/>
        <w:ind w:left="1077" w:hanging="357"/>
        <w:contextualSpacing/>
        <w:jc w:val="both"/>
        <w:rPr>
          <w:rFonts w:ascii="Times New Roman" w:hAnsi="Times New Roman" w:cs="Times New Roman"/>
          <w:color w:val="000000" w:themeColor="text1"/>
          <w:sz w:val="24"/>
          <w:szCs w:val="24"/>
        </w:rPr>
      </w:pPr>
      <w:r w:rsidRPr="00B65866">
        <w:rPr>
          <w:rFonts w:ascii="Times New Roman" w:hAnsi="Times New Roman" w:cs="Times New Roman"/>
          <w:color w:val="000000" w:themeColor="text1"/>
          <w:sz w:val="24"/>
          <w:szCs w:val="24"/>
        </w:rPr>
        <w:t xml:space="preserve">[Электронный ресурс].- Режим доступа: </w:t>
      </w:r>
      <w:r w:rsidRPr="00B65866">
        <w:rPr>
          <w:rFonts w:ascii="Times New Roman" w:hAnsi="Times New Roman" w:cs="Times New Roman"/>
          <w:sz w:val="24"/>
          <w:szCs w:val="24"/>
        </w:rPr>
        <w:t>http://exceltable.com/grafiki/liniya-trenda-v-excel</w:t>
      </w:r>
      <w:r w:rsidRPr="00900B80">
        <w:rPr>
          <w:rFonts w:ascii="Times New Roman" w:hAnsi="Times New Roman" w:cs="Times New Roman"/>
          <w:color w:val="000000"/>
          <w:sz w:val="24"/>
          <w:szCs w:val="24"/>
          <w:shd w:val="clear" w:color="auto" w:fill="FFFFFF"/>
        </w:rPr>
        <w:t xml:space="preserve"> </w:t>
      </w:r>
    </w:p>
    <w:p w:rsidR="00D6563D" w:rsidRDefault="00D6563D" w:rsidP="00D6563D">
      <w:pPr>
        <w:pStyle w:val="af4"/>
        <w:numPr>
          <w:ilvl w:val="0"/>
          <w:numId w:val="104"/>
        </w:numPr>
        <w:pBdr>
          <w:top w:val="none" w:sz="0" w:space="0" w:color="auto"/>
          <w:left w:val="none" w:sz="0" w:space="0" w:color="auto"/>
          <w:bottom w:val="none" w:sz="0" w:space="0" w:color="auto"/>
          <w:right w:val="none" w:sz="0" w:space="0" w:color="auto"/>
          <w:between w:val="none" w:sz="0" w:space="0" w:color="auto"/>
        </w:pBdr>
        <w:contextualSpacing/>
        <w:jc w:val="both"/>
        <w:rPr>
          <w:rFonts w:ascii="Times New Roman" w:hAnsi="Times New Roman" w:cs="Times New Roman"/>
          <w:sz w:val="24"/>
          <w:szCs w:val="24"/>
        </w:rPr>
      </w:pPr>
      <w:r w:rsidRPr="009A45BE">
        <w:rPr>
          <w:rStyle w:val="af8"/>
          <w:rFonts w:ascii="Times New Roman" w:hAnsi="Times New Roman"/>
          <w:sz w:val="24"/>
          <w:szCs w:val="24"/>
        </w:rPr>
        <w:t xml:space="preserve">Одияко Н.Н., Гусев Е.Г., Голодная Н.Ю. </w:t>
      </w:r>
      <w:r w:rsidRPr="009A45BE">
        <w:rPr>
          <w:rStyle w:val="affe"/>
          <w:rFonts w:ascii="Times New Roman" w:eastAsia="Arial" w:hAnsi="Times New Roman" w:cs="Times New Roman"/>
          <w:sz w:val="24"/>
          <w:szCs w:val="24"/>
        </w:rPr>
        <w:t>Бизнес-планирование как переход к новому качеству экономического развития в  рыночных условиях.</w:t>
      </w:r>
      <w:r w:rsidRPr="009A45BE">
        <w:rPr>
          <w:rFonts w:ascii="Times New Roman" w:hAnsi="Times New Roman" w:cs="Times New Roman"/>
          <w:sz w:val="24"/>
          <w:szCs w:val="24"/>
        </w:rPr>
        <w:br/>
      </w:r>
      <w:hyperlink r:id="rId342" w:tgtFrame="_blank" w:history="1">
        <w:r w:rsidRPr="009A45BE">
          <w:rPr>
            <w:rStyle w:val="aa"/>
            <w:rFonts w:ascii="Times New Roman" w:eastAsia="Arial" w:hAnsi="Times New Roman" w:cs="Times New Roman"/>
            <w:sz w:val="24"/>
            <w:szCs w:val="24"/>
          </w:rPr>
          <w:t>Экономика и предпринимательство</w:t>
        </w:r>
      </w:hyperlink>
      <w:r w:rsidRPr="009A45BE">
        <w:rPr>
          <w:rFonts w:ascii="Times New Roman" w:hAnsi="Times New Roman" w:cs="Times New Roman"/>
          <w:sz w:val="24"/>
          <w:szCs w:val="24"/>
        </w:rPr>
        <w:t>. 2015. № 5-1 (58-1).</w:t>
      </w:r>
    </w:p>
    <w:p w:rsidR="00D6563D" w:rsidRPr="009A45BE" w:rsidRDefault="00D6563D" w:rsidP="00D6563D">
      <w:pPr>
        <w:pStyle w:val="af4"/>
        <w:numPr>
          <w:ilvl w:val="0"/>
          <w:numId w:val="104"/>
        </w:numPr>
        <w:pBdr>
          <w:top w:val="none" w:sz="0" w:space="0" w:color="auto"/>
          <w:left w:val="none" w:sz="0" w:space="0" w:color="auto"/>
          <w:bottom w:val="none" w:sz="0" w:space="0" w:color="auto"/>
          <w:right w:val="none" w:sz="0" w:space="0" w:color="auto"/>
          <w:between w:val="none" w:sz="0" w:space="0" w:color="auto"/>
        </w:pBdr>
        <w:contextualSpacing/>
        <w:jc w:val="both"/>
        <w:rPr>
          <w:rFonts w:ascii="Times New Roman" w:hAnsi="Times New Roman" w:cs="Times New Roman"/>
          <w:sz w:val="24"/>
          <w:szCs w:val="24"/>
        </w:rPr>
      </w:pPr>
      <w:r w:rsidRPr="009A45BE">
        <w:rPr>
          <w:rFonts w:ascii="Times New Roman" w:hAnsi="Times New Roman" w:cs="Times New Roman"/>
          <w:sz w:val="24"/>
          <w:szCs w:val="24"/>
        </w:rPr>
        <w:t>Одияко Н.Н., Гриванова С.М., Гузенко А.Г.Имитационное моделирование в анализе инвестиционного проекта. Экономика и предпринимательство. 2014. № 12-3 (53-3).</w:t>
      </w:r>
    </w:p>
    <w:p w:rsidR="00D6563D" w:rsidRPr="009A45BE" w:rsidRDefault="00D6563D" w:rsidP="00D6563D">
      <w:pPr>
        <w:pStyle w:val="af4"/>
        <w:numPr>
          <w:ilvl w:val="0"/>
          <w:numId w:val="104"/>
        </w:numPr>
        <w:pBdr>
          <w:top w:val="none" w:sz="0" w:space="0" w:color="auto"/>
          <w:left w:val="none" w:sz="0" w:space="0" w:color="auto"/>
          <w:bottom w:val="none" w:sz="0" w:space="0" w:color="auto"/>
          <w:right w:val="none" w:sz="0" w:space="0" w:color="auto"/>
          <w:between w:val="none" w:sz="0" w:space="0" w:color="auto"/>
        </w:pBdr>
        <w:spacing w:line="240" w:lineRule="auto"/>
        <w:ind w:left="1077" w:hanging="357"/>
        <w:contextualSpacing/>
        <w:jc w:val="both"/>
        <w:rPr>
          <w:rFonts w:ascii="Times New Roman" w:hAnsi="Times New Roman" w:cs="Times New Roman"/>
          <w:color w:val="000000" w:themeColor="text1"/>
          <w:sz w:val="24"/>
          <w:szCs w:val="24"/>
        </w:rPr>
      </w:pPr>
      <w:r w:rsidRPr="00B65866">
        <w:rPr>
          <w:rFonts w:ascii="Times New Roman" w:hAnsi="Times New Roman" w:cs="Times New Roman"/>
          <w:color w:val="000000"/>
          <w:sz w:val="24"/>
          <w:szCs w:val="24"/>
          <w:shd w:val="clear" w:color="auto" w:fill="FFFFFF"/>
        </w:rPr>
        <w:t>Гузенко А.Г., Одияко Н.Н., Лавренюк К.И.</w:t>
      </w:r>
      <w:r w:rsidRPr="00B65866">
        <w:rPr>
          <w:rFonts w:ascii="Times New Roman" w:hAnsi="Times New Roman" w:cs="Times New Roman"/>
          <w:color w:val="000000"/>
          <w:sz w:val="24"/>
          <w:szCs w:val="24"/>
        </w:rPr>
        <w:br/>
      </w:r>
      <w:r w:rsidRPr="00B65866">
        <w:rPr>
          <w:rFonts w:ascii="Times New Roman" w:hAnsi="Times New Roman" w:cs="Times New Roman"/>
          <w:color w:val="000000"/>
          <w:sz w:val="24"/>
          <w:szCs w:val="24"/>
          <w:shd w:val="clear" w:color="auto" w:fill="FFFFFF"/>
        </w:rPr>
        <w:t>Моделирование потребительского рынка торговой марки. Экономика и предпринимательство. 2013. № 5 (34). С. 384-389. </w:t>
      </w:r>
    </w:p>
    <w:p w:rsidR="00D6563D" w:rsidRPr="009A45BE" w:rsidRDefault="00D6563D" w:rsidP="00D6563D">
      <w:pPr>
        <w:pStyle w:val="af4"/>
        <w:numPr>
          <w:ilvl w:val="0"/>
          <w:numId w:val="104"/>
        </w:numPr>
        <w:pBdr>
          <w:top w:val="none" w:sz="0" w:space="0" w:color="auto"/>
          <w:left w:val="none" w:sz="0" w:space="0" w:color="auto"/>
          <w:bottom w:val="none" w:sz="0" w:space="0" w:color="auto"/>
          <w:right w:val="none" w:sz="0" w:space="0" w:color="auto"/>
          <w:between w:val="none" w:sz="0" w:space="0" w:color="auto"/>
        </w:pBdr>
        <w:spacing w:line="240" w:lineRule="auto"/>
        <w:ind w:left="1077" w:hanging="357"/>
        <w:contextualSpacing/>
        <w:jc w:val="both"/>
        <w:rPr>
          <w:rFonts w:ascii="Times New Roman" w:hAnsi="Times New Roman" w:cs="Times New Roman"/>
          <w:sz w:val="24"/>
          <w:szCs w:val="24"/>
        </w:rPr>
      </w:pPr>
      <w:r w:rsidRPr="009A45BE">
        <w:rPr>
          <w:rStyle w:val="af8"/>
          <w:rFonts w:ascii="Times New Roman" w:hAnsi="Times New Roman"/>
          <w:sz w:val="24"/>
          <w:szCs w:val="24"/>
          <w:shd w:val="clear" w:color="auto" w:fill="FFFFFF"/>
        </w:rPr>
        <w:t>Одияко Н.Н., Голодная Н.Ю., Гузенко А.Г., Гусев Е.Г.</w:t>
      </w:r>
      <w:r w:rsidRPr="009A45BE">
        <w:rPr>
          <w:rFonts w:ascii="Times New Roman" w:hAnsi="Times New Roman" w:cs="Times New Roman"/>
          <w:i/>
          <w:sz w:val="24"/>
          <w:szCs w:val="24"/>
        </w:rPr>
        <w:br/>
      </w:r>
      <w:r>
        <w:rPr>
          <w:rStyle w:val="affe"/>
          <w:rFonts w:ascii="Times New Roman" w:eastAsia="Arial" w:hAnsi="Times New Roman" w:cs="Times New Roman"/>
          <w:sz w:val="24"/>
          <w:szCs w:val="24"/>
          <w:shd w:val="clear" w:color="auto" w:fill="FFFFFF"/>
        </w:rPr>
        <w:t>Оптимизация деятельности</w:t>
      </w:r>
      <w:r w:rsidRPr="009A45BE">
        <w:rPr>
          <w:rStyle w:val="affe"/>
          <w:rFonts w:ascii="Times New Roman" w:eastAsia="Arial" w:hAnsi="Times New Roman" w:cs="Times New Roman"/>
          <w:sz w:val="24"/>
          <w:szCs w:val="24"/>
          <w:shd w:val="clear" w:color="auto" w:fill="FFFFFF"/>
        </w:rPr>
        <w:t xml:space="preserve"> </w:t>
      </w:r>
      <w:r>
        <w:rPr>
          <w:rStyle w:val="affe"/>
          <w:rFonts w:ascii="Times New Roman" w:eastAsia="Arial" w:hAnsi="Times New Roman" w:cs="Times New Roman"/>
          <w:sz w:val="24"/>
          <w:szCs w:val="24"/>
          <w:shd w:val="clear" w:color="auto" w:fill="FFFFFF"/>
        </w:rPr>
        <w:t>предприятий малого бизнеса</w:t>
      </w:r>
      <w:r w:rsidRPr="009A45BE">
        <w:rPr>
          <w:rStyle w:val="affe"/>
          <w:rFonts w:ascii="Times New Roman" w:eastAsia="Arial" w:hAnsi="Times New Roman" w:cs="Times New Roman"/>
          <w:sz w:val="24"/>
          <w:szCs w:val="24"/>
          <w:shd w:val="clear" w:color="auto" w:fill="FFFFFF"/>
        </w:rPr>
        <w:t xml:space="preserve"> </w:t>
      </w:r>
      <w:r>
        <w:rPr>
          <w:rStyle w:val="affe"/>
          <w:rFonts w:ascii="Times New Roman" w:eastAsia="Arial" w:hAnsi="Times New Roman" w:cs="Times New Roman"/>
          <w:sz w:val="24"/>
          <w:szCs w:val="24"/>
          <w:shd w:val="clear" w:color="auto" w:fill="FFFFFF"/>
        </w:rPr>
        <w:t>как основа</w:t>
      </w:r>
      <w:r w:rsidRPr="009A45BE">
        <w:rPr>
          <w:rStyle w:val="affe"/>
          <w:rFonts w:ascii="Times New Roman" w:eastAsia="Arial" w:hAnsi="Times New Roman" w:cs="Times New Roman"/>
          <w:sz w:val="24"/>
          <w:szCs w:val="24"/>
          <w:shd w:val="clear" w:color="auto" w:fill="FFFFFF"/>
        </w:rPr>
        <w:t xml:space="preserve"> </w:t>
      </w:r>
      <w:r>
        <w:rPr>
          <w:rStyle w:val="affe"/>
          <w:rFonts w:ascii="Times New Roman" w:eastAsia="Arial" w:hAnsi="Times New Roman" w:cs="Times New Roman"/>
          <w:sz w:val="24"/>
          <w:szCs w:val="24"/>
          <w:shd w:val="clear" w:color="auto" w:fill="FFFFFF"/>
        </w:rPr>
        <w:t>повышения качества</w:t>
      </w:r>
      <w:r w:rsidRPr="009A45BE">
        <w:rPr>
          <w:rStyle w:val="affe"/>
          <w:rFonts w:ascii="Times New Roman" w:eastAsia="Arial" w:hAnsi="Times New Roman" w:cs="Times New Roman"/>
          <w:sz w:val="24"/>
          <w:szCs w:val="24"/>
          <w:shd w:val="clear" w:color="auto" w:fill="FFFFFF"/>
        </w:rPr>
        <w:t xml:space="preserve"> </w:t>
      </w:r>
      <w:r>
        <w:rPr>
          <w:rStyle w:val="affe"/>
          <w:rFonts w:ascii="Times New Roman" w:eastAsia="Arial" w:hAnsi="Times New Roman" w:cs="Times New Roman"/>
          <w:sz w:val="24"/>
          <w:szCs w:val="24"/>
          <w:shd w:val="clear" w:color="auto" w:fill="FFFFFF"/>
        </w:rPr>
        <w:t xml:space="preserve">обслуживания населения. </w:t>
      </w:r>
      <w:r w:rsidRPr="009A45BE">
        <w:rPr>
          <w:rFonts w:ascii="Times New Roman" w:hAnsi="Times New Roman" w:cs="Times New Roman"/>
          <w:sz w:val="24"/>
          <w:szCs w:val="24"/>
          <w:shd w:val="clear" w:color="auto" w:fill="FFFFFF"/>
        </w:rPr>
        <w:t>Экономика и предпринимательство. 2016. № 6 (71).</w:t>
      </w:r>
    </w:p>
    <w:p w:rsidR="00D6563D" w:rsidRPr="00900B80" w:rsidRDefault="00D6563D" w:rsidP="00D6563D">
      <w:pPr>
        <w:pStyle w:val="af4"/>
        <w:numPr>
          <w:ilvl w:val="0"/>
          <w:numId w:val="104"/>
        </w:numPr>
        <w:pBdr>
          <w:top w:val="none" w:sz="0" w:space="0" w:color="auto"/>
          <w:left w:val="none" w:sz="0" w:space="0" w:color="auto"/>
          <w:bottom w:val="none" w:sz="0" w:space="0" w:color="auto"/>
          <w:right w:val="none" w:sz="0" w:space="0" w:color="auto"/>
          <w:between w:val="none" w:sz="0" w:space="0" w:color="auto"/>
        </w:pBdr>
        <w:spacing w:line="240" w:lineRule="auto"/>
        <w:ind w:left="1077" w:hanging="357"/>
        <w:contextualSpacing/>
        <w:jc w:val="both"/>
        <w:rPr>
          <w:rFonts w:ascii="Times New Roman" w:hAnsi="Times New Roman" w:cs="Times New Roman"/>
          <w:color w:val="000000" w:themeColor="text1"/>
          <w:sz w:val="24"/>
          <w:szCs w:val="24"/>
        </w:rPr>
      </w:pPr>
      <w:r w:rsidRPr="00B65866">
        <w:rPr>
          <w:rFonts w:ascii="Times New Roman" w:hAnsi="Times New Roman" w:cs="Times New Roman"/>
          <w:color w:val="000000"/>
          <w:sz w:val="24"/>
          <w:szCs w:val="24"/>
          <w:shd w:val="clear" w:color="auto" w:fill="FFFFFF"/>
        </w:rPr>
        <w:t xml:space="preserve">Одияко Н.Н., Голодная Н.Ю., Реуцкий Р.С. Оптимизация работы информационной системы предприятия малого бизнеса по оказанию консультационных услуг. </w:t>
      </w:r>
    </w:p>
    <w:p w:rsidR="00D6563D" w:rsidRPr="00B65866" w:rsidRDefault="00D6563D" w:rsidP="00D6563D">
      <w:pPr>
        <w:pStyle w:val="af4"/>
        <w:numPr>
          <w:ilvl w:val="0"/>
          <w:numId w:val="104"/>
        </w:numPr>
        <w:pBdr>
          <w:top w:val="none" w:sz="0" w:space="0" w:color="auto"/>
          <w:left w:val="none" w:sz="0" w:space="0" w:color="auto"/>
          <w:bottom w:val="none" w:sz="0" w:space="0" w:color="auto"/>
          <w:right w:val="none" w:sz="0" w:space="0" w:color="auto"/>
          <w:between w:val="none" w:sz="0" w:space="0" w:color="auto"/>
        </w:pBdr>
        <w:spacing w:line="240" w:lineRule="auto"/>
        <w:ind w:left="1077" w:hanging="357"/>
        <w:contextualSpacing/>
        <w:jc w:val="both"/>
        <w:rPr>
          <w:rFonts w:ascii="Times New Roman" w:hAnsi="Times New Roman" w:cs="Times New Roman"/>
          <w:color w:val="000000" w:themeColor="text1"/>
          <w:sz w:val="24"/>
          <w:szCs w:val="24"/>
        </w:rPr>
      </w:pPr>
      <w:r w:rsidRPr="00B65866">
        <w:rPr>
          <w:rFonts w:ascii="Times New Roman" w:hAnsi="Times New Roman" w:cs="Times New Roman"/>
          <w:color w:val="000000"/>
          <w:sz w:val="24"/>
          <w:szCs w:val="24"/>
          <w:shd w:val="clear" w:color="auto" w:fill="FFFFFF"/>
        </w:rPr>
        <w:t>Одияко Н.Н., Голодная Н.Ю. Применение аддитивной и мультипликативной моделей прогнозирования, Экономика и предпринимательство. 2013. № 12-1 (411).С.667-674. </w:t>
      </w:r>
    </w:p>
    <w:p w:rsidR="00D6563D" w:rsidRPr="009A45BE" w:rsidRDefault="00D6563D" w:rsidP="00D6563D">
      <w:pPr>
        <w:pStyle w:val="af4"/>
        <w:numPr>
          <w:ilvl w:val="0"/>
          <w:numId w:val="104"/>
        </w:numPr>
        <w:pBdr>
          <w:top w:val="none" w:sz="0" w:space="0" w:color="auto"/>
          <w:left w:val="none" w:sz="0" w:space="0" w:color="auto"/>
          <w:bottom w:val="none" w:sz="0" w:space="0" w:color="auto"/>
          <w:right w:val="none" w:sz="0" w:space="0" w:color="auto"/>
          <w:between w:val="none" w:sz="0" w:space="0" w:color="auto"/>
        </w:pBdr>
        <w:spacing w:line="240" w:lineRule="auto"/>
        <w:ind w:left="1077" w:hanging="357"/>
        <w:contextualSpacing/>
        <w:jc w:val="both"/>
        <w:rPr>
          <w:rFonts w:ascii="Times New Roman" w:hAnsi="Times New Roman" w:cs="Times New Roman"/>
          <w:color w:val="000000" w:themeColor="text1"/>
          <w:sz w:val="24"/>
          <w:szCs w:val="24"/>
        </w:rPr>
      </w:pPr>
      <w:r w:rsidRPr="00B65866">
        <w:rPr>
          <w:rFonts w:ascii="Times New Roman" w:hAnsi="Times New Roman" w:cs="Times New Roman"/>
          <w:color w:val="000000"/>
          <w:sz w:val="24"/>
          <w:szCs w:val="24"/>
          <w:shd w:val="clear" w:color="auto" w:fill="FFFFFF"/>
        </w:rPr>
        <w:t>Одияко Н.Н., Ермак И.В. Создание интерфейса взаимодействия пользователя с базой данных предприятия.</w:t>
      </w:r>
      <w:r w:rsidRPr="00B65866">
        <w:rPr>
          <w:rFonts w:ascii="Times New Roman" w:hAnsi="Times New Roman" w:cs="Times New Roman"/>
          <w:color w:val="000000"/>
          <w:sz w:val="24"/>
          <w:szCs w:val="24"/>
        </w:rPr>
        <w:t xml:space="preserve"> </w:t>
      </w:r>
      <w:r w:rsidRPr="00B65866">
        <w:rPr>
          <w:rFonts w:ascii="Times New Roman" w:hAnsi="Times New Roman" w:cs="Times New Roman"/>
          <w:color w:val="000000"/>
          <w:sz w:val="24"/>
          <w:szCs w:val="24"/>
          <w:shd w:val="clear" w:color="auto" w:fill="FFFFFF"/>
        </w:rPr>
        <w:t>В сборнике: Интеллектуальный потенциал вузов - на развитие дальневосточного региона России и стран АТР Материалы ХVIII Международной конференции студентов, аспирантов и молодых ученых. 2016. С. 147-149. </w:t>
      </w: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5E1201" w:rsidRDefault="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spacing w:after="0" w:line="240" w:lineRule="auto"/>
      </w:pPr>
      <w:r>
        <w:rPr>
          <w:rFonts w:ascii="Times New Roman" w:hAnsi="Times New Roman"/>
          <w:sz w:val="24"/>
          <w:szCs w:val="24"/>
        </w:rPr>
        <w:t>Рубрика:</w:t>
      </w:r>
      <w:r>
        <w:rPr>
          <w:rFonts w:ascii="Times New Roman" w:hAnsi="Times New Roman"/>
          <w:sz w:val="24"/>
          <w:shd w:val="clear" w:color="auto" w:fill="FFFFFF"/>
        </w:rPr>
        <w:t xml:space="preserve"> Эффективные маркетинговые технологии в России и за рубежом</w:t>
      </w:r>
    </w:p>
    <w:p w:rsidR="005E1201" w:rsidRDefault="005E1201" w:rsidP="005E1201">
      <w:pPr>
        <w:spacing w:after="0" w:line="240" w:lineRule="auto"/>
        <w:rPr>
          <w:rFonts w:ascii="Times New Roman" w:hAnsi="Times New Roman" w:cs="Times New Roman"/>
          <w:sz w:val="24"/>
          <w:szCs w:val="24"/>
        </w:rPr>
      </w:pPr>
    </w:p>
    <w:p w:rsidR="005E1201" w:rsidRDefault="005E1201" w:rsidP="005E1201">
      <w:pPr>
        <w:spacing w:after="0" w:line="240" w:lineRule="auto"/>
        <w:rPr>
          <w:rFonts w:cs="Times New Roman"/>
          <w:szCs w:val="24"/>
        </w:rPr>
      </w:pPr>
      <w:r>
        <w:rPr>
          <w:rFonts w:ascii="Times New Roman" w:hAnsi="Times New Roman" w:cs="Times New Roman"/>
          <w:sz w:val="24"/>
          <w:szCs w:val="24"/>
        </w:rPr>
        <w:t>УДК 339.138</w:t>
      </w:r>
    </w:p>
    <w:p w:rsidR="005E1201" w:rsidRDefault="005E1201" w:rsidP="005E1201">
      <w:pPr>
        <w:spacing w:after="0" w:line="240" w:lineRule="auto"/>
        <w:jc w:val="center"/>
        <w:rPr>
          <w:rFonts w:ascii="Times New Roman" w:hAnsi="Times New Roman" w:cs="Times New Roman"/>
          <w:b/>
          <w:sz w:val="24"/>
          <w:szCs w:val="24"/>
          <w:lang w:eastAsia="ru-RU"/>
        </w:rPr>
      </w:pPr>
    </w:p>
    <w:p w:rsidR="005E1201" w:rsidRDefault="005E1201" w:rsidP="005E1201">
      <w:pPr>
        <w:spacing w:after="0" w:line="240" w:lineRule="auto"/>
        <w:jc w:val="center"/>
        <w:rPr>
          <w:rFonts w:cs="Times New Roman"/>
          <w:szCs w:val="24"/>
        </w:rPr>
      </w:pPr>
      <w:r>
        <w:rPr>
          <w:rFonts w:ascii="Times New Roman" w:hAnsi="Times New Roman" w:cs="Times New Roman"/>
          <w:b/>
          <w:sz w:val="24"/>
          <w:szCs w:val="24"/>
          <w:lang w:eastAsia="ru-RU"/>
        </w:rPr>
        <w:t>Позиционирование коворкинг-центра «Свободный порт Владивосток» на рынке коворкинг-услуг г. Владивостока</w:t>
      </w:r>
    </w:p>
    <w:p w:rsidR="005E1201" w:rsidRDefault="005E1201" w:rsidP="005E1201">
      <w:pPr>
        <w:spacing w:after="0" w:line="240" w:lineRule="auto"/>
        <w:jc w:val="center"/>
        <w:rPr>
          <w:rFonts w:ascii="Times New Roman" w:hAnsi="Times New Roman" w:cs="Times New Roman"/>
          <w:b/>
          <w:sz w:val="24"/>
          <w:szCs w:val="24"/>
          <w:lang w:eastAsia="ru-RU"/>
        </w:rPr>
      </w:pPr>
    </w:p>
    <w:p w:rsidR="005E1201" w:rsidRDefault="005E1201" w:rsidP="005E1201">
      <w:pPr>
        <w:spacing w:after="0" w:line="240" w:lineRule="auto"/>
        <w:jc w:val="center"/>
        <w:rPr>
          <w:rFonts w:cs="Times New Roman"/>
          <w:szCs w:val="24"/>
        </w:rPr>
      </w:pPr>
      <w:r>
        <w:rPr>
          <w:rFonts w:ascii="Times New Roman" w:hAnsi="Times New Roman" w:cs="Times New Roman"/>
          <w:sz w:val="24"/>
          <w:szCs w:val="24"/>
        </w:rPr>
        <w:t xml:space="preserve">Казанцева Екатерина Андреевна, </w:t>
      </w:r>
    </w:p>
    <w:p w:rsidR="005E1201" w:rsidRDefault="005E1201" w:rsidP="005E1201">
      <w:pPr>
        <w:spacing w:after="0" w:line="240" w:lineRule="auto"/>
        <w:jc w:val="center"/>
        <w:rPr>
          <w:rFonts w:cs="Times New Roman"/>
          <w:szCs w:val="24"/>
        </w:rPr>
      </w:pPr>
      <w:r>
        <w:rPr>
          <w:rFonts w:ascii="Times New Roman" w:hAnsi="Times New Roman" w:cs="Times New Roman"/>
          <w:sz w:val="24"/>
          <w:szCs w:val="24"/>
        </w:rPr>
        <w:t>бакалавр</w:t>
      </w:r>
    </w:p>
    <w:p w:rsidR="005E1201" w:rsidRDefault="005E1201" w:rsidP="005E1201">
      <w:pPr>
        <w:spacing w:after="0" w:line="240" w:lineRule="auto"/>
        <w:jc w:val="center"/>
        <w:rPr>
          <w:rFonts w:cs="Times New Roman"/>
          <w:szCs w:val="24"/>
        </w:rPr>
      </w:pPr>
      <w:r>
        <w:rPr>
          <w:rFonts w:ascii="Times New Roman" w:hAnsi="Times New Roman" w:cs="Times New Roman"/>
          <w:i/>
          <w:sz w:val="24"/>
          <w:szCs w:val="24"/>
        </w:rPr>
        <w:t>Владивостокский государственный университет экономики и сервиса Россия. Владивосток</w:t>
      </w:r>
    </w:p>
    <w:p w:rsidR="005E1201" w:rsidRDefault="005E1201" w:rsidP="005E1201">
      <w:pPr>
        <w:spacing w:after="0" w:line="240" w:lineRule="auto"/>
        <w:jc w:val="center"/>
        <w:rPr>
          <w:rFonts w:cs="Times New Roman"/>
          <w:szCs w:val="24"/>
        </w:rPr>
      </w:pPr>
      <w:r>
        <w:rPr>
          <w:rStyle w:val="fontstyle01"/>
          <w:rFonts w:ascii="Times New Roman" w:eastAsia="Arial" w:hAnsi="Times New Roman" w:cs="Times New Roman"/>
          <w:color w:val="00000A"/>
          <w:sz w:val="24"/>
          <w:szCs w:val="24"/>
          <w:lang w:val="en-US"/>
        </w:rPr>
        <w:t>E</w:t>
      </w:r>
      <w:r w:rsidRPr="00A212EC">
        <w:rPr>
          <w:rStyle w:val="fontstyle01"/>
          <w:rFonts w:ascii="Times New Roman" w:eastAsia="Arial" w:hAnsi="Times New Roman" w:cs="Times New Roman"/>
          <w:color w:val="00000A"/>
          <w:sz w:val="24"/>
          <w:szCs w:val="24"/>
        </w:rPr>
        <w:t>-</w:t>
      </w:r>
      <w:r>
        <w:rPr>
          <w:rStyle w:val="fontstyle01"/>
          <w:rFonts w:ascii="Times New Roman" w:eastAsia="Arial" w:hAnsi="Times New Roman" w:cs="Times New Roman"/>
          <w:color w:val="00000A"/>
          <w:sz w:val="24"/>
          <w:szCs w:val="24"/>
          <w:lang w:val="en-US"/>
        </w:rPr>
        <w:t>mail</w:t>
      </w:r>
      <w:r w:rsidRPr="00A212EC">
        <w:rPr>
          <w:rStyle w:val="fontstyle01"/>
          <w:rFonts w:ascii="Times New Roman" w:eastAsia="Arial" w:hAnsi="Times New Roman" w:cs="Times New Roman"/>
          <w:color w:val="00000A"/>
          <w:sz w:val="24"/>
          <w:szCs w:val="24"/>
        </w:rPr>
        <w:t xml:space="preserve">: </w:t>
      </w:r>
      <w:r>
        <w:rPr>
          <w:rStyle w:val="fontstyle01"/>
          <w:rFonts w:ascii="Times New Roman" w:eastAsia="Arial" w:hAnsi="Times New Roman" w:cs="Times New Roman"/>
          <w:color w:val="00000A"/>
          <w:sz w:val="24"/>
          <w:szCs w:val="24"/>
          <w:lang w:val="en-US"/>
        </w:rPr>
        <w:t>katerina</w:t>
      </w:r>
      <w:r w:rsidRPr="00A212EC">
        <w:rPr>
          <w:rStyle w:val="fontstyle01"/>
          <w:rFonts w:ascii="Times New Roman" w:eastAsia="Arial" w:hAnsi="Times New Roman" w:cs="Times New Roman"/>
          <w:color w:val="00000A"/>
          <w:sz w:val="24"/>
          <w:szCs w:val="24"/>
        </w:rPr>
        <w:t>_</w:t>
      </w:r>
      <w:r>
        <w:rPr>
          <w:rStyle w:val="fontstyle01"/>
          <w:rFonts w:ascii="Times New Roman" w:eastAsia="Arial" w:hAnsi="Times New Roman" w:cs="Times New Roman"/>
          <w:color w:val="00000A"/>
          <w:sz w:val="24"/>
          <w:szCs w:val="24"/>
          <w:lang w:val="en-US"/>
        </w:rPr>
        <w:t>kazantseva</w:t>
      </w:r>
      <w:r w:rsidRPr="00A212EC">
        <w:rPr>
          <w:rStyle w:val="fontstyle01"/>
          <w:rFonts w:ascii="Times New Roman" w:eastAsia="Arial" w:hAnsi="Times New Roman" w:cs="Times New Roman"/>
          <w:color w:val="00000A"/>
          <w:sz w:val="24"/>
          <w:szCs w:val="24"/>
        </w:rPr>
        <w:t>@</w:t>
      </w:r>
      <w:r>
        <w:rPr>
          <w:rStyle w:val="fontstyle01"/>
          <w:rFonts w:ascii="Times New Roman" w:eastAsia="Arial" w:hAnsi="Times New Roman" w:cs="Times New Roman"/>
          <w:color w:val="00000A"/>
          <w:sz w:val="24"/>
          <w:szCs w:val="24"/>
          <w:lang w:val="en-US"/>
        </w:rPr>
        <w:t>list</w:t>
      </w:r>
      <w:r w:rsidRPr="00A212EC">
        <w:rPr>
          <w:rStyle w:val="fontstyle01"/>
          <w:rFonts w:ascii="Times New Roman" w:eastAsia="Arial" w:hAnsi="Times New Roman" w:cs="Times New Roman"/>
          <w:color w:val="00000A"/>
          <w:sz w:val="24"/>
          <w:szCs w:val="24"/>
        </w:rPr>
        <w:t>.</w:t>
      </w:r>
      <w:r>
        <w:rPr>
          <w:rStyle w:val="fontstyle01"/>
          <w:rFonts w:ascii="Times New Roman" w:eastAsia="Arial" w:hAnsi="Times New Roman" w:cs="Times New Roman"/>
          <w:color w:val="00000A"/>
          <w:sz w:val="24"/>
          <w:szCs w:val="24"/>
          <w:lang w:val="en-US"/>
        </w:rPr>
        <w:t>ru</w:t>
      </w:r>
      <w:r w:rsidRPr="00A212EC">
        <w:rPr>
          <w:rStyle w:val="fontstyle01"/>
          <w:rFonts w:ascii="Times New Roman" w:eastAsia="Arial" w:hAnsi="Times New Roman" w:cs="Times New Roman"/>
          <w:color w:val="00000A"/>
          <w:sz w:val="24"/>
          <w:szCs w:val="24"/>
        </w:rPr>
        <w:t xml:space="preserve">; </w:t>
      </w:r>
      <w:r>
        <w:rPr>
          <w:rStyle w:val="fontstyle01"/>
          <w:rFonts w:ascii="Times New Roman" w:eastAsia="Arial" w:hAnsi="Times New Roman" w:cs="Times New Roman"/>
          <w:color w:val="00000A"/>
          <w:sz w:val="24"/>
          <w:szCs w:val="24"/>
        </w:rPr>
        <w:t>тел</w:t>
      </w:r>
      <w:r w:rsidRPr="00A212EC">
        <w:rPr>
          <w:rStyle w:val="fontstyle01"/>
          <w:rFonts w:ascii="Times New Roman" w:eastAsia="Arial" w:hAnsi="Times New Roman" w:cs="Times New Roman"/>
          <w:color w:val="00000A"/>
          <w:sz w:val="24"/>
          <w:szCs w:val="24"/>
        </w:rPr>
        <w:t>.: +7 908 988 19 52</w:t>
      </w:r>
      <w:r w:rsidRPr="00A212EC">
        <w:rPr>
          <w:rFonts w:ascii="Times New Roman" w:hAnsi="Times New Roman" w:cs="Times New Roman"/>
          <w:sz w:val="24"/>
          <w:szCs w:val="24"/>
        </w:rPr>
        <w:br/>
      </w:r>
      <w:r>
        <w:rPr>
          <w:rStyle w:val="fontstyle01"/>
          <w:rFonts w:ascii="Times New Roman" w:eastAsia="Arial" w:hAnsi="Times New Roman" w:cs="Times New Roman"/>
          <w:color w:val="00000A"/>
          <w:sz w:val="24"/>
          <w:szCs w:val="24"/>
        </w:rPr>
        <w:t>ул</w:t>
      </w:r>
      <w:r w:rsidRPr="00A212EC">
        <w:rPr>
          <w:rStyle w:val="fontstyle01"/>
          <w:rFonts w:ascii="Times New Roman" w:eastAsia="Arial" w:hAnsi="Times New Roman" w:cs="Times New Roman"/>
          <w:color w:val="00000A"/>
          <w:sz w:val="24"/>
          <w:szCs w:val="24"/>
        </w:rPr>
        <w:t xml:space="preserve">. </w:t>
      </w:r>
      <w:r>
        <w:rPr>
          <w:rStyle w:val="fontstyle01"/>
          <w:rFonts w:ascii="Times New Roman" w:eastAsia="Arial" w:hAnsi="Times New Roman" w:cs="Times New Roman"/>
          <w:color w:val="00000A"/>
          <w:sz w:val="24"/>
          <w:szCs w:val="24"/>
        </w:rPr>
        <w:t>Гоголя, 41, г. Владивосток, Приморский край, Россия, 690014</w:t>
      </w:r>
    </w:p>
    <w:p w:rsidR="005E1201" w:rsidRDefault="005E1201" w:rsidP="005E1201">
      <w:pPr>
        <w:spacing w:line="240" w:lineRule="auto"/>
        <w:ind w:firstLine="709"/>
        <w:jc w:val="both"/>
        <w:rPr>
          <w:rFonts w:ascii="Times New Roman" w:hAnsi="Times New Roman" w:cs="Times New Roman"/>
          <w:i/>
          <w:sz w:val="24"/>
          <w:szCs w:val="24"/>
        </w:rPr>
      </w:pPr>
    </w:p>
    <w:p w:rsidR="005E1201" w:rsidRDefault="005E1201" w:rsidP="005E1201">
      <w:pPr>
        <w:spacing w:line="240" w:lineRule="auto"/>
        <w:ind w:firstLine="709"/>
        <w:jc w:val="both"/>
        <w:rPr>
          <w:rFonts w:cs="Times New Roman"/>
          <w:szCs w:val="24"/>
        </w:rPr>
      </w:pPr>
      <w:r>
        <w:rPr>
          <w:rFonts w:ascii="Times New Roman" w:hAnsi="Times New Roman" w:cs="Times New Roman"/>
          <w:i/>
          <w:sz w:val="24"/>
          <w:szCs w:val="24"/>
        </w:rPr>
        <w:t xml:space="preserve">В последнее время рынок коворкинг-услуг стремительно растёт и развивается. Динамично развиваются коворкинг-центры и в России. В данной работе был рассмотрен коворкинг-центр «Свободный порт Владивосток», а также проведено позиционирование данного коворкинг-центра на рынке города Владивостока.  </w:t>
      </w:r>
    </w:p>
    <w:p w:rsidR="005E1201" w:rsidRDefault="005E1201" w:rsidP="005E1201">
      <w:pPr>
        <w:spacing w:line="240" w:lineRule="auto"/>
        <w:ind w:firstLine="709"/>
        <w:jc w:val="both"/>
        <w:rPr>
          <w:rFonts w:cs="Times New Roman"/>
          <w:szCs w:val="24"/>
        </w:rPr>
      </w:pPr>
      <w:r>
        <w:rPr>
          <w:rFonts w:ascii="Times New Roman" w:hAnsi="Times New Roman" w:cs="Times New Roman"/>
          <w:b/>
          <w:i/>
          <w:sz w:val="24"/>
          <w:szCs w:val="24"/>
        </w:rPr>
        <w:t>Ключевые слова и словосочетания:</w:t>
      </w:r>
      <w:r>
        <w:rPr>
          <w:rFonts w:ascii="Times New Roman" w:hAnsi="Times New Roman" w:cs="Times New Roman"/>
          <w:b/>
          <w:sz w:val="24"/>
          <w:szCs w:val="24"/>
        </w:rPr>
        <w:t xml:space="preserve"> </w:t>
      </w:r>
      <w:r>
        <w:rPr>
          <w:rFonts w:ascii="Times New Roman" w:hAnsi="Times New Roman" w:cs="Times New Roman"/>
          <w:i/>
          <w:sz w:val="24"/>
          <w:szCs w:val="24"/>
        </w:rPr>
        <w:t>коворкинг-центр, развитие коворкинг-центров, Владивосток, позиционирование, «Свободный порт Владивосток», ВГУЭС.</w:t>
      </w:r>
    </w:p>
    <w:p w:rsidR="005E1201" w:rsidRPr="00A212EC" w:rsidRDefault="005E1201" w:rsidP="005E12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sz w:val="24"/>
          <w:szCs w:val="24"/>
          <w:lang w:val="en-US" w:eastAsia="ru-RU"/>
        </w:rPr>
      </w:pPr>
      <w:r w:rsidRPr="00A212EC">
        <w:rPr>
          <w:rFonts w:ascii="Times New Roman" w:hAnsi="Times New Roman" w:cs="Times New Roman"/>
          <w:b/>
          <w:sz w:val="24"/>
          <w:szCs w:val="24"/>
          <w:lang w:val="en-US" w:eastAsia="ru-RU"/>
        </w:rPr>
        <w:t>The posit</w:t>
      </w:r>
      <w:r>
        <w:rPr>
          <w:rFonts w:ascii="Times New Roman" w:hAnsi="Times New Roman" w:cs="Times New Roman"/>
          <w:b/>
          <w:sz w:val="24"/>
          <w:szCs w:val="24"/>
          <w:lang w:val="en-US" w:eastAsia="ru-RU"/>
        </w:rPr>
        <w:t xml:space="preserve">ioning of the coworking center </w:t>
      </w:r>
      <w:r w:rsidRPr="00A212EC">
        <w:rPr>
          <w:rFonts w:ascii="Times New Roman" w:hAnsi="Times New Roman" w:cs="Times New Roman"/>
          <w:b/>
          <w:sz w:val="24"/>
          <w:szCs w:val="24"/>
          <w:lang w:val="en-US" w:eastAsia="ru-RU"/>
        </w:rPr>
        <w:t>«</w:t>
      </w:r>
      <w:r>
        <w:rPr>
          <w:rFonts w:ascii="Times New Roman" w:hAnsi="Times New Roman" w:cs="Times New Roman"/>
          <w:b/>
          <w:sz w:val="24"/>
          <w:szCs w:val="24"/>
          <w:lang w:val="en-US" w:eastAsia="ru-RU"/>
        </w:rPr>
        <w:t>Free Port of Vladivostok</w:t>
      </w:r>
      <w:r w:rsidRPr="00A212EC">
        <w:rPr>
          <w:rFonts w:ascii="Times New Roman" w:hAnsi="Times New Roman" w:cs="Times New Roman"/>
          <w:b/>
          <w:sz w:val="24"/>
          <w:szCs w:val="24"/>
          <w:lang w:val="en-US" w:eastAsia="ru-RU"/>
        </w:rPr>
        <w:t>» in the market of coworking services in Vladivostok</w:t>
      </w:r>
    </w:p>
    <w:p w:rsidR="005E1201" w:rsidRPr="00A212EC" w:rsidRDefault="005E1201" w:rsidP="005E12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sz w:val="24"/>
          <w:szCs w:val="24"/>
          <w:lang w:val="en-US" w:eastAsia="ru-RU"/>
        </w:rPr>
      </w:pPr>
    </w:p>
    <w:p w:rsidR="005E1201" w:rsidRPr="005332AB" w:rsidRDefault="005E1201" w:rsidP="005E1201">
      <w:pPr>
        <w:spacing w:line="240" w:lineRule="auto"/>
        <w:ind w:firstLine="708"/>
        <w:jc w:val="both"/>
        <w:rPr>
          <w:rFonts w:cs="Times New Roman"/>
          <w:szCs w:val="24"/>
          <w:lang w:val="en-US"/>
        </w:rPr>
      </w:pPr>
      <w:r>
        <w:rPr>
          <w:rFonts w:ascii="Times New Roman" w:hAnsi="Times New Roman" w:cs="Times New Roman"/>
          <w:i/>
          <w:sz w:val="24"/>
          <w:szCs w:val="24"/>
          <w:lang w:val="en-US"/>
        </w:rPr>
        <w:t>Recently, the market of coworking services is growing rapidly and developing. Dynamically developing coworking centers in Russia. In this paper, the coworking center «Free Port Vladivostok» was considered, and the positioning of this coworking center in the market of the city of Vladivostok was conducted.</w:t>
      </w:r>
    </w:p>
    <w:p w:rsidR="005E1201" w:rsidRPr="005332AB" w:rsidRDefault="005E1201" w:rsidP="005E1201">
      <w:pPr>
        <w:spacing w:line="240" w:lineRule="auto"/>
        <w:ind w:firstLine="708"/>
        <w:jc w:val="both"/>
        <w:rPr>
          <w:rFonts w:cs="Times New Roman"/>
          <w:szCs w:val="24"/>
          <w:lang w:val="en-US"/>
        </w:rPr>
      </w:pPr>
      <w:r>
        <w:rPr>
          <w:rFonts w:ascii="Times New Roman" w:hAnsi="Times New Roman" w:cs="Times New Roman"/>
          <w:b/>
          <w:i/>
          <w:sz w:val="24"/>
          <w:szCs w:val="24"/>
          <w:lang w:val="en-US"/>
        </w:rPr>
        <w:t>Keywords:</w:t>
      </w:r>
      <w:r>
        <w:rPr>
          <w:rFonts w:cs="Times New Roman"/>
          <w:szCs w:val="24"/>
          <w:lang w:val="en-US"/>
        </w:rPr>
        <w:t xml:space="preserve"> </w:t>
      </w:r>
      <w:r>
        <w:rPr>
          <w:rFonts w:ascii="Times New Roman" w:hAnsi="Times New Roman" w:cs="Times New Roman"/>
          <w:i/>
          <w:sz w:val="24"/>
          <w:szCs w:val="24"/>
          <w:lang w:val="en-US"/>
        </w:rPr>
        <w:t>coworking center, development of coworking centers, Vladivostok, positioning, «Free Port Vladivostok», VGUES.</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 xml:space="preserve">Коворкинг является наиболее практичной, целесообразной и достаточно актуальной формой ведения бизнеса для современных условий. Коворкинг-центры приобретают все большую популярность, как на Западе, так и на Востоке. Первый коворкинг-центр был  открыт в 2006 г. в Сан-Франциско, с тех пор это явление стремительно развивается во всем мире </w:t>
      </w:r>
      <w:hyperlink r:id="rId343" w:anchor="cite_note-history-spiral-codinginparadise-10" w:history="1">
        <w:r>
          <w:rPr>
            <w:rFonts w:ascii="Times New Roman" w:hAnsi="Times New Roman" w:cs="Times New Roman"/>
            <w:color w:val="0000FF"/>
            <w:sz w:val="24"/>
            <w:szCs w:val="24"/>
            <w:u w:val="single"/>
            <w:lang w:eastAsia="ru-RU"/>
          </w:rPr>
          <w:t>[1,с.4]</w:t>
        </w:r>
      </w:hyperlink>
      <w:r>
        <w:rPr>
          <w:rFonts w:ascii="Times New Roman" w:hAnsi="Times New Roman" w:cs="Times New Roman"/>
          <w:sz w:val="24"/>
          <w:szCs w:val="24"/>
          <w:lang w:eastAsia="ru-RU"/>
        </w:rPr>
        <w:t xml:space="preserve">. Первый коворкинг-центр в городе Владивостоке открылся в 2014 году, но популярность пришла только в феврале 2017 года. И в связи с тем, что у фрилансеров стал возникать интерес к коворкинг-услугам, в городе стали открываться всё новые и новые коворкинг-центры </w:t>
      </w:r>
      <w:hyperlink r:id="rId344" w:anchor="cite_note-history-spiral-codinginparadise-10" w:history="1">
        <w:r>
          <w:rPr>
            <w:rFonts w:ascii="Times New Roman" w:hAnsi="Times New Roman" w:cs="Times New Roman"/>
            <w:color w:val="0000FF"/>
            <w:sz w:val="24"/>
            <w:szCs w:val="24"/>
            <w:u w:val="single"/>
            <w:lang w:eastAsia="ru-RU"/>
          </w:rPr>
          <w:t>[2,с.4]</w:t>
        </w:r>
      </w:hyperlink>
      <w:r>
        <w:rPr>
          <w:rFonts w:ascii="Times New Roman" w:hAnsi="Times New Roman" w:cs="Times New Roman"/>
          <w:sz w:val="24"/>
          <w:szCs w:val="24"/>
          <w:lang w:eastAsia="ru-RU"/>
        </w:rPr>
        <w:t xml:space="preserve">. </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Коворкинг-центр «Свободный порт Владивосток» был открыт 25 января 2018 года на базе Владивостокского государственного университета экономики и сервиса (ВГУЭС). «Свободный порт Владивосток» - это современное пространство для работы, общения, профессионального и личного роста, генерирования новых идей, выстраивания коммуникаций между университетом и бизнес-средой.</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Организаторами создания коворкинг-центра выступил ВГУЭС совместно с   Агентством по развитию человеческого капитала на Дальнем Востоке и Международным Бизнес-клубом «Диалоги». Первый в истории ВГУЭС коворкинг рассчитан на студентов, преподавателей университета, предпринимателей, от начинающих до  крупного бизнеса. Целями создания коворкинг-центра  послужили:</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  организация доступного рабочего пространства для совместной работы студентам и начинающим предпринимателям из числа студентов и выпускников вуза, желающим тренироваться и развиваться в направлении создания собственного бизнеса;</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 содействие в создании эффективной рабочей обстановки, в которой бы начинающие предприниматели и студенты вуза могли развивать свои профессиональные навыки и обмениваться опытом с достигшими определённых результатов предпринимателями.</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 xml:space="preserve">Центр начал свою работу с торжественной презентации, в которой приняли участие студенты и сотрудники ВГУЭС, представители власти, бизнеса и общественности. Первым большим событием на площадке коворкинг-центра стало заседание Международного Бизнес-клуба «Диалоги», в который вошли   руководители крупнейших компаний Дальнего Востока и стран АТР </w:t>
      </w:r>
      <w:hyperlink r:id="rId345" w:anchor="cite_note-history-spiral-codinginparadise-10" w:history="1">
        <w:r>
          <w:rPr>
            <w:rFonts w:ascii="Times New Roman" w:hAnsi="Times New Roman" w:cs="Times New Roman"/>
            <w:color w:val="0000FF"/>
            <w:sz w:val="24"/>
            <w:szCs w:val="24"/>
            <w:u w:val="single"/>
            <w:lang w:eastAsia="ru-RU"/>
          </w:rPr>
          <w:t>[2,с.4]</w:t>
        </w:r>
      </w:hyperlink>
      <w:r>
        <w:rPr>
          <w:rFonts w:ascii="Times New Roman" w:hAnsi="Times New Roman" w:cs="Times New Roman"/>
          <w:sz w:val="24"/>
          <w:szCs w:val="24"/>
          <w:lang w:eastAsia="ru-RU"/>
        </w:rPr>
        <w:t>.</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На 2018 год была поставлена цель - внедрить на рынок города Владивостока коворкинг-центр «Свободный порт Владивосток». Для достижения стратегической цели компании определены три задачи на политику маркетинговых коммуникаций:</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 проинформировать людей о появлении нового коворкинг-центра;</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 определить целевую аудиторию и их предпочтения;</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 провести позиционирование бренда.</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На территории  города Владивостока были определены ключевые целевые аудитории. К приоритетной группе целевой аудитории можно отнести начинающих предпринимателей и бизнесменов, бизнес-фрилансеров (юристов, экономистов, инженеров, адвокатов и т.д.)  и начинающих стартаперов. К второстепенной аудитории можно отнести студентов, переводчиков и программистов, а также людей творческих специальностей (блогеров, фотографов, журналистов, дизайнеров и т.д.).</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Для целевой аудитории характерны следующие характеристики:</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 к этой группе относят как женскую, так и мужскую аудитории;</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  преобладающий возраст – младше 35 лет;</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  люди начинающие свой бизнес;</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 преимущественно люди, относящиеся к совершенно разным профессиям;</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 не требуют постоянного офиса и имеют свободный график работы.</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Мотивами выбора коворкинг-центра являются:</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 гибкий рабочий график;</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 отсутствие внешнего контроля над творческим процессом;</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  возможность работать вне дома;</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 возможность зарабатывать больше денег.</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 xml:space="preserve">Ключевые характеристики коворкинг - центра «Свободный порт Владивосток» и формулировка позиционирования коворкинг - центра:  итоговое позиционирование центра «Свободный порт Владивосток» на локальном рынке коворкинг-центров описывается следующей формулой «Удобный + Комплексный». </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Удобный – означает удобное расположение коворкинг-центра, комплексный – в данном случае означает максимум услуг для клиентов коворкинг-центра в одном месте.</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 xml:space="preserve">Базовые отличительные характеристики коворкинг-центра «Свободный порт Владивосток»: современность, удобство расположения (центр города), комплексное предоставление услуг и доступность.  </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Формулировка позиционирования коворкинг-центра показана на рисунке 1.</w:t>
      </w:r>
    </w:p>
    <w:p w:rsidR="005E1201" w:rsidRDefault="005E1201" w:rsidP="005E1201">
      <w:pPr>
        <w:spacing w:after="0" w:line="240" w:lineRule="auto"/>
        <w:ind w:firstLine="708"/>
        <w:jc w:val="center"/>
        <w:rPr>
          <w:rFonts w:cs="Times New Roman"/>
          <w:szCs w:val="24"/>
        </w:rPr>
      </w:pPr>
      <w:r>
        <w:rPr>
          <w:rFonts w:cs="Times New Roman"/>
          <w:noProof/>
          <w:szCs w:val="24"/>
          <w:lang w:eastAsia="ru-RU"/>
        </w:rPr>
        <w:drawing>
          <wp:inline distT="0" distB="0" distL="0" distR="0">
            <wp:extent cx="4495800" cy="1381125"/>
            <wp:effectExtent l="0" t="0" r="0" b="9525"/>
            <wp:docPr id="158" name="Рисунок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6">
                      <a:extLst>
                        <a:ext uri="{28A0092B-C50C-407E-A947-70E740481C1C}">
                          <a14:useLocalDpi xmlns:a14="http://schemas.microsoft.com/office/drawing/2010/main" val="0"/>
                        </a:ext>
                      </a:extLst>
                    </a:blip>
                    <a:srcRect l="24532" t="41911" r="18541" b="27945"/>
                    <a:stretch>
                      <a:fillRect/>
                    </a:stretch>
                  </pic:blipFill>
                  <pic:spPr bwMode="auto">
                    <a:xfrm>
                      <a:off x="0" y="0"/>
                      <a:ext cx="4495800" cy="1381125"/>
                    </a:xfrm>
                    <a:prstGeom prst="rect">
                      <a:avLst/>
                    </a:prstGeom>
                    <a:noFill/>
                    <a:ln>
                      <a:noFill/>
                    </a:ln>
                  </pic:spPr>
                </pic:pic>
              </a:graphicData>
            </a:graphic>
          </wp:inline>
        </w:drawing>
      </w:r>
    </w:p>
    <w:p w:rsidR="005E1201" w:rsidRDefault="005E1201" w:rsidP="005E1201">
      <w:pPr>
        <w:spacing w:after="0" w:line="240" w:lineRule="auto"/>
        <w:ind w:firstLine="708"/>
        <w:jc w:val="center"/>
        <w:rPr>
          <w:rFonts w:cs="Times New Roman"/>
          <w:szCs w:val="24"/>
        </w:rPr>
      </w:pPr>
      <w:r>
        <w:rPr>
          <w:rFonts w:ascii="Times New Roman" w:hAnsi="Times New Roman" w:cs="Times New Roman"/>
          <w:sz w:val="24"/>
          <w:szCs w:val="24"/>
          <w:lang w:eastAsia="ru-RU"/>
        </w:rPr>
        <w:t>Рис. 1. Образ в сознании потребителей услуг коворкинг-центра «Свободный порт Владивосток», 2018 г.</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 xml:space="preserve">Затем были рассмотрены элементы базового целевого восприятия коворкинг-центра «Свободный порт Владивосток». Ключевое сообщение, направленное на разум потребителей: «Коворкинг-центр – новый уровень удобства в работе и творчестве. Здесь удобно работать, общаться с людьми разных профессий в одном месте, освобождая время и силы для других важных дел. Здесь Вас проконсультируют по любому вопросу, даже, если Вы сами не разбираетесь в нюансах бизнеса, а также Вы приобретете полезные деловые контакты и связи». Рациональное восприятие содержит такие ключевые аспекты, как возможность получения консультаций, приобретение деловых контактов и связей. </w:t>
      </w:r>
    </w:p>
    <w:p w:rsidR="005E1201" w:rsidRDefault="005E1201" w:rsidP="005E1201">
      <w:pPr>
        <w:pStyle w:val="ae"/>
        <w:ind w:firstLine="708"/>
        <w:jc w:val="both"/>
        <w:rPr>
          <w:rFonts w:cs="Times New Roman"/>
          <w:szCs w:val="24"/>
        </w:rPr>
      </w:pPr>
      <w:r>
        <w:rPr>
          <w:rFonts w:ascii="Times New Roman" w:hAnsi="Times New Roman" w:cs="Times New Roman"/>
          <w:sz w:val="24"/>
          <w:szCs w:val="24"/>
          <w:lang w:eastAsia="ru-RU"/>
        </w:rPr>
        <w:t>Ключевое сообщение, направленное на эмоции потребителей: «Современный коворкинг-центр для фрилансера 21 века, не желающего тратить много времени и сил на поиск рабочего места. Здесь легко общаться с активной и заинтересованной частью студенчества, свободно обмениваясь опытом, знаниями и идеями. Первый коворкинг-центр  в самом «сердце города». Лучшее решение для современного фрилансера». Эмоциональное восприятие содержит такие ключевые аспекты, как современный коворкинг-центр, для активных и заинтересованных людей, в «самом сердце города».</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Базовые характеристики бренда – удобный и комплексный, содержат в себе комплексное обслуживание, многопрофильность, выгодное расположение и доступность. Именно на базе этого будут строиться  сообщения для политики коммуникаций. На рисунке 2 показана платформа бренда «Свободный порт Владивосток» - включающая в себя ключевые характеристики позиционирования бренда.</w:t>
      </w:r>
    </w:p>
    <w:p w:rsidR="005E1201" w:rsidRDefault="005E1201" w:rsidP="005E1201">
      <w:pPr>
        <w:spacing w:after="0" w:line="240" w:lineRule="auto"/>
        <w:jc w:val="center"/>
        <w:rPr>
          <w:rFonts w:cs="Times New Roman"/>
          <w:szCs w:val="24"/>
        </w:rPr>
      </w:pPr>
      <w:r>
        <w:rPr>
          <w:rFonts w:cs="Times New Roman"/>
          <w:noProof/>
          <w:szCs w:val="24"/>
          <w:lang w:eastAsia="ru-RU"/>
        </w:rPr>
        <w:drawing>
          <wp:inline distT="0" distB="0" distL="0" distR="0">
            <wp:extent cx="3429000" cy="2171700"/>
            <wp:effectExtent l="0" t="0" r="0" b="0"/>
            <wp:docPr id="157" name="Рисунок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7">
                      <a:extLst>
                        <a:ext uri="{28A0092B-C50C-407E-A947-70E740481C1C}">
                          <a14:useLocalDpi xmlns:a14="http://schemas.microsoft.com/office/drawing/2010/main" val="0"/>
                        </a:ext>
                      </a:extLst>
                    </a:blip>
                    <a:srcRect l="24850" t="30956" r="18385" b="12321"/>
                    <a:stretch>
                      <a:fillRect/>
                    </a:stretch>
                  </pic:blipFill>
                  <pic:spPr bwMode="auto">
                    <a:xfrm>
                      <a:off x="0" y="0"/>
                      <a:ext cx="3429000" cy="2171700"/>
                    </a:xfrm>
                    <a:prstGeom prst="rect">
                      <a:avLst/>
                    </a:prstGeom>
                    <a:noFill/>
                    <a:ln>
                      <a:noFill/>
                    </a:ln>
                  </pic:spPr>
                </pic:pic>
              </a:graphicData>
            </a:graphic>
          </wp:inline>
        </w:drawing>
      </w:r>
    </w:p>
    <w:p w:rsidR="005E1201" w:rsidRDefault="005E1201" w:rsidP="005E1201">
      <w:pPr>
        <w:pStyle w:val="af4"/>
        <w:spacing w:line="240" w:lineRule="auto"/>
        <w:ind w:left="0"/>
        <w:jc w:val="center"/>
      </w:pPr>
      <w:r>
        <w:rPr>
          <w:rFonts w:ascii="Times New Roman" w:hAnsi="Times New Roman"/>
        </w:rPr>
        <w:t>Рис. 2. Платформа бренда коворкинг-центра «Свободный порт Владивосток», 2018 г.</w:t>
      </w:r>
    </w:p>
    <w:p w:rsidR="005E1201" w:rsidRDefault="005E1201" w:rsidP="005E1201">
      <w:pPr>
        <w:pStyle w:val="ae"/>
        <w:ind w:firstLine="708"/>
        <w:jc w:val="both"/>
        <w:rPr>
          <w:rFonts w:cs="Times New Roman"/>
          <w:szCs w:val="24"/>
        </w:rPr>
      </w:pPr>
      <w:r>
        <w:rPr>
          <w:rFonts w:ascii="Times New Roman" w:hAnsi="Times New Roman" w:cs="Times New Roman"/>
          <w:sz w:val="24"/>
          <w:szCs w:val="24"/>
          <w:lang w:eastAsia="ru-RU"/>
        </w:rPr>
        <w:t xml:space="preserve">Таким образом, при разработке стратегии позиционирования необходимо учитывать ключевую целевую аудиторию – потребитель новой формации, с идеологией «где мне найти лучшее место для бизнеса» и формулировку позиционирования бренда -  «Территория эффективных бизнес-решений». </w:t>
      </w:r>
    </w:p>
    <w:p w:rsidR="005E1201" w:rsidRDefault="005E1201" w:rsidP="005E1201">
      <w:pPr>
        <w:pStyle w:val="ae"/>
        <w:ind w:firstLine="708"/>
        <w:jc w:val="both"/>
        <w:rPr>
          <w:rFonts w:cs="Times New Roman"/>
          <w:szCs w:val="24"/>
        </w:rPr>
      </w:pPr>
      <w:r>
        <w:rPr>
          <w:rFonts w:ascii="Times New Roman" w:hAnsi="Times New Roman" w:cs="Times New Roman"/>
          <w:sz w:val="24"/>
          <w:szCs w:val="24"/>
          <w:lang w:eastAsia="ru-RU"/>
        </w:rPr>
        <w:t>Следующим шагом в позиционировании бренда является выделение четырёх принципиальных блоков услуг с точки зрения предлагаемой ими «пользы» для потребителя – Комфорт (Удобство), Безопасность, Надежность (Эффективность), Образование. В таблице 1 показаны краткая характеристика каждого блока и конкретные услуги, относящиеся к каждому блоку.</w:t>
      </w:r>
    </w:p>
    <w:p w:rsidR="005E1201" w:rsidRDefault="005E1201" w:rsidP="005E1201">
      <w:pPr>
        <w:pStyle w:val="ae"/>
        <w:ind w:firstLine="708"/>
        <w:jc w:val="both"/>
        <w:rPr>
          <w:rFonts w:ascii="Times New Roman" w:hAnsi="Times New Roman" w:cs="Times New Roman"/>
          <w:sz w:val="24"/>
          <w:szCs w:val="24"/>
          <w:lang w:eastAsia="ru-RU"/>
        </w:rPr>
      </w:pPr>
    </w:p>
    <w:p w:rsidR="005E1201" w:rsidRDefault="005E1201" w:rsidP="005E1201">
      <w:pPr>
        <w:pStyle w:val="af4"/>
        <w:spacing w:line="240" w:lineRule="auto"/>
        <w:ind w:left="1428" w:hanging="1428"/>
        <w:jc w:val="center"/>
      </w:pPr>
      <w:r>
        <w:rPr>
          <w:rFonts w:ascii="Times New Roman" w:hAnsi="Times New Roman"/>
          <w:i/>
        </w:rPr>
        <w:t>Таблица 1</w:t>
      </w:r>
      <w:r>
        <w:rPr>
          <w:rFonts w:ascii="Times New Roman" w:hAnsi="Times New Roman"/>
        </w:rPr>
        <w:t xml:space="preserve">  –Услуги коворкинг-центров с точки зрения предоставления выгоды для потребителя</w:t>
      </w:r>
    </w:p>
    <w:tbl>
      <w:tblPr>
        <w:tblW w:w="0" w:type="auto"/>
        <w:jc w:val="center"/>
        <w:tblLayout w:type="fixed"/>
        <w:tblCellMar>
          <w:left w:w="0" w:type="dxa"/>
          <w:right w:w="0" w:type="dxa"/>
        </w:tblCellMar>
        <w:tblLook w:val="0000" w:firstRow="0" w:lastRow="0" w:firstColumn="0" w:lastColumn="0" w:noHBand="0" w:noVBand="0"/>
      </w:tblPr>
      <w:tblGrid>
        <w:gridCol w:w="2174"/>
        <w:gridCol w:w="3900"/>
        <w:gridCol w:w="3756"/>
      </w:tblGrid>
      <w:tr w:rsidR="005E1201" w:rsidTr="00A17BCD">
        <w:trPr>
          <w:trHeight w:val="495"/>
          <w:jc w:val="center"/>
        </w:trPr>
        <w:tc>
          <w:tcPr>
            <w:tcW w:w="2174" w:type="dxa"/>
            <w:tcBorders>
              <w:top w:val="single" w:sz="4" w:space="0" w:color="00000A"/>
              <w:left w:val="single" w:sz="4" w:space="0" w:color="00000A"/>
              <w:bottom w:val="single" w:sz="4" w:space="0" w:color="00000A"/>
              <w:right w:val="single" w:sz="4" w:space="0" w:color="00000A"/>
            </w:tcBorders>
            <w:tcMar>
              <w:left w:w="113" w:type="dxa"/>
              <w:right w:w="108" w:type="dxa"/>
            </w:tcMar>
          </w:tcPr>
          <w:p w:rsidR="005E1201" w:rsidRDefault="005E1201" w:rsidP="00A17BCD">
            <w:pPr>
              <w:spacing w:line="240" w:lineRule="auto"/>
              <w:jc w:val="center"/>
              <w:rPr>
                <w:rFonts w:cs="Times New Roman"/>
                <w:szCs w:val="24"/>
              </w:rPr>
            </w:pPr>
            <w:r>
              <w:rPr>
                <w:rFonts w:ascii="Times New Roman" w:hAnsi="Times New Roman" w:cs="Times New Roman"/>
                <w:sz w:val="24"/>
                <w:szCs w:val="24"/>
                <w:lang w:eastAsia="ru-RU"/>
              </w:rPr>
              <w:t>Качество</w:t>
            </w:r>
          </w:p>
        </w:tc>
        <w:tc>
          <w:tcPr>
            <w:tcW w:w="3900" w:type="dxa"/>
            <w:tcBorders>
              <w:top w:val="single" w:sz="4" w:space="0" w:color="00000A"/>
              <w:left w:val="single" w:sz="4" w:space="0" w:color="00000A"/>
              <w:bottom w:val="single" w:sz="4" w:space="0" w:color="00000A"/>
              <w:right w:val="single" w:sz="4" w:space="0" w:color="00000A"/>
            </w:tcBorders>
            <w:tcMar>
              <w:left w:w="113" w:type="dxa"/>
              <w:right w:w="108" w:type="dxa"/>
            </w:tcMar>
          </w:tcPr>
          <w:p w:rsidR="005E1201" w:rsidRDefault="005E1201" w:rsidP="00A17BCD">
            <w:pPr>
              <w:spacing w:line="240" w:lineRule="auto"/>
              <w:ind w:left="-84"/>
              <w:jc w:val="center"/>
              <w:rPr>
                <w:rFonts w:cs="Times New Roman"/>
                <w:szCs w:val="24"/>
              </w:rPr>
            </w:pPr>
            <w:r>
              <w:rPr>
                <w:rFonts w:ascii="Times New Roman" w:hAnsi="Times New Roman" w:cs="Times New Roman"/>
                <w:sz w:val="24"/>
                <w:szCs w:val="24"/>
                <w:lang w:eastAsia="ru-RU"/>
              </w:rPr>
              <w:t>Краткая характеристика</w:t>
            </w:r>
          </w:p>
        </w:tc>
        <w:tc>
          <w:tcPr>
            <w:tcW w:w="3756" w:type="dxa"/>
            <w:tcBorders>
              <w:top w:val="single" w:sz="4" w:space="0" w:color="00000A"/>
              <w:left w:val="single" w:sz="4" w:space="0" w:color="00000A"/>
              <w:bottom w:val="single" w:sz="4" w:space="0" w:color="00000A"/>
              <w:right w:val="single" w:sz="4" w:space="0" w:color="00000A"/>
            </w:tcBorders>
            <w:tcMar>
              <w:left w:w="113" w:type="dxa"/>
              <w:right w:w="108" w:type="dxa"/>
            </w:tcMar>
          </w:tcPr>
          <w:p w:rsidR="005E1201" w:rsidRDefault="005E1201" w:rsidP="00A17BCD">
            <w:pPr>
              <w:spacing w:line="240" w:lineRule="auto"/>
              <w:ind w:left="-84"/>
              <w:jc w:val="center"/>
              <w:rPr>
                <w:rFonts w:cs="Times New Roman"/>
                <w:szCs w:val="24"/>
              </w:rPr>
            </w:pPr>
            <w:r>
              <w:rPr>
                <w:rFonts w:ascii="Times New Roman" w:hAnsi="Times New Roman" w:cs="Times New Roman"/>
                <w:sz w:val="24"/>
                <w:szCs w:val="24"/>
                <w:lang w:eastAsia="ru-RU"/>
              </w:rPr>
              <w:t>Услуги</w:t>
            </w:r>
          </w:p>
        </w:tc>
      </w:tr>
      <w:tr w:rsidR="005E1201" w:rsidTr="00A17BCD">
        <w:trPr>
          <w:trHeight w:val="416"/>
          <w:jc w:val="center"/>
        </w:trPr>
        <w:tc>
          <w:tcPr>
            <w:tcW w:w="2174" w:type="dxa"/>
            <w:tcBorders>
              <w:top w:val="single" w:sz="4" w:space="0" w:color="00000A"/>
              <w:left w:val="single" w:sz="4" w:space="0" w:color="00000A"/>
              <w:bottom w:val="single" w:sz="4" w:space="0" w:color="00000A"/>
              <w:right w:val="single" w:sz="4" w:space="0" w:color="00000A"/>
            </w:tcBorders>
            <w:tcMar>
              <w:left w:w="113" w:type="dxa"/>
              <w:right w:w="108" w:type="dxa"/>
            </w:tcMar>
          </w:tcPr>
          <w:p w:rsidR="005E1201" w:rsidRDefault="005E1201" w:rsidP="00A17BCD">
            <w:pPr>
              <w:spacing w:line="240" w:lineRule="auto"/>
              <w:rPr>
                <w:rFonts w:cs="Times New Roman"/>
                <w:szCs w:val="24"/>
              </w:rPr>
            </w:pPr>
            <w:r>
              <w:rPr>
                <w:rFonts w:ascii="Times New Roman" w:hAnsi="Times New Roman" w:cs="Times New Roman"/>
                <w:sz w:val="24"/>
                <w:szCs w:val="24"/>
                <w:lang w:eastAsia="ru-RU"/>
              </w:rPr>
              <w:t>Комфорт /Удобство</w:t>
            </w:r>
          </w:p>
        </w:tc>
        <w:tc>
          <w:tcPr>
            <w:tcW w:w="3900" w:type="dxa"/>
            <w:tcBorders>
              <w:top w:val="single" w:sz="4" w:space="0" w:color="00000A"/>
              <w:left w:val="single" w:sz="4" w:space="0" w:color="00000A"/>
              <w:bottom w:val="single" w:sz="4" w:space="0" w:color="00000A"/>
              <w:right w:val="single" w:sz="4" w:space="0" w:color="00000A"/>
            </w:tcBorders>
            <w:tcMar>
              <w:left w:w="113" w:type="dxa"/>
              <w:right w:w="108" w:type="dxa"/>
            </w:tcMar>
          </w:tcPr>
          <w:p w:rsidR="005E1201" w:rsidRDefault="005E1201" w:rsidP="00A17BCD">
            <w:pPr>
              <w:spacing w:line="240" w:lineRule="auto"/>
              <w:jc w:val="both"/>
              <w:rPr>
                <w:rFonts w:cs="Times New Roman"/>
                <w:szCs w:val="24"/>
              </w:rPr>
            </w:pPr>
            <w:r>
              <w:rPr>
                <w:rFonts w:ascii="Times New Roman" w:hAnsi="Times New Roman" w:cs="Times New Roman"/>
                <w:sz w:val="24"/>
                <w:szCs w:val="24"/>
                <w:lang w:eastAsia="ru-RU"/>
              </w:rPr>
              <w:t>В эту группу относятся все услуги, ассоциирующиеся со следующими смысловыми категориями: «удобство», «комфорт», «комфортная атмосфера», «комфортное рабочее место» и т.п.</w:t>
            </w:r>
          </w:p>
        </w:tc>
        <w:tc>
          <w:tcPr>
            <w:tcW w:w="3756" w:type="dxa"/>
            <w:tcBorders>
              <w:top w:val="single" w:sz="4" w:space="0" w:color="00000A"/>
              <w:left w:val="single" w:sz="4" w:space="0" w:color="00000A"/>
              <w:bottom w:val="single" w:sz="4" w:space="0" w:color="00000A"/>
              <w:right w:val="single" w:sz="4" w:space="0" w:color="00000A"/>
            </w:tcBorders>
            <w:tcMar>
              <w:left w:w="113" w:type="dxa"/>
              <w:right w:w="108" w:type="dxa"/>
            </w:tcMar>
          </w:tcPr>
          <w:p w:rsidR="005E1201" w:rsidRDefault="005E1201" w:rsidP="00A17BCD">
            <w:pPr>
              <w:shd w:val="clear" w:color="auto" w:fill="FFFFFF"/>
              <w:spacing w:after="0" w:line="240" w:lineRule="auto"/>
              <w:ind w:right="300"/>
              <w:jc w:val="both"/>
              <w:rPr>
                <w:rFonts w:cs="Times New Roman"/>
                <w:szCs w:val="24"/>
              </w:rPr>
            </w:pPr>
            <w:r>
              <w:rPr>
                <w:rFonts w:ascii="Times New Roman" w:hAnsi="Times New Roman" w:cs="Times New Roman"/>
                <w:sz w:val="24"/>
                <w:szCs w:val="24"/>
                <w:lang w:eastAsia="ru-RU"/>
              </w:rPr>
              <w:t>Предоставление комфортного рабочего места (стол, мягкие кресла и диваны); рабочий бар (кофе, чай, печенье).</w:t>
            </w:r>
          </w:p>
        </w:tc>
      </w:tr>
      <w:tr w:rsidR="005E1201" w:rsidTr="00A17BCD">
        <w:trPr>
          <w:trHeight w:val="285"/>
          <w:jc w:val="center"/>
        </w:trPr>
        <w:tc>
          <w:tcPr>
            <w:tcW w:w="2174" w:type="dxa"/>
            <w:tcBorders>
              <w:top w:val="single" w:sz="4" w:space="0" w:color="00000A"/>
              <w:left w:val="single" w:sz="4" w:space="0" w:color="00000A"/>
              <w:bottom w:val="single" w:sz="4" w:space="0" w:color="00000A"/>
              <w:right w:val="single" w:sz="4" w:space="0" w:color="00000A"/>
            </w:tcBorders>
            <w:tcMar>
              <w:left w:w="113" w:type="dxa"/>
              <w:right w:w="108" w:type="dxa"/>
            </w:tcMar>
          </w:tcPr>
          <w:p w:rsidR="005E1201" w:rsidRDefault="005E1201" w:rsidP="00A17BCD">
            <w:pPr>
              <w:spacing w:line="240" w:lineRule="auto"/>
              <w:rPr>
                <w:rFonts w:cs="Times New Roman"/>
                <w:szCs w:val="24"/>
              </w:rPr>
            </w:pPr>
            <w:r>
              <w:rPr>
                <w:rFonts w:ascii="Times New Roman" w:hAnsi="Times New Roman" w:cs="Times New Roman"/>
                <w:sz w:val="24"/>
                <w:szCs w:val="24"/>
                <w:lang w:eastAsia="ru-RU"/>
              </w:rPr>
              <w:t>Безопасность</w:t>
            </w:r>
          </w:p>
        </w:tc>
        <w:tc>
          <w:tcPr>
            <w:tcW w:w="3900" w:type="dxa"/>
            <w:tcBorders>
              <w:top w:val="single" w:sz="4" w:space="0" w:color="00000A"/>
              <w:left w:val="single" w:sz="4" w:space="0" w:color="00000A"/>
              <w:bottom w:val="single" w:sz="4" w:space="0" w:color="00000A"/>
              <w:right w:val="single" w:sz="4" w:space="0" w:color="00000A"/>
            </w:tcBorders>
            <w:tcMar>
              <w:left w:w="113" w:type="dxa"/>
              <w:right w:w="108" w:type="dxa"/>
            </w:tcMar>
          </w:tcPr>
          <w:p w:rsidR="005E1201" w:rsidRDefault="005E1201" w:rsidP="00A17BCD">
            <w:pPr>
              <w:spacing w:line="240" w:lineRule="auto"/>
              <w:ind w:left="-84"/>
              <w:jc w:val="both"/>
              <w:rPr>
                <w:rFonts w:cs="Times New Roman"/>
                <w:szCs w:val="24"/>
              </w:rPr>
            </w:pPr>
            <w:r>
              <w:rPr>
                <w:rFonts w:ascii="Times New Roman" w:hAnsi="Times New Roman" w:cs="Times New Roman"/>
                <w:sz w:val="24"/>
                <w:szCs w:val="24"/>
                <w:lang w:eastAsia="ru-RU"/>
              </w:rPr>
              <w:t>К этой группе относятся услуги повышающие безопасность на рабочем месте</w:t>
            </w:r>
          </w:p>
        </w:tc>
        <w:tc>
          <w:tcPr>
            <w:tcW w:w="3756" w:type="dxa"/>
            <w:tcBorders>
              <w:top w:val="single" w:sz="4" w:space="0" w:color="00000A"/>
              <w:left w:val="single" w:sz="4" w:space="0" w:color="00000A"/>
              <w:bottom w:val="single" w:sz="4" w:space="0" w:color="00000A"/>
              <w:right w:val="single" w:sz="4" w:space="0" w:color="00000A"/>
            </w:tcBorders>
            <w:tcMar>
              <w:left w:w="113" w:type="dxa"/>
              <w:right w:w="108" w:type="dxa"/>
            </w:tcMar>
          </w:tcPr>
          <w:p w:rsidR="005E1201" w:rsidRDefault="005E1201" w:rsidP="00A17BCD">
            <w:pPr>
              <w:shd w:val="clear" w:color="auto" w:fill="FFFFFF"/>
              <w:spacing w:after="0" w:line="240" w:lineRule="auto"/>
              <w:ind w:right="300"/>
              <w:jc w:val="both"/>
              <w:rPr>
                <w:rFonts w:cs="Times New Roman"/>
                <w:szCs w:val="24"/>
              </w:rPr>
            </w:pPr>
            <w:r>
              <w:rPr>
                <w:rFonts w:ascii="Times New Roman" w:hAnsi="Times New Roman" w:cs="Times New Roman"/>
                <w:sz w:val="24"/>
                <w:szCs w:val="24"/>
                <w:lang w:eastAsia="ru-RU"/>
              </w:rPr>
              <w:t>Ящички с ключами для хранения вещей; камеры видеонаблюдения.</w:t>
            </w:r>
          </w:p>
        </w:tc>
      </w:tr>
      <w:tr w:rsidR="005E1201" w:rsidTr="00A17BCD">
        <w:trPr>
          <w:trHeight w:val="300"/>
          <w:jc w:val="center"/>
        </w:trPr>
        <w:tc>
          <w:tcPr>
            <w:tcW w:w="2174" w:type="dxa"/>
            <w:tcBorders>
              <w:top w:val="single" w:sz="4" w:space="0" w:color="00000A"/>
              <w:left w:val="single" w:sz="4" w:space="0" w:color="00000A"/>
              <w:bottom w:val="single" w:sz="4" w:space="0" w:color="00000A"/>
              <w:right w:val="single" w:sz="4" w:space="0" w:color="00000A"/>
            </w:tcBorders>
            <w:tcMar>
              <w:left w:w="113" w:type="dxa"/>
              <w:right w:w="108" w:type="dxa"/>
            </w:tcMar>
          </w:tcPr>
          <w:p w:rsidR="005E1201" w:rsidRDefault="005E1201" w:rsidP="00A17BCD">
            <w:pPr>
              <w:spacing w:line="240" w:lineRule="auto"/>
              <w:rPr>
                <w:rFonts w:cs="Times New Roman"/>
                <w:szCs w:val="24"/>
              </w:rPr>
            </w:pPr>
            <w:r>
              <w:rPr>
                <w:rFonts w:ascii="Times New Roman" w:hAnsi="Times New Roman" w:cs="Times New Roman"/>
                <w:sz w:val="24"/>
                <w:szCs w:val="24"/>
                <w:lang w:eastAsia="ru-RU"/>
              </w:rPr>
              <w:t>Эффективность /Надежность</w:t>
            </w:r>
          </w:p>
        </w:tc>
        <w:tc>
          <w:tcPr>
            <w:tcW w:w="3900" w:type="dxa"/>
            <w:tcBorders>
              <w:top w:val="single" w:sz="4" w:space="0" w:color="00000A"/>
              <w:left w:val="single" w:sz="4" w:space="0" w:color="00000A"/>
              <w:bottom w:val="single" w:sz="4" w:space="0" w:color="00000A"/>
              <w:right w:val="single" w:sz="4" w:space="0" w:color="00000A"/>
            </w:tcBorders>
            <w:tcMar>
              <w:left w:w="113" w:type="dxa"/>
              <w:right w:w="108" w:type="dxa"/>
            </w:tcMar>
          </w:tcPr>
          <w:p w:rsidR="005E1201" w:rsidRDefault="005E1201" w:rsidP="00A17BCD">
            <w:pPr>
              <w:spacing w:line="240" w:lineRule="auto"/>
              <w:ind w:left="-84"/>
              <w:jc w:val="both"/>
              <w:rPr>
                <w:rFonts w:cs="Times New Roman"/>
                <w:szCs w:val="24"/>
              </w:rPr>
            </w:pPr>
            <w:r>
              <w:rPr>
                <w:rFonts w:ascii="Times New Roman" w:hAnsi="Times New Roman" w:cs="Times New Roman"/>
                <w:sz w:val="24"/>
                <w:szCs w:val="24"/>
                <w:lang w:eastAsia="ru-RU"/>
              </w:rPr>
              <w:t>К этой группе относятся услуги, направленные на улучшение и поддержание корректной работы клиентов</w:t>
            </w:r>
          </w:p>
        </w:tc>
        <w:tc>
          <w:tcPr>
            <w:tcW w:w="3756" w:type="dxa"/>
            <w:tcBorders>
              <w:top w:val="single" w:sz="4" w:space="0" w:color="00000A"/>
              <w:left w:val="single" w:sz="4" w:space="0" w:color="00000A"/>
              <w:bottom w:val="single" w:sz="4" w:space="0" w:color="00000A"/>
              <w:right w:val="single" w:sz="4" w:space="0" w:color="00000A"/>
            </w:tcBorders>
            <w:tcMar>
              <w:left w:w="113" w:type="dxa"/>
              <w:right w:w="108" w:type="dxa"/>
            </w:tcMar>
          </w:tcPr>
          <w:p w:rsidR="005E1201" w:rsidRDefault="005E1201" w:rsidP="00A17BCD">
            <w:pPr>
              <w:shd w:val="clear" w:color="auto" w:fill="FFFFFF"/>
              <w:spacing w:after="0" w:line="240" w:lineRule="auto"/>
              <w:ind w:right="300"/>
              <w:jc w:val="both"/>
              <w:rPr>
                <w:rFonts w:cs="Times New Roman"/>
                <w:szCs w:val="24"/>
              </w:rPr>
            </w:pPr>
            <w:r>
              <w:rPr>
                <w:rFonts w:ascii="Times New Roman" w:hAnsi="Times New Roman" w:cs="Times New Roman"/>
                <w:sz w:val="24"/>
                <w:szCs w:val="24"/>
                <w:lang w:eastAsia="ru-RU"/>
              </w:rPr>
              <w:t xml:space="preserve">Предоставление wi-fi, </w:t>
            </w:r>
            <w:r>
              <w:rPr>
                <w:rFonts w:ascii="Times New Roman" w:hAnsi="Times New Roman" w:cs="Times New Roman"/>
                <w:sz w:val="24"/>
                <w:szCs w:val="24"/>
                <w:lang w:val="en-US" w:eastAsia="ru-RU"/>
              </w:rPr>
              <w:t>s</w:t>
            </w:r>
            <w:r>
              <w:rPr>
                <w:rFonts w:ascii="Times New Roman" w:hAnsi="Times New Roman" w:cs="Times New Roman"/>
                <w:sz w:val="24"/>
                <w:szCs w:val="24"/>
                <w:lang w:eastAsia="ru-RU"/>
              </w:rPr>
              <w:t>kype-комнат; предоставление оргтехники, канцтоваров.</w:t>
            </w:r>
          </w:p>
        </w:tc>
      </w:tr>
      <w:tr w:rsidR="005E1201" w:rsidTr="00A17BCD">
        <w:trPr>
          <w:trHeight w:val="1965"/>
          <w:jc w:val="center"/>
        </w:trPr>
        <w:tc>
          <w:tcPr>
            <w:tcW w:w="2174" w:type="dxa"/>
            <w:tcBorders>
              <w:top w:val="single" w:sz="4" w:space="0" w:color="00000A"/>
              <w:left w:val="single" w:sz="4" w:space="0" w:color="00000A"/>
              <w:bottom w:val="single" w:sz="4" w:space="0" w:color="00000A"/>
              <w:right w:val="single" w:sz="4" w:space="0" w:color="00000A"/>
            </w:tcBorders>
            <w:tcMar>
              <w:left w:w="113" w:type="dxa"/>
              <w:right w:w="108" w:type="dxa"/>
            </w:tcMar>
          </w:tcPr>
          <w:p w:rsidR="005E1201" w:rsidRDefault="005E1201" w:rsidP="00A17BCD">
            <w:pPr>
              <w:spacing w:line="240" w:lineRule="auto"/>
              <w:rPr>
                <w:rFonts w:cs="Times New Roman"/>
                <w:szCs w:val="24"/>
              </w:rPr>
            </w:pPr>
            <w:r>
              <w:rPr>
                <w:rFonts w:ascii="Times New Roman" w:hAnsi="Times New Roman" w:cs="Times New Roman"/>
                <w:sz w:val="24"/>
                <w:szCs w:val="24"/>
                <w:lang w:eastAsia="ru-RU"/>
              </w:rPr>
              <w:t xml:space="preserve">Образование </w:t>
            </w:r>
          </w:p>
        </w:tc>
        <w:tc>
          <w:tcPr>
            <w:tcW w:w="3900" w:type="dxa"/>
            <w:tcBorders>
              <w:top w:val="single" w:sz="4" w:space="0" w:color="00000A"/>
              <w:left w:val="single" w:sz="4" w:space="0" w:color="00000A"/>
              <w:bottom w:val="single" w:sz="4" w:space="0" w:color="00000A"/>
              <w:right w:val="single" w:sz="4" w:space="0" w:color="00000A"/>
            </w:tcBorders>
            <w:tcMar>
              <w:left w:w="113" w:type="dxa"/>
              <w:right w:w="108" w:type="dxa"/>
            </w:tcMar>
          </w:tcPr>
          <w:p w:rsidR="005E1201" w:rsidRDefault="005E1201" w:rsidP="00A17BCD">
            <w:pPr>
              <w:spacing w:line="240" w:lineRule="auto"/>
              <w:ind w:left="-84"/>
              <w:jc w:val="both"/>
              <w:rPr>
                <w:rFonts w:cs="Times New Roman"/>
                <w:szCs w:val="24"/>
              </w:rPr>
            </w:pPr>
            <w:r>
              <w:rPr>
                <w:rFonts w:ascii="Times New Roman" w:hAnsi="Times New Roman" w:cs="Times New Roman"/>
                <w:sz w:val="24"/>
                <w:szCs w:val="24"/>
                <w:lang w:eastAsia="ru-RU"/>
              </w:rPr>
              <w:t>К этой группе относятся услуги образовательных программ, направленные на обучение и консультирование клиентов в рамках их работы</w:t>
            </w:r>
          </w:p>
        </w:tc>
        <w:tc>
          <w:tcPr>
            <w:tcW w:w="3756" w:type="dxa"/>
            <w:tcBorders>
              <w:top w:val="single" w:sz="4" w:space="0" w:color="00000A"/>
              <w:left w:val="single" w:sz="4" w:space="0" w:color="00000A"/>
              <w:bottom w:val="single" w:sz="4" w:space="0" w:color="00000A"/>
              <w:right w:val="single" w:sz="4" w:space="0" w:color="00000A"/>
            </w:tcBorders>
            <w:tcMar>
              <w:left w:w="113" w:type="dxa"/>
              <w:right w:w="108" w:type="dxa"/>
            </w:tcMar>
          </w:tcPr>
          <w:p w:rsidR="005E1201" w:rsidRDefault="005E1201" w:rsidP="00A17BCD">
            <w:pPr>
              <w:shd w:val="clear" w:color="auto" w:fill="FFFFFF"/>
              <w:spacing w:after="0" w:line="240" w:lineRule="auto"/>
              <w:ind w:right="300"/>
              <w:jc w:val="both"/>
              <w:rPr>
                <w:rFonts w:cs="Times New Roman"/>
                <w:szCs w:val="24"/>
              </w:rPr>
            </w:pPr>
            <w:r>
              <w:rPr>
                <w:rFonts w:ascii="Times New Roman" w:hAnsi="Times New Roman" w:cs="Times New Roman"/>
                <w:sz w:val="24"/>
                <w:szCs w:val="24"/>
                <w:lang w:eastAsia="ru-RU"/>
              </w:rPr>
              <w:t>Консультации специалистов по финансам, бухгалтерскому учету, налогообложению и юриспруденции; открытые лекции на востребованные темы; семинары и тренинги.</w:t>
            </w:r>
          </w:p>
        </w:tc>
      </w:tr>
    </w:tbl>
    <w:p w:rsidR="005E1201" w:rsidRDefault="005E1201" w:rsidP="005E1201">
      <w:pPr>
        <w:spacing w:after="0" w:line="240" w:lineRule="auto"/>
        <w:ind w:firstLine="708"/>
        <w:jc w:val="both"/>
        <w:rPr>
          <w:rFonts w:ascii="Times New Roman" w:hAnsi="Times New Roman" w:cs="Times New Roman"/>
          <w:sz w:val="24"/>
          <w:szCs w:val="24"/>
          <w:lang w:eastAsia="ru-RU"/>
        </w:rPr>
      </w:pPr>
    </w:p>
    <w:p w:rsidR="005E1201" w:rsidRDefault="005E1201" w:rsidP="005E1201">
      <w:pPr>
        <w:spacing w:after="0" w:line="240" w:lineRule="auto"/>
        <w:ind w:firstLine="709"/>
        <w:jc w:val="both"/>
        <w:rPr>
          <w:rFonts w:cs="Times New Roman"/>
          <w:szCs w:val="24"/>
        </w:rPr>
      </w:pPr>
      <w:r>
        <w:rPr>
          <w:rFonts w:ascii="Times New Roman" w:hAnsi="Times New Roman" w:cs="Times New Roman"/>
          <w:sz w:val="24"/>
          <w:szCs w:val="24"/>
        </w:rPr>
        <w:t>Конечная формулировка позиционирования выглядит следующим образом:</w:t>
      </w:r>
      <w:r>
        <w:rPr>
          <w:rFonts w:ascii="Times New Roman" w:hAnsi="Times New Roman" w:cs="Times New Roman"/>
          <w:i/>
          <w:sz w:val="24"/>
          <w:szCs w:val="24"/>
          <w:lang w:eastAsia="ru-RU"/>
        </w:rPr>
        <w:t xml:space="preserve"> «Новый уровень удобства в работе и творчестве»</w:t>
      </w:r>
      <w:r>
        <w:rPr>
          <w:rFonts w:ascii="Times New Roman" w:hAnsi="Times New Roman" w:cs="Times New Roman"/>
          <w:sz w:val="24"/>
          <w:szCs w:val="24"/>
          <w:lang w:eastAsia="ru-RU"/>
        </w:rPr>
        <w:t>. «Свободный порт Владивосток» - современный коворкинг-центр города Владивостока, где можно работать, создавать свой бизнес, развиваться и расти, максимально легко и комфортно.</w:t>
      </w:r>
      <w:r>
        <w:rPr>
          <w:rFonts w:ascii="Times New Roman" w:hAnsi="Times New Roman" w:cs="Times New Roman"/>
          <w:sz w:val="24"/>
          <w:szCs w:val="24"/>
        </w:rPr>
        <w:t xml:space="preserve"> Целевой аудиторией являются начинающие предприниматели, бизнесмены, фрилансеры и стартаперы. Ключевые характеристики коворкинг-центра – современный, удобный, доступный.</w:t>
      </w:r>
      <w:r>
        <w:rPr>
          <w:rFonts w:ascii="Times New Roman" w:hAnsi="Times New Roman" w:cs="Times New Roman"/>
          <w:sz w:val="24"/>
          <w:szCs w:val="24"/>
          <w:lang w:eastAsia="ru-RU"/>
        </w:rPr>
        <w:t xml:space="preserve"> Желаемый образ коворкинг-центра  -  «Территория эффективных бизнес-решений». </w:t>
      </w:r>
      <w:r>
        <w:rPr>
          <w:rFonts w:ascii="Times New Roman" w:hAnsi="Times New Roman" w:cs="Times New Roman"/>
          <w:sz w:val="24"/>
          <w:szCs w:val="24"/>
        </w:rPr>
        <w:t xml:space="preserve">Таким образом, конечным результатом для коворкинг-центра «Свободный порт Владивосток» будет внедрение и ведение активной деятельности на рынке коворкинг-услуг города Владивостока. </w:t>
      </w: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0D1C8F" w:rsidP="005E120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pict>
          <v:rect id="_x0000_i1040" style="width:222.65pt;height:1pt" o:hrpct="462" o:hrstd="t" o:hr="t" fillcolor="#a0a0a0" stroked="f"/>
        </w:pict>
      </w:r>
    </w:p>
    <w:p w:rsidR="005E1201" w:rsidRDefault="005E1201" w:rsidP="005E1201">
      <w:pPr>
        <w:pStyle w:val="af4"/>
        <w:numPr>
          <w:ilvl w:val="0"/>
          <w:numId w:val="10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ind w:left="1440"/>
        <w:contextualSpacing/>
        <w:jc w:val="both"/>
      </w:pPr>
      <w:r>
        <w:rPr>
          <w:rFonts w:ascii="Times New Roman" w:hAnsi="Times New Roman"/>
        </w:rPr>
        <w:t xml:space="preserve">Что ожидать от коворкинга и как его выбрать </w:t>
      </w:r>
      <w:r w:rsidRPr="00D96A36">
        <w:rPr>
          <w:rFonts w:ascii="Times New Roman" w:hAnsi="Times New Roman"/>
        </w:rPr>
        <w:t>[</w:t>
      </w:r>
      <w:r>
        <w:rPr>
          <w:rFonts w:ascii="Times New Roman" w:hAnsi="Times New Roman"/>
        </w:rPr>
        <w:t>Электронный ресурс</w:t>
      </w:r>
      <w:r w:rsidRPr="00D96A36">
        <w:rPr>
          <w:rFonts w:ascii="Times New Roman" w:hAnsi="Times New Roman"/>
        </w:rPr>
        <w:t>]</w:t>
      </w:r>
      <w:r>
        <w:rPr>
          <w:rFonts w:ascii="Times New Roman" w:hAnsi="Times New Roman"/>
        </w:rPr>
        <w:t xml:space="preserve">. – Режим доступа: </w:t>
      </w:r>
      <w:hyperlink r:id="rId348" w:history="1">
        <w:r>
          <w:rPr>
            <w:rFonts w:ascii="Times New Roman" w:hAnsi="Times New Roman"/>
            <w:color w:val="0000FF"/>
            <w:u w:val="single"/>
          </w:rPr>
          <w:t>https://www.cossa.ru/152/60581/</w:t>
        </w:r>
      </w:hyperlink>
    </w:p>
    <w:p w:rsidR="005E1201" w:rsidRDefault="005E1201" w:rsidP="005E1201">
      <w:pPr>
        <w:pStyle w:val="af4"/>
        <w:numPr>
          <w:ilvl w:val="0"/>
          <w:numId w:val="10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ind w:left="1440"/>
        <w:contextualSpacing/>
        <w:jc w:val="both"/>
      </w:pPr>
      <w:r>
        <w:rPr>
          <w:rFonts w:ascii="Times New Roman" w:hAnsi="Times New Roman"/>
        </w:rPr>
        <w:t xml:space="preserve">Во Владивостоке открылся коворкинг </w:t>
      </w:r>
      <w:r w:rsidRPr="00D96A36">
        <w:rPr>
          <w:rFonts w:ascii="Times New Roman" w:hAnsi="Times New Roman"/>
        </w:rPr>
        <w:t>[</w:t>
      </w:r>
      <w:r>
        <w:rPr>
          <w:rFonts w:ascii="Times New Roman" w:hAnsi="Times New Roman"/>
        </w:rPr>
        <w:t>Электронный ресурс</w:t>
      </w:r>
      <w:r w:rsidRPr="00D96A36">
        <w:rPr>
          <w:rFonts w:ascii="Times New Roman" w:hAnsi="Times New Roman"/>
        </w:rPr>
        <w:t>]</w:t>
      </w:r>
      <w:r>
        <w:rPr>
          <w:rFonts w:ascii="Times New Roman" w:hAnsi="Times New Roman"/>
        </w:rPr>
        <w:t>. – Режим доступа: http://tass.ru/v-strane/4668357</w:t>
      </w:r>
    </w:p>
    <w:p w:rsidR="005E1201" w:rsidRDefault="005E1201" w:rsidP="005E1201">
      <w:pPr>
        <w:pStyle w:val="af4"/>
        <w:spacing w:after="0" w:line="240" w:lineRule="auto"/>
        <w:ind w:left="0"/>
        <w:jc w:val="both"/>
      </w:pPr>
      <w:r>
        <w:rPr>
          <w:rFonts w:ascii="Times New Roman" w:hAnsi="Times New Roman"/>
        </w:rPr>
        <w:t xml:space="preserve">Во ВГУЭС открыт коворкинг-центр «Свободный порт Владивосток» </w:t>
      </w:r>
      <w:r w:rsidRPr="00D96A36">
        <w:rPr>
          <w:rFonts w:ascii="Times New Roman" w:hAnsi="Times New Roman"/>
        </w:rPr>
        <w:t>[</w:t>
      </w:r>
      <w:r>
        <w:rPr>
          <w:rFonts w:ascii="Times New Roman" w:hAnsi="Times New Roman"/>
        </w:rPr>
        <w:t>Электронный ресурс</w:t>
      </w:r>
      <w:r w:rsidRPr="00D96A36">
        <w:rPr>
          <w:rFonts w:ascii="Times New Roman" w:hAnsi="Times New Roman"/>
        </w:rPr>
        <w:t>]</w:t>
      </w:r>
      <w:r>
        <w:rPr>
          <w:rFonts w:ascii="Times New Roman" w:hAnsi="Times New Roman"/>
        </w:rPr>
        <w:t xml:space="preserve">. – Режим доступа: </w:t>
      </w:r>
      <w:hyperlink r:id="rId349" w:history="1">
        <w:r>
          <w:rPr>
            <w:rFonts w:ascii="Times New Roman" w:hAnsi="Times New Roman"/>
            <w:color w:val="0000FF"/>
            <w:u w:val="single"/>
          </w:rPr>
          <w:t>http://www.vvsu.ru/latest/article/2145515181/vo_vgues_otkryt_kovorking</w:t>
        </w:r>
      </w:hyperlink>
    </w:p>
    <w:p w:rsidR="005E1201" w:rsidRDefault="005E1201" w:rsidP="005E1201">
      <w:pPr>
        <w:pStyle w:val="af4"/>
        <w:spacing w:after="0" w:line="240" w:lineRule="auto"/>
        <w:ind w:left="0"/>
        <w:jc w:val="both"/>
      </w:pPr>
    </w:p>
    <w:p w:rsidR="005E1201" w:rsidRPr="007C31DE" w:rsidRDefault="005E1201" w:rsidP="005E1201">
      <w:pPr>
        <w:spacing w:after="0" w:line="240" w:lineRule="auto"/>
        <w:rPr>
          <w:rFonts w:ascii="Times New Roman" w:hAnsi="Times New Roman" w:cs="Times New Roman"/>
          <w:sz w:val="24"/>
          <w:szCs w:val="24"/>
        </w:rPr>
      </w:pPr>
      <w:r w:rsidRPr="007C31DE">
        <w:rPr>
          <w:rFonts w:ascii="Times New Roman" w:hAnsi="Times New Roman" w:cs="Times New Roman"/>
          <w:sz w:val="24"/>
          <w:szCs w:val="24"/>
        </w:rPr>
        <w:t>Рубрика:</w:t>
      </w:r>
      <w:r w:rsidRPr="007C31DE">
        <w:rPr>
          <w:rFonts w:ascii="Tahoma" w:hAnsi="Tahoma" w:cs="Tahoma"/>
          <w:color w:val="333333"/>
          <w:sz w:val="24"/>
          <w:szCs w:val="24"/>
          <w:shd w:val="clear" w:color="auto" w:fill="FFFFFF"/>
        </w:rPr>
        <w:t xml:space="preserve"> </w:t>
      </w:r>
      <w:r w:rsidRPr="007C31DE">
        <w:rPr>
          <w:rFonts w:ascii="Times New Roman" w:hAnsi="Times New Roman" w:cs="Times New Roman"/>
          <w:color w:val="333333"/>
          <w:sz w:val="24"/>
          <w:szCs w:val="24"/>
          <w:shd w:val="clear" w:color="auto" w:fill="FFFFFF"/>
        </w:rPr>
        <w:t>Эффективные маркетинговые технологии в России и за рубежом</w:t>
      </w:r>
    </w:p>
    <w:p w:rsidR="005E1201" w:rsidRPr="007C31DE" w:rsidRDefault="005E1201" w:rsidP="005E1201">
      <w:pPr>
        <w:spacing w:after="0" w:line="240" w:lineRule="auto"/>
        <w:rPr>
          <w:rFonts w:ascii="Times New Roman" w:hAnsi="Times New Roman" w:cs="Times New Roman"/>
          <w:sz w:val="24"/>
          <w:szCs w:val="24"/>
        </w:rPr>
      </w:pPr>
    </w:p>
    <w:p w:rsidR="005E1201" w:rsidRPr="007C31DE" w:rsidRDefault="005E1201" w:rsidP="005E1201">
      <w:pPr>
        <w:spacing w:after="0" w:line="240" w:lineRule="auto"/>
        <w:rPr>
          <w:rFonts w:ascii="Times New Roman" w:hAnsi="Times New Roman" w:cs="Times New Roman"/>
          <w:sz w:val="24"/>
          <w:szCs w:val="24"/>
        </w:rPr>
      </w:pPr>
      <w:r w:rsidRPr="007C31DE">
        <w:rPr>
          <w:rFonts w:ascii="Times New Roman" w:hAnsi="Times New Roman" w:cs="Times New Roman"/>
          <w:sz w:val="24"/>
          <w:szCs w:val="24"/>
        </w:rPr>
        <w:t>УДК 339.138</w:t>
      </w:r>
    </w:p>
    <w:p w:rsidR="005E1201" w:rsidRPr="007C31DE" w:rsidRDefault="005E1201" w:rsidP="005E1201">
      <w:pPr>
        <w:spacing w:after="0" w:line="240" w:lineRule="auto"/>
        <w:rPr>
          <w:rFonts w:ascii="Times New Roman" w:hAnsi="Times New Roman" w:cs="Times New Roman"/>
          <w:b/>
          <w:sz w:val="24"/>
          <w:szCs w:val="24"/>
        </w:rPr>
      </w:pPr>
    </w:p>
    <w:p w:rsidR="005E1201" w:rsidRPr="007C31DE" w:rsidRDefault="005E1201" w:rsidP="005E1201">
      <w:pPr>
        <w:spacing w:after="0" w:line="240" w:lineRule="auto"/>
        <w:jc w:val="center"/>
        <w:rPr>
          <w:rFonts w:ascii="Times New Roman" w:hAnsi="Times New Roman" w:cs="Times New Roman"/>
          <w:b/>
          <w:sz w:val="24"/>
          <w:szCs w:val="24"/>
        </w:rPr>
      </w:pPr>
      <w:r w:rsidRPr="007C31DE">
        <w:rPr>
          <w:rFonts w:ascii="Times New Roman" w:hAnsi="Times New Roman" w:cs="Times New Roman"/>
          <w:b/>
          <w:sz w:val="24"/>
          <w:szCs w:val="24"/>
        </w:rPr>
        <w:t>Проблемы развития трансграничной онлайн-торговли между Россией и Китаем</w:t>
      </w:r>
    </w:p>
    <w:p w:rsidR="005E1201" w:rsidRPr="007C31DE" w:rsidRDefault="005E1201" w:rsidP="005E1201">
      <w:pPr>
        <w:spacing w:after="0" w:line="240" w:lineRule="auto"/>
        <w:jc w:val="center"/>
        <w:rPr>
          <w:rFonts w:ascii="Times New Roman" w:hAnsi="Times New Roman" w:cs="Times New Roman"/>
          <w:sz w:val="24"/>
          <w:szCs w:val="24"/>
        </w:rPr>
      </w:pPr>
    </w:p>
    <w:p w:rsidR="005E1201" w:rsidRPr="007C31DE" w:rsidRDefault="005E1201" w:rsidP="005E1201">
      <w:pPr>
        <w:spacing w:after="0" w:line="240" w:lineRule="auto"/>
        <w:jc w:val="center"/>
        <w:rPr>
          <w:rFonts w:ascii="Times New Roman" w:hAnsi="Times New Roman" w:cs="Times New Roman"/>
          <w:sz w:val="24"/>
          <w:szCs w:val="24"/>
        </w:rPr>
      </w:pPr>
      <w:r w:rsidRPr="007C31DE">
        <w:rPr>
          <w:rFonts w:ascii="Times New Roman" w:hAnsi="Times New Roman" w:cs="Times New Roman"/>
          <w:sz w:val="24"/>
          <w:szCs w:val="24"/>
        </w:rPr>
        <w:t xml:space="preserve">Крутьяков Михаил Сергеевич, </w:t>
      </w:r>
    </w:p>
    <w:p w:rsidR="005E1201" w:rsidRPr="007C31DE" w:rsidRDefault="005E1201" w:rsidP="005E1201">
      <w:pPr>
        <w:spacing w:after="0" w:line="240" w:lineRule="auto"/>
        <w:jc w:val="center"/>
        <w:rPr>
          <w:rFonts w:ascii="Times New Roman" w:hAnsi="Times New Roman" w:cs="Times New Roman"/>
          <w:sz w:val="24"/>
          <w:szCs w:val="24"/>
        </w:rPr>
      </w:pPr>
      <w:r w:rsidRPr="007C31DE">
        <w:rPr>
          <w:rFonts w:ascii="Times New Roman" w:hAnsi="Times New Roman" w:cs="Times New Roman"/>
          <w:sz w:val="24"/>
          <w:szCs w:val="24"/>
        </w:rPr>
        <w:t>бакалавр</w:t>
      </w:r>
    </w:p>
    <w:p w:rsidR="005E1201" w:rsidRPr="007C31DE" w:rsidRDefault="005E1201" w:rsidP="005E1201">
      <w:pPr>
        <w:spacing w:after="0" w:line="240" w:lineRule="auto"/>
        <w:jc w:val="center"/>
        <w:rPr>
          <w:rFonts w:ascii="Times New Roman" w:hAnsi="Times New Roman" w:cs="Times New Roman"/>
          <w:i/>
          <w:sz w:val="24"/>
          <w:szCs w:val="24"/>
        </w:rPr>
      </w:pPr>
      <w:r w:rsidRPr="007C31DE">
        <w:rPr>
          <w:rFonts w:ascii="Times New Roman" w:hAnsi="Times New Roman" w:cs="Times New Roman"/>
          <w:i/>
          <w:sz w:val="24"/>
          <w:szCs w:val="24"/>
        </w:rPr>
        <w:t>Владивостокский государственный университет экономики и сервиса Россия. Владивосток</w:t>
      </w:r>
    </w:p>
    <w:p w:rsidR="005E1201" w:rsidRPr="00E80E2C" w:rsidRDefault="005E1201" w:rsidP="005E1201">
      <w:pPr>
        <w:spacing w:after="0" w:line="240" w:lineRule="auto"/>
        <w:jc w:val="center"/>
        <w:rPr>
          <w:rFonts w:ascii="Times New Roman" w:hAnsi="Times New Roman" w:cs="Times New Roman"/>
        </w:rPr>
      </w:pPr>
      <w:r w:rsidRPr="00821504">
        <w:rPr>
          <w:rFonts w:ascii="Times New Roman" w:hAnsi="Times New Roman" w:cs="Times New Roman"/>
          <w:lang w:val="en-US"/>
        </w:rPr>
        <w:t>E</w:t>
      </w:r>
      <w:r w:rsidRPr="005E1201">
        <w:rPr>
          <w:rFonts w:ascii="Times New Roman" w:hAnsi="Times New Roman" w:cs="Times New Roman"/>
        </w:rPr>
        <w:t>-</w:t>
      </w:r>
      <w:r w:rsidRPr="00821504">
        <w:rPr>
          <w:rFonts w:ascii="Times New Roman" w:hAnsi="Times New Roman" w:cs="Times New Roman"/>
          <w:lang w:val="en-US"/>
        </w:rPr>
        <w:t>mail</w:t>
      </w:r>
      <w:r w:rsidRPr="005E1201">
        <w:rPr>
          <w:rFonts w:ascii="Times New Roman" w:hAnsi="Times New Roman" w:cs="Times New Roman"/>
        </w:rPr>
        <w:t xml:space="preserve">: </w:t>
      </w:r>
      <w:r w:rsidRPr="00821504">
        <w:rPr>
          <w:rFonts w:ascii="Times New Roman" w:hAnsi="Times New Roman" w:cs="Times New Roman"/>
          <w:lang w:val="en-US"/>
        </w:rPr>
        <w:t>Misha</w:t>
      </w:r>
      <w:r w:rsidRPr="005E1201">
        <w:rPr>
          <w:rFonts w:ascii="Times New Roman" w:hAnsi="Times New Roman" w:cs="Times New Roman"/>
        </w:rPr>
        <w:t>-17-97@</w:t>
      </w:r>
      <w:r w:rsidRPr="00821504">
        <w:rPr>
          <w:rFonts w:ascii="Times New Roman" w:hAnsi="Times New Roman" w:cs="Times New Roman"/>
          <w:lang w:val="en-US"/>
        </w:rPr>
        <w:t>mail</w:t>
      </w:r>
      <w:r w:rsidRPr="005E1201">
        <w:rPr>
          <w:rFonts w:ascii="Times New Roman" w:hAnsi="Times New Roman" w:cs="Times New Roman"/>
        </w:rPr>
        <w:t>.</w:t>
      </w:r>
      <w:r w:rsidRPr="00821504">
        <w:rPr>
          <w:rFonts w:ascii="Times New Roman" w:hAnsi="Times New Roman" w:cs="Times New Roman"/>
          <w:lang w:val="en-US"/>
        </w:rPr>
        <w:t>ru</w:t>
      </w:r>
      <w:r w:rsidRPr="005E1201">
        <w:rPr>
          <w:rFonts w:ascii="Times New Roman" w:hAnsi="Times New Roman" w:cs="Times New Roman"/>
        </w:rPr>
        <w:t xml:space="preserve">; </w:t>
      </w:r>
      <w:r w:rsidRPr="00E80E2C">
        <w:rPr>
          <w:rFonts w:ascii="Times New Roman" w:hAnsi="Times New Roman" w:cs="Times New Roman"/>
        </w:rPr>
        <w:t>тел</w:t>
      </w:r>
      <w:r w:rsidRPr="005E1201">
        <w:rPr>
          <w:rFonts w:ascii="Times New Roman" w:hAnsi="Times New Roman" w:cs="Times New Roman"/>
        </w:rPr>
        <w:t>.: +79841551790</w:t>
      </w:r>
      <w:r w:rsidRPr="005E1201">
        <w:rPr>
          <w:rFonts w:ascii="Times New Roman" w:hAnsi="Times New Roman" w:cs="Times New Roman"/>
          <w:sz w:val="24"/>
          <w:szCs w:val="24"/>
        </w:rPr>
        <w:br/>
      </w:r>
      <w:r w:rsidRPr="00E80E2C">
        <w:rPr>
          <w:rFonts w:ascii="Times New Roman" w:hAnsi="Times New Roman" w:cs="Times New Roman"/>
        </w:rPr>
        <w:t>ул</w:t>
      </w:r>
      <w:r w:rsidRPr="005E1201">
        <w:rPr>
          <w:rFonts w:ascii="Times New Roman" w:hAnsi="Times New Roman" w:cs="Times New Roman"/>
        </w:rPr>
        <w:t xml:space="preserve">. </w:t>
      </w:r>
      <w:r w:rsidRPr="00E80E2C">
        <w:rPr>
          <w:rFonts w:ascii="Times New Roman" w:hAnsi="Times New Roman" w:cs="Times New Roman"/>
        </w:rPr>
        <w:t>Гоголя, 41, г. Владивосток, Приморский край, Россия, 690014</w:t>
      </w:r>
    </w:p>
    <w:p w:rsidR="005E1201" w:rsidRPr="007C31DE" w:rsidRDefault="005E1201" w:rsidP="005E1201">
      <w:pPr>
        <w:spacing w:after="0" w:line="240" w:lineRule="auto"/>
        <w:jc w:val="center"/>
        <w:rPr>
          <w:rFonts w:ascii="Times New Roman" w:hAnsi="Times New Roman" w:cs="Times New Roman"/>
          <w:i/>
          <w:sz w:val="24"/>
          <w:szCs w:val="24"/>
        </w:rPr>
      </w:pPr>
    </w:p>
    <w:p w:rsidR="005E1201" w:rsidRPr="007C31DE" w:rsidRDefault="005E1201" w:rsidP="005E1201">
      <w:pPr>
        <w:ind w:firstLine="709"/>
        <w:jc w:val="both"/>
        <w:rPr>
          <w:rFonts w:ascii="Times New Roman" w:hAnsi="Times New Roman" w:cs="Times New Roman"/>
          <w:i/>
          <w:sz w:val="24"/>
          <w:szCs w:val="24"/>
        </w:rPr>
      </w:pPr>
      <w:r w:rsidRPr="007C31DE">
        <w:rPr>
          <w:rFonts w:ascii="Times New Roman" w:hAnsi="Times New Roman" w:cs="Times New Roman"/>
          <w:i/>
          <w:sz w:val="24"/>
          <w:szCs w:val="24"/>
        </w:rPr>
        <w:t xml:space="preserve">В последнее время между Россией и Китаем налаживается связь не только в традиционной торговле но и в относительно новой тенденции </w:t>
      </w:r>
      <w:r w:rsidRPr="007C31DE">
        <w:rPr>
          <w:rFonts w:ascii="Times New Roman" w:hAnsi="Times New Roman" w:cs="Times New Roman"/>
          <w:i/>
          <w:sz w:val="24"/>
          <w:szCs w:val="24"/>
        </w:rPr>
        <w:sym w:font="Symbol" w:char="F02D"/>
      </w:r>
      <w:r w:rsidRPr="007C31DE">
        <w:rPr>
          <w:rFonts w:ascii="Times New Roman" w:hAnsi="Times New Roman" w:cs="Times New Roman"/>
          <w:i/>
          <w:sz w:val="24"/>
          <w:szCs w:val="24"/>
        </w:rPr>
        <w:t xml:space="preserve"> трансграничной онлайн- торговле, однако в данной сфере существует огромное количество подводных камней, которые подробно разобраны в статье, в данной работе проведён сравнительный анализ Российского и Китайского законодательства относительно регулирования электронной коммерции.</w:t>
      </w:r>
    </w:p>
    <w:p w:rsidR="005E1201" w:rsidRPr="007C31DE" w:rsidRDefault="005E1201" w:rsidP="005E1201">
      <w:pPr>
        <w:spacing w:after="0" w:line="240" w:lineRule="auto"/>
        <w:ind w:firstLine="709"/>
        <w:jc w:val="both"/>
        <w:rPr>
          <w:rFonts w:ascii="Times New Roman" w:hAnsi="Times New Roman" w:cs="Times New Roman"/>
          <w:i/>
          <w:sz w:val="24"/>
          <w:szCs w:val="24"/>
        </w:rPr>
      </w:pPr>
      <w:r w:rsidRPr="007C31DE">
        <w:rPr>
          <w:rFonts w:ascii="Times New Roman" w:hAnsi="Times New Roman" w:cs="Times New Roman"/>
          <w:b/>
          <w:i/>
          <w:sz w:val="24"/>
          <w:szCs w:val="24"/>
        </w:rPr>
        <w:t>Ключевые слова и словосочетания:</w:t>
      </w:r>
      <w:r w:rsidRPr="007C31DE">
        <w:rPr>
          <w:rFonts w:ascii="Times New Roman" w:hAnsi="Times New Roman" w:cs="Times New Roman"/>
          <w:b/>
          <w:sz w:val="24"/>
          <w:szCs w:val="24"/>
        </w:rPr>
        <w:t xml:space="preserve"> </w:t>
      </w:r>
      <w:r w:rsidRPr="007C31DE">
        <w:rPr>
          <w:rFonts w:ascii="Times New Roman" w:hAnsi="Times New Roman" w:cs="Times New Roman"/>
          <w:i/>
          <w:sz w:val="24"/>
          <w:szCs w:val="24"/>
        </w:rPr>
        <w:t>электронная коммерция, трансграничная онлайн-торговля, налогообложение, НДС, проблемы международных отношений.</w:t>
      </w:r>
    </w:p>
    <w:p w:rsidR="005E1201" w:rsidRPr="007C31DE" w:rsidRDefault="005E1201" w:rsidP="005E1201">
      <w:pPr>
        <w:spacing w:after="0" w:line="240" w:lineRule="auto"/>
        <w:ind w:firstLine="709"/>
        <w:jc w:val="both"/>
        <w:rPr>
          <w:rFonts w:ascii="Times New Roman" w:hAnsi="Times New Roman" w:cs="Times New Roman"/>
          <w:sz w:val="24"/>
          <w:szCs w:val="24"/>
        </w:rPr>
      </w:pPr>
    </w:p>
    <w:p w:rsidR="005E1201" w:rsidRPr="007C31DE" w:rsidRDefault="005E1201" w:rsidP="005E1201">
      <w:pPr>
        <w:spacing w:after="0" w:line="240" w:lineRule="auto"/>
        <w:ind w:firstLine="709"/>
        <w:jc w:val="both"/>
        <w:rPr>
          <w:rFonts w:ascii="Times New Roman" w:hAnsi="Times New Roman" w:cs="Times New Roman"/>
          <w:b/>
          <w:sz w:val="24"/>
          <w:szCs w:val="24"/>
          <w:lang w:val="en-US"/>
        </w:rPr>
      </w:pPr>
      <w:r w:rsidRPr="007C31DE">
        <w:rPr>
          <w:rFonts w:ascii="Times New Roman" w:hAnsi="Times New Roman" w:cs="Times New Roman"/>
          <w:b/>
          <w:sz w:val="24"/>
          <w:szCs w:val="24"/>
          <w:lang w:val="en-US"/>
        </w:rPr>
        <w:t>Problems of development of cross-border online trade between Russia and China</w:t>
      </w:r>
    </w:p>
    <w:p w:rsidR="005E1201" w:rsidRPr="007C31DE" w:rsidRDefault="005E1201" w:rsidP="005E1201">
      <w:pPr>
        <w:spacing w:after="0" w:line="240" w:lineRule="auto"/>
        <w:ind w:firstLine="709"/>
        <w:jc w:val="both"/>
        <w:rPr>
          <w:rFonts w:ascii="Times New Roman" w:hAnsi="Times New Roman" w:cs="Times New Roman"/>
          <w:sz w:val="24"/>
          <w:szCs w:val="24"/>
          <w:lang w:val="en-US"/>
        </w:rPr>
      </w:pPr>
    </w:p>
    <w:p w:rsidR="005E1201" w:rsidRPr="007C31DE" w:rsidRDefault="005E1201" w:rsidP="005E1201">
      <w:pPr>
        <w:spacing w:after="0" w:line="240" w:lineRule="auto"/>
        <w:ind w:firstLine="709"/>
        <w:jc w:val="both"/>
        <w:rPr>
          <w:rFonts w:ascii="Times New Roman" w:hAnsi="Times New Roman" w:cs="Times New Roman"/>
          <w:i/>
          <w:sz w:val="24"/>
          <w:szCs w:val="24"/>
          <w:lang w:val="en-US"/>
        </w:rPr>
      </w:pPr>
      <w:r w:rsidRPr="007C31DE">
        <w:rPr>
          <w:rFonts w:ascii="Times New Roman" w:hAnsi="Times New Roman" w:cs="Times New Roman"/>
          <w:i/>
          <w:sz w:val="24"/>
          <w:szCs w:val="24"/>
          <w:lang w:val="en-US"/>
        </w:rPr>
        <w:t xml:space="preserve">Recently, communication between Russia and China has been developing not only in traditional trade but also in a relatively new trend </w:t>
      </w:r>
      <w:r w:rsidRPr="007C31DE">
        <w:rPr>
          <w:rFonts w:ascii="Times New Roman" w:hAnsi="Times New Roman" w:cs="Times New Roman"/>
          <w:i/>
          <w:sz w:val="24"/>
          <w:szCs w:val="24"/>
          <w:lang w:val="en-US"/>
        </w:rPr>
        <w:sym w:font="Symbol" w:char="F02D"/>
      </w:r>
      <w:r w:rsidRPr="007C31DE">
        <w:rPr>
          <w:rFonts w:ascii="Times New Roman" w:hAnsi="Times New Roman" w:cs="Times New Roman"/>
          <w:i/>
          <w:sz w:val="24"/>
          <w:szCs w:val="24"/>
          <w:lang w:val="en-US"/>
        </w:rPr>
        <w:t xml:space="preserve"> cross-border online trade, but in this area there is a huge amount of pitfalls, which are analyzed in detail in the article. In this paper, a comparative analysis of the Russian and Chinese legislation on the regulation of e-commerce.</w:t>
      </w:r>
    </w:p>
    <w:p w:rsidR="005E1201" w:rsidRPr="007C31DE" w:rsidRDefault="005E1201" w:rsidP="005E1201">
      <w:pPr>
        <w:spacing w:after="0" w:line="240" w:lineRule="auto"/>
        <w:ind w:firstLine="709"/>
        <w:jc w:val="both"/>
        <w:rPr>
          <w:rFonts w:ascii="TimesNewRomanPS-BoldItalicMT" w:hAnsi="TimesNewRomanPS-BoldItalicMT"/>
          <w:b/>
          <w:bCs/>
          <w:i/>
          <w:iCs/>
          <w:color w:val="000000"/>
          <w:sz w:val="24"/>
          <w:szCs w:val="24"/>
          <w:lang w:val="en-US"/>
        </w:rPr>
      </w:pPr>
    </w:p>
    <w:p w:rsidR="005E1201" w:rsidRPr="007C31DE" w:rsidRDefault="005E1201" w:rsidP="005E1201">
      <w:pPr>
        <w:spacing w:after="0" w:line="240" w:lineRule="auto"/>
        <w:ind w:firstLine="709"/>
        <w:jc w:val="both"/>
        <w:rPr>
          <w:rFonts w:ascii="TimesNewRomanPS-ItalicMT" w:hAnsi="TimesNewRomanPS-ItalicMT"/>
          <w:i/>
          <w:iCs/>
          <w:color w:val="000000"/>
          <w:sz w:val="24"/>
          <w:szCs w:val="24"/>
          <w:lang w:val="en-US"/>
        </w:rPr>
      </w:pPr>
      <w:r w:rsidRPr="007C31DE">
        <w:rPr>
          <w:rFonts w:ascii="TimesNewRomanPS-BoldItalicMT" w:hAnsi="TimesNewRomanPS-BoldItalicMT"/>
          <w:b/>
          <w:bCs/>
          <w:i/>
          <w:iCs/>
          <w:color w:val="000000"/>
          <w:sz w:val="24"/>
          <w:szCs w:val="24"/>
          <w:lang w:val="en-US"/>
        </w:rPr>
        <w:t>Keywords</w:t>
      </w:r>
      <w:r w:rsidRPr="007C31DE">
        <w:rPr>
          <w:rFonts w:ascii="TimesNewRomanPS-ItalicMT" w:hAnsi="TimesNewRomanPS-ItalicMT"/>
          <w:i/>
          <w:iCs/>
          <w:color w:val="000000"/>
          <w:sz w:val="24"/>
          <w:szCs w:val="24"/>
          <w:lang w:val="en-US"/>
        </w:rPr>
        <w:t>:</w:t>
      </w:r>
      <w:r w:rsidRPr="007C31DE">
        <w:rPr>
          <w:i/>
          <w:sz w:val="24"/>
          <w:szCs w:val="24"/>
          <w:lang w:val="en-US"/>
        </w:rPr>
        <w:t xml:space="preserve"> </w:t>
      </w:r>
      <w:r w:rsidRPr="007C31DE">
        <w:rPr>
          <w:rFonts w:ascii="TimesNewRomanPS-ItalicMT" w:hAnsi="TimesNewRomanPS-ItalicMT"/>
          <w:i/>
          <w:iCs/>
          <w:color w:val="000000"/>
          <w:sz w:val="24"/>
          <w:szCs w:val="24"/>
          <w:lang w:val="en-US"/>
        </w:rPr>
        <w:t>e-commerce, cross-border online trade, taxation, VAT, problems of international relations.</w:t>
      </w:r>
    </w:p>
    <w:p w:rsidR="005E1201" w:rsidRPr="007C31DE" w:rsidRDefault="005E1201" w:rsidP="005E1201">
      <w:pPr>
        <w:spacing w:after="0" w:line="240" w:lineRule="auto"/>
        <w:ind w:firstLine="709"/>
        <w:jc w:val="both"/>
        <w:rPr>
          <w:rFonts w:ascii="Times New Roman" w:hAnsi="Times New Roman" w:cs="Times New Roman"/>
          <w:sz w:val="24"/>
          <w:szCs w:val="24"/>
          <w:lang w:val="en-US"/>
        </w:rPr>
      </w:pPr>
    </w:p>
    <w:p w:rsidR="005E1201" w:rsidRPr="007C31DE" w:rsidRDefault="005E1201" w:rsidP="005E1201">
      <w:pPr>
        <w:spacing w:after="0" w:line="240" w:lineRule="auto"/>
        <w:ind w:firstLine="709"/>
        <w:jc w:val="both"/>
        <w:rPr>
          <w:rFonts w:ascii="Times New Roman" w:hAnsi="Times New Roman" w:cs="Times New Roman"/>
          <w:sz w:val="24"/>
          <w:szCs w:val="24"/>
        </w:rPr>
      </w:pPr>
      <w:r w:rsidRPr="007C31DE">
        <w:rPr>
          <w:rFonts w:ascii="Times New Roman" w:hAnsi="Times New Roman" w:cs="Times New Roman"/>
          <w:sz w:val="24"/>
          <w:szCs w:val="24"/>
        </w:rPr>
        <w:t>С 2015 года в российско-китайских торгово-экономических отношениях стала проявляться новая тенденция - освоение трансграничной интернет-торговли, данная тенденция является подразделом электронной коммерции.</w:t>
      </w:r>
      <w:r w:rsidRPr="007C31DE">
        <w:t xml:space="preserve"> </w:t>
      </w:r>
      <w:r w:rsidRPr="007C31DE">
        <w:rPr>
          <w:rFonts w:ascii="Times New Roman" w:hAnsi="Times New Roman" w:cs="Times New Roman"/>
          <w:sz w:val="24"/>
          <w:szCs w:val="24"/>
        </w:rPr>
        <w:t>Термин «электронная коммерция» означает предпринимательскую деятельность по осуществлению коммерческих операций с использованием электронных средств обмена данными [1]. К таким операциям могут относиться: электронный обмен информацией, электронное движение капитала, электронные деньги, электронный маркетинг, электронный банкинг, электронные страховые услуги и главным образом электронная торговля. Данному направлению уделяют большое внимание не только предприниматели двух стран, чей бизнес напрямую связан с оптовыми и розничными онлайн-продажами, но и высокопоставленные руководители. Так в 2014 году президент РФ В. Путин предложил создать международную интернет-площадку для экспорта российских товаров, а в апреле 2015 премьер госсовета КНР Ли Кэцян заявил о том, что новые модели содействия росту китайского экспорта, в том числе онлайн-торговли, получат мощную поддержку на государственном уровне. Освоение электронной торговли позволить вскрыть новый потенциал взаимодействия между Россией и Китаем.</w:t>
      </w:r>
    </w:p>
    <w:p w:rsidR="005E1201" w:rsidRPr="007C31DE" w:rsidRDefault="005E1201" w:rsidP="005E1201">
      <w:pPr>
        <w:spacing w:after="0" w:line="240" w:lineRule="auto"/>
        <w:ind w:firstLine="709"/>
        <w:jc w:val="both"/>
        <w:rPr>
          <w:rFonts w:ascii="Times New Roman" w:hAnsi="Times New Roman" w:cs="Times New Roman"/>
          <w:sz w:val="24"/>
          <w:szCs w:val="24"/>
        </w:rPr>
      </w:pPr>
      <w:r w:rsidRPr="007C31DE">
        <w:rPr>
          <w:rFonts w:ascii="Times New Roman" w:hAnsi="Times New Roman" w:cs="Times New Roman"/>
          <w:sz w:val="24"/>
          <w:szCs w:val="24"/>
        </w:rPr>
        <w:t>7 мая 2016 года состоялся первый китайско-российский форум по развитию трансграничной электронной торговли. Участники обсудили вопросы текущего состояния китайско-российской электронной торговли и перспектив ее развития, роль и функции логистики в развитии электронной торговли, консалтинг и финансовые услуги как залог успешного ведения электронной торговли. Один из ключевых организаторов форума - российская электронная торговая платформа со 100-процентным китайским капиталом "Qifa" занимается электронной торговлей качественными товарами народного потребления китайского производства, а также является наиболее быстро развивающейся российской платформой "В2В". Другой организатор форума - китайская компания "TAOWA.ME" является предприятием со 100-процентными российскими инвестициями. Компания создана с целью продвижения российских товаров на китайский рынок через современные каналы продаж. На форуме эти две компании подписали договоры с зоной технико-экономического освоения города Чжэньцзян, что позволит им открыть филиалы в местном государственном университетском технопарке.</w:t>
      </w:r>
    </w:p>
    <w:p w:rsidR="005E1201" w:rsidRPr="007C31DE" w:rsidRDefault="005E1201" w:rsidP="005E1201">
      <w:pPr>
        <w:spacing w:after="0" w:line="240" w:lineRule="auto"/>
        <w:ind w:firstLine="709"/>
        <w:jc w:val="both"/>
        <w:rPr>
          <w:rFonts w:ascii="Times New Roman" w:hAnsi="Times New Roman" w:cs="Times New Roman"/>
          <w:sz w:val="24"/>
          <w:szCs w:val="24"/>
        </w:rPr>
      </w:pPr>
      <w:r w:rsidRPr="007C31DE">
        <w:rPr>
          <w:rFonts w:ascii="Times New Roman" w:hAnsi="Times New Roman" w:cs="Times New Roman"/>
          <w:sz w:val="24"/>
          <w:szCs w:val="24"/>
        </w:rPr>
        <w:t>На сегодняшний день Россия и Китай столкнулись с проблемой налогообложения на трансграничные закупки. В некоторых странах – лидерах в сфере электронной коммерции, в частности в США, доминирует мнение о том, что поскольку электронная торговля чрезвычайно перспективная отрасль экономики, она должна быть освобождена от налогообложения. С другой стороны в тех же США налог на продажи (аналог НДС) является одним из основных источников бюджета. По некоторым оценкам только по налогу с продаж потери бюджета США составляют около $8 млрд. ежегодно. На территории ЕАЭС трансграничная торговля регулируется Соглашением «О порядке перемещения физическими лицами товаров для личного пользования через таможенную границу таможенного союза и совершения таможенных операций, связанных с их выпуском» от 18.06.2010, в соответствии с которым товарные поставки из-за рубежа декларируются как товары для личного пользования и не облагаются НДС и пошлинами, в случае если по стоимости не превышают 1000 евро или 31 кг веса в месяц на человека (99,5% приобретаемых за рубежом товаров не превышают этой нормы) [3].</w:t>
      </w:r>
    </w:p>
    <w:p w:rsidR="005E1201" w:rsidRPr="007C31DE" w:rsidRDefault="005E1201" w:rsidP="005E1201">
      <w:pPr>
        <w:spacing w:after="0" w:line="240" w:lineRule="auto"/>
        <w:ind w:firstLine="709"/>
        <w:jc w:val="both"/>
        <w:rPr>
          <w:rFonts w:ascii="Times New Roman" w:hAnsi="Times New Roman" w:cs="Times New Roman"/>
          <w:sz w:val="24"/>
          <w:szCs w:val="24"/>
        </w:rPr>
      </w:pPr>
      <w:r w:rsidRPr="007C31DE">
        <w:rPr>
          <w:rFonts w:ascii="Times New Roman" w:hAnsi="Times New Roman" w:cs="Times New Roman"/>
          <w:sz w:val="24"/>
          <w:szCs w:val="24"/>
        </w:rPr>
        <w:t>Действительно, в нашей стране установлен самый высокий в мире порог беспошлинного ввоза товаров. Однако такая лояльность приводит к тому, что не все заказанные товары идут для личного применения, многие создают на основе таких заказов бизнес, перепродавая их. По этой причине 23 декабря 2013 г. Минфин России выступил с инициативой снижения уровня необлагаемых пошлинами покупок через интернет с 1000 евро до 150 евро. В 2016 году уже ЕЭК (Евразийская экономическая комиссия) также предложила снизить беспошлинный порог до 150 евро, а общий вес посылок – до 10 кг. При этом для укладывающихся в лимит посылок ЕЭК хочет ввести фиксированный сбор – 25 евро, а при превышении заплатить придется и сбор, и таможенные пошлины по единой ставке в 30%. В перспективе предлагается и вовсе отказаться от формулировки «товары для личного пользования», что позволит облагать посылки НДС и взимать с них пошлины в зависимости от таможенных кодов. Помимо этого, предлагается унифицировать данные правила для всех стран - участниц Евразийского экономического союза (ЕАЭС), чтобы не произошло перетекание товарных потоков в государства с более льготными правилами ввоза [4].</w:t>
      </w:r>
    </w:p>
    <w:p w:rsidR="005E1201" w:rsidRPr="007C31DE" w:rsidRDefault="005E1201" w:rsidP="005E1201">
      <w:pPr>
        <w:spacing w:after="0" w:line="240" w:lineRule="auto"/>
        <w:ind w:firstLine="709"/>
        <w:jc w:val="both"/>
        <w:rPr>
          <w:rFonts w:ascii="Times New Roman" w:hAnsi="Times New Roman" w:cs="Times New Roman"/>
          <w:sz w:val="24"/>
          <w:szCs w:val="24"/>
        </w:rPr>
      </w:pPr>
      <w:r w:rsidRPr="007C31DE">
        <w:rPr>
          <w:rFonts w:ascii="Times New Roman" w:hAnsi="Times New Roman" w:cs="Times New Roman"/>
          <w:sz w:val="24"/>
          <w:szCs w:val="24"/>
        </w:rPr>
        <w:t>В Китае ситуация следующая: 8 апреля 2016 года  вступил в силу налоговый циркуляр по электронной торговле. Он измени льготную налоговую политику, которая применялась к трансграничным сделкам, осуществляемым в сфере электронной торговли. Из основных изменений, можно выделить то, что согласно ранее действующей налоговой норме в случае, если сумма налога, подлежащая уплате за товары, составляет менее 50 юаней, налог не уплачивается. Согласно же новым правилам, налог на товар платится в любом случае. Ранее товары стоимостью до 1000 юаней можно было рассматривать как предметы личного пользования, и вместо обычной таможенной пошлины взимался лишь почтовый сбор. Теперь же операции на сумму до 2000 юаней будут подлежать обложению по льготным ставкам, но такие льготы будут применяться только временно (пока неясно, как налог будет взиматься после временного периода). Почтовый сбор в размере 10% был заменен на следующие налоги и сборы: таможенная пошлина 0% ( временно), НДС по льготной ставке: от 17% до 70% стоимости товаров,</w:t>
      </w:r>
      <w:r>
        <w:rPr>
          <w:rFonts w:ascii="Times New Roman" w:hAnsi="Times New Roman" w:cs="Times New Roman"/>
          <w:sz w:val="24"/>
          <w:szCs w:val="24"/>
        </w:rPr>
        <w:t xml:space="preserve"> </w:t>
      </w:r>
      <w:r w:rsidRPr="007C31DE">
        <w:rPr>
          <w:rFonts w:ascii="Times New Roman" w:hAnsi="Times New Roman" w:cs="Times New Roman"/>
          <w:sz w:val="24"/>
          <w:szCs w:val="24"/>
        </w:rPr>
        <w:t>потребительский налог по льготной ставке: понижение налога на 70% (не распространяется на пищевые продукты, за исключением табачных изделий и алкогольной продукции).</w:t>
      </w:r>
    </w:p>
    <w:p w:rsidR="005E1201" w:rsidRPr="007C31DE" w:rsidRDefault="005E1201" w:rsidP="005E1201">
      <w:pPr>
        <w:spacing w:after="0" w:line="240" w:lineRule="auto"/>
        <w:ind w:firstLine="709"/>
        <w:jc w:val="both"/>
        <w:rPr>
          <w:rFonts w:ascii="Times New Roman" w:hAnsi="Times New Roman" w:cs="Times New Roman"/>
          <w:sz w:val="24"/>
          <w:szCs w:val="24"/>
        </w:rPr>
      </w:pPr>
      <w:r w:rsidRPr="007C31DE">
        <w:rPr>
          <w:rFonts w:ascii="Times New Roman" w:hAnsi="Times New Roman" w:cs="Times New Roman"/>
          <w:sz w:val="24"/>
          <w:szCs w:val="24"/>
        </w:rPr>
        <w:t>Таким образом, налицо ужесточение налогового законодательства КНР в отношении приобретения китайскими потребителями товаров на зарубежных электронных торговых площадках. Что связано с необходимостью поддержки китайских продавцов и производителей.</w:t>
      </w:r>
    </w:p>
    <w:p w:rsidR="005E1201" w:rsidRPr="007C31DE" w:rsidRDefault="005E1201" w:rsidP="005E1201">
      <w:pPr>
        <w:spacing w:after="0" w:line="240" w:lineRule="auto"/>
        <w:ind w:firstLine="709"/>
        <w:jc w:val="both"/>
        <w:rPr>
          <w:rFonts w:ascii="Times New Roman" w:hAnsi="Times New Roman" w:cs="Times New Roman"/>
          <w:sz w:val="24"/>
          <w:szCs w:val="24"/>
        </w:rPr>
      </w:pPr>
      <w:r w:rsidRPr="007C31DE">
        <w:rPr>
          <w:rFonts w:ascii="Times New Roman" w:hAnsi="Times New Roman" w:cs="Times New Roman"/>
          <w:sz w:val="24"/>
          <w:szCs w:val="24"/>
        </w:rPr>
        <w:t xml:space="preserve">Ещё одно изменение в регулировании трансграничной электронной торговли это введение так называемых позитивных списков. Список импортируемых товаров трансграничной электронной розничной торговли. Этот список был дополнительно обновлен и расширен с помощью второго списка  - списка импортируемых товаров трансграничной торговли. </w:t>
      </w:r>
    </w:p>
    <w:p w:rsidR="005E1201" w:rsidRPr="007C31DE" w:rsidRDefault="005E1201" w:rsidP="005E1201">
      <w:pPr>
        <w:spacing w:after="0" w:line="240" w:lineRule="auto"/>
        <w:ind w:firstLine="709"/>
        <w:jc w:val="both"/>
        <w:rPr>
          <w:rFonts w:ascii="Times New Roman" w:hAnsi="Times New Roman" w:cs="Times New Roman"/>
          <w:sz w:val="24"/>
          <w:szCs w:val="24"/>
        </w:rPr>
      </w:pPr>
      <w:r w:rsidRPr="007C31DE">
        <w:rPr>
          <w:rFonts w:ascii="Times New Roman" w:hAnsi="Times New Roman" w:cs="Times New Roman"/>
          <w:sz w:val="24"/>
          <w:szCs w:val="24"/>
        </w:rPr>
        <w:t>Позитивный список включает в общей сложности 1293 наименований товаров по различным тарифным линиям, распределенных по восьми категориям товаров, которые разрешены к импорту в КНР по новому налоговому режиму, установленному рассмотренным выше Налоговым циркуляром. Список включает в себя продукты питания и напитки, одежду, обувь, головные уборы, бытовую технику, косметику, подгузники, детские игрушки и множество других предметов, которые обычно заказывают на зарубежных электронных торговых площадках китайские потребители ввиду недостатка предложения на китайском рынке.</w:t>
      </w:r>
    </w:p>
    <w:p w:rsidR="005E1201" w:rsidRPr="007C31DE" w:rsidRDefault="005E1201" w:rsidP="005E1201">
      <w:pPr>
        <w:spacing w:after="0" w:line="240" w:lineRule="auto"/>
        <w:ind w:firstLine="709"/>
        <w:jc w:val="both"/>
        <w:rPr>
          <w:rFonts w:ascii="Times New Roman" w:hAnsi="Times New Roman" w:cs="Times New Roman"/>
          <w:sz w:val="24"/>
          <w:szCs w:val="24"/>
        </w:rPr>
      </w:pPr>
      <w:r w:rsidRPr="007C31DE">
        <w:rPr>
          <w:rFonts w:ascii="Times New Roman" w:hAnsi="Times New Roman" w:cs="Times New Roman"/>
          <w:sz w:val="24"/>
          <w:szCs w:val="24"/>
        </w:rPr>
        <w:t>В отношении товаров, которые не были включены в Позитивный список, будут применяться налоги и сборы, действующие для обычной торговли или почтовых отправлений. Позитивный список охватывает широкий спектр основных продуктов потребления, однако, что важно, в него не включены продукты, требующие специальных лицензий или иных регистрационных действий в соответствии с законодательством КНР. К их числу относятся ряд продуктов здорового питания, специализированных пищевых продуктов, медицинских приборов, а также косметические товары, которые требуют специальной регистрации. Содержание данных списков позволяет сделать заключение о вводимых ограничениях на продажу определенных категорий товаров посредством сервисов трансграничной электронной торговли.</w:t>
      </w:r>
    </w:p>
    <w:p w:rsidR="005E1201" w:rsidRPr="007C31DE" w:rsidRDefault="005E1201" w:rsidP="005E1201">
      <w:pPr>
        <w:spacing w:after="0" w:line="240" w:lineRule="auto"/>
        <w:ind w:firstLine="709"/>
        <w:jc w:val="both"/>
        <w:rPr>
          <w:rFonts w:ascii="Times New Roman" w:hAnsi="Times New Roman" w:cs="Times New Roman"/>
          <w:sz w:val="24"/>
          <w:szCs w:val="24"/>
        </w:rPr>
      </w:pPr>
      <w:r w:rsidRPr="007C31DE">
        <w:rPr>
          <w:rFonts w:ascii="Times New Roman" w:hAnsi="Times New Roman" w:cs="Times New Roman"/>
          <w:sz w:val="24"/>
          <w:szCs w:val="24"/>
        </w:rPr>
        <w:t>Таким образом, это вторая регулятивная мера представляется нормативной новеллой, которая может иметь более негативные последствия для иностранного бизнеса в Китае, чем Налоговый циркуляр.</w:t>
      </w:r>
    </w:p>
    <w:p w:rsidR="005E1201" w:rsidRPr="007C31DE" w:rsidRDefault="005E1201" w:rsidP="005E1201">
      <w:pPr>
        <w:spacing w:after="0" w:line="240" w:lineRule="auto"/>
        <w:ind w:firstLine="709"/>
        <w:jc w:val="both"/>
        <w:rPr>
          <w:rFonts w:ascii="Times New Roman" w:hAnsi="Times New Roman" w:cs="Times New Roman"/>
          <w:sz w:val="24"/>
          <w:szCs w:val="24"/>
        </w:rPr>
      </w:pPr>
      <w:r w:rsidRPr="007C31DE">
        <w:rPr>
          <w:rFonts w:ascii="Times New Roman" w:hAnsi="Times New Roman" w:cs="Times New Roman"/>
          <w:sz w:val="24"/>
          <w:szCs w:val="24"/>
        </w:rPr>
        <w:t xml:space="preserve">По мнению членов НАДТ (Национальной ассоциации дистанционной торговли) среди которых eBay, DPD, Pony Express и т.д., вместо НДС следует вернуть в РФ практику налога с продаж на уровне 8%, как в Японии, или 10%, как в Австралии. Против выступают отечественные ритейлеры, по-прежнему настаивая на НДС для иностранных конкурентов. Их довод, что нужно уравнять всех в условиях. Однако это неправда, никаких равных конкурентных условий там нет изначально, так как когда покупают в интернет-магазине за рубежом, платят розничную цену. Российские же ритейлеры ввозят товары по оптовой цене, а это самый дешевый способ доставки. </w:t>
      </w:r>
    </w:p>
    <w:p w:rsidR="005E1201" w:rsidRPr="007C31DE" w:rsidRDefault="005E1201" w:rsidP="005E1201">
      <w:pPr>
        <w:spacing w:after="0" w:line="240" w:lineRule="auto"/>
        <w:ind w:firstLine="709"/>
        <w:jc w:val="both"/>
        <w:rPr>
          <w:rFonts w:ascii="Times New Roman" w:hAnsi="Times New Roman" w:cs="Times New Roman"/>
          <w:sz w:val="24"/>
          <w:szCs w:val="24"/>
        </w:rPr>
      </w:pPr>
      <w:r w:rsidRPr="007C31DE">
        <w:rPr>
          <w:rFonts w:ascii="Times New Roman" w:hAnsi="Times New Roman" w:cs="Times New Roman"/>
          <w:sz w:val="24"/>
          <w:szCs w:val="24"/>
        </w:rPr>
        <w:tab/>
        <w:t xml:space="preserve">Подобные протекционистские меры (введение НДС, налог с продаж (НСП)), которые защищают отечественных производителей, необходимо было бы приветствовать, но речь идет не об импортозамещении. Ко всему прочему, обвал курса рубля, который привел к тектоническим изменениям на рынке розничной интернет-торговли, сделал свое дело в данном направлении. </w:t>
      </w:r>
    </w:p>
    <w:p w:rsidR="005E1201" w:rsidRPr="007C31DE" w:rsidRDefault="005E1201" w:rsidP="005E1201">
      <w:pPr>
        <w:spacing w:after="0" w:line="240" w:lineRule="auto"/>
        <w:ind w:firstLine="709"/>
        <w:jc w:val="both"/>
        <w:rPr>
          <w:rFonts w:ascii="Times New Roman" w:hAnsi="Times New Roman" w:cs="Times New Roman"/>
          <w:sz w:val="24"/>
          <w:szCs w:val="24"/>
        </w:rPr>
      </w:pPr>
      <w:r w:rsidRPr="007C31DE">
        <w:rPr>
          <w:rFonts w:ascii="Times New Roman" w:hAnsi="Times New Roman" w:cs="Times New Roman"/>
          <w:sz w:val="24"/>
          <w:szCs w:val="24"/>
        </w:rPr>
        <w:t>На сегодняшний день повышенное внимание уделяется контролю трансграничной электронной торговли, как в мировой практике, так и в рамках ЕАЭС. Однако различия в терминологии и подходах к регулированию электронной торговли во внутреннем законодательстве разных государств приводят к затруднениям в регулировании трансграничных отношений. По этой причине особенно в пределах таможенного союза важно согласовать проводимые меры, направленные на данную отрасль. А учитывая ее высокие темпы роста не без оснований можно предположить, что в условиях сегодняшней эры технологий и коммуникаций объемы трансграничной электронной торговли будут продолжать расти. Однако подобные темпы могут быть максимально снижены возможной политикой государства, направленной на снижение беспошлинного порога и введение сборов и пошлин, как это предполагается ввести в рамках РФ. Кроме того, данные правила должны будут распространяться на всех членов таможенного союза, что существенно усложнит реализацию целей евразийской экономической интеграции – свободы движения товаров, услуг, капитала и рабочей силы.</w:t>
      </w:r>
    </w:p>
    <w:p w:rsidR="005E1201" w:rsidRPr="007C31DE" w:rsidRDefault="005E1201" w:rsidP="005E1201">
      <w:pPr>
        <w:spacing w:after="0" w:line="240" w:lineRule="auto"/>
        <w:ind w:firstLine="709"/>
        <w:jc w:val="center"/>
        <w:rPr>
          <w:rFonts w:ascii="Times New Roman" w:hAnsi="Times New Roman" w:cs="Times New Roman"/>
          <w:b/>
          <w:sz w:val="24"/>
          <w:szCs w:val="24"/>
        </w:rPr>
      </w:pPr>
    </w:p>
    <w:p w:rsidR="005E1201" w:rsidRPr="007C31DE" w:rsidRDefault="005E1201" w:rsidP="005E1201">
      <w:pPr>
        <w:spacing w:after="0" w:line="240" w:lineRule="auto"/>
        <w:ind w:firstLine="709"/>
        <w:jc w:val="center"/>
        <w:rPr>
          <w:rFonts w:ascii="Times New Roman" w:hAnsi="Times New Roman" w:cs="Times New Roman"/>
          <w:b/>
          <w:sz w:val="24"/>
          <w:szCs w:val="24"/>
        </w:rPr>
      </w:pPr>
      <w:r w:rsidRPr="007C31DE">
        <w:rPr>
          <w:rFonts w:ascii="Times New Roman" w:hAnsi="Times New Roman" w:cs="Times New Roman"/>
          <w:b/>
          <w:sz w:val="24"/>
          <w:szCs w:val="24"/>
        </w:rPr>
        <w:t>Литература</w:t>
      </w:r>
    </w:p>
    <w:p w:rsidR="005E1201" w:rsidRPr="007C31DE" w:rsidRDefault="005E1201" w:rsidP="005E1201">
      <w:pPr>
        <w:pStyle w:val="af4"/>
        <w:numPr>
          <w:ilvl w:val="0"/>
          <w:numId w:val="106"/>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contextualSpacing/>
        <w:jc w:val="both"/>
        <w:rPr>
          <w:rFonts w:ascii="Times New Roman" w:hAnsi="Times New Roman" w:cs="Times New Roman"/>
          <w:sz w:val="24"/>
          <w:szCs w:val="24"/>
        </w:rPr>
      </w:pPr>
      <w:r w:rsidRPr="007C31DE">
        <w:rPr>
          <w:rFonts w:ascii="Times New Roman" w:hAnsi="Times New Roman" w:cs="Times New Roman"/>
          <w:sz w:val="24"/>
          <w:szCs w:val="24"/>
        </w:rPr>
        <w:t xml:space="preserve">Воробьев К. Ю. Сущность электронной коммерции в системе международных торговых связей // Российский внешнеэкономический вестник, 2015. - №3. С. 106-114.- Режим доступа: </w:t>
      </w:r>
      <w:hyperlink r:id="rId350" w:history="1">
        <w:r w:rsidRPr="007C31DE">
          <w:rPr>
            <w:rStyle w:val="aa"/>
            <w:rFonts w:ascii="Times New Roman" w:hAnsi="Times New Roman" w:cs="Times New Roman"/>
            <w:lang w:val="en-US"/>
          </w:rPr>
          <w:t>http</w:t>
        </w:r>
        <w:r w:rsidRPr="007C31DE">
          <w:rPr>
            <w:rStyle w:val="aa"/>
            <w:rFonts w:ascii="Times New Roman" w:hAnsi="Times New Roman" w:cs="Times New Roman"/>
          </w:rPr>
          <w:t>://</w:t>
        </w:r>
        <w:r w:rsidRPr="007C31DE">
          <w:rPr>
            <w:rStyle w:val="aa"/>
            <w:rFonts w:ascii="Times New Roman" w:hAnsi="Times New Roman" w:cs="Times New Roman"/>
            <w:lang w:val="en-US"/>
          </w:rPr>
          <w:t>www</w:t>
        </w:r>
        <w:r w:rsidRPr="007C31DE">
          <w:rPr>
            <w:rStyle w:val="aa"/>
            <w:rFonts w:ascii="Times New Roman" w:hAnsi="Times New Roman" w:cs="Times New Roman"/>
          </w:rPr>
          <w:t>.</w:t>
        </w:r>
        <w:r w:rsidRPr="007C31DE">
          <w:rPr>
            <w:rStyle w:val="aa"/>
            <w:rFonts w:ascii="Times New Roman" w:hAnsi="Times New Roman" w:cs="Times New Roman"/>
            <w:lang w:val="en-US"/>
          </w:rPr>
          <w:t>rfej</w:t>
        </w:r>
        <w:r w:rsidRPr="007C31DE">
          <w:rPr>
            <w:rStyle w:val="aa"/>
            <w:rFonts w:ascii="Times New Roman" w:hAnsi="Times New Roman" w:cs="Times New Roman"/>
          </w:rPr>
          <w:t>.</w:t>
        </w:r>
        <w:r w:rsidRPr="007C31DE">
          <w:rPr>
            <w:rStyle w:val="aa"/>
            <w:rFonts w:ascii="Times New Roman" w:hAnsi="Times New Roman" w:cs="Times New Roman"/>
            <w:lang w:val="en-US"/>
          </w:rPr>
          <w:t>ru</w:t>
        </w:r>
        <w:r w:rsidRPr="007C31DE">
          <w:rPr>
            <w:rStyle w:val="aa"/>
            <w:rFonts w:ascii="Times New Roman" w:hAnsi="Times New Roman" w:cs="Times New Roman"/>
          </w:rPr>
          <w:t>/</w:t>
        </w:r>
        <w:r w:rsidRPr="007C31DE">
          <w:rPr>
            <w:rStyle w:val="aa"/>
            <w:rFonts w:ascii="Times New Roman" w:hAnsi="Times New Roman" w:cs="Times New Roman"/>
            <w:lang w:val="en-US"/>
          </w:rPr>
          <w:t>rvv</w:t>
        </w:r>
        <w:r w:rsidRPr="007C31DE">
          <w:rPr>
            <w:rStyle w:val="aa"/>
            <w:rFonts w:ascii="Times New Roman" w:hAnsi="Times New Roman" w:cs="Times New Roman"/>
          </w:rPr>
          <w:t>/</w:t>
        </w:r>
        <w:r w:rsidRPr="007C31DE">
          <w:rPr>
            <w:rStyle w:val="aa"/>
            <w:rFonts w:ascii="Times New Roman" w:hAnsi="Times New Roman" w:cs="Times New Roman"/>
            <w:lang w:val="en-US"/>
          </w:rPr>
          <w:t>id</w:t>
        </w:r>
        <w:r w:rsidRPr="007C31DE">
          <w:rPr>
            <w:rStyle w:val="aa"/>
            <w:rFonts w:ascii="Times New Roman" w:hAnsi="Times New Roman" w:cs="Times New Roman"/>
          </w:rPr>
          <w:t>/</w:t>
        </w:r>
        <w:r w:rsidRPr="007C31DE">
          <w:rPr>
            <w:rStyle w:val="aa"/>
            <w:rFonts w:ascii="Times New Roman" w:hAnsi="Times New Roman" w:cs="Times New Roman"/>
            <w:lang w:val="en-US"/>
          </w:rPr>
          <w:t>E</w:t>
        </w:r>
        <w:r w:rsidRPr="007C31DE">
          <w:rPr>
            <w:rStyle w:val="aa"/>
            <w:rFonts w:ascii="Times New Roman" w:hAnsi="Times New Roman" w:cs="Times New Roman"/>
          </w:rPr>
          <w:t>0030</w:t>
        </w:r>
        <w:r w:rsidRPr="007C31DE">
          <w:rPr>
            <w:rStyle w:val="aa"/>
            <w:rFonts w:ascii="Times New Roman" w:hAnsi="Times New Roman" w:cs="Times New Roman"/>
            <w:lang w:val="en-US"/>
          </w:rPr>
          <w:t>F</w:t>
        </w:r>
        <w:r w:rsidRPr="007C31DE">
          <w:rPr>
            <w:rStyle w:val="aa"/>
            <w:rFonts w:ascii="Times New Roman" w:hAnsi="Times New Roman" w:cs="Times New Roman"/>
          </w:rPr>
          <w:t>842</w:t>
        </w:r>
      </w:hyperlink>
      <w:r w:rsidRPr="007C31DE">
        <w:rPr>
          <w:rFonts w:ascii="Times New Roman" w:hAnsi="Times New Roman" w:cs="Times New Roman"/>
          <w:sz w:val="24"/>
          <w:szCs w:val="24"/>
        </w:rPr>
        <w:t>.</w:t>
      </w:r>
    </w:p>
    <w:p w:rsidR="005E1201" w:rsidRPr="007C31DE" w:rsidRDefault="005E1201" w:rsidP="005E1201">
      <w:pPr>
        <w:pStyle w:val="af4"/>
        <w:numPr>
          <w:ilvl w:val="0"/>
          <w:numId w:val="106"/>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contextualSpacing/>
        <w:jc w:val="both"/>
        <w:rPr>
          <w:rFonts w:ascii="Times New Roman" w:hAnsi="Times New Roman" w:cs="Times New Roman"/>
          <w:sz w:val="24"/>
          <w:szCs w:val="24"/>
        </w:rPr>
      </w:pPr>
      <w:r w:rsidRPr="007C31DE">
        <w:rPr>
          <w:rFonts w:ascii="Times New Roman" w:hAnsi="Times New Roman" w:cs="Times New Roman"/>
          <w:color w:val="000000"/>
          <w:spacing w:val="3"/>
          <w:sz w:val="24"/>
          <w:szCs w:val="24"/>
        </w:rPr>
        <w:t xml:space="preserve">Российско-китайская торговля уходит в онлайн </w:t>
      </w:r>
      <w:r w:rsidRPr="007C31DE">
        <w:rPr>
          <w:rFonts w:ascii="Times New Roman" w:hAnsi="Times New Roman" w:cs="Times New Roman"/>
          <w:sz w:val="24"/>
          <w:szCs w:val="24"/>
        </w:rPr>
        <w:t>// Российская газета.</w:t>
      </w:r>
      <w:r w:rsidRPr="007C31DE">
        <w:rPr>
          <w:rFonts w:ascii="Times New Roman" w:hAnsi="Times New Roman" w:cs="Times New Roman"/>
          <w:color w:val="000000"/>
          <w:spacing w:val="3"/>
          <w:sz w:val="24"/>
          <w:szCs w:val="24"/>
        </w:rPr>
        <w:t xml:space="preserve"> 2016. </w:t>
      </w:r>
      <w:r w:rsidRPr="007C31DE">
        <w:rPr>
          <w:rFonts w:ascii="Times New Roman" w:hAnsi="Times New Roman" w:cs="Times New Roman"/>
          <w:sz w:val="24"/>
          <w:szCs w:val="24"/>
        </w:rPr>
        <w:t xml:space="preserve">Режим доступа: </w:t>
      </w:r>
      <w:r w:rsidRPr="007C31DE">
        <w:rPr>
          <w:rFonts w:ascii="Times New Roman" w:hAnsi="Times New Roman" w:cs="Times New Roman"/>
          <w:sz w:val="24"/>
          <w:szCs w:val="24"/>
          <w:lang w:val="en-US"/>
        </w:rPr>
        <w:t>https</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rg</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ru</w:t>
      </w:r>
      <w:r w:rsidRPr="007C31DE">
        <w:rPr>
          <w:rFonts w:ascii="Times New Roman" w:hAnsi="Times New Roman" w:cs="Times New Roman"/>
          <w:sz w:val="24"/>
          <w:szCs w:val="24"/>
        </w:rPr>
        <w:t>/2016/05/25/</w:t>
      </w:r>
      <w:r w:rsidRPr="007C31DE">
        <w:rPr>
          <w:rFonts w:ascii="Times New Roman" w:hAnsi="Times New Roman" w:cs="Times New Roman"/>
          <w:sz w:val="24"/>
          <w:szCs w:val="24"/>
          <w:lang w:val="en-US"/>
        </w:rPr>
        <w:t>v</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kitae</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nachnet</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rabotat</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rossijskaia</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elektronnaia</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torgovaia</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ploshchadka</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html</w:t>
      </w:r>
    </w:p>
    <w:p w:rsidR="005E1201" w:rsidRPr="007C31DE" w:rsidRDefault="005E1201" w:rsidP="005E1201">
      <w:pPr>
        <w:spacing w:after="0" w:line="240" w:lineRule="auto"/>
        <w:ind w:firstLine="709"/>
        <w:jc w:val="both"/>
        <w:rPr>
          <w:rFonts w:ascii="Times New Roman" w:hAnsi="Times New Roman" w:cs="Times New Roman"/>
          <w:sz w:val="24"/>
          <w:szCs w:val="24"/>
        </w:rPr>
      </w:pPr>
      <w:r w:rsidRPr="007C31DE">
        <w:rPr>
          <w:rFonts w:ascii="Times New Roman" w:hAnsi="Times New Roman" w:cs="Times New Roman"/>
          <w:b/>
          <w:sz w:val="24"/>
          <w:szCs w:val="24"/>
        </w:rPr>
        <w:t>3.</w:t>
      </w:r>
      <w:r w:rsidRPr="007C31DE">
        <w:t xml:space="preserve"> </w:t>
      </w:r>
      <w:r w:rsidRPr="007C31DE">
        <w:rPr>
          <w:rFonts w:ascii="Times New Roman" w:hAnsi="Times New Roman" w:cs="Times New Roman"/>
          <w:sz w:val="24"/>
          <w:szCs w:val="24"/>
        </w:rPr>
        <w:t>Нехай А. Ю. Институционально-правовые проблемы развития международной электронной торговли – Государственный советник, 2014. - № 1 (5). С. 18-21.</w:t>
      </w:r>
      <w:r w:rsidRPr="007C31DE">
        <w:rPr>
          <w:rFonts w:ascii="Times New Roman" w:hAnsi="Times New Roman" w:cs="Times New Roman"/>
          <w:b/>
          <w:sz w:val="24"/>
          <w:szCs w:val="24"/>
        </w:rPr>
        <w:t xml:space="preserve"> </w:t>
      </w:r>
      <w:r w:rsidRPr="007C31DE">
        <w:rPr>
          <w:rFonts w:ascii="Times New Roman" w:hAnsi="Times New Roman" w:cs="Times New Roman"/>
          <w:sz w:val="24"/>
          <w:szCs w:val="24"/>
        </w:rPr>
        <w:t xml:space="preserve">Режим доступа: </w:t>
      </w:r>
      <w:r w:rsidRPr="007C31DE">
        <w:t xml:space="preserve"> </w:t>
      </w:r>
      <w:r w:rsidRPr="007C31DE">
        <w:rPr>
          <w:rFonts w:ascii="Times New Roman" w:hAnsi="Times New Roman" w:cs="Times New Roman"/>
          <w:sz w:val="24"/>
          <w:szCs w:val="24"/>
          <w:lang w:val="en-US"/>
        </w:rPr>
        <w:t>https</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cyberleninka</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ru</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article</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v</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institutsionalno</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pravovye</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problemy</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razvitiya</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mezhdunarodnoy</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elektronnoy</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torgovli</w:t>
      </w:r>
      <w:r w:rsidRPr="007C31DE">
        <w:rPr>
          <w:rFonts w:ascii="Times New Roman" w:hAnsi="Times New Roman" w:cs="Times New Roman"/>
          <w:sz w:val="24"/>
          <w:szCs w:val="24"/>
        </w:rPr>
        <w:t>.</w:t>
      </w:r>
    </w:p>
    <w:p w:rsidR="005E1201" w:rsidRPr="007C31DE" w:rsidRDefault="005E1201" w:rsidP="005E1201">
      <w:pPr>
        <w:spacing w:after="0" w:line="240" w:lineRule="auto"/>
        <w:ind w:firstLine="709"/>
        <w:jc w:val="both"/>
        <w:rPr>
          <w:rFonts w:ascii="Times New Roman" w:hAnsi="Times New Roman" w:cs="Times New Roman"/>
          <w:sz w:val="24"/>
          <w:szCs w:val="24"/>
        </w:rPr>
      </w:pPr>
      <w:r w:rsidRPr="007C31DE">
        <w:rPr>
          <w:rFonts w:ascii="Times New Roman" w:hAnsi="Times New Roman" w:cs="Times New Roman"/>
          <w:b/>
          <w:sz w:val="24"/>
          <w:szCs w:val="24"/>
        </w:rPr>
        <w:t>4.</w:t>
      </w:r>
      <w:r w:rsidRPr="007C31DE">
        <w:rPr>
          <w:rFonts w:ascii="Times New Roman" w:hAnsi="Times New Roman" w:cs="Times New Roman"/>
          <w:sz w:val="24"/>
          <w:szCs w:val="24"/>
        </w:rPr>
        <w:t xml:space="preserve"> Трубникова О.Ю., Агамагомедова С.А.Проблемы правового регулирования трансграничной электронной коммерции // Таможенное дело и внешнеэкономическая деятельность компаний 2017. -№1(3). </w:t>
      </w:r>
      <w:r w:rsidRPr="007C31DE">
        <w:rPr>
          <w:rFonts w:ascii="Times New Roman" w:hAnsi="Times New Roman" w:cs="Times New Roman"/>
          <w:sz w:val="24"/>
          <w:szCs w:val="24"/>
          <w:lang w:val="en-US"/>
        </w:rPr>
        <w:t>C</w:t>
      </w:r>
      <w:r w:rsidRPr="007C31DE">
        <w:rPr>
          <w:rFonts w:ascii="Times New Roman" w:hAnsi="Times New Roman" w:cs="Times New Roman"/>
          <w:sz w:val="24"/>
          <w:szCs w:val="24"/>
        </w:rPr>
        <w:t>.1-15. Режим доступа:</w:t>
      </w:r>
      <w:r w:rsidRPr="007C31DE">
        <w:rPr>
          <w:rFonts w:ascii="Times New Roman" w:hAnsi="Times New Roman" w:cs="Times New Roman"/>
          <w:b/>
          <w:sz w:val="24"/>
          <w:szCs w:val="24"/>
        </w:rPr>
        <w:t xml:space="preserve"> </w:t>
      </w:r>
      <w:r w:rsidRPr="007C31DE">
        <w:rPr>
          <w:rFonts w:ascii="Times New Roman" w:hAnsi="Times New Roman" w:cs="Times New Roman"/>
          <w:sz w:val="24"/>
          <w:szCs w:val="24"/>
          <w:lang w:val="en-US"/>
        </w:rPr>
        <w:t>http</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customs</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esrae</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ru</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pdf</w:t>
      </w:r>
      <w:r w:rsidRPr="007C31DE">
        <w:rPr>
          <w:rFonts w:ascii="Times New Roman" w:hAnsi="Times New Roman" w:cs="Times New Roman"/>
          <w:sz w:val="24"/>
          <w:szCs w:val="24"/>
        </w:rPr>
        <w:t>/2017/1(2)/37.</w:t>
      </w:r>
      <w:r w:rsidRPr="007C31DE">
        <w:rPr>
          <w:rFonts w:ascii="Times New Roman" w:hAnsi="Times New Roman" w:cs="Times New Roman"/>
          <w:sz w:val="24"/>
          <w:szCs w:val="24"/>
          <w:lang w:val="en-US"/>
        </w:rPr>
        <w:t>pdf</w:t>
      </w:r>
    </w:p>
    <w:p w:rsidR="005E1201" w:rsidRPr="00E66489" w:rsidRDefault="005E1201" w:rsidP="005E1201">
      <w:pPr>
        <w:spacing w:after="0" w:line="240" w:lineRule="auto"/>
        <w:ind w:firstLine="709"/>
        <w:jc w:val="both"/>
        <w:rPr>
          <w:rFonts w:ascii="Times New Roman" w:hAnsi="Times New Roman" w:cs="Times New Roman"/>
          <w:sz w:val="24"/>
          <w:szCs w:val="24"/>
        </w:rPr>
      </w:pPr>
      <w:r w:rsidRPr="007C31DE">
        <w:rPr>
          <w:rFonts w:ascii="Times New Roman" w:hAnsi="Times New Roman" w:cs="Times New Roman"/>
          <w:b/>
          <w:sz w:val="24"/>
          <w:szCs w:val="24"/>
        </w:rPr>
        <w:t>5.</w:t>
      </w:r>
      <w:r w:rsidRPr="007C31DE">
        <w:rPr>
          <w:rFonts w:ascii="Times New Roman" w:hAnsi="Times New Roman" w:cs="Times New Roman"/>
          <w:sz w:val="24"/>
          <w:szCs w:val="24"/>
        </w:rPr>
        <w:t xml:space="preserve"> Чайка И.Ю. Новеллы правового регулирования в сфере трансграничной электронной торговли в Китайской народной республике // Актуальные проблемы российского права,2016.-№9(70). С.176-185. Режим доступа:</w:t>
      </w:r>
      <w:r w:rsidRPr="007C31DE">
        <w:t xml:space="preserve"> </w:t>
      </w:r>
      <w:r w:rsidRPr="007C31DE">
        <w:rPr>
          <w:rFonts w:ascii="Times New Roman" w:hAnsi="Times New Roman" w:cs="Times New Roman"/>
          <w:sz w:val="24"/>
          <w:szCs w:val="24"/>
          <w:lang w:val="en-US"/>
        </w:rPr>
        <w:t>https</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cyberleninka</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ru</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article</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v</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novelly</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pravovogo</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regulirovaniya</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v</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sfere</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transgranichnoy</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elektronnoy</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torgovli</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v</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kitayskoy</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narodnoy</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respublike</w:t>
      </w:r>
    </w:p>
    <w:p w:rsidR="005E1201" w:rsidRPr="006B7634" w:rsidRDefault="005E1201" w:rsidP="005E1201">
      <w:pPr>
        <w:spacing w:after="0" w:line="240" w:lineRule="auto"/>
        <w:ind w:firstLine="709"/>
        <w:jc w:val="both"/>
        <w:rPr>
          <w:rFonts w:ascii="Times New Roman" w:hAnsi="Times New Roman" w:cs="Times New Roman"/>
          <w:b/>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Pr="00306D4A"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Pr="00783166" w:rsidRDefault="005E1201" w:rsidP="005E1201">
      <w:pPr>
        <w:spacing w:after="0"/>
        <w:rPr>
          <w:rFonts w:ascii="Times New Roman" w:eastAsiaTheme="minorEastAsia" w:hAnsi="Times New Roman"/>
          <w:sz w:val="24"/>
          <w:szCs w:val="24"/>
          <w:lang w:eastAsia="ru-RU"/>
        </w:rPr>
      </w:pPr>
      <w:r w:rsidRPr="00783166">
        <w:rPr>
          <w:rFonts w:ascii="Times New Roman" w:eastAsiaTheme="minorEastAsia" w:hAnsi="Times New Roman"/>
          <w:sz w:val="24"/>
          <w:szCs w:val="24"/>
          <w:lang w:eastAsia="ru-RU"/>
        </w:rPr>
        <w:t>Рубрика: Эффективные маркетинговые технологии в России и за рубежом</w:t>
      </w:r>
    </w:p>
    <w:p w:rsidR="005E1201" w:rsidRPr="00783166" w:rsidRDefault="005E1201" w:rsidP="005E1201">
      <w:pPr>
        <w:spacing w:after="0"/>
        <w:rPr>
          <w:rFonts w:ascii="Times New Roman" w:eastAsiaTheme="minorEastAsia" w:hAnsi="Times New Roman"/>
          <w:sz w:val="24"/>
          <w:szCs w:val="24"/>
          <w:lang w:eastAsia="ru-RU"/>
        </w:rPr>
      </w:pPr>
    </w:p>
    <w:p w:rsidR="005E1201" w:rsidRPr="00783166" w:rsidRDefault="005E1201" w:rsidP="005E1201">
      <w:pPr>
        <w:spacing w:after="0"/>
        <w:rPr>
          <w:rFonts w:ascii="Times New Roman" w:eastAsiaTheme="minorEastAsia" w:hAnsi="Times New Roman"/>
          <w:sz w:val="24"/>
          <w:szCs w:val="24"/>
          <w:lang w:eastAsia="ru-RU"/>
        </w:rPr>
      </w:pPr>
      <w:r w:rsidRPr="00783166">
        <w:rPr>
          <w:rFonts w:ascii="Times New Roman" w:eastAsiaTheme="minorEastAsia" w:hAnsi="Times New Roman"/>
          <w:sz w:val="24"/>
          <w:szCs w:val="24"/>
          <w:lang w:eastAsia="ru-RU"/>
        </w:rPr>
        <w:t>УДК 339.138</w:t>
      </w:r>
    </w:p>
    <w:p w:rsidR="005E1201" w:rsidRDefault="005E1201" w:rsidP="005E1201">
      <w:pPr>
        <w:spacing w:after="0"/>
        <w:jc w:val="center"/>
        <w:rPr>
          <w:rFonts w:ascii="Times New Roman" w:eastAsiaTheme="minorEastAsia" w:hAnsi="Times New Roman"/>
          <w:b/>
          <w:sz w:val="24"/>
          <w:szCs w:val="24"/>
          <w:lang w:eastAsia="ru-RU"/>
        </w:rPr>
      </w:pPr>
      <w:r>
        <w:rPr>
          <w:rFonts w:ascii="Times New Roman" w:eastAsiaTheme="minorEastAsia" w:hAnsi="Times New Roman"/>
          <w:b/>
          <w:sz w:val="24"/>
          <w:szCs w:val="24"/>
          <w:lang w:eastAsia="ru-RU"/>
        </w:rPr>
        <w:t>Анализ российского рынка коворкинг-услуг.</w:t>
      </w:r>
    </w:p>
    <w:p w:rsidR="005E1201" w:rsidRDefault="005E1201" w:rsidP="005E1201">
      <w:pPr>
        <w:spacing w:after="0"/>
        <w:jc w:val="center"/>
        <w:rPr>
          <w:rFonts w:ascii="Times New Roman" w:eastAsiaTheme="minorEastAsia" w:hAnsi="Times New Roman"/>
          <w:b/>
          <w:sz w:val="24"/>
          <w:szCs w:val="24"/>
          <w:lang w:eastAsia="ru-RU"/>
        </w:rPr>
      </w:pPr>
    </w:p>
    <w:p w:rsidR="005E1201" w:rsidRPr="00E66FCD" w:rsidRDefault="005E1201" w:rsidP="005E1201">
      <w:pPr>
        <w:spacing w:after="0"/>
        <w:jc w:val="center"/>
        <w:rPr>
          <w:rFonts w:ascii="Times New Roman" w:eastAsiaTheme="minorEastAsia" w:hAnsi="Times New Roman"/>
          <w:sz w:val="24"/>
          <w:szCs w:val="24"/>
          <w:lang w:eastAsia="ru-RU"/>
        </w:rPr>
      </w:pPr>
      <w:r>
        <w:rPr>
          <w:rFonts w:ascii="Times New Roman" w:eastAsiaTheme="minorEastAsia" w:hAnsi="Times New Roman"/>
          <w:sz w:val="24"/>
          <w:szCs w:val="24"/>
          <w:lang w:eastAsia="ru-RU"/>
        </w:rPr>
        <w:t>Ратушненко Ксения Ивановна</w:t>
      </w:r>
      <w:r w:rsidRPr="00E66FCD">
        <w:rPr>
          <w:rFonts w:ascii="Times New Roman" w:eastAsiaTheme="minorEastAsia" w:hAnsi="Times New Roman"/>
          <w:sz w:val="24"/>
          <w:szCs w:val="24"/>
          <w:lang w:eastAsia="ru-RU"/>
        </w:rPr>
        <w:t xml:space="preserve">, </w:t>
      </w:r>
    </w:p>
    <w:p w:rsidR="005E1201" w:rsidRPr="00E66FCD" w:rsidRDefault="005E1201" w:rsidP="005E1201">
      <w:pPr>
        <w:spacing w:after="0"/>
        <w:jc w:val="center"/>
        <w:rPr>
          <w:rFonts w:ascii="Times New Roman" w:eastAsiaTheme="minorEastAsia" w:hAnsi="Times New Roman"/>
          <w:sz w:val="24"/>
          <w:szCs w:val="24"/>
          <w:lang w:eastAsia="ru-RU"/>
        </w:rPr>
      </w:pPr>
      <w:r>
        <w:rPr>
          <w:rFonts w:ascii="Times New Roman" w:eastAsiaTheme="minorEastAsia" w:hAnsi="Times New Roman"/>
          <w:sz w:val="24"/>
          <w:szCs w:val="24"/>
          <w:lang w:eastAsia="ru-RU"/>
        </w:rPr>
        <w:t>бакалавр</w:t>
      </w:r>
    </w:p>
    <w:p w:rsidR="005E1201" w:rsidRDefault="005E1201" w:rsidP="005E1201">
      <w:pPr>
        <w:spacing w:after="0"/>
        <w:jc w:val="center"/>
        <w:rPr>
          <w:rFonts w:ascii="Times New Roman" w:eastAsiaTheme="minorEastAsia" w:hAnsi="Times New Roman"/>
          <w:i/>
          <w:sz w:val="24"/>
          <w:szCs w:val="24"/>
          <w:lang w:eastAsia="ru-RU"/>
        </w:rPr>
      </w:pPr>
      <w:r w:rsidRPr="00E66FCD">
        <w:rPr>
          <w:rFonts w:ascii="Times New Roman" w:eastAsiaTheme="minorEastAsia" w:hAnsi="Times New Roman"/>
          <w:i/>
          <w:sz w:val="24"/>
          <w:szCs w:val="24"/>
          <w:lang w:eastAsia="ru-RU"/>
        </w:rPr>
        <w:t xml:space="preserve">Владивостокский государственный университет экономики и сервиса </w:t>
      </w:r>
    </w:p>
    <w:p w:rsidR="005E1201" w:rsidRDefault="005E1201" w:rsidP="005E1201">
      <w:pPr>
        <w:spacing w:after="0"/>
        <w:jc w:val="center"/>
        <w:rPr>
          <w:rFonts w:ascii="Times New Roman" w:eastAsiaTheme="minorEastAsia" w:hAnsi="Times New Roman"/>
          <w:i/>
          <w:sz w:val="24"/>
          <w:szCs w:val="24"/>
          <w:lang w:eastAsia="ru-RU"/>
        </w:rPr>
      </w:pPr>
      <w:r w:rsidRPr="00E66FCD">
        <w:rPr>
          <w:rFonts w:ascii="Times New Roman" w:eastAsiaTheme="minorEastAsia" w:hAnsi="Times New Roman"/>
          <w:i/>
          <w:sz w:val="24"/>
          <w:szCs w:val="24"/>
          <w:lang w:eastAsia="ru-RU"/>
        </w:rPr>
        <w:t>Россия. Владивосток</w:t>
      </w:r>
    </w:p>
    <w:p w:rsidR="005E1201" w:rsidRPr="00B14FAC" w:rsidRDefault="005E1201" w:rsidP="005E1201">
      <w:pPr>
        <w:spacing w:after="0"/>
        <w:jc w:val="center"/>
        <w:rPr>
          <w:rFonts w:ascii="Times New Roman" w:eastAsiaTheme="minorEastAsia" w:hAnsi="Times New Roman"/>
          <w:sz w:val="24"/>
          <w:szCs w:val="24"/>
          <w:lang w:eastAsia="ru-RU"/>
        </w:rPr>
      </w:pPr>
      <w:r>
        <w:rPr>
          <w:rFonts w:ascii="Times New Roman" w:eastAsiaTheme="minorEastAsia" w:hAnsi="Times New Roman"/>
          <w:sz w:val="24"/>
          <w:szCs w:val="24"/>
          <w:lang w:val="en-US" w:eastAsia="ru-RU"/>
        </w:rPr>
        <w:t>E</w:t>
      </w:r>
      <w:r w:rsidRPr="00B14FAC">
        <w:rPr>
          <w:rFonts w:ascii="Times New Roman" w:eastAsiaTheme="minorEastAsia" w:hAnsi="Times New Roman"/>
          <w:sz w:val="24"/>
          <w:szCs w:val="24"/>
          <w:lang w:eastAsia="ru-RU"/>
        </w:rPr>
        <w:t>-</w:t>
      </w:r>
      <w:r>
        <w:rPr>
          <w:rFonts w:ascii="Times New Roman" w:eastAsiaTheme="minorEastAsia" w:hAnsi="Times New Roman"/>
          <w:sz w:val="24"/>
          <w:szCs w:val="24"/>
          <w:lang w:val="en-US" w:eastAsia="ru-RU"/>
        </w:rPr>
        <w:t>mail</w:t>
      </w:r>
      <w:r w:rsidRPr="00B14FAC">
        <w:rPr>
          <w:rFonts w:ascii="Times New Roman" w:eastAsiaTheme="minorEastAsia" w:hAnsi="Times New Roman"/>
          <w:sz w:val="24"/>
          <w:szCs w:val="24"/>
          <w:lang w:eastAsia="ru-RU"/>
        </w:rPr>
        <w:t xml:space="preserve">: </w:t>
      </w:r>
      <w:r>
        <w:rPr>
          <w:rFonts w:ascii="Times New Roman" w:eastAsiaTheme="minorEastAsia" w:hAnsi="Times New Roman"/>
          <w:sz w:val="24"/>
          <w:szCs w:val="24"/>
          <w:lang w:val="en-US" w:eastAsia="ru-RU"/>
        </w:rPr>
        <w:t>ksusharat</w:t>
      </w:r>
      <w:r w:rsidRPr="00B14FAC">
        <w:rPr>
          <w:rFonts w:ascii="Times New Roman" w:eastAsiaTheme="minorEastAsia" w:hAnsi="Times New Roman"/>
          <w:sz w:val="24"/>
          <w:szCs w:val="24"/>
          <w:lang w:eastAsia="ru-RU"/>
        </w:rPr>
        <w:t>2009@</w:t>
      </w:r>
      <w:r>
        <w:rPr>
          <w:rFonts w:ascii="Times New Roman" w:eastAsiaTheme="minorEastAsia" w:hAnsi="Times New Roman"/>
          <w:sz w:val="24"/>
          <w:szCs w:val="24"/>
          <w:lang w:val="en-US" w:eastAsia="ru-RU"/>
        </w:rPr>
        <w:t>mail</w:t>
      </w:r>
      <w:r w:rsidRPr="00B14FAC">
        <w:rPr>
          <w:rFonts w:ascii="Times New Roman" w:eastAsiaTheme="minorEastAsia" w:hAnsi="Times New Roman"/>
          <w:sz w:val="24"/>
          <w:szCs w:val="24"/>
          <w:lang w:eastAsia="ru-RU"/>
        </w:rPr>
        <w:t>.</w:t>
      </w:r>
      <w:r>
        <w:rPr>
          <w:rFonts w:ascii="Times New Roman" w:eastAsiaTheme="minorEastAsia" w:hAnsi="Times New Roman"/>
          <w:sz w:val="24"/>
          <w:szCs w:val="24"/>
          <w:lang w:val="en-US" w:eastAsia="ru-RU"/>
        </w:rPr>
        <w:t>ru</w:t>
      </w:r>
      <w:r w:rsidRPr="00B14FAC">
        <w:rPr>
          <w:rFonts w:ascii="Times New Roman" w:eastAsiaTheme="minorEastAsia" w:hAnsi="Times New Roman"/>
          <w:sz w:val="24"/>
          <w:szCs w:val="24"/>
          <w:lang w:eastAsia="ru-RU"/>
        </w:rPr>
        <w:t>@</w:t>
      </w:r>
      <w:r w:rsidRPr="00E66FCD">
        <w:rPr>
          <w:rFonts w:ascii="Times New Roman" w:eastAsiaTheme="minorEastAsia" w:hAnsi="Times New Roman"/>
          <w:sz w:val="24"/>
          <w:szCs w:val="24"/>
          <w:lang w:val="en-US" w:eastAsia="ru-RU"/>
        </w:rPr>
        <w:t>mail</w:t>
      </w:r>
      <w:r w:rsidRPr="00B14FAC">
        <w:rPr>
          <w:rFonts w:ascii="Times New Roman" w:eastAsiaTheme="minorEastAsia" w:hAnsi="Times New Roman"/>
          <w:sz w:val="24"/>
          <w:szCs w:val="24"/>
          <w:lang w:eastAsia="ru-RU"/>
        </w:rPr>
        <w:t>.</w:t>
      </w:r>
      <w:r w:rsidRPr="00E66FCD">
        <w:rPr>
          <w:rFonts w:ascii="Times New Roman" w:eastAsiaTheme="minorEastAsia" w:hAnsi="Times New Roman"/>
          <w:sz w:val="24"/>
          <w:szCs w:val="24"/>
          <w:lang w:val="en-US" w:eastAsia="ru-RU"/>
        </w:rPr>
        <w:t>ru</w:t>
      </w:r>
      <w:r w:rsidRPr="00B14FAC">
        <w:rPr>
          <w:rFonts w:ascii="Times New Roman" w:eastAsiaTheme="minorEastAsia" w:hAnsi="Times New Roman"/>
          <w:sz w:val="24"/>
          <w:szCs w:val="24"/>
          <w:lang w:eastAsia="ru-RU"/>
        </w:rPr>
        <w:t xml:space="preserve">; </w:t>
      </w:r>
      <w:r w:rsidRPr="00E66FCD">
        <w:rPr>
          <w:rFonts w:ascii="Times New Roman" w:eastAsiaTheme="minorEastAsia" w:hAnsi="Times New Roman"/>
          <w:sz w:val="24"/>
          <w:szCs w:val="24"/>
          <w:lang w:eastAsia="ru-RU"/>
        </w:rPr>
        <w:t>тел</w:t>
      </w:r>
      <w:r w:rsidRPr="00B14FAC">
        <w:rPr>
          <w:rFonts w:ascii="Times New Roman" w:eastAsiaTheme="minorEastAsia" w:hAnsi="Times New Roman"/>
          <w:sz w:val="24"/>
          <w:szCs w:val="24"/>
          <w:lang w:eastAsia="ru-RU"/>
        </w:rPr>
        <w:t>.: 89146542483</w:t>
      </w:r>
    </w:p>
    <w:p w:rsidR="005E1201" w:rsidRDefault="005E1201" w:rsidP="005E1201">
      <w:pPr>
        <w:spacing w:after="0"/>
        <w:jc w:val="center"/>
        <w:rPr>
          <w:rFonts w:ascii="Times New Roman" w:eastAsiaTheme="minorEastAsia" w:hAnsi="Times New Roman"/>
          <w:sz w:val="24"/>
          <w:szCs w:val="24"/>
          <w:lang w:eastAsia="ru-RU"/>
        </w:rPr>
      </w:pPr>
      <w:r w:rsidRPr="00E66FCD">
        <w:rPr>
          <w:rFonts w:ascii="Times New Roman" w:eastAsiaTheme="minorEastAsia" w:hAnsi="Times New Roman"/>
          <w:sz w:val="24"/>
          <w:szCs w:val="24"/>
          <w:lang w:eastAsia="ru-RU"/>
        </w:rPr>
        <w:t>ул. Гоголя, 41, г. Владивосток, Приморский край, Россия, 690014</w:t>
      </w:r>
    </w:p>
    <w:p w:rsidR="005E1201" w:rsidRDefault="005E1201" w:rsidP="005E1201">
      <w:pPr>
        <w:spacing w:after="0"/>
        <w:jc w:val="center"/>
        <w:rPr>
          <w:rFonts w:ascii="Times New Roman" w:eastAsiaTheme="minorEastAsia" w:hAnsi="Times New Roman"/>
          <w:sz w:val="24"/>
          <w:szCs w:val="24"/>
          <w:lang w:eastAsia="ru-RU"/>
        </w:rPr>
      </w:pPr>
    </w:p>
    <w:p w:rsidR="005E1201" w:rsidRDefault="005E1201" w:rsidP="005E1201">
      <w:pPr>
        <w:spacing w:after="0"/>
        <w:ind w:firstLine="708"/>
        <w:jc w:val="both"/>
        <w:rPr>
          <w:rFonts w:ascii="Times New Roman" w:eastAsiaTheme="minorEastAsia" w:hAnsi="Times New Roman"/>
          <w:i/>
          <w:sz w:val="24"/>
          <w:szCs w:val="24"/>
          <w:lang w:eastAsia="ru-RU"/>
        </w:rPr>
      </w:pPr>
      <w:r w:rsidRPr="00B0047F">
        <w:rPr>
          <w:rFonts w:ascii="Times New Roman" w:eastAsiaTheme="minorEastAsia" w:hAnsi="Times New Roman"/>
          <w:i/>
          <w:sz w:val="24"/>
          <w:szCs w:val="24"/>
          <w:lang w:eastAsia="ru-RU"/>
        </w:rPr>
        <w:t xml:space="preserve">На данный момент мировой рынок коворкинг-услуг стремительно растёт и развивается. Однако развитие российского </w:t>
      </w:r>
      <w:r>
        <w:rPr>
          <w:rFonts w:ascii="Times New Roman" w:eastAsiaTheme="minorEastAsia" w:hAnsi="Times New Roman"/>
          <w:i/>
          <w:sz w:val="24"/>
          <w:szCs w:val="24"/>
          <w:lang w:eastAsia="ru-RU"/>
        </w:rPr>
        <w:t xml:space="preserve">рынка протекает намного медленней. По сравнению с </w:t>
      </w:r>
      <w:r w:rsidRPr="007132AE">
        <w:rPr>
          <w:rFonts w:ascii="Times New Roman" w:eastAsiaTheme="minorEastAsia" w:hAnsi="Times New Roman"/>
          <w:i/>
          <w:sz w:val="24"/>
          <w:szCs w:val="24"/>
          <w:lang w:eastAsia="ru-RU"/>
        </w:rPr>
        <w:t>мировым рынком коворкинг-услуг, российский рынок находится на стадии зарождения</w:t>
      </w:r>
      <w:r>
        <w:rPr>
          <w:rFonts w:ascii="Times New Roman" w:eastAsiaTheme="minorEastAsia" w:hAnsi="Times New Roman"/>
          <w:i/>
          <w:sz w:val="24"/>
          <w:szCs w:val="24"/>
          <w:lang w:eastAsia="ru-RU"/>
        </w:rPr>
        <w:t>. В статье проведён анализ российского рынка коворкинг-услуг.</w:t>
      </w:r>
    </w:p>
    <w:p w:rsidR="005E1201" w:rsidRDefault="005E1201" w:rsidP="005E1201">
      <w:pPr>
        <w:spacing w:after="0"/>
        <w:ind w:firstLine="708"/>
        <w:jc w:val="both"/>
        <w:rPr>
          <w:rFonts w:ascii="Times New Roman" w:eastAsiaTheme="minorEastAsia" w:hAnsi="Times New Roman"/>
          <w:i/>
          <w:sz w:val="24"/>
          <w:szCs w:val="24"/>
          <w:lang w:eastAsia="ru-RU"/>
        </w:rPr>
      </w:pPr>
    </w:p>
    <w:p w:rsidR="005E1201" w:rsidRDefault="005E1201" w:rsidP="005E1201">
      <w:pPr>
        <w:spacing w:after="0"/>
        <w:ind w:firstLine="708"/>
        <w:jc w:val="both"/>
        <w:rPr>
          <w:rFonts w:ascii="Times New Roman" w:eastAsiaTheme="minorEastAsia" w:hAnsi="Times New Roman"/>
          <w:i/>
          <w:sz w:val="24"/>
          <w:szCs w:val="24"/>
          <w:lang w:eastAsia="ru-RU"/>
        </w:rPr>
      </w:pPr>
      <w:r w:rsidRPr="002006CD">
        <w:rPr>
          <w:rFonts w:ascii="Times New Roman" w:eastAsiaTheme="minorEastAsia" w:hAnsi="Times New Roman"/>
          <w:b/>
          <w:sz w:val="24"/>
          <w:szCs w:val="24"/>
          <w:lang w:eastAsia="ru-RU"/>
        </w:rPr>
        <w:t>Ключевые слова и словосочетания:</w:t>
      </w:r>
      <w:r>
        <w:rPr>
          <w:rFonts w:ascii="Times New Roman" w:eastAsiaTheme="minorEastAsia" w:hAnsi="Times New Roman"/>
          <w:b/>
          <w:sz w:val="24"/>
          <w:szCs w:val="24"/>
          <w:lang w:eastAsia="ru-RU"/>
        </w:rPr>
        <w:t xml:space="preserve"> </w:t>
      </w:r>
      <w:r>
        <w:rPr>
          <w:rFonts w:ascii="Times New Roman" w:eastAsiaTheme="minorEastAsia" w:hAnsi="Times New Roman"/>
          <w:i/>
          <w:sz w:val="24"/>
          <w:szCs w:val="24"/>
          <w:lang w:eastAsia="ru-RU"/>
        </w:rPr>
        <w:t>коворкинг-центр</w:t>
      </w:r>
      <w:r w:rsidRPr="002006CD">
        <w:rPr>
          <w:rFonts w:ascii="Times New Roman" w:eastAsiaTheme="minorEastAsia" w:hAnsi="Times New Roman"/>
          <w:i/>
          <w:sz w:val="24"/>
          <w:szCs w:val="24"/>
          <w:lang w:eastAsia="ru-RU"/>
        </w:rPr>
        <w:t>,</w:t>
      </w:r>
      <w:r w:rsidRPr="002006CD">
        <w:rPr>
          <w:rFonts w:ascii="Times New Roman" w:eastAsiaTheme="minorEastAsia" w:hAnsi="Times New Roman"/>
          <w:b/>
          <w:i/>
          <w:sz w:val="24"/>
          <w:szCs w:val="24"/>
          <w:lang w:eastAsia="ru-RU"/>
        </w:rPr>
        <w:t xml:space="preserve"> </w:t>
      </w:r>
      <w:r w:rsidRPr="002006CD">
        <w:rPr>
          <w:rFonts w:ascii="Times New Roman" w:eastAsiaTheme="minorEastAsia" w:hAnsi="Times New Roman"/>
          <w:i/>
          <w:sz w:val="24"/>
          <w:szCs w:val="24"/>
          <w:lang w:eastAsia="ru-RU"/>
        </w:rPr>
        <w:t>развитие, услуги, российский рынок</w:t>
      </w:r>
      <w:r>
        <w:rPr>
          <w:rFonts w:ascii="Times New Roman" w:eastAsiaTheme="minorEastAsia" w:hAnsi="Times New Roman"/>
          <w:i/>
          <w:sz w:val="24"/>
          <w:szCs w:val="24"/>
          <w:lang w:eastAsia="ru-RU"/>
        </w:rPr>
        <w:t xml:space="preserve">, целевая аудитория. </w:t>
      </w:r>
    </w:p>
    <w:p w:rsidR="005E1201" w:rsidRDefault="005E1201" w:rsidP="005E1201">
      <w:pPr>
        <w:spacing w:after="0"/>
        <w:ind w:firstLine="708"/>
        <w:jc w:val="both"/>
        <w:rPr>
          <w:rFonts w:ascii="Times New Roman" w:eastAsiaTheme="minorEastAsia" w:hAnsi="Times New Roman"/>
          <w:i/>
          <w:sz w:val="24"/>
          <w:szCs w:val="24"/>
          <w:lang w:eastAsia="ru-RU"/>
        </w:rPr>
      </w:pPr>
    </w:p>
    <w:p w:rsidR="005E1201" w:rsidRPr="002006CD" w:rsidRDefault="005E1201" w:rsidP="005E1201">
      <w:pPr>
        <w:spacing w:after="0"/>
        <w:ind w:firstLine="708"/>
        <w:jc w:val="both"/>
        <w:rPr>
          <w:rFonts w:ascii="Times New Roman" w:eastAsiaTheme="minorEastAsia" w:hAnsi="Times New Roman"/>
          <w:i/>
          <w:sz w:val="24"/>
          <w:szCs w:val="24"/>
          <w:lang w:eastAsia="ru-RU"/>
        </w:rPr>
      </w:pPr>
    </w:p>
    <w:p w:rsidR="005E1201" w:rsidRDefault="005E1201" w:rsidP="005E1201">
      <w:pPr>
        <w:spacing w:after="0"/>
        <w:ind w:firstLine="708"/>
        <w:jc w:val="center"/>
        <w:rPr>
          <w:rFonts w:ascii="Times New Roman" w:eastAsiaTheme="minorEastAsia" w:hAnsi="Times New Roman"/>
          <w:b/>
          <w:sz w:val="24"/>
          <w:szCs w:val="24"/>
          <w:lang w:val="en-US" w:eastAsia="ru-RU"/>
        </w:rPr>
      </w:pPr>
      <w:r w:rsidRPr="007132AE">
        <w:rPr>
          <w:rFonts w:ascii="Times New Roman" w:eastAsiaTheme="minorEastAsia" w:hAnsi="Times New Roman"/>
          <w:b/>
          <w:sz w:val="24"/>
          <w:szCs w:val="24"/>
          <w:lang w:val="en-US" w:eastAsia="ru-RU"/>
        </w:rPr>
        <w:t>Analysis of the Russian co-working services</w:t>
      </w:r>
      <w:r w:rsidRPr="004952F5">
        <w:rPr>
          <w:rFonts w:ascii="Times New Roman" w:eastAsiaTheme="minorEastAsia" w:hAnsi="Times New Roman"/>
          <w:b/>
          <w:sz w:val="24"/>
          <w:szCs w:val="24"/>
          <w:lang w:val="en-US" w:eastAsia="ru-RU"/>
        </w:rPr>
        <w:t xml:space="preserve"> </w:t>
      </w:r>
    </w:p>
    <w:p w:rsidR="005E1201" w:rsidRDefault="005E1201" w:rsidP="005E1201">
      <w:pPr>
        <w:spacing w:after="0"/>
        <w:ind w:firstLine="708"/>
        <w:jc w:val="center"/>
        <w:rPr>
          <w:rFonts w:ascii="Times New Roman" w:eastAsiaTheme="minorEastAsia" w:hAnsi="Times New Roman"/>
          <w:b/>
          <w:sz w:val="24"/>
          <w:szCs w:val="24"/>
          <w:lang w:val="en-US" w:eastAsia="ru-RU"/>
        </w:rPr>
      </w:pPr>
    </w:p>
    <w:p w:rsidR="005E1201" w:rsidRPr="004952F5" w:rsidRDefault="005E1201" w:rsidP="005E1201">
      <w:pPr>
        <w:spacing w:after="0"/>
        <w:ind w:firstLine="708"/>
        <w:rPr>
          <w:rFonts w:ascii="Times New Roman" w:eastAsiaTheme="minorEastAsia" w:hAnsi="Times New Roman"/>
          <w:i/>
          <w:sz w:val="24"/>
          <w:szCs w:val="24"/>
          <w:lang w:val="en-US" w:eastAsia="ru-RU"/>
        </w:rPr>
      </w:pPr>
      <w:r w:rsidRPr="004952F5">
        <w:rPr>
          <w:rFonts w:ascii="Times New Roman" w:eastAsiaTheme="minorEastAsia" w:hAnsi="Times New Roman"/>
          <w:i/>
          <w:sz w:val="24"/>
          <w:szCs w:val="24"/>
          <w:lang w:val="en-US" w:eastAsia="ru-RU"/>
        </w:rPr>
        <w:t>At the moment, the global co-working services rialto is rapidly growing and developing. However, the development of the Russian rialto is much slower. In comparison with the world rialto of co-working centers, the Russian rialto is in its infancy. In the article the analysis of the Russian rialto of co-working services.</w:t>
      </w:r>
    </w:p>
    <w:p w:rsidR="005E1201" w:rsidRPr="004952F5" w:rsidRDefault="005E1201" w:rsidP="005E1201">
      <w:pPr>
        <w:spacing w:after="0"/>
        <w:ind w:firstLine="708"/>
        <w:jc w:val="center"/>
        <w:rPr>
          <w:rFonts w:ascii="Times New Roman" w:eastAsiaTheme="minorEastAsia" w:hAnsi="Times New Roman"/>
          <w:i/>
          <w:sz w:val="24"/>
          <w:szCs w:val="24"/>
          <w:lang w:val="en-US" w:eastAsia="ru-RU"/>
        </w:rPr>
      </w:pPr>
    </w:p>
    <w:p w:rsidR="005E1201" w:rsidRDefault="005E1201" w:rsidP="005E1201">
      <w:pPr>
        <w:spacing w:after="0"/>
        <w:ind w:firstLine="708"/>
        <w:rPr>
          <w:rFonts w:ascii="TimesNewRomanPS-ItalicMT" w:hAnsi="TimesNewRomanPS-ItalicMT"/>
          <w:i/>
          <w:iCs/>
          <w:color w:val="000000"/>
          <w:sz w:val="24"/>
          <w:szCs w:val="24"/>
          <w:lang w:val="en-US"/>
        </w:rPr>
      </w:pPr>
      <w:r w:rsidRPr="007C31DE">
        <w:rPr>
          <w:rFonts w:ascii="TimesNewRomanPS-BoldItalicMT" w:hAnsi="TimesNewRomanPS-BoldItalicMT"/>
          <w:b/>
          <w:bCs/>
          <w:i/>
          <w:iCs/>
          <w:color w:val="000000"/>
          <w:sz w:val="24"/>
          <w:szCs w:val="24"/>
          <w:lang w:val="en-US"/>
        </w:rPr>
        <w:t>Keywords</w:t>
      </w:r>
      <w:r w:rsidRPr="007C31DE">
        <w:rPr>
          <w:rFonts w:ascii="TimesNewRomanPS-ItalicMT" w:hAnsi="TimesNewRomanPS-ItalicMT"/>
          <w:i/>
          <w:iCs/>
          <w:color w:val="000000"/>
          <w:sz w:val="24"/>
          <w:szCs w:val="24"/>
          <w:lang w:val="en-US"/>
        </w:rPr>
        <w:t>:</w:t>
      </w:r>
      <w:r w:rsidRPr="004952F5">
        <w:rPr>
          <w:lang w:val="en-US"/>
        </w:rPr>
        <w:t xml:space="preserve"> </w:t>
      </w:r>
      <w:r w:rsidRPr="004952F5">
        <w:rPr>
          <w:rFonts w:ascii="TimesNewRomanPS-ItalicMT" w:hAnsi="TimesNewRomanPS-ItalicMT"/>
          <w:i/>
          <w:iCs/>
          <w:color w:val="000000"/>
          <w:sz w:val="24"/>
          <w:szCs w:val="24"/>
          <w:lang w:val="en-US"/>
        </w:rPr>
        <w:t xml:space="preserve">co-working centre, development, services, </w:t>
      </w:r>
      <w:r w:rsidRPr="00DE4347">
        <w:rPr>
          <w:rFonts w:ascii="TimesNewRomanPS-ItalicMT" w:hAnsi="TimesNewRomanPS-ItalicMT"/>
          <w:i/>
          <w:iCs/>
          <w:color w:val="000000"/>
          <w:sz w:val="24"/>
          <w:szCs w:val="24"/>
          <w:lang w:val="en-US"/>
        </w:rPr>
        <w:t>Russian rialto, the target audience.</w:t>
      </w:r>
    </w:p>
    <w:p w:rsidR="005E1201" w:rsidRPr="00783166" w:rsidRDefault="005E1201" w:rsidP="005E1201">
      <w:pPr>
        <w:spacing w:after="0"/>
        <w:ind w:firstLine="708"/>
        <w:rPr>
          <w:rFonts w:ascii="Times New Roman" w:eastAsiaTheme="minorEastAsia" w:hAnsi="Times New Roman"/>
          <w:sz w:val="24"/>
          <w:szCs w:val="24"/>
          <w:lang w:val="en-US" w:eastAsia="ru-RU"/>
        </w:rPr>
      </w:pPr>
    </w:p>
    <w:p w:rsidR="005E1201" w:rsidRPr="00A07E1B" w:rsidRDefault="005E1201" w:rsidP="005E1201">
      <w:pPr>
        <w:spacing w:after="0" w:line="240" w:lineRule="auto"/>
        <w:ind w:firstLine="708"/>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 xml:space="preserve">В данной статье поставлены задачи: </w:t>
      </w:r>
      <w:r w:rsidRPr="00A07E1B">
        <w:rPr>
          <w:rFonts w:ascii="Times New Roman" w:eastAsiaTheme="minorEastAsia" w:hAnsi="Times New Roman"/>
          <w:sz w:val="24"/>
          <w:szCs w:val="24"/>
          <w:lang w:eastAsia="ru-RU"/>
        </w:rPr>
        <w:t>подсчёт коворкингов по городам России, подробнее изучена</w:t>
      </w:r>
      <w:r>
        <w:rPr>
          <w:rFonts w:ascii="Times New Roman" w:eastAsiaTheme="minorEastAsia" w:hAnsi="Times New Roman"/>
          <w:sz w:val="24"/>
          <w:szCs w:val="24"/>
          <w:lang w:eastAsia="ru-RU"/>
        </w:rPr>
        <w:t xml:space="preserve"> история российских коворкингов, а также выявление наиболее востребованных типов коворкинг-центров в стране. </w:t>
      </w:r>
    </w:p>
    <w:p w:rsidR="005E1201" w:rsidRPr="00F11C75" w:rsidRDefault="005E1201" w:rsidP="005E1201">
      <w:pPr>
        <w:spacing w:after="0" w:line="240" w:lineRule="auto"/>
        <w:ind w:firstLine="708"/>
        <w:jc w:val="both"/>
        <w:rPr>
          <w:rFonts w:ascii="Times New Roman" w:eastAsiaTheme="minorEastAsia" w:hAnsi="Times New Roman"/>
          <w:sz w:val="24"/>
          <w:szCs w:val="24"/>
          <w:lang w:eastAsia="ru-RU"/>
        </w:rPr>
      </w:pPr>
      <w:r w:rsidRPr="00F11C75">
        <w:rPr>
          <w:rFonts w:ascii="Times New Roman" w:eastAsiaTheme="minorEastAsia" w:hAnsi="Times New Roman"/>
          <w:sz w:val="24"/>
          <w:szCs w:val="24"/>
          <w:lang w:eastAsia="ru-RU"/>
        </w:rPr>
        <w:t>Данная ст</w:t>
      </w:r>
      <w:r>
        <w:rPr>
          <w:rFonts w:ascii="Times New Roman" w:eastAsiaTheme="minorEastAsia" w:hAnsi="Times New Roman"/>
          <w:sz w:val="24"/>
          <w:szCs w:val="24"/>
          <w:lang w:eastAsia="ru-RU"/>
        </w:rPr>
        <w:t>атья является аналитическим об</w:t>
      </w:r>
      <w:r w:rsidRPr="00F11C75">
        <w:rPr>
          <w:rFonts w:ascii="Times New Roman" w:eastAsiaTheme="minorEastAsia" w:hAnsi="Times New Roman"/>
          <w:sz w:val="24"/>
          <w:szCs w:val="24"/>
          <w:lang w:eastAsia="ru-RU"/>
        </w:rPr>
        <w:t>зором мол</w:t>
      </w:r>
      <w:r>
        <w:rPr>
          <w:rFonts w:ascii="Times New Roman" w:eastAsiaTheme="minorEastAsia" w:hAnsi="Times New Roman"/>
          <w:sz w:val="24"/>
          <w:szCs w:val="24"/>
          <w:lang w:eastAsia="ru-RU"/>
        </w:rPr>
        <w:t>одого рынка коворкингов. Основ</w:t>
      </w:r>
      <w:r w:rsidRPr="00F11C75">
        <w:rPr>
          <w:rFonts w:ascii="Times New Roman" w:eastAsiaTheme="minorEastAsia" w:hAnsi="Times New Roman"/>
          <w:sz w:val="24"/>
          <w:szCs w:val="24"/>
          <w:lang w:eastAsia="ru-RU"/>
        </w:rPr>
        <w:t>ной предп</w:t>
      </w:r>
      <w:r>
        <w:rPr>
          <w:rFonts w:ascii="Times New Roman" w:eastAsiaTheme="minorEastAsia" w:hAnsi="Times New Roman"/>
          <w:sz w:val="24"/>
          <w:szCs w:val="24"/>
          <w:lang w:eastAsia="ru-RU"/>
        </w:rPr>
        <w:t xml:space="preserve">осылкой для его появления стало </w:t>
      </w:r>
      <w:r w:rsidRPr="00F11C75">
        <w:rPr>
          <w:rFonts w:ascii="Times New Roman" w:eastAsiaTheme="minorEastAsia" w:hAnsi="Times New Roman"/>
          <w:sz w:val="24"/>
          <w:szCs w:val="24"/>
          <w:lang w:eastAsia="ru-RU"/>
        </w:rPr>
        <w:t>развитие вы</w:t>
      </w:r>
      <w:r>
        <w:rPr>
          <w:rFonts w:ascii="Times New Roman" w:eastAsiaTheme="minorEastAsia" w:hAnsi="Times New Roman"/>
          <w:sz w:val="24"/>
          <w:szCs w:val="24"/>
          <w:lang w:eastAsia="ru-RU"/>
        </w:rPr>
        <w:t xml:space="preserve">соких технологий, что позволило </w:t>
      </w:r>
      <w:r w:rsidRPr="00F11C75">
        <w:rPr>
          <w:rFonts w:ascii="Times New Roman" w:eastAsiaTheme="minorEastAsia" w:hAnsi="Times New Roman"/>
          <w:sz w:val="24"/>
          <w:szCs w:val="24"/>
          <w:lang w:eastAsia="ru-RU"/>
        </w:rPr>
        <w:t>большому ко</w:t>
      </w:r>
      <w:r>
        <w:rPr>
          <w:rFonts w:ascii="Times New Roman" w:eastAsiaTheme="minorEastAsia" w:hAnsi="Times New Roman"/>
          <w:sz w:val="24"/>
          <w:szCs w:val="24"/>
          <w:lang w:eastAsia="ru-RU"/>
        </w:rPr>
        <w:t xml:space="preserve">личеству специалистов, в первую </w:t>
      </w:r>
      <w:r w:rsidRPr="00F11C75">
        <w:rPr>
          <w:rFonts w:ascii="Times New Roman" w:eastAsiaTheme="minorEastAsia" w:hAnsi="Times New Roman"/>
          <w:sz w:val="24"/>
          <w:szCs w:val="24"/>
          <w:lang w:eastAsia="ru-RU"/>
        </w:rPr>
        <w:t>очередь за</w:t>
      </w:r>
      <w:r>
        <w:rPr>
          <w:rFonts w:ascii="Times New Roman" w:eastAsiaTheme="minorEastAsia" w:hAnsi="Times New Roman"/>
          <w:sz w:val="24"/>
          <w:szCs w:val="24"/>
          <w:lang w:eastAsia="ru-RU"/>
        </w:rPr>
        <w:t xml:space="preserve">нятых интеллектуальным трудом и </w:t>
      </w:r>
      <w:r w:rsidRPr="00F11C75">
        <w:rPr>
          <w:rFonts w:ascii="Times New Roman" w:eastAsiaTheme="minorEastAsia" w:hAnsi="Times New Roman"/>
          <w:sz w:val="24"/>
          <w:szCs w:val="24"/>
          <w:lang w:eastAsia="ru-RU"/>
        </w:rPr>
        <w:t>задействованн</w:t>
      </w:r>
      <w:r>
        <w:rPr>
          <w:rFonts w:ascii="Times New Roman" w:eastAsiaTheme="minorEastAsia" w:hAnsi="Times New Roman"/>
          <w:sz w:val="24"/>
          <w:szCs w:val="24"/>
          <w:lang w:eastAsia="ru-RU"/>
        </w:rPr>
        <w:t>ых в сфере услуг, работать уда</w:t>
      </w:r>
      <w:r w:rsidRPr="00F11C75">
        <w:rPr>
          <w:rFonts w:ascii="Times New Roman" w:eastAsiaTheme="minorEastAsia" w:hAnsi="Times New Roman"/>
          <w:sz w:val="24"/>
          <w:szCs w:val="24"/>
          <w:lang w:eastAsia="ru-RU"/>
        </w:rPr>
        <w:t>ленно и п</w:t>
      </w:r>
      <w:r>
        <w:rPr>
          <w:rFonts w:ascii="Times New Roman" w:eastAsiaTheme="minorEastAsia" w:hAnsi="Times New Roman"/>
          <w:sz w:val="24"/>
          <w:szCs w:val="24"/>
          <w:lang w:eastAsia="ru-RU"/>
        </w:rPr>
        <w:t xml:space="preserve">обудило многих уйти из офисов в </w:t>
      </w:r>
      <w:r w:rsidRPr="00F11C75">
        <w:rPr>
          <w:rFonts w:ascii="Times New Roman" w:eastAsiaTheme="minorEastAsia" w:hAnsi="Times New Roman"/>
          <w:sz w:val="24"/>
          <w:szCs w:val="24"/>
          <w:lang w:eastAsia="ru-RU"/>
        </w:rPr>
        <w:t>свободно</w:t>
      </w:r>
      <w:r>
        <w:rPr>
          <w:rFonts w:ascii="Times New Roman" w:eastAsiaTheme="minorEastAsia" w:hAnsi="Times New Roman"/>
          <w:sz w:val="24"/>
          <w:szCs w:val="24"/>
          <w:lang w:eastAsia="ru-RU"/>
        </w:rPr>
        <w:t xml:space="preserve">е плавание, став фрилансерами и </w:t>
      </w:r>
      <w:r w:rsidRPr="00F11C75">
        <w:rPr>
          <w:rFonts w:ascii="Times New Roman" w:eastAsiaTheme="minorEastAsia" w:hAnsi="Times New Roman"/>
          <w:sz w:val="24"/>
          <w:szCs w:val="24"/>
          <w:lang w:eastAsia="ru-RU"/>
        </w:rPr>
        <w:t>предприни</w:t>
      </w:r>
      <w:r>
        <w:rPr>
          <w:rFonts w:ascii="Times New Roman" w:eastAsiaTheme="minorEastAsia" w:hAnsi="Times New Roman"/>
          <w:sz w:val="24"/>
          <w:szCs w:val="24"/>
          <w:lang w:eastAsia="ru-RU"/>
        </w:rPr>
        <w:t xml:space="preserve">мателями. Однако зародился этот </w:t>
      </w:r>
      <w:r w:rsidRPr="00F11C75">
        <w:rPr>
          <w:rFonts w:ascii="Times New Roman" w:eastAsiaTheme="minorEastAsia" w:hAnsi="Times New Roman"/>
          <w:sz w:val="24"/>
          <w:szCs w:val="24"/>
          <w:lang w:eastAsia="ru-RU"/>
        </w:rPr>
        <w:t>рынок толь</w:t>
      </w:r>
      <w:r>
        <w:rPr>
          <w:rFonts w:ascii="Times New Roman" w:eastAsiaTheme="minorEastAsia" w:hAnsi="Times New Roman"/>
          <w:sz w:val="24"/>
          <w:szCs w:val="24"/>
          <w:lang w:eastAsia="ru-RU"/>
        </w:rPr>
        <w:t>ко в период мирового экономиче</w:t>
      </w:r>
      <w:r w:rsidRPr="00F11C75">
        <w:rPr>
          <w:rFonts w:ascii="Times New Roman" w:eastAsiaTheme="minorEastAsia" w:hAnsi="Times New Roman"/>
          <w:sz w:val="24"/>
          <w:szCs w:val="24"/>
          <w:lang w:eastAsia="ru-RU"/>
        </w:rPr>
        <w:t>ского кризис</w:t>
      </w:r>
      <w:r>
        <w:rPr>
          <w:rFonts w:ascii="Times New Roman" w:eastAsiaTheme="minorEastAsia" w:hAnsi="Times New Roman"/>
          <w:sz w:val="24"/>
          <w:szCs w:val="24"/>
          <w:lang w:eastAsia="ru-RU"/>
        </w:rPr>
        <w:t>а. Из-за закрытия и реорганиза</w:t>
      </w:r>
      <w:r w:rsidRPr="00F11C75">
        <w:rPr>
          <w:rFonts w:ascii="Times New Roman" w:eastAsiaTheme="minorEastAsia" w:hAnsi="Times New Roman"/>
          <w:sz w:val="24"/>
          <w:szCs w:val="24"/>
          <w:lang w:eastAsia="ru-RU"/>
        </w:rPr>
        <w:t>ции мног</w:t>
      </w:r>
      <w:r>
        <w:rPr>
          <w:rFonts w:ascii="Times New Roman" w:eastAsiaTheme="minorEastAsia" w:hAnsi="Times New Roman"/>
          <w:sz w:val="24"/>
          <w:szCs w:val="24"/>
          <w:lang w:eastAsia="ru-RU"/>
        </w:rPr>
        <w:t xml:space="preserve">их предприятий на рынок хлынула </w:t>
      </w:r>
      <w:r w:rsidRPr="00F11C75">
        <w:rPr>
          <w:rFonts w:ascii="Times New Roman" w:eastAsiaTheme="minorEastAsia" w:hAnsi="Times New Roman"/>
          <w:sz w:val="24"/>
          <w:szCs w:val="24"/>
          <w:lang w:eastAsia="ru-RU"/>
        </w:rPr>
        <w:t xml:space="preserve">масса </w:t>
      </w:r>
      <w:r>
        <w:rPr>
          <w:rFonts w:ascii="Times New Roman" w:eastAsiaTheme="minorEastAsia" w:hAnsi="Times New Roman"/>
          <w:sz w:val="24"/>
          <w:szCs w:val="24"/>
          <w:lang w:eastAsia="ru-RU"/>
        </w:rPr>
        <w:t xml:space="preserve">высококвалифицированной рабочей </w:t>
      </w:r>
      <w:r w:rsidRPr="00F11C75">
        <w:rPr>
          <w:rFonts w:ascii="Times New Roman" w:eastAsiaTheme="minorEastAsia" w:hAnsi="Times New Roman"/>
          <w:sz w:val="24"/>
          <w:szCs w:val="24"/>
          <w:lang w:eastAsia="ru-RU"/>
        </w:rPr>
        <w:t>силы, часть к</w:t>
      </w:r>
      <w:r>
        <w:rPr>
          <w:rFonts w:ascii="Times New Roman" w:eastAsiaTheme="minorEastAsia" w:hAnsi="Times New Roman"/>
          <w:sz w:val="24"/>
          <w:szCs w:val="24"/>
          <w:lang w:eastAsia="ru-RU"/>
        </w:rPr>
        <w:t>оторой с тех пор больше не вер</w:t>
      </w:r>
      <w:r w:rsidRPr="00F11C75">
        <w:rPr>
          <w:rFonts w:ascii="Times New Roman" w:eastAsiaTheme="minorEastAsia" w:hAnsi="Times New Roman"/>
          <w:sz w:val="24"/>
          <w:szCs w:val="24"/>
          <w:lang w:eastAsia="ru-RU"/>
        </w:rPr>
        <w:t>нулась н</w:t>
      </w:r>
      <w:r>
        <w:rPr>
          <w:rFonts w:ascii="Times New Roman" w:eastAsiaTheme="minorEastAsia" w:hAnsi="Times New Roman"/>
          <w:sz w:val="24"/>
          <w:szCs w:val="24"/>
          <w:lang w:eastAsia="ru-RU"/>
        </w:rPr>
        <w:t xml:space="preserve">а офисную работу, в то же время </w:t>
      </w:r>
      <w:r w:rsidRPr="00F11C75">
        <w:rPr>
          <w:rFonts w:ascii="Times New Roman" w:eastAsiaTheme="minorEastAsia" w:hAnsi="Times New Roman"/>
          <w:sz w:val="24"/>
          <w:szCs w:val="24"/>
          <w:lang w:eastAsia="ru-RU"/>
        </w:rPr>
        <w:t xml:space="preserve">многие </w:t>
      </w:r>
      <w:r>
        <w:rPr>
          <w:rFonts w:ascii="Times New Roman" w:eastAsiaTheme="minorEastAsia" w:hAnsi="Times New Roman"/>
          <w:sz w:val="24"/>
          <w:szCs w:val="24"/>
          <w:lang w:eastAsia="ru-RU"/>
        </w:rPr>
        <w:t xml:space="preserve">коммерческие помещения потеряли </w:t>
      </w:r>
      <w:r w:rsidRPr="00F11C75">
        <w:rPr>
          <w:rFonts w:ascii="Times New Roman" w:eastAsiaTheme="minorEastAsia" w:hAnsi="Times New Roman"/>
          <w:sz w:val="24"/>
          <w:szCs w:val="24"/>
          <w:lang w:eastAsia="ru-RU"/>
        </w:rPr>
        <w:t>арендаторо</w:t>
      </w:r>
      <w:r>
        <w:rPr>
          <w:rFonts w:ascii="Times New Roman" w:eastAsiaTheme="minorEastAsia" w:hAnsi="Times New Roman"/>
          <w:sz w:val="24"/>
          <w:szCs w:val="24"/>
          <w:lang w:eastAsia="ru-RU"/>
        </w:rPr>
        <w:t xml:space="preserve">в, поэтому распространение идеи </w:t>
      </w:r>
      <w:r w:rsidRPr="00F11C75">
        <w:rPr>
          <w:rFonts w:ascii="Times New Roman" w:eastAsiaTheme="minorEastAsia" w:hAnsi="Times New Roman"/>
          <w:sz w:val="24"/>
          <w:szCs w:val="24"/>
          <w:lang w:eastAsia="ru-RU"/>
        </w:rPr>
        <w:t>совместной арен</w:t>
      </w:r>
      <w:r>
        <w:rPr>
          <w:rFonts w:ascii="Times New Roman" w:eastAsiaTheme="minorEastAsia" w:hAnsi="Times New Roman"/>
          <w:sz w:val="24"/>
          <w:szCs w:val="24"/>
          <w:lang w:eastAsia="ru-RU"/>
        </w:rPr>
        <w:t>ды независимыми специали</w:t>
      </w:r>
      <w:r w:rsidRPr="00F11C75">
        <w:rPr>
          <w:rFonts w:ascii="Times New Roman" w:eastAsiaTheme="minorEastAsia" w:hAnsi="Times New Roman"/>
          <w:sz w:val="24"/>
          <w:szCs w:val="24"/>
          <w:lang w:eastAsia="ru-RU"/>
        </w:rPr>
        <w:t>стами было вполне естественным.</w:t>
      </w:r>
    </w:p>
    <w:p w:rsidR="005E1201" w:rsidRPr="00094421" w:rsidRDefault="005E1201" w:rsidP="005E1201">
      <w:pPr>
        <w:spacing w:after="0" w:line="240" w:lineRule="auto"/>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Различают</w:t>
      </w:r>
      <w:r w:rsidRPr="00094421">
        <w:rPr>
          <w:rFonts w:ascii="Times New Roman" w:eastAsiaTheme="minorEastAsia" w:hAnsi="Times New Roman"/>
          <w:sz w:val="24"/>
          <w:szCs w:val="24"/>
          <w:lang w:eastAsia="ru-RU"/>
        </w:rPr>
        <w:t xml:space="preserve"> первую и вторую во</w:t>
      </w:r>
      <w:r>
        <w:rPr>
          <w:rFonts w:ascii="Times New Roman" w:eastAsiaTheme="minorEastAsia" w:hAnsi="Times New Roman"/>
          <w:sz w:val="24"/>
          <w:szCs w:val="24"/>
          <w:lang w:eastAsia="ru-RU"/>
        </w:rPr>
        <w:t>лну коворкингов на территории России</w:t>
      </w:r>
      <w:r w:rsidRPr="00094421">
        <w:rPr>
          <w:rFonts w:ascii="Times New Roman" w:eastAsiaTheme="minorEastAsia" w:hAnsi="Times New Roman"/>
          <w:sz w:val="24"/>
          <w:szCs w:val="24"/>
          <w:lang w:eastAsia="ru-RU"/>
        </w:rPr>
        <w:t>.</w:t>
      </w:r>
    </w:p>
    <w:p w:rsidR="005E1201" w:rsidRDefault="005E1201" w:rsidP="005E1201">
      <w:pPr>
        <w:spacing w:after="0" w:line="240" w:lineRule="auto"/>
        <w:ind w:firstLine="708"/>
        <w:jc w:val="both"/>
        <w:rPr>
          <w:rFonts w:ascii="Times New Roman" w:eastAsiaTheme="minorEastAsia" w:hAnsi="Times New Roman"/>
          <w:sz w:val="24"/>
          <w:szCs w:val="24"/>
          <w:lang w:eastAsia="ru-RU"/>
        </w:rPr>
      </w:pPr>
      <w:r w:rsidRPr="00094421">
        <w:rPr>
          <w:rFonts w:ascii="Times New Roman" w:eastAsiaTheme="minorEastAsia" w:hAnsi="Times New Roman"/>
          <w:sz w:val="24"/>
          <w:szCs w:val="24"/>
          <w:lang w:eastAsia="ru-RU"/>
        </w:rPr>
        <w:t xml:space="preserve">Началом </w:t>
      </w:r>
      <w:r w:rsidRPr="007546B4">
        <w:rPr>
          <w:rFonts w:ascii="Times New Roman" w:eastAsiaTheme="minorEastAsia" w:hAnsi="Times New Roman"/>
          <w:sz w:val="24"/>
          <w:szCs w:val="24"/>
          <w:u w:val="single"/>
          <w:lang w:eastAsia="ru-RU"/>
        </w:rPr>
        <w:t>первой волны</w:t>
      </w:r>
      <w:r w:rsidRPr="00094421">
        <w:rPr>
          <w:rFonts w:ascii="Times New Roman" w:eastAsiaTheme="minorEastAsia" w:hAnsi="Times New Roman"/>
          <w:sz w:val="24"/>
          <w:szCs w:val="24"/>
          <w:lang w:eastAsia="ru-RU"/>
        </w:rPr>
        <w:t xml:space="preserve"> считается </w:t>
      </w:r>
      <w:r>
        <w:rPr>
          <w:rFonts w:ascii="Times New Roman" w:eastAsiaTheme="minorEastAsia" w:hAnsi="Times New Roman"/>
          <w:sz w:val="24"/>
          <w:szCs w:val="24"/>
          <w:lang w:eastAsia="ru-RU"/>
        </w:rPr>
        <w:t>открытие первого российского коворкинг-центра в 2008 году в Екатеринбурге. Термин «коворкинг-центр» означает помещение в котором организована совместная работа людей</w:t>
      </w:r>
      <w:r w:rsidRPr="00F25709">
        <w:rPr>
          <w:rFonts w:ascii="Times New Roman" w:eastAsiaTheme="minorEastAsia" w:hAnsi="Times New Roman"/>
          <w:sz w:val="24"/>
          <w:szCs w:val="24"/>
          <w:lang w:eastAsia="ru-RU"/>
        </w:rPr>
        <w:t xml:space="preserve"> не </w:t>
      </w:r>
      <w:r>
        <w:rPr>
          <w:rFonts w:ascii="Times New Roman" w:eastAsiaTheme="minorEastAsia" w:hAnsi="Times New Roman"/>
          <w:sz w:val="24"/>
          <w:szCs w:val="24"/>
          <w:lang w:eastAsia="ru-RU"/>
        </w:rPr>
        <w:t>одинаковой специализации и разных</w:t>
      </w:r>
      <w:r w:rsidRPr="00F25709">
        <w:rPr>
          <w:rFonts w:ascii="Times New Roman" w:eastAsiaTheme="minorEastAsia" w:hAnsi="Times New Roman"/>
          <w:sz w:val="24"/>
          <w:szCs w:val="24"/>
          <w:lang w:eastAsia="ru-RU"/>
        </w:rPr>
        <w:t xml:space="preserve"> по профессии</w:t>
      </w:r>
      <w:r>
        <w:rPr>
          <w:rFonts w:ascii="Times New Roman" w:eastAsiaTheme="minorEastAsia" w:hAnsi="Times New Roman"/>
          <w:sz w:val="24"/>
          <w:szCs w:val="24"/>
          <w:lang w:eastAsia="ru-RU"/>
        </w:rPr>
        <w:t xml:space="preserve">. </w:t>
      </w:r>
      <w:r w:rsidRPr="0059307B">
        <w:rPr>
          <w:rFonts w:ascii="Times New Roman" w:eastAsiaTheme="minorEastAsia" w:hAnsi="Times New Roman"/>
          <w:sz w:val="24"/>
          <w:szCs w:val="24"/>
          <w:lang w:eastAsia="ru-RU"/>
        </w:rPr>
        <w:t>Санкт-Петербург стал вторым после Екатеринбурга го</w:t>
      </w:r>
      <w:r>
        <w:rPr>
          <w:rFonts w:ascii="Times New Roman" w:eastAsiaTheme="minorEastAsia" w:hAnsi="Times New Roman"/>
          <w:sz w:val="24"/>
          <w:szCs w:val="24"/>
          <w:lang w:eastAsia="ru-RU"/>
        </w:rPr>
        <w:t xml:space="preserve">родом России, подхватившим идею коворкингов. Был открыт </w:t>
      </w:r>
      <w:r w:rsidRPr="00EC0E1C">
        <w:rPr>
          <w:rFonts w:ascii="Times New Roman" w:eastAsiaTheme="minorEastAsia" w:hAnsi="Times New Roman"/>
          <w:sz w:val="24"/>
          <w:szCs w:val="24"/>
          <w:lang w:eastAsia="ru-RU"/>
        </w:rPr>
        <w:t>центр New Level — первый в городе объект, в котором</w:t>
      </w:r>
      <w:r>
        <w:rPr>
          <w:rFonts w:ascii="Times New Roman" w:eastAsiaTheme="minorEastAsia" w:hAnsi="Times New Roman"/>
          <w:sz w:val="24"/>
          <w:szCs w:val="24"/>
          <w:lang w:eastAsia="ru-RU"/>
        </w:rPr>
        <w:t xml:space="preserve"> в аренду сдавались индивидуальные рабочие места, а не отдельные помещения. </w:t>
      </w:r>
      <w:r w:rsidRPr="00EC0E1C">
        <w:rPr>
          <w:rFonts w:ascii="Times New Roman" w:eastAsiaTheme="minorEastAsia" w:hAnsi="Times New Roman"/>
          <w:sz w:val="24"/>
          <w:szCs w:val="24"/>
          <w:lang w:eastAsia="ru-RU"/>
        </w:rPr>
        <w:t xml:space="preserve">Данный принцип </w:t>
      </w:r>
      <w:r>
        <w:rPr>
          <w:rFonts w:ascii="Times New Roman" w:eastAsiaTheme="minorEastAsia" w:hAnsi="Times New Roman"/>
          <w:sz w:val="24"/>
          <w:szCs w:val="24"/>
          <w:lang w:eastAsia="ru-RU"/>
        </w:rPr>
        <w:t xml:space="preserve">сдачи в аренду позволял экономить на аренде офиса и также являлся особенностью первой волны коворкингов. </w:t>
      </w:r>
      <w:r w:rsidRPr="00EC0E1C">
        <w:rPr>
          <w:rFonts w:ascii="Times New Roman" w:eastAsiaTheme="minorEastAsia" w:hAnsi="Times New Roman"/>
          <w:sz w:val="24"/>
          <w:szCs w:val="24"/>
          <w:lang w:eastAsia="ru-RU"/>
        </w:rPr>
        <w:t>Однако спустя несколько месяцев проект пришлось зак</w:t>
      </w:r>
      <w:r>
        <w:rPr>
          <w:rFonts w:ascii="Times New Roman" w:eastAsiaTheme="minorEastAsia" w:hAnsi="Times New Roman"/>
          <w:sz w:val="24"/>
          <w:szCs w:val="24"/>
          <w:lang w:eastAsia="ru-RU"/>
        </w:rPr>
        <w:t>рыть из-за экономического кризи</w:t>
      </w:r>
      <w:r w:rsidRPr="00EC0E1C">
        <w:rPr>
          <w:rFonts w:ascii="Times New Roman" w:eastAsiaTheme="minorEastAsia" w:hAnsi="Times New Roman"/>
          <w:sz w:val="24"/>
          <w:szCs w:val="24"/>
          <w:lang w:eastAsia="ru-RU"/>
        </w:rPr>
        <w:t>са, также, как и в Екатеринбурге.</w:t>
      </w:r>
      <w:r>
        <w:rPr>
          <w:rFonts w:ascii="Times New Roman" w:eastAsiaTheme="minorEastAsia" w:hAnsi="Times New Roman"/>
          <w:sz w:val="24"/>
          <w:szCs w:val="24"/>
          <w:lang w:eastAsia="ru-RU"/>
        </w:rPr>
        <w:t xml:space="preserve"> </w:t>
      </w:r>
    </w:p>
    <w:p w:rsidR="005E1201" w:rsidRDefault="005E1201" w:rsidP="005E1201">
      <w:pPr>
        <w:spacing w:after="0" w:line="240" w:lineRule="auto"/>
        <w:ind w:firstLine="708"/>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После кризиса в 2008-</w:t>
      </w:r>
      <w:r w:rsidRPr="00094421">
        <w:rPr>
          <w:rFonts w:ascii="Times New Roman" w:eastAsiaTheme="minorEastAsia" w:hAnsi="Times New Roman"/>
          <w:sz w:val="24"/>
          <w:szCs w:val="24"/>
          <w:lang w:eastAsia="ru-RU"/>
        </w:rPr>
        <w:t xml:space="preserve">2009 годах </w:t>
      </w:r>
      <w:r>
        <w:rPr>
          <w:rFonts w:ascii="Times New Roman" w:eastAsiaTheme="minorEastAsia" w:hAnsi="Times New Roman"/>
          <w:sz w:val="24"/>
          <w:szCs w:val="24"/>
          <w:lang w:eastAsia="ru-RU"/>
        </w:rPr>
        <w:t xml:space="preserve">большое число офисных площадей пустовало </w:t>
      </w:r>
      <w:r w:rsidRPr="00094421">
        <w:rPr>
          <w:rFonts w:ascii="Times New Roman" w:eastAsiaTheme="minorEastAsia" w:hAnsi="Times New Roman"/>
          <w:sz w:val="24"/>
          <w:szCs w:val="24"/>
          <w:lang w:eastAsia="ru-RU"/>
        </w:rPr>
        <w:t xml:space="preserve">и </w:t>
      </w:r>
      <w:r>
        <w:rPr>
          <w:rFonts w:ascii="Times New Roman" w:eastAsiaTheme="minorEastAsia" w:hAnsi="Times New Roman"/>
          <w:sz w:val="24"/>
          <w:szCs w:val="24"/>
          <w:lang w:eastAsia="ru-RU"/>
        </w:rPr>
        <w:t xml:space="preserve">поэтому их можно было снять </w:t>
      </w:r>
      <w:r w:rsidRPr="00094421">
        <w:rPr>
          <w:rFonts w:ascii="Times New Roman" w:eastAsiaTheme="minorEastAsia" w:hAnsi="Times New Roman"/>
          <w:sz w:val="24"/>
          <w:szCs w:val="24"/>
          <w:lang w:eastAsia="ru-RU"/>
        </w:rPr>
        <w:t>за небольшие деньги.</w:t>
      </w:r>
      <w:r>
        <w:rPr>
          <w:rFonts w:ascii="Times New Roman" w:eastAsiaTheme="minorEastAsia" w:hAnsi="Times New Roman"/>
          <w:sz w:val="24"/>
          <w:szCs w:val="24"/>
          <w:lang w:eastAsia="ru-RU"/>
        </w:rPr>
        <w:t xml:space="preserve"> Однако, большинство от</w:t>
      </w:r>
      <w:r w:rsidRPr="00094421">
        <w:rPr>
          <w:rFonts w:ascii="Times New Roman" w:eastAsiaTheme="minorEastAsia" w:hAnsi="Times New Roman"/>
          <w:sz w:val="24"/>
          <w:szCs w:val="24"/>
          <w:lang w:eastAsia="ru-RU"/>
        </w:rPr>
        <w:t>крывшихся</w:t>
      </w:r>
      <w:r>
        <w:rPr>
          <w:rFonts w:ascii="Times New Roman" w:eastAsiaTheme="minorEastAsia" w:hAnsi="Times New Roman"/>
          <w:sz w:val="24"/>
          <w:szCs w:val="24"/>
          <w:lang w:eastAsia="ru-RU"/>
        </w:rPr>
        <w:t xml:space="preserve"> на тот момент</w:t>
      </w:r>
      <w:r w:rsidRPr="00094421">
        <w:rPr>
          <w:rFonts w:ascii="Times New Roman" w:eastAsiaTheme="minorEastAsia" w:hAnsi="Times New Roman"/>
          <w:sz w:val="24"/>
          <w:szCs w:val="24"/>
          <w:lang w:eastAsia="ru-RU"/>
        </w:rPr>
        <w:t xml:space="preserve"> коворкинг-центров не смогли привлечь арендато</w:t>
      </w:r>
      <w:r>
        <w:rPr>
          <w:rFonts w:ascii="Times New Roman" w:eastAsiaTheme="minorEastAsia" w:hAnsi="Times New Roman"/>
          <w:sz w:val="24"/>
          <w:szCs w:val="24"/>
          <w:lang w:eastAsia="ru-RU"/>
        </w:rPr>
        <w:t>ров и закрылись в те</w:t>
      </w:r>
      <w:r w:rsidRPr="00094421">
        <w:rPr>
          <w:rFonts w:ascii="Times New Roman" w:eastAsiaTheme="minorEastAsia" w:hAnsi="Times New Roman"/>
          <w:sz w:val="24"/>
          <w:szCs w:val="24"/>
          <w:lang w:eastAsia="ru-RU"/>
        </w:rPr>
        <w:t xml:space="preserve">чение </w:t>
      </w:r>
      <w:r>
        <w:rPr>
          <w:rFonts w:ascii="Times New Roman" w:eastAsiaTheme="minorEastAsia" w:hAnsi="Times New Roman"/>
          <w:sz w:val="24"/>
          <w:szCs w:val="24"/>
          <w:lang w:eastAsia="ru-RU"/>
        </w:rPr>
        <w:t xml:space="preserve">2-3 </w:t>
      </w:r>
      <w:r w:rsidRPr="00094421">
        <w:rPr>
          <w:rFonts w:ascii="Times New Roman" w:eastAsiaTheme="minorEastAsia" w:hAnsi="Times New Roman"/>
          <w:sz w:val="24"/>
          <w:szCs w:val="24"/>
          <w:lang w:eastAsia="ru-RU"/>
        </w:rPr>
        <w:t xml:space="preserve">месяцев. </w:t>
      </w:r>
    </w:p>
    <w:p w:rsidR="005E1201" w:rsidRDefault="005E1201" w:rsidP="005E1201">
      <w:pPr>
        <w:spacing w:after="0" w:line="240" w:lineRule="auto"/>
        <w:ind w:firstLine="708"/>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Главными причинами</w:t>
      </w:r>
      <w:r w:rsidRPr="00094421">
        <w:rPr>
          <w:rFonts w:ascii="Times New Roman" w:eastAsiaTheme="minorEastAsia" w:hAnsi="Times New Roman"/>
          <w:sz w:val="24"/>
          <w:szCs w:val="24"/>
          <w:lang w:eastAsia="ru-RU"/>
        </w:rPr>
        <w:t xml:space="preserve"> </w:t>
      </w:r>
      <w:r>
        <w:rPr>
          <w:rFonts w:ascii="Times New Roman" w:eastAsiaTheme="minorEastAsia" w:hAnsi="Times New Roman"/>
          <w:sz w:val="24"/>
          <w:szCs w:val="24"/>
          <w:lang w:eastAsia="ru-RU"/>
        </w:rPr>
        <w:t>неудач являются - неудачное место расположение коворкинг-центров</w:t>
      </w:r>
      <w:r w:rsidRPr="00094421">
        <w:rPr>
          <w:rFonts w:ascii="Times New Roman" w:eastAsiaTheme="minorEastAsia" w:hAnsi="Times New Roman"/>
          <w:sz w:val="24"/>
          <w:szCs w:val="24"/>
          <w:lang w:eastAsia="ru-RU"/>
        </w:rPr>
        <w:t xml:space="preserve"> и </w:t>
      </w:r>
      <w:r>
        <w:rPr>
          <w:rFonts w:ascii="Times New Roman" w:eastAsiaTheme="minorEastAsia" w:hAnsi="Times New Roman"/>
          <w:sz w:val="24"/>
          <w:szCs w:val="24"/>
          <w:lang w:eastAsia="ru-RU"/>
        </w:rPr>
        <w:t xml:space="preserve">небольшое </w:t>
      </w:r>
      <w:r w:rsidRPr="00094421">
        <w:rPr>
          <w:rFonts w:ascii="Times New Roman" w:eastAsiaTheme="minorEastAsia" w:hAnsi="Times New Roman"/>
          <w:sz w:val="24"/>
          <w:szCs w:val="24"/>
          <w:lang w:eastAsia="ru-RU"/>
        </w:rPr>
        <w:t>количество потребителей.</w:t>
      </w:r>
    </w:p>
    <w:p w:rsidR="005E1201" w:rsidRDefault="005E1201" w:rsidP="005E1201">
      <w:pPr>
        <w:spacing w:after="0" w:line="240" w:lineRule="auto"/>
        <w:ind w:firstLine="708"/>
        <w:jc w:val="both"/>
        <w:rPr>
          <w:rFonts w:ascii="Times New Roman" w:eastAsiaTheme="minorEastAsia" w:hAnsi="Times New Roman"/>
          <w:sz w:val="24"/>
          <w:szCs w:val="24"/>
          <w:lang w:eastAsia="ru-RU"/>
        </w:rPr>
      </w:pPr>
      <w:r w:rsidRPr="007546B4">
        <w:rPr>
          <w:rFonts w:ascii="Times New Roman" w:eastAsiaTheme="minorEastAsia" w:hAnsi="Times New Roman"/>
          <w:sz w:val="24"/>
          <w:szCs w:val="24"/>
          <w:u w:val="single"/>
          <w:lang w:eastAsia="ru-RU"/>
        </w:rPr>
        <w:t>Вторая волна</w:t>
      </w:r>
      <w:r w:rsidRPr="00F11C75">
        <w:rPr>
          <w:rFonts w:ascii="Times New Roman" w:eastAsiaTheme="minorEastAsia" w:hAnsi="Times New Roman"/>
          <w:sz w:val="24"/>
          <w:szCs w:val="24"/>
          <w:lang w:eastAsia="ru-RU"/>
        </w:rPr>
        <w:t xml:space="preserve"> началась в 2011 году с таких прое</w:t>
      </w:r>
      <w:r>
        <w:rPr>
          <w:rFonts w:ascii="Times New Roman" w:eastAsiaTheme="minorEastAsia" w:hAnsi="Times New Roman"/>
          <w:sz w:val="24"/>
          <w:szCs w:val="24"/>
          <w:lang w:eastAsia="ru-RU"/>
        </w:rPr>
        <w:t>ктов как: «HomeWork», «Зона дей</w:t>
      </w:r>
      <w:r w:rsidRPr="00F11C75">
        <w:rPr>
          <w:rFonts w:ascii="Times New Roman" w:eastAsiaTheme="minorEastAsia" w:hAnsi="Times New Roman"/>
          <w:sz w:val="24"/>
          <w:szCs w:val="24"/>
          <w:lang w:eastAsia="ru-RU"/>
        </w:rPr>
        <w:t>ствия"(Санкт-Петербург) и «Flacon Coworking (Москва). По сравнению с предыдущими попытками открытия коворкинг-центров, в этот раз ста</w:t>
      </w:r>
      <w:r>
        <w:rPr>
          <w:rFonts w:ascii="Times New Roman" w:eastAsiaTheme="minorEastAsia" w:hAnsi="Times New Roman"/>
          <w:sz w:val="24"/>
          <w:szCs w:val="24"/>
          <w:lang w:eastAsia="ru-RU"/>
        </w:rPr>
        <w:t>вка делалась на творческую атмо</w:t>
      </w:r>
      <w:r w:rsidRPr="00F11C75">
        <w:rPr>
          <w:rFonts w:ascii="Times New Roman" w:eastAsiaTheme="minorEastAsia" w:hAnsi="Times New Roman"/>
          <w:sz w:val="24"/>
          <w:szCs w:val="24"/>
          <w:lang w:eastAsia="ru-RU"/>
        </w:rPr>
        <w:t>сферу и формирование сообщества взаимопомощи между проектами-резидентами. Как правило, российские коворкинги имеют площадь от 50 до</w:t>
      </w:r>
      <w:r>
        <w:rPr>
          <w:rFonts w:ascii="Times New Roman" w:eastAsiaTheme="minorEastAsia" w:hAnsi="Times New Roman"/>
          <w:sz w:val="24"/>
          <w:szCs w:val="24"/>
          <w:lang w:eastAsia="ru-RU"/>
        </w:rPr>
        <w:t xml:space="preserve"> 600 кв. м. Обычно это зал с от</w:t>
      </w:r>
      <w:r w:rsidRPr="00F11C75">
        <w:rPr>
          <w:rFonts w:ascii="Times New Roman" w:eastAsiaTheme="minorEastAsia" w:hAnsi="Times New Roman"/>
          <w:sz w:val="24"/>
          <w:szCs w:val="24"/>
          <w:lang w:eastAsia="ru-RU"/>
        </w:rPr>
        <w:t>крытой планировкой, реже — кабинетная система.</w:t>
      </w:r>
    </w:p>
    <w:p w:rsidR="005E1201" w:rsidRDefault="005E1201" w:rsidP="005E1201">
      <w:pPr>
        <w:spacing w:after="0" w:line="240" w:lineRule="auto"/>
        <w:ind w:firstLine="708"/>
        <w:jc w:val="both"/>
        <w:rPr>
          <w:rFonts w:ascii="Times New Roman" w:eastAsiaTheme="minorEastAsia" w:hAnsi="Times New Roman"/>
          <w:sz w:val="24"/>
          <w:szCs w:val="24"/>
          <w:lang w:eastAsia="ru-RU"/>
        </w:rPr>
      </w:pPr>
      <w:r w:rsidRPr="00F11C75">
        <w:rPr>
          <w:rFonts w:ascii="Times New Roman" w:eastAsiaTheme="minorEastAsia" w:hAnsi="Times New Roman"/>
          <w:sz w:val="24"/>
          <w:szCs w:val="24"/>
          <w:lang w:eastAsia="ru-RU"/>
        </w:rPr>
        <w:t>В России коворкинг-центры находятся в основном в Москве, Санкт-Петербурге, а также в городах с населением более одного миллиона ч</w:t>
      </w:r>
      <w:r>
        <w:rPr>
          <w:rFonts w:ascii="Times New Roman" w:eastAsiaTheme="minorEastAsia" w:hAnsi="Times New Roman"/>
          <w:sz w:val="24"/>
          <w:szCs w:val="24"/>
          <w:lang w:eastAsia="ru-RU"/>
        </w:rPr>
        <w:t>еловек. То есть там, где распро</w:t>
      </w:r>
      <w:r w:rsidRPr="00F11C75">
        <w:rPr>
          <w:rFonts w:ascii="Times New Roman" w:eastAsiaTheme="minorEastAsia" w:hAnsi="Times New Roman"/>
          <w:sz w:val="24"/>
          <w:szCs w:val="24"/>
          <w:lang w:eastAsia="ru-RU"/>
        </w:rPr>
        <w:t>странены такие профессии, как, например, программист, дизайнер, архитектор.</w:t>
      </w:r>
    </w:p>
    <w:p w:rsidR="005E1201" w:rsidRDefault="005E1201" w:rsidP="005E1201">
      <w:pPr>
        <w:spacing w:after="0" w:line="240" w:lineRule="auto"/>
        <w:ind w:firstLine="708"/>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 xml:space="preserve">В таблице 1 и рисунке 1 представлены результаты </w:t>
      </w:r>
      <w:r w:rsidRPr="00F11C75">
        <w:rPr>
          <w:rFonts w:ascii="Times New Roman" w:eastAsiaTheme="minorEastAsia" w:hAnsi="Times New Roman"/>
          <w:sz w:val="24"/>
          <w:szCs w:val="24"/>
          <w:lang w:eastAsia="ru-RU"/>
        </w:rPr>
        <w:t>кабинетного исследования</w:t>
      </w:r>
      <w:r>
        <w:rPr>
          <w:rFonts w:ascii="Times New Roman" w:eastAsiaTheme="minorEastAsia" w:hAnsi="Times New Roman"/>
          <w:sz w:val="24"/>
          <w:szCs w:val="24"/>
          <w:lang w:eastAsia="ru-RU"/>
        </w:rPr>
        <w:t xml:space="preserve">, задачей которого является </w:t>
      </w:r>
      <w:r w:rsidRPr="00F11C75">
        <w:rPr>
          <w:rFonts w:ascii="Times New Roman" w:eastAsiaTheme="minorEastAsia" w:hAnsi="Times New Roman"/>
          <w:sz w:val="24"/>
          <w:szCs w:val="24"/>
          <w:lang w:eastAsia="ru-RU"/>
        </w:rPr>
        <w:t>подсчёт количества коворкингов по городам России, классификация коворкингов России по видам.</w:t>
      </w:r>
    </w:p>
    <w:p w:rsidR="005E1201" w:rsidRPr="007132AE" w:rsidRDefault="005E1201" w:rsidP="005E1201">
      <w:pPr>
        <w:spacing w:after="0" w:line="240" w:lineRule="auto"/>
        <w:rPr>
          <w:rFonts w:ascii="Times New Roman" w:eastAsiaTheme="minorEastAsia" w:hAnsi="Times New Roman"/>
          <w:b/>
          <w:sz w:val="24"/>
          <w:szCs w:val="24"/>
          <w:lang w:eastAsia="ru-RU"/>
        </w:rPr>
      </w:pPr>
      <w:r w:rsidRPr="007132AE">
        <w:rPr>
          <w:rFonts w:ascii="Times New Roman" w:eastAsiaTheme="minorEastAsia" w:hAnsi="Times New Roman"/>
          <w:i/>
          <w:sz w:val="24"/>
          <w:szCs w:val="24"/>
          <w:lang w:eastAsia="ru-RU"/>
        </w:rPr>
        <w:t>Таблица 1</w:t>
      </w:r>
      <w:r>
        <w:rPr>
          <w:rFonts w:ascii="Times New Roman" w:eastAsiaTheme="minorEastAsia" w:hAnsi="Times New Roman"/>
          <w:sz w:val="24"/>
          <w:szCs w:val="24"/>
          <w:lang w:eastAsia="ru-RU"/>
        </w:rPr>
        <w:t xml:space="preserve"> -</w:t>
      </w:r>
      <w:r w:rsidRPr="00F11C75">
        <w:rPr>
          <w:rFonts w:ascii="Times New Roman" w:eastAsiaTheme="minorEastAsia" w:hAnsi="Times New Roman"/>
          <w:sz w:val="24"/>
          <w:szCs w:val="24"/>
          <w:lang w:eastAsia="ru-RU"/>
        </w:rPr>
        <w:t xml:space="preserve"> </w:t>
      </w:r>
      <w:r w:rsidRPr="007132AE">
        <w:rPr>
          <w:rFonts w:ascii="Times New Roman" w:eastAsiaTheme="minorEastAsia" w:hAnsi="Times New Roman"/>
          <w:b/>
          <w:sz w:val="24"/>
          <w:szCs w:val="24"/>
          <w:lang w:eastAsia="ru-RU"/>
        </w:rPr>
        <w:t>Количество коворкингов по городам России, 2018 г., составлено автором</w:t>
      </w:r>
    </w:p>
    <w:tbl>
      <w:tblPr>
        <w:tblStyle w:val="af1"/>
        <w:tblW w:w="0" w:type="auto"/>
        <w:tblLook w:val="04A0" w:firstRow="1" w:lastRow="0" w:firstColumn="1" w:lastColumn="0" w:noHBand="0" w:noVBand="1"/>
      </w:tblPr>
      <w:tblGrid>
        <w:gridCol w:w="2547"/>
        <w:gridCol w:w="6798"/>
      </w:tblGrid>
      <w:tr w:rsidR="005E1201" w:rsidTr="00A17BCD">
        <w:tc>
          <w:tcPr>
            <w:tcW w:w="2547" w:type="dxa"/>
          </w:tcPr>
          <w:p w:rsidR="005E1201" w:rsidRDefault="005E1201" w:rsidP="00A17BCD">
            <w:pPr>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Количество коворкингов</w:t>
            </w:r>
          </w:p>
        </w:tc>
        <w:tc>
          <w:tcPr>
            <w:tcW w:w="6798" w:type="dxa"/>
          </w:tcPr>
          <w:p w:rsidR="005E1201" w:rsidRDefault="005E1201" w:rsidP="00A17BCD">
            <w:pPr>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Города</w:t>
            </w:r>
          </w:p>
        </w:tc>
      </w:tr>
      <w:tr w:rsidR="005E1201" w:rsidTr="00A17BCD">
        <w:tc>
          <w:tcPr>
            <w:tcW w:w="2547" w:type="dxa"/>
          </w:tcPr>
          <w:p w:rsidR="005E1201" w:rsidRDefault="005E1201" w:rsidP="00A17BCD">
            <w:pPr>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 xml:space="preserve">От 50 до 150 </w:t>
            </w:r>
          </w:p>
        </w:tc>
        <w:tc>
          <w:tcPr>
            <w:tcW w:w="6798" w:type="dxa"/>
          </w:tcPr>
          <w:p w:rsidR="005E1201" w:rsidRDefault="005E1201" w:rsidP="00A17BCD">
            <w:pPr>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Москва, Санкт-Петербург</w:t>
            </w:r>
          </w:p>
        </w:tc>
      </w:tr>
      <w:tr w:rsidR="005E1201" w:rsidTr="00A17BCD">
        <w:tc>
          <w:tcPr>
            <w:tcW w:w="2547" w:type="dxa"/>
          </w:tcPr>
          <w:p w:rsidR="005E1201" w:rsidRDefault="005E1201" w:rsidP="00A17BCD">
            <w:pPr>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От 10 до 49</w:t>
            </w:r>
          </w:p>
        </w:tc>
        <w:tc>
          <w:tcPr>
            <w:tcW w:w="6798" w:type="dxa"/>
          </w:tcPr>
          <w:p w:rsidR="005E1201" w:rsidRDefault="005E1201" w:rsidP="00A17BCD">
            <w:pPr>
              <w:jc w:val="both"/>
              <w:rPr>
                <w:rFonts w:ascii="Times New Roman" w:eastAsiaTheme="minorEastAsia" w:hAnsi="Times New Roman"/>
                <w:sz w:val="24"/>
                <w:szCs w:val="24"/>
                <w:lang w:eastAsia="ru-RU"/>
              </w:rPr>
            </w:pPr>
            <w:r w:rsidRPr="00A91568">
              <w:rPr>
                <w:rFonts w:ascii="Times New Roman" w:eastAsiaTheme="minorEastAsia" w:hAnsi="Times New Roman"/>
                <w:sz w:val="24"/>
                <w:szCs w:val="24"/>
                <w:lang w:eastAsia="ru-RU"/>
              </w:rPr>
              <w:t>Самара</w:t>
            </w:r>
            <w:r>
              <w:rPr>
                <w:rFonts w:ascii="Times New Roman" w:eastAsiaTheme="minorEastAsia" w:hAnsi="Times New Roman"/>
                <w:sz w:val="24"/>
                <w:szCs w:val="24"/>
                <w:lang w:eastAsia="ru-RU"/>
              </w:rPr>
              <w:t xml:space="preserve">, </w:t>
            </w:r>
            <w:r w:rsidRPr="00A91568">
              <w:rPr>
                <w:rFonts w:ascii="Times New Roman" w:eastAsiaTheme="minorEastAsia" w:hAnsi="Times New Roman"/>
                <w:sz w:val="24"/>
                <w:szCs w:val="24"/>
                <w:lang w:eastAsia="ru-RU"/>
              </w:rPr>
              <w:t>Екатеринбург</w:t>
            </w:r>
            <w:r>
              <w:rPr>
                <w:rFonts w:ascii="Times New Roman" w:eastAsiaTheme="minorEastAsia" w:hAnsi="Times New Roman"/>
                <w:sz w:val="24"/>
                <w:szCs w:val="24"/>
                <w:lang w:eastAsia="ru-RU"/>
              </w:rPr>
              <w:t xml:space="preserve">, </w:t>
            </w:r>
            <w:r w:rsidRPr="00A91568">
              <w:rPr>
                <w:rFonts w:ascii="Times New Roman" w:eastAsiaTheme="minorEastAsia" w:hAnsi="Times New Roman"/>
                <w:sz w:val="24"/>
                <w:szCs w:val="24"/>
                <w:lang w:eastAsia="ru-RU"/>
              </w:rPr>
              <w:t>Новосибирск</w:t>
            </w:r>
            <w:r>
              <w:rPr>
                <w:rFonts w:ascii="Times New Roman" w:eastAsiaTheme="minorEastAsia" w:hAnsi="Times New Roman"/>
                <w:sz w:val="24"/>
                <w:szCs w:val="24"/>
                <w:lang w:eastAsia="ru-RU"/>
              </w:rPr>
              <w:t xml:space="preserve">, </w:t>
            </w:r>
            <w:r w:rsidRPr="00A91568">
              <w:rPr>
                <w:rFonts w:ascii="Times New Roman" w:eastAsiaTheme="minorEastAsia" w:hAnsi="Times New Roman"/>
                <w:sz w:val="24"/>
                <w:szCs w:val="24"/>
                <w:lang w:eastAsia="ru-RU"/>
              </w:rPr>
              <w:t>Хабаровск</w:t>
            </w:r>
            <w:r>
              <w:rPr>
                <w:rFonts w:ascii="Times New Roman" w:eastAsiaTheme="minorEastAsia" w:hAnsi="Times New Roman"/>
                <w:sz w:val="24"/>
                <w:szCs w:val="24"/>
                <w:lang w:eastAsia="ru-RU"/>
              </w:rPr>
              <w:t xml:space="preserve">, </w:t>
            </w:r>
            <w:r w:rsidRPr="00A91568">
              <w:rPr>
                <w:rFonts w:ascii="Times New Roman" w:eastAsiaTheme="minorEastAsia" w:hAnsi="Times New Roman"/>
                <w:sz w:val="24"/>
                <w:szCs w:val="24"/>
                <w:lang w:eastAsia="ru-RU"/>
              </w:rPr>
              <w:t>Химки</w:t>
            </w:r>
          </w:p>
        </w:tc>
      </w:tr>
      <w:tr w:rsidR="005E1201" w:rsidTr="00A17BCD">
        <w:tc>
          <w:tcPr>
            <w:tcW w:w="2547" w:type="dxa"/>
          </w:tcPr>
          <w:p w:rsidR="005E1201" w:rsidRDefault="005E1201" w:rsidP="00A17BCD">
            <w:pPr>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От 1 до 9</w:t>
            </w:r>
          </w:p>
        </w:tc>
        <w:tc>
          <w:tcPr>
            <w:tcW w:w="6798" w:type="dxa"/>
          </w:tcPr>
          <w:p w:rsidR="005E1201" w:rsidRDefault="005E1201" w:rsidP="00A17BCD">
            <w:pPr>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 xml:space="preserve">Краснодар, Красноярск, Рязань, Ступино, Щелково, Нижний Новгород, Владивосток, Ижевск, Казань, Туймазы, Белгород, Волгоград, Дубна, Йошкар-Ола, Калининград, Курск, Омск, Оренбург, Петрозаводск, Таганрог, Улан-Удэ, Чебоксары, Анапа, Воронеж, Домодедово, </w:t>
            </w:r>
            <w:r w:rsidRPr="00A91568">
              <w:rPr>
                <w:rFonts w:ascii="Times New Roman" w:eastAsiaTheme="minorEastAsia" w:hAnsi="Times New Roman"/>
                <w:sz w:val="24"/>
                <w:szCs w:val="24"/>
                <w:lang w:eastAsia="ru-RU"/>
              </w:rPr>
              <w:t>Кемерово</w:t>
            </w:r>
            <w:r>
              <w:rPr>
                <w:rFonts w:ascii="Times New Roman" w:eastAsiaTheme="minorEastAsia" w:hAnsi="Times New Roman"/>
                <w:sz w:val="24"/>
                <w:szCs w:val="24"/>
                <w:lang w:eastAsia="ru-RU"/>
              </w:rPr>
              <w:t xml:space="preserve">, Клин, Липецк, Люберцы, Мытищи, Набережные Челны, Пенза, Пермь, Саранск, Саратов, Севастополь, Сургут, Тобольск, Томск, Тюмень, Уфа, Абакан, Архангельск, Астрахань, Балашиха, </w:t>
            </w:r>
            <w:r w:rsidRPr="00A91568">
              <w:rPr>
                <w:rFonts w:ascii="Times New Roman" w:eastAsiaTheme="minorEastAsia" w:hAnsi="Times New Roman"/>
                <w:sz w:val="24"/>
                <w:szCs w:val="24"/>
                <w:lang w:eastAsia="ru-RU"/>
              </w:rPr>
              <w:t>Бородино</w:t>
            </w:r>
            <w:r>
              <w:rPr>
                <w:rFonts w:ascii="Times New Roman" w:eastAsiaTheme="minorEastAsia" w:hAnsi="Times New Roman"/>
                <w:sz w:val="24"/>
                <w:szCs w:val="24"/>
                <w:lang w:eastAsia="ru-RU"/>
              </w:rPr>
              <w:t xml:space="preserve"> и др. </w:t>
            </w:r>
          </w:p>
        </w:tc>
      </w:tr>
    </w:tbl>
    <w:p w:rsidR="005E1201" w:rsidRDefault="005E1201" w:rsidP="005E1201">
      <w:pPr>
        <w:spacing w:after="0" w:line="240" w:lineRule="auto"/>
        <w:ind w:firstLine="708"/>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Из таблицы 1 можно сделать вывод, что бо</w:t>
      </w:r>
      <w:r w:rsidRPr="00FE3CD5">
        <w:rPr>
          <w:rFonts w:ascii="Times New Roman" w:eastAsiaTheme="minorEastAsia" w:hAnsi="Times New Roman"/>
          <w:sz w:val="24"/>
          <w:szCs w:val="24"/>
          <w:lang w:eastAsia="ru-RU"/>
        </w:rPr>
        <w:t>льшая часть коворкингов находится в таких крупных городах, как Москва и Санкт-Петербург. Именно в этих городах-миллионерах количество коворкингов превысило отметку в 50 единицах. Отметку в 10 единиц превышают такие города, как Екатеринбург, Новосибирск и Самара</w:t>
      </w:r>
      <w:r>
        <w:rPr>
          <w:rFonts w:ascii="Times New Roman" w:eastAsiaTheme="minorEastAsia" w:hAnsi="Times New Roman"/>
          <w:sz w:val="24"/>
          <w:szCs w:val="24"/>
          <w:lang w:eastAsia="ru-RU"/>
        </w:rPr>
        <w:t>, Хабаровск и Химки</w:t>
      </w:r>
      <w:r w:rsidRPr="00FE3CD5">
        <w:rPr>
          <w:rFonts w:ascii="Times New Roman" w:eastAsiaTheme="minorEastAsia" w:hAnsi="Times New Roman"/>
          <w:sz w:val="24"/>
          <w:szCs w:val="24"/>
          <w:lang w:eastAsia="ru-RU"/>
        </w:rPr>
        <w:t>. Они также являются городами-миллионерами, но, в сравнении с Москвой или Санкт-Петербургом, данный вид услуг менее развит. В остальных же город</w:t>
      </w:r>
      <w:r>
        <w:rPr>
          <w:rFonts w:ascii="Times New Roman" w:eastAsiaTheme="minorEastAsia" w:hAnsi="Times New Roman"/>
          <w:sz w:val="24"/>
          <w:szCs w:val="24"/>
          <w:lang w:eastAsia="ru-RU"/>
        </w:rPr>
        <w:t>ах количество коворкингов варьи</w:t>
      </w:r>
      <w:r w:rsidRPr="00FE3CD5">
        <w:rPr>
          <w:rFonts w:ascii="Times New Roman" w:eastAsiaTheme="minorEastAsia" w:hAnsi="Times New Roman"/>
          <w:sz w:val="24"/>
          <w:szCs w:val="24"/>
          <w:lang w:eastAsia="ru-RU"/>
        </w:rPr>
        <w:t>руется от 1 до 2-3 единиц.</w:t>
      </w:r>
    </w:p>
    <w:p w:rsidR="005E1201" w:rsidRDefault="005E1201" w:rsidP="005E1201">
      <w:pPr>
        <w:spacing w:after="0" w:line="240" w:lineRule="auto"/>
        <w:ind w:firstLine="708"/>
        <w:jc w:val="both"/>
        <w:rPr>
          <w:rFonts w:ascii="Times New Roman" w:eastAsiaTheme="minorEastAsia" w:hAnsi="Times New Roman"/>
          <w:sz w:val="24"/>
          <w:szCs w:val="24"/>
          <w:lang w:eastAsia="ru-RU"/>
        </w:rPr>
      </w:pPr>
      <w:r w:rsidRPr="00413191">
        <w:rPr>
          <w:rFonts w:ascii="Times New Roman" w:eastAsiaTheme="minorEastAsia" w:hAnsi="Times New Roman"/>
          <w:sz w:val="24"/>
          <w:szCs w:val="24"/>
          <w:lang w:eastAsia="ru-RU"/>
        </w:rPr>
        <w:t>Сейчас в России намного чаще открываются не коворк</w:t>
      </w:r>
      <w:r>
        <w:rPr>
          <w:rFonts w:ascii="Times New Roman" w:eastAsiaTheme="minorEastAsia" w:hAnsi="Times New Roman"/>
          <w:sz w:val="24"/>
          <w:szCs w:val="24"/>
          <w:lang w:eastAsia="ru-RU"/>
        </w:rPr>
        <w:t>инги, а пространства раз</w:t>
      </w:r>
      <w:r w:rsidRPr="00413191">
        <w:rPr>
          <w:rFonts w:ascii="Times New Roman" w:eastAsiaTheme="minorEastAsia" w:hAnsi="Times New Roman"/>
          <w:sz w:val="24"/>
          <w:szCs w:val="24"/>
          <w:lang w:eastAsia="ru-RU"/>
        </w:rPr>
        <w:t>влекательного характера (игровой лофт, тайм-кафе, гибр</w:t>
      </w:r>
      <w:r>
        <w:rPr>
          <w:rFonts w:ascii="Times New Roman" w:eastAsiaTheme="minorEastAsia" w:hAnsi="Times New Roman"/>
          <w:sz w:val="24"/>
          <w:szCs w:val="24"/>
          <w:lang w:eastAsia="ru-RU"/>
        </w:rPr>
        <w:t>ид хостела и тайм-кафе и так да</w:t>
      </w:r>
      <w:r w:rsidRPr="00413191">
        <w:rPr>
          <w:rFonts w:ascii="Times New Roman" w:eastAsiaTheme="minorEastAsia" w:hAnsi="Times New Roman"/>
          <w:sz w:val="24"/>
          <w:szCs w:val="24"/>
          <w:lang w:eastAsia="ru-RU"/>
        </w:rPr>
        <w:t>лее), либо напротив, пространства типа офисного помещения с кухней (что сокращает широкую целевую аудиторию коворкинга).</w:t>
      </w:r>
    </w:p>
    <w:p w:rsidR="005E1201" w:rsidRDefault="005E1201" w:rsidP="005E1201">
      <w:pPr>
        <w:spacing w:after="0" w:line="240" w:lineRule="auto"/>
        <w:ind w:firstLine="708"/>
        <w:jc w:val="both"/>
        <w:rPr>
          <w:rFonts w:ascii="Times New Roman" w:eastAsiaTheme="minorEastAsia" w:hAnsi="Times New Roman"/>
          <w:sz w:val="24"/>
          <w:szCs w:val="24"/>
          <w:lang w:eastAsia="ru-RU"/>
        </w:rPr>
      </w:pPr>
      <w:r w:rsidRPr="00A9059E">
        <w:rPr>
          <w:rFonts w:ascii="Times New Roman" w:eastAsiaTheme="minorEastAsia" w:hAnsi="Times New Roman"/>
          <w:sz w:val="24"/>
          <w:szCs w:val="24"/>
          <w:lang w:eastAsia="ru-RU"/>
        </w:rPr>
        <w:t>Некоторые современные коворкинг-центры оснащены столами для настольного тенниса и аэрохоккея, большими плазменные панели для видеоигр, удобными пуфики и диванами для отдыха. К примеру, в коворкинг-центре «Третье место» (г. Санкт-Петербург) есть даже свой мини-хостел, где могут переночевать засидевшиеся за работой коворкеры.</w:t>
      </w:r>
    </w:p>
    <w:p w:rsidR="005E1201" w:rsidRPr="00FE3CD5" w:rsidRDefault="005E1201" w:rsidP="005E1201">
      <w:pPr>
        <w:spacing w:after="0" w:line="240" w:lineRule="auto"/>
        <w:ind w:firstLine="708"/>
        <w:jc w:val="both"/>
        <w:rPr>
          <w:rFonts w:ascii="Times New Roman" w:eastAsiaTheme="minorEastAsia" w:hAnsi="Times New Roman"/>
          <w:sz w:val="24"/>
          <w:szCs w:val="24"/>
          <w:lang w:eastAsia="ru-RU"/>
        </w:rPr>
      </w:pPr>
      <w:r w:rsidRPr="00413191">
        <w:rPr>
          <w:rFonts w:ascii="Times New Roman" w:eastAsiaTheme="minorEastAsia" w:hAnsi="Times New Roman"/>
          <w:sz w:val="24"/>
          <w:szCs w:val="24"/>
          <w:lang w:eastAsia="ru-RU"/>
        </w:rPr>
        <w:t>Многие центры оборудованы собственными столовыми, кофе-зонами или барами. Рабочее пространство каждый фрилансер может изменят</w:t>
      </w:r>
      <w:r>
        <w:rPr>
          <w:rFonts w:ascii="Times New Roman" w:eastAsiaTheme="minorEastAsia" w:hAnsi="Times New Roman"/>
          <w:sz w:val="24"/>
          <w:szCs w:val="24"/>
          <w:lang w:eastAsia="ru-RU"/>
        </w:rPr>
        <w:t>ь по своему вкусу: не запрещает</w:t>
      </w:r>
      <w:r w:rsidRPr="00413191">
        <w:rPr>
          <w:rFonts w:ascii="Times New Roman" w:eastAsiaTheme="minorEastAsia" w:hAnsi="Times New Roman"/>
          <w:sz w:val="24"/>
          <w:szCs w:val="24"/>
          <w:lang w:eastAsia="ru-RU"/>
        </w:rPr>
        <w:t>ся, к примеру, клеить плакаты, вешать картины, ставить небольшую мебель и всячески обустраивать свой уголок при условии, что это не мешает другим участникам.</w:t>
      </w:r>
    </w:p>
    <w:p w:rsidR="005E1201" w:rsidRPr="00E66FCD" w:rsidRDefault="005E1201" w:rsidP="005E1201">
      <w:pPr>
        <w:spacing w:after="0" w:line="240" w:lineRule="auto"/>
        <w:jc w:val="center"/>
        <w:rPr>
          <w:rFonts w:ascii="Times New Roman" w:eastAsiaTheme="minorEastAsia" w:hAnsi="Times New Roman"/>
          <w:sz w:val="24"/>
          <w:szCs w:val="24"/>
          <w:lang w:eastAsia="ru-RU"/>
        </w:rPr>
      </w:pPr>
      <w:r>
        <w:rPr>
          <w:rFonts w:ascii="Times New Roman" w:hAnsi="Times New Roman"/>
          <w:sz w:val="24"/>
        </w:rPr>
        <w:t xml:space="preserve">Рис.1. </w:t>
      </w:r>
      <w:r w:rsidRPr="00211E89">
        <w:rPr>
          <w:rFonts w:ascii="Times New Roman" w:hAnsi="Times New Roman"/>
          <w:sz w:val="24"/>
        </w:rPr>
        <w:t>Виды коворкингов в России, %, 2017г.</w:t>
      </w:r>
      <w:r>
        <w:rPr>
          <w:noProof/>
          <w:lang w:eastAsia="ru-RU"/>
        </w:rPr>
        <w:drawing>
          <wp:anchor distT="18288" distB="21717" distL="132588" distR="139446" simplePos="0" relativeHeight="251732992" behindDoc="0" locked="0" layoutInCell="1" allowOverlap="1" wp14:anchorId="11D23AAF" wp14:editId="4921FBAE">
            <wp:simplePos x="0" y="0"/>
            <wp:positionH relativeFrom="column">
              <wp:posOffset>-797179</wp:posOffset>
            </wp:positionH>
            <wp:positionV relativeFrom="paragraph">
              <wp:posOffset>-254</wp:posOffset>
            </wp:positionV>
            <wp:extent cx="6953250" cy="2028825"/>
            <wp:effectExtent l="0" t="0" r="0" b="0"/>
            <wp:wrapTopAndBottom/>
            <wp:docPr id="159" name="Диаграмма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51"/>
              </a:graphicData>
            </a:graphic>
            <wp14:sizeRelH relativeFrom="page">
              <wp14:pctWidth>0</wp14:pctWidth>
            </wp14:sizeRelH>
            <wp14:sizeRelV relativeFrom="page">
              <wp14:pctHeight>0</wp14:pctHeight>
            </wp14:sizeRelV>
          </wp:anchor>
        </w:drawing>
      </w:r>
    </w:p>
    <w:p w:rsidR="005E1201" w:rsidRDefault="005E1201" w:rsidP="005E1201">
      <w:pPr>
        <w:spacing w:after="0" w:line="240" w:lineRule="auto"/>
        <w:ind w:firstLine="708"/>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Из рисунка 1 видно, что бо</w:t>
      </w:r>
      <w:r w:rsidRPr="00FE3CD5">
        <w:rPr>
          <w:rFonts w:ascii="Times New Roman" w:eastAsiaTheme="minorEastAsia" w:hAnsi="Times New Roman"/>
          <w:sz w:val="24"/>
          <w:szCs w:val="24"/>
          <w:lang w:eastAsia="ru-RU"/>
        </w:rPr>
        <w:t>льшая часть коворкинг-центров России (50%)относятся к типу «простой(офисный)». Это говорит о том, что большинству людей необходимо место для реализации офисной работы. 20% всех коворкинг</w:t>
      </w:r>
      <w:r>
        <w:rPr>
          <w:rFonts w:ascii="Times New Roman" w:eastAsiaTheme="minorEastAsia" w:hAnsi="Times New Roman"/>
          <w:sz w:val="24"/>
          <w:szCs w:val="24"/>
          <w:lang w:eastAsia="ru-RU"/>
        </w:rPr>
        <w:t>ов страны отно</w:t>
      </w:r>
      <w:r w:rsidRPr="00FE3CD5">
        <w:rPr>
          <w:rFonts w:ascii="Times New Roman" w:eastAsiaTheme="minorEastAsia" w:hAnsi="Times New Roman"/>
          <w:sz w:val="24"/>
          <w:szCs w:val="24"/>
          <w:lang w:eastAsia="ru-RU"/>
        </w:rPr>
        <w:t>сятся к типу «творческий», 9% «ремесленный» и 6% «производственный».</w:t>
      </w:r>
      <w:r>
        <w:rPr>
          <w:rFonts w:ascii="Times New Roman" w:eastAsiaTheme="minorEastAsia" w:hAnsi="Times New Roman"/>
          <w:sz w:val="24"/>
          <w:szCs w:val="24"/>
          <w:lang w:eastAsia="ru-RU"/>
        </w:rPr>
        <w:t xml:space="preserve"> </w:t>
      </w:r>
      <w:r w:rsidRPr="00FE3CD5">
        <w:rPr>
          <w:rFonts w:ascii="Times New Roman" w:eastAsiaTheme="minorEastAsia" w:hAnsi="Times New Roman"/>
          <w:sz w:val="24"/>
          <w:szCs w:val="24"/>
          <w:lang w:eastAsia="ru-RU"/>
        </w:rPr>
        <w:t>«Антикафе» составляет 12% всех коворкингов России, а коворкинги «для детей» всего лишь 3%.</w:t>
      </w:r>
    </w:p>
    <w:p w:rsidR="005E1201" w:rsidRDefault="005E1201" w:rsidP="005E1201">
      <w:pPr>
        <w:spacing w:after="0" w:line="240" w:lineRule="auto"/>
        <w:ind w:firstLine="708"/>
        <w:jc w:val="both"/>
        <w:rPr>
          <w:rFonts w:ascii="Times New Roman" w:eastAsiaTheme="minorEastAsia" w:hAnsi="Times New Roman"/>
          <w:sz w:val="24"/>
          <w:szCs w:val="24"/>
          <w:lang w:eastAsia="ru-RU"/>
        </w:rPr>
      </w:pPr>
      <w:r w:rsidRPr="00FE3CD5">
        <w:rPr>
          <w:rFonts w:ascii="Times New Roman" w:eastAsiaTheme="minorEastAsia" w:hAnsi="Times New Roman"/>
          <w:sz w:val="24"/>
          <w:szCs w:val="24"/>
          <w:lang w:eastAsia="ru-RU"/>
        </w:rPr>
        <w:t>Руководитель по развитию коворкингов в России, Константин Корольков писал: «В будущем на фоне растущего рынка коворкингов более прибыльными будут крупные площадки. Например, среди коворкингов, вмещающих менее 50 рабочих мест, только 25% на данный момент являются прибыльными, тогда как среди площадок от 50 до 100 резидентов прибылен уже 51% коворкингов, а среди объектов с более чем 200 рабочими местами прибыльных порядка 75%. Это легко объяснит</w:t>
      </w:r>
      <w:r>
        <w:rPr>
          <w:rFonts w:ascii="Times New Roman" w:eastAsiaTheme="minorEastAsia" w:hAnsi="Times New Roman"/>
          <w:sz w:val="24"/>
          <w:szCs w:val="24"/>
          <w:lang w:eastAsia="ru-RU"/>
        </w:rPr>
        <w:t>ь тем, что в небольшом коворкин</w:t>
      </w:r>
      <w:r w:rsidRPr="00FE3CD5">
        <w:rPr>
          <w:rFonts w:ascii="Times New Roman" w:eastAsiaTheme="minorEastAsia" w:hAnsi="Times New Roman"/>
          <w:sz w:val="24"/>
          <w:szCs w:val="24"/>
          <w:lang w:eastAsia="ru-RU"/>
        </w:rPr>
        <w:t>ге невозможно реализовать все те функции и ценнос</w:t>
      </w:r>
      <w:r>
        <w:rPr>
          <w:rFonts w:ascii="Times New Roman" w:eastAsiaTheme="minorEastAsia" w:hAnsi="Times New Roman"/>
          <w:sz w:val="24"/>
          <w:szCs w:val="24"/>
          <w:lang w:eastAsia="ru-RU"/>
        </w:rPr>
        <w:t>ти, которые я упоминал выше. Не</w:t>
      </w:r>
      <w:r w:rsidRPr="00FE3CD5">
        <w:rPr>
          <w:rFonts w:ascii="Times New Roman" w:eastAsiaTheme="minorEastAsia" w:hAnsi="Times New Roman"/>
          <w:sz w:val="24"/>
          <w:szCs w:val="24"/>
          <w:lang w:eastAsia="ru-RU"/>
        </w:rPr>
        <w:t>большие площадки могут покрывать запросы какой-то узкой группы потребителей, а экономически они не так интересны, поскольку на</w:t>
      </w:r>
      <w:r>
        <w:rPr>
          <w:rFonts w:ascii="Times New Roman" w:eastAsiaTheme="minorEastAsia" w:hAnsi="Times New Roman"/>
          <w:sz w:val="24"/>
          <w:szCs w:val="24"/>
          <w:lang w:eastAsia="ru-RU"/>
        </w:rPr>
        <w:t xml:space="preserve"> рубль получаемой выручки предо</w:t>
      </w:r>
      <w:r w:rsidRPr="00FE3CD5">
        <w:rPr>
          <w:rFonts w:ascii="Times New Roman" w:eastAsiaTheme="minorEastAsia" w:hAnsi="Times New Roman"/>
          <w:sz w:val="24"/>
          <w:szCs w:val="24"/>
          <w:lang w:eastAsia="ru-RU"/>
        </w:rPr>
        <w:t>ставляют меньше услуг, чем более крупные.»</w:t>
      </w:r>
      <w:r>
        <w:rPr>
          <w:rFonts w:ascii="Times New Roman" w:eastAsiaTheme="minorEastAsia" w:hAnsi="Times New Roman"/>
          <w:sz w:val="24"/>
          <w:szCs w:val="24"/>
          <w:lang w:eastAsia="ru-RU"/>
        </w:rPr>
        <w:t xml:space="preserve"> </w:t>
      </w:r>
    </w:p>
    <w:p w:rsidR="005E1201" w:rsidRPr="00413191" w:rsidRDefault="005E1201" w:rsidP="005E1201">
      <w:pPr>
        <w:spacing w:after="0" w:line="240" w:lineRule="auto"/>
        <w:ind w:firstLine="708"/>
        <w:jc w:val="both"/>
        <w:rPr>
          <w:rFonts w:ascii="Times New Roman" w:eastAsiaTheme="minorEastAsia" w:hAnsi="Times New Roman"/>
          <w:sz w:val="24"/>
          <w:szCs w:val="24"/>
          <w:lang w:eastAsia="ru-RU"/>
        </w:rPr>
      </w:pPr>
      <w:r w:rsidRPr="00413191">
        <w:rPr>
          <w:rFonts w:ascii="Times New Roman" w:eastAsiaTheme="minorEastAsia" w:hAnsi="Times New Roman"/>
          <w:sz w:val="24"/>
          <w:szCs w:val="24"/>
          <w:lang w:eastAsia="ru-RU"/>
        </w:rPr>
        <w:t xml:space="preserve">Несмотря на все достоинства коворкингов в России, существуют преграды для их развития: </w:t>
      </w:r>
    </w:p>
    <w:p w:rsidR="005E1201" w:rsidRPr="00413191" w:rsidRDefault="005E1201" w:rsidP="005E1201">
      <w:pPr>
        <w:spacing w:after="0" w:line="240" w:lineRule="auto"/>
        <w:ind w:firstLine="708"/>
        <w:jc w:val="both"/>
        <w:rPr>
          <w:rFonts w:ascii="Times New Roman" w:eastAsiaTheme="minorEastAsia" w:hAnsi="Times New Roman"/>
          <w:sz w:val="24"/>
          <w:szCs w:val="24"/>
          <w:lang w:eastAsia="ru-RU"/>
        </w:rPr>
      </w:pPr>
      <w:r w:rsidRPr="00413191">
        <w:rPr>
          <w:rFonts w:ascii="Times New Roman" w:eastAsiaTheme="minorEastAsia" w:hAnsi="Times New Roman"/>
          <w:sz w:val="24"/>
          <w:szCs w:val="24"/>
          <w:lang w:eastAsia="ru-RU"/>
        </w:rPr>
        <w:t>•Сложность в техническом оснащении помещений. До сих пор далеко не везде можно провести качественный интернет и настроить телефонную связь;</w:t>
      </w:r>
    </w:p>
    <w:p w:rsidR="005E1201" w:rsidRPr="00413191" w:rsidRDefault="005E1201" w:rsidP="005E1201">
      <w:pPr>
        <w:spacing w:after="0" w:line="240" w:lineRule="auto"/>
        <w:ind w:firstLine="708"/>
        <w:jc w:val="both"/>
        <w:rPr>
          <w:rFonts w:ascii="Times New Roman" w:eastAsiaTheme="minorEastAsia" w:hAnsi="Times New Roman"/>
          <w:sz w:val="24"/>
          <w:szCs w:val="24"/>
          <w:lang w:eastAsia="ru-RU"/>
        </w:rPr>
      </w:pPr>
      <w:r w:rsidRPr="00413191">
        <w:rPr>
          <w:rFonts w:ascii="Times New Roman" w:eastAsiaTheme="minorEastAsia" w:hAnsi="Times New Roman"/>
          <w:sz w:val="24"/>
          <w:szCs w:val="24"/>
          <w:lang w:eastAsia="ru-RU"/>
        </w:rPr>
        <w:t>•Неудачная планировка зданий. Коворкинг т</w:t>
      </w:r>
      <w:r>
        <w:rPr>
          <w:rFonts w:ascii="Times New Roman" w:eastAsiaTheme="minorEastAsia" w:hAnsi="Times New Roman"/>
          <w:sz w:val="24"/>
          <w:szCs w:val="24"/>
          <w:lang w:eastAsia="ru-RU"/>
        </w:rPr>
        <w:t>ребует большого по площади поме</w:t>
      </w:r>
      <w:r w:rsidRPr="00413191">
        <w:rPr>
          <w:rFonts w:ascii="Times New Roman" w:eastAsiaTheme="minorEastAsia" w:hAnsi="Times New Roman"/>
          <w:sz w:val="24"/>
          <w:szCs w:val="24"/>
          <w:lang w:eastAsia="ru-RU"/>
        </w:rPr>
        <w:t>щения, а также несколько маленьких, чего найти бывает очень непросто;</w:t>
      </w:r>
    </w:p>
    <w:p w:rsidR="005E1201" w:rsidRPr="00413191" w:rsidRDefault="005E1201" w:rsidP="005E1201">
      <w:pPr>
        <w:spacing w:after="0" w:line="240" w:lineRule="auto"/>
        <w:ind w:firstLine="708"/>
        <w:jc w:val="both"/>
        <w:rPr>
          <w:rFonts w:ascii="Times New Roman" w:eastAsiaTheme="minorEastAsia" w:hAnsi="Times New Roman"/>
          <w:sz w:val="24"/>
          <w:szCs w:val="24"/>
          <w:lang w:eastAsia="ru-RU"/>
        </w:rPr>
      </w:pPr>
      <w:r w:rsidRPr="00413191">
        <w:rPr>
          <w:rFonts w:ascii="Times New Roman" w:eastAsiaTheme="minorEastAsia" w:hAnsi="Times New Roman"/>
          <w:sz w:val="24"/>
          <w:szCs w:val="24"/>
          <w:lang w:eastAsia="ru-RU"/>
        </w:rPr>
        <w:t>•Недоверие арендодателей. Как правило, владельцы зданий неохотно сдают свои площади под коворкинг, так как считают, что постоянная смена арендаторов не приведет ни к чему хорошему;</w:t>
      </w:r>
    </w:p>
    <w:p w:rsidR="005E1201" w:rsidRDefault="005E1201" w:rsidP="005E1201">
      <w:pPr>
        <w:spacing w:after="0" w:line="240" w:lineRule="auto"/>
        <w:ind w:firstLine="708"/>
        <w:jc w:val="both"/>
        <w:rPr>
          <w:rFonts w:ascii="Times New Roman" w:eastAsiaTheme="minorEastAsia" w:hAnsi="Times New Roman"/>
          <w:sz w:val="24"/>
          <w:szCs w:val="24"/>
          <w:lang w:eastAsia="ru-RU"/>
        </w:rPr>
      </w:pPr>
      <w:r w:rsidRPr="00413191">
        <w:rPr>
          <w:rFonts w:ascii="Times New Roman" w:eastAsiaTheme="minorEastAsia" w:hAnsi="Times New Roman"/>
          <w:sz w:val="24"/>
          <w:szCs w:val="24"/>
          <w:lang w:eastAsia="ru-RU"/>
        </w:rPr>
        <w:t>•Возможно возникновение проблем при оформлении, о чем мы пог</w:t>
      </w:r>
      <w:r>
        <w:rPr>
          <w:rFonts w:ascii="Times New Roman" w:eastAsiaTheme="minorEastAsia" w:hAnsi="Times New Roman"/>
          <w:sz w:val="24"/>
          <w:szCs w:val="24"/>
          <w:lang w:eastAsia="ru-RU"/>
        </w:rPr>
        <w:t>оворим немно</w:t>
      </w:r>
      <w:r w:rsidRPr="00413191">
        <w:rPr>
          <w:rFonts w:ascii="Times New Roman" w:eastAsiaTheme="minorEastAsia" w:hAnsi="Times New Roman"/>
          <w:sz w:val="24"/>
          <w:szCs w:val="24"/>
          <w:lang w:eastAsia="ru-RU"/>
        </w:rPr>
        <w:t>го позже.</w:t>
      </w:r>
      <w:r>
        <w:rPr>
          <w:rFonts w:ascii="Times New Roman" w:eastAsiaTheme="minorEastAsia" w:hAnsi="Times New Roman"/>
          <w:sz w:val="24"/>
          <w:szCs w:val="24"/>
          <w:lang w:eastAsia="ru-RU"/>
        </w:rPr>
        <w:t xml:space="preserve"> </w:t>
      </w:r>
      <w:r w:rsidRPr="00413191">
        <w:rPr>
          <w:rFonts w:ascii="Times New Roman" w:eastAsiaTheme="minorEastAsia" w:hAnsi="Times New Roman"/>
          <w:sz w:val="24"/>
          <w:szCs w:val="24"/>
          <w:lang w:eastAsia="ru-RU"/>
        </w:rPr>
        <w:t>[</w:t>
      </w:r>
      <w:r>
        <w:rPr>
          <w:rFonts w:ascii="Times New Roman" w:eastAsiaTheme="minorEastAsia" w:hAnsi="Times New Roman"/>
          <w:sz w:val="24"/>
          <w:szCs w:val="24"/>
          <w:lang w:eastAsia="ru-RU"/>
        </w:rPr>
        <w:t>2</w:t>
      </w:r>
      <w:r w:rsidRPr="00413191">
        <w:rPr>
          <w:rFonts w:ascii="Times New Roman" w:eastAsiaTheme="minorEastAsia" w:hAnsi="Times New Roman"/>
          <w:sz w:val="24"/>
          <w:szCs w:val="24"/>
          <w:lang w:eastAsia="ru-RU"/>
        </w:rPr>
        <w:t>]</w:t>
      </w:r>
    </w:p>
    <w:p w:rsidR="005E1201" w:rsidRPr="00413191" w:rsidRDefault="005E1201" w:rsidP="005E1201">
      <w:pPr>
        <w:spacing w:after="0" w:line="240" w:lineRule="auto"/>
        <w:ind w:firstLine="708"/>
        <w:jc w:val="both"/>
        <w:rPr>
          <w:rFonts w:ascii="Times New Roman" w:eastAsiaTheme="minorEastAsia" w:hAnsi="Times New Roman"/>
          <w:sz w:val="24"/>
          <w:szCs w:val="24"/>
          <w:lang w:eastAsia="ru-RU"/>
        </w:rPr>
      </w:pPr>
      <w:r w:rsidRPr="00A9059E">
        <w:rPr>
          <w:rFonts w:ascii="Times New Roman" w:eastAsiaTheme="minorEastAsia" w:hAnsi="Times New Roman"/>
          <w:sz w:val="24"/>
          <w:szCs w:val="24"/>
          <w:lang w:eastAsia="ru-RU"/>
        </w:rPr>
        <w:t>В наши дни, в век информационных технологий и компьютеризации и «быстрого движения», перспективы развития коворкинга актуа</w:t>
      </w:r>
      <w:r>
        <w:rPr>
          <w:rFonts w:ascii="Times New Roman" w:eastAsiaTheme="minorEastAsia" w:hAnsi="Times New Roman"/>
          <w:sz w:val="24"/>
          <w:szCs w:val="24"/>
          <w:lang w:eastAsia="ru-RU"/>
        </w:rPr>
        <w:t>льны. Новая модель работы воспи</w:t>
      </w:r>
      <w:r w:rsidRPr="00A9059E">
        <w:rPr>
          <w:rFonts w:ascii="Times New Roman" w:eastAsiaTheme="minorEastAsia" w:hAnsi="Times New Roman"/>
          <w:sz w:val="24"/>
          <w:szCs w:val="24"/>
          <w:lang w:eastAsia="ru-RU"/>
        </w:rPr>
        <w:t>тывает в человеке чувство свободы и уверенности, по</w:t>
      </w:r>
      <w:r>
        <w:rPr>
          <w:rFonts w:ascii="Times New Roman" w:eastAsiaTheme="minorEastAsia" w:hAnsi="Times New Roman"/>
          <w:sz w:val="24"/>
          <w:szCs w:val="24"/>
          <w:lang w:eastAsia="ru-RU"/>
        </w:rPr>
        <w:t>могает в общении. Проявление че</w:t>
      </w:r>
      <w:r w:rsidRPr="00A9059E">
        <w:rPr>
          <w:rFonts w:ascii="Times New Roman" w:eastAsiaTheme="minorEastAsia" w:hAnsi="Times New Roman"/>
          <w:sz w:val="24"/>
          <w:szCs w:val="24"/>
          <w:lang w:eastAsia="ru-RU"/>
        </w:rPr>
        <w:t>ловека в работе – проблема, с которой нередко сталк</w:t>
      </w:r>
      <w:r>
        <w:rPr>
          <w:rFonts w:ascii="Times New Roman" w:eastAsiaTheme="minorEastAsia" w:hAnsi="Times New Roman"/>
          <w:sz w:val="24"/>
          <w:szCs w:val="24"/>
          <w:lang w:eastAsia="ru-RU"/>
        </w:rPr>
        <w:t>иваются люди. Именно поэтому мо</w:t>
      </w:r>
      <w:r w:rsidRPr="00A9059E">
        <w:rPr>
          <w:rFonts w:ascii="Times New Roman" w:eastAsiaTheme="minorEastAsia" w:hAnsi="Times New Roman"/>
          <w:sz w:val="24"/>
          <w:szCs w:val="24"/>
          <w:lang w:eastAsia="ru-RU"/>
        </w:rPr>
        <w:t>дель работы коворкинг актуальна особенно в наше вр</w:t>
      </w:r>
      <w:r>
        <w:rPr>
          <w:rFonts w:ascii="Times New Roman" w:eastAsiaTheme="minorEastAsia" w:hAnsi="Times New Roman"/>
          <w:sz w:val="24"/>
          <w:szCs w:val="24"/>
          <w:lang w:eastAsia="ru-RU"/>
        </w:rPr>
        <w:t>емя, когда информационные техно</w:t>
      </w:r>
      <w:r w:rsidRPr="00A9059E">
        <w:rPr>
          <w:rFonts w:ascii="Times New Roman" w:eastAsiaTheme="minorEastAsia" w:hAnsi="Times New Roman"/>
          <w:sz w:val="24"/>
          <w:szCs w:val="24"/>
          <w:lang w:eastAsia="ru-RU"/>
        </w:rPr>
        <w:t>логии позволяют вмиг пересылать информацию на большие расстояния.</w:t>
      </w:r>
    </w:p>
    <w:p w:rsidR="005E1201" w:rsidRPr="00E25860" w:rsidRDefault="005E1201" w:rsidP="005E1201">
      <w:pPr>
        <w:spacing w:after="0" w:line="240" w:lineRule="auto"/>
        <w:ind w:firstLine="709"/>
        <w:jc w:val="both"/>
        <w:rPr>
          <w:rFonts w:ascii="Times New Roman" w:eastAsiaTheme="minorEastAsia" w:hAnsi="Times New Roman"/>
          <w:sz w:val="24"/>
          <w:szCs w:val="24"/>
          <w:lang w:eastAsia="ru-RU"/>
        </w:rPr>
      </w:pPr>
      <w:r w:rsidRPr="007546B4">
        <w:rPr>
          <w:rFonts w:ascii="Times New Roman" w:eastAsiaTheme="minorEastAsia" w:hAnsi="Times New Roman"/>
          <w:sz w:val="24"/>
          <w:szCs w:val="24"/>
          <w:lang w:eastAsia="ru-RU"/>
        </w:rPr>
        <w:t>По сравнению с мировым рынком коворкинг-услуг, российский рынок находится на стадии зарождения и несмотря на то, что в последние годы отечественный рынок стремительно развивается, этого всё равно недостаточно, чтобы хоть как-то приблизиться по развитию к таким участникам рынка, как Германии, Япония, Франция и США.</w:t>
      </w:r>
      <w:r>
        <w:rPr>
          <w:rFonts w:ascii="Times New Roman" w:eastAsiaTheme="minorEastAsia" w:hAnsi="Times New Roman"/>
          <w:sz w:val="24"/>
          <w:szCs w:val="24"/>
          <w:lang w:eastAsia="ru-RU"/>
        </w:rPr>
        <w:t xml:space="preserve"> Именно поэтому </w:t>
      </w:r>
      <w:r w:rsidRPr="00E25860">
        <w:rPr>
          <w:rFonts w:ascii="Times New Roman" w:eastAsiaTheme="minorEastAsia" w:hAnsi="Times New Roman"/>
          <w:sz w:val="24"/>
          <w:szCs w:val="24"/>
          <w:lang w:eastAsia="ru-RU"/>
        </w:rPr>
        <w:t>отечественный рынок имеет возможности догнать и перегнать лидеров</w:t>
      </w:r>
      <w:r>
        <w:rPr>
          <w:rFonts w:ascii="Times New Roman" w:eastAsiaTheme="minorEastAsia" w:hAnsi="Times New Roman"/>
          <w:sz w:val="24"/>
          <w:szCs w:val="24"/>
          <w:lang w:eastAsia="ru-RU"/>
        </w:rPr>
        <w:t xml:space="preserve">. Такое же мнение высказал </w:t>
      </w:r>
      <w:r w:rsidRPr="00E25860">
        <w:rPr>
          <w:rFonts w:ascii="Times New Roman" w:eastAsiaTheme="minorEastAsia" w:hAnsi="Times New Roman"/>
          <w:sz w:val="24"/>
          <w:szCs w:val="24"/>
          <w:lang w:eastAsia="ru-RU"/>
        </w:rPr>
        <w:t>директор сети Workki Игорь Шулинин на вопрос «Насколько, по Вашему мнению, сейчас развит российский рынок коворкингов?»</w:t>
      </w:r>
      <w:r>
        <w:rPr>
          <w:rFonts w:ascii="Times New Roman" w:eastAsiaTheme="minorEastAsia" w:hAnsi="Times New Roman"/>
          <w:sz w:val="24"/>
          <w:szCs w:val="24"/>
          <w:lang w:eastAsia="ru-RU"/>
        </w:rPr>
        <w:t xml:space="preserve"> </w:t>
      </w:r>
      <w:r w:rsidRPr="00E25860">
        <w:rPr>
          <w:rFonts w:ascii="Times New Roman" w:eastAsiaTheme="minorEastAsia" w:hAnsi="Times New Roman"/>
          <w:sz w:val="24"/>
          <w:szCs w:val="24"/>
          <w:lang w:eastAsia="ru-RU"/>
        </w:rPr>
        <w:t>интервью он отвечает: «Он находится в зачаточном состоянии.». Тем не менее он уверен, что «современный российский бизнес нуждается в проектах, площадках, где люди могут кооперироваться, вступать в сотрудничество, партнерство.». [3] Именно поэтому в этой сфере огромные перспективы развития.</w:t>
      </w:r>
    </w:p>
    <w:p w:rsidR="005E1201" w:rsidRDefault="005E1201" w:rsidP="005E1201">
      <w:pPr>
        <w:spacing w:after="0" w:line="240" w:lineRule="auto"/>
        <w:ind w:firstLine="709"/>
        <w:jc w:val="both"/>
        <w:rPr>
          <w:rFonts w:ascii="Times New Roman" w:eastAsiaTheme="minorEastAsia" w:hAnsi="Times New Roman"/>
          <w:sz w:val="24"/>
          <w:szCs w:val="24"/>
          <w:lang w:eastAsia="ru-RU"/>
        </w:rPr>
      </w:pPr>
    </w:p>
    <w:p w:rsidR="005E1201" w:rsidRDefault="005E1201" w:rsidP="005E1201">
      <w:pPr>
        <w:spacing w:after="0" w:line="240" w:lineRule="auto"/>
        <w:ind w:firstLine="709"/>
        <w:jc w:val="both"/>
        <w:rPr>
          <w:rFonts w:ascii="Times New Roman" w:eastAsiaTheme="minorEastAsia" w:hAnsi="Times New Roman"/>
          <w:sz w:val="24"/>
          <w:szCs w:val="24"/>
          <w:lang w:eastAsia="ru-RU"/>
        </w:rPr>
      </w:pPr>
    </w:p>
    <w:p w:rsidR="005E1201" w:rsidRPr="007546B4" w:rsidRDefault="000D1C8F" w:rsidP="005E1201">
      <w:pPr>
        <w:spacing w:after="0" w:line="240" w:lineRule="auto"/>
        <w:ind w:firstLine="709"/>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pict>
          <v:rect id="_x0000_i1041" style="width:0;height:1.5pt" o:hralign="center" o:hrstd="t" o:hr="t" fillcolor="#a0a0a0" stroked="f"/>
        </w:pict>
      </w:r>
    </w:p>
    <w:p w:rsidR="005E1201" w:rsidRPr="00413191" w:rsidRDefault="005E1201" w:rsidP="005E1201">
      <w:pPr>
        <w:pStyle w:val="af4"/>
        <w:numPr>
          <w:ilvl w:val="0"/>
          <w:numId w:val="107"/>
        </w:numPr>
        <w:pBdr>
          <w:top w:val="none" w:sz="0" w:space="0" w:color="auto"/>
          <w:left w:val="none" w:sz="0" w:space="0" w:color="auto"/>
          <w:bottom w:val="none" w:sz="0" w:space="0" w:color="auto"/>
          <w:right w:val="none" w:sz="0" w:space="0" w:color="auto"/>
          <w:between w:val="none" w:sz="0" w:space="0" w:color="auto"/>
        </w:pBdr>
        <w:spacing w:after="160" w:line="360" w:lineRule="auto"/>
        <w:contextualSpacing/>
        <w:jc w:val="both"/>
        <w:rPr>
          <w:rStyle w:val="aa"/>
          <w:rFonts w:ascii="Times New Roman" w:eastAsia="Arial" w:hAnsi="Times New Roman"/>
          <w:color w:val="000000" w:themeColor="text1"/>
          <w:sz w:val="24"/>
          <w:szCs w:val="24"/>
        </w:rPr>
      </w:pPr>
      <w:r w:rsidRPr="007546B4">
        <w:rPr>
          <w:rFonts w:ascii="Times New Roman" w:hAnsi="Times New Roman"/>
          <w:sz w:val="24"/>
          <w:szCs w:val="24"/>
        </w:rPr>
        <w:t>Константин Королёв, Коворкинг — новый формат офисной недвижимости, который породил кризис //  РБК, 2017</w:t>
      </w:r>
      <w:r>
        <w:rPr>
          <w:rFonts w:ascii="Times New Roman" w:hAnsi="Times New Roman"/>
          <w:sz w:val="24"/>
          <w:szCs w:val="24"/>
        </w:rPr>
        <w:t xml:space="preserve"> </w:t>
      </w:r>
      <w:r w:rsidRPr="007711FC">
        <w:rPr>
          <w:rFonts w:ascii="Times New Roman" w:hAnsi="Times New Roman"/>
          <w:sz w:val="24"/>
          <w:szCs w:val="24"/>
        </w:rPr>
        <w:t>[</w:t>
      </w:r>
      <w:r>
        <w:rPr>
          <w:rFonts w:ascii="Times New Roman" w:hAnsi="Times New Roman"/>
          <w:sz w:val="24"/>
          <w:szCs w:val="24"/>
        </w:rPr>
        <w:t>Электронный ресурс</w:t>
      </w:r>
      <w:r w:rsidRPr="007711FC">
        <w:rPr>
          <w:rFonts w:ascii="Times New Roman" w:hAnsi="Times New Roman"/>
          <w:sz w:val="24"/>
          <w:szCs w:val="24"/>
        </w:rPr>
        <w:t>]</w:t>
      </w:r>
      <w:r w:rsidRPr="007546B4">
        <w:rPr>
          <w:rFonts w:ascii="Times New Roman" w:hAnsi="Times New Roman"/>
          <w:sz w:val="24"/>
          <w:szCs w:val="24"/>
        </w:rPr>
        <w:t xml:space="preserve"> – Режим доступа: </w:t>
      </w:r>
      <w:hyperlink r:id="rId352" w:history="1">
        <w:r w:rsidRPr="00413191">
          <w:rPr>
            <w:rStyle w:val="aa"/>
            <w:rFonts w:ascii="Times New Roman" w:eastAsia="Arial" w:hAnsi="Times New Roman"/>
            <w:color w:val="000000" w:themeColor="text1"/>
            <w:sz w:val="24"/>
            <w:szCs w:val="24"/>
          </w:rPr>
          <w:t>https://realty.rbc.ru/news/59d1d5c19a7947b9ddcfd543</w:t>
        </w:r>
      </w:hyperlink>
    </w:p>
    <w:p w:rsidR="005E1201" w:rsidRPr="00413191" w:rsidRDefault="005E1201" w:rsidP="005E1201">
      <w:pPr>
        <w:pStyle w:val="af4"/>
        <w:numPr>
          <w:ilvl w:val="0"/>
          <w:numId w:val="107"/>
        </w:numPr>
        <w:pBdr>
          <w:top w:val="none" w:sz="0" w:space="0" w:color="auto"/>
          <w:left w:val="none" w:sz="0" w:space="0" w:color="auto"/>
          <w:bottom w:val="none" w:sz="0" w:space="0" w:color="auto"/>
          <w:right w:val="none" w:sz="0" w:space="0" w:color="auto"/>
          <w:between w:val="none" w:sz="0" w:space="0" w:color="auto"/>
        </w:pBdr>
        <w:spacing w:after="160" w:line="360" w:lineRule="auto"/>
        <w:contextualSpacing/>
        <w:jc w:val="both"/>
        <w:rPr>
          <w:rFonts w:ascii="Times New Roman" w:hAnsi="Times New Roman"/>
          <w:color w:val="000000" w:themeColor="text1"/>
          <w:sz w:val="24"/>
          <w:szCs w:val="24"/>
        </w:rPr>
      </w:pPr>
      <w:r w:rsidRPr="00413191">
        <w:rPr>
          <w:rFonts w:ascii="Times New Roman" w:hAnsi="Times New Roman"/>
          <w:color w:val="000000" w:themeColor="text1"/>
          <w:sz w:val="24"/>
          <w:szCs w:val="24"/>
        </w:rPr>
        <w:t>Что такое коворкинг: плюсы и минусы, как выбрать коворкинг-центр</w:t>
      </w:r>
      <w:r>
        <w:rPr>
          <w:rFonts w:ascii="Times New Roman" w:hAnsi="Times New Roman"/>
          <w:color w:val="000000" w:themeColor="text1"/>
          <w:sz w:val="24"/>
          <w:szCs w:val="24"/>
        </w:rPr>
        <w:t xml:space="preserve"> // Как зарабать</w:t>
      </w:r>
      <w:r w:rsidRPr="00A9059E">
        <w:rPr>
          <w:rFonts w:ascii="Times New Roman" w:hAnsi="Times New Roman"/>
          <w:color w:val="000000" w:themeColor="text1"/>
          <w:sz w:val="24"/>
          <w:szCs w:val="24"/>
        </w:rPr>
        <w:t>вать.ру</w:t>
      </w:r>
      <w:r>
        <w:rPr>
          <w:rFonts w:ascii="Times New Roman" w:hAnsi="Times New Roman"/>
          <w:color w:val="000000" w:themeColor="text1"/>
          <w:sz w:val="24"/>
          <w:szCs w:val="24"/>
        </w:rPr>
        <w:t xml:space="preserve">, 2017 </w:t>
      </w:r>
      <w:r w:rsidRPr="007711FC">
        <w:rPr>
          <w:rFonts w:ascii="Times New Roman" w:hAnsi="Times New Roman"/>
          <w:color w:val="000000" w:themeColor="text1"/>
          <w:sz w:val="24"/>
          <w:szCs w:val="24"/>
        </w:rPr>
        <w:t>[</w:t>
      </w:r>
      <w:r>
        <w:rPr>
          <w:rFonts w:ascii="Times New Roman" w:hAnsi="Times New Roman"/>
          <w:sz w:val="24"/>
          <w:szCs w:val="24"/>
        </w:rPr>
        <w:t>Электронный ресурс</w:t>
      </w:r>
      <w:r w:rsidRPr="007711FC">
        <w:rPr>
          <w:rFonts w:ascii="Times New Roman" w:hAnsi="Times New Roman"/>
          <w:sz w:val="24"/>
          <w:szCs w:val="24"/>
        </w:rPr>
        <w:t>]</w:t>
      </w:r>
      <w:r>
        <w:rPr>
          <w:rFonts w:ascii="Times New Roman" w:hAnsi="Times New Roman"/>
          <w:color w:val="000000" w:themeColor="text1"/>
          <w:sz w:val="24"/>
          <w:szCs w:val="24"/>
        </w:rPr>
        <w:t xml:space="preserve"> – Режим доступа: </w:t>
      </w:r>
      <w:r w:rsidRPr="00A9059E">
        <w:rPr>
          <w:rFonts w:ascii="Times New Roman" w:hAnsi="Times New Roman"/>
          <w:color w:val="000000" w:themeColor="text1"/>
          <w:sz w:val="24"/>
          <w:szCs w:val="24"/>
        </w:rPr>
        <w:t>http://kakzarabativat.ru/nachinayushhim-predprinimatelyam/kovorking/</w:t>
      </w:r>
    </w:p>
    <w:p w:rsidR="005E1201" w:rsidRPr="00413191" w:rsidRDefault="005E1201" w:rsidP="005E1201">
      <w:pPr>
        <w:pStyle w:val="af4"/>
        <w:numPr>
          <w:ilvl w:val="0"/>
          <w:numId w:val="107"/>
        </w:numPr>
        <w:pBdr>
          <w:top w:val="none" w:sz="0" w:space="0" w:color="auto"/>
          <w:left w:val="none" w:sz="0" w:space="0" w:color="auto"/>
          <w:bottom w:val="none" w:sz="0" w:space="0" w:color="auto"/>
          <w:right w:val="none" w:sz="0" w:space="0" w:color="auto"/>
          <w:between w:val="none" w:sz="0" w:space="0" w:color="auto"/>
        </w:pBdr>
        <w:spacing w:after="160" w:line="360" w:lineRule="auto"/>
        <w:contextualSpacing/>
        <w:jc w:val="both"/>
        <w:rPr>
          <w:rFonts w:ascii="Times New Roman" w:hAnsi="Times New Roman"/>
          <w:color w:val="000000" w:themeColor="text1"/>
          <w:sz w:val="24"/>
          <w:szCs w:val="24"/>
        </w:rPr>
      </w:pPr>
      <w:r w:rsidRPr="00413191">
        <w:rPr>
          <w:rFonts w:ascii="Times New Roman" w:hAnsi="Times New Roman"/>
          <w:color w:val="000000" w:themeColor="text1"/>
          <w:sz w:val="24"/>
          <w:szCs w:val="24"/>
        </w:rPr>
        <w:t xml:space="preserve">Игорь Шлинин, "Рынок коворкингов в РФ находится в фазе "каморкинга" // </w:t>
      </w:r>
      <w:r w:rsidRPr="00413191">
        <w:rPr>
          <w:rFonts w:ascii="Times New Roman" w:hAnsi="Times New Roman"/>
          <w:color w:val="000000" w:themeColor="text1"/>
          <w:sz w:val="24"/>
          <w:szCs w:val="24"/>
          <w:lang w:val="en-US"/>
        </w:rPr>
        <w:t>ARENDATOR</w:t>
      </w:r>
      <w:r w:rsidRPr="00413191">
        <w:rPr>
          <w:rFonts w:ascii="Times New Roman" w:hAnsi="Times New Roman"/>
          <w:color w:val="000000" w:themeColor="text1"/>
          <w:sz w:val="24"/>
          <w:szCs w:val="24"/>
        </w:rPr>
        <w:t>.</w:t>
      </w:r>
      <w:r w:rsidRPr="00413191">
        <w:rPr>
          <w:rFonts w:ascii="Times New Roman" w:hAnsi="Times New Roman"/>
          <w:color w:val="000000" w:themeColor="text1"/>
          <w:sz w:val="24"/>
          <w:szCs w:val="24"/>
          <w:lang w:val="en-US"/>
        </w:rPr>
        <w:t>RU</w:t>
      </w:r>
      <w:r w:rsidRPr="00413191">
        <w:rPr>
          <w:rFonts w:ascii="Times New Roman" w:hAnsi="Times New Roman"/>
          <w:color w:val="000000" w:themeColor="text1"/>
          <w:sz w:val="24"/>
          <w:szCs w:val="24"/>
        </w:rPr>
        <w:t xml:space="preserve">, 2017 </w:t>
      </w:r>
      <w:r w:rsidRPr="007711FC">
        <w:rPr>
          <w:rFonts w:ascii="Times New Roman" w:hAnsi="Times New Roman"/>
          <w:color w:val="000000" w:themeColor="text1"/>
          <w:sz w:val="24"/>
          <w:szCs w:val="24"/>
        </w:rPr>
        <w:t>[</w:t>
      </w:r>
      <w:r>
        <w:rPr>
          <w:rFonts w:ascii="Times New Roman" w:hAnsi="Times New Roman"/>
          <w:sz w:val="24"/>
          <w:szCs w:val="24"/>
        </w:rPr>
        <w:t>Электронный ресурс</w:t>
      </w:r>
      <w:r w:rsidRPr="00413191">
        <w:rPr>
          <w:rFonts w:ascii="Times New Roman" w:hAnsi="Times New Roman"/>
          <w:color w:val="000000" w:themeColor="text1"/>
          <w:sz w:val="24"/>
          <w:szCs w:val="24"/>
        </w:rPr>
        <w:t xml:space="preserve"> – Режим доступа: </w:t>
      </w:r>
      <w:hyperlink r:id="rId353" w:history="1">
        <w:r w:rsidRPr="00413191">
          <w:rPr>
            <w:rStyle w:val="aa"/>
            <w:rFonts w:ascii="Times New Roman" w:eastAsia="Arial" w:hAnsi="Times New Roman"/>
            <w:color w:val="000000" w:themeColor="text1"/>
            <w:sz w:val="24"/>
            <w:szCs w:val="24"/>
          </w:rPr>
          <w:t>http://www.arendator.ru/articles/155173-igor_shulinin_rynok_kovorkingov_v_rf_nahoditsya_v_faze_kamorkinga/</w:t>
        </w:r>
      </w:hyperlink>
    </w:p>
    <w:p w:rsidR="005E1201" w:rsidRPr="00A9059E" w:rsidRDefault="005E1201" w:rsidP="005E1201">
      <w:pPr>
        <w:spacing w:line="360" w:lineRule="auto"/>
        <w:jc w:val="both"/>
        <w:rPr>
          <w:rFonts w:ascii="Times New Roman" w:hAnsi="Times New Roman"/>
          <w:color w:val="000000" w:themeColor="text1"/>
          <w:sz w:val="24"/>
          <w:szCs w:val="24"/>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ind w:right="-1"/>
        <w:contextualSpacing/>
        <w:rPr>
          <w:color w:val="000000"/>
          <w:shd w:val="clear" w:color="auto" w:fill="FFFFFF"/>
        </w:rPr>
      </w:pPr>
      <w:r>
        <w:rPr>
          <w:color w:val="000000"/>
          <w:shd w:val="clear" w:color="auto" w:fill="FFFFFF"/>
        </w:rPr>
        <w:t>Рубрика: Тенденции развития маркетинга в России и за рубежом</w:t>
      </w:r>
    </w:p>
    <w:p w:rsidR="005E1201" w:rsidRDefault="005E1201" w:rsidP="005E1201">
      <w:pPr>
        <w:ind w:right="-1"/>
        <w:contextualSpacing/>
        <w:rPr>
          <w:color w:val="000000"/>
          <w:shd w:val="clear" w:color="auto" w:fill="FFFFFF"/>
        </w:rPr>
      </w:pPr>
      <w:r w:rsidRPr="00C40295">
        <w:rPr>
          <w:color w:val="000000"/>
          <w:shd w:val="clear" w:color="auto" w:fill="FFFFFF"/>
        </w:rPr>
        <w:t>УДК</w:t>
      </w:r>
      <w:r w:rsidRPr="00C40295">
        <w:rPr>
          <w:color w:val="000000"/>
          <w:shd w:val="clear" w:color="auto" w:fill="FFFFFF"/>
          <w:lang w:val="en-US"/>
        </w:rPr>
        <w:t> </w:t>
      </w:r>
      <w:r w:rsidRPr="00C40295">
        <w:rPr>
          <w:color w:val="000000"/>
          <w:shd w:val="clear" w:color="auto" w:fill="FFFFFF"/>
        </w:rPr>
        <w:t>339.137.22</w:t>
      </w:r>
    </w:p>
    <w:p w:rsidR="005E1201" w:rsidRDefault="005E1201" w:rsidP="005E1201">
      <w:pPr>
        <w:ind w:right="-1"/>
        <w:contextualSpacing/>
        <w:jc w:val="center"/>
        <w:rPr>
          <w:b/>
          <w:color w:val="000000"/>
          <w:shd w:val="clear" w:color="auto" w:fill="FFFFFF"/>
        </w:rPr>
      </w:pPr>
      <w:r>
        <w:rPr>
          <w:b/>
          <w:color w:val="000000"/>
          <w:shd w:val="clear" w:color="auto" w:fill="FFFFFF"/>
        </w:rPr>
        <w:t>Определение предпочтений абитуриентов в выборе направления подготовки высшего образования (на примере Приморского края)</w:t>
      </w:r>
    </w:p>
    <w:p w:rsidR="005E1201" w:rsidRDefault="005E1201" w:rsidP="005E1201">
      <w:pPr>
        <w:ind w:right="-1" w:firstLine="284"/>
        <w:contextualSpacing/>
        <w:jc w:val="both"/>
        <w:rPr>
          <w:color w:val="000000"/>
          <w:shd w:val="clear" w:color="auto" w:fill="FFFFFF"/>
        </w:rPr>
      </w:pPr>
    </w:p>
    <w:p w:rsidR="005E1201" w:rsidRPr="00C40295" w:rsidRDefault="005E1201" w:rsidP="005E1201">
      <w:pPr>
        <w:ind w:right="-1"/>
        <w:contextualSpacing/>
        <w:jc w:val="both"/>
        <w:rPr>
          <w:color w:val="000000"/>
          <w:shd w:val="clear" w:color="auto" w:fill="FFFFFF"/>
        </w:rPr>
      </w:pPr>
    </w:p>
    <w:p w:rsidR="005E1201" w:rsidRPr="003602DF" w:rsidRDefault="005E1201" w:rsidP="005E1201">
      <w:pPr>
        <w:ind w:right="-1"/>
        <w:contextualSpacing/>
        <w:jc w:val="center"/>
      </w:pPr>
      <w:r w:rsidRPr="003602DF">
        <w:t xml:space="preserve">Смольянинова Елена Николаевна, </w:t>
      </w:r>
    </w:p>
    <w:p w:rsidR="005E1201" w:rsidRPr="00C40295" w:rsidRDefault="005E1201" w:rsidP="005E1201">
      <w:pPr>
        <w:ind w:right="-1" w:firstLine="284"/>
        <w:contextualSpacing/>
        <w:jc w:val="center"/>
        <w:rPr>
          <w:b/>
        </w:rPr>
      </w:pPr>
      <w:r w:rsidRPr="00C40295">
        <w:t>к.э.н., доцент кафедры Международного маркетинга и торговли</w:t>
      </w:r>
    </w:p>
    <w:p w:rsidR="005E1201" w:rsidRPr="003602DF" w:rsidRDefault="005E1201" w:rsidP="005E1201">
      <w:pPr>
        <w:ind w:right="-1" w:firstLine="284"/>
        <w:contextualSpacing/>
        <w:jc w:val="center"/>
      </w:pPr>
      <w:r w:rsidRPr="003602DF">
        <w:t>Козлова Александра Алексеевна,</w:t>
      </w:r>
    </w:p>
    <w:p w:rsidR="005E1201" w:rsidRDefault="005E1201" w:rsidP="005E1201">
      <w:pPr>
        <w:ind w:right="-1" w:firstLine="284"/>
        <w:contextualSpacing/>
        <w:jc w:val="center"/>
      </w:pPr>
      <w:r w:rsidRPr="00C40295">
        <w:t>магистрант</w:t>
      </w:r>
    </w:p>
    <w:p w:rsidR="005E1201" w:rsidRDefault="005E1201" w:rsidP="005E1201">
      <w:pPr>
        <w:ind w:right="-1" w:firstLine="284"/>
        <w:contextualSpacing/>
        <w:jc w:val="center"/>
        <w:rPr>
          <w:i/>
        </w:rPr>
      </w:pPr>
      <w:r w:rsidRPr="00C40295">
        <w:rPr>
          <w:i/>
        </w:rPr>
        <w:t>Владивостокский государственный университет экономики и сервиса</w:t>
      </w:r>
    </w:p>
    <w:p w:rsidR="005E1201" w:rsidRDefault="005E1201" w:rsidP="005E1201">
      <w:pPr>
        <w:ind w:right="-1" w:firstLine="284"/>
        <w:contextualSpacing/>
        <w:jc w:val="center"/>
        <w:rPr>
          <w:i/>
        </w:rPr>
      </w:pPr>
      <w:r>
        <w:rPr>
          <w:i/>
        </w:rPr>
        <w:t>Россия, Владивосток</w:t>
      </w:r>
    </w:p>
    <w:p w:rsidR="005E1201" w:rsidRPr="003602DF" w:rsidRDefault="005E1201" w:rsidP="005E1201">
      <w:pPr>
        <w:ind w:right="-1" w:firstLine="284"/>
        <w:contextualSpacing/>
        <w:jc w:val="center"/>
      </w:pPr>
    </w:p>
    <w:p w:rsidR="005E1201" w:rsidRDefault="005E1201" w:rsidP="005E1201">
      <w:pPr>
        <w:ind w:firstLine="709"/>
        <w:contextualSpacing/>
        <w:jc w:val="both"/>
        <w:rPr>
          <w:b/>
        </w:rPr>
      </w:pPr>
      <w:r w:rsidRPr="004707E2">
        <w:rPr>
          <w:b/>
          <w:i/>
        </w:rPr>
        <w:t>Аннотация.</w:t>
      </w:r>
      <w:r>
        <w:rPr>
          <w:i/>
        </w:rPr>
        <w:t xml:space="preserve"> К</w:t>
      </w:r>
      <w:r w:rsidRPr="003602DF">
        <w:rPr>
          <w:i/>
        </w:rPr>
        <w:t>онкуренция</w:t>
      </w:r>
      <w:r>
        <w:rPr>
          <w:i/>
        </w:rPr>
        <w:t xml:space="preserve"> на р</w:t>
      </w:r>
      <w:r w:rsidRPr="003602DF">
        <w:rPr>
          <w:i/>
        </w:rPr>
        <w:t>ынк</w:t>
      </w:r>
      <w:r>
        <w:rPr>
          <w:i/>
        </w:rPr>
        <w:t>е</w:t>
      </w:r>
      <w:r w:rsidRPr="003602DF">
        <w:rPr>
          <w:i/>
        </w:rPr>
        <w:t xml:space="preserve"> образовательных услуг </w:t>
      </w:r>
      <w:r>
        <w:rPr>
          <w:i/>
        </w:rPr>
        <w:t>возрастает</w:t>
      </w:r>
      <w:r w:rsidRPr="003602DF">
        <w:rPr>
          <w:i/>
        </w:rPr>
        <w:t xml:space="preserve"> </w:t>
      </w:r>
      <w:r>
        <w:rPr>
          <w:i/>
        </w:rPr>
        <w:t>еже</w:t>
      </w:r>
      <w:r w:rsidRPr="003602DF">
        <w:rPr>
          <w:i/>
        </w:rPr>
        <w:t>год</w:t>
      </w:r>
      <w:r>
        <w:rPr>
          <w:i/>
        </w:rPr>
        <w:t>н</w:t>
      </w:r>
      <w:r w:rsidRPr="003602DF">
        <w:rPr>
          <w:i/>
        </w:rPr>
        <w:t>о</w:t>
      </w:r>
      <w:r>
        <w:rPr>
          <w:i/>
        </w:rPr>
        <w:t>. Все большую роль начинает играть не образовательный продукт ВУЗа, а условия обучения</w:t>
      </w:r>
      <w:r w:rsidRPr="003602DF">
        <w:rPr>
          <w:i/>
        </w:rPr>
        <w:t xml:space="preserve"> и студенческой жизни в целом. </w:t>
      </w:r>
      <w:r>
        <w:rPr>
          <w:i/>
        </w:rPr>
        <w:t>Вследствие этого, в</w:t>
      </w:r>
      <w:r w:rsidRPr="003602DF">
        <w:rPr>
          <w:i/>
        </w:rPr>
        <w:t xml:space="preserve"> условиях современного рынка </w:t>
      </w:r>
      <w:r>
        <w:rPr>
          <w:i/>
        </w:rPr>
        <w:t>ВУЗам необходимо</w:t>
      </w:r>
      <w:r w:rsidRPr="003602DF">
        <w:rPr>
          <w:i/>
        </w:rPr>
        <w:t xml:space="preserve"> уделять больше внимания второстепенным вещам, которые все чаще становятся определяющими факторами в выборе потребителя. </w:t>
      </w:r>
    </w:p>
    <w:p w:rsidR="005E1201" w:rsidRDefault="005E1201" w:rsidP="005E1201">
      <w:pPr>
        <w:ind w:firstLine="709"/>
        <w:contextualSpacing/>
        <w:jc w:val="both"/>
        <w:rPr>
          <w:b/>
          <w:i/>
        </w:rPr>
      </w:pPr>
    </w:p>
    <w:p w:rsidR="005E1201" w:rsidRPr="003602DF" w:rsidRDefault="005E1201" w:rsidP="005E1201">
      <w:pPr>
        <w:ind w:firstLine="709"/>
        <w:contextualSpacing/>
        <w:jc w:val="both"/>
        <w:rPr>
          <w:i/>
        </w:rPr>
      </w:pPr>
      <w:r w:rsidRPr="003602DF">
        <w:rPr>
          <w:b/>
          <w:i/>
        </w:rPr>
        <w:t>Ключевые слова</w:t>
      </w:r>
      <w:r>
        <w:rPr>
          <w:b/>
          <w:i/>
        </w:rPr>
        <w:t xml:space="preserve"> и словосочетания</w:t>
      </w:r>
      <w:r w:rsidRPr="003602DF">
        <w:rPr>
          <w:b/>
          <w:i/>
        </w:rPr>
        <w:t xml:space="preserve">: </w:t>
      </w:r>
      <w:r w:rsidRPr="003602DF">
        <w:rPr>
          <w:i/>
        </w:rPr>
        <w:t>образование, образовательный продукт/ услуга, высшие учебные заведения (ВУЗы), рынок образования, конкуренция, направления подготовки, образовательная программа, потребитель.</w:t>
      </w:r>
    </w:p>
    <w:p w:rsidR="005E1201" w:rsidRDefault="005E1201" w:rsidP="005E1201">
      <w:pPr>
        <w:ind w:right="-568" w:firstLine="709"/>
        <w:contextualSpacing/>
        <w:jc w:val="both"/>
        <w:rPr>
          <w:rFonts w:ascii="Arial" w:hAnsi="Arial" w:cs="Arial"/>
          <w:color w:val="000000"/>
          <w:shd w:val="clear" w:color="auto" w:fill="FFFFFF"/>
        </w:rPr>
      </w:pPr>
    </w:p>
    <w:p w:rsidR="005E1201" w:rsidRDefault="005E1201" w:rsidP="005E1201">
      <w:pPr>
        <w:ind w:right="-1"/>
        <w:contextualSpacing/>
        <w:jc w:val="center"/>
        <w:rPr>
          <w:b/>
          <w:color w:val="000000"/>
          <w:shd w:val="clear" w:color="auto" w:fill="FFFFFF"/>
          <w:lang w:val="en-US"/>
        </w:rPr>
      </w:pPr>
      <w:r w:rsidRPr="00050E25">
        <w:rPr>
          <w:b/>
          <w:color w:val="000000"/>
          <w:shd w:val="clear" w:color="auto" w:fill="FFFFFF"/>
          <w:lang w:val="en-US"/>
        </w:rPr>
        <w:t>The analysis of higher education’s learning environment as the factors influencing the prospective student’s choice</w:t>
      </w:r>
    </w:p>
    <w:p w:rsidR="005E1201" w:rsidRPr="00DE3E62" w:rsidRDefault="005E1201" w:rsidP="005E1201">
      <w:pPr>
        <w:ind w:right="-1"/>
        <w:contextualSpacing/>
        <w:jc w:val="center"/>
        <w:rPr>
          <w:b/>
          <w:color w:val="000000"/>
          <w:shd w:val="clear" w:color="auto" w:fill="FFFFFF"/>
          <w:lang w:val="en-US"/>
        </w:rPr>
      </w:pPr>
    </w:p>
    <w:p w:rsidR="005E1201" w:rsidRPr="00545FCA" w:rsidRDefault="005E1201" w:rsidP="005E1201">
      <w:pPr>
        <w:ind w:right="-1"/>
        <w:contextualSpacing/>
        <w:jc w:val="both"/>
        <w:rPr>
          <w:i/>
          <w:color w:val="000000"/>
          <w:shd w:val="clear" w:color="auto" w:fill="FFFFFF"/>
          <w:lang w:val="en-US"/>
        </w:rPr>
      </w:pPr>
      <w:r w:rsidRPr="00DE3E62">
        <w:rPr>
          <w:b/>
          <w:color w:val="000000"/>
          <w:shd w:val="clear" w:color="auto" w:fill="FFFFFF"/>
          <w:lang w:val="en-US"/>
        </w:rPr>
        <w:tab/>
      </w:r>
      <w:r w:rsidRPr="00913CA0">
        <w:rPr>
          <w:i/>
          <w:color w:val="000000"/>
          <w:shd w:val="clear" w:color="auto" w:fill="FFFFFF"/>
          <w:lang w:val="en-US"/>
        </w:rPr>
        <w:t xml:space="preserve">The competition </w:t>
      </w:r>
      <w:r>
        <w:rPr>
          <w:i/>
          <w:color w:val="000000"/>
          <w:shd w:val="clear" w:color="auto" w:fill="FFFFFF"/>
          <w:lang w:val="en-US"/>
        </w:rPr>
        <w:t>at</w:t>
      </w:r>
      <w:r w:rsidRPr="00913CA0">
        <w:rPr>
          <w:i/>
          <w:color w:val="000000"/>
          <w:shd w:val="clear" w:color="auto" w:fill="FFFFFF"/>
          <w:lang w:val="en-US"/>
        </w:rPr>
        <w:t xml:space="preserve"> education market increases annually.</w:t>
      </w:r>
      <w:r>
        <w:rPr>
          <w:i/>
          <w:color w:val="000000"/>
          <w:shd w:val="clear" w:color="auto" w:fill="FFFFFF"/>
          <w:lang w:val="en-US"/>
        </w:rPr>
        <w:t xml:space="preserve"> C</w:t>
      </w:r>
      <w:r w:rsidRPr="00913CA0">
        <w:rPr>
          <w:i/>
          <w:color w:val="000000"/>
          <w:shd w:val="clear" w:color="auto" w:fill="FFFFFF"/>
          <w:lang w:val="en-US"/>
        </w:rPr>
        <w:t>urrently</w:t>
      </w:r>
      <w:r>
        <w:rPr>
          <w:i/>
          <w:color w:val="000000"/>
          <w:shd w:val="clear" w:color="auto" w:fill="FFFFFF"/>
          <w:lang w:val="en-US"/>
        </w:rPr>
        <w:t xml:space="preserve"> the essential role</w:t>
      </w:r>
      <w:r w:rsidRPr="0029504B">
        <w:rPr>
          <w:i/>
          <w:color w:val="000000"/>
          <w:shd w:val="clear" w:color="auto" w:fill="FFFFFF"/>
          <w:lang w:val="en-US"/>
        </w:rPr>
        <w:t xml:space="preserve"> </w:t>
      </w:r>
      <w:r>
        <w:rPr>
          <w:i/>
          <w:color w:val="000000"/>
          <w:shd w:val="clear" w:color="auto" w:fill="FFFFFF"/>
          <w:lang w:val="en-US"/>
        </w:rPr>
        <w:t>belongs not so much to</w:t>
      </w:r>
      <w:r w:rsidRPr="0029504B">
        <w:rPr>
          <w:color w:val="000000"/>
          <w:shd w:val="clear" w:color="auto" w:fill="FFFFFF"/>
          <w:lang w:val="en-US"/>
        </w:rPr>
        <w:t xml:space="preserve"> </w:t>
      </w:r>
      <w:r w:rsidRPr="0029504B">
        <w:rPr>
          <w:i/>
          <w:color w:val="000000"/>
          <w:shd w:val="clear" w:color="auto" w:fill="FFFFFF"/>
          <w:lang w:val="en-US"/>
        </w:rPr>
        <w:t>the</w:t>
      </w:r>
      <w:r>
        <w:rPr>
          <w:color w:val="000000"/>
          <w:shd w:val="clear" w:color="auto" w:fill="FFFFFF"/>
          <w:lang w:val="en-US"/>
        </w:rPr>
        <w:t xml:space="preserve"> </w:t>
      </w:r>
      <w:r w:rsidRPr="0029504B">
        <w:rPr>
          <w:i/>
          <w:color w:val="000000"/>
          <w:shd w:val="clear" w:color="auto" w:fill="FFFFFF"/>
          <w:lang w:val="en-US"/>
        </w:rPr>
        <w:t>learning product</w:t>
      </w:r>
      <w:r>
        <w:rPr>
          <w:i/>
          <w:color w:val="000000"/>
          <w:shd w:val="clear" w:color="auto" w:fill="FFFFFF"/>
          <w:lang w:val="en-US"/>
        </w:rPr>
        <w:t xml:space="preserve"> as to the learning environment in general.</w:t>
      </w:r>
      <w:r w:rsidRPr="00E25A8D">
        <w:rPr>
          <w:lang w:val="en-US"/>
        </w:rPr>
        <w:t xml:space="preserve"> </w:t>
      </w:r>
      <w:r>
        <w:rPr>
          <w:i/>
          <w:color w:val="000000"/>
          <w:shd w:val="clear" w:color="auto" w:fill="FFFFFF"/>
          <w:lang w:val="en-US"/>
        </w:rPr>
        <w:t>C</w:t>
      </w:r>
      <w:r w:rsidRPr="00E25A8D">
        <w:rPr>
          <w:i/>
          <w:color w:val="000000"/>
          <w:shd w:val="clear" w:color="auto" w:fill="FFFFFF"/>
          <w:lang w:val="en-US"/>
        </w:rPr>
        <w:t xml:space="preserve">onsequently </w:t>
      </w:r>
      <w:r w:rsidRPr="00085A29">
        <w:rPr>
          <w:i/>
          <w:color w:val="000000"/>
          <w:shd w:val="clear" w:color="auto" w:fill="FFFFFF"/>
          <w:lang w:val="en-US"/>
        </w:rPr>
        <w:t xml:space="preserve">under the conditions </w:t>
      </w:r>
      <w:r>
        <w:rPr>
          <w:i/>
          <w:color w:val="000000"/>
          <w:shd w:val="clear" w:color="auto" w:fill="FFFFFF"/>
          <w:lang w:val="en-US"/>
        </w:rPr>
        <w:t xml:space="preserve">of </w:t>
      </w:r>
      <w:r w:rsidRPr="00085A29">
        <w:rPr>
          <w:i/>
          <w:color w:val="000000"/>
          <w:shd w:val="clear" w:color="auto" w:fill="FFFFFF"/>
          <w:lang w:val="en-US"/>
        </w:rPr>
        <w:t>contemporary market</w:t>
      </w:r>
      <w:r>
        <w:rPr>
          <w:i/>
          <w:color w:val="000000"/>
          <w:shd w:val="clear" w:color="auto" w:fill="FFFFFF"/>
          <w:lang w:val="en-US"/>
        </w:rPr>
        <w:t xml:space="preserve"> </w:t>
      </w:r>
      <w:r w:rsidRPr="003B5C1F">
        <w:rPr>
          <w:i/>
          <w:color w:val="000000"/>
          <w:shd w:val="clear" w:color="auto" w:fill="FFFFFF"/>
          <w:lang w:val="en-US"/>
        </w:rPr>
        <w:t>universities need to pay more attention to secondary things, which are increasingly becoming the determining factors in consumer</w:t>
      </w:r>
      <w:r>
        <w:rPr>
          <w:i/>
          <w:color w:val="000000"/>
          <w:shd w:val="clear" w:color="auto" w:fill="FFFFFF"/>
          <w:lang w:val="en-US"/>
        </w:rPr>
        <w:t>’s</w:t>
      </w:r>
      <w:r w:rsidRPr="003B5C1F">
        <w:rPr>
          <w:i/>
          <w:color w:val="000000"/>
          <w:shd w:val="clear" w:color="auto" w:fill="FFFFFF"/>
          <w:lang w:val="en-US"/>
        </w:rPr>
        <w:t xml:space="preserve"> </w:t>
      </w:r>
      <w:r>
        <w:rPr>
          <w:i/>
          <w:color w:val="000000"/>
          <w:shd w:val="clear" w:color="auto" w:fill="FFFFFF"/>
          <w:lang w:val="en-US"/>
        </w:rPr>
        <w:t>choice</w:t>
      </w:r>
      <w:r w:rsidRPr="00545FCA">
        <w:rPr>
          <w:i/>
          <w:color w:val="000000"/>
          <w:shd w:val="clear" w:color="auto" w:fill="FFFFFF"/>
          <w:lang w:val="en-US"/>
        </w:rPr>
        <w:t>.</w:t>
      </w:r>
    </w:p>
    <w:p w:rsidR="005E1201" w:rsidRPr="00913CA0" w:rsidRDefault="005E1201" w:rsidP="005E1201">
      <w:pPr>
        <w:ind w:right="-1"/>
        <w:contextualSpacing/>
        <w:jc w:val="both"/>
        <w:rPr>
          <w:b/>
          <w:color w:val="000000"/>
          <w:shd w:val="clear" w:color="auto" w:fill="FFFFFF"/>
          <w:lang w:val="en-US"/>
        </w:rPr>
      </w:pPr>
      <w:r>
        <w:rPr>
          <w:b/>
          <w:color w:val="000000"/>
          <w:shd w:val="clear" w:color="auto" w:fill="FFFFFF"/>
          <w:lang w:val="en-US"/>
        </w:rPr>
        <w:tab/>
      </w:r>
    </w:p>
    <w:p w:rsidR="005E1201" w:rsidRPr="002D3070" w:rsidRDefault="005E1201" w:rsidP="005E1201">
      <w:pPr>
        <w:ind w:right="-1" w:firstLine="708"/>
        <w:contextualSpacing/>
        <w:jc w:val="both"/>
        <w:rPr>
          <w:color w:val="000000"/>
          <w:shd w:val="clear" w:color="auto" w:fill="FFFFFF"/>
          <w:lang w:val="en-US"/>
        </w:rPr>
      </w:pPr>
      <w:r w:rsidRPr="000B4C22">
        <w:rPr>
          <w:b/>
          <w:i/>
          <w:color w:val="000000"/>
          <w:shd w:val="clear" w:color="auto" w:fill="FFFFFF"/>
          <w:lang w:val="en-US"/>
        </w:rPr>
        <w:t>Key words and phrases:</w:t>
      </w:r>
      <w:r w:rsidRPr="000B4C22">
        <w:rPr>
          <w:color w:val="000000"/>
          <w:shd w:val="clear" w:color="auto" w:fill="FFFFFF"/>
          <w:lang w:val="en-US"/>
        </w:rPr>
        <w:t xml:space="preserve"> </w:t>
      </w:r>
      <w:r w:rsidRPr="004707E2">
        <w:rPr>
          <w:i/>
          <w:color w:val="000000"/>
          <w:shd w:val="clear" w:color="auto" w:fill="FFFFFF"/>
          <w:lang w:val="en-US"/>
        </w:rPr>
        <w:t>education, learning product/service, higher education institutions (HEIs), education market, competition, field of study, educational program, consumer.</w:t>
      </w:r>
    </w:p>
    <w:p w:rsidR="005E1201" w:rsidRPr="002D3070" w:rsidRDefault="005E1201" w:rsidP="005E1201">
      <w:pPr>
        <w:ind w:right="-1"/>
        <w:contextualSpacing/>
        <w:jc w:val="both"/>
        <w:rPr>
          <w:color w:val="000000"/>
          <w:shd w:val="clear" w:color="auto" w:fill="FFFFFF"/>
          <w:lang w:val="en-US"/>
        </w:rPr>
      </w:pPr>
    </w:p>
    <w:p w:rsidR="005E1201" w:rsidRPr="0025022D" w:rsidRDefault="005E1201" w:rsidP="005E1201">
      <w:pPr>
        <w:ind w:right="-1" w:firstLine="709"/>
        <w:contextualSpacing/>
        <w:jc w:val="both"/>
      </w:pPr>
      <w:r w:rsidRPr="0025022D">
        <w:rPr>
          <w:shd w:val="clear" w:color="auto" w:fill="FFFFFF"/>
        </w:rPr>
        <w:t xml:space="preserve">Переход российской экономики к рыночным отношениям потребовал новых решений и совершенно другой организации всей деятельности высшей школы, активного поиска новых механизмов приспособления вузов к реальной демографической, экономической, социальной ситуации, постоянного взаимодействия вузов с быстро меняющимся рынком образовательных услуг и рынком труда </w:t>
      </w:r>
      <w:r w:rsidRPr="0025022D">
        <w:t>[</w:t>
      </w:r>
      <w:r>
        <w:t>1</w:t>
      </w:r>
      <w:r w:rsidRPr="0025022D">
        <w:t>]</w:t>
      </w:r>
      <w:r w:rsidRPr="0025022D">
        <w:rPr>
          <w:shd w:val="clear" w:color="auto" w:fill="FFFFFF"/>
        </w:rPr>
        <w:t>.</w:t>
      </w:r>
      <w:r w:rsidRPr="0025022D">
        <w:t xml:space="preserve"> </w:t>
      </w:r>
    </w:p>
    <w:p w:rsidR="005E1201" w:rsidRPr="0025022D" w:rsidRDefault="005E1201" w:rsidP="005E1201">
      <w:pPr>
        <w:ind w:right="-1" w:firstLine="709"/>
        <w:contextualSpacing/>
        <w:jc w:val="both"/>
      </w:pPr>
      <w:r w:rsidRPr="00933BF2">
        <w:t>Такая сложная ситуация в российском высшем образовании продлится до 2025 г., а демографическая яма достигнет «дна» не ранее 2020 г. [2], что ведет к конкуренции на рынке образования среди ВУЗов, а также снижение контрольных цифр приема по экономическим и гуманитарным направлениям подготовки, предусмотренные в докладе Министерства образования и науки Российской Федерации «Доклад о результатах и основных направлениях деятельности Министерства образования и науки Российской Федерации на 2016-2018 годы» [3].</w:t>
      </w:r>
      <w:r w:rsidRPr="0025022D">
        <w:t xml:space="preserve"> </w:t>
      </w:r>
    </w:p>
    <w:p w:rsidR="005E1201" w:rsidRPr="0025022D" w:rsidRDefault="005E1201" w:rsidP="005E1201">
      <w:pPr>
        <w:ind w:right="-1" w:firstLine="709"/>
        <w:contextualSpacing/>
        <w:jc w:val="both"/>
        <w:rPr>
          <w:shd w:val="clear" w:color="auto" w:fill="FFFFFF"/>
        </w:rPr>
      </w:pPr>
      <w:r w:rsidRPr="0025022D">
        <w:t>Образовательные услуги высшей школы можно разделить на две большие группы: основные образовательные услуги и дополнительные. Каждая из них, в свою очередь, делится на платные и бесплатные.</w:t>
      </w:r>
    </w:p>
    <w:p w:rsidR="005E1201" w:rsidRPr="0025022D" w:rsidRDefault="005E1201" w:rsidP="005E1201">
      <w:pPr>
        <w:ind w:right="-1" w:firstLine="709"/>
        <w:contextualSpacing/>
        <w:jc w:val="both"/>
      </w:pPr>
      <w:r w:rsidRPr="0025022D">
        <w:t xml:space="preserve">Основные образовательные услуги – это услуги, предоставляемые по основным направлениям подготовки специалистов, т.е. по основным образовательным программам. Содержание их обязательного минимума определяют государственные образовательные </w:t>
      </w:r>
      <w:r>
        <w:fldChar w:fldCharType="begin"/>
      </w:r>
      <w:r>
        <w:instrText xml:space="preserve">eq </w:instrText>
      </w:r>
      <w:r>
        <w:rPr>
          <w:noProof/>
        </w:rPr>
        <w:instrText>стандарты</w:instrText>
      </w:r>
      <w:r>
        <w:rPr>
          <w:noProof/>
          <w:color w:val="FFFFFF"/>
          <w:spacing w:val="-20000"/>
          <w:sz w:val="2"/>
          <w:szCs w:val="28"/>
        </w:rPr>
        <w:instrText> росской</w:instrText>
      </w:r>
      <w:r>
        <w:fldChar w:fldCharType="end"/>
      </w:r>
      <w:r>
        <w:t xml:space="preserve">, устанавливаемые федеральными </w:t>
      </w:r>
      <w:r>
        <w:fldChar w:fldCharType="begin"/>
      </w:r>
      <w:r>
        <w:instrText xml:space="preserve">eq </w:instrText>
      </w:r>
      <w:r>
        <w:rPr>
          <w:noProof/>
          <w:color w:val="FFFFFF"/>
          <w:spacing w:val="-20000"/>
          <w:sz w:val="2"/>
          <w:szCs w:val="28"/>
        </w:rPr>
        <w:instrText xml:space="preserve"> шевченко </w:instrText>
      </w:r>
      <w:r>
        <w:rPr>
          <w:noProof/>
        </w:rPr>
        <w:instrText>органами</w:instrText>
      </w:r>
      <w:r>
        <w:rPr>
          <w:noProof/>
          <w:color w:val="FFFFFF"/>
          <w:spacing w:val="-20000"/>
          <w:sz w:val="2"/>
          <w:szCs w:val="28"/>
        </w:rPr>
        <w:instrText> речь</w:instrText>
      </w:r>
      <w:r>
        <w:fldChar w:fldCharType="end"/>
      </w:r>
      <w:r>
        <w:t xml:space="preserve"> государственной власти и </w:t>
      </w:r>
      <w:r>
        <w:fldChar w:fldCharType="begin"/>
      </w:r>
      <w:r>
        <w:instrText xml:space="preserve">eq </w:instrText>
      </w:r>
      <w:r>
        <w:rPr>
          <w:noProof/>
          <w:color w:val="FFFFFF"/>
          <w:spacing w:val="-20000"/>
          <w:sz w:val="2"/>
          <w:szCs w:val="28"/>
        </w:rPr>
        <w:instrText xml:space="preserve"> шевченко </w:instrText>
      </w:r>
      <w:r>
        <w:rPr>
          <w:noProof/>
        </w:rPr>
        <w:instrText>управления</w:instrText>
      </w:r>
      <w:r>
        <w:fldChar w:fldCharType="end"/>
      </w:r>
      <w:r>
        <w:t xml:space="preserve"> в рамках их компетенции.</w:t>
      </w:r>
    </w:p>
    <w:p w:rsidR="005E1201" w:rsidRPr="0025022D" w:rsidRDefault="005E1201" w:rsidP="005E1201">
      <w:pPr>
        <w:ind w:right="-1" w:firstLine="709"/>
        <w:contextualSpacing/>
        <w:jc w:val="both"/>
        <w:rPr>
          <w:shd w:val="clear" w:color="auto" w:fill="FFFFFF"/>
        </w:rPr>
      </w:pPr>
      <w:r>
        <w:fldChar w:fldCharType="begin"/>
      </w:r>
      <w:r>
        <w:instrText xml:space="preserve">eq </w:instrText>
      </w:r>
      <w:r>
        <w:rPr>
          <w:noProof/>
          <w:color w:val="FFFFFF"/>
          <w:spacing w:val="-20000"/>
          <w:sz w:val="2"/>
          <w:szCs w:val="28"/>
        </w:rPr>
        <w:instrText xml:space="preserve"> анализ </w:instrText>
      </w:r>
      <w:r>
        <w:rPr>
          <w:noProof/>
        </w:rPr>
        <w:instrText>Дополнительные</w:instrText>
      </w:r>
      <w:r>
        <w:rPr>
          <w:noProof/>
          <w:color w:val="FFFFFF"/>
          <w:spacing w:val="-20000"/>
          <w:sz w:val="2"/>
          <w:szCs w:val="28"/>
        </w:rPr>
        <w:instrText> итогах</w:instrText>
      </w:r>
      <w:r>
        <w:fldChar w:fldCharType="end"/>
      </w:r>
      <w:r>
        <w:t xml:space="preserve"> образовательные </w:t>
      </w:r>
      <w:r>
        <w:fldChar w:fldCharType="begin"/>
      </w:r>
      <w:r>
        <w:instrText xml:space="preserve">eq </w:instrText>
      </w:r>
      <w:r>
        <w:rPr>
          <w:noProof/>
        </w:rPr>
        <w:instrText>услуги</w:instrText>
      </w:r>
      <w:r>
        <w:rPr>
          <w:noProof/>
          <w:color w:val="FFFFFF"/>
          <w:spacing w:val="-20000"/>
          <w:sz w:val="2"/>
          <w:szCs w:val="28"/>
        </w:rPr>
        <w:instrText> статистики</w:instrText>
      </w:r>
      <w:r>
        <w:fldChar w:fldCharType="end"/>
      </w:r>
      <w:r>
        <w:t xml:space="preserve"> – это </w:t>
      </w:r>
      <w:r>
        <w:rPr>
          <w:shd w:val="clear" w:color="auto" w:fill="FFFFFF"/>
        </w:rPr>
        <w:t xml:space="preserve">комплекс целенаправленно </w:t>
      </w:r>
      <w:r>
        <w:fldChar w:fldCharType="begin"/>
      </w:r>
      <w:r>
        <w:instrText xml:space="preserve">eq </w:instrText>
      </w:r>
      <w:r>
        <w:rPr>
          <w:noProof/>
          <w:color w:val="FFFFFF"/>
          <w:spacing w:val="-20000"/>
          <w:sz w:val="2"/>
          <w:szCs w:val="28"/>
        </w:rPr>
        <w:instrText xml:space="preserve"> постоянную </w:instrText>
      </w:r>
      <w:r>
        <w:rPr>
          <w:noProof/>
          <w:shd w:val="clear" w:color="auto" w:fill="FFFFFF"/>
        </w:rPr>
        <w:instrText>создаваемых</w:instrText>
      </w:r>
      <w:r>
        <w:rPr>
          <w:noProof/>
          <w:color w:val="FFFFFF"/>
          <w:spacing w:val="-20000"/>
          <w:sz w:val="2"/>
          <w:szCs w:val="28"/>
        </w:rPr>
        <w:instrText> шевченко</w:instrText>
      </w:r>
      <w:r>
        <w:fldChar w:fldCharType="end"/>
      </w:r>
      <w:r>
        <w:rPr>
          <w:shd w:val="clear" w:color="auto" w:fill="FFFFFF"/>
        </w:rPr>
        <w:t xml:space="preserve"> и предлагаемых образовательным </w:t>
      </w:r>
      <w:r>
        <w:fldChar w:fldCharType="begin"/>
      </w:r>
      <w:r>
        <w:instrText xml:space="preserve">eq </w:instrText>
      </w:r>
      <w:r>
        <w:rPr>
          <w:noProof/>
          <w:color w:val="FFFFFF"/>
          <w:spacing w:val="-20000"/>
          <w:sz w:val="2"/>
          <w:szCs w:val="28"/>
        </w:rPr>
        <w:instrText xml:space="preserve"> каждым </w:instrText>
      </w:r>
      <w:r>
        <w:rPr>
          <w:noProof/>
          <w:shd w:val="clear" w:color="auto" w:fill="FFFFFF"/>
        </w:rPr>
        <w:instrText>учреждением</w:instrText>
      </w:r>
      <w:r>
        <w:fldChar w:fldCharType="end"/>
      </w:r>
      <w:r>
        <w:rPr>
          <w:shd w:val="clear" w:color="auto" w:fill="FFFFFF"/>
        </w:rPr>
        <w:t xml:space="preserve"> возможностей получения </w:t>
      </w:r>
      <w:r>
        <w:fldChar w:fldCharType="begin"/>
      </w:r>
      <w:r>
        <w:instrText xml:space="preserve">eq </w:instrText>
      </w:r>
      <w:r>
        <w:rPr>
          <w:noProof/>
          <w:color w:val="FFFFFF"/>
          <w:spacing w:val="-20000"/>
          <w:sz w:val="2"/>
          <w:szCs w:val="28"/>
        </w:rPr>
        <w:instrText xml:space="preserve"> около </w:instrText>
      </w:r>
      <w:r>
        <w:rPr>
          <w:noProof/>
          <w:shd w:val="clear" w:color="auto" w:fill="FFFFFF"/>
        </w:rPr>
        <w:instrText>образования</w:instrText>
      </w:r>
      <w:r>
        <w:rPr>
          <w:noProof/>
          <w:color w:val="FFFFFF"/>
          <w:spacing w:val="-20000"/>
          <w:sz w:val="2"/>
          <w:szCs w:val="28"/>
        </w:rPr>
        <w:instrText> результаты</w:instrText>
      </w:r>
      <w:r>
        <w:fldChar w:fldCharType="end"/>
      </w:r>
      <w:r>
        <w:rPr>
          <w:shd w:val="clear" w:color="auto" w:fill="FFFFFF"/>
        </w:rPr>
        <w:t xml:space="preserve"> в рамках его </w:t>
      </w:r>
      <w:r>
        <w:fldChar w:fldCharType="begin"/>
      </w:r>
      <w:r>
        <w:instrText xml:space="preserve">eq </w:instrText>
      </w:r>
      <w:r>
        <w:rPr>
          <w:noProof/>
          <w:shd w:val="clear" w:color="auto" w:fill="FFFFFF"/>
        </w:rPr>
        <w:instrText>основной</w:instrText>
      </w:r>
      <w:r>
        <w:rPr>
          <w:noProof/>
          <w:color w:val="FFFFFF"/>
          <w:spacing w:val="-20000"/>
          <w:sz w:val="2"/>
          <w:szCs w:val="28"/>
        </w:rPr>
        <w:instrText> napravleniya</w:instrText>
      </w:r>
      <w:r>
        <w:fldChar w:fldCharType="end"/>
      </w:r>
      <w:r>
        <w:rPr>
          <w:shd w:val="clear" w:color="auto" w:fill="FFFFFF"/>
        </w:rPr>
        <w:t xml:space="preserve"> образовательной программы и </w:t>
      </w:r>
      <w:r>
        <w:fldChar w:fldCharType="begin"/>
      </w:r>
      <w:r>
        <w:instrText xml:space="preserve">eq </w:instrText>
      </w:r>
      <w:r>
        <w:rPr>
          <w:noProof/>
          <w:color w:val="FFFFFF"/>
          <w:spacing w:val="-20000"/>
          <w:sz w:val="2"/>
          <w:szCs w:val="28"/>
        </w:rPr>
        <w:instrText xml:space="preserve"> купить </w:instrText>
      </w:r>
      <w:r>
        <w:rPr>
          <w:noProof/>
          <w:shd w:val="clear" w:color="auto" w:fill="FFFFFF"/>
        </w:rPr>
        <w:instrText>приобретение</w:instrText>
      </w:r>
      <w:r>
        <w:rPr>
          <w:noProof/>
          <w:color w:val="FFFFFF"/>
          <w:spacing w:val="-20000"/>
          <w:sz w:val="2"/>
          <w:szCs w:val="28"/>
        </w:rPr>
        <w:instrText> планы</w:instrText>
      </w:r>
      <w:r>
        <w:fldChar w:fldCharType="end"/>
      </w:r>
      <w:r>
        <w:rPr>
          <w:shd w:val="clear" w:color="auto" w:fill="FFFFFF"/>
        </w:rPr>
        <w:t xml:space="preserve"> дополнительных знаний, </w:t>
      </w:r>
      <w:r>
        <w:fldChar w:fldCharType="begin"/>
      </w:r>
      <w:r>
        <w:instrText xml:space="preserve">eq </w:instrText>
      </w:r>
      <w:r>
        <w:rPr>
          <w:noProof/>
          <w:color w:val="FFFFFF"/>
          <w:spacing w:val="-20000"/>
          <w:sz w:val="2"/>
          <w:szCs w:val="28"/>
        </w:rPr>
        <w:instrText xml:space="preserve"> вместе </w:instrText>
      </w:r>
      <w:r>
        <w:rPr>
          <w:noProof/>
          <w:shd w:val="clear" w:color="auto" w:fill="FFFFFF"/>
        </w:rPr>
        <w:instrText>умений</w:instrText>
      </w:r>
      <w:r>
        <w:fldChar w:fldCharType="end"/>
      </w:r>
      <w:r>
        <w:rPr>
          <w:shd w:val="clear" w:color="auto" w:fill="FFFFFF"/>
        </w:rPr>
        <w:t xml:space="preserve">, навыков, развитие </w:t>
      </w:r>
      <w:r>
        <w:fldChar w:fldCharType="begin"/>
      </w:r>
      <w:r>
        <w:instrText xml:space="preserve">eq </w:instrText>
      </w:r>
      <w:r>
        <w:rPr>
          <w:noProof/>
          <w:color w:val="FFFFFF"/>
          <w:spacing w:val="-20000"/>
          <w:sz w:val="2"/>
          <w:szCs w:val="28"/>
        </w:rPr>
        <w:instrText xml:space="preserve"> такой </w:instrText>
      </w:r>
      <w:r>
        <w:rPr>
          <w:noProof/>
          <w:shd w:val="clear" w:color="auto" w:fill="FFFFFF"/>
        </w:rPr>
        <w:instrText>творческих</w:instrText>
      </w:r>
      <w:r>
        <w:rPr>
          <w:noProof/>
          <w:color w:val="FFFFFF"/>
          <w:spacing w:val="-20000"/>
          <w:sz w:val="2"/>
          <w:szCs w:val="28"/>
        </w:rPr>
        <w:instrText> рынке</w:instrText>
      </w:r>
      <w:r>
        <w:fldChar w:fldCharType="end"/>
      </w:r>
      <w:r>
        <w:rPr>
          <w:shd w:val="clear" w:color="auto" w:fill="FFFFFF"/>
        </w:rPr>
        <w:t xml:space="preserve"> и других </w:t>
      </w:r>
      <w:r>
        <w:fldChar w:fldCharType="begin"/>
      </w:r>
      <w:r>
        <w:instrText xml:space="preserve">eq </w:instrText>
      </w:r>
      <w:r>
        <w:rPr>
          <w:noProof/>
          <w:shd w:val="clear" w:color="auto" w:fill="FFFFFF"/>
        </w:rPr>
        <w:instrText>способностей</w:instrText>
      </w:r>
      <w:r>
        <w:rPr>
          <w:noProof/>
          <w:color w:val="FFFFFF"/>
          <w:spacing w:val="-20000"/>
          <w:sz w:val="2"/>
          <w:szCs w:val="28"/>
        </w:rPr>
        <w:instrText> высшие</w:instrText>
      </w:r>
      <w:r>
        <w:fldChar w:fldCharType="end"/>
      </w:r>
      <w:r>
        <w:rPr>
          <w:shd w:val="clear" w:color="auto" w:fill="FFFFFF"/>
        </w:rPr>
        <w:t xml:space="preserve"> под руководством специалистов, с </w:t>
      </w:r>
      <w:r>
        <w:fldChar w:fldCharType="begin"/>
      </w:r>
      <w:r>
        <w:instrText xml:space="preserve">eq </w:instrText>
      </w:r>
      <w:r>
        <w:rPr>
          <w:noProof/>
          <w:color w:val="FFFFFF"/>
          <w:spacing w:val="-20000"/>
          <w:sz w:val="2"/>
          <w:szCs w:val="28"/>
        </w:rPr>
        <w:instrText xml:space="preserve"> наблюдается </w:instrText>
      </w:r>
      <w:r>
        <w:rPr>
          <w:noProof/>
          <w:shd w:val="clear" w:color="auto" w:fill="FFFFFF"/>
        </w:rPr>
        <w:instrText>целью</w:instrText>
      </w:r>
      <w:r>
        <w:rPr>
          <w:noProof/>
          <w:color w:val="FFFFFF"/>
          <w:spacing w:val="-20000"/>
          <w:sz w:val="2"/>
          <w:szCs w:val="28"/>
        </w:rPr>
        <w:instrText> наблюдается</w:instrText>
      </w:r>
      <w:r>
        <w:fldChar w:fldCharType="end"/>
      </w:r>
      <w:r>
        <w:rPr>
          <w:shd w:val="clear" w:color="auto" w:fill="FFFFFF"/>
        </w:rPr>
        <w:t xml:space="preserve"> удовлетворения образовательных </w:t>
      </w:r>
      <w:r>
        <w:fldChar w:fldCharType="begin"/>
      </w:r>
      <w:r>
        <w:instrText xml:space="preserve">eq </w:instrText>
      </w:r>
      <w:r>
        <w:rPr>
          <w:noProof/>
          <w:color w:val="FFFFFF"/>
          <w:spacing w:val="-20000"/>
          <w:sz w:val="2"/>
          <w:szCs w:val="28"/>
        </w:rPr>
        <w:instrText xml:space="preserve"> профессии </w:instrText>
      </w:r>
      <w:r>
        <w:rPr>
          <w:noProof/>
          <w:shd w:val="clear" w:color="auto" w:fill="FFFFFF"/>
        </w:rPr>
        <w:instrText>потребностей</w:instrText>
      </w:r>
      <w:r>
        <w:fldChar w:fldCharType="end"/>
      </w:r>
      <w:r>
        <w:rPr>
          <w:shd w:val="clear" w:color="auto" w:fill="FFFFFF"/>
        </w:rPr>
        <w:t xml:space="preserve"> [4].</w:t>
      </w:r>
    </w:p>
    <w:p w:rsidR="005E1201" w:rsidRPr="00933BF2" w:rsidRDefault="005E1201" w:rsidP="005E1201">
      <w:pPr>
        <w:ind w:right="-1" w:firstLine="709"/>
        <w:contextualSpacing/>
        <w:jc w:val="both"/>
        <w:rPr>
          <w:shd w:val="clear" w:color="auto" w:fill="FFFFFF"/>
        </w:rPr>
      </w:pPr>
      <w:r>
        <w:rPr>
          <w:shd w:val="clear" w:color="auto" w:fill="FFFFFF"/>
        </w:rPr>
        <w:t xml:space="preserve">Бесплатные образовательные </w:t>
      </w:r>
      <w:r>
        <w:fldChar w:fldCharType="begin"/>
      </w:r>
      <w:r>
        <w:instrText xml:space="preserve">eq </w:instrText>
      </w:r>
      <w:r>
        <w:rPr>
          <w:noProof/>
          <w:color w:val="FFFFFF"/>
          <w:spacing w:val="-20000"/>
          <w:sz w:val="2"/>
          <w:szCs w:val="28"/>
        </w:rPr>
        <w:instrText xml:space="preserve"> которые </w:instrText>
      </w:r>
      <w:r>
        <w:rPr>
          <w:noProof/>
          <w:shd w:val="clear" w:color="auto" w:fill="FFFFFF"/>
        </w:rPr>
        <w:instrText>услуги</w:instrText>
      </w:r>
      <w:r>
        <w:rPr>
          <w:noProof/>
          <w:color w:val="FFFFFF"/>
          <w:spacing w:val="-20000"/>
          <w:sz w:val="2"/>
          <w:szCs w:val="28"/>
        </w:rPr>
        <w:instrText> отрицательных</w:instrText>
      </w:r>
      <w:r>
        <w:fldChar w:fldCharType="end"/>
      </w:r>
      <w:r>
        <w:rPr>
          <w:shd w:val="clear" w:color="auto" w:fill="FFFFFF"/>
        </w:rPr>
        <w:t xml:space="preserve"> – это услуги, </w:t>
      </w:r>
      <w:r>
        <w:fldChar w:fldCharType="begin"/>
      </w:r>
      <w:r>
        <w:instrText xml:space="preserve">eq </w:instrText>
      </w:r>
      <w:r>
        <w:rPr>
          <w:noProof/>
          <w:shd w:val="clear" w:color="auto" w:fill="FFFFFF"/>
        </w:rPr>
        <w:instrText>которые</w:instrText>
      </w:r>
      <w:r>
        <w:rPr>
          <w:noProof/>
          <w:color w:val="FFFFFF"/>
          <w:spacing w:val="-20000"/>
          <w:sz w:val="2"/>
          <w:szCs w:val="28"/>
        </w:rPr>
        <w:instrText> услугу</w:instrText>
      </w:r>
      <w:r>
        <w:fldChar w:fldCharType="end"/>
      </w:r>
      <w:r>
        <w:rPr>
          <w:shd w:val="clear" w:color="auto" w:fill="FFFFFF"/>
        </w:rPr>
        <w:t xml:space="preserve"> предоставляются на бюджетной </w:t>
      </w:r>
      <w:r>
        <w:fldChar w:fldCharType="begin"/>
      </w:r>
      <w:r>
        <w:instrText xml:space="preserve">eq </w:instrText>
      </w:r>
      <w:r>
        <w:rPr>
          <w:noProof/>
          <w:color w:val="FFFFFF"/>
          <w:spacing w:val="-20000"/>
          <w:sz w:val="2"/>
          <w:szCs w:val="28"/>
        </w:rPr>
        <w:instrText xml:space="preserve"> выпускников </w:instrText>
      </w:r>
      <w:r>
        <w:rPr>
          <w:noProof/>
          <w:shd w:val="clear" w:color="auto" w:fill="FFFFFF"/>
        </w:rPr>
        <w:instrText>основе</w:instrText>
      </w:r>
      <w:r>
        <w:rPr>
          <w:noProof/>
          <w:color w:val="FFFFFF"/>
          <w:spacing w:val="-20000"/>
          <w:sz w:val="2"/>
          <w:szCs w:val="28"/>
        </w:rPr>
        <w:instrText> режим</w:instrText>
      </w:r>
      <w:r>
        <w:fldChar w:fldCharType="end"/>
      </w:r>
      <w:r>
        <w:rPr>
          <w:shd w:val="clear" w:color="auto" w:fill="FFFFFF"/>
        </w:rPr>
        <w:t xml:space="preserve">, другими словами, </w:t>
      </w:r>
      <w:r>
        <w:fldChar w:fldCharType="begin"/>
      </w:r>
      <w:r>
        <w:instrText xml:space="preserve">eq </w:instrText>
      </w:r>
      <w:r>
        <w:rPr>
          <w:noProof/>
          <w:color w:val="FFFFFF"/>
          <w:spacing w:val="-20000"/>
          <w:sz w:val="2"/>
          <w:szCs w:val="28"/>
        </w:rPr>
        <w:instrText xml:space="preserve"> высших </w:instrText>
      </w:r>
      <w:r>
        <w:rPr>
          <w:noProof/>
          <w:shd w:val="clear" w:color="auto" w:fill="FFFFFF"/>
        </w:rPr>
        <w:instrText>данные</w:instrText>
      </w:r>
      <w:r>
        <w:fldChar w:fldCharType="end"/>
      </w:r>
      <w:r>
        <w:rPr>
          <w:shd w:val="clear" w:color="auto" w:fill="FFFFFF"/>
        </w:rPr>
        <w:t xml:space="preserve"> услуги оказываются за </w:t>
      </w:r>
      <w:r>
        <w:fldChar w:fldCharType="begin"/>
      </w:r>
      <w:r>
        <w:instrText xml:space="preserve">eq </w:instrText>
      </w:r>
      <w:r>
        <w:rPr>
          <w:noProof/>
          <w:color w:val="FFFFFF"/>
          <w:spacing w:val="-20000"/>
          <w:sz w:val="2"/>
          <w:szCs w:val="28"/>
        </w:rPr>
        <w:instrText xml:space="preserve"> определяющие </w:instrText>
      </w:r>
      <w:r>
        <w:rPr>
          <w:noProof/>
          <w:shd w:val="clear" w:color="auto" w:fill="FFFFFF"/>
        </w:rPr>
        <w:instrText>счет</w:instrText>
      </w:r>
      <w:r>
        <w:rPr>
          <w:noProof/>
          <w:color w:val="FFFFFF"/>
          <w:spacing w:val="-20000"/>
          <w:sz w:val="2"/>
          <w:szCs w:val="28"/>
        </w:rPr>
        <w:instrText> какие</w:instrText>
      </w:r>
      <w:r>
        <w:fldChar w:fldCharType="end"/>
      </w:r>
      <w:r>
        <w:rPr>
          <w:shd w:val="clear" w:color="auto" w:fill="FFFFFF"/>
        </w:rPr>
        <w:t xml:space="preserve"> государственного </w:t>
      </w:r>
      <w:r>
        <w:fldChar w:fldCharType="begin"/>
      </w:r>
      <w:r>
        <w:instrText xml:space="preserve">eq </w:instrText>
      </w:r>
      <w:r>
        <w:rPr>
          <w:noProof/>
          <w:shd w:val="clear" w:color="auto" w:fill="FFFFFF"/>
        </w:rPr>
        <w:instrText>финансирования</w:instrText>
      </w:r>
      <w:r>
        <w:rPr>
          <w:noProof/>
          <w:color w:val="FFFFFF"/>
          <w:spacing w:val="-20000"/>
          <w:sz w:val="2"/>
          <w:szCs w:val="28"/>
        </w:rPr>
        <w:instrText> продолжает</w:instrText>
      </w:r>
      <w:r>
        <w:fldChar w:fldCharType="end"/>
      </w:r>
      <w:r>
        <w:rPr>
          <w:shd w:val="clear" w:color="auto" w:fill="FFFFFF"/>
        </w:rPr>
        <w:t xml:space="preserve">. Их предоставляют государственные и </w:t>
      </w:r>
      <w:r>
        <w:fldChar w:fldCharType="begin"/>
      </w:r>
      <w:r>
        <w:instrText xml:space="preserve">eq </w:instrText>
      </w:r>
      <w:r>
        <w:rPr>
          <w:noProof/>
          <w:color w:val="FFFFFF"/>
          <w:spacing w:val="-20000"/>
          <w:sz w:val="2"/>
          <w:szCs w:val="28"/>
        </w:rPr>
        <w:instrText xml:space="preserve"> свое </w:instrText>
      </w:r>
      <w:r>
        <w:rPr>
          <w:noProof/>
          <w:shd w:val="clear" w:color="auto" w:fill="FFFFFF"/>
        </w:rPr>
        <w:instrText>муниципальные</w:instrText>
      </w:r>
      <w:r>
        <w:rPr>
          <w:noProof/>
          <w:color w:val="FFFFFF"/>
          <w:spacing w:val="-20000"/>
          <w:sz w:val="2"/>
          <w:szCs w:val="28"/>
        </w:rPr>
        <w:instrText> основным</w:instrText>
      </w:r>
      <w:r>
        <w:fldChar w:fldCharType="end"/>
      </w:r>
      <w:r>
        <w:rPr>
          <w:shd w:val="clear" w:color="auto" w:fill="FFFFFF"/>
        </w:rPr>
        <w:t xml:space="preserve"> образовательные учреждения в </w:t>
      </w:r>
      <w:r>
        <w:fldChar w:fldCharType="begin"/>
      </w:r>
      <w:r>
        <w:instrText xml:space="preserve">eq </w:instrText>
      </w:r>
      <w:r>
        <w:rPr>
          <w:noProof/>
          <w:color w:val="FFFFFF"/>
          <w:spacing w:val="-20000"/>
          <w:sz w:val="2"/>
          <w:szCs w:val="28"/>
        </w:rPr>
        <w:instrText xml:space="preserve"> представлено </w:instrText>
      </w:r>
      <w:r>
        <w:rPr>
          <w:noProof/>
          <w:shd w:val="clear" w:color="auto" w:fill="FFFFFF"/>
        </w:rPr>
        <w:instrText>рамках</w:instrText>
      </w:r>
      <w:r>
        <w:fldChar w:fldCharType="end"/>
      </w:r>
      <w:r>
        <w:rPr>
          <w:shd w:val="clear" w:color="auto" w:fill="FFFFFF"/>
        </w:rPr>
        <w:t xml:space="preserve"> государственных образовательных </w:t>
      </w:r>
      <w:r>
        <w:fldChar w:fldCharType="begin"/>
      </w:r>
      <w:r>
        <w:instrText xml:space="preserve">eq </w:instrText>
      </w:r>
      <w:r>
        <w:rPr>
          <w:noProof/>
          <w:color w:val="FFFFFF"/>
          <w:spacing w:val="-20000"/>
          <w:sz w:val="2"/>
          <w:szCs w:val="28"/>
        </w:rPr>
        <w:instrText xml:space="preserve"> белыи </w:instrText>
      </w:r>
      <w:r>
        <w:rPr>
          <w:noProof/>
          <w:shd w:val="clear" w:color="auto" w:fill="FFFFFF"/>
        </w:rPr>
        <w:instrText>стандартов</w:instrText>
      </w:r>
      <w:r>
        <w:rPr>
          <w:noProof/>
          <w:color w:val="FFFFFF"/>
          <w:spacing w:val="-20000"/>
          <w:sz w:val="2"/>
          <w:szCs w:val="28"/>
        </w:rPr>
        <w:instrText> ответов</w:instrText>
      </w:r>
      <w:r>
        <w:fldChar w:fldCharType="end"/>
      </w:r>
      <w:r>
        <w:rPr>
          <w:shd w:val="clear" w:color="auto" w:fill="FFFFFF"/>
        </w:rPr>
        <w:t xml:space="preserve"> и программ.</w:t>
      </w:r>
    </w:p>
    <w:p w:rsidR="005E1201" w:rsidRPr="00933BF2" w:rsidRDefault="005E1201" w:rsidP="005E1201">
      <w:pPr>
        <w:ind w:right="-1" w:firstLine="709"/>
        <w:contextualSpacing/>
        <w:jc w:val="both"/>
      </w:pPr>
      <w:r>
        <w:fldChar w:fldCharType="begin"/>
      </w:r>
      <w:r>
        <w:instrText xml:space="preserve">eq </w:instrText>
      </w:r>
      <w:r>
        <w:rPr>
          <w:noProof/>
          <w:shd w:val="clear" w:color="auto" w:fill="FFFFFF"/>
        </w:rPr>
        <w:instrText>Однако</w:instrText>
      </w:r>
      <w:r>
        <w:rPr>
          <w:noProof/>
          <w:color w:val="FFFFFF"/>
          <w:spacing w:val="-20000"/>
          <w:sz w:val="2"/>
          <w:szCs w:val="28"/>
        </w:rPr>
        <w:instrText> дополнительные</w:instrText>
      </w:r>
      <w:r>
        <w:fldChar w:fldCharType="end"/>
      </w:r>
      <w:r>
        <w:rPr>
          <w:shd w:val="clear" w:color="auto" w:fill="FFFFFF"/>
        </w:rPr>
        <w:t xml:space="preserve"> стоит отметить, что </w:t>
      </w:r>
      <w:r>
        <w:t xml:space="preserve">в </w:t>
      </w:r>
      <w:r>
        <w:fldChar w:fldCharType="begin"/>
      </w:r>
      <w:r>
        <w:instrText xml:space="preserve">eq </w:instrText>
      </w:r>
      <w:r>
        <w:rPr>
          <w:noProof/>
          <w:color w:val="FFFFFF"/>
          <w:spacing w:val="-20000"/>
          <w:sz w:val="2"/>
          <w:szCs w:val="28"/>
        </w:rPr>
        <w:instrText xml:space="preserve"> поскольку </w:instrText>
      </w:r>
      <w:r>
        <w:rPr>
          <w:noProof/>
        </w:rPr>
        <w:instrText>2017</w:instrText>
      </w:r>
      <w:r>
        <w:rPr>
          <w:noProof/>
          <w:color w:val="FFFFFF"/>
          <w:spacing w:val="-20000"/>
          <w:sz w:val="2"/>
          <w:szCs w:val="28"/>
        </w:rPr>
        <w:instrText> cons</w:instrText>
      </w:r>
      <w:r>
        <w:fldChar w:fldCharType="end"/>
      </w:r>
      <w:r>
        <w:t xml:space="preserve"> году секвестр </w:t>
      </w:r>
      <w:r>
        <w:fldChar w:fldCharType="begin"/>
      </w:r>
      <w:r>
        <w:instrText xml:space="preserve">eq </w:instrText>
      </w:r>
      <w:r>
        <w:rPr>
          <w:noProof/>
          <w:color w:val="FFFFFF"/>
          <w:spacing w:val="-20000"/>
          <w:sz w:val="2"/>
          <w:szCs w:val="28"/>
        </w:rPr>
        <w:instrText xml:space="preserve"> идеология </w:instrText>
      </w:r>
      <w:r>
        <w:rPr>
          <w:noProof/>
        </w:rPr>
        <w:instrText>образовательной</w:instrText>
      </w:r>
      <w:r>
        <w:fldChar w:fldCharType="end"/>
      </w:r>
      <w:r>
        <w:t xml:space="preserve"> программы составит </w:t>
      </w:r>
      <w:r>
        <w:fldChar w:fldCharType="begin"/>
      </w:r>
      <w:r>
        <w:instrText xml:space="preserve">eq </w:instrText>
      </w:r>
      <w:r>
        <w:rPr>
          <w:noProof/>
          <w:color w:val="FFFFFF"/>
          <w:spacing w:val="-20000"/>
          <w:sz w:val="2"/>
          <w:szCs w:val="28"/>
        </w:rPr>
        <w:instrText xml:space="preserve"> режим </w:instrText>
      </w:r>
      <w:r>
        <w:rPr>
          <w:noProof/>
        </w:rPr>
        <w:instrText>23,4%</w:instrText>
      </w:r>
      <w:r>
        <w:rPr>
          <w:noProof/>
          <w:color w:val="FFFFFF"/>
          <w:spacing w:val="-20000"/>
          <w:sz w:val="2"/>
          <w:szCs w:val="28"/>
        </w:rPr>
        <w:instrText> вместе</w:instrText>
      </w:r>
      <w:r>
        <w:fldChar w:fldCharType="end"/>
      </w:r>
      <w:r>
        <w:t xml:space="preserve"> от паспорта </w:t>
      </w:r>
      <w:r>
        <w:fldChar w:fldCharType="begin"/>
      </w:r>
      <w:r>
        <w:instrText xml:space="preserve">eq </w:instrText>
      </w:r>
      <w:r>
        <w:rPr>
          <w:noProof/>
        </w:rPr>
        <w:instrText>программы</w:instrText>
      </w:r>
      <w:r>
        <w:rPr>
          <w:noProof/>
          <w:color w:val="FFFFFF"/>
          <w:spacing w:val="-20000"/>
          <w:sz w:val="2"/>
          <w:szCs w:val="28"/>
        </w:rPr>
        <w:instrText> очень</w:instrText>
      </w:r>
      <w:r>
        <w:fldChar w:fldCharType="end"/>
      </w:r>
      <w:r>
        <w:t xml:space="preserve">. Он продолжится в 2018 </w:t>
      </w:r>
      <w:r>
        <w:fldChar w:fldCharType="begin"/>
      </w:r>
      <w:r>
        <w:instrText xml:space="preserve">eq </w:instrText>
      </w:r>
      <w:r>
        <w:rPr>
          <w:noProof/>
          <w:color w:val="FFFFFF"/>
          <w:spacing w:val="-20000"/>
          <w:sz w:val="2"/>
          <w:szCs w:val="28"/>
        </w:rPr>
        <w:instrText xml:space="preserve"> данный </w:instrText>
      </w:r>
      <w:r>
        <w:rPr>
          <w:noProof/>
        </w:rPr>
        <w:instrText>году</w:instrText>
      </w:r>
      <w:r>
        <w:rPr>
          <w:noProof/>
          <w:color w:val="FFFFFF"/>
          <w:spacing w:val="-20000"/>
          <w:sz w:val="2"/>
          <w:szCs w:val="28"/>
        </w:rPr>
        <w:instrText> режим</w:instrText>
      </w:r>
      <w:r>
        <w:fldChar w:fldCharType="end"/>
      </w:r>
      <w:r>
        <w:t xml:space="preserve">: расходы сократятся на </w:t>
      </w:r>
      <w:r>
        <w:fldChar w:fldCharType="begin"/>
      </w:r>
      <w:r>
        <w:instrText xml:space="preserve">eq </w:instrText>
      </w:r>
      <w:r>
        <w:rPr>
          <w:noProof/>
          <w:color w:val="FFFFFF"/>
          <w:spacing w:val="-20000"/>
          <w:sz w:val="2"/>
          <w:szCs w:val="28"/>
        </w:rPr>
        <w:instrText xml:space="preserve"> какие </w:instrText>
      </w:r>
      <w:r>
        <w:rPr>
          <w:noProof/>
        </w:rPr>
        <w:instrText>28,5%</w:instrText>
      </w:r>
      <w:r>
        <w:fldChar w:fldCharType="end"/>
      </w:r>
      <w:r>
        <w:t xml:space="preserve"> и на 35,2% — в 2019 </w:t>
      </w:r>
      <w:r>
        <w:fldChar w:fldCharType="begin"/>
      </w:r>
      <w:r>
        <w:instrText xml:space="preserve">eq </w:instrText>
      </w:r>
      <w:r>
        <w:rPr>
          <w:noProof/>
          <w:color w:val="FFFFFF"/>
          <w:spacing w:val="-20000"/>
          <w:sz w:val="2"/>
          <w:szCs w:val="28"/>
        </w:rPr>
        <w:instrText xml:space="preserve"> узам </w:instrText>
      </w:r>
      <w:r>
        <w:rPr>
          <w:noProof/>
        </w:rPr>
        <w:instrText>году</w:instrText>
      </w:r>
      <w:r>
        <w:rPr>
          <w:noProof/>
          <w:color w:val="FFFFFF"/>
          <w:spacing w:val="-20000"/>
          <w:sz w:val="2"/>
          <w:szCs w:val="28"/>
        </w:rPr>
        <w:instrText> внимание</w:instrText>
      </w:r>
      <w:r>
        <w:fldChar w:fldCharType="end"/>
      </w:r>
      <w:r>
        <w:t xml:space="preserve">. Доля </w:t>
      </w:r>
      <w:r>
        <w:fldChar w:fldCharType="begin"/>
      </w:r>
      <w:r>
        <w:instrText xml:space="preserve">eq </w:instrText>
      </w:r>
      <w:r>
        <w:rPr>
          <w:noProof/>
        </w:rPr>
        <w:instrText>расходов</w:instrText>
      </w:r>
      <w:r>
        <w:rPr>
          <w:noProof/>
          <w:color w:val="FFFFFF"/>
          <w:spacing w:val="-20000"/>
          <w:sz w:val="2"/>
          <w:szCs w:val="28"/>
        </w:rPr>
        <w:instrText> графику</w:instrText>
      </w:r>
      <w:r>
        <w:fldChar w:fldCharType="end"/>
      </w:r>
      <w:r>
        <w:t xml:space="preserve"> на образование в общем </w:t>
      </w:r>
      <w:r>
        <w:fldChar w:fldCharType="begin"/>
      </w:r>
      <w:r>
        <w:instrText xml:space="preserve">eq </w:instrText>
      </w:r>
      <w:r>
        <w:rPr>
          <w:noProof/>
          <w:color w:val="FFFFFF"/>
          <w:spacing w:val="-20000"/>
          <w:sz w:val="2"/>
          <w:szCs w:val="28"/>
        </w:rPr>
        <w:instrText xml:space="preserve"> первую </w:instrText>
      </w:r>
      <w:r>
        <w:rPr>
          <w:noProof/>
        </w:rPr>
        <w:instrText>объеме</w:instrText>
      </w:r>
      <w:r>
        <w:rPr>
          <w:noProof/>
          <w:color w:val="FFFFFF"/>
          <w:spacing w:val="-20000"/>
          <w:sz w:val="2"/>
          <w:szCs w:val="28"/>
        </w:rPr>
        <w:instrText> перспективы</w:instrText>
      </w:r>
      <w:r>
        <w:fldChar w:fldCharType="end"/>
      </w:r>
      <w:r>
        <w:t xml:space="preserve"> бюджетных расходов </w:t>
      </w:r>
      <w:r>
        <w:fldChar w:fldCharType="begin"/>
      </w:r>
      <w:r>
        <w:instrText xml:space="preserve">eq </w:instrText>
      </w:r>
      <w:r>
        <w:rPr>
          <w:noProof/>
          <w:color w:val="FFFFFF"/>
          <w:spacing w:val="-20000"/>
          <w:sz w:val="2"/>
          <w:szCs w:val="28"/>
        </w:rPr>
        <w:instrText xml:space="preserve"> также </w:instrText>
      </w:r>
      <w:r>
        <w:rPr>
          <w:noProof/>
        </w:rPr>
        <w:instrText>упадет</w:instrText>
      </w:r>
      <w:r>
        <w:fldChar w:fldCharType="end"/>
      </w:r>
      <w:r>
        <w:t xml:space="preserve"> с 2,75% в 2015 </w:t>
      </w:r>
      <w:r>
        <w:fldChar w:fldCharType="begin"/>
      </w:r>
      <w:r>
        <w:instrText xml:space="preserve">eq </w:instrText>
      </w:r>
      <w:r>
        <w:rPr>
          <w:noProof/>
          <w:color w:val="FFFFFF"/>
          <w:spacing w:val="-20000"/>
          <w:sz w:val="2"/>
          <w:szCs w:val="28"/>
        </w:rPr>
        <w:instrText xml:space="preserve"> высшие </w:instrText>
      </w:r>
      <w:r>
        <w:rPr>
          <w:noProof/>
        </w:rPr>
        <w:instrText>году</w:instrText>
      </w:r>
      <w:r>
        <w:rPr>
          <w:noProof/>
          <w:color w:val="FFFFFF"/>
          <w:spacing w:val="-20000"/>
          <w:sz w:val="2"/>
          <w:szCs w:val="28"/>
        </w:rPr>
        <w:instrText> органами</w:instrText>
      </w:r>
      <w:r>
        <w:fldChar w:fldCharType="end"/>
      </w:r>
      <w:r>
        <w:t xml:space="preserve"> до 2,45% в 2019-</w:t>
      </w:r>
      <w:r>
        <w:fldChar w:fldCharType="begin"/>
      </w:r>
      <w:r>
        <w:instrText xml:space="preserve">eq </w:instrText>
      </w:r>
      <w:r>
        <w:rPr>
          <w:noProof/>
        </w:rPr>
        <w:instrText>м</w:instrText>
      </w:r>
      <w:r>
        <w:rPr>
          <w:noProof/>
          <w:color w:val="FFFFFF"/>
          <w:spacing w:val="-20000"/>
          <w:sz w:val="2"/>
          <w:szCs w:val="28"/>
        </w:rPr>
        <w:instrText> конф</w:instrText>
      </w:r>
      <w:r>
        <w:fldChar w:fldCharType="end"/>
      </w:r>
      <w:r>
        <w:t xml:space="preserve"> [5].</w:t>
      </w:r>
    </w:p>
    <w:p w:rsidR="005E1201" w:rsidRPr="00933BF2" w:rsidRDefault="005E1201" w:rsidP="005E1201">
      <w:pPr>
        <w:ind w:right="-1" w:firstLine="709"/>
        <w:contextualSpacing/>
        <w:jc w:val="both"/>
        <w:rPr>
          <w:shd w:val="clear" w:color="auto" w:fill="FFFFFF"/>
        </w:rPr>
      </w:pPr>
      <w:r>
        <w:rPr>
          <w:shd w:val="clear" w:color="auto" w:fill="FFFFFF"/>
        </w:rPr>
        <w:t xml:space="preserve">Платные образовательные </w:t>
      </w:r>
      <w:r>
        <w:fldChar w:fldCharType="begin"/>
      </w:r>
      <w:r>
        <w:instrText xml:space="preserve">eq </w:instrText>
      </w:r>
      <w:r>
        <w:rPr>
          <w:noProof/>
          <w:color w:val="FFFFFF"/>
          <w:spacing w:val="-20000"/>
          <w:sz w:val="2"/>
          <w:szCs w:val="28"/>
        </w:rPr>
        <w:instrText xml:space="preserve"> блока </w:instrText>
      </w:r>
      <w:r>
        <w:rPr>
          <w:noProof/>
          <w:shd w:val="clear" w:color="auto" w:fill="FFFFFF"/>
        </w:rPr>
        <w:instrText>услуги</w:instrText>
      </w:r>
      <w:r>
        <w:rPr>
          <w:noProof/>
          <w:color w:val="FFFFFF"/>
          <w:spacing w:val="-20000"/>
          <w:sz w:val="2"/>
          <w:szCs w:val="28"/>
        </w:rPr>
        <w:instrText> открытых</w:instrText>
      </w:r>
      <w:r>
        <w:fldChar w:fldCharType="end"/>
      </w:r>
      <w:r>
        <w:rPr>
          <w:shd w:val="clear" w:color="auto" w:fill="FFFFFF"/>
        </w:rPr>
        <w:t xml:space="preserve"> – услуги, которые </w:t>
      </w:r>
      <w:r>
        <w:fldChar w:fldCharType="begin"/>
      </w:r>
      <w:r>
        <w:instrText xml:space="preserve">eq </w:instrText>
      </w:r>
      <w:r>
        <w:rPr>
          <w:noProof/>
          <w:color w:val="FFFFFF"/>
          <w:spacing w:val="-20000"/>
          <w:sz w:val="2"/>
          <w:szCs w:val="28"/>
        </w:rPr>
        <w:instrText xml:space="preserve"> ответов </w:instrText>
      </w:r>
      <w:r>
        <w:rPr>
          <w:noProof/>
          <w:shd w:val="clear" w:color="auto" w:fill="FFFFFF"/>
        </w:rPr>
        <w:instrText>предоставляют</w:instrText>
      </w:r>
      <w:r>
        <w:fldChar w:fldCharType="end"/>
      </w:r>
      <w:r>
        <w:rPr>
          <w:shd w:val="clear" w:color="auto" w:fill="FFFFFF"/>
        </w:rPr>
        <w:t xml:space="preserve"> всевозможные образовательные </w:t>
      </w:r>
      <w:r>
        <w:fldChar w:fldCharType="begin"/>
      </w:r>
      <w:r>
        <w:instrText xml:space="preserve">eq </w:instrText>
      </w:r>
      <w:r>
        <w:rPr>
          <w:noProof/>
          <w:color w:val="FFFFFF"/>
          <w:spacing w:val="-20000"/>
          <w:sz w:val="2"/>
          <w:szCs w:val="28"/>
        </w:rPr>
        <w:instrText xml:space="preserve"> отрицательных </w:instrText>
      </w:r>
      <w:r>
        <w:rPr>
          <w:noProof/>
          <w:shd w:val="clear" w:color="auto" w:fill="FFFFFF"/>
        </w:rPr>
        <w:instrText>учреждения</w:instrText>
      </w:r>
      <w:r>
        <w:rPr>
          <w:noProof/>
          <w:color w:val="FFFFFF"/>
          <w:spacing w:val="-20000"/>
          <w:sz w:val="2"/>
          <w:szCs w:val="28"/>
        </w:rPr>
        <w:instrText> профессии</w:instrText>
      </w:r>
      <w:r>
        <w:fldChar w:fldCharType="end"/>
      </w:r>
      <w:r>
        <w:rPr>
          <w:shd w:val="clear" w:color="auto" w:fill="FFFFFF"/>
        </w:rPr>
        <w:t xml:space="preserve">, а также </w:t>
      </w:r>
      <w:r>
        <w:fldChar w:fldCharType="begin"/>
      </w:r>
      <w:r>
        <w:instrText xml:space="preserve">eq </w:instrText>
      </w:r>
      <w:r>
        <w:rPr>
          <w:noProof/>
          <w:shd w:val="clear" w:color="auto" w:fill="FFFFFF"/>
        </w:rPr>
        <w:instrText>лица</w:instrText>
      </w:r>
      <w:r>
        <w:rPr>
          <w:noProof/>
          <w:color w:val="FFFFFF"/>
          <w:spacing w:val="-20000"/>
          <w:sz w:val="2"/>
          <w:szCs w:val="28"/>
        </w:rPr>
        <w:instrText> зачастую</w:instrText>
      </w:r>
      <w:r>
        <w:fldChar w:fldCharType="end"/>
      </w:r>
      <w:r>
        <w:rPr>
          <w:shd w:val="clear" w:color="auto" w:fill="FFFFFF"/>
        </w:rPr>
        <w:t xml:space="preserve">, занимающиеся индивидуальной </w:t>
      </w:r>
      <w:r>
        <w:fldChar w:fldCharType="begin"/>
      </w:r>
      <w:r>
        <w:instrText xml:space="preserve">eq </w:instrText>
      </w:r>
      <w:r>
        <w:rPr>
          <w:noProof/>
          <w:color w:val="FFFFFF"/>
          <w:spacing w:val="-20000"/>
          <w:sz w:val="2"/>
          <w:szCs w:val="28"/>
        </w:rPr>
        <w:instrText xml:space="preserve"> приоритетные </w:instrText>
      </w:r>
      <w:r>
        <w:rPr>
          <w:noProof/>
          <w:shd w:val="clear" w:color="auto" w:fill="FFFFFF"/>
        </w:rPr>
        <w:instrText>трудовой</w:instrText>
      </w:r>
      <w:r>
        <w:rPr>
          <w:noProof/>
          <w:color w:val="FFFFFF"/>
          <w:spacing w:val="-20000"/>
          <w:sz w:val="2"/>
          <w:szCs w:val="28"/>
        </w:rPr>
        <w:instrText> росской</w:instrText>
      </w:r>
      <w:r>
        <w:fldChar w:fldCharType="end"/>
      </w:r>
      <w:r>
        <w:rPr>
          <w:shd w:val="clear" w:color="auto" w:fill="FFFFFF"/>
        </w:rPr>
        <w:t xml:space="preserve"> педагогической деятельностью, за </w:t>
      </w:r>
      <w:r>
        <w:fldChar w:fldCharType="begin"/>
      </w:r>
      <w:r>
        <w:instrText xml:space="preserve">eq </w:instrText>
      </w:r>
      <w:r>
        <w:rPr>
          <w:noProof/>
          <w:color w:val="FFFFFF"/>
          <w:spacing w:val="-20000"/>
          <w:sz w:val="2"/>
          <w:szCs w:val="28"/>
        </w:rPr>
        <w:instrText xml:space="preserve"> также </w:instrText>
      </w:r>
      <w:r>
        <w:rPr>
          <w:noProof/>
          <w:shd w:val="clear" w:color="auto" w:fill="FFFFFF"/>
        </w:rPr>
        <w:instrText>определенную</w:instrText>
      </w:r>
      <w:r>
        <w:fldChar w:fldCharType="end"/>
      </w:r>
      <w:r>
        <w:rPr>
          <w:shd w:val="clear" w:color="auto" w:fill="FFFFFF"/>
        </w:rPr>
        <w:t xml:space="preserve"> плату. </w:t>
      </w:r>
    </w:p>
    <w:p w:rsidR="005E1201" w:rsidRPr="0025022D" w:rsidRDefault="005E1201" w:rsidP="005E1201">
      <w:pPr>
        <w:widowControl w:val="0"/>
        <w:autoSpaceDE w:val="0"/>
        <w:autoSpaceDN w:val="0"/>
        <w:adjustRightInd w:val="0"/>
        <w:ind w:right="-1" w:firstLine="709"/>
        <w:contextualSpacing/>
        <w:jc w:val="both"/>
      </w:pPr>
      <w:r>
        <w:t xml:space="preserve">При этом </w:t>
      </w:r>
      <w:r>
        <w:fldChar w:fldCharType="begin"/>
      </w:r>
      <w:r>
        <w:instrText xml:space="preserve">eq </w:instrText>
      </w:r>
      <w:r>
        <w:rPr>
          <w:noProof/>
          <w:color w:val="FFFFFF"/>
          <w:spacing w:val="-20000"/>
          <w:sz w:val="2"/>
          <w:szCs w:val="28"/>
        </w:rPr>
        <w:instrText xml:space="preserve"> html </w:instrText>
      </w:r>
      <w:r>
        <w:rPr>
          <w:noProof/>
        </w:rPr>
        <w:instrText>стоит</w:instrText>
      </w:r>
      <w:r>
        <w:rPr>
          <w:noProof/>
          <w:color w:val="FFFFFF"/>
          <w:spacing w:val="-20000"/>
          <w:sz w:val="2"/>
          <w:szCs w:val="28"/>
        </w:rPr>
        <w:instrText> какие</w:instrText>
      </w:r>
      <w:r>
        <w:fldChar w:fldCharType="end"/>
      </w:r>
      <w:r>
        <w:t xml:space="preserve"> отметить, что в </w:t>
      </w:r>
      <w:r>
        <w:fldChar w:fldCharType="begin"/>
      </w:r>
      <w:r>
        <w:instrText xml:space="preserve">eq </w:instrText>
      </w:r>
      <w:r>
        <w:rPr>
          <w:noProof/>
        </w:rPr>
        <w:instrText>целом</w:instrText>
      </w:r>
      <w:r>
        <w:rPr>
          <w:noProof/>
          <w:color w:val="FFFFFF"/>
          <w:spacing w:val="-20000"/>
          <w:sz w:val="2"/>
          <w:szCs w:val="28"/>
        </w:rPr>
        <w:instrText> сегодняшний</w:instrText>
      </w:r>
      <w:r>
        <w:fldChar w:fldCharType="end"/>
      </w:r>
      <w:r>
        <w:t xml:space="preserve">, образовательное пространство </w:t>
      </w:r>
      <w:r>
        <w:fldChar w:fldCharType="begin"/>
      </w:r>
      <w:r>
        <w:instrText xml:space="preserve">eq </w:instrText>
      </w:r>
      <w:r>
        <w:rPr>
          <w:noProof/>
          <w:color w:val="FFFFFF"/>
          <w:spacing w:val="-20000"/>
          <w:sz w:val="2"/>
          <w:szCs w:val="28"/>
        </w:rPr>
        <w:instrText xml:space="preserve"> режим </w:instrText>
      </w:r>
      <w:r>
        <w:rPr>
          <w:noProof/>
        </w:rPr>
        <w:instrText>Дальнего</w:instrText>
      </w:r>
      <w:r>
        <w:rPr>
          <w:noProof/>
          <w:color w:val="FFFFFF"/>
          <w:spacing w:val="-20000"/>
          <w:sz w:val="2"/>
          <w:szCs w:val="28"/>
        </w:rPr>
        <w:instrText> году</w:instrText>
      </w:r>
      <w:r>
        <w:fldChar w:fldCharType="end"/>
      </w:r>
      <w:r>
        <w:t xml:space="preserve"> Востока, представлено не </w:t>
      </w:r>
      <w:r>
        <w:fldChar w:fldCharType="begin"/>
      </w:r>
      <w:r>
        <w:instrText xml:space="preserve">eq </w:instrText>
      </w:r>
      <w:r>
        <w:rPr>
          <w:noProof/>
          <w:color w:val="FFFFFF"/>
          <w:spacing w:val="-20000"/>
          <w:sz w:val="2"/>
          <w:szCs w:val="28"/>
        </w:rPr>
        <w:instrText xml:space="preserve"> направленные </w:instrText>
      </w:r>
      <w:r>
        <w:rPr>
          <w:noProof/>
        </w:rPr>
        <w:instrText>только</w:instrText>
      </w:r>
      <w:r>
        <w:fldChar w:fldCharType="end"/>
      </w:r>
      <w:r>
        <w:t xml:space="preserve"> группой государственных и </w:t>
      </w:r>
      <w:r>
        <w:fldChar w:fldCharType="begin"/>
      </w:r>
      <w:r>
        <w:instrText xml:space="preserve">eq </w:instrText>
      </w:r>
      <w:r>
        <w:rPr>
          <w:noProof/>
          <w:color w:val="FFFFFF"/>
          <w:spacing w:val="-20000"/>
          <w:sz w:val="2"/>
          <w:szCs w:val="28"/>
        </w:rPr>
        <w:instrText xml:space="preserve"> профессии </w:instrText>
      </w:r>
      <w:r>
        <w:rPr>
          <w:noProof/>
        </w:rPr>
        <w:instrText>негосударственных</w:instrText>
      </w:r>
      <w:r>
        <w:rPr>
          <w:noProof/>
          <w:color w:val="FFFFFF"/>
          <w:spacing w:val="-20000"/>
          <w:sz w:val="2"/>
          <w:szCs w:val="28"/>
        </w:rPr>
        <w:instrText> докладе</w:instrText>
      </w:r>
      <w:r>
        <w:fldChar w:fldCharType="end"/>
      </w:r>
      <w:r>
        <w:t xml:space="preserve"> вузов, но и </w:t>
      </w:r>
      <w:r>
        <w:fldChar w:fldCharType="begin"/>
      </w:r>
      <w:r>
        <w:instrText xml:space="preserve">eq </w:instrText>
      </w:r>
      <w:r>
        <w:rPr>
          <w:noProof/>
        </w:rPr>
        <w:instrText>группой</w:instrText>
      </w:r>
      <w:r>
        <w:rPr>
          <w:noProof/>
          <w:color w:val="FFFFFF"/>
          <w:spacing w:val="-20000"/>
          <w:sz w:val="2"/>
          <w:szCs w:val="28"/>
        </w:rPr>
        <w:instrText> постоянную</w:instrText>
      </w:r>
      <w:r>
        <w:fldChar w:fldCharType="end"/>
      </w:r>
      <w:r>
        <w:t xml:space="preserve"> вузов и их филиалов [6].</w:t>
      </w:r>
    </w:p>
    <w:p w:rsidR="005E1201" w:rsidRPr="0025022D" w:rsidRDefault="005E1201" w:rsidP="005E1201">
      <w:pPr>
        <w:ind w:right="-1" w:firstLine="709"/>
        <w:contextualSpacing/>
        <w:jc w:val="both"/>
        <w:rPr>
          <w:shd w:val="clear" w:color="auto" w:fill="FFFFFF"/>
        </w:rPr>
      </w:pPr>
      <w:r>
        <w:fldChar w:fldCharType="begin"/>
      </w:r>
      <w:r>
        <w:instrText xml:space="preserve">eq </w:instrText>
      </w:r>
      <w:r>
        <w:rPr>
          <w:noProof/>
          <w:color w:val="FFFFFF"/>
          <w:spacing w:val="-20000"/>
          <w:sz w:val="2"/>
          <w:szCs w:val="28"/>
        </w:rPr>
        <w:instrText xml:space="preserve"> выпускников </w:instrText>
      </w:r>
      <w:r>
        <w:rPr>
          <w:noProof/>
          <w:shd w:val="clear" w:color="auto" w:fill="FFFFFF"/>
        </w:rPr>
        <w:instrText>Если</w:instrText>
      </w:r>
      <w:r>
        <w:rPr>
          <w:noProof/>
          <w:color w:val="FFFFFF"/>
          <w:spacing w:val="-20000"/>
          <w:sz w:val="2"/>
          <w:szCs w:val="28"/>
        </w:rPr>
        <w:instrText> какие</w:instrText>
      </w:r>
      <w:r>
        <w:fldChar w:fldCharType="end"/>
      </w:r>
      <w:r>
        <w:rPr>
          <w:shd w:val="clear" w:color="auto" w:fill="FFFFFF"/>
        </w:rPr>
        <w:t xml:space="preserve"> на рынке существует </w:t>
      </w:r>
      <w:r>
        <w:fldChar w:fldCharType="begin"/>
      </w:r>
      <w:r>
        <w:instrText xml:space="preserve">eq </w:instrText>
      </w:r>
      <w:r>
        <w:rPr>
          <w:noProof/>
          <w:color w:val="FFFFFF"/>
          <w:spacing w:val="-20000"/>
          <w:sz w:val="2"/>
          <w:szCs w:val="28"/>
        </w:rPr>
        <w:instrText xml:space="preserve"> также </w:instrText>
      </w:r>
      <w:r>
        <w:rPr>
          <w:noProof/>
          <w:shd w:val="clear" w:color="auto" w:fill="FFFFFF"/>
        </w:rPr>
        <w:instrText>услуга</w:instrText>
      </w:r>
      <w:r>
        <w:fldChar w:fldCharType="end"/>
      </w:r>
      <w:r>
        <w:rPr>
          <w:shd w:val="clear" w:color="auto" w:fill="FFFFFF"/>
        </w:rPr>
        <w:t xml:space="preserve">, значит обязательно </w:t>
      </w:r>
      <w:r>
        <w:fldChar w:fldCharType="begin"/>
      </w:r>
      <w:r>
        <w:instrText xml:space="preserve">eq </w:instrText>
      </w:r>
      <w:r>
        <w:rPr>
          <w:noProof/>
          <w:color w:val="FFFFFF"/>
          <w:spacing w:val="-20000"/>
          <w:sz w:val="2"/>
          <w:szCs w:val="28"/>
        </w:rPr>
        <w:instrText xml:space="preserve"> шевченко </w:instrText>
      </w:r>
      <w:r>
        <w:rPr>
          <w:noProof/>
          <w:shd w:val="clear" w:color="auto" w:fill="FFFFFF"/>
        </w:rPr>
        <w:instrText>есть</w:instrText>
      </w:r>
      <w:r>
        <w:rPr>
          <w:noProof/>
          <w:color w:val="FFFFFF"/>
          <w:spacing w:val="-20000"/>
          <w:sz w:val="2"/>
          <w:szCs w:val="28"/>
        </w:rPr>
        <w:instrText> сегодняшний</w:instrText>
      </w:r>
      <w:r>
        <w:fldChar w:fldCharType="end"/>
      </w:r>
      <w:r>
        <w:rPr>
          <w:shd w:val="clear" w:color="auto" w:fill="FFFFFF"/>
        </w:rPr>
        <w:t xml:space="preserve"> и тот, кто ею пользуется: </w:t>
      </w:r>
      <w:r>
        <w:fldChar w:fldCharType="begin"/>
      </w:r>
      <w:r>
        <w:instrText xml:space="preserve">eq </w:instrText>
      </w:r>
      <w:r>
        <w:rPr>
          <w:noProof/>
          <w:shd w:val="clear" w:color="auto" w:fill="FFFFFF"/>
        </w:rPr>
        <w:instrText>речь</w:instrText>
      </w:r>
      <w:r>
        <w:rPr>
          <w:noProof/>
          <w:color w:val="FFFFFF"/>
          <w:spacing w:val="-20000"/>
          <w:sz w:val="2"/>
          <w:szCs w:val="28"/>
        </w:rPr>
        <w:instrText> дает</w:instrText>
      </w:r>
      <w:r>
        <w:fldChar w:fldCharType="end"/>
      </w:r>
      <w:r>
        <w:rPr>
          <w:shd w:val="clear" w:color="auto" w:fill="FFFFFF"/>
        </w:rPr>
        <w:t xml:space="preserve"> идет о потребителе. </w:t>
      </w:r>
      <w:r>
        <w:fldChar w:fldCharType="begin"/>
      </w:r>
      <w:r>
        <w:instrText xml:space="preserve">eq </w:instrText>
      </w:r>
      <w:r>
        <w:rPr>
          <w:noProof/>
          <w:color w:val="FFFFFF"/>
          <w:spacing w:val="-20000"/>
          <w:sz w:val="2"/>
          <w:szCs w:val="28"/>
        </w:rPr>
        <w:instrText xml:space="preserve"> nauka </w:instrText>
      </w:r>
      <w:r>
        <w:rPr>
          <w:noProof/>
          <w:shd w:val="clear" w:color="auto" w:fill="FFFFFF"/>
        </w:rPr>
        <w:instrText>Потребитель</w:instrText>
      </w:r>
      <w:r>
        <w:rPr>
          <w:noProof/>
          <w:color w:val="FFFFFF"/>
          <w:spacing w:val="-20000"/>
          <w:sz w:val="2"/>
          <w:szCs w:val="28"/>
        </w:rPr>
        <w:instrText> режим</w:instrText>
      </w:r>
      <w:r>
        <w:fldChar w:fldCharType="end"/>
      </w:r>
      <w:r>
        <w:rPr>
          <w:shd w:val="clear" w:color="auto" w:fill="FFFFFF"/>
        </w:rPr>
        <w:t xml:space="preserve"> – это гражданин, имеющий </w:t>
      </w:r>
      <w:r>
        <w:fldChar w:fldCharType="begin"/>
      </w:r>
      <w:r>
        <w:instrText xml:space="preserve">eq </w:instrText>
      </w:r>
      <w:r>
        <w:rPr>
          <w:noProof/>
          <w:color w:val="FFFFFF"/>
          <w:spacing w:val="-20000"/>
          <w:sz w:val="2"/>
          <w:szCs w:val="28"/>
        </w:rPr>
        <w:instrText xml:space="preserve"> снижение </w:instrText>
      </w:r>
      <w:r>
        <w:rPr>
          <w:noProof/>
          <w:shd w:val="clear" w:color="auto" w:fill="FFFFFF"/>
        </w:rPr>
        <w:instrText>намерение</w:instrText>
      </w:r>
      <w:r>
        <w:fldChar w:fldCharType="end"/>
      </w:r>
      <w:r>
        <w:rPr>
          <w:shd w:val="clear" w:color="auto" w:fill="FFFFFF"/>
        </w:rPr>
        <w:t xml:space="preserve"> заказать или приобрести </w:t>
      </w:r>
      <w:r>
        <w:fldChar w:fldCharType="begin"/>
      </w:r>
      <w:r>
        <w:instrText xml:space="preserve">eq </w:instrText>
      </w:r>
      <w:r>
        <w:rPr>
          <w:noProof/>
          <w:color w:val="FFFFFF"/>
          <w:spacing w:val="-20000"/>
          <w:sz w:val="2"/>
          <w:szCs w:val="28"/>
        </w:rPr>
        <w:instrText xml:space="preserve"> рынках </w:instrText>
      </w:r>
      <w:r>
        <w:rPr>
          <w:noProof/>
          <w:shd w:val="clear" w:color="auto" w:fill="FFFFFF"/>
        </w:rPr>
        <w:instrText>либо</w:instrText>
      </w:r>
      <w:r>
        <w:rPr>
          <w:noProof/>
          <w:color w:val="FFFFFF"/>
          <w:spacing w:val="-20000"/>
          <w:sz w:val="2"/>
          <w:szCs w:val="28"/>
        </w:rPr>
        <w:instrText> конкуренции</w:instrText>
      </w:r>
      <w:r>
        <w:fldChar w:fldCharType="end"/>
      </w:r>
      <w:r>
        <w:rPr>
          <w:shd w:val="clear" w:color="auto" w:fill="FFFFFF"/>
        </w:rPr>
        <w:t xml:space="preserve"> заказывающий, </w:t>
      </w:r>
      <w:r>
        <w:fldChar w:fldCharType="begin"/>
      </w:r>
      <w:r>
        <w:instrText xml:space="preserve">eq </w:instrText>
      </w:r>
      <w:r>
        <w:rPr>
          <w:noProof/>
          <w:shd w:val="clear" w:color="auto" w:fill="FFFFFF"/>
        </w:rPr>
        <w:instrText>приобретающий</w:instrText>
      </w:r>
      <w:r>
        <w:rPr>
          <w:noProof/>
          <w:color w:val="FFFFFF"/>
          <w:spacing w:val="-20000"/>
          <w:sz w:val="2"/>
          <w:szCs w:val="28"/>
        </w:rPr>
        <w:instrText> результата</w:instrText>
      </w:r>
      <w:r>
        <w:fldChar w:fldCharType="end"/>
      </w:r>
      <w:r>
        <w:rPr>
          <w:shd w:val="clear" w:color="auto" w:fill="FFFFFF"/>
        </w:rPr>
        <w:t xml:space="preserve"> или использующий товары (</w:t>
      </w:r>
      <w:r>
        <w:fldChar w:fldCharType="begin"/>
      </w:r>
      <w:r>
        <w:instrText xml:space="preserve">eq </w:instrText>
      </w:r>
      <w:r>
        <w:rPr>
          <w:noProof/>
          <w:color w:val="FFFFFF"/>
          <w:spacing w:val="-20000"/>
          <w:sz w:val="2"/>
          <w:szCs w:val="28"/>
        </w:rPr>
        <w:instrText xml:space="preserve"> napravleniya </w:instrText>
      </w:r>
      <w:r>
        <w:rPr>
          <w:noProof/>
          <w:shd w:val="clear" w:color="auto" w:fill="FFFFFF"/>
        </w:rPr>
        <w:instrText>работы</w:instrText>
      </w:r>
      <w:r>
        <w:rPr>
          <w:noProof/>
          <w:color w:val="FFFFFF"/>
          <w:spacing w:val="-20000"/>
          <w:sz w:val="2"/>
          <w:szCs w:val="28"/>
        </w:rPr>
        <w:instrText> имеющий</w:instrText>
      </w:r>
      <w:r>
        <w:fldChar w:fldCharType="end"/>
      </w:r>
      <w:r>
        <w:rPr>
          <w:shd w:val="clear" w:color="auto" w:fill="FFFFFF"/>
        </w:rPr>
        <w:t xml:space="preserve">, услуги) исключительно для </w:t>
      </w:r>
      <w:r>
        <w:fldChar w:fldCharType="begin"/>
      </w:r>
      <w:r>
        <w:instrText xml:space="preserve">eq </w:instrText>
      </w:r>
      <w:r>
        <w:rPr>
          <w:noProof/>
          <w:color w:val="FFFFFF"/>
          <w:spacing w:val="-20000"/>
          <w:sz w:val="2"/>
          <w:szCs w:val="28"/>
        </w:rPr>
        <w:instrText xml:space="preserve"> образовании </w:instrText>
      </w:r>
      <w:r>
        <w:rPr>
          <w:noProof/>
          <w:shd w:val="clear" w:color="auto" w:fill="FFFFFF"/>
        </w:rPr>
        <w:instrText>личных</w:instrText>
      </w:r>
      <w:r>
        <w:fldChar w:fldCharType="end"/>
      </w:r>
      <w:r>
        <w:rPr>
          <w:shd w:val="clear" w:color="auto" w:fill="FFFFFF"/>
        </w:rPr>
        <w:t xml:space="preserve">, семейных, домашних и </w:t>
      </w:r>
      <w:r>
        <w:fldChar w:fldCharType="begin"/>
      </w:r>
      <w:r>
        <w:instrText xml:space="preserve">eq </w:instrText>
      </w:r>
      <w:r>
        <w:rPr>
          <w:noProof/>
          <w:color w:val="FFFFFF"/>
          <w:spacing w:val="-20000"/>
          <w:sz w:val="2"/>
          <w:szCs w:val="28"/>
        </w:rPr>
        <w:instrText xml:space="preserve"> итогах </w:instrText>
      </w:r>
      <w:r>
        <w:rPr>
          <w:noProof/>
          <w:shd w:val="clear" w:color="auto" w:fill="FFFFFF"/>
        </w:rPr>
        <w:instrText>иных</w:instrText>
      </w:r>
      <w:r>
        <w:rPr>
          <w:noProof/>
          <w:color w:val="FFFFFF"/>
          <w:spacing w:val="-20000"/>
          <w:sz w:val="2"/>
          <w:szCs w:val="28"/>
        </w:rPr>
        <w:instrText> направления</w:instrText>
      </w:r>
      <w:r>
        <w:fldChar w:fldCharType="end"/>
      </w:r>
      <w:r>
        <w:rPr>
          <w:shd w:val="clear" w:color="auto" w:fill="FFFFFF"/>
        </w:rPr>
        <w:t xml:space="preserve"> нужд, не </w:t>
      </w:r>
      <w:r>
        <w:fldChar w:fldCharType="begin"/>
      </w:r>
      <w:r>
        <w:instrText xml:space="preserve">eq </w:instrText>
      </w:r>
      <w:r>
        <w:rPr>
          <w:noProof/>
          <w:shd w:val="clear" w:color="auto" w:fill="FFFFFF"/>
        </w:rPr>
        <w:instrText>связанных</w:instrText>
      </w:r>
      <w:r>
        <w:rPr>
          <w:noProof/>
          <w:color w:val="FFFFFF"/>
          <w:spacing w:val="-20000"/>
          <w:sz w:val="2"/>
          <w:szCs w:val="28"/>
        </w:rPr>
        <w:instrText> сайт</w:instrText>
      </w:r>
      <w:r>
        <w:fldChar w:fldCharType="end"/>
      </w:r>
      <w:r>
        <w:rPr>
          <w:shd w:val="clear" w:color="auto" w:fill="FFFFFF"/>
        </w:rPr>
        <w:t xml:space="preserve"> с осуществлением предпринимательской </w:t>
      </w:r>
      <w:r>
        <w:fldChar w:fldCharType="begin"/>
      </w:r>
      <w:r>
        <w:instrText xml:space="preserve">eq </w:instrText>
      </w:r>
      <w:r>
        <w:rPr>
          <w:noProof/>
          <w:color w:val="FFFFFF"/>
          <w:spacing w:val="-20000"/>
          <w:sz w:val="2"/>
          <w:szCs w:val="28"/>
        </w:rPr>
        <w:instrText xml:space="preserve"> также </w:instrText>
      </w:r>
      <w:r>
        <w:rPr>
          <w:noProof/>
          <w:shd w:val="clear" w:color="auto" w:fill="FFFFFF"/>
        </w:rPr>
        <w:instrText>деятельности</w:instrText>
      </w:r>
      <w:r>
        <w:rPr>
          <w:noProof/>
          <w:color w:val="FFFFFF"/>
          <w:spacing w:val="-20000"/>
          <w:sz w:val="2"/>
          <w:szCs w:val="28"/>
        </w:rPr>
        <w:instrText> романова</w:instrText>
      </w:r>
      <w:r>
        <w:fldChar w:fldCharType="end"/>
      </w:r>
      <w:r>
        <w:rPr>
          <w:shd w:val="clear" w:color="auto" w:fill="FFFFFF"/>
        </w:rPr>
        <w:t xml:space="preserve"> [7].</w:t>
      </w:r>
    </w:p>
    <w:p w:rsidR="005E1201" w:rsidRPr="00933BF2" w:rsidRDefault="005E1201" w:rsidP="005E1201">
      <w:pPr>
        <w:ind w:right="-1" w:firstLine="709"/>
        <w:contextualSpacing/>
        <w:jc w:val="both"/>
      </w:pPr>
      <w:r>
        <w:t>Потребитель является «</w:t>
      </w:r>
      <w:r>
        <w:fldChar w:fldCharType="begin"/>
      </w:r>
      <w:r>
        <w:instrText xml:space="preserve">eq </w:instrText>
      </w:r>
      <w:r>
        <w:rPr>
          <w:noProof/>
          <w:color w:val="FFFFFF"/>
          <w:spacing w:val="-20000"/>
          <w:sz w:val="2"/>
          <w:szCs w:val="28"/>
        </w:rPr>
        <w:instrText xml:space="preserve"> рынках </w:instrText>
      </w:r>
      <w:r>
        <w:rPr>
          <w:noProof/>
        </w:rPr>
        <w:instrText>главным</w:instrText>
      </w:r>
      <w:r>
        <w:fldChar w:fldCharType="end"/>
      </w:r>
      <w:r>
        <w:t xml:space="preserve"> объектом» на рынке. </w:t>
      </w:r>
      <w:r>
        <w:fldChar w:fldCharType="begin"/>
      </w:r>
      <w:r>
        <w:instrText xml:space="preserve">eq </w:instrText>
      </w:r>
      <w:r>
        <w:rPr>
          <w:noProof/>
          <w:color w:val="FFFFFF"/>
          <w:spacing w:val="-20000"/>
          <w:sz w:val="2"/>
          <w:szCs w:val="28"/>
        </w:rPr>
        <w:instrText xml:space="preserve"> сегодняшний </w:instrText>
      </w:r>
      <w:r>
        <w:rPr>
          <w:noProof/>
        </w:rPr>
        <w:instrText>Именно</w:instrText>
      </w:r>
      <w:r>
        <w:rPr>
          <w:noProof/>
          <w:color w:val="FFFFFF"/>
          <w:spacing w:val="-20000"/>
          <w:sz w:val="2"/>
          <w:szCs w:val="28"/>
        </w:rPr>
        <w:instrText> каждый</w:instrText>
      </w:r>
      <w:r>
        <w:fldChar w:fldCharType="end"/>
      </w:r>
      <w:r>
        <w:t xml:space="preserve"> он определяет, что </w:t>
      </w:r>
      <w:r>
        <w:fldChar w:fldCharType="begin"/>
      </w:r>
      <w:r>
        <w:instrText xml:space="preserve">eq </w:instrText>
      </w:r>
      <w:r>
        <w:rPr>
          <w:noProof/>
        </w:rPr>
        <w:instrText>будет</w:instrText>
      </w:r>
      <w:r>
        <w:rPr>
          <w:noProof/>
          <w:color w:val="FFFFFF"/>
          <w:spacing w:val="-20000"/>
          <w:sz w:val="2"/>
          <w:szCs w:val="28"/>
        </w:rPr>
        <w:instrText> режим</w:instrText>
      </w:r>
      <w:r>
        <w:fldChar w:fldCharType="end"/>
      </w:r>
      <w:r>
        <w:t xml:space="preserve"> производиться, в каком </w:t>
      </w:r>
      <w:r>
        <w:fldChar w:fldCharType="begin"/>
      </w:r>
      <w:r>
        <w:instrText xml:space="preserve">eq </w:instrText>
      </w:r>
      <w:r>
        <w:rPr>
          <w:noProof/>
          <w:color w:val="FFFFFF"/>
          <w:spacing w:val="-20000"/>
          <w:sz w:val="2"/>
          <w:szCs w:val="28"/>
        </w:rPr>
        <w:instrText xml:space="preserve"> будет </w:instrText>
      </w:r>
      <w:r>
        <w:rPr>
          <w:noProof/>
        </w:rPr>
        <w:instrText>количестве</w:instrText>
      </w:r>
      <w:r>
        <w:rPr>
          <w:noProof/>
          <w:color w:val="FFFFFF"/>
          <w:spacing w:val="-20000"/>
          <w:sz w:val="2"/>
          <w:szCs w:val="28"/>
        </w:rPr>
        <w:instrText> которых</w:instrText>
      </w:r>
      <w:r>
        <w:fldChar w:fldCharType="end"/>
      </w:r>
      <w:r>
        <w:t xml:space="preserve"> и по какой цене </w:t>
      </w:r>
      <w:r>
        <w:fldChar w:fldCharType="begin"/>
      </w:r>
      <w:r>
        <w:instrText xml:space="preserve">eq </w:instrText>
      </w:r>
      <w:r>
        <w:rPr>
          <w:noProof/>
          <w:color w:val="FFFFFF"/>
          <w:spacing w:val="-20000"/>
          <w:sz w:val="2"/>
          <w:szCs w:val="28"/>
        </w:rPr>
        <w:instrText xml:space="preserve"> положительным </w:instrText>
      </w:r>
      <w:r>
        <w:rPr>
          <w:noProof/>
        </w:rPr>
        <w:instrText>затем</w:instrText>
      </w:r>
      <w:r>
        <w:fldChar w:fldCharType="end"/>
      </w:r>
      <w:r>
        <w:t xml:space="preserve"> будет продаваться. О </w:t>
      </w:r>
      <w:r>
        <w:fldChar w:fldCharType="begin"/>
      </w:r>
      <w:r>
        <w:instrText xml:space="preserve">eq </w:instrText>
      </w:r>
      <w:r>
        <w:rPr>
          <w:noProof/>
          <w:color w:val="FFFFFF"/>
          <w:spacing w:val="-20000"/>
          <w:sz w:val="2"/>
          <w:szCs w:val="28"/>
        </w:rPr>
        <w:instrText xml:space="preserve"> министерство </w:instrText>
      </w:r>
      <w:r>
        <w:rPr>
          <w:noProof/>
        </w:rPr>
        <w:instrText>потребностях</w:instrText>
      </w:r>
      <w:r>
        <w:rPr>
          <w:noProof/>
          <w:color w:val="FFFFFF"/>
          <w:spacing w:val="-20000"/>
          <w:sz w:val="2"/>
          <w:szCs w:val="28"/>
        </w:rPr>
        <w:instrText> также</w:instrText>
      </w:r>
      <w:r>
        <w:fldChar w:fldCharType="end"/>
      </w:r>
      <w:r>
        <w:t xml:space="preserve"> потенциальных </w:t>
      </w:r>
      <w:r>
        <w:fldChar w:fldCharType="begin"/>
      </w:r>
      <w:r>
        <w:instrText xml:space="preserve">eq </w:instrText>
      </w:r>
      <w:r>
        <w:rPr>
          <w:noProof/>
        </w:rPr>
        <w:instrText>покупателей</w:instrText>
      </w:r>
      <w:r>
        <w:rPr>
          <w:noProof/>
          <w:color w:val="FFFFFF"/>
          <w:spacing w:val="-20000"/>
          <w:sz w:val="2"/>
          <w:szCs w:val="28"/>
        </w:rPr>
        <w:instrText> высшие</w:instrText>
      </w:r>
      <w:r>
        <w:fldChar w:fldCharType="end"/>
      </w:r>
      <w:r>
        <w:t xml:space="preserve"> необходимо знать </w:t>
      </w:r>
      <w:r>
        <w:fldChar w:fldCharType="begin"/>
      </w:r>
      <w:r>
        <w:instrText xml:space="preserve">eq </w:instrText>
      </w:r>
      <w:r>
        <w:rPr>
          <w:noProof/>
          <w:color w:val="FFFFFF"/>
          <w:spacing w:val="-20000"/>
          <w:sz w:val="2"/>
          <w:szCs w:val="28"/>
        </w:rPr>
        <w:instrText xml:space="preserve"> полученных </w:instrText>
      </w:r>
      <w:r>
        <w:rPr>
          <w:noProof/>
        </w:rPr>
        <w:instrText>задолго</w:instrText>
      </w:r>
      <w:r>
        <w:rPr>
          <w:noProof/>
          <w:color w:val="FFFFFF"/>
          <w:spacing w:val="-20000"/>
          <w:sz w:val="2"/>
          <w:szCs w:val="28"/>
        </w:rPr>
        <w:instrText> данный</w:instrText>
      </w:r>
      <w:r>
        <w:fldChar w:fldCharType="end"/>
      </w:r>
      <w:r>
        <w:t xml:space="preserve"> до производства, так как успех </w:t>
      </w:r>
      <w:r>
        <w:fldChar w:fldCharType="begin"/>
      </w:r>
      <w:r>
        <w:instrText xml:space="preserve">eq </w:instrText>
      </w:r>
      <w:r>
        <w:rPr>
          <w:noProof/>
          <w:color w:val="FFFFFF"/>
          <w:spacing w:val="-20000"/>
          <w:sz w:val="2"/>
          <w:szCs w:val="28"/>
        </w:rPr>
        <w:instrText xml:space="preserve"> развития </w:instrText>
      </w:r>
      <w:r>
        <w:rPr>
          <w:noProof/>
        </w:rPr>
        <w:instrText>предприятия</w:instrText>
      </w:r>
      <w:r>
        <w:fldChar w:fldCharType="end"/>
      </w:r>
      <w:r>
        <w:t xml:space="preserve"> в большей степени </w:t>
      </w:r>
      <w:r>
        <w:fldChar w:fldCharType="begin"/>
      </w:r>
      <w:r>
        <w:instrText xml:space="preserve">eq </w:instrText>
      </w:r>
      <w:r>
        <w:rPr>
          <w:noProof/>
          <w:color w:val="FFFFFF"/>
          <w:spacing w:val="-20000"/>
          <w:sz w:val="2"/>
          <w:szCs w:val="28"/>
        </w:rPr>
        <w:instrText xml:space="preserve"> основных </w:instrText>
      </w:r>
      <w:r>
        <w:rPr>
          <w:noProof/>
        </w:rPr>
        <w:instrText>зависит</w:instrText>
      </w:r>
      <w:r>
        <w:rPr>
          <w:noProof/>
          <w:color w:val="FFFFFF"/>
          <w:spacing w:val="-20000"/>
          <w:sz w:val="2"/>
          <w:szCs w:val="28"/>
        </w:rPr>
        <w:instrText> идеология</w:instrText>
      </w:r>
      <w:r>
        <w:fldChar w:fldCharType="end"/>
      </w:r>
      <w:r>
        <w:t xml:space="preserve"> от потребителя, </w:t>
      </w:r>
      <w:r>
        <w:fldChar w:fldCharType="begin"/>
      </w:r>
      <w:r>
        <w:instrText xml:space="preserve">eq </w:instrText>
      </w:r>
      <w:r>
        <w:rPr>
          <w:noProof/>
        </w:rPr>
        <w:instrText>захочет</w:instrText>
      </w:r>
      <w:r>
        <w:rPr>
          <w:noProof/>
          <w:color w:val="FFFFFF"/>
          <w:spacing w:val="-20000"/>
          <w:sz w:val="2"/>
          <w:szCs w:val="28"/>
        </w:rPr>
        <w:instrText> маркетинговой</w:instrText>
      </w:r>
      <w:r>
        <w:fldChar w:fldCharType="end"/>
      </w:r>
      <w:r>
        <w:t xml:space="preserve"> ли он купить то, что предложит ему </w:t>
      </w:r>
      <w:r>
        <w:fldChar w:fldCharType="begin"/>
      </w:r>
      <w:r>
        <w:instrText xml:space="preserve">eq </w:instrText>
      </w:r>
      <w:r>
        <w:rPr>
          <w:noProof/>
          <w:color w:val="FFFFFF"/>
          <w:spacing w:val="-20000"/>
          <w:sz w:val="2"/>
          <w:szCs w:val="28"/>
        </w:rPr>
        <w:instrText xml:space="preserve"> поэтому </w:instrText>
      </w:r>
      <w:r>
        <w:rPr>
          <w:noProof/>
        </w:rPr>
        <w:instrText>производитель</w:instrText>
      </w:r>
      <w:r>
        <w:rPr>
          <w:noProof/>
          <w:color w:val="FFFFFF"/>
          <w:spacing w:val="-20000"/>
          <w:sz w:val="2"/>
          <w:szCs w:val="28"/>
        </w:rPr>
        <w:instrText> проведенная</w:instrText>
      </w:r>
      <w:r>
        <w:fldChar w:fldCharType="end"/>
      </w:r>
      <w:r>
        <w:t xml:space="preserve">. Очень важно </w:t>
      </w:r>
      <w:r>
        <w:fldChar w:fldCharType="begin"/>
      </w:r>
      <w:r>
        <w:instrText xml:space="preserve">eq </w:instrText>
      </w:r>
      <w:r>
        <w:rPr>
          <w:noProof/>
          <w:color w:val="FFFFFF"/>
          <w:spacing w:val="-20000"/>
          <w:sz w:val="2"/>
          <w:szCs w:val="28"/>
        </w:rPr>
        <w:instrText xml:space="preserve"> вузы </w:instrText>
      </w:r>
      <w:r>
        <w:rPr>
          <w:noProof/>
        </w:rPr>
        <w:instrText>знать</w:instrText>
      </w:r>
      <w:r>
        <w:fldChar w:fldCharType="end"/>
      </w:r>
      <w:r>
        <w:t xml:space="preserve">, как и когда покупатель </w:t>
      </w:r>
      <w:r>
        <w:fldChar w:fldCharType="begin"/>
      </w:r>
      <w:r>
        <w:instrText xml:space="preserve">eq </w:instrText>
      </w:r>
      <w:r>
        <w:rPr>
          <w:noProof/>
          <w:color w:val="FFFFFF"/>
          <w:spacing w:val="-20000"/>
          <w:sz w:val="2"/>
          <w:szCs w:val="28"/>
        </w:rPr>
        <w:instrText xml:space="preserve"> режим </w:instrText>
      </w:r>
      <w:r>
        <w:rPr>
          <w:noProof/>
        </w:rPr>
        <w:instrText>начинает</w:instrText>
      </w:r>
      <w:r>
        <w:rPr>
          <w:noProof/>
          <w:color w:val="FFFFFF"/>
          <w:spacing w:val="-20000"/>
          <w:sz w:val="2"/>
          <w:szCs w:val="28"/>
        </w:rPr>
        <w:instrText> отток</w:instrText>
      </w:r>
      <w:r>
        <w:fldChar w:fldCharType="end"/>
      </w:r>
      <w:r>
        <w:t xml:space="preserve"> проявлять </w:t>
      </w:r>
      <w:r>
        <w:fldChar w:fldCharType="begin"/>
      </w:r>
      <w:r>
        <w:instrText xml:space="preserve">eq </w:instrText>
      </w:r>
      <w:r>
        <w:rPr>
          <w:noProof/>
        </w:rPr>
        <w:instrText>интерес</w:instrText>
      </w:r>
      <w:r>
        <w:rPr>
          <w:noProof/>
          <w:color w:val="FFFFFF"/>
          <w:spacing w:val="-20000"/>
          <w:sz w:val="2"/>
          <w:szCs w:val="28"/>
        </w:rPr>
        <w:instrText> вопрос</w:instrText>
      </w:r>
      <w:r>
        <w:fldChar w:fldCharType="end"/>
      </w:r>
      <w:r>
        <w:t xml:space="preserve"> к товару/услуге, под </w:t>
      </w:r>
      <w:r>
        <w:fldChar w:fldCharType="begin"/>
      </w:r>
      <w:r>
        <w:instrText xml:space="preserve">eq </w:instrText>
      </w:r>
      <w:r>
        <w:rPr>
          <w:noProof/>
          <w:color w:val="FFFFFF"/>
          <w:spacing w:val="-20000"/>
          <w:sz w:val="2"/>
          <w:szCs w:val="28"/>
        </w:rPr>
        <w:instrText xml:space="preserve"> направленные </w:instrText>
      </w:r>
      <w:r>
        <w:rPr>
          <w:noProof/>
        </w:rPr>
        <w:instrText>воздействием</w:instrText>
      </w:r>
      <w:r>
        <w:rPr>
          <w:noProof/>
          <w:color w:val="FFFFFF"/>
          <w:spacing w:val="-20000"/>
          <w:sz w:val="2"/>
          <w:szCs w:val="28"/>
        </w:rPr>
        <w:instrText> процессе</w:instrText>
      </w:r>
      <w:r>
        <w:fldChar w:fldCharType="end"/>
      </w:r>
      <w:r>
        <w:t xml:space="preserve"> каких факторов </w:t>
      </w:r>
      <w:r>
        <w:fldChar w:fldCharType="begin"/>
      </w:r>
      <w:r>
        <w:instrText xml:space="preserve">eq </w:instrText>
      </w:r>
      <w:r>
        <w:rPr>
          <w:noProof/>
          <w:color w:val="FFFFFF"/>
          <w:spacing w:val="-20000"/>
          <w:sz w:val="2"/>
          <w:szCs w:val="28"/>
        </w:rPr>
        <w:instrText xml:space="preserve"> высшем </w:instrText>
      </w:r>
      <w:r>
        <w:rPr>
          <w:noProof/>
        </w:rPr>
        <w:instrText>формируется</w:instrText>
      </w:r>
      <w:r>
        <w:fldChar w:fldCharType="end"/>
      </w:r>
      <w:r>
        <w:t xml:space="preserve"> его желание приобретать </w:t>
      </w:r>
      <w:r>
        <w:fldChar w:fldCharType="begin"/>
      </w:r>
      <w:r>
        <w:instrText xml:space="preserve">eq </w:instrText>
      </w:r>
      <w:r>
        <w:rPr>
          <w:noProof/>
          <w:color w:val="FFFFFF"/>
          <w:spacing w:val="-20000"/>
          <w:sz w:val="2"/>
          <w:szCs w:val="28"/>
        </w:rPr>
        <w:instrText xml:space="preserve"> году </w:instrText>
      </w:r>
      <w:r>
        <w:rPr>
          <w:noProof/>
        </w:rPr>
        <w:instrText>товар</w:instrText>
      </w:r>
      <w:r>
        <w:rPr>
          <w:noProof/>
          <w:color w:val="FFFFFF"/>
          <w:spacing w:val="-20000"/>
          <w:sz w:val="2"/>
          <w:szCs w:val="28"/>
        </w:rPr>
        <w:instrText> снижение</w:instrText>
      </w:r>
      <w:r>
        <w:fldChar w:fldCharType="end"/>
      </w:r>
      <w:r>
        <w:t xml:space="preserve">/услугу, как </w:t>
      </w:r>
      <w:r>
        <w:fldChar w:fldCharType="begin"/>
      </w:r>
      <w:r>
        <w:instrText xml:space="preserve">eq </w:instrText>
      </w:r>
      <w:r>
        <w:rPr>
          <w:noProof/>
        </w:rPr>
        <w:instrText>направить</w:instrText>
      </w:r>
      <w:r>
        <w:rPr>
          <w:noProof/>
          <w:color w:val="FFFFFF"/>
          <w:spacing w:val="-20000"/>
          <w:sz w:val="2"/>
          <w:szCs w:val="28"/>
        </w:rPr>
        <w:instrText> группой</w:instrText>
      </w:r>
      <w:r>
        <w:fldChar w:fldCharType="end"/>
      </w:r>
      <w:r>
        <w:t xml:space="preserve"> это желание на приобретение </w:t>
      </w:r>
      <w:r>
        <w:fldChar w:fldCharType="begin"/>
      </w:r>
      <w:r>
        <w:instrText xml:space="preserve">eq </w:instrText>
      </w:r>
      <w:r>
        <w:rPr>
          <w:noProof/>
          <w:color w:val="FFFFFF"/>
          <w:spacing w:val="-20000"/>
          <w:sz w:val="2"/>
          <w:szCs w:val="28"/>
        </w:rPr>
        <w:instrText xml:space="preserve"> проведенная </w:instrText>
      </w:r>
      <w:r>
        <w:rPr>
          <w:noProof/>
        </w:rPr>
        <w:instrText>именно</w:instrText>
      </w:r>
      <w:r>
        <w:rPr>
          <w:noProof/>
          <w:color w:val="FFFFFF"/>
          <w:spacing w:val="-20000"/>
          <w:sz w:val="2"/>
          <w:szCs w:val="28"/>
        </w:rPr>
        <w:instrText> результата</w:instrText>
      </w:r>
      <w:r>
        <w:fldChar w:fldCharType="end"/>
      </w:r>
      <w:r>
        <w:t xml:space="preserve"> данного товара/</w:t>
      </w:r>
      <w:r>
        <w:fldChar w:fldCharType="begin"/>
      </w:r>
      <w:r>
        <w:instrText xml:space="preserve">eq </w:instrText>
      </w:r>
      <w:r>
        <w:rPr>
          <w:noProof/>
          <w:color w:val="FFFFFF"/>
          <w:spacing w:val="-20000"/>
          <w:sz w:val="2"/>
          <w:szCs w:val="28"/>
        </w:rPr>
        <w:instrText xml:space="preserve"> стоит </w:instrText>
      </w:r>
      <w:r>
        <w:rPr>
          <w:noProof/>
        </w:rPr>
        <w:instrText>услуги</w:instrText>
      </w:r>
      <w:r>
        <w:fldChar w:fldCharType="end"/>
      </w:r>
      <w:r>
        <w:t xml:space="preserve">. «Качество образования как </w:t>
      </w:r>
      <w:r>
        <w:fldChar w:fldCharType="begin"/>
      </w:r>
      <w:r>
        <w:instrText xml:space="preserve">eq </w:instrText>
      </w:r>
      <w:r>
        <w:rPr>
          <w:noProof/>
          <w:color w:val="FFFFFF"/>
          <w:spacing w:val="-20000"/>
          <w:sz w:val="2"/>
          <w:szCs w:val="28"/>
        </w:rPr>
        <w:instrText xml:space="preserve"> снижение </w:instrText>
      </w:r>
      <w:r>
        <w:rPr>
          <w:noProof/>
        </w:rPr>
        <w:instrText>необходимое</w:instrText>
      </w:r>
      <w:r>
        <w:rPr>
          <w:noProof/>
          <w:color w:val="FFFFFF"/>
          <w:spacing w:val="-20000"/>
          <w:sz w:val="2"/>
          <w:szCs w:val="28"/>
        </w:rPr>
        <w:instrText> обязательного</w:instrText>
      </w:r>
      <w:r>
        <w:fldChar w:fldCharType="end"/>
      </w:r>
      <w:r>
        <w:t xml:space="preserve"> условие </w:t>
      </w:r>
      <w:r>
        <w:fldChar w:fldCharType="begin"/>
      </w:r>
      <w:r>
        <w:instrText xml:space="preserve">eq </w:instrText>
      </w:r>
      <w:r>
        <w:rPr>
          <w:noProof/>
        </w:rPr>
        <w:instrText>конкурентоспособности</w:instrText>
      </w:r>
      <w:r>
        <w:rPr>
          <w:noProof/>
          <w:color w:val="FFFFFF"/>
          <w:spacing w:val="-20000"/>
          <w:sz w:val="2"/>
          <w:szCs w:val="28"/>
        </w:rPr>
        <w:instrText> представлено</w:instrText>
      </w:r>
      <w:r>
        <w:fldChar w:fldCharType="end"/>
      </w:r>
      <w:r>
        <w:t xml:space="preserve"> вуза в условиях </w:t>
      </w:r>
      <w:r>
        <w:fldChar w:fldCharType="begin"/>
      </w:r>
      <w:r>
        <w:instrText xml:space="preserve">eq </w:instrText>
      </w:r>
      <w:r>
        <w:rPr>
          <w:noProof/>
          <w:color w:val="FFFFFF"/>
          <w:spacing w:val="-20000"/>
          <w:sz w:val="2"/>
          <w:szCs w:val="28"/>
        </w:rPr>
        <w:instrText xml:space="preserve"> речь </w:instrText>
      </w:r>
      <w:r>
        <w:rPr>
          <w:noProof/>
        </w:rPr>
        <w:instrText>международной</w:instrText>
      </w:r>
      <w:r>
        <w:rPr>
          <w:noProof/>
          <w:color w:val="FFFFFF"/>
          <w:spacing w:val="-20000"/>
          <w:sz w:val="2"/>
          <w:szCs w:val="28"/>
        </w:rPr>
        <w:instrText> актуальные</w:instrText>
      </w:r>
      <w:r>
        <w:fldChar w:fldCharType="end"/>
      </w:r>
      <w:r>
        <w:t xml:space="preserve"> интеграции, высокой </w:t>
      </w:r>
      <w:r>
        <w:fldChar w:fldCharType="begin"/>
      </w:r>
      <w:r>
        <w:instrText xml:space="preserve">eq </w:instrText>
      </w:r>
      <w:r>
        <w:rPr>
          <w:noProof/>
          <w:color w:val="FFFFFF"/>
          <w:spacing w:val="-20000"/>
          <w:sz w:val="2"/>
          <w:szCs w:val="28"/>
        </w:rPr>
        <w:instrText xml:space="preserve"> подготовки </w:instrText>
      </w:r>
      <w:r>
        <w:rPr>
          <w:noProof/>
        </w:rPr>
        <w:instrText>внутренней</w:instrText>
      </w:r>
      <w:r>
        <w:fldChar w:fldCharType="end"/>
      </w:r>
      <w:r>
        <w:t xml:space="preserve"> конкуренции напрямую </w:t>
      </w:r>
      <w:r>
        <w:fldChar w:fldCharType="begin"/>
      </w:r>
      <w:r>
        <w:instrText xml:space="preserve">eq </w:instrText>
      </w:r>
      <w:r>
        <w:rPr>
          <w:noProof/>
          <w:color w:val="FFFFFF"/>
          <w:spacing w:val="-20000"/>
          <w:sz w:val="2"/>
          <w:szCs w:val="28"/>
        </w:rPr>
        <w:instrText xml:space="preserve"> режим </w:instrText>
      </w:r>
      <w:r>
        <w:rPr>
          <w:noProof/>
        </w:rPr>
        <w:instrText>зависит</w:instrText>
      </w:r>
      <w:r>
        <w:rPr>
          <w:noProof/>
          <w:color w:val="FFFFFF"/>
          <w:spacing w:val="-20000"/>
          <w:sz w:val="2"/>
          <w:szCs w:val="28"/>
        </w:rPr>
        <w:instrText> важно</w:instrText>
      </w:r>
      <w:r>
        <w:fldChar w:fldCharType="end"/>
      </w:r>
      <w:r>
        <w:t xml:space="preserve"> от качества </w:t>
      </w:r>
      <w:r>
        <w:fldChar w:fldCharType="begin"/>
      </w:r>
      <w:r>
        <w:instrText xml:space="preserve">eq </w:instrText>
      </w:r>
      <w:r>
        <w:rPr>
          <w:noProof/>
        </w:rPr>
        <w:instrText>человеческих</w:instrText>
      </w:r>
      <w:r>
        <w:rPr>
          <w:noProof/>
          <w:color w:val="FFFFFF"/>
          <w:spacing w:val="-20000"/>
          <w:sz w:val="2"/>
          <w:szCs w:val="28"/>
        </w:rPr>
        <w:instrText> анализ</w:instrText>
      </w:r>
      <w:r>
        <w:fldChar w:fldCharType="end"/>
      </w:r>
      <w:r>
        <w:t xml:space="preserve"> ресурсов, и поэтому </w:t>
      </w:r>
      <w:r>
        <w:fldChar w:fldCharType="begin"/>
      </w:r>
      <w:r>
        <w:instrText xml:space="preserve">eq </w:instrText>
      </w:r>
      <w:r>
        <w:rPr>
          <w:noProof/>
          <w:color w:val="FFFFFF"/>
          <w:spacing w:val="-20000"/>
          <w:sz w:val="2"/>
          <w:szCs w:val="28"/>
        </w:rPr>
        <w:instrText xml:space="preserve"> основных </w:instrText>
      </w:r>
      <w:r>
        <w:rPr>
          <w:noProof/>
        </w:rPr>
        <w:instrText>одним</w:instrText>
      </w:r>
      <w:r>
        <w:rPr>
          <w:noProof/>
          <w:color w:val="FFFFFF"/>
          <w:spacing w:val="-20000"/>
          <w:sz w:val="2"/>
          <w:szCs w:val="28"/>
        </w:rPr>
        <w:instrText> докладе</w:instrText>
      </w:r>
      <w:r>
        <w:fldChar w:fldCharType="end"/>
      </w:r>
      <w:r>
        <w:t xml:space="preserve"> из основных направлений </w:t>
      </w:r>
      <w:r>
        <w:fldChar w:fldCharType="begin"/>
      </w:r>
      <w:r>
        <w:instrText xml:space="preserve">eq </w:instrText>
      </w:r>
      <w:r>
        <w:rPr>
          <w:noProof/>
          <w:color w:val="FFFFFF"/>
          <w:spacing w:val="-20000"/>
          <w:sz w:val="2"/>
          <w:szCs w:val="28"/>
        </w:rPr>
        <w:instrText xml:space="preserve"> процессе </w:instrText>
      </w:r>
      <w:r>
        <w:rPr>
          <w:noProof/>
        </w:rPr>
        <w:instrText>развития</w:instrText>
      </w:r>
      <w:r>
        <w:fldChar w:fldCharType="end"/>
      </w:r>
      <w:r>
        <w:t xml:space="preserve"> высшей школы </w:t>
      </w:r>
      <w:r>
        <w:fldChar w:fldCharType="begin"/>
      </w:r>
      <w:r>
        <w:instrText xml:space="preserve">eq </w:instrText>
      </w:r>
      <w:r>
        <w:rPr>
          <w:noProof/>
          <w:color w:val="FFFFFF"/>
          <w:spacing w:val="-20000"/>
          <w:sz w:val="2"/>
          <w:szCs w:val="28"/>
        </w:rPr>
        <w:instrText xml:space="preserve"> продолжится </w:instrText>
      </w:r>
      <w:r>
        <w:rPr>
          <w:noProof/>
        </w:rPr>
        <w:instrText>должно</w:instrText>
      </w:r>
      <w:r>
        <w:rPr>
          <w:noProof/>
          <w:color w:val="FFFFFF"/>
          <w:spacing w:val="-20000"/>
          <w:sz w:val="2"/>
          <w:szCs w:val="28"/>
        </w:rPr>
        <w:instrText> дает</w:instrText>
      </w:r>
      <w:r>
        <w:fldChar w:fldCharType="end"/>
      </w:r>
      <w:r>
        <w:t xml:space="preserve"> стать </w:t>
      </w:r>
      <w:r>
        <w:fldChar w:fldCharType="begin"/>
      </w:r>
      <w:r>
        <w:instrText xml:space="preserve">eq </w:instrText>
      </w:r>
      <w:r>
        <w:rPr>
          <w:noProof/>
        </w:rPr>
        <w:instrText>развитие</w:instrText>
      </w:r>
      <w:r>
        <w:rPr>
          <w:noProof/>
          <w:color w:val="FFFFFF"/>
          <w:spacing w:val="-20000"/>
          <w:sz w:val="2"/>
          <w:szCs w:val="28"/>
        </w:rPr>
        <w:instrText> данным</w:instrText>
      </w:r>
      <w:r>
        <w:fldChar w:fldCharType="end"/>
      </w:r>
      <w:r>
        <w:t xml:space="preserve"> персонала, в первую </w:t>
      </w:r>
      <w:r>
        <w:fldChar w:fldCharType="begin"/>
      </w:r>
      <w:r>
        <w:instrText xml:space="preserve">eq </w:instrText>
      </w:r>
      <w:r>
        <w:rPr>
          <w:noProof/>
          <w:color w:val="FFFFFF"/>
          <w:spacing w:val="-20000"/>
          <w:sz w:val="2"/>
          <w:szCs w:val="28"/>
        </w:rPr>
        <w:instrText xml:space="preserve"> вместе </w:instrText>
      </w:r>
      <w:r>
        <w:rPr>
          <w:noProof/>
        </w:rPr>
        <w:instrText>очередь</w:instrText>
      </w:r>
      <w:r>
        <w:rPr>
          <w:noProof/>
          <w:color w:val="FFFFFF"/>
          <w:spacing w:val="-20000"/>
          <w:sz w:val="2"/>
          <w:szCs w:val="28"/>
        </w:rPr>
        <w:instrText> росской</w:instrText>
      </w:r>
      <w:r>
        <w:fldChar w:fldCharType="end"/>
      </w:r>
      <w:r>
        <w:t>, преподавательского потенциала» [8].</w:t>
      </w:r>
    </w:p>
    <w:p w:rsidR="005E1201" w:rsidRPr="00933BF2" w:rsidRDefault="005E1201" w:rsidP="005E1201">
      <w:pPr>
        <w:ind w:right="-1" w:firstLine="709"/>
        <w:contextualSpacing/>
        <w:jc w:val="both"/>
      </w:pPr>
      <w:r>
        <w:fldChar w:fldCharType="begin"/>
      </w:r>
      <w:r>
        <w:instrText xml:space="preserve">eq </w:instrText>
      </w:r>
      <w:r>
        <w:rPr>
          <w:noProof/>
          <w:color w:val="FFFFFF"/>
          <w:spacing w:val="-20000"/>
          <w:sz w:val="2"/>
          <w:szCs w:val="28"/>
        </w:rPr>
        <w:instrText xml:space="preserve"> основных </w:instrText>
      </w:r>
      <w:r>
        <w:rPr>
          <w:noProof/>
        </w:rPr>
        <w:instrText>Актуальность</w:instrText>
      </w:r>
      <w:r>
        <w:fldChar w:fldCharType="end"/>
      </w:r>
      <w:r>
        <w:t xml:space="preserve"> данной темы </w:t>
      </w:r>
      <w:r>
        <w:fldChar w:fldCharType="begin"/>
      </w:r>
      <w:r>
        <w:instrText xml:space="preserve">eq </w:instrText>
      </w:r>
      <w:r>
        <w:rPr>
          <w:noProof/>
          <w:color w:val="FFFFFF"/>
          <w:spacing w:val="-20000"/>
          <w:sz w:val="2"/>
          <w:szCs w:val="28"/>
        </w:rPr>
        <w:instrText xml:space="preserve"> первую </w:instrText>
      </w:r>
      <w:r>
        <w:rPr>
          <w:noProof/>
        </w:rPr>
        <w:instrText>неуклонно</w:instrText>
      </w:r>
      <w:r>
        <w:rPr>
          <w:noProof/>
          <w:color w:val="FFFFFF"/>
          <w:spacing w:val="-20000"/>
          <w:sz w:val="2"/>
          <w:szCs w:val="28"/>
        </w:rPr>
        <w:instrText> программы</w:instrText>
      </w:r>
      <w:r>
        <w:fldChar w:fldCharType="end"/>
      </w:r>
      <w:r>
        <w:t xml:space="preserve"> возрастает. С </w:t>
      </w:r>
      <w:r>
        <w:fldChar w:fldCharType="begin"/>
      </w:r>
      <w:r>
        <w:instrText xml:space="preserve">eq </w:instrText>
      </w:r>
      <w:r>
        <w:rPr>
          <w:noProof/>
        </w:rPr>
        <w:instrText>каждым</w:instrText>
      </w:r>
      <w:r>
        <w:rPr>
          <w:noProof/>
          <w:color w:val="FFFFFF"/>
          <w:spacing w:val="-20000"/>
          <w:sz w:val="2"/>
          <w:szCs w:val="28"/>
        </w:rPr>
        <w:instrText> данного</w:instrText>
      </w:r>
      <w:r>
        <w:fldChar w:fldCharType="end"/>
      </w:r>
      <w:r>
        <w:t xml:space="preserve"> годом конкуренция на </w:t>
      </w:r>
      <w:r>
        <w:fldChar w:fldCharType="begin"/>
      </w:r>
      <w:r>
        <w:instrText xml:space="preserve">eq </w:instrText>
      </w:r>
      <w:r>
        <w:rPr>
          <w:noProof/>
          <w:color w:val="FFFFFF"/>
          <w:spacing w:val="-20000"/>
          <w:sz w:val="2"/>
          <w:szCs w:val="28"/>
        </w:rPr>
        <w:instrText xml:space="preserve"> году </w:instrText>
      </w:r>
      <w:r>
        <w:rPr>
          <w:noProof/>
        </w:rPr>
        <w:instrText>рынках</w:instrText>
      </w:r>
      <w:r>
        <w:rPr>
          <w:noProof/>
          <w:color w:val="FFFFFF"/>
          <w:spacing w:val="-20000"/>
          <w:sz w:val="2"/>
          <w:szCs w:val="28"/>
        </w:rPr>
        <w:instrText> ильинскии</w:instrText>
      </w:r>
      <w:r>
        <w:fldChar w:fldCharType="end"/>
      </w:r>
      <w:r>
        <w:t xml:space="preserve"> товаров и услуг </w:t>
      </w:r>
      <w:r>
        <w:fldChar w:fldCharType="begin"/>
      </w:r>
      <w:r>
        <w:instrText xml:space="preserve">eq </w:instrText>
      </w:r>
      <w:r>
        <w:rPr>
          <w:noProof/>
          <w:color w:val="FFFFFF"/>
          <w:spacing w:val="-20000"/>
          <w:sz w:val="2"/>
          <w:szCs w:val="28"/>
        </w:rPr>
        <w:instrText xml:space="preserve"> представлено </w:instrText>
      </w:r>
      <w:r>
        <w:rPr>
          <w:noProof/>
        </w:rPr>
        <w:instrText>увеличивается</w:instrText>
      </w:r>
      <w:r>
        <w:fldChar w:fldCharType="end"/>
      </w:r>
      <w:r>
        <w:t xml:space="preserve">, у потребителей появляется </w:t>
      </w:r>
      <w:r>
        <w:fldChar w:fldCharType="begin"/>
      </w:r>
      <w:r>
        <w:instrText xml:space="preserve">eq </w:instrText>
      </w:r>
      <w:r>
        <w:rPr>
          <w:noProof/>
          <w:color w:val="FFFFFF"/>
          <w:spacing w:val="-20000"/>
          <w:sz w:val="2"/>
          <w:szCs w:val="28"/>
        </w:rPr>
        <w:instrText xml:space="preserve"> выбирая </w:instrText>
      </w:r>
      <w:r>
        <w:rPr>
          <w:noProof/>
        </w:rPr>
        <w:instrText>больше</w:instrText>
      </w:r>
      <w:r>
        <w:rPr>
          <w:noProof/>
          <w:color w:val="FFFFFF"/>
          <w:spacing w:val="-20000"/>
          <w:sz w:val="2"/>
          <w:szCs w:val="28"/>
        </w:rPr>
        <w:instrText> самые</w:instrText>
      </w:r>
      <w:r>
        <w:fldChar w:fldCharType="end"/>
      </w:r>
      <w:r>
        <w:t xml:space="preserve"> альтернативных </w:t>
      </w:r>
      <w:r>
        <w:fldChar w:fldCharType="begin"/>
      </w:r>
      <w:r>
        <w:instrText xml:space="preserve">eq </w:instrText>
      </w:r>
      <w:r>
        <w:rPr>
          <w:noProof/>
        </w:rPr>
        <w:instrText>вариантов</w:instrText>
      </w:r>
      <w:r>
        <w:rPr>
          <w:noProof/>
          <w:color w:val="FFFFFF"/>
          <w:spacing w:val="-20000"/>
          <w:sz w:val="2"/>
          <w:szCs w:val="28"/>
        </w:rPr>
        <w:instrText> информация</w:instrText>
      </w:r>
      <w:r>
        <w:fldChar w:fldCharType="end"/>
      </w:r>
      <w:r>
        <w:t xml:space="preserve">, поэтому для производителей на </w:t>
      </w:r>
      <w:r>
        <w:fldChar w:fldCharType="begin"/>
      </w:r>
      <w:r>
        <w:instrText xml:space="preserve">eq </w:instrText>
      </w:r>
      <w:r>
        <w:rPr>
          <w:noProof/>
          <w:color w:val="FFFFFF"/>
          <w:spacing w:val="-20000"/>
          <w:sz w:val="2"/>
          <w:szCs w:val="28"/>
        </w:rPr>
        <w:instrText xml:space="preserve"> платные </w:instrText>
      </w:r>
      <w:r>
        <w:rPr>
          <w:noProof/>
        </w:rPr>
        <w:instrText>первое</w:instrText>
      </w:r>
      <w:r>
        <w:rPr>
          <w:noProof/>
          <w:color w:val="FFFFFF"/>
          <w:spacing w:val="-20000"/>
          <w:sz w:val="2"/>
          <w:szCs w:val="28"/>
        </w:rPr>
        <w:instrText> бюджетной</w:instrText>
      </w:r>
      <w:r>
        <w:fldChar w:fldCharType="end"/>
      </w:r>
      <w:r>
        <w:t xml:space="preserve"> месте выходит </w:t>
      </w:r>
      <w:r>
        <w:fldChar w:fldCharType="begin"/>
      </w:r>
      <w:r>
        <w:instrText xml:space="preserve">eq </w:instrText>
      </w:r>
      <w:r>
        <w:rPr>
          <w:noProof/>
          <w:color w:val="FFFFFF"/>
          <w:spacing w:val="-20000"/>
          <w:sz w:val="2"/>
          <w:szCs w:val="28"/>
        </w:rPr>
        <w:instrText xml:space="preserve"> стоит </w:instrText>
      </w:r>
      <w:r>
        <w:rPr>
          <w:noProof/>
        </w:rPr>
        <w:instrText>покупатель</w:instrText>
      </w:r>
      <w:r>
        <w:fldChar w:fldCharType="end"/>
      </w:r>
      <w:r>
        <w:t>.</w:t>
      </w:r>
    </w:p>
    <w:p w:rsidR="005E1201" w:rsidRPr="0025022D" w:rsidRDefault="005E1201" w:rsidP="005E1201">
      <w:pPr>
        <w:ind w:right="-1" w:firstLine="709"/>
        <w:contextualSpacing/>
        <w:jc w:val="both"/>
      </w:pPr>
      <w:r>
        <w:rPr>
          <w:shd w:val="clear" w:color="auto" w:fill="FFFFFF"/>
        </w:rPr>
        <w:t xml:space="preserve">Конкуренция на рынке </w:t>
      </w:r>
      <w:r>
        <w:fldChar w:fldCharType="begin"/>
      </w:r>
      <w:r>
        <w:instrText xml:space="preserve">eq </w:instrText>
      </w:r>
      <w:r>
        <w:rPr>
          <w:noProof/>
          <w:color w:val="FFFFFF"/>
          <w:spacing w:val="-20000"/>
          <w:sz w:val="2"/>
          <w:szCs w:val="28"/>
        </w:rPr>
        <w:instrText xml:space="preserve"> полученных </w:instrText>
      </w:r>
      <w:r>
        <w:rPr>
          <w:noProof/>
          <w:shd w:val="clear" w:color="auto" w:fill="FFFFFF"/>
        </w:rPr>
        <w:instrText>образовательных</w:instrText>
      </w:r>
      <w:r>
        <w:rPr>
          <w:noProof/>
          <w:color w:val="FFFFFF"/>
          <w:spacing w:val="-20000"/>
          <w:sz w:val="2"/>
          <w:szCs w:val="28"/>
        </w:rPr>
        <w:instrText> приморского</w:instrText>
      </w:r>
      <w:r>
        <w:fldChar w:fldCharType="end"/>
      </w:r>
      <w:r>
        <w:rPr>
          <w:shd w:val="clear" w:color="auto" w:fill="FFFFFF"/>
        </w:rPr>
        <w:t xml:space="preserve"> услуг, в </w:t>
      </w:r>
      <w:r>
        <w:fldChar w:fldCharType="begin"/>
      </w:r>
      <w:r>
        <w:instrText xml:space="preserve">eq </w:instrText>
      </w:r>
      <w:r>
        <w:rPr>
          <w:noProof/>
          <w:shd w:val="clear" w:color="auto" w:fill="FFFFFF"/>
        </w:rPr>
        <w:instrText>частности</w:instrText>
      </w:r>
      <w:r>
        <w:rPr>
          <w:noProof/>
          <w:color w:val="FFFFFF"/>
          <w:spacing w:val="-20000"/>
          <w:sz w:val="2"/>
          <w:szCs w:val="28"/>
        </w:rPr>
        <w:instrText> продолжится</w:instrText>
      </w:r>
      <w:r>
        <w:fldChar w:fldCharType="end"/>
      </w:r>
      <w:r>
        <w:rPr>
          <w:shd w:val="clear" w:color="auto" w:fill="FFFFFF"/>
        </w:rPr>
        <w:t xml:space="preserve"> на рынке Приморья, </w:t>
      </w:r>
      <w:r>
        <w:fldChar w:fldCharType="begin"/>
      </w:r>
      <w:r>
        <w:instrText xml:space="preserve">eq </w:instrText>
      </w:r>
      <w:r>
        <w:rPr>
          <w:noProof/>
          <w:color w:val="FFFFFF"/>
          <w:spacing w:val="-20000"/>
          <w:sz w:val="2"/>
          <w:szCs w:val="28"/>
        </w:rPr>
        <w:instrText xml:space="preserve"> данным </w:instrText>
      </w:r>
      <w:r>
        <w:rPr>
          <w:noProof/>
          <w:shd w:val="clear" w:color="auto" w:fill="FFFFFF"/>
        </w:rPr>
        <w:instrText>возрастает</w:instrText>
      </w:r>
      <w:r>
        <w:rPr>
          <w:noProof/>
          <w:color w:val="FFFFFF"/>
          <w:spacing w:val="-20000"/>
          <w:sz w:val="2"/>
          <w:szCs w:val="28"/>
        </w:rPr>
        <w:instrText> предварительно</w:instrText>
      </w:r>
      <w:r>
        <w:fldChar w:fldCharType="end"/>
      </w:r>
      <w:r>
        <w:rPr>
          <w:shd w:val="clear" w:color="auto" w:fill="FFFFFF"/>
        </w:rPr>
        <w:t xml:space="preserve"> с каждым годом. </w:t>
      </w:r>
      <w:r>
        <w:t xml:space="preserve">В </w:t>
      </w:r>
      <w:r>
        <w:fldChar w:fldCharType="begin"/>
      </w:r>
      <w:r>
        <w:instrText xml:space="preserve">eq </w:instrText>
      </w:r>
      <w:r>
        <w:rPr>
          <w:noProof/>
          <w:color w:val="FFFFFF"/>
          <w:spacing w:val="-20000"/>
          <w:sz w:val="2"/>
          <w:szCs w:val="28"/>
        </w:rPr>
        <w:instrText xml:space="preserve"> выбирая </w:instrText>
      </w:r>
      <w:r>
        <w:rPr>
          <w:noProof/>
        </w:rPr>
        <w:instrText>последние</w:instrText>
      </w:r>
      <w:r>
        <w:fldChar w:fldCharType="end"/>
      </w:r>
      <w:r>
        <w:t xml:space="preserve"> годы в региональных </w:t>
      </w:r>
      <w:r>
        <w:fldChar w:fldCharType="begin"/>
      </w:r>
      <w:r>
        <w:instrText xml:space="preserve">eq </w:instrText>
      </w:r>
      <w:r>
        <w:rPr>
          <w:noProof/>
          <w:color w:val="FFFFFF"/>
          <w:spacing w:val="-20000"/>
          <w:sz w:val="2"/>
          <w:szCs w:val="28"/>
        </w:rPr>
        <w:instrText xml:space="preserve"> основная </w:instrText>
      </w:r>
      <w:r>
        <w:rPr>
          <w:noProof/>
        </w:rPr>
        <w:instrText>университетах</w:instrText>
      </w:r>
      <w:r>
        <w:rPr>
          <w:noProof/>
          <w:color w:val="FFFFFF"/>
          <w:spacing w:val="-20000"/>
          <w:sz w:val="2"/>
          <w:szCs w:val="28"/>
        </w:rPr>
        <w:instrText> белыи</w:instrText>
      </w:r>
      <w:r>
        <w:fldChar w:fldCharType="end"/>
      </w:r>
      <w:r>
        <w:t xml:space="preserve"> наблюдается </w:t>
      </w:r>
      <w:r>
        <w:fldChar w:fldCharType="begin"/>
      </w:r>
      <w:r>
        <w:instrText xml:space="preserve">eq </w:instrText>
      </w:r>
      <w:r>
        <w:rPr>
          <w:noProof/>
        </w:rPr>
        <w:instrText>планомерныи</w:instrText>
      </w:r>
      <w:r>
        <w:rPr>
          <w:noProof/>
          <w:color w:val="FFFFFF"/>
          <w:spacing w:val="-20000"/>
          <w:sz w:val="2"/>
          <w:szCs w:val="28"/>
        </w:rPr>
        <w:instrText> будет</w:instrText>
      </w:r>
      <w:r>
        <w:fldChar w:fldCharType="end"/>
      </w:r>
      <w:r>
        <w:t xml:space="preserve">̆ процесс сокращения </w:t>
      </w:r>
      <w:r>
        <w:fldChar w:fldCharType="begin"/>
      </w:r>
      <w:r>
        <w:instrText xml:space="preserve">eq </w:instrText>
      </w:r>
      <w:r>
        <w:rPr>
          <w:noProof/>
          <w:color w:val="FFFFFF"/>
          <w:spacing w:val="-20000"/>
          <w:sz w:val="2"/>
          <w:szCs w:val="28"/>
        </w:rPr>
        <w:instrText xml:space="preserve"> режим </w:instrText>
      </w:r>
      <w:r>
        <w:rPr>
          <w:noProof/>
        </w:rPr>
        <w:instrText>бюджетных</w:instrText>
      </w:r>
      <w:r>
        <w:rPr>
          <w:noProof/>
          <w:color w:val="FFFFFF"/>
          <w:spacing w:val="-20000"/>
          <w:sz w:val="2"/>
          <w:szCs w:val="28"/>
        </w:rPr>
        <w:instrText> связано</w:instrText>
      </w:r>
      <w:r>
        <w:fldChar w:fldCharType="end"/>
      </w:r>
      <w:r>
        <w:t xml:space="preserve"> мест в рамках </w:t>
      </w:r>
      <w:r>
        <w:fldChar w:fldCharType="begin"/>
      </w:r>
      <w:r>
        <w:instrText xml:space="preserve">eq </w:instrText>
      </w:r>
      <w:r>
        <w:rPr>
          <w:noProof/>
          <w:color w:val="FFFFFF"/>
          <w:spacing w:val="-20000"/>
          <w:sz w:val="2"/>
          <w:szCs w:val="28"/>
        </w:rPr>
        <w:instrText xml:space="preserve"> пределами </w:instrText>
      </w:r>
      <w:r>
        <w:rPr>
          <w:noProof/>
        </w:rPr>
        <w:instrText>государственного</w:instrText>
      </w:r>
      <w:r>
        <w:fldChar w:fldCharType="end"/>
      </w:r>
      <w:r>
        <w:t xml:space="preserve"> задания на подготовку </w:t>
      </w:r>
      <w:r>
        <w:fldChar w:fldCharType="begin"/>
      </w:r>
      <w:r>
        <w:instrText xml:space="preserve">eq </w:instrText>
      </w:r>
      <w:r>
        <w:rPr>
          <w:noProof/>
          <w:color w:val="FFFFFF"/>
          <w:spacing w:val="-20000"/>
          <w:sz w:val="2"/>
          <w:szCs w:val="28"/>
        </w:rPr>
        <w:instrText xml:space="preserve"> cons </w:instrText>
      </w:r>
      <w:r>
        <w:rPr>
          <w:noProof/>
        </w:rPr>
        <w:instrText>специалистов</w:instrText>
      </w:r>
      <w:r>
        <w:rPr>
          <w:noProof/>
          <w:color w:val="FFFFFF"/>
          <w:spacing w:val="-20000"/>
          <w:sz w:val="2"/>
          <w:szCs w:val="28"/>
        </w:rPr>
        <w:instrText> конф</w:instrText>
      </w:r>
      <w:r>
        <w:fldChar w:fldCharType="end"/>
      </w:r>
      <w:r>
        <w:t xml:space="preserve"> на направления и </w:t>
      </w:r>
      <w:r>
        <w:fldChar w:fldCharType="begin"/>
      </w:r>
      <w:r>
        <w:instrText xml:space="preserve">eq </w:instrText>
      </w:r>
      <w:r>
        <w:rPr>
          <w:noProof/>
        </w:rPr>
        <w:instrText>специальности</w:instrText>
      </w:r>
      <w:r>
        <w:rPr>
          <w:noProof/>
          <w:color w:val="FFFFFF"/>
          <w:spacing w:val="-20000"/>
          <w:sz w:val="2"/>
          <w:szCs w:val="28"/>
        </w:rPr>
        <w:instrText> миграция</w:instrText>
      </w:r>
      <w:r>
        <w:fldChar w:fldCharType="end"/>
      </w:r>
      <w:r>
        <w:t xml:space="preserve"> блока «Экономика и </w:t>
      </w:r>
      <w:r>
        <w:fldChar w:fldCharType="begin"/>
      </w:r>
      <w:r>
        <w:instrText xml:space="preserve">eq </w:instrText>
      </w:r>
      <w:r>
        <w:rPr>
          <w:noProof/>
          <w:color w:val="FFFFFF"/>
          <w:spacing w:val="-20000"/>
          <w:sz w:val="2"/>
          <w:szCs w:val="28"/>
        </w:rPr>
        <w:instrText xml:space="preserve"> основных </w:instrText>
      </w:r>
      <w:r>
        <w:rPr>
          <w:noProof/>
        </w:rPr>
        <w:instrText>управления</w:instrText>
      </w:r>
      <w:r>
        <w:rPr>
          <w:noProof/>
          <w:color w:val="FFFFFF"/>
          <w:spacing w:val="-20000"/>
          <w:sz w:val="2"/>
          <w:szCs w:val="28"/>
        </w:rPr>
        <w:instrText> consultant</w:instrText>
      </w:r>
      <w:r>
        <w:fldChar w:fldCharType="end"/>
      </w:r>
      <w:r>
        <w:t xml:space="preserve">», причем это относится, в </w:t>
      </w:r>
      <w:r>
        <w:fldChar w:fldCharType="begin"/>
      </w:r>
      <w:r>
        <w:instrText xml:space="preserve">eq </w:instrText>
      </w:r>
      <w:r>
        <w:rPr>
          <w:noProof/>
          <w:color w:val="FFFFFF"/>
          <w:spacing w:val="-20000"/>
          <w:sz w:val="2"/>
          <w:szCs w:val="28"/>
        </w:rPr>
        <w:instrText xml:space="preserve"> которых </w:instrText>
      </w:r>
      <w:r>
        <w:rPr>
          <w:noProof/>
        </w:rPr>
        <w:instrText>первую</w:instrText>
      </w:r>
      <w:r>
        <w:fldChar w:fldCharType="end"/>
      </w:r>
      <w:r>
        <w:t xml:space="preserve"> очередь, к бакалавриату» [9].</w:t>
      </w:r>
    </w:p>
    <w:p w:rsidR="005E1201" w:rsidRPr="00933BF2" w:rsidRDefault="005E1201" w:rsidP="005E1201">
      <w:pPr>
        <w:ind w:right="-1" w:firstLine="709"/>
        <w:contextualSpacing/>
        <w:jc w:val="both"/>
      </w:pPr>
      <w:r>
        <w:fldChar w:fldCharType="begin"/>
      </w:r>
      <w:r>
        <w:instrText xml:space="preserve">eq </w:instrText>
      </w:r>
      <w:r>
        <w:rPr>
          <w:noProof/>
          <w:color w:val="FFFFFF"/>
          <w:spacing w:val="-20000"/>
          <w:sz w:val="2"/>
          <w:szCs w:val="28"/>
        </w:rPr>
        <w:instrText xml:space="preserve"> продолжится </w:instrText>
      </w:r>
      <w:r>
        <w:rPr>
          <w:noProof/>
          <w:shd w:val="clear" w:color="auto" w:fill="FFFFFF"/>
        </w:rPr>
        <w:instrText>Высшие</w:instrText>
      </w:r>
      <w:r>
        <w:rPr>
          <w:noProof/>
          <w:color w:val="FFFFFF"/>
          <w:spacing w:val="-20000"/>
          <w:sz w:val="2"/>
          <w:szCs w:val="28"/>
        </w:rPr>
        <w:instrText> процессе</w:instrText>
      </w:r>
      <w:r>
        <w:fldChar w:fldCharType="end"/>
      </w:r>
      <w:r>
        <w:rPr>
          <w:shd w:val="clear" w:color="auto" w:fill="FFFFFF"/>
        </w:rPr>
        <w:t xml:space="preserve"> учебные </w:t>
      </w:r>
      <w:r>
        <w:fldChar w:fldCharType="begin"/>
      </w:r>
      <w:r>
        <w:instrText xml:space="preserve">eq </w:instrText>
      </w:r>
      <w:r>
        <w:rPr>
          <w:noProof/>
          <w:shd w:val="clear" w:color="auto" w:fill="FFFFFF"/>
        </w:rPr>
        <w:instrText>заведения</w:instrText>
      </w:r>
      <w:r>
        <w:rPr>
          <w:noProof/>
          <w:color w:val="FFFFFF"/>
          <w:spacing w:val="-20000"/>
          <w:sz w:val="2"/>
          <w:szCs w:val="28"/>
        </w:rPr>
        <w:instrText> также</w:instrText>
      </w:r>
      <w:r>
        <w:fldChar w:fldCharType="end"/>
      </w:r>
      <w:r>
        <w:rPr>
          <w:shd w:val="clear" w:color="auto" w:fill="FFFFFF"/>
        </w:rPr>
        <w:t xml:space="preserve">(ВУЗы) стремятся </w:t>
      </w:r>
      <w:r>
        <w:fldChar w:fldCharType="begin"/>
      </w:r>
      <w:r>
        <w:instrText xml:space="preserve">eq </w:instrText>
      </w:r>
      <w:r>
        <w:rPr>
          <w:noProof/>
          <w:color w:val="FFFFFF"/>
          <w:spacing w:val="-20000"/>
          <w:sz w:val="2"/>
          <w:szCs w:val="28"/>
        </w:rPr>
        <w:instrText xml:space="preserve"> napravleniya </w:instrText>
      </w:r>
      <w:r>
        <w:rPr>
          <w:noProof/>
          <w:shd w:val="clear" w:color="auto" w:fill="FFFFFF"/>
        </w:rPr>
        <w:instrText>оптимизировать</w:instrText>
      </w:r>
      <w:r>
        <w:rPr>
          <w:noProof/>
          <w:color w:val="FFFFFF"/>
          <w:spacing w:val="-20000"/>
          <w:sz w:val="2"/>
          <w:szCs w:val="28"/>
        </w:rPr>
        <w:instrText> будет</w:instrText>
      </w:r>
      <w:r>
        <w:fldChar w:fldCharType="end"/>
      </w:r>
      <w:r>
        <w:rPr>
          <w:shd w:val="clear" w:color="auto" w:fill="FFFFFF"/>
        </w:rPr>
        <w:t xml:space="preserve"> процесс обучение, </w:t>
      </w:r>
      <w:r>
        <w:fldChar w:fldCharType="begin"/>
      </w:r>
      <w:r>
        <w:instrText xml:space="preserve">eq </w:instrText>
      </w:r>
      <w:r>
        <w:rPr>
          <w:noProof/>
          <w:color w:val="FFFFFF"/>
          <w:spacing w:val="-20000"/>
          <w:sz w:val="2"/>
          <w:szCs w:val="28"/>
        </w:rPr>
        <w:instrText xml:space="preserve"> также </w:instrText>
      </w:r>
      <w:r>
        <w:rPr>
          <w:noProof/>
          <w:shd w:val="clear" w:color="auto" w:fill="FFFFFF"/>
        </w:rPr>
        <w:instrText>модернизировать</w:instrText>
      </w:r>
      <w:r>
        <w:fldChar w:fldCharType="end"/>
      </w:r>
      <w:r>
        <w:rPr>
          <w:shd w:val="clear" w:color="auto" w:fill="FFFFFF"/>
        </w:rPr>
        <w:t xml:space="preserve"> техническую базу и, </w:t>
      </w:r>
      <w:r>
        <w:fldChar w:fldCharType="begin"/>
      </w:r>
      <w:r>
        <w:instrText xml:space="preserve">eq </w:instrText>
      </w:r>
      <w:r>
        <w:rPr>
          <w:noProof/>
          <w:color w:val="FFFFFF"/>
          <w:spacing w:val="-20000"/>
          <w:sz w:val="2"/>
          <w:szCs w:val="28"/>
        </w:rPr>
        <w:instrText xml:space="preserve"> приморского </w:instrText>
      </w:r>
      <w:r>
        <w:rPr>
          <w:noProof/>
          <w:shd w:val="clear" w:color="auto" w:fill="FFFFFF"/>
        </w:rPr>
        <w:instrText>конечно</w:instrText>
      </w:r>
      <w:r>
        <w:rPr>
          <w:noProof/>
          <w:color w:val="FFFFFF"/>
          <w:spacing w:val="-20000"/>
          <w:sz w:val="2"/>
          <w:szCs w:val="28"/>
        </w:rPr>
        <w:instrText> министерство</w:instrText>
      </w:r>
      <w:r>
        <w:fldChar w:fldCharType="end"/>
      </w:r>
      <w:r>
        <w:rPr>
          <w:shd w:val="clear" w:color="auto" w:fill="FFFFFF"/>
        </w:rPr>
        <w:t xml:space="preserve">, стараются </w:t>
      </w:r>
      <w:r>
        <w:fldChar w:fldCharType="begin"/>
      </w:r>
      <w:r>
        <w:instrText xml:space="preserve">eq </w:instrText>
      </w:r>
      <w:r>
        <w:rPr>
          <w:noProof/>
          <w:shd w:val="clear" w:color="auto" w:fill="FFFFFF"/>
        </w:rPr>
        <w:instrText>привлечь</w:instrText>
      </w:r>
      <w:r>
        <w:rPr>
          <w:noProof/>
          <w:color w:val="FFFFFF"/>
          <w:spacing w:val="-20000"/>
          <w:sz w:val="2"/>
          <w:szCs w:val="28"/>
        </w:rPr>
        <w:instrText> наблюдается</w:instrText>
      </w:r>
      <w:r>
        <w:fldChar w:fldCharType="end"/>
      </w:r>
      <w:r>
        <w:rPr>
          <w:shd w:val="clear" w:color="auto" w:fill="FFFFFF"/>
        </w:rPr>
        <w:t xml:space="preserve"> большее количество </w:t>
      </w:r>
      <w:r>
        <w:fldChar w:fldCharType="begin"/>
      </w:r>
      <w:r>
        <w:instrText xml:space="preserve">eq </w:instrText>
      </w:r>
      <w:r>
        <w:rPr>
          <w:noProof/>
          <w:color w:val="FFFFFF"/>
          <w:spacing w:val="-20000"/>
          <w:sz w:val="2"/>
          <w:szCs w:val="28"/>
        </w:rPr>
        <w:instrText xml:space="preserve"> режим </w:instrText>
      </w:r>
      <w:r>
        <w:rPr>
          <w:noProof/>
          <w:shd w:val="clear" w:color="auto" w:fill="FFFFFF"/>
        </w:rPr>
        <w:instrText>абитуриентов</w:instrText>
      </w:r>
      <w:r>
        <w:rPr>
          <w:noProof/>
          <w:color w:val="FFFFFF"/>
          <w:spacing w:val="-20000"/>
          <w:sz w:val="2"/>
          <w:szCs w:val="28"/>
        </w:rPr>
        <w:instrText> заведений</w:instrText>
      </w:r>
      <w:r>
        <w:fldChar w:fldCharType="end"/>
      </w:r>
      <w:r>
        <w:rPr>
          <w:shd w:val="clear" w:color="auto" w:fill="FFFFFF"/>
        </w:rPr>
        <w:t xml:space="preserve">, в связи с чем ВУЗам </w:t>
      </w:r>
      <w:r>
        <w:fldChar w:fldCharType="begin"/>
      </w:r>
      <w:r>
        <w:instrText xml:space="preserve">eq </w:instrText>
      </w:r>
      <w:r>
        <w:rPr>
          <w:noProof/>
          <w:color w:val="FFFFFF"/>
          <w:spacing w:val="-20000"/>
          <w:sz w:val="2"/>
          <w:szCs w:val="28"/>
        </w:rPr>
        <w:instrText xml:space="preserve"> также </w:instrText>
      </w:r>
      <w:r>
        <w:rPr>
          <w:noProof/>
          <w:shd w:val="clear" w:color="auto" w:fill="FFFFFF"/>
        </w:rPr>
        <w:instrText>необходимо</w:instrText>
      </w:r>
      <w:r>
        <w:fldChar w:fldCharType="end"/>
      </w:r>
      <w:r>
        <w:rPr>
          <w:shd w:val="clear" w:color="auto" w:fill="FFFFFF"/>
        </w:rPr>
        <w:t xml:space="preserve"> изучать поведение </w:t>
      </w:r>
      <w:r>
        <w:fldChar w:fldCharType="begin"/>
      </w:r>
      <w:r>
        <w:instrText xml:space="preserve">eq </w:instrText>
      </w:r>
      <w:r>
        <w:rPr>
          <w:noProof/>
          <w:color w:val="FFFFFF"/>
          <w:spacing w:val="-20000"/>
          <w:sz w:val="2"/>
          <w:szCs w:val="28"/>
        </w:rPr>
        <w:instrText xml:space="preserve"> бесплатные </w:instrText>
      </w:r>
      <w:r>
        <w:rPr>
          <w:noProof/>
          <w:shd w:val="clear" w:color="auto" w:fill="FFFFFF"/>
        </w:rPr>
        <w:instrText>потребителей</w:instrText>
      </w:r>
      <w:r>
        <w:rPr>
          <w:noProof/>
          <w:color w:val="FFFFFF"/>
          <w:spacing w:val="-20000"/>
          <w:sz w:val="2"/>
          <w:szCs w:val="28"/>
        </w:rPr>
        <w:instrText> высшем</w:instrText>
      </w:r>
      <w:r>
        <w:fldChar w:fldCharType="end"/>
      </w:r>
      <w:r>
        <w:rPr>
          <w:shd w:val="clear" w:color="auto" w:fill="FFFFFF"/>
        </w:rPr>
        <w:t xml:space="preserve">, их предпочтения, </w:t>
      </w:r>
      <w:r>
        <w:fldChar w:fldCharType="begin"/>
      </w:r>
      <w:r>
        <w:instrText xml:space="preserve">eq </w:instrText>
      </w:r>
      <w:r>
        <w:rPr>
          <w:noProof/>
          <w:shd w:val="clear" w:color="auto" w:fill="FFFFFF"/>
        </w:rPr>
        <w:instrText>выявлять</w:instrText>
      </w:r>
      <w:r>
        <w:rPr>
          <w:noProof/>
          <w:color w:val="FFFFFF"/>
          <w:spacing w:val="-20000"/>
          <w:sz w:val="2"/>
          <w:szCs w:val="28"/>
        </w:rPr>
        <w:instrText> направления</w:instrText>
      </w:r>
      <w:r>
        <w:fldChar w:fldCharType="end"/>
      </w:r>
      <w:r>
        <w:rPr>
          <w:shd w:val="clear" w:color="auto" w:fill="FFFFFF"/>
        </w:rPr>
        <w:t xml:space="preserve">, какие факторы </w:t>
      </w:r>
      <w:r>
        <w:fldChar w:fldCharType="begin"/>
      </w:r>
      <w:r>
        <w:instrText xml:space="preserve">eq </w:instrText>
      </w:r>
      <w:r>
        <w:rPr>
          <w:noProof/>
          <w:color w:val="FFFFFF"/>
          <w:spacing w:val="-20000"/>
          <w:sz w:val="2"/>
          <w:szCs w:val="28"/>
        </w:rPr>
        <w:instrText xml:space="preserve"> первую </w:instrText>
      </w:r>
      <w:r>
        <w:rPr>
          <w:noProof/>
          <w:shd w:val="clear" w:color="auto" w:fill="FFFFFF"/>
        </w:rPr>
        <w:instrText>являются</w:instrText>
      </w:r>
      <w:r>
        <w:rPr>
          <w:noProof/>
          <w:color w:val="FFFFFF"/>
          <w:spacing w:val="-20000"/>
          <w:sz w:val="2"/>
          <w:szCs w:val="28"/>
        </w:rPr>
        <w:instrText> ответов</w:instrText>
      </w:r>
      <w:r>
        <w:fldChar w:fldCharType="end"/>
      </w:r>
      <w:r>
        <w:rPr>
          <w:shd w:val="clear" w:color="auto" w:fill="FFFFFF"/>
        </w:rPr>
        <w:t xml:space="preserve"> определяющими в выборе </w:t>
      </w:r>
      <w:r>
        <w:fldChar w:fldCharType="begin"/>
      </w:r>
      <w:r>
        <w:instrText xml:space="preserve">eq </w:instrText>
      </w:r>
      <w:r>
        <w:rPr>
          <w:noProof/>
          <w:color w:val="FFFFFF"/>
          <w:spacing w:val="-20000"/>
          <w:sz w:val="2"/>
          <w:szCs w:val="28"/>
        </w:rPr>
        <w:instrText xml:space="preserve"> сегодняшний </w:instrText>
      </w:r>
      <w:r>
        <w:rPr>
          <w:noProof/>
          <w:shd w:val="clear" w:color="auto" w:fill="FFFFFF"/>
        </w:rPr>
        <w:instrText>дальнейшего</w:instrText>
      </w:r>
      <w:r>
        <w:fldChar w:fldCharType="end"/>
      </w:r>
      <w:r>
        <w:rPr>
          <w:shd w:val="clear" w:color="auto" w:fill="FFFFFF"/>
        </w:rPr>
        <w:t xml:space="preserve"> места обучения, а </w:t>
      </w:r>
      <w:r>
        <w:fldChar w:fldCharType="begin"/>
      </w:r>
      <w:r>
        <w:instrText xml:space="preserve">eq </w:instrText>
      </w:r>
      <w:r>
        <w:rPr>
          <w:noProof/>
          <w:color w:val="FFFFFF"/>
          <w:spacing w:val="-20000"/>
          <w:sz w:val="2"/>
          <w:szCs w:val="28"/>
        </w:rPr>
        <w:instrText xml:space="preserve"> году </w:instrText>
      </w:r>
      <w:r>
        <w:rPr>
          <w:noProof/>
          <w:shd w:val="clear" w:color="auto" w:fill="FFFFFF"/>
        </w:rPr>
        <w:instrText>какие</w:instrText>
      </w:r>
      <w:r>
        <w:rPr>
          <w:noProof/>
          <w:color w:val="FFFFFF"/>
          <w:spacing w:val="-20000"/>
          <w:sz w:val="2"/>
          <w:szCs w:val="28"/>
        </w:rPr>
        <w:instrText> открытых</w:instrText>
      </w:r>
      <w:r>
        <w:fldChar w:fldCharType="end"/>
      </w:r>
      <w:r>
        <w:rPr>
          <w:shd w:val="clear" w:color="auto" w:fill="FFFFFF"/>
        </w:rPr>
        <w:t xml:space="preserve"> уходят на </w:t>
      </w:r>
      <w:r>
        <w:fldChar w:fldCharType="begin"/>
      </w:r>
      <w:r>
        <w:instrText xml:space="preserve">eq </w:instrText>
      </w:r>
      <w:r>
        <w:rPr>
          <w:noProof/>
          <w:shd w:val="clear" w:color="auto" w:fill="FFFFFF"/>
        </w:rPr>
        <w:instrText>второй</w:instrText>
      </w:r>
      <w:r>
        <w:rPr>
          <w:noProof/>
          <w:color w:val="FFFFFF"/>
          <w:spacing w:val="-20000"/>
          <w:sz w:val="2"/>
          <w:szCs w:val="28"/>
        </w:rPr>
        <w:instrText> будет</w:instrText>
      </w:r>
      <w:r>
        <w:fldChar w:fldCharType="end"/>
      </w:r>
      <w:r>
        <w:rPr>
          <w:shd w:val="clear" w:color="auto" w:fill="FFFFFF"/>
        </w:rPr>
        <w:t xml:space="preserve"> план. </w:t>
      </w:r>
      <w:r>
        <w:t xml:space="preserve">Необходимость </w:t>
      </w:r>
      <w:r>
        <w:fldChar w:fldCharType="begin"/>
      </w:r>
      <w:r>
        <w:instrText xml:space="preserve">eq </w:instrText>
      </w:r>
      <w:r>
        <w:rPr>
          <w:noProof/>
          <w:color w:val="FFFFFF"/>
          <w:spacing w:val="-20000"/>
          <w:sz w:val="2"/>
          <w:szCs w:val="28"/>
        </w:rPr>
        <w:instrText xml:space="preserve"> анализ </w:instrText>
      </w:r>
      <w:r>
        <w:rPr>
          <w:noProof/>
        </w:rPr>
        <w:instrText>формирования</w:instrText>
      </w:r>
      <w:r>
        <w:rPr>
          <w:noProof/>
          <w:color w:val="FFFFFF"/>
          <w:spacing w:val="-20000"/>
          <w:sz w:val="2"/>
          <w:szCs w:val="28"/>
        </w:rPr>
        <w:instrText> докладе</w:instrText>
      </w:r>
      <w:r>
        <w:fldChar w:fldCharType="end"/>
      </w:r>
      <w:r>
        <w:t xml:space="preserve"> конкурентоспособной системы </w:t>
      </w:r>
      <w:r>
        <w:fldChar w:fldCharType="begin"/>
      </w:r>
      <w:r>
        <w:instrText xml:space="preserve">eq </w:instrText>
      </w:r>
      <w:r>
        <w:rPr>
          <w:noProof/>
          <w:color w:val="FFFFFF"/>
          <w:spacing w:val="-20000"/>
          <w:sz w:val="2"/>
          <w:szCs w:val="28"/>
        </w:rPr>
        <w:instrText xml:space="preserve"> снижение </w:instrText>
      </w:r>
      <w:r>
        <w:rPr>
          <w:noProof/>
        </w:rPr>
        <w:instrText>высшего</w:instrText>
      </w:r>
      <w:r>
        <w:fldChar w:fldCharType="end"/>
      </w:r>
      <w:r>
        <w:t xml:space="preserve"> образования определена и в </w:t>
      </w:r>
      <w:r>
        <w:fldChar w:fldCharType="begin"/>
      </w:r>
      <w:r>
        <w:instrText xml:space="preserve">eq </w:instrText>
      </w:r>
      <w:r>
        <w:rPr>
          <w:noProof/>
          <w:color w:val="FFFFFF"/>
          <w:spacing w:val="-20000"/>
          <w:sz w:val="2"/>
          <w:szCs w:val="28"/>
        </w:rPr>
        <w:instrText xml:space="preserve"> основным </w:instrText>
      </w:r>
      <w:r>
        <w:rPr>
          <w:noProof/>
        </w:rPr>
        <w:instrText>отчете</w:instrText>
      </w:r>
      <w:r>
        <w:rPr>
          <w:noProof/>
          <w:color w:val="FFFFFF"/>
          <w:spacing w:val="-20000"/>
          <w:sz w:val="2"/>
          <w:szCs w:val="28"/>
        </w:rPr>
        <w:instrText> планы</w:instrText>
      </w:r>
      <w:r>
        <w:fldChar w:fldCharType="end"/>
      </w:r>
      <w:r>
        <w:t xml:space="preserve"> «Об итогах </w:t>
      </w:r>
      <w:r>
        <w:fldChar w:fldCharType="begin"/>
      </w:r>
      <w:r>
        <w:instrText xml:space="preserve">eq </w:instrText>
      </w:r>
      <w:r>
        <w:rPr>
          <w:noProof/>
        </w:rPr>
        <w:instrText>деятельности</w:instrText>
      </w:r>
      <w:r>
        <w:rPr>
          <w:noProof/>
          <w:color w:val="FFFFFF"/>
          <w:spacing w:val="-20000"/>
          <w:sz w:val="2"/>
          <w:szCs w:val="28"/>
        </w:rPr>
        <w:instrText> последние</w:instrText>
      </w:r>
      <w:r>
        <w:fldChar w:fldCharType="end"/>
      </w:r>
      <w:r>
        <w:t xml:space="preserve"> Министерства образования </w:t>
      </w:r>
      <w:r>
        <w:fldChar w:fldCharType="begin"/>
      </w:r>
      <w:r>
        <w:instrText xml:space="preserve">eq </w:instrText>
      </w:r>
      <w:r>
        <w:rPr>
          <w:noProof/>
          <w:color w:val="FFFFFF"/>
          <w:spacing w:val="-20000"/>
          <w:sz w:val="2"/>
          <w:szCs w:val="28"/>
        </w:rPr>
        <w:instrText xml:space="preserve"> графику </w:instrText>
      </w:r>
      <w:r>
        <w:rPr>
          <w:noProof/>
        </w:rPr>
        <w:instrText>и науки</w:instrText>
      </w:r>
      <w:r>
        <w:rPr>
          <w:noProof/>
          <w:color w:val="FFFFFF"/>
          <w:spacing w:val="-20000"/>
          <w:sz w:val="2"/>
          <w:szCs w:val="28"/>
        </w:rPr>
        <w:instrText> рынке</w:instrText>
      </w:r>
      <w:r>
        <w:fldChar w:fldCharType="end"/>
      </w:r>
      <w:r>
        <w:t xml:space="preserve"> Российской Федерации </w:t>
      </w:r>
      <w:r>
        <w:fldChar w:fldCharType="begin"/>
      </w:r>
      <w:r>
        <w:instrText xml:space="preserve">eq </w:instrText>
      </w:r>
      <w:r>
        <w:rPr>
          <w:noProof/>
          <w:color w:val="FFFFFF"/>
          <w:spacing w:val="-20000"/>
          <w:sz w:val="2"/>
          <w:szCs w:val="28"/>
        </w:rPr>
        <w:instrText xml:space="preserve"> основных </w:instrText>
      </w:r>
      <w:r>
        <w:rPr>
          <w:noProof/>
        </w:rPr>
        <w:instrText>в</w:instrText>
      </w:r>
      <w:r>
        <w:fldChar w:fldCharType="end"/>
      </w:r>
      <w:r>
        <w:t xml:space="preserve"> 2015 году и задачах </w:t>
      </w:r>
      <w:r>
        <w:fldChar w:fldCharType="begin"/>
      </w:r>
      <w:r>
        <w:instrText xml:space="preserve">eq </w:instrText>
      </w:r>
      <w:r>
        <w:rPr>
          <w:noProof/>
          <w:color w:val="FFFFFF"/>
          <w:spacing w:val="-20000"/>
          <w:sz w:val="2"/>
          <w:szCs w:val="28"/>
        </w:rPr>
        <w:instrText xml:space="preserve"> проведенная </w:instrText>
      </w:r>
      <w:r>
        <w:rPr>
          <w:noProof/>
        </w:rPr>
        <w:instrText>на 2016 год</w:instrText>
      </w:r>
      <w:r>
        <w:rPr>
          <w:noProof/>
          <w:color w:val="FFFFFF"/>
          <w:spacing w:val="-20000"/>
          <w:sz w:val="2"/>
          <w:szCs w:val="28"/>
        </w:rPr>
        <w:instrText> снижение</w:instrText>
      </w:r>
      <w:r>
        <w:fldChar w:fldCharType="end"/>
      </w:r>
      <w:r>
        <w:t xml:space="preserve">» [10]. Каждый </w:t>
      </w:r>
      <w:r>
        <w:fldChar w:fldCharType="begin"/>
      </w:r>
      <w:r>
        <w:instrText xml:space="preserve">eq </w:instrText>
      </w:r>
      <w:r>
        <w:rPr>
          <w:noProof/>
        </w:rPr>
        <w:instrText>школьник</w:instrText>
      </w:r>
      <w:r>
        <w:rPr>
          <w:noProof/>
          <w:color w:val="FFFFFF"/>
          <w:spacing w:val="-20000"/>
          <w:sz w:val="2"/>
          <w:szCs w:val="28"/>
        </w:rPr>
        <w:instrText> образования</w:instrText>
      </w:r>
      <w:r>
        <w:fldChar w:fldCharType="end"/>
      </w:r>
      <w:r>
        <w:t xml:space="preserve"> рано или поздно </w:t>
      </w:r>
      <w:r>
        <w:fldChar w:fldCharType="begin"/>
      </w:r>
      <w:r>
        <w:instrText xml:space="preserve">eq </w:instrText>
      </w:r>
      <w:r>
        <w:rPr>
          <w:noProof/>
          <w:color w:val="FFFFFF"/>
          <w:spacing w:val="-20000"/>
          <w:sz w:val="2"/>
          <w:szCs w:val="28"/>
        </w:rPr>
        <w:instrText xml:space="preserve"> успех </w:instrText>
      </w:r>
      <w:r>
        <w:rPr>
          <w:noProof/>
        </w:rPr>
        <w:instrText>встает</w:instrText>
      </w:r>
      <w:r>
        <w:rPr>
          <w:noProof/>
          <w:color w:val="FFFFFF"/>
          <w:spacing w:val="-20000"/>
          <w:sz w:val="2"/>
          <w:szCs w:val="28"/>
        </w:rPr>
        <w:instrText> докладе</w:instrText>
      </w:r>
      <w:r>
        <w:fldChar w:fldCharType="end"/>
      </w:r>
      <w:r>
        <w:t xml:space="preserve"> перед выбором, где </w:t>
      </w:r>
      <w:r>
        <w:fldChar w:fldCharType="begin"/>
      </w:r>
      <w:r>
        <w:instrText xml:space="preserve">eq </w:instrText>
      </w:r>
      <w:r>
        <w:rPr>
          <w:noProof/>
          <w:color w:val="FFFFFF"/>
          <w:spacing w:val="-20000"/>
          <w:sz w:val="2"/>
          <w:szCs w:val="28"/>
        </w:rPr>
        <w:instrText xml:space="preserve"> основная </w:instrText>
      </w:r>
      <w:r>
        <w:rPr>
          <w:noProof/>
        </w:rPr>
        <w:instrText>учиться</w:instrText>
      </w:r>
      <w:r>
        <w:fldChar w:fldCharType="end"/>
      </w:r>
      <w:r>
        <w:t xml:space="preserve"> дальше. Кто-то </w:t>
      </w:r>
      <w:r>
        <w:fldChar w:fldCharType="begin"/>
      </w:r>
      <w:r>
        <w:instrText xml:space="preserve">eq </w:instrText>
      </w:r>
      <w:r>
        <w:rPr>
          <w:noProof/>
          <w:color w:val="FFFFFF"/>
          <w:spacing w:val="-20000"/>
          <w:sz w:val="2"/>
          <w:szCs w:val="28"/>
        </w:rPr>
        <w:instrText xml:space="preserve"> опрошенных </w:instrText>
      </w:r>
      <w:r>
        <w:rPr>
          <w:noProof/>
        </w:rPr>
        <w:instrText>продолжает</w:instrText>
      </w:r>
      <w:r>
        <w:rPr>
          <w:noProof/>
          <w:color w:val="FFFFFF"/>
          <w:spacing w:val="-20000"/>
          <w:sz w:val="2"/>
          <w:szCs w:val="28"/>
        </w:rPr>
        <w:instrText> которого</w:instrText>
      </w:r>
      <w:r>
        <w:fldChar w:fldCharType="end"/>
      </w:r>
      <w:r>
        <w:t xml:space="preserve"> обучение в </w:t>
      </w:r>
      <w:r>
        <w:fldChar w:fldCharType="begin"/>
      </w:r>
      <w:r>
        <w:instrText xml:space="preserve">eq </w:instrText>
      </w:r>
      <w:r>
        <w:rPr>
          <w:noProof/>
        </w:rPr>
        <w:instrText>колледже</w:instrText>
      </w:r>
      <w:r>
        <w:rPr>
          <w:noProof/>
          <w:color w:val="FFFFFF"/>
          <w:spacing w:val="-20000"/>
          <w:sz w:val="2"/>
          <w:szCs w:val="28"/>
        </w:rPr>
        <w:instrText> каждый</w:instrText>
      </w:r>
      <w:r>
        <w:fldChar w:fldCharType="end"/>
      </w:r>
      <w:r>
        <w:t xml:space="preserve">, кто-то поступает в </w:t>
      </w:r>
      <w:r>
        <w:fldChar w:fldCharType="begin"/>
      </w:r>
      <w:r>
        <w:instrText xml:space="preserve">eq </w:instrText>
      </w:r>
      <w:r>
        <w:rPr>
          <w:noProof/>
          <w:color w:val="FFFFFF"/>
          <w:spacing w:val="-20000"/>
          <w:sz w:val="2"/>
          <w:szCs w:val="28"/>
        </w:rPr>
        <w:instrText xml:space="preserve"> сегодняшний </w:instrText>
      </w:r>
      <w:r>
        <w:rPr>
          <w:noProof/>
        </w:rPr>
        <w:instrText>техникумы</w:instrText>
      </w:r>
      <w:r>
        <w:rPr>
          <w:noProof/>
          <w:color w:val="FFFFFF"/>
          <w:spacing w:val="-20000"/>
          <w:sz w:val="2"/>
          <w:szCs w:val="28"/>
        </w:rPr>
        <w:instrText> бесплатные</w:instrText>
      </w:r>
      <w:r>
        <w:fldChar w:fldCharType="end"/>
      </w:r>
      <w:r>
        <w:t xml:space="preserve"> и училища, но все же большее </w:t>
      </w:r>
      <w:r>
        <w:fldChar w:fldCharType="begin"/>
      </w:r>
      <w:r>
        <w:instrText xml:space="preserve">eq </w:instrText>
      </w:r>
      <w:r>
        <w:rPr>
          <w:noProof/>
          <w:color w:val="FFFFFF"/>
          <w:spacing w:val="-20000"/>
          <w:sz w:val="2"/>
          <w:szCs w:val="28"/>
        </w:rPr>
        <w:instrText xml:space="preserve"> самые </w:instrText>
      </w:r>
      <w:r>
        <w:rPr>
          <w:noProof/>
        </w:rPr>
        <w:instrText>число</w:instrText>
      </w:r>
      <w:r>
        <w:fldChar w:fldCharType="end"/>
      </w:r>
      <w:r>
        <w:t xml:space="preserve"> абитуриентов предпочитают </w:t>
      </w:r>
      <w:r>
        <w:fldChar w:fldCharType="begin"/>
      </w:r>
      <w:r>
        <w:instrText xml:space="preserve">eq </w:instrText>
      </w:r>
      <w:r>
        <w:rPr>
          <w:noProof/>
          <w:color w:val="FFFFFF"/>
          <w:spacing w:val="-20000"/>
          <w:sz w:val="2"/>
          <w:szCs w:val="28"/>
        </w:rPr>
        <w:instrText xml:space="preserve"> которые </w:instrText>
      </w:r>
      <w:r>
        <w:rPr>
          <w:noProof/>
        </w:rPr>
        <w:instrText>получить</w:instrText>
      </w:r>
      <w:r>
        <w:rPr>
          <w:noProof/>
          <w:color w:val="FFFFFF"/>
          <w:spacing w:val="-20000"/>
          <w:sz w:val="2"/>
          <w:szCs w:val="28"/>
        </w:rPr>
        <w:instrText> основная</w:instrText>
      </w:r>
      <w:r>
        <w:fldChar w:fldCharType="end"/>
      </w:r>
      <w:r>
        <w:t xml:space="preserve"> высшее </w:t>
      </w:r>
      <w:r>
        <w:fldChar w:fldCharType="begin"/>
      </w:r>
      <w:r>
        <w:instrText xml:space="preserve">eq </w:instrText>
      </w:r>
      <w:r>
        <w:rPr>
          <w:noProof/>
        </w:rPr>
        <w:instrText>образование</w:instrText>
      </w:r>
      <w:r>
        <w:rPr>
          <w:noProof/>
          <w:color w:val="FFFFFF"/>
          <w:spacing w:val="-20000"/>
          <w:sz w:val="2"/>
          <w:szCs w:val="28"/>
        </w:rPr>
        <w:instrText> зачастую</w:instrText>
      </w:r>
      <w:r>
        <w:fldChar w:fldCharType="end"/>
      </w:r>
      <w:r>
        <w:t xml:space="preserve">, вследствие чего </w:t>
      </w:r>
      <w:r>
        <w:fldChar w:fldCharType="begin"/>
      </w:r>
      <w:r>
        <w:instrText xml:space="preserve">eq </w:instrText>
      </w:r>
      <w:r>
        <w:rPr>
          <w:noProof/>
          <w:color w:val="FFFFFF"/>
          <w:spacing w:val="-20000"/>
          <w:sz w:val="2"/>
          <w:szCs w:val="28"/>
        </w:rPr>
        <w:instrText xml:space="preserve"> органами </w:instrText>
      </w:r>
      <w:r>
        <w:rPr>
          <w:noProof/>
        </w:rPr>
        <w:instrText>выбирают</w:instrText>
      </w:r>
      <w:r>
        <w:rPr>
          <w:noProof/>
          <w:color w:val="FFFFFF"/>
          <w:spacing w:val="-20000"/>
          <w:sz w:val="2"/>
          <w:szCs w:val="28"/>
        </w:rPr>
        <w:instrText> пределами</w:instrText>
      </w:r>
      <w:r>
        <w:fldChar w:fldCharType="end"/>
      </w:r>
      <w:r>
        <w:t xml:space="preserve"> Высшие Учебные </w:t>
      </w:r>
      <w:r>
        <w:fldChar w:fldCharType="begin"/>
      </w:r>
      <w:r>
        <w:instrText xml:space="preserve">eq </w:instrText>
      </w:r>
      <w:r>
        <w:rPr>
          <w:noProof/>
          <w:color w:val="FFFFFF"/>
          <w:spacing w:val="-20000"/>
          <w:sz w:val="2"/>
          <w:szCs w:val="28"/>
        </w:rPr>
        <w:instrText xml:space="preserve"> беляев </w:instrText>
      </w:r>
      <w:r>
        <w:rPr>
          <w:noProof/>
        </w:rPr>
        <w:instrText>Заведения</w:instrText>
      </w:r>
      <w:r>
        <w:fldChar w:fldCharType="end"/>
      </w:r>
      <w:r>
        <w:t xml:space="preserve"> (ВУЗы). Зачастую на </w:t>
      </w:r>
      <w:r>
        <w:fldChar w:fldCharType="begin"/>
      </w:r>
      <w:r>
        <w:instrText xml:space="preserve">eq </w:instrText>
      </w:r>
      <w:r>
        <w:rPr>
          <w:noProof/>
          <w:color w:val="FFFFFF"/>
          <w:spacing w:val="-20000"/>
          <w:sz w:val="2"/>
          <w:szCs w:val="28"/>
        </w:rPr>
        <w:instrText xml:space="preserve"> продолжится </w:instrText>
      </w:r>
      <w:r>
        <w:rPr>
          <w:noProof/>
        </w:rPr>
        <w:instrText>выбор</w:instrText>
      </w:r>
      <w:r>
        <w:rPr>
          <w:noProof/>
          <w:color w:val="FFFFFF"/>
          <w:spacing w:val="-20000"/>
          <w:sz w:val="2"/>
          <w:szCs w:val="28"/>
        </w:rPr>
        <w:instrText> сегодняшний</w:instrText>
      </w:r>
      <w:r>
        <w:fldChar w:fldCharType="end"/>
      </w:r>
      <w:r>
        <w:t xml:space="preserve"> абитуриентами </w:t>
      </w:r>
      <w:r>
        <w:fldChar w:fldCharType="begin"/>
      </w:r>
      <w:r>
        <w:instrText xml:space="preserve">eq </w:instrText>
      </w:r>
      <w:r>
        <w:rPr>
          <w:noProof/>
        </w:rPr>
        <w:instrText>ВУЗа</w:instrText>
      </w:r>
      <w:r>
        <w:rPr>
          <w:noProof/>
          <w:color w:val="FFFFFF"/>
          <w:spacing w:val="-20000"/>
          <w:sz w:val="2"/>
          <w:szCs w:val="28"/>
        </w:rPr>
        <w:instrText> техническую</w:instrText>
      </w:r>
      <w:r>
        <w:fldChar w:fldCharType="end"/>
      </w:r>
      <w:r>
        <w:t xml:space="preserve"> имеют существенное </w:t>
      </w:r>
      <w:r>
        <w:fldChar w:fldCharType="begin"/>
      </w:r>
      <w:r>
        <w:instrText xml:space="preserve">eq </w:instrText>
      </w:r>
      <w:r>
        <w:rPr>
          <w:noProof/>
          <w:color w:val="FFFFFF"/>
          <w:spacing w:val="-20000"/>
          <w:sz w:val="2"/>
          <w:szCs w:val="28"/>
        </w:rPr>
        <w:instrText xml:space="preserve"> данного </w:instrText>
      </w:r>
      <w:r>
        <w:rPr>
          <w:noProof/>
        </w:rPr>
        <w:instrText>влияние</w:instrText>
      </w:r>
      <w:r>
        <w:rPr>
          <w:noProof/>
          <w:color w:val="FFFFFF"/>
          <w:spacing w:val="-20000"/>
          <w:sz w:val="2"/>
          <w:szCs w:val="28"/>
        </w:rPr>
        <w:instrText> nauka</w:instrText>
      </w:r>
      <w:r>
        <w:fldChar w:fldCharType="end"/>
      </w:r>
      <w:r>
        <w:t xml:space="preserve"> родители [11, 12, 13], которые </w:t>
      </w:r>
      <w:r>
        <w:fldChar w:fldCharType="begin"/>
      </w:r>
      <w:r>
        <w:instrText xml:space="preserve">eq </w:instrText>
      </w:r>
      <w:r>
        <w:rPr>
          <w:noProof/>
          <w:color w:val="FFFFFF"/>
          <w:spacing w:val="-20000"/>
          <w:sz w:val="2"/>
          <w:szCs w:val="28"/>
        </w:rPr>
        <w:instrText xml:space="preserve"> большее </w:instrText>
      </w:r>
      <w:r>
        <w:rPr>
          <w:noProof/>
        </w:rPr>
        <w:instrText>имеют</w:instrText>
      </w:r>
      <w:r>
        <w:fldChar w:fldCharType="end"/>
      </w:r>
      <w:r>
        <w:t xml:space="preserve"> более полное </w:t>
      </w:r>
      <w:r>
        <w:fldChar w:fldCharType="begin"/>
      </w:r>
      <w:r>
        <w:instrText xml:space="preserve">eq </w:instrText>
      </w:r>
      <w:r>
        <w:rPr>
          <w:noProof/>
          <w:color w:val="FFFFFF"/>
          <w:spacing w:val="-20000"/>
          <w:sz w:val="2"/>
          <w:szCs w:val="28"/>
        </w:rPr>
        <w:instrText xml:space="preserve"> поскольку </w:instrText>
      </w:r>
      <w:r>
        <w:rPr>
          <w:noProof/>
        </w:rPr>
        <w:instrText>представление</w:instrText>
      </w:r>
      <w:r>
        <w:rPr>
          <w:noProof/>
          <w:color w:val="FFFFFF"/>
          <w:spacing w:val="-20000"/>
          <w:sz w:val="2"/>
          <w:szCs w:val="28"/>
        </w:rPr>
        <w:instrText> этом</w:instrText>
      </w:r>
      <w:r>
        <w:fldChar w:fldCharType="end"/>
      </w:r>
      <w:r>
        <w:t xml:space="preserve"> о рынке </w:t>
      </w:r>
      <w:r>
        <w:fldChar w:fldCharType="begin"/>
      </w:r>
      <w:r>
        <w:instrText xml:space="preserve">eq </w:instrText>
      </w:r>
      <w:r>
        <w:rPr>
          <w:noProof/>
        </w:rPr>
        <w:instrText>ВУЗов</w:instrText>
      </w:r>
      <w:r>
        <w:rPr>
          <w:noProof/>
          <w:color w:val="FFFFFF"/>
          <w:spacing w:val="-20000"/>
          <w:sz w:val="2"/>
          <w:szCs w:val="28"/>
        </w:rPr>
        <w:instrText> молодежи</w:instrText>
      </w:r>
      <w:r>
        <w:fldChar w:fldCharType="end"/>
      </w:r>
      <w:r>
        <w:t xml:space="preserve">, востребованности профессий </w:t>
      </w:r>
      <w:r>
        <w:fldChar w:fldCharType="begin"/>
      </w:r>
      <w:r>
        <w:instrText xml:space="preserve">eq </w:instrText>
      </w:r>
      <w:r>
        <w:rPr>
          <w:noProof/>
          <w:color w:val="FFFFFF"/>
          <w:spacing w:val="-20000"/>
          <w:sz w:val="2"/>
          <w:szCs w:val="28"/>
        </w:rPr>
        <w:instrText xml:space="preserve"> году </w:instrText>
      </w:r>
      <w:r>
        <w:rPr>
          <w:noProof/>
        </w:rPr>
        <w:instrText>выпускников</w:instrText>
      </w:r>
      <w:r>
        <w:rPr>
          <w:noProof/>
          <w:color w:val="FFFFFF"/>
          <w:spacing w:val="-20000"/>
          <w:sz w:val="2"/>
          <w:szCs w:val="28"/>
        </w:rPr>
        <w:instrText> белыи</w:instrText>
      </w:r>
      <w:r>
        <w:fldChar w:fldCharType="end"/>
      </w:r>
      <w:r>
        <w:t xml:space="preserve"> на рынке труда и </w:t>
      </w:r>
      <w:r>
        <w:fldChar w:fldCharType="begin"/>
      </w:r>
      <w:r>
        <w:instrText xml:space="preserve">eq </w:instrText>
      </w:r>
      <w:r>
        <w:rPr>
          <w:noProof/>
          <w:color w:val="FFFFFF"/>
          <w:spacing w:val="-20000"/>
          <w:sz w:val="2"/>
          <w:szCs w:val="28"/>
        </w:rPr>
        <w:instrText xml:space="preserve"> высших </w:instrText>
      </w:r>
      <w:r>
        <w:rPr>
          <w:noProof/>
        </w:rPr>
        <w:instrText>среди</w:instrText>
      </w:r>
      <w:r>
        <w:fldChar w:fldCharType="end"/>
      </w:r>
      <w:r>
        <w:t xml:space="preserve"> работодателей [14, 15, 16, 17, 18 и др.]</w:t>
      </w:r>
    </w:p>
    <w:p w:rsidR="005E1201" w:rsidRDefault="005E1201" w:rsidP="005E1201">
      <w:pPr>
        <w:pStyle w:val="af6"/>
        <w:spacing w:before="0" w:beforeAutospacing="0" w:after="0" w:afterAutospacing="0"/>
        <w:ind w:right="-1" w:firstLine="709"/>
        <w:contextualSpacing/>
        <w:jc w:val="both"/>
      </w:pPr>
      <w:r>
        <w:t xml:space="preserve">В последние </w:t>
      </w:r>
      <w:r>
        <w:fldChar w:fldCharType="begin"/>
      </w:r>
      <w:r>
        <w:instrText xml:space="preserve">eq </w:instrText>
      </w:r>
      <w:r>
        <w:rPr>
          <w:noProof/>
          <w:color w:val="FFFFFF"/>
          <w:spacing w:val="-20000"/>
          <w:sz w:val="2"/>
          <w:szCs w:val="28"/>
        </w:rPr>
        <w:instrText xml:space="preserve"> ильинскии </w:instrText>
      </w:r>
      <w:r>
        <w:rPr>
          <w:noProof/>
        </w:rPr>
        <w:instrText>годы</w:instrText>
      </w:r>
      <w:r>
        <w:rPr>
          <w:noProof/>
          <w:color w:val="FFFFFF"/>
          <w:spacing w:val="-20000"/>
          <w:sz w:val="2"/>
          <w:szCs w:val="28"/>
        </w:rPr>
        <w:instrText> режим</w:instrText>
      </w:r>
      <w:r>
        <w:fldChar w:fldCharType="end"/>
      </w:r>
      <w:r>
        <w:t xml:space="preserve"> старшеклассникам все </w:t>
      </w:r>
      <w:r>
        <w:fldChar w:fldCharType="begin"/>
      </w:r>
      <w:r>
        <w:instrText xml:space="preserve">eq </w:instrText>
      </w:r>
      <w:r>
        <w:rPr>
          <w:noProof/>
        </w:rPr>
        <w:instrText>труднее</w:instrText>
      </w:r>
      <w:r>
        <w:rPr>
          <w:noProof/>
          <w:color w:val="FFFFFF"/>
          <w:spacing w:val="-20000"/>
          <w:sz w:val="2"/>
          <w:szCs w:val="28"/>
        </w:rPr>
        <w:instrText> данный</w:instrText>
      </w:r>
      <w:r>
        <w:fldChar w:fldCharType="end"/>
      </w:r>
      <w:r>
        <w:t xml:space="preserve"> сделать выбор </w:t>
      </w:r>
      <w:r>
        <w:fldChar w:fldCharType="begin"/>
      </w:r>
      <w:r>
        <w:instrText xml:space="preserve">eq </w:instrText>
      </w:r>
      <w:r>
        <w:rPr>
          <w:noProof/>
          <w:color w:val="FFFFFF"/>
          <w:spacing w:val="-20000"/>
          <w:sz w:val="2"/>
          <w:szCs w:val="28"/>
        </w:rPr>
        <w:instrText xml:space="preserve"> актуальность </w:instrText>
      </w:r>
      <w:r>
        <w:rPr>
          <w:noProof/>
        </w:rPr>
        <w:instrText>из-за</w:instrText>
      </w:r>
      <w:r>
        <w:rPr>
          <w:noProof/>
          <w:color w:val="FFFFFF"/>
          <w:spacing w:val="-20000"/>
          <w:sz w:val="2"/>
          <w:szCs w:val="28"/>
        </w:rPr>
        <w:instrText> абитуриентов</w:instrText>
      </w:r>
      <w:r>
        <w:fldChar w:fldCharType="end"/>
      </w:r>
      <w:r>
        <w:t xml:space="preserve"> возрастающей конкуренции на </w:t>
      </w:r>
      <w:r>
        <w:fldChar w:fldCharType="begin"/>
      </w:r>
      <w:r>
        <w:instrText xml:space="preserve">eq </w:instrText>
      </w:r>
      <w:r>
        <w:rPr>
          <w:noProof/>
          <w:color w:val="FFFFFF"/>
          <w:spacing w:val="-20000"/>
          <w:sz w:val="2"/>
          <w:szCs w:val="28"/>
        </w:rPr>
        <w:instrText xml:space="preserve"> потребитель </w:instrText>
      </w:r>
      <w:r>
        <w:rPr>
          <w:noProof/>
        </w:rPr>
        <w:instrText>ранке</w:instrText>
      </w:r>
      <w:r>
        <w:fldChar w:fldCharType="end"/>
      </w:r>
      <w:r>
        <w:t xml:space="preserve"> образовательных услуг. В</w:t>
      </w:r>
      <w:r>
        <w:fldChar w:fldCharType="begin"/>
      </w:r>
      <w:r>
        <w:instrText xml:space="preserve">eq </w:instrText>
      </w:r>
      <w:r>
        <w:rPr>
          <w:noProof/>
          <w:color w:val="FFFFFF"/>
          <w:spacing w:val="-20000"/>
          <w:sz w:val="2"/>
          <w:szCs w:val="28"/>
        </w:rPr>
        <w:instrText xml:space="preserve"> выпускников </w:instrText>
      </w:r>
      <w:r>
        <w:rPr>
          <w:noProof/>
        </w:rPr>
        <w:instrText>УЗам</w:instrText>
      </w:r>
      <w:r>
        <w:rPr>
          <w:noProof/>
          <w:color w:val="FFFFFF"/>
          <w:spacing w:val="-20000"/>
          <w:sz w:val="2"/>
          <w:szCs w:val="28"/>
        </w:rPr>
        <w:instrText> росской</w:instrText>
      </w:r>
      <w:r>
        <w:fldChar w:fldCharType="end"/>
      </w:r>
      <w:r>
        <w:t xml:space="preserve"> необходима </w:t>
      </w:r>
      <w:r>
        <w:fldChar w:fldCharType="begin"/>
      </w:r>
      <w:r>
        <w:instrText xml:space="preserve">eq </w:instrText>
      </w:r>
      <w:r>
        <w:rPr>
          <w:noProof/>
        </w:rPr>
        <w:instrText>информация</w:instrText>
      </w:r>
      <w:r>
        <w:rPr>
          <w:noProof/>
          <w:color w:val="FFFFFF"/>
          <w:spacing w:val="-20000"/>
          <w:sz w:val="2"/>
          <w:szCs w:val="28"/>
        </w:rPr>
        <w:instrText> приоритетные</w:instrText>
      </w:r>
      <w:r>
        <w:fldChar w:fldCharType="end"/>
      </w:r>
      <w:r>
        <w:t xml:space="preserve"> для того, чтобы </w:t>
      </w:r>
      <w:r>
        <w:fldChar w:fldCharType="begin"/>
      </w:r>
      <w:r>
        <w:instrText xml:space="preserve">eq </w:instrText>
      </w:r>
      <w:r>
        <w:rPr>
          <w:noProof/>
          <w:color w:val="FFFFFF"/>
          <w:spacing w:val="-20000"/>
          <w:sz w:val="2"/>
          <w:szCs w:val="28"/>
        </w:rPr>
        <w:instrText xml:space="preserve"> результаты </w:instrText>
      </w:r>
      <w:r>
        <w:rPr>
          <w:noProof/>
        </w:rPr>
        <w:instrText>проанализировать</w:instrText>
      </w:r>
      <w:r>
        <w:rPr>
          <w:noProof/>
          <w:color w:val="FFFFFF"/>
          <w:spacing w:val="-20000"/>
          <w:sz w:val="2"/>
          <w:szCs w:val="28"/>
        </w:rPr>
        <w:instrText> сегодняшний</w:instrText>
      </w:r>
      <w:r>
        <w:fldChar w:fldCharType="end"/>
      </w:r>
      <w:r>
        <w:t xml:space="preserve"> ситуацию на рынке и </w:t>
      </w:r>
      <w:r>
        <w:fldChar w:fldCharType="begin"/>
      </w:r>
      <w:r>
        <w:instrText xml:space="preserve">eq </w:instrText>
      </w:r>
      <w:r>
        <w:rPr>
          <w:noProof/>
          <w:color w:val="FFFFFF"/>
          <w:spacing w:val="-20000"/>
          <w:sz w:val="2"/>
          <w:szCs w:val="28"/>
        </w:rPr>
        <w:instrText xml:space="preserve"> шевченко </w:instrText>
      </w:r>
      <w:r>
        <w:rPr>
          <w:noProof/>
        </w:rPr>
        <w:instrText>свое</w:instrText>
      </w:r>
      <w:r>
        <w:fldChar w:fldCharType="end"/>
      </w:r>
      <w:r>
        <w:t xml:space="preserve"> положение на нем, а также </w:t>
      </w:r>
      <w:r>
        <w:fldChar w:fldCharType="begin"/>
      </w:r>
      <w:r>
        <w:instrText xml:space="preserve">eq </w:instrText>
      </w:r>
      <w:r>
        <w:rPr>
          <w:noProof/>
          <w:color w:val="FFFFFF"/>
          <w:spacing w:val="-20000"/>
          <w:sz w:val="2"/>
          <w:szCs w:val="28"/>
        </w:rPr>
        <w:instrText xml:space="preserve"> данного </w:instrText>
      </w:r>
      <w:r>
        <w:rPr>
          <w:noProof/>
        </w:rPr>
        <w:instrText>понять</w:instrText>
      </w:r>
      <w:r>
        <w:rPr>
          <w:noProof/>
          <w:color w:val="FFFFFF"/>
          <w:spacing w:val="-20000"/>
          <w:sz w:val="2"/>
          <w:szCs w:val="28"/>
        </w:rPr>
        <w:instrText> которого</w:instrText>
      </w:r>
      <w:r>
        <w:fldChar w:fldCharType="end"/>
      </w:r>
      <w:r>
        <w:t xml:space="preserve"> какой </w:t>
      </w:r>
      <w:r>
        <w:fldChar w:fldCharType="begin"/>
      </w:r>
      <w:r>
        <w:instrText xml:space="preserve">eq </w:instrText>
      </w:r>
      <w:r>
        <w:rPr>
          <w:noProof/>
        </w:rPr>
        <w:instrText>позиции</w:instrText>
      </w:r>
      <w:r>
        <w:rPr>
          <w:noProof/>
          <w:color w:val="FFFFFF"/>
          <w:spacing w:val="-20000"/>
          <w:sz w:val="2"/>
          <w:szCs w:val="28"/>
        </w:rPr>
        <w:instrText> связано</w:instrText>
      </w:r>
      <w:r>
        <w:fldChar w:fldCharType="end"/>
      </w:r>
      <w:r>
        <w:t xml:space="preserve"> придерживаться дальше. </w:t>
      </w:r>
      <w:r>
        <w:fldChar w:fldCharType="begin"/>
      </w:r>
      <w:r>
        <w:instrText xml:space="preserve">eq </w:instrText>
      </w:r>
      <w:r>
        <w:rPr>
          <w:noProof/>
          <w:color w:val="FFFFFF"/>
          <w:spacing w:val="-20000"/>
          <w:sz w:val="2"/>
          <w:szCs w:val="28"/>
        </w:rPr>
        <w:instrText xml:space="preserve"> полученных </w:instrText>
      </w:r>
      <w:r>
        <w:rPr>
          <w:noProof/>
        </w:rPr>
        <w:instrText>Вследствие</w:instrText>
      </w:r>
      <w:r>
        <w:rPr>
          <w:noProof/>
          <w:color w:val="FFFFFF"/>
          <w:spacing w:val="-20000"/>
          <w:sz w:val="2"/>
          <w:szCs w:val="28"/>
        </w:rPr>
        <w:instrText> выпускников</w:instrText>
      </w:r>
      <w:r>
        <w:fldChar w:fldCharType="end"/>
      </w:r>
      <w:r>
        <w:t xml:space="preserve"> этого актуальность </w:t>
      </w:r>
      <w:r>
        <w:fldChar w:fldCharType="begin"/>
      </w:r>
      <w:r>
        <w:instrText xml:space="preserve">eq </w:instrText>
      </w:r>
      <w:r>
        <w:rPr>
          <w:noProof/>
          <w:color w:val="FFFFFF"/>
          <w:spacing w:val="-20000"/>
          <w:sz w:val="2"/>
          <w:szCs w:val="28"/>
        </w:rPr>
        <w:instrText xml:space="preserve"> выпускников </w:instrText>
      </w:r>
      <w:r>
        <w:rPr>
          <w:noProof/>
        </w:rPr>
        <w:instrText>данного</w:instrText>
      </w:r>
      <w:r>
        <w:fldChar w:fldCharType="end"/>
      </w:r>
      <w:r>
        <w:t xml:space="preserve"> исследования возрастает. </w:t>
      </w:r>
      <w:r>
        <w:fldChar w:fldCharType="begin"/>
      </w:r>
      <w:r>
        <w:instrText xml:space="preserve">eq </w:instrText>
      </w:r>
      <w:r>
        <w:rPr>
          <w:noProof/>
          <w:color w:val="FFFFFF"/>
          <w:spacing w:val="-20000"/>
          <w:sz w:val="2"/>
          <w:szCs w:val="28"/>
        </w:rPr>
        <w:instrText xml:space="preserve"> положительным </w:instrText>
      </w:r>
      <w:r>
        <w:rPr>
          <w:noProof/>
        </w:rPr>
        <w:instrText>Снижение</w:instrText>
      </w:r>
      <w:r>
        <w:rPr>
          <w:noProof/>
          <w:color w:val="FFFFFF"/>
          <w:spacing w:val="-20000"/>
          <w:sz w:val="2"/>
          <w:szCs w:val="28"/>
        </w:rPr>
        <w:instrText> режим</w:instrText>
      </w:r>
      <w:r>
        <w:fldChar w:fldCharType="end"/>
      </w:r>
      <w:r>
        <w:t xml:space="preserve"> количества </w:t>
      </w:r>
      <w:r>
        <w:fldChar w:fldCharType="begin"/>
      </w:r>
      <w:r>
        <w:instrText xml:space="preserve">eq </w:instrText>
      </w:r>
      <w:r>
        <w:rPr>
          <w:noProof/>
        </w:rPr>
        <w:instrText>студентов</w:instrText>
      </w:r>
      <w:r>
        <w:rPr>
          <w:noProof/>
          <w:color w:val="FFFFFF"/>
          <w:spacing w:val="-20000"/>
          <w:sz w:val="2"/>
          <w:szCs w:val="28"/>
        </w:rPr>
        <w:instrText> около</w:instrText>
      </w:r>
      <w:r>
        <w:fldChar w:fldCharType="end"/>
      </w:r>
      <w:r>
        <w:t xml:space="preserve"> ВУЗов (как </w:t>
      </w:r>
      <w:r>
        <w:fldChar w:fldCharType="begin"/>
      </w:r>
      <w:r>
        <w:instrText xml:space="preserve">eq </w:instrText>
      </w:r>
      <w:r>
        <w:rPr>
          <w:noProof/>
          <w:color w:val="FFFFFF"/>
          <w:spacing w:val="-20000"/>
          <w:sz w:val="2"/>
          <w:szCs w:val="28"/>
        </w:rPr>
        <w:instrText xml:space="preserve"> режим </w:instrText>
      </w:r>
      <w:r>
        <w:rPr>
          <w:noProof/>
        </w:rPr>
        <w:instrText>государственных</w:instrText>
      </w:r>
      <w:r>
        <w:rPr>
          <w:noProof/>
          <w:color w:val="FFFFFF"/>
          <w:spacing w:val="-20000"/>
          <w:sz w:val="2"/>
          <w:szCs w:val="28"/>
        </w:rPr>
        <w:instrText> сегодняшний</w:instrText>
      </w:r>
      <w:r>
        <w:fldChar w:fldCharType="end"/>
      </w:r>
      <w:r>
        <w:t xml:space="preserve">, так и негосударственных) имеет </w:t>
      </w:r>
      <w:r>
        <w:fldChar w:fldCharType="begin"/>
      </w:r>
      <w:r>
        <w:instrText xml:space="preserve">eq </w:instrText>
      </w:r>
      <w:r>
        <w:rPr>
          <w:noProof/>
          <w:color w:val="FFFFFF"/>
          <w:spacing w:val="-20000"/>
          <w:sz w:val="2"/>
          <w:szCs w:val="28"/>
        </w:rPr>
        <w:instrText xml:space="preserve"> таким </w:instrText>
      </w:r>
      <w:r>
        <w:rPr>
          <w:noProof/>
        </w:rPr>
        <w:instrText>постоянную</w:instrText>
      </w:r>
      <w:r>
        <w:fldChar w:fldCharType="end"/>
      </w:r>
      <w:r>
        <w:t xml:space="preserve"> тенденцию. Об этом </w:t>
      </w:r>
      <w:r>
        <w:fldChar w:fldCharType="begin"/>
      </w:r>
      <w:r>
        <w:instrText xml:space="preserve">eq </w:instrText>
      </w:r>
      <w:r>
        <w:rPr>
          <w:noProof/>
          <w:color w:val="FFFFFF"/>
          <w:spacing w:val="-20000"/>
          <w:sz w:val="2"/>
          <w:szCs w:val="28"/>
        </w:rPr>
        <w:instrText xml:space="preserve"> поскольку </w:instrText>
      </w:r>
      <w:r>
        <w:rPr>
          <w:noProof/>
        </w:rPr>
        <w:instrText>свидетельствуют</w:instrText>
      </w:r>
      <w:r>
        <w:rPr>
          <w:noProof/>
          <w:color w:val="FFFFFF"/>
          <w:spacing w:val="-20000"/>
          <w:sz w:val="2"/>
          <w:szCs w:val="28"/>
        </w:rPr>
        <w:instrText> когда</w:instrText>
      </w:r>
      <w:r>
        <w:fldChar w:fldCharType="end"/>
      </w:r>
      <w:r>
        <w:t xml:space="preserve"> данные </w:t>
      </w:r>
      <w:r>
        <w:fldChar w:fldCharType="begin"/>
      </w:r>
      <w:r>
        <w:instrText xml:space="preserve">eq </w:instrText>
      </w:r>
      <w:r>
        <w:rPr>
          <w:noProof/>
        </w:rPr>
        <w:instrText>Территориального</w:instrText>
      </w:r>
      <w:r>
        <w:rPr>
          <w:noProof/>
          <w:color w:val="FFFFFF"/>
          <w:spacing w:val="-20000"/>
          <w:sz w:val="2"/>
          <w:szCs w:val="28"/>
        </w:rPr>
        <w:instrText> молодым</w:instrText>
      </w:r>
      <w:r>
        <w:fldChar w:fldCharType="end"/>
      </w:r>
      <w:r>
        <w:t xml:space="preserve"> органа Федеральной </w:t>
      </w:r>
      <w:r>
        <w:fldChar w:fldCharType="begin"/>
      </w:r>
      <w:r>
        <w:instrText xml:space="preserve">eq </w:instrText>
      </w:r>
      <w:r>
        <w:rPr>
          <w:noProof/>
          <w:color w:val="FFFFFF"/>
          <w:spacing w:val="-20000"/>
          <w:sz w:val="2"/>
          <w:szCs w:val="28"/>
        </w:rPr>
        <w:instrText xml:space="preserve"> стоит </w:instrText>
      </w:r>
      <w:r>
        <w:rPr>
          <w:noProof/>
        </w:rPr>
        <w:instrText>службы</w:instrText>
      </w:r>
      <w:r>
        <w:rPr>
          <w:noProof/>
          <w:color w:val="FFFFFF"/>
          <w:spacing w:val="-20000"/>
          <w:sz w:val="2"/>
          <w:szCs w:val="28"/>
        </w:rPr>
        <w:instrText> вопрос</w:instrText>
      </w:r>
      <w:r>
        <w:fldChar w:fldCharType="end"/>
      </w:r>
      <w:r>
        <w:t xml:space="preserve"> государственной статистики по </w:t>
      </w:r>
      <w:r>
        <w:fldChar w:fldCharType="begin"/>
      </w:r>
      <w:r>
        <w:instrText xml:space="preserve">eq </w:instrText>
      </w:r>
      <w:r>
        <w:rPr>
          <w:noProof/>
          <w:color w:val="FFFFFF"/>
          <w:spacing w:val="-20000"/>
          <w:sz w:val="2"/>
          <w:szCs w:val="28"/>
        </w:rPr>
        <w:instrText xml:space="preserve"> информация </w:instrText>
      </w:r>
      <w:r>
        <w:rPr>
          <w:noProof/>
        </w:rPr>
        <w:instrText>Приморскому</w:instrText>
      </w:r>
      <w:r>
        <w:fldChar w:fldCharType="end"/>
      </w:r>
      <w:r>
        <w:t xml:space="preserve"> краю [</w:t>
      </w:r>
      <w:r>
        <w:rPr>
          <w:lang w:eastAsia="x-none"/>
        </w:rPr>
        <w:t>19</w:t>
      </w:r>
      <w:r>
        <w:t xml:space="preserve">].  На сегодняшний </w:t>
      </w:r>
      <w:r>
        <w:fldChar w:fldCharType="begin"/>
      </w:r>
      <w:r>
        <w:instrText xml:space="preserve">eq </w:instrText>
      </w:r>
      <w:r>
        <w:rPr>
          <w:noProof/>
          <w:color w:val="FFFFFF"/>
          <w:spacing w:val="-20000"/>
          <w:sz w:val="2"/>
          <w:szCs w:val="28"/>
        </w:rPr>
        <w:instrText xml:space="preserve"> блока </w:instrText>
      </w:r>
      <w:r>
        <w:rPr>
          <w:noProof/>
        </w:rPr>
        <w:instrText>день</w:instrText>
      </w:r>
      <w:r>
        <w:rPr>
          <w:noProof/>
          <w:color w:val="FFFFFF"/>
          <w:spacing w:val="-20000"/>
          <w:sz w:val="2"/>
          <w:szCs w:val="28"/>
        </w:rPr>
        <w:instrText> представлены</w:instrText>
      </w:r>
      <w:r>
        <w:fldChar w:fldCharType="end"/>
      </w:r>
      <w:r>
        <w:t xml:space="preserve"> российский </w:t>
      </w:r>
      <w:r>
        <w:fldChar w:fldCharType="begin"/>
      </w:r>
      <w:r>
        <w:instrText xml:space="preserve">eq </w:instrText>
      </w:r>
      <w:r>
        <w:rPr>
          <w:noProof/>
        </w:rPr>
        <w:instrText>Дальний</w:instrText>
      </w:r>
      <w:r>
        <w:rPr>
          <w:noProof/>
          <w:color w:val="FFFFFF"/>
          <w:spacing w:val="-20000"/>
          <w:sz w:val="2"/>
          <w:szCs w:val="28"/>
        </w:rPr>
        <w:instrText> поскольку</w:instrText>
      </w:r>
      <w:r>
        <w:fldChar w:fldCharType="end"/>
      </w:r>
      <w:r>
        <w:t xml:space="preserve"> Восток занимает </w:t>
      </w:r>
      <w:r>
        <w:fldChar w:fldCharType="begin"/>
      </w:r>
      <w:r>
        <w:instrText xml:space="preserve">eq </w:instrText>
      </w:r>
      <w:r>
        <w:rPr>
          <w:noProof/>
          <w:color w:val="FFFFFF"/>
          <w:spacing w:val="-20000"/>
          <w:sz w:val="2"/>
          <w:szCs w:val="28"/>
        </w:rPr>
        <w:instrText xml:space="preserve"> также </w:instrText>
      </w:r>
      <w:r>
        <w:rPr>
          <w:noProof/>
        </w:rPr>
        <w:instrText>лидирующую</w:instrText>
      </w:r>
      <w:r>
        <w:rPr>
          <w:noProof/>
          <w:color w:val="FFFFFF"/>
          <w:spacing w:val="-20000"/>
          <w:sz w:val="2"/>
          <w:szCs w:val="28"/>
        </w:rPr>
        <w:instrText> министерство</w:instrText>
      </w:r>
      <w:r>
        <w:fldChar w:fldCharType="end"/>
      </w:r>
      <w:r>
        <w:t xml:space="preserve"> позицию по оттоку </w:t>
      </w:r>
      <w:r>
        <w:fldChar w:fldCharType="begin"/>
      </w:r>
      <w:r>
        <w:instrText xml:space="preserve">eq </w:instrText>
      </w:r>
      <w:r>
        <w:rPr>
          <w:noProof/>
          <w:color w:val="FFFFFF"/>
          <w:spacing w:val="-20000"/>
          <w:sz w:val="2"/>
          <w:szCs w:val="28"/>
        </w:rPr>
        <w:instrText xml:space="preserve"> бесплатные </w:instrText>
      </w:r>
      <w:r>
        <w:rPr>
          <w:noProof/>
        </w:rPr>
        <w:instrText>молодежи</w:instrText>
      </w:r>
      <w:r>
        <w:fldChar w:fldCharType="end"/>
      </w:r>
      <w:r>
        <w:t xml:space="preserve"> - трудоспособного населения в </w:t>
      </w:r>
      <w:r>
        <w:fldChar w:fldCharType="begin"/>
      </w:r>
      <w:r>
        <w:instrText xml:space="preserve">eq </w:instrText>
      </w:r>
      <w:r>
        <w:rPr>
          <w:noProof/>
          <w:color w:val="FFFFFF"/>
          <w:spacing w:val="-20000"/>
          <w:sz w:val="2"/>
          <w:szCs w:val="28"/>
        </w:rPr>
        <w:instrText xml:space="preserve"> забайкальский </w:instrText>
      </w:r>
      <w:r>
        <w:rPr>
          <w:noProof/>
        </w:rPr>
        <w:instrText>возрасте</w:instrText>
      </w:r>
      <w:r>
        <w:rPr>
          <w:noProof/>
          <w:color w:val="FFFFFF"/>
          <w:spacing w:val="-20000"/>
          <w:sz w:val="2"/>
          <w:szCs w:val="28"/>
        </w:rPr>
        <w:instrText> году</w:instrText>
      </w:r>
      <w:r>
        <w:fldChar w:fldCharType="end"/>
      </w:r>
      <w:r>
        <w:t xml:space="preserve"> до 30 лет (как </w:t>
      </w:r>
      <w:r>
        <w:fldChar w:fldCharType="begin"/>
      </w:r>
      <w:r>
        <w:instrText xml:space="preserve">eq </w:instrText>
      </w:r>
      <w:r>
        <w:rPr>
          <w:noProof/>
        </w:rPr>
        <w:instrText>абитуриентов</w:instrText>
      </w:r>
      <w:r>
        <w:rPr>
          <w:noProof/>
          <w:color w:val="FFFFFF"/>
          <w:spacing w:val="-20000"/>
          <w:sz w:val="2"/>
          <w:szCs w:val="28"/>
        </w:rPr>
        <w:instrText> других</w:instrText>
      </w:r>
      <w:r>
        <w:fldChar w:fldCharType="end"/>
      </w:r>
      <w:r>
        <w:t xml:space="preserve">, так и квалифицированных специалистов), о чем </w:t>
      </w:r>
      <w:r>
        <w:fldChar w:fldCharType="begin"/>
      </w:r>
      <w:r>
        <w:instrText xml:space="preserve">eq </w:instrText>
      </w:r>
      <w:r>
        <w:rPr>
          <w:noProof/>
          <w:color w:val="FFFFFF"/>
          <w:spacing w:val="-20000"/>
          <w:sz w:val="2"/>
          <w:szCs w:val="28"/>
        </w:rPr>
        <w:instrText xml:space="preserve"> потребитель </w:instrText>
      </w:r>
      <w:r>
        <w:rPr>
          <w:noProof/>
        </w:rPr>
        <w:instrText>свидетельствует</w:instrText>
      </w:r>
      <w:r>
        <w:rPr>
          <w:noProof/>
          <w:color w:val="FFFFFF"/>
          <w:spacing w:val="-20000"/>
          <w:sz w:val="2"/>
          <w:szCs w:val="28"/>
        </w:rPr>
        <w:instrText> остаточно</w:instrText>
      </w:r>
      <w:r>
        <w:fldChar w:fldCharType="end"/>
      </w:r>
      <w:r>
        <w:t xml:space="preserve"> проведенная в 2015 </w:t>
      </w:r>
      <w:r>
        <w:fldChar w:fldCharType="begin"/>
      </w:r>
      <w:r>
        <w:instrText xml:space="preserve">eq </w:instrText>
      </w:r>
      <w:r>
        <w:rPr>
          <w:noProof/>
          <w:color w:val="FFFFFF"/>
          <w:spacing w:val="-20000"/>
          <w:sz w:val="2"/>
          <w:szCs w:val="28"/>
        </w:rPr>
        <w:instrText xml:space="preserve"> конф </w:instrText>
      </w:r>
      <w:r>
        <w:rPr>
          <w:noProof/>
        </w:rPr>
        <w:instrText>году</w:instrText>
      </w:r>
      <w:r>
        <w:fldChar w:fldCharType="end"/>
      </w:r>
      <w:r>
        <w:t xml:space="preserve"> Федеральной службой </w:t>
      </w:r>
      <w:r>
        <w:fldChar w:fldCharType="begin"/>
      </w:r>
      <w:r>
        <w:instrText xml:space="preserve">eq </w:instrText>
      </w:r>
      <w:r>
        <w:rPr>
          <w:noProof/>
          <w:color w:val="FFFFFF"/>
          <w:spacing w:val="-20000"/>
          <w:sz w:val="2"/>
          <w:szCs w:val="28"/>
        </w:rPr>
        <w:instrText xml:space="preserve"> этом </w:instrText>
      </w:r>
      <w:r>
        <w:rPr>
          <w:noProof/>
        </w:rPr>
        <w:instrText>государственной</w:instrText>
      </w:r>
      <w:r>
        <w:rPr>
          <w:noProof/>
          <w:color w:val="FFFFFF"/>
          <w:spacing w:val="-20000"/>
          <w:sz w:val="2"/>
          <w:szCs w:val="28"/>
        </w:rPr>
        <w:instrText> связанных</w:instrText>
      </w:r>
      <w:r>
        <w:fldChar w:fldCharType="end"/>
      </w:r>
      <w:r>
        <w:t xml:space="preserve"> статистики </w:t>
      </w:r>
      <w:r>
        <w:fldChar w:fldCharType="begin"/>
      </w:r>
      <w:r>
        <w:instrText xml:space="preserve">eq </w:instrText>
      </w:r>
      <w:r>
        <w:rPr>
          <w:noProof/>
        </w:rPr>
        <w:instrText>Всероссийская</w:instrText>
      </w:r>
      <w:r>
        <w:rPr>
          <w:noProof/>
          <w:color w:val="FFFFFF"/>
          <w:spacing w:val="-20000"/>
          <w:sz w:val="2"/>
          <w:szCs w:val="28"/>
        </w:rPr>
        <w:instrText> информация</w:instrText>
      </w:r>
      <w:r>
        <w:fldChar w:fldCharType="end"/>
      </w:r>
      <w:r>
        <w:t xml:space="preserve"> перепись населения, а </w:t>
      </w:r>
      <w:r>
        <w:fldChar w:fldCharType="begin"/>
      </w:r>
      <w:r>
        <w:instrText xml:space="preserve">eq </w:instrText>
      </w:r>
      <w:r>
        <w:rPr>
          <w:noProof/>
          <w:color w:val="FFFFFF"/>
          <w:spacing w:val="-20000"/>
          <w:sz w:val="2"/>
          <w:szCs w:val="28"/>
        </w:rPr>
        <w:instrText xml:space="preserve"> процессе </w:instrText>
      </w:r>
      <w:r>
        <w:rPr>
          <w:noProof/>
        </w:rPr>
        <w:instrText>также</w:instrText>
      </w:r>
      <w:r>
        <w:rPr>
          <w:noProof/>
          <w:color w:val="FFFFFF"/>
          <w:spacing w:val="-20000"/>
          <w:sz w:val="2"/>
          <w:szCs w:val="28"/>
        </w:rPr>
        <w:instrText> режим</w:instrText>
      </w:r>
      <w:r>
        <w:fldChar w:fldCharType="end"/>
      </w:r>
      <w:r>
        <w:t xml:space="preserve"> ежегодные отчеты </w:t>
      </w:r>
      <w:r>
        <w:fldChar w:fldCharType="begin"/>
      </w:r>
      <w:r>
        <w:instrText xml:space="preserve">eq </w:instrText>
      </w:r>
      <w:r>
        <w:rPr>
          <w:noProof/>
          <w:color w:val="FFFFFF"/>
          <w:spacing w:val="-20000"/>
          <w:sz w:val="2"/>
          <w:szCs w:val="28"/>
        </w:rPr>
        <w:instrText xml:space="preserve"> какие </w:instrText>
      </w:r>
      <w:r>
        <w:rPr>
          <w:noProof/>
        </w:rPr>
        <w:instrText>Федеральной</w:instrText>
      </w:r>
      <w:r>
        <w:fldChar w:fldCharType="end"/>
      </w:r>
      <w:r>
        <w:t xml:space="preserve"> миграционной службы [</w:t>
      </w:r>
      <w:r>
        <w:rPr>
          <w:lang w:eastAsia="x-none"/>
        </w:rPr>
        <w:t>20</w:t>
      </w:r>
      <w:r>
        <w:t xml:space="preserve">]. </w:t>
      </w:r>
    </w:p>
    <w:p w:rsidR="005E1201" w:rsidRDefault="005E1201" w:rsidP="005E1201">
      <w:pPr>
        <w:pStyle w:val="af6"/>
        <w:spacing w:before="0" w:beforeAutospacing="0" w:after="0" w:afterAutospacing="0"/>
        <w:ind w:right="-1" w:firstLine="709"/>
        <w:contextualSpacing/>
        <w:jc w:val="both"/>
        <w:rPr>
          <w:color w:val="000000"/>
        </w:rPr>
      </w:pPr>
      <w:r>
        <w:rPr>
          <w:color w:val="000000"/>
          <w:lang w:val="x-none"/>
        </w:rPr>
        <w:t xml:space="preserve">В </w:t>
      </w:r>
      <w:r>
        <w:fldChar w:fldCharType="begin"/>
      </w:r>
      <w:r>
        <w:instrText xml:space="preserve">eq </w:instrText>
      </w:r>
      <w:r>
        <w:rPr>
          <w:noProof/>
          <w:color w:val="FFFFFF"/>
          <w:spacing w:val="-20000"/>
          <w:sz w:val="2"/>
          <w:szCs w:val="28"/>
        </w:rPr>
        <w:instrText xml:space="preserve"> шевченко </w:instrText>
      </w:r>
      <w:r>
        <w:rPr>
          <w:noProof/>
          <w:color w:val="000000"/>
        </w:rPr>
        <w:instrText>процессе</w:instrText>
      </w:r>
      <w:r>
        <w:rPr>
          <w:noProof/>
          <w:color w:val="FFFFFF"/>
          <w:spacing w:val="-20000"/>
          <w:sz w:val="2"/>
          <w:szCs w:val="28"/>
        </w:rPr>
        <w:instrText> ведет</w:instrText>
      </w:r>
      <w:r>
        <w:fldChar w:fldCharType="end"/>
      </w:r>
      <w:r>
        <w:rPr>
          <w:color w:val="000000"/>
          <w:lang w:val="x-none"/>
        </w:rPr>
        <w:t xml:space="preserve"> исследования</w:t>
      </w:r>
      <w:r>
        <w:rPr>
          <w:color w:val="000000"/>
        </w:rPr>
        <w:t xml:space="preserve"> </w:t>
      </w:r>
      <w:r>
        <w:fldChar w:fldCharType="begin"/>
      </w:r>
      <w:r>
        <w:instrText xml:space="preserve">eq </w:instrText>
      </w:r>
      <w:r>
        <w:rPr>
          <w:noProof/>
          <w:color w:val="000000"/>
        </w:rPr>
        <w:instrText>потребительского</w:instrText>
      </w:r>
      <w:r>
        <w:rPr>
          <w:noProof/>
          <w:color w:val="FFFFFF"/>
          <w:spacing w:val="-20000"/>
          <w:sz w:val="2"/>
          <w:szCs w:val="28"/>
        </w:rPr>
        <w:instrText> желаемого</w:instrText>
      </w:r>
      <w:r>
        <w:fldChar w:fldCharType="end"/>
      </w:r>
      <w:r>
        <w:rPr>
          <w:color w:val="000000"/>
        </w:rPr>
        <w:t xml:space="preserve"> поведения абитуриентов</w:t>
      </w:r>
      <w:r>
        <w:rPr>
          <w:color w:val="000000"/>
          <w:lang w:val="x-none"/>
        </w:rPr>
        <w:t xml:space="preserve"> в </w:t>
      </w:r>
      <w:r>
        <w:fldChar w:fldCharType="begin"/>
      </w:r>
      <w:r>
        <w:instrText xml:space="preserve">eq </w:instrText>
      </w:r>
      <w:r>
        <w:rPr>
          <w:noProof/>
          <w:color w:val="FFFFFF"/>
          <w:spacing w:val="-20000"/>
          <w:sz w:val="2"/>
          <w:szCs w:val="28"/>
        </w:rPr>
        <w:instrText xml:space="preserve"> органами </w:instrText>
      </w:r>
      <w:r>
        <w:rPr>
          <w:noProof/>
          <w:color w:val="000000"/>
        </w:rPr>
        <w:instrText>2017-2018</w:instrText>
      </w:r>
      <w:r>
        <w:rPr>
          <w:noProof/>
          <w:color w:val="FFFFFF"/>
          <w:spacing w:val="-20000"/>
          <w:sz w:val="2"/>
          <w:szCs w:val="28"/>
        </w:rPr>
        <w:instrText> результаты</w:instrText>
      </w:r>
      <w:r>
        <w:fldChar w:fldCharType="end"/>
      </w:r>
      <w:r>
        <w:rPr>
          <w:color w:val="000000"/>
          <w:lang w:val="x-none"/>
        </w:rPr>
        <w:t xml:space="preserve"> учебном году </w:t>
      </w:r>
      <w:r>
        <w:fldChar w:fldCharType="begin"/>
      </w:r>
      <w:r>
        <w:instrText xml:space="preserve">eq </w:instrText>
      </w:r>
      <w:r>
        <w:rPr>
          <w:noProof/>
          <w:color w:val="FFFFFF"/>
          <w:spacing w:val="-20000"/>
          <w:sz w:val="2"/>
          <w:szCs w:val="28"/>
        </w:rPr>
        <w:instrText xml:space="preserve"> информация </w:instrText>
      </w:r>
      <w:r>
        <w:rPr>
          <w:noProof/>
          <w:color w:val="000000"/>
        </w:rPr>
        <w:instrText>были</w:instrText>
      </w:r>
      <w:r>
        <w:fldChar w:fldCharType="end"/>
      </w:r>
      <w:r>
        <w:rPr>
          <w:color w:val="000000"/>
          <w:lang w:val="x-none"/>
        </w:rPr>
        <w:t xml:space="preserve"> опрошены ученики </w:t>
      </w:r>
      <w:r>
        <w:fldChar w:fldCharType="begin"/>
      </w:r>
      <w:r>
        <w:instrText xml:space="preserve">eq </w:instrText>
      </w:r>
      <w:r>
        <w:rPr>
          <w:noProof/>
          <w:color w:val="FFFFFF"/>
          <w:spacing w:val="-20000"/>
          <w:sz w:val="2"/>
          <w:szCs w:val="28"/>
        </w:rPr>
        <w:instrText xml:space="preserve"> ведет </w:instrText>
      </w:r>
      <w:r>
        <w:rPr>
          <w:noProof/>
          <w:color w:val="000000"/>
        </w:rPr>
        <w:instrText>старших</w:instrText>
      </w:r>
      <w:r>
        <w:rPr>
          <w:noProof/>
          <w:color w:val="FFFFFF"/>
          <w:spacing w:val="-20000"/>
          <w:sz w:val="2"/>
          <w:szCs w:val="28"/>
        </w:rPr>
        <w:instrText> направленные</w:instrText>
      </w:r>
      <w:r>
        <w:fldChar w:fldCharType="end"/>
      </w:r>
      <w:r>
        <w:rPr>
          <w:color w:val="000000"/>
          <w:lang w:val="x-none"/>
        </w:rPr>
        <w:t xml:space="preserve"> классов г. </w:t>
      </w:r>
      <w:r>
        <w:fldChar w:fldCharType="begin"/>
      </w:r>
      <w:r>
        <w:instrText xml:space="preserve">eq </w:instrText>
      </w:r>
      <w:r>
        <w:rPr>
          <w:noProof/>
          <w:color w:val="000000"/>
        </w:rPr>
        <w:instrText>Владивостока</w:instrText>
      </w:r>
      <w:r>
        <w:rPr>
          <w:noProof/>
          <w:color w:val="FFFFFF"/>
          <w:spacing w:val="-20000"/>
          <w:sz w:val="2"/>
          <w:szCs w:val="28"/>
        </w:rPr>
        <w:instrText> направления</w:instrText>
      </w:r>
      <w:r>
        <w:fldChar w:fldCharType="end"/>
      </w:r>
      <w:r>
        <w:rPr>
          <w:color w:val="000000"/>
          <w:lang w:val="x-none"/>
        </w:rPr>
        <w:t xml:space="preserve"> и Приморского края</w:t>
      </w:r>
      <w:r>
        <w:rPr>
          <w:color w:val="000000"/>
        </w:rPr>
        <w:t>.</w:t>
      </w:r>
    </w:p>
    <w:p w:rsidR="005E1201" w:rsidRPr="00C2220B" w:rsidRDefault="005E1201" w:rsidP="005E1201">
      <w:pPr>
        <w:tabs>
          <w:tab w:val="left" w:pos="142"/>
          <w:tab w:val="left" w:pos="993"/>
        </w:tabs>
        <w:ind w:firstLine="709"/>
        <w:jc w:val="both"/>
        <w:rPr>
          <w:color w:val="000000"/>
        </w:rPr>
      </w:pPr>
      <w:r>
        <w:fldChar w:fldCharType="begin"/>
      </w:r>
      <w:r>
        <w:instrText xml:space="preserve">eq </w:instrText>
      </w:r>
      <w:r>
        <w:rPr>
          <w:noProof/>
          <w:color w:val="FFFFFF"/>
          <w:spacing w:val="-20000"/>
          <w:sz w:val="2"/>
          <w:szCs w:val="28"/>
        </w:rPr>
        <w:instrText xml:space="preserve"> образовании </w:instrText>
      </w:r>
      <w:r>
        <w:rPr>
          <w:noProof/>
          <w:color w:val="000000"/>
        </w:rPr>
        <w:instrText>Изучение</w:instrText>
      </w:r>
      <w:r>
        <w:rPr>
          <w:noProof/>
          <w:color w:val="FFFFFF"/>
          <w:spacing w:val="-20000"/>
          <w:sz w:val="2"/>
          <w:szCs w:val="28"/>
        </w:rPr>
        <w:instrText> определяющие</w:instrText>
      </w:r>
      <w:r>
        <w:fldChar w:fldCharType="end"/>
      </w:r>
      <w:r>
        <w:rPr>
          <w:color w:val="000000"/>
        </w:rPr>
        <w:t xml:space="preserve"> образовательных планов </w:t>
      </w:r>
      <w:r>
        <w:fldChar w:fldCharType="begin"/>
      </w:r>
      <w:r>
        <w:instrText xml:space="preserve">eq </w:instrText>
      </w:r>
      <w:r>
        <w:rPr>
          <w:noProof/>
          <w:color w:val="FFFFFF"/>
          <w:spacing w:val="-20000"/>
          <w:sz w:val="2"/>
          <w:szCs w:val="28"/>
        </w:rPr>
        <w:instrText xml:space="preserve"> проведенная </w:instrText>
      </w:r>
      <w:r>
        <w:rPr>
          <w:noProof/>
          <w:color w:val="000000"/>
        </w:rPr>
        <w:instrText>школьников</w:instrText>
      </w:r>
      <w:r>
        <w:fldChar w:fldCharType="end"/>
      </w:r>
      <w:r>
        <w:rPr>
          <w:color w:val="000000"/>
        </w:rPr>
        <w:t xml:space="preserve"> показало, что подавляющее </w:t>
      </w:r>
      <w:r>
        <w:fldChar w:fldCharType="begin"/>
      </w:r>
      <w:r>
        <w:instrText xml:space="preserve">eq </w:instrText>
      </w:r>
      <w:r>
        <w:rPr>
          <w:noProof/>
          <w:color w:val="FFFFFF"/>
          <w:spacing w:val="-20000"/>
          <w:sz w:val="2"/>
          <w:szCs w:val="28"/>
        </w:rPr>
        <w:instrText xml:space="preserve"> стоит </w:instrText>
      </w:r>
      <w:r>
        <w:rPr>
          <w:noProof/>
          <w:color w:val="000000"/>
        </w:rPr>
        <w:instrText>большинство</w:instrText>
      </w:r>
      <w:r>
        <w:rPr>
          <w:noProof/>
          <w:color w:val="FFFFFF"/>
          <w:spacing w:val="-20000"/>
          <w:sz w:val="2"/>
          <w:szCs w:val="28"/>
        </w:rPr>
        <w:instrText> министерство</w:instrText>
      </w:r>
      <w:r>
        <w:fldChar w:fldCharType="end"/>
      </w:r>
      <w:r>
        <w:rPr>
          <w:color w:val="000000"/>
        </w:rPr>
        <w:t xml:space="preserve"> респондентов </w:t>
      </w:r>
      <w:r>
        <w:fldChar w:fldCharType="begin"/>
      </w:r>
      <w:r>
        <w:instrText xml:space="preserve">eq </w:instrText>
      </w:r>
      <w:r>
        <w:rPr>
          <w:noProof/>
          <w:color w:val="000000"/>
        </w:rPr>
        <w:instrText>средних</w:instrText>
      </w:r>
      <w:r>
        <w:rPr>
          <w:noProof/>
          <w:color w:val="FFFFFF"/>
          <w:spacing w:val="-20000"/>
          <w:sz w:val="2"/>
          <w:szCs w:val="28"/>
        </w:rPr>
        <w:instrText> каждым</w:instrText>
      </w:r>
      <w:r>
        <w:fldChar w:fldCharType="end"/>
      </w:r>
      <w:r>
        <w:rPr>
          <w:color w:val="000000"/>
        </w:rPr>
        <w:t xml:space="preserve"> школ считают для </w:t>
      </w:r>
      <w:r>
        <w:fldChar w:fldCharType="begin"/>
      </w:r>
      <w:r>
        <w:instrText xml:space="preserve">eq </w:instrText>
      </w:r>
      <w:r>
        <w:rPr>
          <w:noProof/>
          <w:color w:val="FFFFFF"/>
          <w:spacing w:val="-20000"/>
          <w:sz w:val="2"/>
          <w:szCs w:val="28"/>
        </w:rPr>
        <w:instrText xml:space="preserve"> конф </w:instrText>
      </w:r>
      <w:r>
        <w:rPr>
          <w:noProof/>
          <w:color w:val="000000"/>
        </w:rPr>
        <w:instrText>себя</w:instrText>
      </w:r>
      <w:r>
        <w:rPr>
          <w:noProof/>
          <w:color w:val="FFFFFF"/>
          <w:spacing w:val="-20000"/>
          <w:sz w:val="2"/>
          <w:szCs w:val="28"/>
        </w:rPr>
        <w:instrText> высшем</w:instrText>
      </w:r>
      <w:r>
        <w:fldChar w:fldCharType="end"/>
      </w:r>
      <w:r>
        <w:rPr>
          <w:color w:val="000000"/>
        </w:rPr>
        <w:t xml:space="preserve"> необходимым продолжить </w:t>
      </w:r>
      <w:r>
        <w:fldChar w:fldCharType="begin"/>
      </w:r>
      <w:r>
        <w:instrText xml:space="preserve">eq </w:instrText>
      </w:r>
      <w:r>
        <w:rPr>
          <w:noProof/>
          <w:color w:val="FFFFFF"/>
          <w:spacing w:val="-20000"/>
          <w:sz w:val="2"/>
          <w:szCs w:val="28"/>
        </w:rPr>
        <w:instrText xml:space="preserve"> основных </w:instrText>
      </w:r>
      <w:r>
        <w:rPr>
          <w:noProof/>
          <w:color w:val="000000"/>
        </w:rPr>
        <w:instrText>свое</w:instrText>
      </w:r>
      <w:r>
        <w:fldChar w:fldCharType="end"/>
      </w:r>
      <w:r>
        <w:rPr>
          <w:color w:val="000000"/>
        </w:rPr>
        <w:t xml:space="preserve"> обучение в высшем </w:t>
      </w:r>
      <w:r>
        <w:fldChar w:fldCharType="begin"/>
      </w:r>
      <w:r>
        <w:instrText xml:space="preserve">eq </w:instrText>
      </w:r>
      <w:r>
        <w:rPr>
          <w:noProof/>
          <w:color w:val="FFFFFF"/>
          <w:spacing w:val="-20000"/>
          <w:sz w:val="2"/>
          <w:szCs w:val="28"/>
        </w:rPr>
        <w:instrText xml:space="preserve"> также </w:instrText>
      </w:r>
      <w:r>
        <w:rPr>
          <w:noProof/>
          <w:color w:val="000000"/>
        </w:rPr>
        <w:instrText>учебном</w:instrText>
      </w:r>
      <w:r>
        <w:rPr>
          <w:noProof/>
          <w:color w:val="FFFFFF"/>
          <w:spacing w:val="-20000"/>
          <w:sz w:val="2"/>
          <w:szCs w:val="28"/>
        </w:rPr>
        <w:instrText> выпускников</w:instrText>
      </w:r>
      <w:r>
        <w:fldChar w:fldCharType="end"/>
      </w:r>
      <w:r>
        <w:rPr>
          <w:color w:val="000000"/>
        </w:rPr>
        <w:t xml:space="preserve"> заведении. На </w:t>
      </w:r>
      <w:r>
        <w:fldChar w:fldCharType="begin"/>
      </w:r>
      <w:r>
        <w:instrText xml:space="preserve">eq </w:instrText>
      </w:r>
      <w:r>
        <w:rPr>
          <w:noProof/>
          <w:color w:val="000000"/>
        </w:rPr>
        <w:instrText>рисунке</w:instrText>
      </w:r>
      <w:r>
        <w:rPr>
          <w:noProof/>
          <w:color w:val="FFFFFF"/>
          <w:spacing w:val="-20000"/>
          <w:sz w:val="2"/>
          <w:szCs w:val="28"/>
        </w:rPr>
        <w:instrText> недостаточный</w:instrText>
      </w:r>
      <w:r>
        <w:fldChar w:fldCharType="end"/>
      </w:r>
      <w:r>
        <w:rPr>
          <w:color w:val="000000"/>
        </w:rPr>
        <w:t xml:space="preserve"> 1 показаны результаты </w:t>
      </w:r>
      <w:r>
        <w:fldChar w:fldCharType="begin"/>
      </w:r>
      <w:r>
        <w:instrText xml:space="preserve">eq </w:instrText>
      </w:r>
      <w:r>
        <w:rPr>
          <w:noProof/>
          <w:color w:val="FFFFFF"/>
          <w:spacing w:val="-20000"/>
          <w:sz w:val="2"/>
          <w:szCs w:val="28"/>
        </w:rPr>
        <w:instrText xml:space="preserve"> позиции </w:instrText>
      </w:r>
      <w:r>
        <w:rPr>
          <w:noProof/>
          <w:color w:val="000000"/>
        </w:rPr>
        <w:instrText>выбора</w:instrText>
      </w:r>
      <w:r>
        <w:rPr>
          <w:noProof/>
          <w:color w:val="FFFFFF"/>
          <w:spacing w:val="-20000"/>
          <w:sz w:val="2"/>
          <w:szCs w:val="28"/>
        </w:rPr>
        <w:instrText> приморского</w:instrText>
      </w:r>
      <w:r>
        <w:fldChar w:fldCharType="end"/>
      </w:r>
      <w:r>
        <w:rPr>
          <w:color w:val="000000"/>
        </w:rPr>
        <w:t xml:space="preserve"> дальнейшего жизненного </w:t>
      </w:r>
      <w:r>
        <w:fldChar w:fldCharType="begin"/>
      </w:r>
      <w:r>
        <w:instrText xml:space="preserve">eq </w:instrText>
      </w:r>
      <w:r>
        <w:rPr>
          <w:noProof/>
          <w:color w:val="FFFFFF"/>
          <w:spacing w:val="-20000"/>
          <w:sz w:val="2"/>
          <w:szCs w:val="28"/>
        </w:rPr>
        <w:instrText xml:space="preserve"> наименее </w:instrText>
      </w:r>
      <w:r>
        <w:rPr>
          <w:noProof/>
          <w:color w:val="000000"/>
        </w:rPr>
        <w:instrText>пути</w:instrText>
      </w:r>
      <w:r>
        <w:fldChar w:fldCharType="end"/>
      </w:r>
      <w:r>
        <w:rPr>
          <w:color w:val="000000"/>
        </w:rPr>
        <w:t xml:space="preserve"> школьников.</w:t>
      </w:r>
    </w:p>
    <w:p w:rsidR="005E1201" w:rsidRDefault="005E1201" w:rsidP="005E1201">
      <w:pPr>
        <w:tabs>
          <w:tab w:val="left" w:pos="993"/>
        </w:tabs>
        <w:jc w:val="center"/>
        <w:rPr>
          <w:color w:val="000000"/>
          <w:lang w:val="en-US"/>
        </w:rPr>
      </w:pPr>
      <w:r>
        <w:rPr>
          <w:noProof/>
          <w:color w:val="000000"/>
          <w:lang w:eastAsia="ru-RU"/>
        </w:rPr>
        <w:drawing>
          <wp:inline distT="0" distB="0" distL="0" distR="0">
            <wp:extent cx="5867400" cy="1724025"/>
            <wp:effectExtent l="0" t="0" r="0" b="9525"/>
            <wp:docPr id="163" name="Рисунок 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354">
                      <a:grayscl/>
                      <a:extLst>
                        <a:ext uri="{28A0092B-C50C-407E-A947-70E740481C1C}">
                          <a14:useLocalDpi xmlns:a14="http://schemas.microsoft.com/office/drawing/2010/main" val="0"/>
                        </a:ext>
                      </a:extLst>
                    </a:blip>
                    <a:srcRect b="-220"/>
                    <a:stretch>
                      <a:fillRect/>
                    </a:stretch>
                  </pic:blipFill>
                  <pic:spPr bwMode="auto">
                    <a:xfrm>
                      <a:off x="0" y="0"/>
                      <a:ext cx="5867400" cy="1724025"/>
                    </a:xfrm>
                    <a:prstGeom prst="rect">
                      <a:avLst/>
                    </a:prstGeom>
                    <a:noFill/>
                    <a:ln>
                      <a:noFill/>
                    </a:ln>
                  </pic:spPr>
                </pic:pic>
              </a:graphicData>
            </a:graphic>
          </wp:inline>
        </w:drawing>
      </w:r>
    </w:p>
    <w:p w:rsidR="005E1201" w:rsidRPr="00C2220B" w:rsidRDefault="005E1201" w:rsidP="005E1201">
      <w:pPr>
        <w:tabs>
          <w:tab w:val="left" w:pos="993"/>
        </w:tabs>
        <w:jc w:val="center"/>
        <w:rPr>
          <w:color w:val="000000"/>
        </w:rPr>
      </w:pPr>
      <w:r>
        <w:rPr>
          <w:color w:val="000000"/>
        </w:rPr>
        <w:t xml:space="preserve">Рис.1.Планы </w:t>
      </w:r>
      <w:r>
        <w:fldChar w:fldCharType="begin"/>
      </w:r>
      <w:r>
        <w:instrText xml:space="preserve">eq </w:instrText>
      </w:r>
      <w:r>
        <w:rPr>
          <w:noProof/>
          <w:color w:val="FFFFFF"/>
          <w:spacing w:val="-20000"/>
          <w:sz w:val="2"/>
          <w:szCs w:val="28"/>
        </w:rPr>
        <w:instrText xml:space="preserve"> высшие </w:instrText>
      </w:r>
      <w:r>
        <w:rPr>
          <w:noProof/>
          <w:color w:val="000000"/>
        </w:rPr>
        <w:instrText>старшеклассников</w:instrText>
      </w:r>
      <w:r>
        <w:rPr>
          <w:noProof/>
          <w:color w:val="FFFFFF"/>
          <w:spacing w:val="-20000"/>
          <w:sz w:val="2"/>
          <w:szCs w:val="28"/>
        </w:rPr>
        <w:instrText> обучения</w:instrText>
      </w:r>
      <w:r>
        <w:fldChar w:fldCharType="end"/>
      </w:r>
      <w:r>
        <w:rPr>
          <w:color w:val="000000"/>
        </w:rPr>
        <w:t xml:space="preserve"> после </w:t>
      </w:r>
      <w:r>
        <w:fldChar w:fldCharType="begin"/>
      </w:r>
      <w:r>
        <w:instrText xml:space="preserve">eq </w:instrText>
      </w:r>
      <w:r>
        <w:rPr>
          <w:noProof/>
          <w:color w:val="000000"/>
        </w:rPr>
        <w:instrText>окончания</w:instrText>
      </w:r>
      <w:r>
        <w:rPr>
          <w:noProof/>
          <w:color w:val="FFFFFF"/>
          <w:spacing w:val="-20000"/>
          <w:sz w:val="2"/>
          <w:szCs w:val="28"/>
        </w:rPr>
        <w:instrText> техническую</w:instrText>
      </w:r>
      <w:r>
        <w:fldChar w:fldCharType="end"/>
      </w:r>
      <w:r>
        <w:rPr>
          <w:color w:val="000000"/>
        </w:rPr>
        <w:t xml:space="preserve"> СОШ Приморского края на </w:t>
      </w:r>
      <w:r>
        <w:fldChar w:fldCharType="begin"/>
      </w:r>
      <w:r>
        <w:instrText xml:space="preserve">eq </w:instrText>
      </w:r>
      <w:r>
        <w:rPr>
          <w:noProof/>
          <w:color w:val="FFFFFF"/>
          <w:spacing w:val="-20000"/>
          <w:sz w:val="2"/>
          <w:szCs w:val="28"/>
        </w:rPr>
        <w:instrText xml:space="preserve"> режим </w:instrText>
      </w:r>
      <w:r>
        <w:rPr>
          <w:noProof/>
          <w:color w:val="000000"/>
        </w:rPr>
        <w:instrText>2018</w:instrText>
      </w:r>
      <w:r>
        <w:rPr>
          <w:noProof/>
          <w:color w:val="FFFFFF"/>
          <w:spacing w:val="-20000"/>
          <w:sz w:val="2"/>
          <w:szCs w:val="28"/>
        </w:rPr>
        <w:instrText> стоит</w:instrText>
      </w:r>
      <w:r>
        <w:fldChar w:fldCharType="end"/>
      </w:r>
      <w:r>
        <w:rPr>
          <w:color w:val="000000"/>
        </w:rPr>
        <w:t xml:space="preserve"> год, %</w:t>
      </w:r>
    </w:p>
    <w:p w:rsidR="005E1201" w:rsidRPr="00BB3CC5" w:rsidRDefault="005E1201" w:rsidP="005E1201">
      <w:pPr>
        <w:tabs>
          <w:tab w:val="left" w:pos="993"/>
        </w:tabs>
        <w:ind w:firstLine="709"/>
        <w:jc w:val="both"/>
        <w:rPr>
          <w:color w:val="000000"/>
        </w:rPr>
      </w:pPr>
      <w:r>
        <w:rPr>
          <w:color w:val="000000"/>
        </w:rPr>
        <w:t xml:space="preserve">Стоит отметить, что </w:t>
      </w:r>
      <w:r>
        <w:fldChar w:fldCharType="begin"/>
      </w:r>
      <w:r>
        <w:instrText xml:space="preserve">eq </w:instrText>
      </w:r>
      <w:r>
        <w:rPr>
          <w:noProof/>
          <w:color w:val="FFFFFF"/>
          <w:spacing w:val="-20000"/>
          <w:sz w:val="2"/>
          <w:szCs w:val="28"/>
        </w:rPr>
        <w:instrText xml:space="preserve"> первую </w:instrText>
      </w:r>
      <w:r>
        <w:rPr>
          <w:noProof/>
          <w:color w:val="000000"/>
        </w:rPr>
        <w:instrText>почти</w:instrText>
      </w:r>
      <w:r>
        <w:fldChar w:fldCharType="end"/>
      </w:r>
      <w:r>
        <w:rPr>
          <w:color w:val="000000"/>
        </w:rPr>
        <w:t xml:space="preserve"> 43% респондентов после </w:t>
      </w:r>
      <w:r>
        <w:fldChar w:fldCharType="begin"/>
      </w:r>
      <w:r>
        <w:instrText xml:space="preserve">eq </w:instrText>
      </w:r>
      <w:r>
        <w:rPr>
          <w:noProof/>
          <w:color w:val="FFFFFF"/>
          <w:spacing w:val="-20000"/>
          <w:sz w:val="2"/>
          <w:szCs w:val="28"/>
        </w:rPr>
        <w:instrText xml:space="preserve"> очень </w:instrText>
      </w:r>
      <w:r>
        <w:rPr>
          <w:noProof/>
          <w:color w:val="000000"/>
        </w:rPr>
        <w:instrText>собираются</w:instrText>
      </w:r>
      <w:r>
        <w:rPr>
          <w:noProof/>
          <w:color w:val="FFFFFF"/>
          <w:spacing w:val="-20000"/>
          <w:sz w:val="2"/>
          <w:szCs w:val="28"/>
        </w:rPr>
        <w:instrText> большее</w:instrText>
      </w:r>
      <w:r>
        <w:fldChar w:fldCharType="end"/>
      </w:r>
      <w:r>
        <w:rPr>
          <w:color w:val="000000"/>
        </w:rPr>
        <w:t xml:space="preserve"> совмещать </w:t>
      </w:r>
      <w:r>
        <w:fldChar w:fldCharType="begin"/>
      </w:r>
      <w:r>
        <w:instrText xml:space="preserve">eq </w:instrText>
      </w:r>
      <w:r>
        <w:rPr>
          <w:noProof/>
          <w:color w:val="000000"/>
        </w:rPr>
        <w:instrText>обучение</w:instrText>
      </w:r>
      <w:r>
        <w:rPr>
          <w:noProof/>
          <w:color w:val="FFFFFF"/>
          <w:spacing w:val="-20000"/>
          <w:sz w:val="2"/>
          <w:szCs w:val="28"/>
        </w:rPr>
        <w:instrText> воздействием</w:instrText>
      </w:r>
      <w:r>
        <w:fldChar w:fldCharType="end"/>
      </w:r>
      <w:r>
        <w:rPr>
          <w:color w:val="000000"/>
        </w:rPr>
        <w:t xml:space="preserve"> с работой. Это связано с </w:t>
      </w:r>
      <w:r>
        <w:fldChar w:fldCharType="begin"/>
      </w:r>
      <w:r>
        <w:instrText xml:space="preserve">eq </w:instrText>
      </w:r>
      <w:r>
        <w:rPr>
          <w:noProof/>
          <w:color w:val="FFFFFF"/>
          <w:spacing w:val="-20000"/>
          <w:sz w:val="2"/>
          <w:szCs w:val="28"/>
        </w:rPr>
        <w:instrText xml:space="preserve"> потребитель </w:instrText>
      </w:r>
      <w:r>
        <w:rPr>
          <w:noProof/>
          <w:color w:val="000000"/>
        </w:rPr>
        <w:instrText>осознанием</w:instrText>
      </w:r>
      <w:r>
        <w:rPr>
          <w:noProof/>
          <w:color w:val="FFFFFF"/>
          <w:spacing w:val="-20000"/>
          <w:sz w:val="2"/>
          <w:szCs w:val="28"/>
        </w:rPr>
        <w:instrText> также</w:instrText>
      </w:r>
      <w:r>
        <w:fldChar w:fldCharType="end"/>
      </w:r>
      <w:r>
        <w:rPr>
          <w:color w:val="000000"/>
        </w:rPr>
        <w:t xml:space="preserve"> выпускников школ </w:t>
      </w:r>
      <w:r>
        <w:fldChar w:fldCharType="begin"/>
      </w:r>
      <w:r>
        <w:instrText xml:space="preserve">eq </w:instrText>
      </w:r>
      <w:r>
        <w:rPr>
          <w:noProof/>
          <w:color w:val="FFFFFF"/>
          <w:spacing w:val="-20000"/>
          <w:sz w:val="2"/>
          <w:szCs w:val="28"/>
        </w:rPr>
        <w:instrText xml:space="preserve"> самые </w:instrText>
      </w:r>
      <w:r>
        <w:rPr>
          <w:noProof/>
          <w:color w:val="000000"/>
        </w:rPr>
        <w:instrText>потребности</w:instrText>
      </w:r>
      <w:r>
        <w:fldChar w:fldCharType="end"/>
      </w:r>
      <w:r>
        <w:rPr>
          <w:color w:val="000000"/>
        </w:rPr>
        <w:t xml:space="preserve"> навыков и опыта </w:t>
      </w:r>
      <w:r>
        <w:fldChar w:fldCharType="begin"/>
      </w:r>
      <w:r>
        <w:instrText xml:space="preserve">eq </w:instrText>
      </w:r>
      <w:r>
        <w:rPr>
          <w:noProof/>
          <w:color w:val="FFFFFF"/>
          <w:spacing w:val="-20000"/>
          <w:sz w:val="2"/>
          <w:szCs w:val="28"/>
        </w:rPr>
        <w:instrText xml:space="preserve"> постоянную </w:instrText>
      </w:r>
      <w:r>
        <w:rPr>
          <w:noProof/>
          <w:color w:val="000000"/>
        </w:rPr>
        <w:instrText>работы</w:instrText>
      </w:r>
      <w:r>
        <w:rPr>
          <w:noProof/>
          <w:color w:val="FFFFFF"/>
          <w:spacing w:val="-20000"/>
          <w:sz w:val="2"/>
          <w:szCs w:val="28"/>
        </w:rPr>
        <w:instrText> конкуренции</w:instrText>
      </w:r>
      <w:r>
        <w:fldChar w:fldCharType="end"/>
      </w:r>
      <w:r>
        <w:rPr>
          <w:color w:val="000000"/>
        </w:rPr>
        <w:t xml:space="preserve"> для того, </w:t>
      </w:r>
      <w:r>
        <w:fldChar w:fldCharType="begin"/>
      </w:r>
      <w:r>
        <w:instrText xml:space="preserve">eq </w:instrText>
      </w:r>
      <w:r>
        <w:rPr>
          <w:noProof/>
          <w:color w:val="000000"/>
        </w:rPr>
        <w:instrText>чтобы</w:instrText>
      </w:r>
      <w:r>
        <w:rPr>
          <w:noProof/>
          <w:color w:val="FFFFFF"/>
          <w:spacing w:val="-20000"/>
          <w:sz w:val="2"/>
          <w:szCs w:val="28"/>
        </w:rPr>
        <w:instrText> услуги</w:instrText>
      </w:r>
      <w:r>
        <w:fldChar w:fldCharType="end"/>
      </w:r>
      <w:r>
        <w:rPr>
          <w:color w:val="000000"/>
        </w:rPr>
        <w:t xml:space="preserve"> быть конкурентоспособными на </w:t>
      </w:r>
      <w:r>
        <w:fldChar w:fldCharType="begin"/>
      </w:r>
      <w:r>
        <w:instrText xml:space="preserve">eq </w:instrText>
      </w:r>
      <w:r>
        <w:rPr>
          <w:noProof/>
          <w:color w:val="FFFFFF"/>
          <w:spacing w:val="-20000"/>
          <w:sz w:val="2"/>
          <w:szCs w:val="28"/>
        </w:rPr>
        <w:instrText xml:space="preserve"> consultant </w:instrText>
      </w:r>
      <w:r>
        <w:rPr>
          <w:noProof/>
          <w:color w:val="000000"/>
        </w:rPr>
        <w:instrText>рынке</w:instrText>
      </w:r>
      <w:r>
        <w:rPr>
          <w:noProof/>
          <w:color w:val="FFFFFF"/>
          <w:spacing w:val="-20000"/>
          <w:sz w:val="2"/>
          <w:szCs w:val="28"/>
        </w:rPr>
        <w:instrText> данным</w:instrText>
      </w:r>
      <w:r>
        <w:fldChar w:fldCharType="end"/>
      </w:r>
      <w:r>
        <w:rPr>
          <w:color w:val="000000"/>
        </w:rPr>
        <w:t xml:space="preserve"> труда и возрастающими </w:t>
      </w:r>
      <w:r>
        <w:fldChar w:fldCharType="begin"/>
      </w:r>
      <w:r>
        <w:instrText xml:space="preserve">eq </w:instrText>
      </w:r>
      <w:r>
        <w:rPr>
          <w:noProof/>
          <w:color w:val="FFFFFF"/>
          <w:spacing w:val="-20000"/>
          <w:sz w:val="2"/>
          <w:szCs w:val="28"/>
        </w:rPr>
        <w:instrText xml:space="preserve"> педагогика </w:instrText>
      </w:r>
      <w:r>
        <w:rPr>
          <w:noProof/>
          <w:color w:val="000000"/>
        </w:rPr>
        <w:instrText>требованиями</w:instrText>
      </w:r>
      <w:r>
        <w:fldChar w:fldCharType="end"/>
      </w:r>
      <w:r>
        <w:rPr>
          <w:color w:val="000000"/>
        </w:rPr>
        <w:t xml:space="preserve"> работодателей к молодым </w:t>
      </w:r>
      <w:r>
        <w:fldChar w:fldCharType="begin"/>
      </w:r>
      <w:r>
        <w:instrText xml:space="preserve">eq </w:instrText>
      </w:r>
      <w:r>
        <w:rPr>
          <w:noProof/>
          <w:color w:val="FFFFFF"/>
          <w:spacing w:val="-20000"/>
          <w:sz w:val="2"/>
          <w:szCs w:val="28"/>
        </w:rPr>
        <w:instrText xml:space="preserve"> данный </w:instrText>
      </w:r>
      <w:r>
        <w:rPr>
          <w:noProof/>
          <w:color w:val="000000"/>
        </w:rPr>
        <w:instrText>специалистам</w:instrText>
      </w:r>
      <w:r>
        <w:rPr>
          <w:noProof/>
          <w:color w:val="FFFFFF"/>
          <w:spacing w:val="-20000"/>
          <w:sz w:val="2"/>
          <w:szCs w:val="28"/>
        </w:rPr>
        <w:instrText> режим</w:instrText>
      </w:r>
      <w:r>
        <w:fldChar w:fldCharType="end"/>
      </w:r>
      <w:r>
        <w:rPr>
          <w:color w:val="000000"/>
        </w:rPr>
        <w:t xml:space="preserve">. </w:t>
      </w:r>
    </w:p>
    <w:p w:rsidR="005E1201" w:rsidRDefault="005E1201" w:rsidP="005E1201">
      <w:pPr>
        <w:tabs>
          <w:tab w:val="left" w:pos="709"/>
        </w:tabs>
        <w:jc w:val="both"/>
        <w:rPr>
          <w:color w:val="000000"/>
        </w:rPr>
      </w:pPr>
      <w:r>
        <w:rPr>
          <w:color w:val="000000"/>
        </w:rPr>
        <w:t xml:space="preserve">Факторы, </w:t>
      </w:r>
      <w:r>
        <w:fldChar w:fldCharType="begin"/>
      </w:r>
      <w:r>
        <w:instrText xml:space="preserve">eq </w:instrText>
      </w:r>
      <w:r>
        <w:rPr>
          <w:noProof/>
          <w:color w:val="000000"/>
        </w:rPr>
        <w:instrText>влияющие</w:instrText>
      </w:r>
      <w:r>
        <w:rPr>
          <w:noProof/>
          <w:color w:val="FFFFFF"/>
          <w:spacing w:val="-20000"/>
          <w:sz w:val="2"/>
          <w:szCs w:val="28"/>
        </w:rPr>
        <w:instrText> профессии</w:instrText>
      </w:r>
      <w:r>
        <w:fldChar w:fldCharType="end"/>
      </w:r>
      <w:r>
        <w:rPr>
          <w:color w:val="000000"/>
        </w:rPr>
        <w:t xml:space="preserve"> на выбор школьниками </w:t>
      </w:r>
      <w:r>
        <w:fldChar w:fldCharType="begin"/>
      </w:r>
      <w:r>
        <w:instrText xml:space="preserve">eq </w:instrText>
      </w:r>
      <w:r>
        <w:rPr>
          <w:noProof/>
          <w:color w:val="FFFFFF"/>
          <w:spacing w:val="-20000"/>
          <w:sz w:val="2"/>
          <w:szCs w:val="28"/>
        </w:rPr>
        <w:instrText xml:space="preserve"> высшем </w:instrText>
      </w:r>
      <w:r>
        <w:rPr>
          <w:noProof/>
          <w:color w:val="000000"/>
        </w:rPr>
        <w:instrText>вуза</w:instrText>
      </w:r>
      <w:r>
        <w:rPr>
          <w:noProof/>
          <w:color w:val="FFFFFF"/>
          <w:spacing w:val="-20000"/>
          <w:sz w:val="2"/>
          <w:szCs w:val="28"/>
        </w:rPr>
        <w:instrText> представлены</w:instrText>
      </w:r>
      <w:r>
        <w:fldChar w:fldCharType="end"/>
      </w:r>
      <w:r>
        <w:rPr>
          <w:color w:val="000000"/>
        </w:rPr>
        <w:t xml:space="preserve">, представлены на рисунке 2 </w:t>
      </w:r>
      <w:r>
        <w:fldChar w:fldCharType="begin"/>
      </w:r>
      <w:r>
        <w:instrText xml:space="preserve">eq </w:instrText>
      </w:r>
      <w:r>
        <w:rPr>
          <w:noProof/>
          <w:color w:val="FFFFFF"/>
          <w:spacing w:val="-20000"/>
          <w:sz w:val="2"/>
          <w:szCs w:val="28"/>
        </w:rPr>
        <w:instrText xml:space="preserve"> шинкарева </w:instrText>
      </w:r>
      <w:r>
        <w:rPr>
          <w:noProof/>
          <w:color w:val="000000"/>
        </w:rPr>
        <w:instrText>презентации</w:instrText>
      </w:r>
      <w:r>
        <w:fldChar w:fldCharType="end"/>
      </w:r>
      <w:r>
        <w:rPr>
          <w:color w:val="000000"/>
        </w:rPr>
        <w:t xml:space="preserve"> (стоит отметить, что </w:t>
      </w:r>
      <w:r>
        <w:fldChar w:fldCharType="begin"/>
      </w:r>
      <w:r>
        <w:instrText xml:space="preserve">eq </w:instrText>
      </w:r>
      <w:r>
        <w:rPr>
          <w:noProof/>
          <w:color w:val="FFFFFF"/>
          <w:spacing w:val="-20000"/>
          <w:sz w:val="2"/>
          <w:szCs w:val="28"/>
        </w:rPr>
        <w:instrText xml:space="preserve"> причины </w:instrText>
      </w:r>
      <w:r>
        <w:rPr>
          <w:noProof/>
          <w:color w:val="000000"/>
        </w:rPr>
        <w:instrText>данный</w:instrText>
      </w:r>
      <w:r>
        <w:rPr>
          <w:noProof/>
          <w:color w:val="FFFFFF"/>
          <w:spacing w:val="-20000"/>
          <w:sz w:val="2"/>
          <w:szCs w:val="28"/>
        </w:rPr>
        <w:instrText> узам</w:instrText>
      </w:r>
      <w:r>
        <w:fldChar w:fldCharType="end"/>
      </w:r>
      <w:r>
        <w:rPr>
          <w:color w:val="000000"/>
        </w:rPr>
        <w:t xml:space="preserve"> вопрос </w:t>
      </w:r>
      <w:r>
        <w:fldChar w:fldCharType="begin"/>
      </w:r>
      <w:r>
        <w:instrText xml:space="preserve">eq </w:instrText>
      </w:r>
      <w:r>
        <w:rPr>
          <w:noProof/>
          <w:color w:val="000000"/>
        </w:rPr>
        <w:instrText>анкеты</w:instrText>
      </w:r>
      <w:r>
        <w:rPr>
          <w:noProof/>
          <w:color w:val="FFFFFF"/>
          <w:spacing w:val="-20000"/>
          <w:sz w:val="2"/>
          <w:szCs w:val="28"/>
        </w:rPr>
        <w:instrText> приморского</w:instrText>
      </w:r>
      <w:r>
        <w:fldChar w:fldCharType="end"/>
      </w:r>
      <w:r>
        <w:rPr>
          <w:color w:val="000000"/>
        </w:rPr>
        <w:t xml:space="preserve"> имеет множественный </w:t>
      </w:r>
      <w:r>
        <w:fldChar w:fldCharType="begin"/>
      </w:r>
      <w:r>
        <w:instrText xml:space="preserve">eq </w:instrText>
      </w:r>
      <w:r>
        <w:rPr>
          <w:noProof/>
          <w:color w:val="FFFFFF"/>
          <w:spacing w:val="-20000"/>
          <w:sz w:val="2"/>
          <w:szCs w:val="28"/>
        </w:rPr>
        <w:instrText xml:space="preserve"> положительным </w:instrText>
      </w:r>
      <w:r>
        <w:rPr>
          <w:noProof/>
          <w:color w:val="000000"/>
        </w:rPr>
        <w:instrText>ответ</w:instrText>
      </w:r>
      <w:r>
        <w:rPr>
          <w:noProof/>
          <w:color w:val="FFFFFF"/>
          <w:spacing w:val="-20000"/>
          <w:sz w:val="2"/>
          <w:szCs w:val="28"/>
        </w:rPr>
        <w:instrText> связи</w:instrText>
      </w:r>
      <w:r>
        <w:fldChar w:fldCharType="end"/>
      </w:r>
      <w:r>
        <w:rPr>
          <w:color w:val="000000"/>
        </w:rPr>
        <w:t xml:space="preserve">, таким образом, в </w:t>
      </w:r>
      <w:r>
        <w:fldChar w:fldCharType="begin"/>
      </w:r>
      <w:r>
        <w:instrText xml:space="preserve">eq </w:instrText>
      </w:r>
      <w:r>
        <w:rPr>
          <w:noProof/>
          <w:color w:val="FFFFFF"/>
          <w:spacing w:val="-20000"/>
          <w:sz w:val="2"/>
          <w:szCs w:val="28"/>
        </w:rPr>
        <w:instrText xml:space="preserve"> рынке </w:instrText>
      </w:r>
      <w:r>
        <w:rPr>
          <w:noProof/>
          <w:color w:val="000000"/>
        </w:rPr>
        <w:instrText>качестве</w:instrText>
      </w:r>
      <w:r>
        <w:fldChar w:fldCharType="end"/>
      </w:r>
      <w:r>
        <w:rPr>
          <w:color w:val="000000"/>
        </w:rPr>
        <w:t xml:space="preserve"> результата показан </w:t>
      </w:r>
      <w:r>
        <w:fldChar w:fldCharType="begin"/>
      </w:r>
      <w:r>
        <w:instrText xml:space="preserve">eq </w:instrText>
      </w:r>
      <w:r>
        <w:rPr>
          <w:noProof/>
          <w:color w:val="FFFFFF"/>
          <w:spacing w:val="-20000"/>
          <w:sz w:val="2"/>
          <w:szCs w:val="28"/>
        </w:rPr>
        <w:instrText xml:space="preserve"> также </w:instrText>
      </w:r>
      <w:r>
        <w:rPr>
          <w:noProof/>
          <w:color w:val="000000"/>
        </w:rPr>
        <w:instrText>процент</w:instrText>
      </w:r>
      <w:r>
        <w:rPr>
          <w:noProof/>
          <w:color w:val="FFFFFF"/>
          <w:spacing w:val="-20000"/>
          <w:sz w:val="2"/>
          <w:szCs w:val="28"/>
        </w:rPr>
        <w:instrText> желаемого</w:instrText>
      </w:r>
      <w:r>
        <w:fldChar w:fldCharType="end"/>
      </w:r>
      <w:r>
        <w:rPr>
          <w:color w:val="000000"/>
        </w:rPr>
        <w:t xml:space="preserve"> от количества </w:t>
      </w:r>
      <w:r>
        <w:fldChar w:fldCharType="begin"/>
      </w:r>
      <w:r>
        <w:instrText xml:space="preserve">eq </w:instrText>
      </w:r>
      <w:r>
        <w:rPr>
          <w:noProof/>
          <w:color w:val="000000"/>
        </w:rPr>
        <w:instrText>респондентов</w:instrText>
      </w:r>
      <w:r>
        <w:rPr>
          <w:noProof/>
          <w:color w:val="FFFFFF"/>
          <w:spacing w:val="-20000"/>
          <w:sz w:val="2"/>
          <w:szCs w:val="28"/>
        </w:rPr>
        <w:instrText> стоит</w:instrText>
      </w:r>
      <w:r>
        <w:fldChar w:fldCharType="end"/>
      </w:r>
      <w:r>
        <w:rPr>
          <w:color w:val="000000"/>
        </w:rPr>
        <w:t xml:space="preserve">, а не от количества ответов на </w:t>
      </w:r>
      <w:r>
        <w:fldChar w:fldCharType="begin"/>
      </w:r>
      <w:r>
        <w:instrText xml:space="preserve">eq </w:instrText>
      </w:r>
      <w:r>
        <w:rPr>
          <w:noProof/>
          <w:color w:val="FFFFFF"/>
          <w:spacing w:val="-20000"/>
          <w:sz w:val="2"/>
          <w:szCs w:val="28"/>
        </w:rPr>
        <w:instrText xml:space="preserve"> режим </w:instrText>
      </w:r>
      <w:r>
        <w:rPr>
          <w:noProof/>
          <w:color w:val="000000"/>
        </w:rPr>
        <w:instrText>данный</w:instrText>
      </w:r>
      <w:r>
        <w:rPr>
          <w:noProof/>
          <w:color w:val="FFFFFF"/>
          <w:spacing w:val="-20000"/>
          <w:sz w:val="2"/>
          <w:szCs w:val="28"/>
        </w:rPr>
        <w:instrText> образования</w:instrText>
      </w:r>
      <w:r>
        <w:fldChar w:fldCharType="end"/>
      </w:r>
      <w:r>
        <w:rPr>
          <w:color w:val="000000"/>
        </w:rPr>
        <w:t xml:space="preserve"> вопрос).</w:t>
      </w:r>
    </w:p>
    <w:p w:rsidR="005E1201" w:rsidRDefault="005E1201" w:rsidP="005E1201">
      <w:pPr>
        <w:tabs>
          <w:tab w:val="left" w:pos="709"/>
        </w:tabs>
        <w:jc w:val="both"/>
        <w:rPr>
          <w:color w:val="000000"/>
        </w:rPr>
      </w:pPr>
    </w:p>
    <w:p w:rsidR="005E1201" w:rsidRPr="00066AF3" w:rsidRDefault="005E1201" w:rsidP="005E1201">
      <w:pPr>
        <w:tabs>
          <w:tab w:val="left" w:pos="851"/>
        </w:tabs>
        <w:jc w:val="center"/>
        <w:rPr>
          <w:color w:val="000000"/>
        </w:rPr>
      </w:pPr>
      <w:r>
        <w:rPr>
          <w:noProof/>
          <w:color w:val="000000"/>
          <w:lang w:eastAsia="ru-RU"/>
        </w:rPr>
        <w:drawing>
          <wp:inline distT="0" distB="0" distL="0" distR="0">
            <wp:extent cx="5848350" cy="2276475"/>
            <wp:effectExtent l="19050" t="19050" r="19050" b="28575"/>
            <wp:docPr id="162" name="Рисунок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355">
                      <a:grayscl/>
                      <a:extLst>
                        <a:ext uri="{28A0092B-C50C-407E-A947-70E740481C1C}">
                          <a14:useLocalDpi xmlns:a14="http://schemas.microsoft.com/office/drawing/2010/main" val="0"/>
                        </a:ext>
                      </a:extLst>
                    </a:blip>
                    <a:srcRect l="8783" t="38881" r="6758" b="13290"/>
                    <a:stretch>
                      <a:fillRect/>
                    </a:stretch>
                  </pic:blipFill>
                  <pic:spPr bwMode="auto">
                    <a:xfrm>
                      <a:off x="0" y="0"/>
                      <a:ext cx="5848350" cy="2276475"/>
                    </a:xfrm>
                    <a:prstGeom prst="rect">
                      <a:avLst/>
                    </a:prstGeom>
                    <a:noFill/>
                    <a:ln w="3175" cmpd="sng">
                      <a:solidFill>
                        <a:srgbClr val="404040"/>
                      </a:solidFill>
                      <a:miter lim="800000"/>
                      <a:headEnd/>
                      <a:tailEnd/>
                    </a:ln>
                    <a:effectLst/>
                  </pic:spPr>
                </pic:pic>
              </a:graphicData>
            </a:graphic>
          </wp:inline>
        </w:drawing>
      </w:r>
    </w:p>
    <w:p w:rsidR="005E1201" w:rsidRPr="00066AF3" w:rsidRDefault="005E1201" w:rsidP="005E1201">
      <w:pPr>
        <w:tabs>
          <w:tab w:val="left" w:pos="993"/>
        </w:tabs>
        <w:jc w:val="center"/>
        <w:rPr>
          <w:color w:val="000000"/>
        </w:rPr>
      </w:pPr>
      <w:r>
        <w:rPr>
          <w:color w:val="000000"/>
        </w:rPr>
        <w:t xml:space="preserve">Рис. </w:t>
      </w:r>
      <w:r w:rsidRPr="00DE3E62">
        <w:rPr>
          <w:color w:val="000000"/>
        </w:rPr>
        <w:t>2</w:t>
      </w:r>
      <w:r>
        <w:rPr>
          <w:color w:val="000000"/>
        </w:rPr>
        <w:t xml:space="preserve">. Факторы, </w:t>
      </w:r>
      <w:r>
        <w:fldChar w:fldCharType="begin"/>
      </w:r>
      <w:r>
        <w:instrText xml:space="preserve">eq </w:instrText>
      </w:r>
      <w:r>
        <w:rPr>
          <w:noProof/>
          <w:color w:val="FFFFFF"/>
          <w:spacing w:val="-20000"/>
          <w:sz w:val="2"/>
          <w:szCs w:val="28"/>
        </w:rPr>
        <w:instrText xml:space="preserve"> html </w:instrText>
      </w:r>
      <w:r>
        <w:rPr>
          <w:noProof/>
          <w:color w:val="000000"/>
        </w:rPr>
        <w:instrText>определяющие</w:instrText>
      </w:r>
      <w:r>
        <w:fldChar w:fldCharType="end"/>
      </w:r>
      <w:r>
        <w:rPr>
          <w:color w:val="000000"/>
        </w:rPr>
        <w:t xml:space="preserve"> выбор ВУЗа старшеклассников СОШ </w:t>
      </w:r>
      <w:r>
        <w:fldChar w:fldCharType="begin"/>
      </w:r>
      <w:r>
        <w:instrText xml:space="preserve">eq </w:instrText>
      </w:r>
      <w:r>
        <w:rPr>
          <w:noProof/>
          <w:color w:val="FFFFFF"/>
          <w:spacing w:val="-20000"/>
          <w:sz w:val="2"/>
          <w:szCs w:val="28"/>
        </w:rPr>
        <w:instrText xml:space="preserve"> выбирая </w:instrText>
      </w:r>
      <w:r>
        <w:rPr>
          <w:noProof/>
          <w:color w:val="000000"/>
        </w:rPr>
        <w:instrText>Приморского</w:instrText>
      </w:r>
      <w:r>
        <w:rPr>
          <w:noProof/>
          <w:color w:val="FFFFFF"/>
          <w:spacing w:val="-20000"/>
          <w:sz w:val="2"/>
          <w:szCs w:val="28"/>
        </w:rPr>
        <w:instrText> году</w:instrText>
      </w:r>
      <w:r>
        <w:fldChar w:fldCharType="end"/>
      </w:r>
      <w:r>
        <w:rPr>
          <w:color w:val="000000"/>
        </w:rPr>
        <w:t xml:space="preserve"> края на </w:t>
      </w:r>
      <w:r>
        <w:fldChar w:fldCharType="begin"/>
      </w:r>
      <w:r>
        <w:instrText xml:space="preserve">eq </w:instrText>
      </w:r>
      <w:r>
        <w:rPr>
          <w:noProof/>
          <w:color w:val="000000"/>
        </w:rPr>
        <w:instrText>2018</w:instrText>
      </w:r>
      <w:r>
        <w:rPr>
          <w:noProof/>
          <w:color w:val="FFFFFF"/>
          <w:spacing w:val="-20000"/>
          <w:sz w:val="2"/>
          <w:szCs w:val="28"/>
        </w:rPr>
        <w:instrText> наблюдается</w:instrText>
      </w:r>
      <w:r>
        <w:fldChar w:fldCharType="end"/>
      </w:r>
      <w:r>
        <w:rPr>
          <w:color w:val="000000"/>
        </w:rPr>
        <w:t xml:space="preserve"> год, %</w:t>
      </w:r>
    </w:p>
    <w:p w:rsidR="005E1201" w:rsidRPr="00BB3CC5" w:rsidRDefault="005E1201" w:rsidP="005E1201">
      <w:pPr>
        <w:tabs>
          <w:tab w:val="left" w:pos="851"/>
        </w:tabs>
        <w:jc w:val="both"/>
        <w:rPr>
          <w:color w:val="000000"/>
        </w:rPr>
      </w:pPr>
      <w:r>
        <w:rPr>
          <w:color w:val="000000"/>
        </w:rPr>
        <w:tab/>
        <w:t xml:space="preserve">По графику видно, что </w:t>
      </w:r>
      <w:r>
        <w:fldChar w:fldCharType="begin"/>
      </w:r>
      <w:r>
        <w:instrText xml:space="preserve">eq </w:instrText>
      </w:r>
      <w:r>
        <w:rPr>
          <w:noProof/>
          <w:color w:val="FFFFFF"/>
          <w:spacing w:val="-20000"/>
          <w:sz w:val="2"/>
          <w:szCs w:val="28"/>
        </w:rPr>
        <w:instrText xml:space="preserve"> снижение </w:instrText>
      </w:r>
      <w:r>
        <w:rPr>
          <w:noProof/>
          <w:color w:val="000000"/>
        </w:rPr>
        <w:instrText>ключевыми</w:instrText>
      </w:r>
      <w:r>
        <w:rPr>
          <w:noProof/>
          <w:color w:val="FFFFFF"/>
          <w:spacing w:val="-20000"/>
          <w:sz w:val="2"/>
          <w:szCs w:val="28"/>
        </w:rPr>
        <w:instrText> рынках</w:instrText>
      </w:r>
      <w:r>
        <w:fldChar w:fldCharType="end"/>
      </w:r>
      <w:r>
        <w:rPr>
          <w:color w:val="000000"/>
        </w:rPr>
        <w:t xml:space="preserve"> факторами при выборе </w:t>
      </w:r>
      <w:r>
        <w:fldChar w:fldCharType="begin"/>
      </w:r>
      <w:r>
        <w:instrText xml:space="preserve">eq </w:instrText>
      </w:r>
      <w:r>
        <w:rPr>
          <w:noProof/>
          <w:color w:val="FFFFFF"/>
          <w:spacing w:val="-20000"/>
          <w:sz w:val="2"/>
          <w:szCs w:val="28"/>
        </w:rPr>
        <w:instrText xml:space="preserve"> связанных </w:instrText>
      </w:r>
      <w:r>
        <w:rPr>
          <w:noProof/>
          <w:color w:val="000000"/>
        </w:rPr>
        <w:instrText>вуза</w:instrText>
      </w:r>
      <w:r>
        <w:fldChar w:fldCharType="end"/>
      </w:r>
      <w:r>
        <w:rPr>
          <w:color w:val="000000"/>
        </w:rPr>
        <w:t xml:space="preserve"> являются: наличие </w:t>
      </w:r>
      <w:r>
        <w:fldChar w:fldCharType="begin"/>
      </w:r>
      <w:r>
        <w:instrText xml:space="preserve">eq </w:instrText>
      </w:r>
      <w:r>
        <w:rPr>
          <w:noProof/>
          <w:color w:val="FFFFFF"/>
          <w:spacing w:val="-20000"/>
          <w:sz w:val="2"/>
          <w:szCs w:val="28"/>
        </w:rPr>
        <w:instrText xml:space="preserve"> данного </w:instrText>
      </w:r>
      <w:r>
        <w:rPr>
          <w:noProof/>
          <w:color w:val="000000"/>
        </w:rPr>
        <w:instrText>желаемого</w:instrText>
      </w:r>
      <w:r>
        <w:rPr>
          <w:noProof/>
          <w:color w:val="FFFFFF"/>
          <w:spacing w:val="-20000"/>
          <w:sz w:val="2"/>
          <w:szCs w:val="28"/>
        </w:rPr>
        <w:instrText> полученных</w:instrText>
      </w:r>
      <w:r>
        <w:fldChar w:fldCharType="end"/>
      </w:r>
      <w:r>
        <w:rPr>
          <w:color w:val="000000"/>
        </w:rPr>
        <w:t xml:space="preserve"> направления </w:t>
      </w:r>
      <w:r>
        <w:fldChar w:fldCharType="begin"/>
      </w:r>
      <w:r>
        <w:instrText xml:space="preserve">eq </w:instrText>
      </w:r>
      <w:r>
        <w:rPr>
          <w:noProof/>
          <w:color w:val="000000"/>
        </w:rPr>
        <w:instrText>подготовки</w:instrText>
      </w:r>
      <w:r>
        <w:rPr>
          <w:noProof/>
          <w:color w:val="FFFFFF"/>
          <w:spacing w:val="-20000"/>
          <w:sz w:val="2"/>
          <w:szCs w:val="28"/>
        </w:rPr>
        <w:instrText> продолжает</w:instrText>
      </w:r>
      <w:r>
        <w:fldChar w:fldCharType="end"/>
      </w:r>
      <w:r>
        <w:rPr>
          <w:color w:val="000000"/>
        </w:rPr>
        <w:t xml:space="preserve">, престиж образовательного </w:t>
      </w:r>
      <w:r>
        <w:fldChar w:fldCharType="begin"/>
      </w:r>
      <w:r>
        <w:instrText xml:space="preserve">eq </w:instrText>
      </w:r>
      <w:r>
        <w:rPr>
          <w:noProof/>
          <w:color w:val="FFFFFF"/>
          <w:spacing w:val="-20000"/>
          <w:sz w:val="2"/>
          <w:szCs w:val="28"/>
        </w:rPr>
        <w:instrText xml:space="preserve"> которого </w:instrText>
      </w:r>
      <w:r>
        <w:rPr>
          <w:noProof/>
          <w:color w:val="000000"/>
        </w:rPr>
        <w:instrText>учреждения</w:instrText>
      </w:r>
      <w:r>
        <w:rPr>
          <w:noProof/>
          <w:color w:val="FFFFFF"/>
          <w:spacing w:val="-20000"/>
          <w:sz w:val="2"/>
          <w:szCs w:val="28"/>
        </w:rPr>
        <w:instrText> постоянную</w:instrText>
      </w:r>
      <w:r>
        <w:fldChar w:fldCharType="end"/>
      </w:r>
      <w:r>
        <w:rPr>
          <w:color w:val="000000"/>
        </w:rPr>
        <w:t xml:space="preserve">, возможность учиться </w:t>
      </w:r>
      <w:r>
        <w:fldChar w:fldCharType="begin"/>
      </w:r>
      <w:r>
        <w:instrText xml:space="preserve">eq </w:instrText>
      </w:r>
      <w:r>
        <w:rPr>
          <w:noProof/>
          <w:color w:val="FFFFFF"/>
          <w:spacing w:val="-20000"/>
          <w:sz w:val="2"/>
          <w:szCs w:val="28"/>
        </w:rPr>
        <w:instrText xml:space="preserve"> чтобы </w:instrText>
      </w:r>
      <w:r>
        <w:rPr>
          <w:noProof/>
          <w:color w:val="000000"/>
        </w:rPr>
        <w:instrText>бесплатно</w:instrText>
      </w:r>
      <w:r>
        <w:fldChar w:fldCharType="end"/>
      </w:r>
      <w:r>
        <w:rPr>
          <w:color w:val="000000"/>
        </w:rPr>
        <w:t xml:space="preserve">, наличие практико-интегрированного </w:t>
      </w:r>
      <w:r>
        <w:fldChar w:fldCharType="begin"/>
      </w:r>
      <w:r>
        <w:instrText xml:space="preserve">eq </w:instrText>
      </w:r>
      <w:r>
        <w:rPr>
          <w:noProof/>
          <w:color w:val="FFFFFF"/>
          <w:spacing w:val="-20000"/>
          <w:sz w:val="2"/>
          <w:szCs w:val="28"/>
        </w:rPr>
        <w:instrText xml:space="preserve"> когда </w:instrText>
      </w:r>
      <w:r>
        <w:rPr>
          <w:noProof/>
          <w:color w:val="000000"/>
        </w:rPr>
        <w:instrText>обучения</w:instrText>
      </w:r>
      <w:r>
        <w:rPr>
          <w:noProof/>
          <w:color w:val="FFFFFF"/>
          <w:spacing w:val="-20000"/>
          <w:sz w:val="2"/>
          <w:szCs w:val="28"/>
        </w:rPr>
        <w:instrText> блока</w:instrText>
      </w:r>
      <w:r>
        <w:fldChar w:fldCharType="end"/>
      </w:r>
      <w:r>
        <w:rPr>
          <w:color w:val="000000"/>
        </w:rPr>
        <w:t xml:space="preserve"> и комфортные </w:t>
      </w:r>
      <w:r>
        <w:fldChar w:fldCharType="begin"/>
      </w:r>
      <w:r>
        <w:instrText xml:space="preserve">eq </w:instrText>
      </w:r>
      <w:r>
        <w:rPr>
          <w:noProof/>
          <w:color w:val="000000"/>
        </w:rPr>
        <w:instrText>условия</w:instrText>
      </w:r>
      <w:r>
        <w:rPr>
          <w:noProof/>
          <w:color w:val="FFFFFF"/>
          <w:spacing w:val="-20000"/>
          <w:sz w:val="2"/>
          <w:szCs w:val="28"/>
        </w:rPr>
        <w:instrText> дополнительные</w:instrText>
      </w:r>
      <w:r>
        <w:fldChar w:fldCharType="end"/>
      </w:r>
      <w:r>
        <w:rPr>
          <w:color w:val="000000"/>
        </w:rPr>
        <w:t xml:space="preserve"> для учебы и проживания. </w:t>
      </w:r>
    </w:p>
    <w:p w:rsidR="005E1201" w:rsidRPr="00BB3CC5" w:rsidRDefault="005E1201" w:rsidP="005E1201">
      <w:pPr>
        <w:tabs>
          <w:tab w:val="left" w:pos="851"/>
        </w:tabs>
        <w:jc w:val="both"/>
        <w:rPr>
          <w:color w:val="000000"/>
        </w:rPr>
      </w:pPr>
      <w:r>
        <w:fldChar w:fldCharType="begin"/>
      </w:r>
      <w:r>
        <w:instrText xml:space="preserve">eq </w:instrText>
      </w:r>
      <w:r>
        <w:rPr>
          <w:noProof/>
          <w:color w:val="FFFFFF"/>
          <w:spacing w:val="-20000"/>
          <w:sz w:val="2"/>
          <w:szCs w:val="28"/>
        </w:rPr>
        <w:instrText xml:space="preserve"> беляев </w:instrText>
      </w:r>
      <w:r>
        <w:rPr>
          <w:noProof/>
          <w:color w:val="000000"/>
        </w:rPr>
        <w:instrText>Наименее</w:instrText>
      </w:r>
      <w:r>
        <w:rPr>
          <w:noProof/>
          <w:color w:val="FFFFFF"/>
          <w:spacing w:val="-20000"/>
          <w:sz w:val="2"/>
          <w:szCs w:val="28"/>
        </w:rPr>
        <w:instrText> информация</w:instrText>
      </w:r>
      <w:r>
        <w:fldChar w:fldCharType="end"/>
      </w:r>
      <w:r>
        <w:rPr>
          <w:color w:val="000000"/>
        </w:rPr>
        <w:t xml:space="preserve"> важную роль при </w:t>
      </w:r>
      <w:r>
        <w:fldChar w:fldCharType="begin"/>
      </w:r>
      <w:r>
        <w:instrText xml:space="preserve">eq </w:instrText>
      </w:r>
      <w:r>
        <w:rPr>
          <w:noProof/>
          <w:color w:val="FFFFFF"/>
          <w:spacing w:val="-20000"/>
          <w:sz w:val="2"/>
          <w:szCs w:val="28"/>
        </w:rPr>
        <w:instrText xml:space="preserve"> причины </w:instrText>
      </w:r>
      <w:r>
        <w:rPr>
          <w:noProof/>
          <w:color w:val="000000"/>
        </w:rPr>
        <w:instrText>выборе</w:instrText>
      </w:r>
      <w:r>
        <w:fldChar w:fldCharType="end"/>
      </w:r>
      <w:r>
        <w:rPr>
          <w:color w:val="000000"/>
        </w:rPr>
        <w:t xml:space="preserve"> вуза играют </w:t>
      </w:r>
      <w:r>
        <w:fldChar w:fldCharType="begin"/>
      </w:r>
      <w:r>
        <w:instrText xml:space="preserve">eq </w:instrText>
      </w:r>
      <w:r>
        <w:rPr>
          <w:noProof/>
          <w:color w:val="FFFFFF"/>
          <w:spacing w:val="-20000"/>
          <w:sz w:val="2"/>
          <w:szCs w:val="28"/>
        </w:rPr>
        <w:instrText xml:space="preserve"> росской </w:instrText>
      </w:r>
      <w:r>
        <w:rPr>
          <w:noProof/>
          <w:color w:val="000000"/>
        </w:rPr>
        <w:instrText>рекомендации</w:instrText>
      </w:r>
      <w:r>
        <w:rPr>
          <w:noProof/>
          <w:color w:val="FFFFFF"/>
          <w:spacing w:val="-20000"/>
          <w:sz w:val="2"/>
          <w:szCs w:val="28"/>
        </w:rPr>
        <w:instrText> направления</w:instrText>
      </w:r>
      <w:r>
        <w:fldChar w:fldCharType="end"/>
      </w:r>
      <w:r>
        <w:rPr>
          <w:color w:val="000000"/>
        </w:rPr>
        <w:t xml:space="preserve"> друзей, </w:t>
      </w:r>
      <w:r>
        <w:fldChar w:fldCharType="begin"/>
      </w:r>
      <w:r>
        <w:instrText xml:space="preserve">eq </w:instrText>
      </w:r>
      <w:r>
        <w:rPr>
          <w:noProof/>
          <w:color w:val="000000"/>
        </w:rPr>
        <w:instrText>которые</w:instrText>
      </w:r>
      <w:r>
        <w:rPr>
          <w:noProof/>
          <w:color w:val="FFFFFF"/>
          <w:spacing w:val="-20000"/>
          <w:sz w:val="2"/>
          <w:szCs w:val="28"/>
        </w:rPr>
        <w:instrText> основным</w:instrText>
      </w:r>
      <w:r>
        <w:fldChar w:fldCharType="end"/>
      </w:r>
      <w:r>
        <w:rPr>
          <w:color w:val="000000"/>
        </w:rPr>
        <w:t xml:space="preserve"> учились в данном </w:t>
      </w:r>
      <w:r>
        <w:fldChar w:fldCharType="begin"/>
      </w:r>
      <w:r>
        <w:instrText xml:space="preserve">eq </w:instrText>
      </w:r>
      <w:r>
        <w:rPr>
          <w:noProof/>
          <w:color w:val="FFFFFF"/>
          <w:spacing w:val="-20000"/>
          <w:sz w:val="2"/>
          <w:szCs w:val="28"/>
        </w:rPr>
        <w:instrText xml:space="preserve"> результата </w:instrText>
      </w:r>
      <w:r>
        <w:rPr>
          <w:noProof/>
          <w:color w:val="000000"/>
        </w:rPr>
        <w:instrText>вузе</w:instrText>
      </w:r>
      <w:r>
        <w:rPr>
          <w:noProof/>
          <w:color w:val="FFFFFF"/>
          <w:spacing w:val="-20000"/>
          <w:sz w:val="2"/>
          <w:szCs w:val="28"/>
        </w:rPr>
        <w:instrText> зачастую</w:instrText>
      </w:r>
      <w:r>
        <w:fldChar w:fldCharType="end"/>
      </w:r>
      <w:r>
        <w:rPr>
          <w:color w:val="000000"/>
        </w:rPr>
        <w:t xml:space="preserve"> и советы родителей. Это </w:t>
      </w:r>
      <w:r>
        <w:fldChar w:fldCharType="begin"/>
      </w:r>
      <w:r>
        <w:instrText xml:space="preserve">eq </w:instrText>
      </w:r>
      <w:r>
        <w:rPr>
          <w:noProof/>
          <w:color w:val="FFFFFF"/>
          <w:spacing w:val="-20000"/>
          <w:sz w:val="2"/>
          <w:szCs w:val="28"/>
        </w:rPr>
        <w:instrText xml:space="preserve"> которые </w:instrText>
      </w:r>
      <w:r>
        <w:rPr>
          <w:noProof/>
          <w:color w:val="000000"/>
        </w:rPr>
        <w:instrText>говорит</w:instrText>
      </w:r>
      <w:r>
        <w:fldChar w:fldCharType="end"/>
      </w:r>
      <w:r>
        <w:rPr>
          <w:color w:val="000000"/>
        </w:rPr>
        <w:t xml:space="preserve"> о том, что на сегодняшний день </w:t>
      </w:r>
      <w:r>
        <w:fldChar w:fldCharType="begin"/>
      </w:r>
      <w:r>
        <w:instrText xml:space="preserve">eq </w:instrText>
      </w:r>
      <w:r>
        <w:rPr>
          <w:noProof/>
          <w:color w:val="FFFFFF"/>
          <w:spacing w:val="-20000"/>
          <w:sz w:val="2"/>
          <w:szCs w:val="28"/>
        </w:rPr>
        <w:instrText xml:space="preserve"> высших </w:instrText>
      </w:r>
      <w:r>
        <w:rPr>
          <w:noProof/>
          <w:color w:val="000000"/>
        </w:rPr>
        <w:instrText>старшеклассники</w:instrText>
      </w:r>
      <w:r>
        <w:rPr>
          <w:noProof/>
          <w:color w:val="FFFFFF"/>
          <w:spacing w:val="-20000"/>
          <w:sz w:val="2"/>
          <w:szCs w:val="28"/>
        </w:rPr>
        <w:instrText> бесплатные</w:instrText>
      </w:r>
      <w:r>
        <w:fldChar w:fldCharType="end"/>
      </w:r>
      <w:r>
        <w:rPr>
          <w:color w:val="000000"/>
        </w:rPr>
        <w:t xml:space="preserve"> склонны </w:t>
      </w:r>
      <w:r>
        <w:fldChar w:fldCharType="begin"/>
      </w:r>
      <w:r>
        <w:instrText xml:space="preserve">eq </w:instrText>
      </w:r>
      <w:r>
        <w:rPr>
          <w:noProof/>
          <w:color w:val="000000"/>
        </w:rPr>
        <w:instrText>принимать</w:instrText>
      </w:r>
      <w:r>
        <w:rPr>
          <w:noProof/>
          <w:color w:val="FFFFFF"/>
          <w:spacing w:val="-20000"/>
          <w:sz w:val="2"/>
          <w:szCs w:val="28"/>
        </w:rPr>
        <w:instrText> платные</w:instrText>
      </w:r>
      <w:r>
        <w:fldChar w:fldCharType="end"/>
      </w:r>
      <w:r>
        <w:rPr>
          <w:color w:val="000000"/>
        </w:rPr>
        <w:t xml:space="preserve"> решение по данному </w:t>
      </w:r>
      <w:r>
        <w:fldChar w:fldCharType="begin"/>
      </w:r>
      <w:r>
        <w:instrText xml:space="preserve">eq </w:instrText>
      </w:r>
      <w:r>
        <w:rPr>
          <w:noProof/>
          <w:color w:val="FFFFFF"/>
          <w:spacing w:val="-20000"/>
          <w:sz w:val="2"/>
          <w:szCs w:val="28"/>
        </w:rPr>
        <w:instrText xml:space="preserve"> аскеров </w:instrText>
      </w:r>
      <w:r>
        <w:rPr>
          <w:noProof/>
          <w:color w:val="000000"/>
        </w:rPr>
        <w:instrText>вопросу</w:instrText>
      </w:r>
      <w:r>
        <w:rPr>
          <w:noProof/>
          <w:color w:val="FFFFFF"/>
          <w:spacing w:val="-20000"/>
          <w:sz w:val="2"/>
          <w:szCs w:val="28"/>
        </w:rPr>
        <w:instrText> сегодняшний</w:instrText>
      </w:r>
      <w:r>
        <w:fldChar w:fldCharType="end"/>
      </w:r>
      <w:r>
        <w:rPr>
          <w:color w:val="000000"/>
        </w:rPr>
        <w:t xml:space="preserve"> самостоятельно, предварительно </w:t>
      </w:r>
      <w:r>
        <w:fldChar w:fldCharType="begin"/>
      </w:r>
      <w:r>
        <w:instrText xml:space="preserve">eq </w:instrText>
      </w:r>
      <w:r>
        <w:rPr>
          <w:noProof/>
          <w:color w:val="FFFFFF"/>
          <w:spacing w:val="-20000"/>
          <w:sz w:val="2"/>
          <w:szCs w:val="28"/>
        </w:rPr>
        <w:instrText xml:space="preserve"> других </w:instrText>
      </w:r>
      <w:r>
        <w:rPr>
          <w:noProof/>
          <w:color w:val="000000"/>
        </w:rPr>
        <w:instrText>изучив</w:instrText>
      </w:r>
      <w:r>
        <w:fldChar w:fldCharType="end"/>
      </w:r>
      <w:r>
        <w:rPr>
          <w:color w:val="000000"/>
        </w:rPr>
        <w:t xml:space="preserve"> все необходимую информацию на </w:t>
      </w:r>
      <w:r>
        <w:fldChar w:fldCharType="begin"/>
      </w:r>
      <w:r>
        <w:instrText xml:space="preserve">eq </w:instrText>
      </w:r>
      <w:r>
        <w:rPr>
          <w:noProof/>
          <w:color w:val="FFFFFF"/>
          <w:spacing w:val="-20000"/>
          <w:sz w:val="2"/>
          <w:szCs w:val="28"/>
        </w:rPr>
        <w:instrText xml:space="preserve"> купить </w:instrText>
      </w:r>
      <w:r>
        <w:rPr>
          <w:noProof/>
          <w:color w:val="000000"/>
        </w:rPr>
        <w:instrText>сайтах</w:instrText>
      </w:r>
      <w:r>
        <w:rPr>
          <w:noProof/>
          <w:color w:val="FFFFFF"/>
          <w:spacing w:val="-20000"/>
          <w:sz w:val="2"/>
          <w:szCs w:val="28"/>
        </w:rPr>
        <w:instrText> молодежи</w:instrText>
      </w:r>
      <w:r>
        <w:fldChar w:fldCharType="end"/>
      </w:r>
      <w:r>
        <w:rPr>
          <w:color w:val="000000"/>
        </w:rPr>
        <w:t xml:space="preserve"> вузов и </w:t>
      </w:r>
      <w:r>
        <w:fldChar w:fldCharType="begin"/>
      </w:r>
      <w:r>
        <w:instrText xml:space="preserve">eq </w:instrText>
      </w:r>
      <w:r>
        <w:rPr>
          <w:noProof/>
          <w:color w:val="000000"/>
        </w:rPr>
        <w:instrText>посетив</w:instrText>
      </w:r>
      <w:r>
        <w:rPr>
          <w:noProof/>
          <w:color w:val="FFFFFF"/>
          <w:spacing w:val="-20000"/>
          <w:sz w:val="2"/>
          <w:szCs w:val="28"/>
        </w:rPr>
        <w:instrText> планы</w:instrText>
      </w:r>
      <w:r>
        <w:fldChar w:fldCharType="end"/>
      </w:r>
      <w:r>
        <w:rPr>
          <w:color w:val="000000"/>
        </w:rPr>
        <w:t xml:space="preserve"> дни открытых дверей.</w:t>
      </w:r>
    </w:p>
    <w:p w:rsidR="005E1201" w:rsidRDefault="005E1201" w:rsidP="005E1201">
      <w:pPr>
        <w:tabs>
          <w:tab w:val="left" w:pos="851"/>
        </w:tabs>
        <w:jc w:val="both"/>
        <w:rPr>
          <w:color w:val="000000"/>
        </w:rPr>
      </w:pPr>
      <w:r>
        <w:fldChar w:fldCharType="begin"/>
      </w:r>
      <w:r>
        <w:instrText xml:space="preserve">eq </w:instrText>
      </w:r>
      <w:r>
        <w:rPr>
          <w:noProof/>
          <w:color w:val="FFFFFF"/>
          <w:spacing w:val="-20000"/>
          <w:sz w:val="2"/>
          <w:szCs w:val="28"/>
        </w:rPr>
        <w:instrText xml:space="preserve"> продолжится </w:instrText>
      </w:r>
      <w:r>
        <w:rPr>
          <w:noProof/>
          <w:color w:val="000000"/>
        </w:rPr>
        <w:instrText>Таким</w:instrText>
      </w:r>
      <w:r>
        <w:rPr>
          <w:noProof/>
          <w:color w:val="FFFFFF"/>
          <w:spacing w:val="-20000"/>
          <w:sz w:val="2"/>
          <w:szCs w:val="28"/>
        </w:rPr>
        <w:instrText> каждым</w:instrText>
      </w:r>
      <w:r>
        <w:fldChar w:fldCharType="end"/>
      </w:r>
      <w:r>
        <w:rPr>
          <w:color w:val="000000"/>
        </w:rPr>
        <w:t xml:space="preserve"> образом, исходя из </w:t>
      </w:r>
      <w:r>
        <w:fldChar w:fldCharType="begin"/>
      </w:r>
      <w:r>
        <w:instrText xml:space="preserve">eq </w:instrText>
      </w:r>
      <w:r>
        <w:rPr>
          <w:noProof/>
          <w:color w:val="FFFFFF"/>
          <w:spacing w:val="-20000"/>
          <w:sz w:val="2"/>
          <w:szCs w:val="28"/>
        </w:rPr>
        <w:instrText xml:space="preserve"> данный </w:instrText>
      </w:r>
      <w:r>
        <w:rPr>
          <w:noProof/>
          <w:color w:val="000000"/>
        </w:rPr>
        <w:instrText>полученных</w:instrText>
      </w:r>
      <w:r>
        <w:fldChar w:fldCharType="end"/>
      </w:r>
      <w:r>
        <w:rPr>
          <w:color w:val="000000"/>
        </w:rPr>
        <w:t xml:space="preserve"> данных по этому </w:t>
      </w:r>
      <w:r>
        <w:fldChar w:fldCharType="begin"/>
      </w:r>
      <w:r>
        <w:instrText xml:space="preserve">eq </w:instrText>
      </w:r>
      <w:r>
        <w:rPr>
          <w:noProof/>
          <w:color w:val="FFFFFF"/>
          <w:spacing w:val="-20000"/>
          <w:sz w:val="2"/>
          <w:szCs w:val="28"/>
        </w:rPr>
        <w:instrText xml:space="preserve"> положительным </w:instrText>
      </w:r>
      <w:r>
        <w:rPr>
          <w:noProof/>
          <w:color w:val="000000"/>
        </w:rPr>
        <w:instrText>вопросу</w:instrText>
      </w:r>
      <w:r>
        <w:rPr>
          <w:noProof/>
          <w:color w:val="FFFFFF"/>
          <w:spacing w:val="-20000"/>
          <w:sz w:val="2"/>
          <w:szCs w:val="28"/>
        </w:rPr>
        <w:instrText> стандартов</w:instrText>
      </w:r>
      <w:r>
        <w:fldChar w:fldCharType="end"/>
      </w:r>
      <w:r>
        <w:rPr>
          <w:color w:val="000000"/>
        </w:rPr>
        <w:t xml:space="preserve">, видно, что у </w:t>
      </w:r>
      <w:r>
        <w:fldChar w:fldCharType="begin"/>
      </w:r>
      <w:r>
        <w:instrText xml:space="preserve">eq </w:instrText>
      </w:r>
      <w:r>
        <w:rPr>
          <w:noProof/>
          <w:color w:val="000000"/>
        </w:rPr>
        <w:instrText>высших</w:instrText>
      </w:r>
      <w:r>
        <w:rPr>
          <w:noProof/>
          <w:color w:val="FFFFFF"/>
          <w:spacing w:val="-20000"/>
          <w:sz w:val="2"/>
          <w:szCs w:val="28"/>
        </w:rPr>
        <w:instrText> очень</w:instrText>
      </w:r>
      <w:r>
        <w:fldChar w:fldCharType="end"/>
      </w:r>
      <w:r>
        <w:rPr>
          <w:color w:val="000000"/>
        </w:rPr>
        <w:t xml:space="preserve"> учебных заведений </w:t>
      </w:r>
      <w:r>
        <w:fldChar w:fldCharType="begin"/>
      </w:r>
      <w:r>
        <w:instrText xml:space="preserve">eq </w:instrText>
      </w:r>
      <w:r>
        <w:rPr>
          <w:noProof/>
          <w:color w:val="FFFFFF"/>
          <w:spacing w:val="-20000"/>
          <w:sz w:val="2"/>
          <w:szCs w:val="28"/>
        </w:rPr>
        <w:instrText xml:space="preserve"> молодым </w:instrText>
      </w:r>
      <w:r>
        <w:rPr>
          <w:noProof/>
          <w:color w:val="000000"/>
        </w:rPr>
        <w:instrText>большой</w:instrText>
      </w:r>
      <w:r>
        <w:rPr>
          <w:noProof/>
          <w:color w:val="FFFFFF"/>
          <w:spacing w:val="-20000"/>
          <w:sz w:val="2"/>
          <w:szCs w:val="28"/>
        </w:rPr>
        <w:instrText> молодым</w:instrText>
      </w:r>
      <w:r>
        <w:fldChar w:fldCharType="end"/>
      </w:r>
      <w:r>
        <w:rPr>
          <w:color w:val="000000"/>
        </w:rPr>
        <w:t xml:space="preserve"> выбор критериев для </w:t>
      </w:r>
      <w:r>
        <w:fldChar w:fldCharType="begin"/>
      </w:r>
      <w:r>
        <w:instrText xml:space="preserve">eq </w:instrText>
      </w:r>
      <w:r>
        <w:rPr>
          <w:noProof/>
          <w:color w:val="FFFFFF"/>
          <w:spacing w:val="-20000"/>
          <w:sz w:val="2"/>
          <w:szCs w:val="28"/>
        </w:rPr>
        <w:instrText xml:space="preserve"> идеология </w:instrText>
      </w:r>
      <w:r>
        <w:rPr>
          <w:noProof/>
          <w:color w:val="000000"/>
        </w:rPr>
        <w:instrText>выделения</w:instrText>
      </w:r>
      <w:r>
        <w:fldChar w:fldCharType="end"/>
      </w:r>
      <w:r>
        <w:rPr>
          <w:color w:val="000000"/>
        </w:rPr>
        <w:t xml:space="preserve"> и повышения своих </w:t>
      </w:r>
      <w:r>
        <w:fldChar w:fldCharType="begin"/>
      </w:r>
      <w:r>
        <w:instrText xml:space="preserve">eq </w:instrText>
      </w:r>
      <w:r>
        <w:rPr>
          <w:noProof/>
          <w:color w:val="FFFFFF"/>
          <w:spacing w:val="-20000"/>
          <w:sz w:val="2"/>
          <w:szCs w:val="28"/>
        </w:rPr>
        <w:instrText xml:space="preserve"> ответов </w:instrText>
      </w:r>
      <w:r>
        <w:rPr>
          <w:noProof/>
          <w:color w:val="000000"/>
        </w:rPr>
        <w:instrText>конкурентных</w:instrText>
      </w:r>
      <w:r>
        <w:rPr>
          <w:noProof/>
          <w:color w:val="FFFFFF"/>
          <w:spacing w:val="-20000"/>
          <w:sz w:val="2"/>
          <w:szCs w:val="28"/>
        </w:rPr>
        <w:instrText> сайт</w:instrText>
      </w:r>
      <w:r>
        <w:fldChar w:fldCharType="end"/>
      </w:r>
      <w:r>
        <w:rPr>
          <w:color w:val="000000"/>
        </w:rPr>
        <w:t xml:space="preserve"> преимуществ. </w:t>
      </w:r>
    </w:p>
    <w:p w:rsidR="005E1201" w:rsidRDefault="005E1201" w:rsidP="005E1201">
      <w:pPr>
        <w:tabs>
          <w:tab w:val="left" w:pos="851"/>
        </w:tabs>
        <w:jc w:val="both"/>
        <w:rPr>
          <w:color w:val="000000"/>
        </w:rPr>
      </w:pPr>
      <w:r>
        <w:rPr>
          <w:color w:val="000000"/>
        </w:rPr>
        <w:tab/>
      </w:r>
      <w:r>
        <w:fldChar w:fldCharType="begin"/>
      </w:r>
      <w:r>
        <w:instrText xml:space="preserve">eq </w:instrText>
      </w:r>
      <w:r>
        <w:rPr>
          <w:noProof/>
          <w:color w:val="000000"/>
        </w:rPr>
        <w:instrText>Поскольку</w:instrText>
      </w:r>
      <w:r>
        <w:rPr>
          <w:noProof/>
          <w:color w:val="FFFFFF"/>
          <w:spacing w:val="-20000"/>
          <w:sz w:val="2"/>
          <w:szCs w:val="28"/>
        </w:rPr>
        <w:instrText> подготовки</w:instrText>
      </w:r>
      <w:r>
        <w:fldChar w:fldCharType="end"/>
      </w:r>
      <w:r>
        <w:rPr>
          <w:color w:val="000000"/>
        </w:rPr>
        <w:t xml:space="preserve"> в ходе исследования </w:t>
      </w:r>
      <w:r>
        <w:fldChar w:fldCharType="begin"/>
      </w:r>
      <w:r>
        <w:instrText xml:space="preserve">eq </w:instrText>
      </w:r>
      <w:r>
        <w:rPr>
          <w:noProof/>
          <w:color w:val="FFFFFF"/>
          <w:spacing w:val="-20000"/>
          <w:sz w:val="2"/>
          <w:szCs w:val="28"/>
        </w:rPr>
        <w:instrText xml:space="preserve"> услуги </w:instrText>
      </w:r>
      <w:r>
        <w:rPr>
          <w:noProof/>
          <w:color w:val="000000"/>
        </w:rPr>
        <w:instrText>было</w:instrText>
      </w:r>
      <w:r>
        <w:rPr>
          <w:noProof/>
          <w:color w:val="FFFFFF"/>
          <w:spacing w:val="-20000"/>
          <w:sz w:val="2"/>
          <w:szCs w:val="28"/>
        </w:rPr>
        <w:instrText> определяющие</w:instrText>
      </w:r>
      <w:r>
        <w:fldChar w:fldCharType="end"/>
      </w:r>
      <w:r>
        <w:rPr>
          <w:color w:val="000000"/>
        </w:rPr>
        <w:t xml:space="preserve"> установлено, что больше </w:t>
      </w:r>
      <w:r>
        <w:fldChar w:fldCharType="begin"/>
      </w:r>
      <w:r>
        <w:instrText xml:space="preserve">eq </w:instrText>
      </w:r>
      <w:r>
        <w:rPr>
          <w:noProof/>
          <w:color w:val="FFFFFF"/>
          <w:spacing w:val="-20000"/>
          <w:sz w:val="2"/>
          <w:szCs w:val="28"/>
        </w:rPr>
        <w:instrText xml:space="preserve"> основных </w:instrText>
      </w:r>
      <w:r>
        <w:rPr>
          <w:noProof/>
          <w:color w:val="000000"/>
        </w:rPr>
        <w:instrText>половины</w:instrText>
      </w:r>
      <w:r>
        <w:fldChar w:fldCharType="end"/>
      </w:r>
      <w:r>
        <w:rPr>
          <w:color w:val="000000"/>
        </w:rPr>
        <w:t xml:space="preserve"> опрошенных респондентов </w:t>
      </w:r>
      <w:r>
        <w:fldChar w:fldCharType="begin"/>
      </w:r>
      <w:r>
        <w:instrText xml:space="preserve">eq </w:instrText>
      </w:r>
      <w:r>
        <w:rPr>
          <w:noProof/>
          <w:color w:val="FFFFFF"/>
          <w:spacing w:val="-20000"/>
          <w:sz w:val="2"/>
          <w:szCs w:val="28"/>
        </w:rPr>
        <w:instrText xml:space="preserve"> году </w:instrText>
      </w:r>
      <w:r>
        <w:rPr>
          <w:noProof/>
          <w:color w:val="000000"/>
        </w:rPr>
        <w:instrText>планируют</w:instrText>
      </w:r>
      <w:r>
        <w:rPr>
          <w:noProof/>
          <w:color w:val="FFFFFF"/>
          <w:spacing w:val="-20000"/>
          <w:sz w:val="2"/>
          <w:szCs w:val="28"/>
        </w:rPr>
        <w:instrText> ильинскии</w:instrText>
      </w:r>
      <w:r>
        <w:fldChar w:fldCharType="end"/>
      </w:r>
      <w:r>
        <w:rPr>
          <w:color w:val="000000"/>
        </w:rPr>
        <w:t xml:space="preserve"> поступать в </w:t>
      </w:r>
      <w:r>
        <w:fldChar w:fldCharType="begin"/>
      </w:r>
      <w:r>
        <w:instrText xml:space="preserve">eq </w:instrText>
      </w:r>
      <w:r>
        <w:rPr>
          <w:noProof/>
          <w:color w:val="000000"/>
        </w:rPr>
        <w:instrText>высшие</w:instrText>
      </w:r>
      <w:r>
        <w:rPr>
          <w:noProof/>
          <w:color w:val="FFFFFF"/>
          <w:spacing w:val="-20000"/>
          <w:sz w:val="2"/>
          <w:szCs w:val="28"/>
        </w:rPr>
        <w:instrText> выбирая</w:instrText>
      </w:r>
      <w:r>
        <w:fldChar w:fldCharType="end"/>
      </w:r>
      <w:r>
        <w:rPr>
          <w:color w:val="000000"/>
        </w:rPr>
        <w:t xml:space="preserve"> учебные заведение, </w:t>
      </w:r>
      <w:r>
        <w:fldChar w:fldCharType="begin"/>
      </w:r>
      <w:r>
        <w:instrText xml:space="preserve">eq </w:instrText>
      </w:r>
      <w:r>
        <w:rPr>
          <w:noProof/>
          <w:color w:val="FFFFFF"/>
          <w:spacing w:val="-20000"/>
          <w:sz w:val="2"/>
          <w:szCs w:val="28"/>
        </w:rPr>
        <w:instrText xml:space="preserve"> белыи </w:instrText>
      </w:r>
      <w:r>
        <w:rPr>
          <w:noProof/>
          <w:color w:val="000000"/>
        </w:rPr>
        <w:instrText>находящиеся</w:instrText>
      </w:r>
      <w:r>
        <w:rPr>
          <w:noProof/>
          <w:color w:val="FFFFFF"/>
          <w:spacing w:val="-20000"/>
          <w:sz w:val="2"/>
          <w:szCs w:val="28"/>
        </w:rPr>
        <w:instrText> году</w:instrText>
      </w:r>
      <w:r>
        <w:fldChar w:fldCharType="end"/>
      </w:r>
      <w:r>
        <w:rPr>
          <w:color w:val="000000"/>
        </w:rPr>
        <w:t xml:space="preserve"> за пределами Приморского </w:t>
      </w:r>
      <w:r>
        <w:fldChar w:fldCharType="begin"/>
      </w:r>
      <w:r>
        <w:instrText xml:space="preserve">eq </w:instrText>
      </w:r>
      <w:r>
        <w:rPr>
          <w:noProof/>
          <w:color w:val="FFFFFF"/>
          <w:spacing w:val="-20000"/>
          <w:sz w:val="2"/>
          <w:szCs w:val="28"/>
        </w:rPr>
        <w:instrText xml:space="preserve"> потребитель </w:instrText>
      </w:r>
      <w:r>
        <w:rPr>
          <w:noProof/>
          <w:color w:val="000000"/>
        </w:rPr>
        <w:instrText>края</w:instrText>
      </w:r>
      <w:r>
        <w:fldChar w:fldCharType="end"/>
      </w:r>
      <w:r>
        <w:rPr>
          <w:color w:val="000000"/>
        </w:rPr>
        <w:t xml:space="preserve">, стоит обратить </w:t>
      </w:r>
      <w:r>
        <w:fldChar w:fldCharType="begin"/>
      </w:r>
      <w:r>
        <w:instrText xml:space="preserve">eq </w:instrText>
      </w:r>
      <w:r>
        <w:rPr>
          <w:noProof/>
          <w:color w:val="FFFFFF"/>
          <w:spacing w:val="-20000"/>
          <w:sz w:val="2"/>
          <w:szCs w:val="28"/>
        </w:rPr>
        <w:instrText xml:space="preserve"> информация </w:instrText>
      </w:r>
      <w:r>
        <w:rPr>
          <w:noProof/>
          <w:color w:val="000000"/>
        </w:rPr>
        <w:instrText>более</w:instrText>
      </w:r>
      <w:r>
        <w:rPr>
          <w:noProof/>
          <w:color w:val="FFFFFF"/>
          <w:spacing w:val="-20000"/>
          <w:sz w:val="2"/>
          <w:szCs w:val="28"/>
        </w:rPr>
        <w:instrText> этом</w:instrText>
      </w:r>
      <w:r>
        <w:fldChar w:fldCharType="end"/>
      </w:r>
      <w:r>
        <w:rPr>
          <w:color w:val="000000"/>
        </w:rPr>
        <w:t xml:space="preserve"> пристальное </w:t>
      </w:r>
      <w:r>
        <w:fldChar w:fldCharType="begin"/>
      </w:r>
      <w:r>
        <w:instrText xml:space="preserve">eq </w:instrText>
      </w:r>
      <w:r>
        <w:rPr>
          <w:noProof/>
          <w:color w:val="000000"/>
        </w:rPr>
        <w:instrText>внимание</w:instrText>
      </w:r>
      <w:r>
        <w:rPr>
          <w:noProof/>
          <w:color w:val="FFFFFF"/>
          <w:spacing w:val="-20000"/>
          <w:sz w:val="2"/>
          <w:szCs w:val="28"/>
        </w:rPr>
        <w:instrText> актуальные</w:instrText>
      </w:r>
      <w:r>
        <w:fldChar w:fldCharType="end"/>
      </w:r>
      <w:r>
        <w:rPr>
          <w:color w:val="000000"/>
        </w:rPr>
        <w:t xml:space="preserve"> на причины, повлекшие </w:t>
      </w:r>
      <w:r>
        <w:fldChar w:fldCharType="begin"/>
      </w:r>
      <w:r>
        <w:instrText xml:space="preserve">eq </w:instrText>
      </w:r>
      <w:r>
        <w:rPr>
          <w:noProof/>
          <w:color w:val="FFFFFF"/>
          <w:spacing w:val="-20000"/>
          <w:sz w:val="2"/>
          <w:szCs w:val="28"/>
        </w:rPr>
        <w:instrText xml:space="preserve"> nauka </w:instrText>
      </w:r>
      <w:r>
        <w:rPr>
          <w:noProof/>
          <w:color w:val="000000"/>
        </w:rPr>
        <w:instrText>такой</w:instrText>
      </w:r>
      <w:r>
        <w:rPr>
          <w:noProof/>
          <w:color w:val="FFFFFF"/>
          <w:spacing w:val="-20000"/>
          <w:sz w:val="2"/>
          <w:szCs w:val="28"/>
        </w:rPr>
        <w:instrText> показан</w:instrText>
      </w:r>
      <w:r>
        <w:fldChar w:fldCharType="end"/>
      </w:r>
      <w:r>
        <w:rPr>
          <w:color w:val="000000"/>
        </w:rPr>
        <w:t xml:space="preserve"> результат (рисунок 3).</w:t>
      </w:r>
    </w:p>
    <w:p w:rsidR="005E1201" w:rsidRDefault="005E1201" w:rsidP="005E1201">
      <w:pPr>
        <w:tabs>
          <w:tab w:val="left" w:pos="851"/>
        </w:tabs>
        <w:jc w:val="center"/>
        <w:rPr>
          <w:color w:val="000000"/>
        </w:rPr>
      </w:pPr>
      <w:r>
        <w:rPr>
          <w:noProof/>
          <w:color w:val="000000"/>
          <w:lang w:eastAsia="ru-RU"/>
        </w:rPr>
        <w:drawing>
          <wp:inline distT="0" distB="0" distL="0" distR="0">
            <wp:extent cx="4895850" cy="1400175"/>
            <wp:effectExtent l="19050" t="19050" r="19050" b="28575"/>
            <wp:docPr id="161" name="Рисунок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356">
                      <a:grayscl/>
                      <a:extLst>
                        <a:ext uri="{28A0092B-C50C-407E-A947-70E740481C1C}">
                          <a14:useLocalDpi xmlns:a14="http://schemas.microsoft.com/office/drawing/2010/main" val="0"/>
                        </a:ext>
                      </a:extLst>
                    </a:blip>
                    <a:srcRect l="16536" t="39175" r="10703" b="31007"/>
                    <a:stretch>
                      <a:fillRect/>
                    </a:stretch>
                  </pic:blipFill>
                  <pic:spPr bwMode="auto">
                    <a:xfrm>
                      <a:off x="0" y="0"/>
                      <a:ext cx="4895850" cy="1400175"/>
                    </a:xfrm>
                    <a:prstGeom prst="rect">
                      <a:avLst/>
                    </a:prstGeom>
                    <a:noFill/>
                    <a:ln w="3175" cmpd="sng">
                      <a:solidFill>
                        <a:srgbClr val="404040"/>
                      </a:solidFill>
                      <a:miter lim="800000"/>
                      <a:headEnd/>
                      <a:tailEnd/>
                    </a:ln>
                    <a:effectLst/>
                  </pic:spPr>
                </pic:pic>
              </a:graphicData>
            </a:graphic>
          </wp:inline>
        </w:drawing>
      </w:r>
    </w:p>
    <w:p w:rsidR="005E1201" w:rsidRDefault="005E1201" w:rsidP="005E1201">
      <w:pPr>
        <w:tabs>
          <w:tab w:val="left" w:pos="993"/>
        </w:tabs>
        <w:jc w:val="center"/>
        <w:rPr>
          <w:color w:val="000000"/>
        </w:rPr>
      </w:pPr>
      <w:r>
        <w:rPr>
          <w:color w:val="000000"/>
        </w:rPr>
        <w:t xml:space="preserve">Рис. </w:t>
      </w:r>
      <w:r w:rsidRPr="0010577C">
        <w:rPr>
          <w:color w:val="000000"/>
        </w:rPr>
        <w:t>3</w:t>
      </w:r>
      <w:r>
        <w:rPr>
          <w:color w:val="000000"/>
        </w:rPr>
        <w:t xml:space="preserve">. </w:t>
      </w:r>
      <w:r>
        <w:fldChar w:fldCharType="begin"/>
      </w:r>
      <w:r>
        <w:instrText xml:space="preserve">eq </w:instrText>
      </w:r>
      <w:r>
        <w:rPr>
          <w:noProof/>
          <w:color w:val="FFFFFF"/>
          <w:spacing w:val="-20000"/>
          <w:sz w:val="2"/>
          <w:szCs w:val="28"/>
        </w:rPr>
        <w:instrText xml:space="preserve"> связанных </w:instrText>
      </w:r>
      <w:r>
        <w:rPr>
          <w:noProof/>
          <w:color w:val="000000"/>
        </w:rPr>
        <w:instrText>Причины</w:instrText>
      </w:r>
      <w:r>
        <w:fldChar w:fldCharType="end"/>
      </w:r>
      <w:r>
        <w:rPr>
          <w:color w:val="000000"/>
        </w:rPr>
        <w:t xml:space="preserve"> миграции старшеклассников СОШ </w:t>
      </w:r>
      <w:r>
        <w:fldChar w:fldCharType="begin"/>
      </w:r>
      <w:r>
        <w:instrText xml:space="preserve">eq </w:instrText>
      </w:r>
      <w:r>
        <w:rPr>
          <w:noProof/>
          <w:color w:val="FFFFFF"/>
          <w:spacing w:val="-20000"/>
          <w:sz w:val="2"/>
          <w:szCs w:val="28"/>
        </w:rPr>
        <w:instrText xml:space="preserve"> также </w:instrText>
      </w:r>
      <w:r>
        <w:rPr>
          <w:noProof/>
          <w:color w:val="000000"/>
        </w:rPr>
        <w:instrText>Приморского</w:instrText>
      </w:r>
      <w:r>
        <w:rPr>
          <w:noProof/>
          <w:color w:val="FFFFFF"/>
          <w:spacing w:val="-20000"/>
          <w:sz w:val="2"/>
          <w:szCs w:val="28"/>
        </w:rPr>
        <w:instrText> постоянную</w:instrText>
      </w:r>
      <w:r>
        <w:fldChar w:fldCharType="end"/>
      </w:r>
      <w:r>
        <w:rPr>
          <w:color w:val="000000"/>
        </w:rPr>
        <w:t xml:space="preserve"> края на </w:t>
      </w:r>
      <w:r>
        <w:fldChar w:fldCharType="begin"/>
      </w:r>
      <w:r>
        <w:instrText xml:space="preserve">eq </w:instrText>
      </w:r>
      <w:r>
        <w:rPr>
          <w:noProof/>
          <w:color w:val="000000"/>
        </w:rPr>
        <w:instrText>2018</w:instrText>
      </w:r>
      <w:r>
        <w:rPr>
          <w:noProof/>
          <w:color w:val="FFFFFF"/>
          <w:spacing w:val="-20000"/>
          <w:sz w:val="2"/>
          <w:szCs w:val="28"/>
        </w:rPr>
        <w:instrText> результаты</w:instrText>
      </w:r>
      <w:r>
        <w:fldChar w:fldCharType="end"/>
      </w:r>
      <w:r>
        <w:rPr>
          <w:color w:val="000000"/>
        </w:rPr>
        <w:t xml:space="preserve"> год, %</w:t>
      </w:r>
    </w:p>
    <w:p w:rsidR="005E1201" w:rsidRPr="00843DB9" w:rsidRDefault="005E1201" w:rsidP="005E1201">
      <w:pPr>
        <w:tabs>
          <w:tab w:val="left" w:pos="851"/>
        </w:tabs>
        <w:ind w:firstLine="709"/>
        <w:jc w:val="both"/>
        <w:rPr>
          <w:color w:val="000000"/>
        </w:rPr>
      </w:pPr>
      <w:r>
        <w:rPr>
          <w:color w:val="000000"/>
        </w:rPr>
        <w:t xml:space="preserve">По данным диаграммы </w:t>
      </w:r>
      <w:r>
        <w:fldChar w:fldCharType="begin"/>
      </w:r>
      <w:r>
        <w:instrText xml:space="preserve">eq </w:instrText>
      </w:r>
      <w:r>
        <w:rPr>
          <w:noProof/>
          <w:color w:val="FFFFFF"/>
          <w:spacing w:val="-20000"/>
          <w:sz w:val="2"/>
          <w:szCs w:val="28"/>
        </w:rPr>
        <w:instrText xml:space="preserve"> рынке </w:instrText>
      </w:r>
      <w:r>
        <w:rPr>
          <w:noProof/>
          <w:color w:val="000000"/>
        </w:rPr>
        <w:instrText>видно</w:instrText>
      </w:r>
      <w:r>
        <w:rPr>
          <w:noProof/>
          <w:color w:val="FFFFFF"/>
          <w:spacing w:val="-20000"/>
          <w:sz w:val="2"/>
          <w:szCs w:val="28"/>
        </w:rPr>
        <w:instrText> свое</w:instrText>
      </w:r>
      <w:r>
        <w:fldChar w:fldCharType="end"/>
      </w:r>
      <w:r>
        <w:rPr>
          <w:color w:val="000000"/>
        </w:rPr>
        <w:t xml:space="preserve">, что основными причинами </w:t>
      </w:r>
      <w:r>
        <w:fldChar w:fldCharType="begin"/>
      </w:r>
      <w:r>
        <w:instrText xml:space="preserve">eq </w:instrText>
      </w:r>
      <w:r>
        <w:rPr>
          <w:noProof/>
          <w:color w:val="FFFFFF"/>
          <w:spacing w:val="-20000"/>
          <w:sz w:val="2"/>
          <w:szCs w:val="28"/>
        </w:rPr>
        <w:instrText xml:space="preserve"> режим </w:instrText>
      </w:r>
      <w:r>
        <w:rPr>
          <w:noProof/>
          <w:color w:val="000000"/>
        </w:rPr>
        <w:instrText>являются</w:instrText>
      </w:r>
      <w:r>
        <w:fldChar w:fldCharType="end"/>
      </w:r>
      <w:r>
        <w:rPr>
          <w:color w:val="000000"/>
        </w:rPr>
        <w:t xml:space="preserve"> престиж и качество </w:t>
      </w:r>
      <w:r>
        <w:fldChar w:fldCharType="begin"/>
      </w:r>
      <w:r>
        <w:instrText xml:space="preserve">eq </w:instrText>
      </w:r>
      <w:r>
        <w:rPr>
          <w:noProof/>
          <w:color w:val="FFFFFF"/>
          <w:spacing w:val="-20000"/>
          <w:sz w:val="2"/>
          <w:szCs w:val="28"/>
        </w:rPr>
        <w:instrText xml:space="preserve"> снижение </w:instrText>
      </w:r>
      <w:r>
        <w:rPr>
          <w:noProof/>
          <w:color w:val="000000"/>
        </w:rPr>
        <w:instrText>образования</w:instrText>
      </w:r>
      <w:r>
        <w:rPr>
          <w:noProof/>
          <w:color w:val="FFFFFF"/>
          <w:spacing w:val="-20000"/>
          <w:sz w:val="2"/>
          <w:szCs w:val="28"/>
        </w:rPr>
        <w:instrText> предоставляют</w:instrText>
      </w:r>
      <w:r>
        <w:fldChar w:fldCharType="end"/>
      </w:r>
      <w:r>
        <w:rPr>
          <w:color w:val="000000"/>
        </w:rPr>
        <w:t xml:space="preserve">, а также </w:t>
      </w:r>
      <w:r>
        <w:fldChar w:fldCharType="begin"/>
      </w:r>
      <w:r>
        <w:instrText xml:space="preserve">eq </w:instrText>
      </w:r>
      <w:r>
        <w:rPr>
          <w:noProof/>
          <w:color w:val="000000"/>
        </w:rPr>
        <w:instrText>желание</w:instrText>
      </w:r>
      <w:r>
        <w:rPr>
          <w:noProof/>
          <w:color w:val="FFFFFF"/>
          <w:spacing w:val="-20000"/>
          <w:sz w:val="2"/>
          <w:szCs w:val="28"/>
        </w:rPr>
        <w:instrText> докладе</w:instrText>
      </w:r>
      <w:r>
        <w:fldChar w:fldCharType="end"/>
      </w:r>
      <w:r>
        <w:rPr>
          <w:color w:val="000000"/>
        </w:rPr>
        <w:t xml:space="preserve"> посмотреть мир. Также </w:t>
      </w:r>
      <w:r>
        <w:fldChar w:fldCharType="begin"/>
      </w:r>
      <w:r>
        <w:instrText xml:space="preserve">eq </w:instrText>
      </w:r>
      <w:r>
        <w:rPr>
          <w:noProof/>
          <w:color w:val="FFFFFF"/>
          <w:spacing w:val="-20000"/>
          <w:sz w:val="2"/>
          <w:szCs w:val="28"/>
        </w:rPr>
        <w:instrText xml:space="preserve"> опрошенных </w:instrText>
      </w:r>
      <w:r>
        <w:rPr>
          <w:noProof/>
          <w:color w:val="000000"/>
        </w:rPr>
        <w:instrText>стоит</w:instrText>
      </w:r>
      <w:r>
        <w:rPr>
          <w:noProof/>
          <w:color w:val="FFFFFF"/>
          <w:spacing w:val="-20000"/>
          <w:sz w:val="2"/>
          <w:szCs w:val="28"/>
        </w:rPr>
        <w:instrText> продолжится</w:instrText>
      </w:r>
      <w:r>
        <w:fldChar w:fldCharType="end"/>
      </w:r>
      <w:r>
        <w:rPr>
          <w:color w:val="000000"/>
        </w:rPr>
        <w:t xml:space="preserve"> отметить, что около 20% </w:t>
      </w:r>
      <w:r>
        <w:fldChar w:fldCharType="begin"/>
      </w:r>
      <w:r>
        <w:instrText xml:space="preserve">eq </w:instrText>
      </w:r>
      <w:r>
        <w:rPr>
          <w:noProof/>
          <w:color w:val="FFFFFF"/>
          <w:spacing w:val="-20000"/>
          <w:sz w:val="2"/>
          <w:szCs w:val="28"/>
        </w:rPr>
        <w:instrText xml:space="preserve"> шинкарева </w:instrText>
      </w:r>
      <w:r>
        <w:rPr>
          <w:noProof/>
          <w:color w:val="000000"/>
        </w:rPr>
        <w:instrText>опрошенных</w:instrText>
      </w:r>
      <w:r>
        <w:fldChar w:fldCharType="end"/>
      </w:r>
      <w:r>
        <w:rPr>
          <w:color w:val="000000"/>
        </w:rPr>
        <w:t xml:space="preserve">  не видят перспектив </w:t>
      </w:r>
      <w:r>
        <w:fldChar w:fldCharType="begin"/>
      </w:r>
      <w:r>
        <w:instrText xml:space="preserve">eq </w:instrText>
      </w:r>
      <w:r>
        <w:rPr>
          <w:noProof/>
          <w:color w:val="FFFFFF"/>
          <w:spacing w:val="-20000"/>
          <w:sz w:val="2"/>
          <w:szCs w:val="28"/>
        </w:rPr>
        <w:instrText xml:space="preserve"> перспективы </w:instrText>
      </w:r>
      <w:r>
        <w:rPr>
          <w:noProof/>
          <w:color w:val="000000"/>
        </w:rPr>
        <w:instrText>развития</w:instrText>
      </w:r>
      <w:r>
        <w:rPr>
          <w:noProof/>
          <w:color w:val="FFFFFF"/>
          <w:spacing w:val="-20000"/>
          <w:sz w:val="2"/>
          <w:szCs w:val="28"/>
        </w:rPr>
        <w:instrText> свое</w:instrText>
      </w:r>
      <w:r>
        <w:fldChar w:fldCharType="end"/>
      </w:r>
      <w:r>
        <w:rPr>
          <w:color w:val="000000"/>
        </w:rPr>
        <w:t xml:space="preserve"> края/страны.</w:t>
      </w:r>
    </w:p>
    <w:p w:rsidR="005E1201" w:rsidRPr="00843DB9" w:rsidRDefault="005E1201" w:rsidP="005E1201">
      <w:pPr>
        <w:tabs>
          <w:tab w:val="left" w:pos="851"/>
        </w:tabs>
        <w:ind w:firstLine="709"/>
        <w:jc w:val="both"/>
        <w:rPr>
          <w:color w:val="000000"/>
        </w:rPr>
      </w:pPr>
      <w:r>
        <w:fldChar w:fldCharType="begin"/>
      </w:r>
      <w:r>
        <w:instrText xml:space="preserve">eq </w:instrText>
      </w:r>
      <w:r>
        <w:rPr>
          <w:noProof/>
          <w:color w:val="000000"/>
        </w:rPr>
        <w:instrText>Необходимо</w:instrText>
      </w:r>
      <w:r>
        <w:rPr>
          <w:noProof/>
          <w:color w:val="FFFFFF"/>
          <w:spacing w:val="-20000"/>
          <w:sz w:val="2"/>
          <w:szCs w:val="28"/>
        </w:rPr>
        <w:instrText> если</w:instrText>
      </w:r>
      <w:r>
        <w:fldChar w:fldCharType="end"/>
      </w:r>
      <w:r>
        <w:rPr>
          <w:color w:val="000000"/>
        </w:rPr>
        <w:t xml:space="preserve"> обратить внимание на то, что </w:t>
      </w:r>
      <w:r>
        <w:fldChar w:fldCharType="begin"/>
      </w:r>
      <w:r>
        <w:instrText xml:space="preserve">eq </w:instrText>
      </w:r>
      <w:r>
        <w:rPr>
          <w:noProof/>
          <w:color w:val="FFFFFF"/>
          <w:spacing w:val="-20000"/>
          <w:sz w:val="2"/>
          <w:szCs w:val="28"/>
        </w:rPr>
        <w:instrText xml:space="preserve"> году </w:instrText>
      </w:r>
      <w:r>
        <w:rPr>
          <w:noProof/>
          <w:color w:val="000000"/>
        </w:rPr>
        <w:instrText>вопрос</w:instrText>
      </w:r>
      <w:r>
        <w:rPr>
          <w:noProof/>
          <w:color w:val="FFFFFF"/>
          <w:spacing w:val="-20000"/>
          <w:sz w:val="2"/>
          <w:szCs w:val="28"/>
        </w:rPr>
        <w:instrText> образовании</w:instrText>
      </w:r>
      <w:r>
        <w:fldChar w:fldCharType="end"/>
      </w:r>
      <w:r>
        <w:rPr>
          <w:color w:val="000000"/>
        </w:rPr>
        <w:t xml:space="preserve"> о причинах миграции </w:t>
      </w:r>
      <w:r>
        <w:fldChar w:fldCharType="begin"/>
      </w:r>
      <w:r>
        <w:instrText xml:space="preserve">eq </w:instrText>
      </w:r>
      <w:r>
        <w:rPr>
          <w:noProof/>
          <w:color w:val="FFFFFF"/>
          <w:spacing w:val="-20000"/>
          <w:sz w:val="2"/>
          <w:szCs w:val="28"/>
        </w:rPr>
        <w:instrText xml:space="preserve"> статистики </w:instrText>
      </w:r>
      <w:r>
        <w:rPr>
          <w:noProof/>
          <w:color w:val="000000"/>
        </w:rPr>
        <w:instrText>абитуриентов</w:instrText>
      </w:r>
      <w:r>
        <w:fldChar w:fldCharType="end"/>
      </w:r>
      <w:r>
        <w:rPr>
          <w:color w:val="000000"/>
        </w:rPr>
        <w:t xml:space="preserve"> на сегодняшний день </w:t>
      </w:r>
      <w:r>
        <w:fldChar w:fldCharType="begin"/>
      </w:r>
      <w:r>
        <w:instrText xml:space="preserve">eq </w:instrText>
      </w:r>
      <w:r>
        <w:rPr>
          <w:noProof/>
          <w:color w:val="FFFFFF"/>
          <w:spacing w:val="-20000"/>
          <w:sz w:val="2"/>
          <w:szCs w:val="28"/>
        </w:rPr>
        <w:instrText xml:space="preserve"> рынке </w:instrText>
      </w:r>
      <w:r>
        <w:rPr>
          <w:noProof/>
          <w:color w:val="000000"/>
        </w:rPr>
        <w:instrText>достаточно</w:instrText>
      </w:r>
      <w:r>
        <w:rPr>
          <w:noProof/>
          <w:color w:val="FFFFFF"/>
          <w:spacing w:val="-20000"/>
          <w:sz w:val="2"/>
          <w:szCs w:val="28"/>
        </w:rPr>
        <w:instrText> стоит</w:instrText>
      </w:r>
      <w:r>
        <w:fldChar w:fldCharType="end"/>
      </w:r>
      <w:r>
        <w:rPr>
          <w:color w:val="000000"/>
        </w:rPr>
        <w:t xml:space="preserve"> актуален, т.к. в </w:t>
      </w:r>
      <w:r>
        <w:fldChar w:fldCharType="begin"/>
      </w:r>
      <w:r>
        <w:instrText xml:space="preserve">eq </w:instrText>
      </w:r>
      <w:r>
        <w:rPr>
          <w:noProof/>
          <w:color w:val="000000"/>
        </w:rPr>
        <w:instrText>последние</w:instrText>
      </w:r>
      <w:r>
        <w:rPr>
          <w:noProof/>
          <w:color w:val="FFFFFF"/>
          <w:spacing w:val="-20000"/>
          <w:sz w:val="2"/>
          <w:szCs w:val="28"/>
        </w:rPr>
        <w:instrText> внимание</w:instrText>
      </w:r>
      <w:r>
        <w:fldChar w:fldCharType="end"/>
      </w:r>
      <w:r>
        <w:rPr>
          <w:color w:val="000000"/>
        </w:rPr>
        <w:t xml:space="preserve"> годы увеличивается </w:t>
      </w:r>
      <w:r>
        <w:fldChar w:fldCharType="begin"/>
      </w:r>
      <w:r>
        <w:instrText xml:space="preserve">eq </w:instrText>
      </w:r>
      <w:r>
        <w:rPr>
          <w:noProof/>
          <w:color w:val="FFFFFF"/>
          <w:spacing w:val="-20000"/>
          <w:sz w:val="2"/>
          <w:szCs w:val="28"/>
        </w:rPr>
        <w:instrText xml:space="preserve"> докладе </w:instrText>
      </w:r>
      <w:r>
        <w:rPr>
          <w:noProof/>
          <w:color w:val="000000"/>
        </w:rPr>
        <w:instrText>отток</w:instrText>
      </w:r>
      <w:r>
        <w:rPr>
          <w:noProof/>
          <w:color w:val="FFFFFF"/>
          <w:spacing w:val="-20000"/>
          <w:sz w:val="2"/>
          <w:szCs w:val="28"/>
        </w:rPr>
        <w:instrText> наименее</w:instrText>
      </w:r>
      <w:r>
        <w:fldChar w:fldCharType="end"/>
      </w:r>
      <w:r>
        <w:rPr>
          <w:color w:val="000000"/>
        </w:rPr>
        <w:t xml:space="preserve"> абитуриентов из Приморского </w:t>
      </w:r>
      <w:r>
        <w:fldChar w:fldCharType="begin"/>
      </w:r>
      <w:r>
        <w:instrText xml:space="preserve">eq </w:instrText>
      </w:r>
      <w:r>
        <w:rPr>
          <w:noProof/>
          <w:color w:val="FFFFFF"/>
          <w:spacing w:val="-20000"/>
          <w:sz w:val="2"/>
          <w:szCs w:val="28"/>
        </w:rPr>
        <w:instrText xml:space="preserve"> ямои </w:instrText>
      </w:r>
      <w:r>
        <w:rPr>
          <w:noProof/>
          <w:color w:val="000000"/>
        </w:rPr>
        <w:instrText>края</w:instrText>
      </w:r>
      <w:r>
        <w:fldChar w:fldCharType="end"/>
      </w:r>
      <w:r>
        <w:rPr>
          <w:color w:val="000000"/>
        </w:rPr>
        <w:t xml:space="preserve">, в частности, и из страны в </w:t>
      </w:r>
      <w:r>
        <w:fldChar w:fldCharType="begin"/>
      </w:r>
      <w:r>
        <w:instrText xml:space="preserve">eq </w:instrText>
      </w:r>
      <w:r>
        <w:rPr>
          <w:noProof/>
          <w:color w:val="FFFFFF"/>
          <w:spacing w:val="-20000"/>
          <w:sz w:val="2"/>
          <w:szCs w:val="28"/>
        </w:rPr>
        <w:instrText xml:space="preserve"> данный </w:instrText>
      </w:r>
      <w:r>
        <w:rPr>
          <w:noProof/>
          <w:color w:val="000000"/>
        </w:rPr>
        <w:instrText>целом</w:instrText>
      </w:r>
      <w:r>
        <w:rPr>
          <w:noProof/>
          <w:color w:val="FFFFFF"/>
          <w:spacing w:val="-20000"/>
          <w:sz w:val="2"/>
          <w:szCs w:val="28"/>
        </w:rPr>
        <w:instrText> итогах</w:instrText>
      </w:r>
      <w:r>
        <w:fldChar w:fldCharType="end"/>
      </w:r>
      <w:r>
        <w:rPr>
          <w:color w:val="000000"/>
        </w:rPr>
        <w:t>.</w:t>
      </w:r>
    </w:p>
    <w:p w:rsidR="005E1201" w:rsidRPr="00843DB9" w:rsidRDefault="005E1201" w:rsidP="005E1201">
      <w:pPr>
        <w:tabs>
          <w:tab w:val="left" w:pos="709"/>
        </w:tabs>
        <w:ind w:firstLine="709"/>
        <w:jc w:val="both"/>
        <w:rPr>
          <w:color w:val="000000"/>
        </w:rPr>
      </w:pPr>
      <w:r>
        <w:rPr>
          <w:color w:val="000000"/>
        </w:rPr>
        <w:t xml:space="preserve">Выбирая </w:t>
      </w:r>
      <w:r>
        <w:fldChar w:fldCharType="begin"/>
      </w:r>
      <w:r>
        <w:instrText xml:space="preserve">eq </w:instrText>
      </w:r>
      <w:r>
        <w:rPr>
          <w:noProof/>
          <w:color w:val="000000"/>
        </w:rPr>
        <w:instrText>профессию</w:instrText>
      </w:r>
      <w:r>
        <w:rPr>
          <w:noProof/>
          <w:color w:val="FFFFFF"/>
          <w:spacing w:val="-20000"/>
          <w:sz w:val="2"/>
          <w:szCs w:val="28"/>
        </w:rPr>
        <w:instrText> формирования</w:instrText>
      </w:r>
      <w:r>
        <w:fldChar w:fldCharType="end"/>
      </w:r>
      <w:r>
        <w:rPr>
          <w:color w:val="000000"/>
        </w:rPr>
        <w:t xml:space="preserve">, выпускники школ </w:t>
      </w:r>
      <w:r>
        <w:fldChar w:fldCharType="begin"/>
      </w:r>
      <w:r>
        <w:instrText xml:space="preserve">eq </w:instrText>
      </w:r>
      <w:r>
        <w:rPr>
          <w:noProof/>
          <w:color w:val="FFFFFF"/>
          <w:spacing w:val="-20000"/>
          <w:sz w:val="2"/>
          <w:szCs w:val="28"/>
        </w:rPr>
        <w:instrText xml:space="preserve"> первую </w:instrText>
      </w:r>
      <w:r>
        <w:rPr>
          <w:noProof/>
          <w:color w:val="000000"/>
        </w:rPr>
        <w:instrText>часто</w:instrText>
      </w:r>
      <w:r>
        <w:rPr>
          <w:noProof/>
          <w:color w:val="FFFFFF"/>
          <w:spacing w:val="-20000"/>
          <w:sz w:val="2"/>
          <w:szCs w:val="28"/>
        </w:rPr>
        <w:instrText> необходимое</w:instrText>
      </w:r>
      <w:r>
        <w:fldChar w:fldCharType="end"/>
      </w:r>
      <w:r>
        <w:rPr>
          <w:color w:val="000000"/>
        </w:rPr>
        <w:t xml:space="preserve"> руководствуются групповым </w:t>
      </w:r>
      <w:r>
        <w:fldChar w:fldCharType="begin"/>
      </w:r>
      <w:r>
        <w:instrText xml:space="preserve">eq </w:instrText>
      </w:r>
      <w:r>
        <w:rPr>
          <w:noProof/>
          <w:color w:val="FFFFFF"/>
          <w:spacing w:val="-20000"/>
          <w:sz w:val="2"/>
          <w:szCs w:val="28"/>
        </w:rPr>
        <w:instrText xml:space="preserve"> этом </w:instrText>
      </w:r>
      <w:r>
        <w:rPr>
          <w:noProof/>
          <w:color w:val="000000"/>
        </w:rPr>
        <w:instrText>мнением</w:instrText>
      </w:r>
      <w:r>
        <w:fldChar w:fldCharType="end"/>
      </w:r>
      <w:r>
        <w:rPr>
          <w:color w:val="000000"/>
        </w:rPr>
        <w:t xml:space="preserve"> о перспективности направления </w:t>
      </w:r>
      <w:r>
        <w:fldChar w:fldCharType="begin"/>
      </w:r>
      <w:r>
        <w:instrText xml:space="preserve">eq </w:instrText>
      </w:r>
      <w:r>
        <w:rPr>
          <w:noProof/>
          <w:color w:val="FFFFFF"/>
          <w:spacing w:val="-20000"/>
          <w:sz w:val="2"/>
          <w:szCs w:val="28"/>
        </w:rPr>
        <w:instrText xml:space="preserve"> пределами </w:instrText>
      </w:r>
      <w:r>
        <w:rPr>
          <w:noProof/>
          <w:color w:val="000000"/>
        </w:rPr>
        <w:instrText>обучения</w:instrText>
      </w:r>
      <w:r>
        <w:rPr>
          <w:noProof/>
          <w:color w:val="FFFFFF"/>
          <w:spacing w:val="-20000"/>
          <w:sz w:val="2"/>
          <w:szCs w:val="28"/>
        </w:rPr>
        <w:instrText> конф</w:instrText>
      </w:r>
      <w:r>
        <w:fldChar w:fldCharType="end"/>
      </w:r>
      <w:r>
        <w:rPr>
          <w:color w:val="000000"/>
        </w:rPr>
        <w:t xml:space="preserve"> среди </w:t>
      </w:r>
      <w:r>
        <w:fldChar w:fldCharType="begin"/>
      </w:r>
      <w:r>
        <w:instrText xml:space="preserve">eq </w:instrText>
      </w:r>
      <w:r>
        <w:rPr>
          <w:noProof/>
          <w:color w:val="000000"/>
        </w:rPr>
        <w:instrText>сверстников</w:instrText>
      </w:r>
      <w:r>
        <w:rPr>
          <w:noProof/>
          <w:color w:val="FFFFFF"/>
          <w:spacing w:val="-20000"/>
          <w:sz w:val="2"/>
          <w:szCs w:val="28"/>
        </w:rPr>
        <w:instrText> связано</w:instrText>
      </w:r>
      <w:r>
        <w:fldChar w:fldCharType="end"/>
      </w:r>
      <w:r>
        <w:rPr>
          <w:color w:val="000000"/>
        </w:rPr>
        <w:t xml:space="preserve">, мнением учителей и </w:t>
      </w:r>
      <w:r>
        <w:fldChar w:fldCharType="begin"/>
      </w:r>
      <w:r>
        <w:instrText xml:space="preserve">eq </w:instrText>
      </w:r>
      <w:r>
        <w:rPr>
          <w:noProof/>
          <w:color w:val="FFFFFF"/>
          <w:spacing w:val="-20000"/>
          <w:sz w:val="2"/>
          <w:szCs w:val="28"/>
        </w:rPr>
        <w:instrText xml:space="preserve"> сегодняшний </w:instrText>
      </w:r>
      <w:r>
        <w:rPr>
          <w:noProof/>
          <w:color w:val="000000"/>
        </w:rPr>
        <w:instrText>родственников</w:instrText>
      </w:r>
      <w:r>
        <w:rPr>
          <w:noProof/>
          <w:color w:val="FFFFFF"/>
          <w:spacing w:val="-20000"/>
          <w:sz w:val="2"/>
          <w:szCs w:val="28"/>
        </w:rPr>
        <w:instrText> зачастую</w:instrText>
      </w:r>
      <w:r>
        <w:fldChar w:fldCharType="end"/>
      </w:r>
      <w:r>
        <w:rPr>
          <w:color w:val="000000"/>
        </w:rPr>
        <w:t xml:space="preserve">. Также в последние </w:t>
      </w:r>
      <w:r>
        <w:fldChar w:fldCharType="begin"/>
      </w:r>
      <w:r>
        <w:instrText xml:space="preserve">eq </w:instrText>
      </w:r>
      <w:r>
        <w:rPr>
          <w:noProof/>
          <w:color w:val="FFFFFF"/>
          <w:spacing w:val="-20000"/>
          <w:sz w:val="2"/>
          <w:szCs w:val="28"/>
        </w:rPr>
        <w:instrText xml:space="preserve"> бюджетной </w:instrText>
      </w:r>
      <w:r>
        <w:rPr>
          <w:noProof/>
          <w:color w:val="000000"/>
        </w:rPr>
        <w:instrText>годы</w:instrText>
      </w:r>
      <w:r>
        <w:fldChar w:fldCharType="end"/>
      </w:r>
      <w:r>
        <w:rPr>
          <w:color w:val="000000"/>
        </w:rPr>
        <w:t xml:space="preserve"> старшеклассники отдают </w:t>
      </w:r>
      <w:r>
        <w:fldChar w:fldCharType="begin"/>
      </w:r>
      <w:r>
        <w:instrText xml:space="preserve">eq </w:instrText>
      </w:r>
      <w:r>
        <w:rPr>
          <w:noProof/>
          <w:color w:val="FFFFFF"/>
          <w:spacing w:val="-20000"/>
          <w:sz w:val="2"/>
          <w:szCs w:val="28"/>
        </w:rPr>
        <w:instrText xml:space="preserve"> режим </w:instrText>
      </w:r>
      <w:r>
        <w:rPr>
          <w:noProof/>
          <w:color w:val="000000"/>
        </w:rPr>
        <w:instrText>приоритет</w:instrText>
      </w:r>
      <w:r>
        <w:rPr>
          <w:noProof/>
          <w:color w:val="FFFFFF"/>
          <w:spacing w:val="-20000"/>
          <w:sz w:val="2"/>
          <w:szCs w:val="28"/>
        </w:rPr>
        <w:instrText> актуальность</w:instrText>
      </w:r>
      <w:r>
        <w:fldChar w:fldCharType="end"/>
      </w:r>
      <w:r>
        <w:rPr>
          <w:color w:val="000000"/>
        </w:rPr>
        <w:t xml:space="preserve"> в сторону </w:t>
      </w:r>
      <w:r>
        <w:fldChar w:fldCharType="begin"/>
      </w:r>
      <w:r>
        <w:instrText xml:space="preserve">eq </w:instrText>
      </w:r>
      <w:r>
        <w:rPr>
          <w:noProof/>
          <w:color w:val="000000"/>
        </w:rPr>
        <w:instrText>интернета</w:instrText>
      </w:r>
      <w:r>
        <w:rPr>
          <w:noProof/>
          <w:color w:val="FFFFFF"/>
          <w:spacing w:val="-20000"/>
          <w:sz w:val="2"/>
          <w:szCs w:val="28"/>
        </w:rPr>
        <w:instrText> учились</w:instrText>
      </w:r>
      <w:r>
        <w:fldChar w:fldCharType="end"/>
      </w:r>
      <w:r>
        <w:rPr>
          <w:color w:val="000000"/>
        </w:rPr>
        <w:t xml:space="preserve">, с помощью которого </w:t>
      </w:r>
      <w:r>
        <w:fldChar w:fldCharType="begin"/>
      </w:r>
      <w:r>
        <w:instrText xml:space="preserve">eq </w:instrText>
      </w:r>
      <w:r>
        <w:rPr>
          <w:noProof/>
          <w:color w:val="FFFFFF"/>
          <w:spacing w:val="-20000"/>
          <w:sz w:val="2"/>
          <w:szCs w:val="28"/>
        </w:rPr>
        <w:instrText xml:space="preserve"> образовании </w:instrText>
      </w:r>
      <w:r>
        <w:rPr>
          <w:noProof/>
          <w:color w:val="000000"/>
        </w:rPr>
        <w:instrText>есть</w:instrText>
      </w:r>
      <w:r>
        <w:rPr>
          <w:noProof/>
          <w:color w:val="FFFFFF"/>
          <w:spacing w:val="-20000"/>
          <w:sz w:val="2"/>
          <w:szCs w:val="28"/>
        </w:rPr>
        <w:instrText> докладе</w:instrText>
      </w:r>
      <w:r>
        <w:fldChar w:fldCharType="end"/>
      </w:r>
      <w:r>
        <w:rPr>
          <w:color w:val="000000"/>
        </w:rPr>
        <w:t xml:space="preserve"> возможность узнать об </w:t>
      </w:r>
      <w:r>
        <w:fldChar w:fldCharType="begin"/>
      </w:r>
      <w:r>
        <w:instrText xml:space="preserve">eq </w:instrText>
      </w:r>
      <w:r>
        <w:rPr>
          <w:noProof/>
          <w:color w:val="FFFFFF"/>
          <w:spacing w:val="-20000"/>
          <w:sz w:val="2"/>
          <w:szCs w:val="28"/>
        </w:rPr>
        <w:instrText xml:space="preserve"> молодежи </w:instrText>
      </w:r>
      <w:r>
        <w:rPr>
          <w:noProof/>
          <w:color w:val="000000"/>
        </w:rPr>
        <w:instrText>актуальность</w:instrText>
      </w:r>
      <w:r>
        <w:fldChar w:fldCharType="end"/>
      </w:r>
      <w:r>
        <w:rPr>
          <w:color w:val="000000"/>
        </w:rPr>
        <w:t xml:space="preserve"> той или иной профессии и ее </w:t>
      </w:r>
      <w:r>
        <w:fldChar w:fldCharType="begin"/>
      </w:r>
      <w:r>
        <w:instrText xml:space="preserve">eq </w:instrText>
      </w:r>
      <w:r>
        <w:rPr>
          <w:noProof/>
          <w:color w:val="FFFFFF"/>
          <w:spacing w:val="-20000"/>
          <w:sz w:val="2"/>
          <w:szCs w:val="28"/>
        </w:rPr>
        <w:instrText xml:space="preserve"> достигнет </w:instrText>
      </w:r>
      <w:r>
        <w:rPr>
          <w:noProof/>
          <w:color w:val="000000"/>
        </w:rPr>
        <w:instrText>наличии</w:instrText>
      </w:r>
      <w:r>
        <w:rPr>
          <w:noProof/>
          <w:color w:val="FFFFFF"/>
          <w:spacing w:val="-20000"/>
          <w:sz w:val="2"/>
          <w:szCs w:val="28"/>
        </w:rPr>
        <w:instrText> около</w:instrText>
      </w:r>
      <w:r>
        <w:fldChar w:fldCharType="end"/>
      </w:r>
      <w:r>
        <w:rPr>
          <w:color w:val="000000"/>
        </w:rPr>
        <w:t xml:space="preserve"> в желаемом </w:t>
      </w:r>
      <w:r>
        <w:fldChar w:fldCharType="begin"/>
      </w:r>
      <w:r>
        <w:instrText xml:space="preserve">eq </w:instrText>
      </w:r>
      <w:r>
        <w:rPr>
          <w:noProof/>
          <w:color w:val="000000"/>
        </w:rPr>
        <w:instrText>вузе</w:instrText>
      </w:r>
      <w:r>
        <w:rPr>
          <w:noProof/>
          <w:color w:val="FFFFFF"/>
          <w:spacing w:val="-20000"/>
          <w:sz w:val="2"/>
          <w:szCs w:val="28"/>
        </w:rPr>
        <w:instrText> важно</w:instrText>
      </w:r>
      <w:r>
        <w:fldChar w:fldCharType="end"/>
      </w:r>
      <w:r>
        <w:rPr>
          <w:color w:val="000000"/>
        </w:rPr>
        <w:t xml:space="preserve">. Одним из важных для </w:t>
      </w:r>
      <w:r>
        <w:fldChar w:fldCharType="begin"/>
      </w:r>
      <w:r>
        <w:instrText xml:space="preserve">eq </w:instrText>
      </w:r>
      <w:r>
        <w:rPr>
          <w:noProof/>
          <w:color w:val="FFFFFF"/>
          <w:spacing w:val="-20000"/>
          <w:sz w:val="2"/>
          <w:szCs w:val="28"/>
        </w:rPr>
        <w:instrText xml:space="preserve"> ильинскии </w:instrText>
      </w:r>
      <w:r>
        <w:rPr>
          <w:noProof/>
          <w:color w:val="000000"/>
        </w:rPr>
        <w:instrText>выпускников</w:instrText>
      </w:r>
      <w:r>
        <w:rPr>
          <w:noProof/>
          <w:color w:val="FFFFFF"/>
          <w:spacing w:val="-20000"/>
          <w:sz w:val="2"/>
          <w:szCs w:val="28"/>
        </w:rPr>
        <w:instrText> предлагаемых</w:instrText>
      </w:r>
      <w:r>
        <w:fldChar w:fldCharType="end"/>
      </w:r>
      <w:r>
        <w:rPr>
          <w:color w:val="000000"/>
        </w:rPr>
        <w:t xml:space="preserve"> определяющих факторов </w:t>
      </w:r>
      <w:r>
        <w:fldChar w:fldCharType="begin"/>
      </w:r>
      <w:r>
        <w:instrText xml:space="preserve">eq </w:instrText>
      </w:r>
      <w:r>
        <w:rPr>
          <w:noProof/>
          <w:color w:val="FFFFFF"/>
          <w:spacing w:val="-20000"/>
          <w:sz w:val="2"/>
          <w:szCs w:val="28"/>
        </w:rPr>
        <w:instrText xml:space="preserve"> отрицательных </w:instrText>
      </w:r>
      <w:r>
        <w:rPr>
          <w:noProof/>
          <w:color w:val="000000"/>
        </w:rPr>
        <w:instrText>выбора</w:instrText>
      </w:r>
      <w:r>
        <w:fldChar w:fldCharType="end"/>
      </w:r>
      <w:r>
        <w:rPr>
          <w:color w:val="000000"/>
        </w:rPr>
        <w:t xml:space="preserve"> профессии также </w:t>
      </w:r>
      <w:r>
        <w:fldChar w:fldCharType="begin"/>
      </w:r>
      <w:r>
        <w:instrText xml:space="preserve">eq </w:instrText>
      </w:r>
      <w:r>
        <w:rPr>
          <w:noProof/>
          <w:color w:val="FFFFFF"/>
          <w:spacing w:val="-20000"/>
          <w:sz w:val="2"/>
          <w:szCs w:val="28"/>
        </w:rPr>
        <w:instrText xml:space="preserve"> услуги </w:instrText>
      </w:r>
      <w:r>
        <w:rPr>
          <w:noProof/>
          <w:color w:val="000000"/>
        </w:rPr>
        <w:instrText>являются</w:instrText>
      </w:r>
      <w:r>
        <w:rPr>
          <w:noProof/>
          <w:color w:val="FFFFFF"/>
          <w:spacing w:val="-20000"/>
          <w:sz w:val="2"/>
          <w:szCs w:val="28"/>
        </w:rPr>
        <w:instrText> образования</w:instrText>
      </w:r>
      <w:r>
        <w:fldChar w:fldCharType="end"/>
      </w:r>
      <w:r>
        <w:rPr>
          <w:color w:val="000000"/>
        </w:rPr>
        <w:t xml:space="preserve"> вступительные </w:t>
      </w:r>
      <w:r>
        <w:fldChar w:fldCharType="begin"/>
      </w:r>
      <w:r>
        <w:instrText xml:space="preserve">eq </w:instrText>
      </w:r>
      <w:r>
        <w:rPr>
          <w:noProof/>
          <w:color w:val="000000"/>
        </w:rPr>
        <w:instrText>экзамены</w:instrText>
      </w:r>
      <w:r>
        <w:rPr>
          <w:noProof/>
          <w:color w:val="FFFFFF"/>
          <w:spacing w:val="-20000"/>
          <w:sz w:val="2"/>
          <w:szCs w:val="28"/>
        </w:rPr>
        <w:instrText> представлено</w:instrText>
      </w:r>
      <w:r>
        <w:fldChar w:fldCharType="end"/>
      </w:r>
      <w:r>
        <w:rPr>
          <w:color w:val="000000"/>
        </w:rPr>
        <w:t>.</w:t>
      </w:r>
    </w:p>
    <w:p w:rsidR="005E1201" w:rsidRDefault="005E1201" w:rsidP="005E1201">
      <w:pPr>
        <w:tabs>
          <w:tab w:val="left" w:pos="709"/>
        </w:tabs>
        <w:jc w:val="both"/>
        <w:rPr>
          <w:color w:val="000000"/>
        </w:rPr>
      </w:pPr>
      <w:r>
        <w:rPr>
          <w:color w:val="000000"/>
        </w:rPr>
        <w:t xml:space="preserve">Самые распространенные </w:t>
      </w:r>
      <w:r>
        <w:fldChar w:fldCharType="begin"/>
      </w:r>
      <w:r>
        <w:instrText xml:space="preserve">eq </w:instrText>
      </w:r>
      <w:r>
        <w:rPr>
          <w:noProof/>
          <w:color w:val="FFFFFF"/>
          <w:spacing w:val="-20000"/>
          <w:sz w:val="2"/>
          <w:szCs w:val="28"/>
        </w:rPr>
        <w:instrText xml:space="preserve"> позиции </w:instrText>
      </w:r>
      <w:r>
        <w:rPr>
          <w:noProof/>
          <w:color w:val="000000"/>
        </w:rPr>
        <w:instrText>направления</w:instrText>
      </w:r>
      <w:r>
        <w:rPr>
          <w:noProof/>
          <w:color w:val="FFFFFF"/>
          <w:spacing w:val="-20000"/>
          <w:sz w:val="2"/>
          <w:szCs w:val="28"/>
        </w:rPr>
        <w:instrText> поскольку</w:instrText>
      </w:r>
      <w:r>
        <w:fldChar w:fldCharType="end"/>
      </w:r>
      <w:r>
        <w:rPr>
          <w:color w:val="000000"/>
        </w:rPr>
        <w:t xml:space="preserve"> подготовки представлены на </w:t>
      </w:r>
      <w:r>
        <w:fldChar w:fldCharType="begin"/>
      </w:r>
      <w:r>
        <w:instrText xml:space="preserve">eq </w:instrText>
      </w:r>
      <w:r>
        <w:rPr>
          <w:noProof/>
          <w:color w:val="FFFFFF"/>
          <w:spacing w:val="-20000"/>
          <w:sz w:val="2"/>
          <w:szCs w:val="28"/>
        </w:rPr>
        <w:instrText xml:space="preserve"> педагогика </w:instrText>
      </w:r>
      <w:r>
        <w:rPr>
          <w:noProof/>
          <w:color w:val="000000"/>
        </w:rPr>
        <w:instrText>рисунке</w:instrText>
      </w:r>
      <w:r>
        <w:fldChar w:fldCharType="end"/>
      </w:r>
      <w:r>
        <w:rPr>
          <w:color w:val="000000"/>
        </w:rPr>
        <w:t xml:space="preserve"> 4. (данный вопрос </w:t>
      </w:r>
      <w:r>
        <w:fldChar w:fldCharType="begin"/>
      </w:r>
      <w:r>
        <w:instrText xml:space="preserve">eq </w:instrText>
      </w:r>
      <w:r>
        <w:rPr>
          <w:noProof/>
          <w:color w:val="FFFFFF"/>
          <w:spacing w:val="-20000"/>
          <w:sz w:val="2"/>
          <w:szCs w:val="28"/>
        </w:rPr>
        <w:instrText xml:space="preserve"> данным </w:instrText>
      </w:r>
      <w:r>
        <w:rPr>
          <w:noProof/>
          <w:color w:val="000000"/>
        </w:rPr>
        <w:instrText>анкеты</w:instrText>
      </w:r>
      <w:r>
        <w:rPr>
          <w:noProof/>
          <w:color w:val="FFFFFF"/>
          <w:spacing w:val="-20000"/>
          <w:sz w:val="2"/>
          <w:szCs w:val="28"/>
        </w:rPr>
        <w:instrText> продолжится</w:instrText>
      </w:r>
      <w:r>
        <w:fldChar w:fldCharType="end"/>
      </w:r>
      <w:r>
        <w:rPr>
          <w:color w:val="000000"/>
        </w:rPr>
        <w:t xml:space="preserve"> имеет </w:t>
      </w:r>
      <w:r>
        <w:fldChar w:fldCharType="begin"/>
      </w:r>
      <w:r>
        <w:instrText xml:space="preserve">eq </w:instrText>
      </w:r>
      <w:r>
        <w:rPr>
          <w:noProof/>
          <w:color w:val="000000"/>
        </w:rPr>
        <w:instrText>множественный</w:instrText>
      </w:r>
      <w:r>
        <w:rPr>
          <w:noProof/>
          <w:color w:val="FFFFFF"/>
          <w:spacing w:val="-20000"/>
          <w:sz w:val="2"/>
          <w:szCs w:val="28"/>
        </w:rPr>
        <w:instrText> шевченко</w:instrText>
      </w:r>
      <w:r>
        <w:fldChar w:fldCharType="end"/>
      </w:r>
      <w:r>
        <w:rPr>
          <w:color w:val="000000"/>
        </w:rPr>
        <w:t xml:space="preserve"> ответ, таким </w:t>
      </w:r>
      <w:r>
        <w:fldChar w:fldCharType="begin"/>
      </w:r>
      <w:r>
        <w:instrText xml:space="preserve">eq </w:instrText>
      </w:r>
      <w:r>
        <w:rPr>
          <w:noProof/>
          <w:color w:val="FFFFFF"/>
          <w:spacing w:val="-20000"/>
          <w:sz w:val="2"/>
          <w:szCs w:val="28"/>
        </w:rPr>
        <w:instrText xml:space="preserve"> если </w:instrText>
      </w:r>
      <w:r>
        <w:rPr>
          <w:noProof/>
          <w:color w:val="000000"/>
        </w:rPr>
        <w:instrText>образом</w:instrText>
      </w:r>
      <w:r>
        <w:rPr>
          <w:noProof/>
          <w:color w:val="FFFFFF"/>
          <w:spacing w:val="-20000"/>
          <w:sz w:val="2"/>
          <w:szCs w:val="28"/>
        </w:rPr>
        <w:instrText> образования</w:instrText>
      </w:r>
      <w:r>
        <w:fldChar w:fldCharType="end"/>
      </w:r>
      <w:r>
        <w:rPr>
          <w:color w:val="000000"/>
        </w:rPr>
        <w:t xml:space="preserve">, в качестве результата </w:t>
      </w:r>
      <w:r>
        <w:fldChar w:fldCharType="begin"/>
      </w:r>
      <w:r>
        <w:instrText xml:space="preserve">eq </w:instrText>
      </w:r>
      <w:r>
        <w:rPr>
          <w:noProof/>
          <w:color w:val="FFFFFF"/>
          <w:spacing w:val="-20000"/>
          <w:sz w:val="2"/>
          <w:szCs w:val="28"/>
        </w:rPr>
        <w:instrText xml:space="preserve"> также </w:instrText>
      </w:r>
      <w:r>
        <w:rPr>
          <w:noProof/>
          <w:color w:val="000000"/>
        </w:rPr>
        <w:instrText>показан</w:instrText>
      </w:r>
      <w:r>
        <w:fldChar w:fldCharType="end"/>
      </w:r>
      <w:r>
        <w:rPr>
          <w:color w:val="000000"/>
        </w:rPr>
        <w:t xml:space="preserve"> процент от количества </w:t>
      </w:r>
      <w:r>
        <w:fldChar w:fldCharType="begin"/>
      </w:r>
      <w:r>
        <w:instrText xml:space="preserve">eq </w:instrText>
      </w:r>
      <w:r>
        <w:rPr>
          <w:noProof/>
          <w:color w:val="FFFFFF"/>
          <w:spacing w:val="-20000"/>
          <w:sz w:val="2"/>
          <w:szCs w:val="28"/>
        </w:rPr>
        <w:instrText xml:space="preserve"> вместе </w:instrText>
      </w:r>
      <w:r>
        <w:rPr>
          <w:noProof/>
          <w:color w:val="000000"/>
        </w:rPr>
        <w:instrText>респондентов</w:instrText>
      </w:r>
      <w:r>
        <w:rPr>
          <w:noProof/>
          <w:color w:val="FFFFFF"/>
          <w:spacing w:val="-20000"/>
          <w:sz w:val="2"/>
          <w:szCs w:val="28"/>
        </w:rPr>
        <w:instrText> поскольку</w:instrText>
      </w:r>
      <w:r>
        <w:fldChar w:fldCharType="end"/>
      </w:r>
      <w:r>
        <w:rPr>
          <w:color w:val="000000"/>
        </w:rPr>
        <w:t xml:space="preserve">, а не от количества </w:t>
      </w:r>
      <w:r>
        <w:fldChar w:fldCharType="begin"/>
      </w:r>
      <w:r>
        <w:instrText xml:space="preserve">eq </w:instrText>
      </w:r>
      <w:r>
        <w:rPr>
          <w:noProof/>
          <w:color w:val="000000"/>
        </w:rPr>
        <w:instrText>ответов</w:instrText>
      </w:r>
      <w:r>
        <w:rPr>
          <w:noProof/>
          <w:color w:val="FFFFFF"/>
          <w:spacing w:val="-20000"/>
          <w:sz w:val="2"/>
          <w:szCs w:val="28"/>
        </w:rPr>
        <w:instrText> белыи</w:instrText>
      </w:r>
      <w:r>
        <w:fldChar w:fldCharType="end"/>
      </w:r>
      <w:r>
        <w:rPr>
          <w:color w:val="000000"/>
        </w:rPr>
        <w:t xml:space="preserve"> на данный вопрос).</w:t>
      </w:r>
    </w:p>
    <w:p w:rsidR="005E1201" w:rsidRDefault="005E1201" w:rsidP="005E1201">
      <w:pPr>
        <w:tabs>
          <w:tab w:val="left" w:pos="709"/>
        </w:tabs>
        <w:jc w:val="center"/>
        <w:rPr>
          <w:color w:val="000000"/>
        </w:rPr>
      </w:pPr>
      <w:r>
        <w:rPr>
          <w:noProof/>
          <w:color w:val="000000"/>
          <w:lang w:eastAsia="ru-RU"/>
        </w:rPr>
        <w:drawing>
          <wp:inline distT="0" distB="0" distL="0" distR="0">
            <wp:extent cx="3819525" cy="2343150"/>
            <wp:effectExtent l="19050" t="19050" r="28575" b="19050"/>
            <wp:docPr id="160" name="Рисунок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357">
                      <a:grayscl/>
                      <a:extLst>
                        <a:ext uri="{28A0092B-C50C-407E-A947-70E740481C1C}">
                          <a14:useLocalDpi xmlns:a14="http://schemas.microsoft.com/office/drawing/2010/main" val="0"/>
                        </a:ext>
                      </a:extLst>
                    </a:blip>
                    <a:srcRect l="20299" t="31935" r="13216" b="14714"/>
                    <a:stretch>
                      <a:fillRect/>
                    </a:stretch>
                  </pic:blipFill>
                  <pic:spPr bwMode="auto">
                    <a:xfrm>
                      <a:off x="0" y="0"/>
                      <a:ext cx="3819525" cy="2343150"/>
                    </a:xfrm>
                    <a:prstGeom prst="rect">
                      <a:avLst/>
                    </a:prstGeom>
                    <a:noFill/>
                    <a:ln w="3175" cmpd="sng">
                      <a:solidFill>
                        <a:srgbClr val="404040"/>
                      </a:solidFill>
                      <a:miter lim="800000"/>
                      <a:headEnd/>
                      <a:tailEnd/>
                    </a:ln>
                    <a:effectLst/>
                  </pic:spPr>
                </pic:pic>
              </a:graphicData>
            </a:graphic>
          </wp:inline>
        </w:drawing>
      </w:r>
    </w:p>
    <w:p w:rsidR="005E1201" w:rsidRPr="00B00762" w:rsidRDefault="005E1201" w:rsidP="005E1201">
      <w:pPr>
        <w:tabs>
          <w:tab w:val="left" w:pos="993"/>
        </w:tabs>
        <w:jc w:val="center"/>
        <w:rPr>
          <w:color w:val="000000"/>
        </w:rPr>
      </w:pPr>
      <w:r>
        <w:rPr>
          <w:color w:val="000000"/>
        </w:rPr>
        <w:t xml:space="preserve">Рис. </w:t>
      </w:r>
      <w:r w:rsidRPr="0010577C">
        <w:rPr>
          <w:color w:val="000000"/>
        </w:rPr>
        <w:t>4</w:t>
      </w:r>
      <w:r>
        <w:rPr>
          <w:color w:val="000000"/>
        </w:rPr>
        <w:t xml:space="preserve">. </w:t>
      </w:r>
      <w:r>
        <w:fldChar w:fldCharType="begin"/>
      </w:r>
      <w:r>
        <w:instrText xml:space="preserve">eq </w:instrText>
      </w:r>
      <w:r>
        <w:rPr>
          <w:noProof/>
          <w:color w:val="FFFFFF"/>
          <w:spacing w:val="-20000"/>
          <w:sz w:val="2"/>
          <w:szCs w:val="28"/>
        </w:rPr>
        <w:instrText xml:space="preserve"> информация </w:instrText>
      </w:r>
      <w:r>
        <w:rPr>
          <w:noProof/>
          <w:color w:val="000000"/>
        </w:rPr>
        <w:instrText>Приоритетные</w:instrText>
      </w:r>
      <w:r>
        <w:rPr>
          <w:noProof/>
          <w:color w:val="FFFFFF"/>
          <w:spacing w:val="-20000"/>
          <w:sz w:val="2"/>
          <w:szCs w:val="28"/>
        </w:rPr>
        <w:instrText> шевченко</w:instrText>
      </w:r>
      <w:r>
        <w:fldChar w:fldCharType="end"/>
      </w:r>
      <w:r>
        <w:rPr>
          <w:color w:val="000000"/>
        </w:rPr>
        <w:t xml:space="preserve"> направления подготовки для </w:t>
      </w:r>
      <w:r>
        <w:fldChar w:fldCharType="begin"/>
      </w:r>
      <w:r>
        <w:instrText xml:space="preserve">eq </w:instrText>
      </w:r>
      <w:r>
        <w:rPr>
          <w:noProof/>
          <w:color w:val="FFFFFF"/>
          <w:spacing w:val="-20000"/>
          <w:sz w:val="2"/>
          <w:szCs w:val="28"/>
        </w:rPr>
        <w:instrText xml:space="preserve"> зачастую </w:instrText>
      </w:r>
      <w:r>
        <w:rPr>
          <w:noProof/>
          <w:color w:val="000000"/>
        </w:rPr>
        <w:instrText>старшеклассников</w:instrText>
      </w:r>
      <w:r>
        <w:fldChar w:fldCharType="end"/>
      </w:r>
      <w:r>
        <w:rPr>
          <w:color w:val="000000"/>
        </w:rPr>
        <w:t xml:space="preserve"> СОШ Приморского края на </w:t>
      </w:r>
      <w:r>
        <w:fldChar w:fldCharType="begin"/>
      </w:r>
      <w:r>
        <w:instrText xml:space="preserve">eq </w:instrText>
      </w:r>
      <w:r>
        <w:rPr>
          <w:noProof/>
          <w:color w:val="FFFFFF"/>
          <w:spacing w:val="-20000"/>
          <w:sz w:val="2"/>
          <w:szCs w:val="28"/>
        </w:rPr>
        <w:instrText xml:space="preserve"> возрастающей </w:instrText>
      </w:r>
      <w:r>
        <w:rPr>
          <w:noProof/>
          <w:color w:val="000000"/>
        </w:rPr>
        <w:instrText>2018</w:instrText>
      </w:r>
      <w:r>
        <w:rPr>
          <w:noProof/>
          <w:color w:val="FFFFFF"/>
          <w:spacing w:val="-20000"/>
          <w:sz w:val="2"/>
          <w:szCs w:val="28"/>
        </w:rPr>
        <w:instrText> первую</w:instrText>
      </w:r>
      <w:r>
        <w:fldChar w:fldCharType="end"/>
      </w:r>
      <w:r>
        <w:rPr>
          <w:color w:val="000000"/>
        </w:rPr>
        <w:t xml:space="preserve"> год, %</w:t>
      </w:r>
      <w:r>
        <w:t xml:space="preserve"> </w:t>
      </w:r>
    </w:p>
    <w:p w:rsidR="005E1201" w:rsidRDefault="005E1201" w:rsidP="005E1201">
      <w:pPr>
        <w:tabs>
          <w:tab w:val="left" w:pos="709"/>
        </w:tabs>
        <w:jc w:val="both"/>
        <w:rPr>
          <w:color w:val="000000"/>
        </w:rPr>
      </w:pPr>
      <w:r>
        <w:rPr>
          <w:color w:val="000000"/>
        </w:rPr>
        <w:t xml:space="preserve">Таким </w:t>
      </w:r>
      <w:r>
        <w:fldChar w:fldCharType="begin"/>
      </w:r>
      <w:r>
        <w:instrText xml:space="preserve">eq </w:instrText>
      </w:r>
      <w:r>
        <w:rPr>
          <w:noProof/>
          <w:color w:val="000000"/>
        </w:rPr>
        <w:instrText>образом</w:instrText>
      </w:r>
      <w:r>
        <w:rPr>
          <w:noProof/>
          <w:color w:val="FFFFFF"/>
          <w:spacing w:val="-20000"/>
          <w:sz w:val="2"/>
          <w:szCs w:val="28"/>
        </w:rPr>
        <w:instrText> стандартов</w:instrText>
      </w:r>
      <w:r>
        <w:fldChar w:fldCharType="end"/>
      </w:r>
      <w:r>
        <w:rPr>
          <w:color w:val="000000"/>
        </w:rPr>
        <w:t xml:space="preserve">, в результате проведенного </w:t>
      </w:r>
      <w:r>
        <w:fldChar w:fldCharType="begin"/>
      </w:r>
      <w:r>
        <w:instrText xml:space="preserve">eq </w:instrText>
      </w:r>
      <w:r>
        <w:rPr>
          <w:noProof/>
          <w:color w:val="FFFFFF"/>
          <w:spacing w:val="-20000"/>
          <w:sz w:val="2"/>
          <w:szCs w:val="28"/>
        </w:rPr>
        <w:instrText xml:space="preserve"> дополнительные </w:instrText>
      </w:r>
      <w:r>
        <w:rPr>
          <w:noProof/>
          <w:color w:val="000000"/>
        </w:rPr>
        <w:instrText>исследования</w:instrText>
      </w:r>
      <w:r>
        <w:rPr>
          <w:noProof/>
          <w:color w:val="FFFFFF"/>
          <w:spacing w:val="-20000"/>
          <w:sz w:val="2"/>
          <w:szCs w:val="28"/>
        </w:rPr>
        <w:instrText> также</w:instrText>
      </w:r>
      <w:r>
        <w:fldChar w:fldCharType="end"/>
      </w:r>
      <w:r>
        <w:rPr>
          <w:color w:val="000000"/>
        </w:rPr>
        <w:t xml:space="preserve"> можно сделать ряд </w:t>
      </w:r>
      <w:r>
        <w:fldChar w:fldCharType="begin"/>
      </w:r>
      <w:r>
        <w:instrText xml:space="preserve">eq </w:instrText>
      </w:r>
      <w:r>
        <w:rPr>
          <w:noProof/>
          <w:color w:val="FFFFFF"/>
          <w:spacing w:val="-20000"/>
          <w:sz w:val="2"/>
          <w:szCs w:val="28"/>
        </w:rPr>
        <w:instrText xml:space="preserve"> маркетинговой </w:instrText>
      </w:r>
      <w:r>
        <w:rPr>
          <w:noProof/>
          <w:color w:val="000000"/>
        </w:rPr>
        <w:instrText>положительных</w:instrText>
      </w:r>
      <w:r>
        <w:fldChar w:fldCharType="end"/>
      </w:r>
      <w:r>
        <w:rPr>
          <w:color w:val="000000"/>
        </w:rPr>
        <w:t xml:space="preserve"> и отрицательных выводов. К </w:t>
      </w:r>
      <w:r>
        <w:fldChar w:fldCharType="begin"/>
      </w:r>
      <w:r>
        <w:instrText xml:space="preserve">eq </w:instrText>
      </w:r>
      <w:r>
        <w:rPr>
          <w:noProof/>
          <w:color w:val="FFFFFF"/>
          <w:spacing w:val="-20000"/>
          <w:sz w:val="2"/>
          <w:szCs w:val="28"/>
        </w:rPr>
        <w:instrText xml:space="preserve"> шевченко </w:instrText>
      </w:r>
      <w:r>
        <w:rPr>
          <w:noProof/>
          <w:color w:val="000000"/>
        </w:rPr>
        <w:instrText>положительным</w:instrText>
      </w:r>
      <w:r>
        <w:rPr>
          <w:noProof/>
          <w:color w:val="FFFFFF"/>
          <w:spacing w:val="-20000"/>
          <w:sz w:val="2"/>
          <w:szCs w:val="28"/>
        </w:rPr>
        <w:instrText> снижение</w:instrText>
      </w:r>
      <w:r>
        <w:fldChar w:fldCharType="end"/>
      </w:r>
      <w:r>
        <w:rPr>
          <w:color w:val="000000"/>
        </w:rPr>
        <w:t xml:space="preserve"> результатам, </w:t>
      </w:r>
      <w:r>
        <w:fldChar w:fldCharType="begin"/>
      </w:r>
      <w:r>
        <w:instrText xml:space="preserve">eq </w:instrText>
      </w:r>
      <w:r>
        <w:rPr>
          <w:noProof/>
          <w:color w:val="000000"/>
        </w:rPr>
        <w:instrText>безусловно</w:instrText>
      </w:r>
      <w:r>
        <w:rPr>
          <w:noProof/>
          <w:color w:val="FFFFFF"/>
          <w:spacing w:val="-20000"/>
          <w:sz w:val="2"/>
          <w:szCs w:val="28"/>
        </w:rPr>
        <w:instrText> вместе</w:instrText>
      </w:r>
      <w:r>
        <w:fldChar w:fldCharType="end"/>
      </w:r>
      <w:r>
        <w:rPr>
          <w:color w:val="000000"/>
        </w:rPr>
        <w:t xml:space="preserve">, можно отнести тот </w:t>
      </w:r>
      <w:r>
        <w:fldChar w:fldCharType="begin"/>
      </w:r>
      <w:r>
        <w:instrText xml:space="preserve">eq </w:instrText>
      </w:r>
      <w:r>
        <w:rPr>
          <w:noProof/>
          <w:color w:val="FFFFFF"/>
          <w:spacing w:val="-20000"/>
          <w:sz w:val="2"/>
          <w:szCs w:val="28"/>
        </w:rPr>
        <w:instrText xml:space="preserve"> когда </w:instrText>
      </w:r>
      <w:r>
        <w:rPr>
          <w:noProof/>
          <w:color w:val="000000"/>
        </w:rPr>
        <w:instrText>факт</w:instrText>
      </w:r>
      <w:r>
        <w:rPr>
          <w:noProof/>
          <w:color w:val="FFFFFF"/>
          <w:spacing w:val="-20000"/>
          <w:sz w:val="2"/>
          <w:szCs w:val="28"/>
        </w:rPr>
        <w:instrText> снижение</w:instrText>
      </w:r>
      <w:r>
        <w:fldChar w:fldCharType="end"/>
      </w:r>
      <w:r>
        <w:rPr>
          <w:color w:val="000000"/>
        </w:rPr>
        <w:t xml:space="preserve">, что основная масса </w:t>
      </w:r>
      <w:r>
        <w:fldChar w:fldCharType="begin"/>
      </w:r>
      <w:r>
        <w:instrText xml:space="preserve">eq </w:instrText>
      </w:r>
      <w:r>
        <w:rPr>
          <w:noProof/>
          <w:color w:val="FFFFFF"/>
          <w:spacing w:val="-20000"/>
          <w:sz w:val="2"/>
          <w:szCs w:val="28"/>
        </w:rPr>
        <w:instrText xml:space="preserve"> беляев </w:instrText>
      </w:r>
      <w:r>
        <w:rPr>
          <w:noProof/>
          <w:color w:val="000000"/>
        </w:rPr>
        <w:instrText>выпускников</w:instrText>
      </w:r>
      <w:r>
        <w:fldChar w:fldCharType="end"/>
      </w:r>
      <w:r>
        <w:rPr>
          <w:color w:val="000000"/>
        </w:rPr>
        <w:t xml:space="preserve"> 2018 года </w:t>
      </w:r>
      <w:r>
        <w:fldChar w:fldCharType="begin"/>
      </w:r>
      <w:r>
        <w:instrText xml:space="preserve">eq </w:instrText>
      </w:r>
      <w:r>
        <w:rPr>
          <w:noProof/>
          <w:color w:val="FFFFFF"/>
          <w:spacing w:val="-20000"/>
          <w:sz w:val="2"/>
          <w:szCs w:val="28"/>
        </w:rPr>
        <w:instrText xml:space="preserve"> году </w:instrText>
      </w:r>
      <w:r>
        <w:rPr>
          <w:noProof/>
          <w:color w:val="000000"/>
        </w:rPr>
        <w:instrText>планирует</w:instrText>
      </w:r>
      <w:r>
        <w:rPr>
          <w:noProof/>
          <w:color w:val="FFFFFF"/>
          <w:spacing w:val="-20000"/>
          <w:sz w:val="2"/>
          <w:szCs w:val="28"/>
        </w:rPr>
        <w:instrText> вместе</w:instrText>
      </w:r>
      <w:r>
        <w:fldChar w:fldCharType="end"/>
      </w:r>
      <w:r>
        <w:rPr>
          <w:color w:val="000000"/>
        </w:rPr>
        <w:t xml:space="preserve"> продолжить </w:t>
      </w:r>
      <w:r>
        <w:fldChar w:fldCharType="begin"/>
      </w:r>
      <w:r>
        <w:instrText xml:space="preserve">eq </w:instrText>
      </w:r>
      <w:r>
        <w:rPr>
          <w:noProof/>
          <w:color w:val="000000"/>
        </w:rPr>
        <w:instrText>свое</w:instrText>
      </w:r>
      <w:r>
        <w:rPr>
          <w:noProof/>
          <w:color w:val="FFFFFF"/>
          <w:spacing w:val="-20000"/>
          <w:sz w:val="2"/>
          <w:szCs w:val="28"/>
        </w:rPr>
        <w:instrText> поэтому</w:instrText>
      </w:r>
      <w:r>
        <w:fldChar w:fldCharType="end"/>
      </w:r>
      <w:r>
        <w:rPr>
          <w:color w:val="000000"/>
        </w:rPr>
        <w:t xml:space="preserve"> обучение в высшем </w:t>
      </w:r>
      <w:r>
        <w:fldChar w:fldCharType="begin"/>
      </w:r>
      <w:r>
        <w:instrText xml:space="preserve">eq </w:instrText>
      </w:r>
      <w:r>
        <w:rPr>
          <w:noProof/>
          <w:color w:val="FFFFFF"/>
          <w:spacing w:val="-20000"/>
          <w:sz w:val="2"/>
          <w:szCs w:val="28"/>
        </w:rPr>
        <w:instrText xml:space="preserve"> вопрос </w:instrText>
      </w:r>
      <w:r>
        <w:rPr>
          <w:noProof/>
          <w:color w:val="000000"/>
        </w:rPr>
        <w:instrText>учебном</w:instrText>
      </w:r>
      <w:r>
        <w:rPr>
          <w:noProof/>
          <w:color w:val="FFFFFF"/>
          <w:spacing w:val="-20000"/>
          <w:sz w:val="2"/>
          <w:szCs w:val="28"/>
        </w:rPr>
        <w:instrText> рынке</w:instrText>
      </w:r>
      <w:r>
        <w:fldChar w:fldCharType="end"/>
      </w:r>
      <w:r>
        <w:rPr>
          <w:color w:val="000000"/>
        </w:rPr>
        <w:t xml:space="preserve"> заведении, в том числе </w:t>
      </w:r>
      <w:r>
        <w:fldChar w:fldCharType="begin"/>
      </w:r>
      <w:r>
        <w:instrText xml:space="preserve">eq </w:instrText>
      </w:r>
      <w:r>
        <w:rPr>
          <w:noProof/>
          <w:color w:val="FFFFFF"/>
          <w:spacing w:val="-20000"/>
          <w:sz w:val="2"/>
          <w:szCs w:val="28"/>
        </w:rPr>
        <w:instrText xml:space="preserve"> результаты </w:instrText>
      </w:r>
      <w:r>
        <w:rPr>
          <w:noProof/>
          <w:color w:val="000000"/>
        </w:rPr>
        <w:instrText>совмещая</w:instrText>
      </w:r>
      <w:r>
        <w:fldChar w:fldCharType="end"/>
      </w:r>
      <w:r>
        <w:rPr>
          <w:color w:val="000000"/>
        </w:rPr>
        <w:t xml:space="preserve"> с работой. Также </w:t>
      </w:r>
      <w:r>
        <w:fldChar w:fldCharType="begin"/>
      </w:r>
      <w:r>
        <w:instrText xml:space="preserve">eq </w:instrText>
      </w:r>
      <w:r>
        <w:rPr>
          <w:noProof/>
          <w:color w:val="FFFFFF"/>
          <w:spacing w:val="-20000"/>
          <w:sz w:val="2"/>
          <w:szCs w:val="28"/>
        </w:rPr>
        <w:instrText xml:space="preserve"> образовании </w:instrText>
      </w:r>
      <w:r>
        <w:rPr>
          <w:noProof/>
          <w:color w:val="000000"/>
        </w:rPr>
        <w:instrText>положительным</w:instrText>
      </w:r>
      <w:r>
        <w:rPr>
          <w:noProof/>
          <w:color w:val="FFFFFF"/>
          <w:spacing w:val="-20000"/>
          <w:sz w:val="2"/>
          <w:szCs w:val="28"/>
        </w:rPr>
        <w:instrText> которые</w:instrText>
      </w:r>
      <w:r>
        <w:fldChar w:fldCharType="end"/>
      </w:r>
      <w:r>
        <w:rPr>
          <w:color w:val="000000"/>
        </w:rPr>
        <w:t xml:space="preserve"> итогом для </w:t>
      </w:r>
      <w:r>
        <w:fldChar w:fldCharType="begin"/>
      </w:r>
      <w:r>
        <w:instrText xml:space="preserve">eq </w:instrText>
      </w:r>
      <w:r>
        <w:rPr>
          <w:noProof/>
          <w:color w:val="000000"/>
        </w:rPr>
        <w:instrText>Владивостокского</w:instrText>
      </w:r>
      <w:r>
        <w:rPr>
          <w:noProof/>
          <w:color w:val="FFFFFF"/>
          <w:spacing w:val="-20000"/>
          <w:sz w:val="2"/>
          <w:szCs w:val="28"/>
        </w:rPr>
        <w:instrText> основных</w:instrText>
      </w:r>
      <w:r>
        <w:fldChar w:fldCharType="end"/>
      </w:r>
      <w:r>
        <w:rPr>
          <w:color w:val="000000"/>
        </w:rPr>
        <w:t xml:space="preserve"> государственного университета </w:t>
      </w:r>
      <w:r>
        <w:fldChar w:fldCharType="begin"/>
      </w:r>
      <w:r>
        <w:instrText xml:space="preserve">eq </w:instrText>
      </w:r>
      <w:r>
        <w:rPr>
          <w:noProof/>
          <w:color w:val="FFFFFF"/>
          <w:spacing w:val="-20000"/>
          <w:sz w:val="2"/>
          <w:szCs w:val="28"/>
        </w:rPr>
        <w:instrText xml:space="preserve"> наименее </w:instrText>
      </w:r>
      <w:r>
        <w:rPr>
          <w:noProof/>
          <w:color w:val="000000"/>
        </w:rPr>
        <w:instrText>экономики</w:instrText>
      </w:r>
      <w:r>
        <w:rPr>
          <w:noProof/>
          <w:color w:val="FFFFFF"/>
          <w:spacing w:val="-20000"/>
          <w:sz w:val="2"/>
          <w:szCs w:val="28"/>
        </w:rPr>
        <w:instrText> докладе</w:instrText>
      </w:r>
      <w:r>
        <w:fldChar w:fldCharType="end"/>
      </w:r>
      <w:r>
        <w:rPr>
          <w:color w:val="000000"/>
        </w:rPr>
        <w:t xml:space="preserve"> и сервиса является то, что он </w:t>
      </w:r>
      <w:r>
        <w:fldChar w:fldCharType="begin"/>
      </w:r>
      <w:r>
        <w:instrText xml:space="preserve">eq </w:instrText>
      </w:r>
      <w:r>
        <w:rPr>
          <w:noProof/>
          <w:color w:val="FFFFFF"/>
          <w:spacing w:val="-20000"/>
          <w:sz w:val="2"/>
          <w:szCs w:val="28"/>
        </w:rPr>
        <w:instrText xml:space="preserve"> рынках </w:instrText>
      </w:r>
      <w:r>
        <w:rPr>
          <w:noProof/>
          <w:color w:val="000000"/>
        </w:rPr>
        <w:instrText>вместе</w:instrText>
      </w:r>
      <w:r>
        <w:fldChar w:fldCharType="end"/>
      </w:r>
      <w:r>
        <w:rPr>
          <w:color w:val="000000"/>
        </w:rPr>
        <w:t xml:space="preserve"> с Дальневосточным федеральным </w:t>
      </w:r>
      <w:r>
        <w:fldChar w:fldCharType="begin"/>
      </w:r>
      <w:r>
        <w:instrText xml:space="preserve">eq </w:instrText>
      </w:r>
      <w:r>
        <w:rPr>
          <w:noProof/>
          <w:color w:val="FFFFFF"/>
          <w:spacing w:val="-20000"/>
          <w:sz w:val="2"/>
          <w:szCs w:val="28"/>
        </w:rPr>
        <w:instrText xml:space="preserve"> необходимое </w:instrText>
      </w:r>
      <w:r>
        <w:rPr>
          <w:noProof/>
          <w:color w:val="000000"/>
        </w:rPr>
        <w:instrText>университетом</w:instrText>
      </w:r>
      <w:r>
        <w:rPr>
          <w:noProof/>
          <w:color w:val="FFFFFF"/>
          <w:spacing w:val="-20000"/>
          <w:sz w:val="2"/>
          <w:szCs w:val="28"/>
        </w:rPr>
        <w:instrText> защите</w:instrText>
      </w:r>
      <w:r>
        <w:fldChar w:fldCharType="end"/>
      </w:r>
      <w:r>
        <w:rPr>
          <w:color w:val="000000"/>
        </w:rPr>
        <w:t xml:space="preserve"> удерживает </w:t>
      </w:r>
      <w:r>
        <w:fldChar w:fldCharType="begin"/>
      </w:r>
      <w:r>
        <w:instrText xml:space="preserve">eq </w:instrText>
      </w:r>
      <w:r>
        <w:rPr>
          <w:noProof/>
          <w:color w:val="000000"/>
        </w:rPr>
        <w:instrText>лидерские</w:instrText>
      </w:r>
      <w:r>
        <w:rPr>
          <w:noProof/>
          <w:color w:val="FFFFFF"/>
          <w:spacing w:val="-20000"/>
          <w:sz w:val="2"/>
          <w:szCs w:val="28"/>
        </w:rPr>
        <w:instrText> чтобы</w:instrText>
      </w:r>
      <w:r>
        <w:fldChar w:fldCharType="end"/>
      </w:r>
      <w:r>
        <w:rPr>
          <w:color w:val="000000"/>
        </w:rPr>
        <w:t xml:space="preserve"> позиции среди </w:t>
      </w:r>
      <w:r>
        <w:fldChar w:fldCharType="begin"/>
      </w:r>
      <w:r>
        <w:instrText xml:space="preserve">eq </w:instrText>
      </w:r>
      <w:r>
        <w:rPr>
          <w:noProof/>
          <w:color w:val="FFFFFF"/>
          <w:spacing w:val="-20000"/>
          <w:sz w:val="2"/>
          <w:szCs w:val="28"/>
        </w:rPr>
        <w:instrText xml:space="preserve"> сегодняшний </w:instrText>
      </w:r>
      <w:r>
        <w:rPr>
          <w:noProof/>
          <w:color w:val="000000"/>
        </w:rPr>
        <w:instrText>вузов</w:instrText>
      </w:r>
      <w:r>
        <w:rPr>
          <w:noProof/>
          <w:color w:val="FFFFFF"/>
          <w:spacing w:val="-20000"/>
          <w:sz w:val="2"/>
          <w:szCs w:val="28"/>
        </w:rPr>
        <w:instrText> итогах</w:instrText>
      </w:r>
      <w:r>
        <w:fldChar w:fldCharType="end"/>
      </w:r>
      <w:r>
        <w:rPr>
          <w:color w:val="000000"/>
        </w:rPr>
        <w:t xml:space="preserve"> региона. </w:t>
      </w:r>
    </w:p>
    <w:p w:rsidR="005E1201" w:rsidRDefault="005E1201" w:rsidP="005E1201">
      <w:pPr>
        <w:tabs>
          <w:tab w:val="left" w:pos="709"/>
        </w:tabs>
        <w:jc w:val="both"/>
        <w:rPr>
          <w:color w:val="000000"/>
        </w:rPr>
      </w:pPr>
      <w:r>
        <w:rPr>
          <w:color w:val="000000"/>
        </w:rPr>
        <w:t xml:space="preserve">Важно </w:t>
      </w:r>
      <w:r>
        <w:fldChar w:fldCharType="begin"/>
      </w:r>
      <w:r>
        <w:instrText xml:space="preserve">eq </w:instrText>
      </w:r>
      <w:r>
        <w:rPr>
          <w:noProof/>
          <w:color w:val="FFFFFF"/>
          <w:spacing w:val="-20000"/>
          <w:sz w:val="2"/>
          <w:szCs w:val="28"/>
        </w:rPr>
        <w:instrText xml:space="preserve"> высшие </w:instrText>
      </w:r>
      <w:r>
        <w:rPr>
          <w:noProof/>
          <w:color w:val="000000"/>
        </w:rPr>
        <w:instrText>отметить</w:instrText>
      </w:r>
      <w:r>
        <w:fldChar w:fldCharType="end"/>
      </w:r>
      <w:r>
        <w:rPr>
          <w:color w:val="000000"/>
        </w:rPr>
        <w:t xml:space="preserve">, что исследование дало </w:t>
      </w:r>
      <w:r>
        <w:fldChar w:fldCharType="begin"/>
      </w:r>
      <w:r>
        <w:instrText xml:space="preserve">eq </w:instrText>
      </w:r>
      <w:r>
        <w:rPr>
          <w:noProof/>
          <w:color w:val="FFFFFF"/>
          <w:spacing w:val="-20000"/>
          <w:sz w:val="2"/>
          <w:szCs w:val="28"/>
        </w:rPr>
        <w:instrText xml:space="preserve"> сегодняшний </w:instrText>
      </w:r>
      <w:r>
        <w:rPr>
          <w:noProof/>
          <w:color w:val="000000"/>
        </w:rPr>
        <w:instrText>более</w:instrText>
      </w:r>
      <w:r>
        <w:rPr>
          <w:noProof/>
          <w:color w:val="FFFFFF"/>
          <w:spacing w:val="-20000"/>
          <w:sz w:val="2"/>
          <w:szCs w:val="28"/>
        </w:rPr>
        <w:instrText> году</w:instrText>
      </w:r>
      <w:r>
        <w:fldChar w:fldCharType="end"/>
      </w:r>
      <w:r>
        <w:rPr>
          <w:color w:val="000000"/>
        </w:rPr>
        <w:t xml:space="preserve"> ясную </w:t>
      </w:r>
      <w:r>
        <w:fldChar w:fldCharType="begin"/>
      </w:r>
      <w:r>
        <w:instrText xml:space="preserve">eq </w:instrText>
      </w:r>
      <w:r>
        <w:rPr>
          <w:noProof/>
          <w:color w:val="000000"/>
        </w:rPr>
        <w:instrText>картину</w:instrText>
      </w:r>
      <w:r>
        <w:rPr>
          <w:noProof/>
          <w:color w:val="FFFFFF"/>
          <w:spacing w:val="-20000"/>
          <w:sz w:val="2"/>
          <w:szCs w:val="28"/>
        </w:rPr>
        <w:instrText> consultant</w:instrText>
      </w:r>
      <w:r>
        <w:fldChar w:fldCharType="end"/>
      </w:r>
      <w:r>
        <w:rPr>
          <w:color w:val="000000"/>
        </w:rPr>
        <w:t xml:space="preserve"> того, что на сегодняшний </w:t>
      </w:r>
      <w:r>
        <w:fldChar w:fldCharType="begin"/>
      </w:r>
      <w:r>
        <w:instrText xml:space="preserve">eq </w:instrText>
      </w:r>
      <w:r>
        <w:rPr>
          <w:noProof/>
          <w:color w:val="FFFFFF"/>
          <w:spacing w:val="-20000"/>
          <w:sz w:val="2"/>
          <w:szCs w:val="28"/>
        </w:rPr>
        <w:instrText xml:space="preserve"> выпускников </w:instrText>
      </w:r>
      <w:r>
        <w:rPr>
          <w:noProof/>
          <w:color w:val="000000"/>
        </w:rPr>
        <w:instrText>день</w:instrText>
      </w:r>
      <w:r>
        <w:rPr>
          <w:noProof/>
          <w:color w:val="FFFFFF"/>
          <w:spacing w:val="-20000"/>
          <w:sz w:val="2"/>
          <w:szCs w:val="28"/>
        </w:rPr>
        <w:instrText> свое</w:instrText>
      </w:r>
      <w:r>
        <w:fldChar w:fldCharType="end"/>
      </w:r>
      <w:r>
        <w:rPr>
          <w:color w:val="000000"/>
        </w:rPr>
        <w:t xml:space="preserve"> стоит в приоритете у </w:t>
      </w:r>
      <w:r>
        <w:fldChar w:fldCharType="begin"/>
      </w:r>
      <w:r>
        <w:instrText xml:space="preserve">eq </w:instrText>
      </w:r>
      <w:r>
        <w:rPr>
          <w:noProof/>
          <w:color w:val="FFFFFF"/>
          <w:spacing w:val="-20000"/>
          <w:sz w:val="2"/>
          <w:szCs w:val="28"/>
        </w:rPr>
        <w:instrText xml:space="preserve"> вузы </w:instrText>
      </w:r>
      <w:r>
        <w:rPr>
          <w:noProof/>
          <w:color w:val="000000"/>
        </w:rPr>
        <w:instrText>абитуриентов</w:instrText>
      </w:r>
      <w:r>
        <w:fldChar w:fldCharType="end"/>
      </w:r>
      <w:r>
        <w:rPr>
          <w:color w:val="000000"/>
        </w:rPr>
        <w:t xml:space="preserve"> при выборе вуза; это </w:t>
      </w:r>
      <w:r>
        <w:fldChar w:fldCharType="begin"/>
      </w:r>
      <w:r>
        <w:instrText xml:space="preserve">eq </w:instrText>
      </w:r>
      <w:r>
        <w:rPr>
          <w:noProof/>
          <w:color w:val="FFFFFF"/>
          <w:spacing w:val="-20000"/>
          <w:sz w:val="2"/>
          <w:szCs w:val="28"/>
        </w:rPr>
        <w:instrText xml:space="preserve"> данным </w:instrText>
      </w:r>
      <w:r>
        <w:rPr>
          <w:noProof/>
          <w:color w:val="000000"/>
        </w:rPr>
        <w:instrText>дает</w:instrText>
      </w:r>
      <w:r>
        <w:rPr>
          <w:noProof/>
          <w:color w:val="FFFFFF"/>
          <w:spacing w:val="-20000"/>
          <w:sz w:val="2"/>
          <w:szCs w:val="28"/>
        </w:rPr>
        <w:instrText> режим</w:instrText>
      </w:r>
      <w:r>
        <w:fldChar w:fldCharType="end"/>
      </w:r>
      <w:r>
        <w:rPr>
          <w:color w:val="000000"/>
        </w:rPr>
        <w:t xml:space="preserve"> вузам </w:t>
      </w:r>
      <w:r>
        <w:fldChar w:fldCharType="begin"/>
      </w:r>
      <w:r>
        <w:instrText xml:space="preserve">eq </w:instrText>
      </w:r>
      <w:r>
        <w:rPr>
          <w:noProof/>
          <w:color w:val="000000"/>
        </w:rPr>
        <w:instrText>возможность</w:instrText>
      </w:r>
      <w:r>
        <w:rPr>
          <w:noProof/>
          <w:color w:val="FFFFFF"/>
          <w:spacing w:val="-20000"/>
          <w:sz w:val="2"/>
          <w:szCs w:val="28"/>
        </w:rPr>
        <w:instrText> таким</w:instrText>
      </w:r>
      <w:r>
        <w:fldChar w:fldCharType="end"/>
      </w:r>
      <w:r>
        <w:rPr>
          <w:color w:val="000000"/>
        </w:rPr>
        <w:t xml:space="preserve"> выявить свои </w:t>
      </w:r>
      <w:r>
        <w:fldChar w:fldCharType="begin"/>
      </w:r>
      <w:r>
        <w:instrText xml:space="preserve">eq </w:instrText>
      </w:r>
      <w:r>
        <w:rPr>
          <w:noProof/>
          <w:color w:val="FFFFFF"/>
          <w:spacing w:val="-20000"/>
          <w:sz w:val="2"/>
          <w:szCs w:val="28"/>
        </w:rPr>
        <w:instrText xml:space="preserve"> позиции </w:instrText>
      </w:r>
      <w:r>
        <w:rPr>
          <w:noProof/>
          <w:color w:val="000000"/>
        </w:rPr>
        <w:instrText>наиболее</w:instrText>
      </w:r>
      <w:r>
        <w:rPr>
          <w:noProof/>
          <w:color w:val="FFFFFF"/>
          <w:spacing w:val="-20000"/>
          <w:sz w:val="2"/>
          <w:szCs w:val="28"/>
        </w:rPr>
        <w:instrText> желаемого</w:instrText>
      </w:r>
      <w:r>
        <w:fldChar w:fldCharType="end"/>
      </w:r>
      <w:r>
        <w:rPr>
          <w:color w:val="000000"/>
        </w:rPr>
        <w:t xml:space="preserve"> слабые стороны и </w:t>
      </w:r>
      <w:r>
        <w:fldChar w:fldCharType="begin"/>
      </w:r>
      <w:r>
        <w:instrText xml:space="preserve">eq </w:instrText>
      </w:r>
      <w:r>
        <w:rPr>
          <w:noProof/>
          <w:color w:val="FFFFFF"/>
          <w:spacing w:val="-20000"/>
          <w:sz w:val="2"/>
          <w:szCs w:val="28"/>
        </w:rPr>
        <w:instrText xml:space="preserve"> потребитель </w:instrText>
      </w:r>
      <w:r>
        <w:rPr>
          <w:noProof/>
          <w:color w:val="000000"/>
        </w:rPr>
        <w:instrText>работать</w:instrText>
      </w:r>
      <w:r>
        <w:fldChar w:fldCharType="end"/>
      </w:r>
      <w:r>
        <w:rPr>
          <w:color w:val="000000"/>
        </w:rPr>
        <w:t xml:space="preserve"> над ними.</w:t>
      </w:r>
    </w:p>
    <w:p w:rsidR="005E1201" w:rsidRDefault="005E1201" w:rsidP="005E1201">
      <w:pPr>
        <w:tabs>
          <w:tab w:val="left" w:pos="993"/>
        </w:tabs>
        <w:ind w:firstLine="709"/>
        <w:jc w:val="both"/>
        <w:rPr>
          <w:color w:val="000000"/>
        </w:rPr>
      </w:pPr>
      <w:r>
        <w:rPr>
          <w:color w:val="000000"/>
        </w:rPr>
        <w:t xml:space="preserve">Не стоит </w:t>
      </w:r>
      <w:r>
        <w:fldChar w:fldCharType="begin"/>
      </w:r>
      <w:r>
        <w:instrText xml:space="preserve">eq </w:instrText>
      </w:r>
      <w:r>
        <w:rPr>
          <w:noProof/>
          <w:color w:val="FFFFFF"/>
          <w:spacing w:val="-20000"/>
          <w:sz w:val="2"/>
          <w:szCs w:val="28"/>
        </w:rPr>
        <w:instrText xml:space="preserve"> каждым </w:instrText>
      </w:r>
      <w:r>
        <w:rPr>
          <w:noProof/>
          <w:color w:val="000000"/>
        </w:rPr>
        <w:instrText>пренебрегать</w:instrText>
      </w:r>
      <w:r>
        <w:rPr>
          <w:noProof/>
          <w:color w:val="FFFFFF"/>
          <w:spacing w:val="-20000"/>
          <w:sz w:val="2"/>
          <w:szCs w:val="28"/>
        </w:rPr>
        <w:instrText> постоянную</w:instrText>
      </w:r>
      <w:r>
        <w:fldChar w:fldCharType="end"/>
      </w:r>
      <w:r>
        <w:rPr>
          <w:color w:val="000000"/>
        </w:rPr>
        <w:t xml:space="preserve"> и отрицательными для </w:t>
      </w:r>
      <w:r>
        <w:fldChar w:fldCharType="begin"/>
      </w:r>
      <w:r>
        <w:instrText xml:space="preserve">eq </w:instrText>
      </w:r>
      <w:r>
        <w:rPr>
          <w:noProof/>
          <w:color w:val="000000"/>
        </w:rPr>
        <w:instrText>вузов</w:instrText>
      </w:r>
      <w:r>
        <w:rPr>
          <w:noProof/>
          <w:color w:val="FFFFFF"/>
          <w:spacing w:val="-20000"/>
          <w:sz w:val="2"/>
          <w:szCs w:val="28"/>
        </w:rPr>
        <w:instrText> предоставляют</w:instrText>
      </w:r>
      <w:r>
        <w:fldChar w:fldCharType="end"/>
      </w:r>
      <w:r>
        <w:rPr>
          <w:color w:val="000000"/>
        </w:rPr>
        <w:t xml:space="preserve"> Приморского края </w:t>
      </w:r>
      <w:r>
        <w:fldChar w:fldCharType="begin"/>
      </w:r>
      <w:r>
        <w:instrText xml:space="preserve">eq </w:instrText>
      </w:r>
      <w:r>
        <w:rPr>
          <w:noProof/>
          <w:color w:val="FFFFFF"/>
          <w:spacing w:val="-20000"/>
          <w:sz w:val="2"/>
          <w:szCs w:val="28"/>
        </w:rPr>
        <w:instrText xml:space="preserve"> предоставляют </w:instrText>
      </w:r>
      <w:r>
        <w:rPr>
          <w:noProof/>
          <w:color w:val="000000"/>
        </w:rPr>
        <w:instrText>результатами</w:instrText>
      </w:r>
      <w:r>
        <w:rPr>
          <w:noProof/>
          <w:color w:val="FFFFFF"/>
          <w:spacing w:val="-20000"/>
          <w:sz w:val="2"/>
          <w:szCs w:val="28"/>
        </w:rPr>
        <w:instrText> услуги</w:instrText>
      </w:r>
      <w:r>
        <w:fldChar w:fldCharType="end"/>
      </w:r>
      <w:r>
        <w:rPr>
          <w:color w:val="000000"/>
        </w:rPr>
        <w:t xml:space="preserve">. Во-первых – это то, что </w:t>
      </w:r>
      <w:r>
        <w:t xml:space="preserve">достаточно </w:t>
      </w:r>
      <w:r>
        <w:fldChar w:fldCharType="begin"/>
      </w:r>
      <w:r>
        <w:instrText xml:space="preserve">eq </w:instrText>
      </w:r>
      <w:r>
        <w:rPr>
          <w:noProof/>
          <w:color w:val="FFFFFF"/>
          <w:spacing w:val="-20000"/>
          <w:sz w:val="2"/>
          <w:szCs w:val="28"/>
        </w:rPr>
        <w:instrText xml:space="preserve"> стандартов </w:instrText>
      </w:r>
      <w:r>
        <w:rPr>
          <w:noProof/>
        </w:rPr>
        <w:instrText>большое</w:instrText>
      </w:r>
      <w:r>
        <w:fldChar w:fldCharType="end"/>
      </w:r>
      <w:r>
        <w:t xml:space="preserve"> количество опрошенных </w:t>
      </w:r>
      <w:r>
        <w:fldChar w:fldCharType="begin"/>
      </w:r>
      <w:r>
        <w:instrText xml:space="preserve">eq </w:instrText>
      </w:r>
      <w:r>
        <w:rPr>
          <w:noProof/>
          <w:color w:val="FFFFFF"/>
          <w:spacing w:val="-20000"/>
          <w:sz w:val="2"/>
          <w:szCs w:val="28"/>
        </w:rPr>
        <w:instrText xml:space="preserve"> романова </w:instrText>
      </w:r>
      <w:r>
        <w:rPr>
          <w:noProof/>
        </w:rPr>
        <w:instrText>респондентов</w:instrText>
      </w:r>
      <w:r>
        <w:rPr>
          <w:noProof/>
          <w:color w:val="FFFFFF"/>
          <w:spacing w:val="-20000"/>
          <w:sz w:val="2"/>
          <w:szCs w:val="28"/>
        </w:rPr>
        <w:instrText> обязательного</w:instrText>
      </w:r>
      <w:r>
        <w:fldChar w:fldCharType="end"/>
      </w:r>
      <w:r>
        <w:t xml:space="preserve"> (58,3%) </w:t>
      </w:r>
      <w:r>
        <w:fldChar w:fldCharType="begin"/>
      </w:r>
      <w:r>
        <w:instrText xml:space="preserve">eq </w:instrText>
      </w:r>
      <w:r>
        <w:rPr>
          <w:noProof/>
        </w:rPr>
        <w:instrText>рассматривают</w:instrText>
      </w:r>
      <w:r>
        <w:rPr>
          <w:noProof/>
          <w:color w:val="FFFFFF"/>
          <w:spacing w:val="-20000"/>
          <w:sz w:val="2"/>
          <w:szCs w:val="28"/>
        </w:rPr>
        <w:instrText> графику</w:instrText>
      </w:r>
      <w:r>
        <w:fldChar w:fldCharType="end"/>
      </w:r>
      <w:r>
        <w:t xml:space="preserve"> поступление в ВУЗы за </w:t>
      </w:r>
      <w:r>
        <w:fldChar w:fldCharType="begin"/>
      </w:r>
      <w:r>
        <w:instrText xml:space="preserve">eq </w:instrText>
      </w:r>
      <w:r>
        <w:rPr>
          <w:noProof/>
          <w:color w:val="FFFFFF"/>
          <w:spacing w:val="-20000"/>
          <w:sz w:val="2"/>
          <w:szCs w:val="28"/>
        </w:rPr>
        <w:instrText xml:space="preserve"> планы </w:instrText>
      </w:r>
      <w:r>
        <w:rPr>
          <w:noProof/>
        </w:rPr>
        <w:instrText>пределами</w:instrText>
      </w:r>
      <w:r>
        <w:rPr>
          <w:noProof/>
          <w:color w:val="FFFFFF"/>
          <w:spacing w:val="-20000"/>
          <w:sz w:val="2"/>
          <w:szCs w:val="28"/>
        </w:rPr>
        <w:instrText> министерство</w:instrText>
      </w:r>
      <w:r>
        <w:fldChar w:fldCharType="end"/>
      </w:r>
      <w:r>
        <w:t xml:space="preserve"> Приморского края. </w:t>
      </w:r>
      <w:r>
        <w:fldChar w:fldCharType="begin"/>
      </w:r>
      <w:r>
        <w:instrText xml:space="preserve">eq </w:instrText>
      </w:r>
      <w:r>
        <w:rPr>
          <w:noProof/>
          <w:color w:val="FFFFFF"/>
          <w:spacing w:val="-20000"/>
          <w:sz w:val="2"/>
          <w:szCs w:val="28"/>
        </w:rPr>
        <w:instrText xml:space="preserve"> предварительно </w:instrText>
      </w:r>
      <w:r>
        <w:rPr>
          <w:noProof/>
        </w:rPr>
        <w:instrText>Во-вторых</w:instrText>
      </w:r>
      <w:r>
        <w:fldChar w:fldCharType="end"/>
      </w:r>
      <w:r>
        <w:t xml:space="preserve"> – это причины, из-за </w:t>
      </w:r>
      <w:r>
        <w:fldChar w:fldCharType="begin"/>
      </w:r>
      <w:r>
        <w:instrText xml:space="preserve">eq </w:instrText>
      </w:r>
      <w:r>
        <w:rPr>
          <w:noProof/>
          <w:color w:val="FFFFFF"/>
          <w:spacing w:val="-20000"/>
          <w:sz w:val="2"/>
          <w:szCs w:val="28"/>
        </w:rPr>
        <w:instrText xml:space="preserve"> платные </w:instrText>
      </w:r>
      <w:r>
        <w:rPr>
          <w:noProof/>
        </w:rPr>
        <w:instrText>которых</w:instrText>
      </w:r>
      <w:r>
        <w:rPr>
          <w:noProof/>
          <w:color w:val="FFFFFF"/>
          <w:spacing w:val="-20000"/>
          <w:sz w:val="2"/>
          <w:szCs w:val="28"/>
        </w:rPr>
        <w:instrText> line</w:instrText>
      </w:r>
      <w:r>
        <w:fldChar w:fldCharType="end"/>
      </w:r>
      <w:r>
        <w:t xml:space="preserve"> они склоняются к </w:t>
      </w:r>
      <w:r>
        <w:fldChar w:fldCharType="begin"/>
      </w:r>
      <w:r>
        <w:instrText xml:space="preserve">eq </w:instrText>
      </w:r>
      <w:r>
        <w:rPr>
          <w:noProof/>
        </w:rPr>
        <w:instrText>такому</w:instrText>
      </w:r>
      <w:r>
        <w:rPr>
          <w:noProof/>
          <w:color w:val="FFFFFF"/>
          <w:spacing w:val="-20000"/>
          <w:sz w:val="2"/>
          <w:szCs w:val="28"/>
        </w:rPr>
        <w:instrText> данного</w:instrText>
      </w:r>
      <w:r>
        <w:fldChar w:fldCharType="end"/>
      </w:r>
      <w:r>
        <w:t xml:space="preserve"> решению; основная </w:t>
      </w:r>
      <w:r>
        <w:fldChar w:fldCharType="begin"/>
      </w:r>
      <w:r>
        <w:instrText xml:space="preserve">eq </w:instrText>
      </w:r>
      <w:r>
        <w:rPr>
          <w:noProof/>
          <w:color w:val="FFFFFF"/>
          <w:spacing w:val="-20000"/>
          <w:sz w:val="2"/>
          <w:szCs w:val="28"/>
        </w:rPr>
        <w:instrText xml:space="preserve"> режим </w:instrText>
      </w:r>
      <w:r>
        <w:rPr>
          <w:noProof/>
        </w:rPr>
        <w:instrText>причина</w:instrText>
      </w:r>
      <w:r>
        <w:rPr>
          <w:noProof/>
          <w:color w:val="FFFFFF"/>
          <w:spacing w:val="-20000"/>
          <w:sz w:val="2"/>
          <w:szCs w:val="28"/>
        </w:rPr>
        <w:instrText> защите</w:instrText>
      </w:r>
      <w:r>
        <w:fldChar w:fldCharType="end"/>
      </w:r>
      <w:r>
        <w:t xml:space="preserve">, по их мнению,  – недостаточный </w:t>
      </w:r>
      <w:r>
        <w:fldChar w:fldCharType="begin"/>
      </w:r>
      <w:r>
        <w:instrText xml:space="preserve">eq </w:instrText>
      </w:r>
      <w:r>
        <w:rPr>
          <w:noProof/>
          <w:color w:val="FFFFFF"/>
          <w:spacing w:val="-20000"/>
          <w:sz w:val="2"/>
          <w:szCs w:val="28"/>
        </w:rPr>
        <w:instrText xml:space="preserve"> высшие </w:instrText>
      </w:r>
      <w:r>
        <w:rPr>
          <w:noProof/>
        </w:rPr>
        <w:instrText>уровень</w:instrText>
      </w:r>
      <w:r>
        <w:fldChar w:fldCharType="end"/>
      </w:r>
      <w:r>
        <w:t xml:space="preserve"> качества образования. </w:t>
      </w:r>
      <w:r>
        <w:fldChar w:fldCharType="begin"/>
      </w:r>
      <w:r>
        <w:instrText xml:space="preserve">eq </w:instrText>
      </w:r>
      <w:r>
        <w:rPr>
          <w:noProof/>
          <w:color w:val="FFFFFF"/>
          <w:spacing w:val="-20000"/>
          <w:sz w:val="2"/>
          <w:szCs w:val="28"/>
        </w:rPr>
        <w:instrText xml:space="preserve"> формирования </w:instrText>
      </w:r>
      <w:r>
        <w:rPr>
          <w:noProof/>
          <w:color w:val="000000"/>
        </w:rPr>
        <w:instrText>Также</w:instrText>
      </w:r>
      <w:r>
        <w:rPr>
          <w:noProof/>
          <w:color w:val="FFFFFF"/>
          <w:spacing w:val="-20000"/>
          <w:sz w:val="2"/>
          <w:szCs w:val="28"/>
        </w:rPr>
        <w:instrText> результата</w:instrText>
      </w:r>
      <w:r>
        <w:fldChar w:fldCharType="end"/>
      </w:r>
      <w:r>
        <w:rPr>
          <w:color w:val="000000"/>
        </w:rPr>
        <w:t xml:space="preserve"> стоит </w:t>
      </w:r>
      <w:r>
        <w:fldChar w:fldCharType="begin"/>
      </w:r>
      <w:r>
        <w:instrText xml:space="preserve">eq </w:instrText>
      </w:r>
      <w:r>
        <w:rPr>
          <w:noProof/>
          <w:color w:val="000000"/>
        </w:rPr>
        <w:instrText>отметить</w:instrText>
      </w:r>
      <w:r>
        <w:rPr>
          <w:noProof/>
          <w:color w:val="FFFFFF"/>
          <w:spacing w:val="-20000"/>
          <w:sz w:val="2"/>
          <w:szCs w:val="28"/>
        </w:rPr>
        <w:instrText> программы</w:instrText>
      </w:r>
      <w:r>
        <w:fldChar w:fldCharType="end"/>
      </w:r>
      <w:r>
        <w:rPr>
          <w:color w:val="000000"/>
        </w:rPr>
        <w:t xml:space="preserve">, что около 20% опрошенных не </w:t>
      </w:r>
      <w:r>
        <w:fldChar w:fldCharType="begin"/>
      </w:r>
      <w:r>
        <w:instrText xml:space="preserve">eq </w:instrText>
      </w:r>
      <w:r>
        <w:rPr>
          <w:noProof/>
          <w:color w:val="FFFFFF"/>
          <w:spacing w:val="-20000"/>
          <w:sz w:val="2"/>
          <w:szCs w:val="28"/>
        </w:rPr>
        <w:instrText xml:space="preserve"> также </w:instrText>
      </w:r>
      <w:r>
        <w:rPr>
          <w:noProof/>
          <w:color w:val="000000"/>
        </w:rPr>
        <w:instrText>видят</w:instrText>
      </w:r>
      <w:r>
        <w:rPr>
          <w:noProof/>
          <w:color w:val="FFFFFF"/>
          <w:spacing w:val="-20000"/>
          <w:sz w:val="2"/>
          <w:szCs w:val="28"/>
        </w:rPr>
        <w:instrText> основная</w:instrText>
      </w:r>
      <w:r>
        <w:fldChar w:fldCharType="end"/>
      </w:r>
      <w:r>
        <w:rPr>
          <w:color w:val="000000"/>
        </w:rPr>
        <w:t xml:space="preserve"> перспектив развития </w:t>
      </w:r>
      <w:r>
        <w:fldChar w:fldCharType="begin"/>
      </w:r>
      <w:r>
        <w:instrText xml:space="preserve">eq </w:instrText>
      </w:r>
      <w:r>
        <w:rPr>
          <w:noProof/>
          <w:color w:val="FFFFFF"/>
          <w:spacing w:val="-20000"/>
          <w:sz w:val="2"/>
          <w:szCs w:val="28"/>
        </w:rPr>
        <w:instrText xml:space="preserve"> министерство </w:instrText>
      </w:r>
      <w:r>
        <w:rPr>
          <w:noProof/>
          <w:color w:val="000000"/>
        </w:rPr>
        <w:instrText>края/страны</w:instrText>
      </w:r>
      <w:r>
        <w:fldChar w:fldCharType="end"/>
      </w:r>
      <w:r>
        <w:rPr>
          <w:color w:val="000000"/>
        </w:rPr>
        <w:t>.</w:t>
      </w:r>
    </w:p>
    <w:p w:rsidR="005E1201" w:rsidRPr="00066AF3" w:rsidRDefault="005E1201" w:rsidP="005E1201">
      <w:pPr>
        <w:tabs>
          <w:tab w:val="left" w:pos="993"/>
        </w:tabs>
        <w:ind w:firstLine="709"/>
        <w:jc w:val="both"/>
        <w:rPr>
          <w:color w:val="000000"/>
        </w:rPr>
      </w:pPr>
      <w:r>
        <w:rPr>
          <w:color w:val="000000"/>
        </w:rPr>
        <w:t xml:space="preserve">Хочется отметить, что </w:t>
      </w:r>
      <w:r>
        <w:fldChar w:fldCharType="begin"/>
      </w:r>
      <w:r>
        <w:instrText xml:space="preserve">eq </w:instrText>
      </w:r>
      <w:r>
        <w:rPr>
          <w:noProof/>
          <w:color w:val="FFFFFF"/>
          <w:spacing w:val="-20000"/>
          <w:sz w:val="2"/>
          <w:szCs w:val="28"/>
        </w:rPr>
        <w:instrText xml:space="preserve"> politiki </w:instrText>
      </w:r>
      <w:r>
        <w:rPr>
          <w:noProof/>
          <w:color w:val="000000"/>
        </w:rPr>
        <w:instrText>миграция</w:instrText>
      </w:r>
      <w:r>
        <w:rPr>
          <w:noProof/>
          <w:color w:val="FFFFFF"/>
          <w:spacing w:val="-20000"/>
          <w:sz w:val="2"/>
          <w:szCs w:val="28"/>
        </w:rPr>
        <w:instrText> маркетинговой</w:instrText>
      </w:r>
      <w:r>
        <w:fldChar w:fldCharType="end"/>
      </w:r>
      <w:r>
        <w:rPr>
          <w:color w:val="000000"/>
        </w:rPr>
        <w:t xml:space="preserve"> потенциальных </w:t>
      </w:r>
      <w:r>
        <w:fldChar w:fldCharType="begin"/>
      </w:r>
      <w:r>
        <w:instrText xml:space="preserve">eq </w:instrText>
      </w:r>
      <w:r>
        <w:rPr>
          <w:noProof/>
          <w:color w:val="000000"/>
        </w:rPr>
        <w:instrText>абитуриентов</w:instrText>
      </w:r>
      <w:r>
        <w:rPr>
          <w:noProof/>
          <w:color w:val="FFFFFF"/>
          <w:spacing w:val="-20000"/>
          <w:sz w:val="2"/>
          <w:szCs w:val="28"/>
        </w:rPr>
        <w:instrText> рынке</w:instrText>
      </w:r>
      <w:r>
        <w:fldChar w:fldCharType="end"/>
      </w:r>
      <w:r>
        <w:rPr>
          <w:color w:val="000000"/>
        </w:rPr>
        <w:t xml:space="preserve"> приморских вузов </w:t>
      </w:r>
      <w:r>
        <w:fldChar w:fldCharType="begin"/>
      </w:r>
      <w:r>
        <w:instrText xml:space="preserve">eq </w:instrText>
      </w:r>
      <w:r>
        <w:rPr>
          <w:noProof/>
          <w:color w:val="FFFFFF"/>
          <w:spacing w:val="-20000"/>
          <w:sz w:val="2"/>
          <w:szCs w:val="28"/>
        </w:rPr>
        <w:instrText xml:space="preserve"> проведенная </w:instrText>
      </w:r>
      <w:r>
        <w:rPr>
          <w:noProof/>
          <w:color w:val="000000"/>
        </w:rPr>
        <w:instrText>является</w:instrText>
      </w:r>
      <w:r>
        <w:rPr>
          <w:noProof/>
          <w:color w:val="FFFFFF"/>
          <w:spacing w:val="-20000"/>
          <w:sz w:val="2"/>
          <w:szCs w:val="28"/>
        </w:rPr>
        <w:instrText> предлагаемых</w:instrText>
      </w:r>
      <w:r>
        <w:fldChar w:fldCharType="end"/>
      </w:r>
      <w:r>
        <w:rPr>
          <w:color w:val="000000"/>
        </w:rPr>
        <w:t xml:space="preserve"> проблемой не только </w:t>
      </w:r>
      <w:r>
        <w:fldChar w:fldCharType="begin"/>
      </w:r>
      <w:r>
        <w:instrText xml:space="preserve">eq </w:instrText>
      </w:r>
      <w:r>
        <w:rPr>
          <w:noProof/>
          <w:color w:val="FFFFFF"/>
          <w:spacing w:val="-20000"/>
          <w:sz w:val="2"/>
          <w:szCs w:val="28"/>
        </w:rPr>
        <w:instrText xml:space="preserve"> высшие </w:instrText>
      </w:r>
      <w:r>
        <w:rPr>
          <w:noProof/>
          <w:color w:val="000000"/>
        </w:rPr>
        <w:instrText>самих</w:instrText>
      </w:r>
      <w:r>
        <w:fldChar w:fldCharType="end"/>
      </w:r>
      <w:r>
        <w:rPr>
          <w:color w:val="000000"/>
        </w:rPr>
        <w:t xml:space="preserve"> высших учебных </w:t>
      </w:r>
      <w:r>
        <w:fldChar w:fldCharType="begin"/>
      </w:r>
      <w:r>
        <w:instrText xml:space="preserve">eq </w:instrText>
      </w:r>
      <w:r>
        <w:rPr>
          <w:noProof/>
          <w:color w:val="FFFFFF"/>
          <w:spacing w:val="-20000"/>
          <w:sz w:val="2"/>
          <w:szCs w:val="28"/>
        </w:rPr>
        <w:instrText xml:space="preserve"> образования </w:instrText>
      </w:r>
      <w:r>
        <w:rPr>
          <w:noProof/>
          <w:color w:val="000000"/>
        </w:rPr>
        <w:instrText>заведений</w:instrText>
      </w:r>
      <w:r>
        <w:rPr>
          <w:noProof/>
          <w:color w:val="FFFFFF"/>
          <w:spacing w:val="-20000"/>
          <w:sz w:val="2"/>
          <w:szCs w:val="28"/>
        </w:rPr>
        <w:instrText> профессии</w:instrText>
      </w:r>
      <w:r>
        <w:fldChar w:fldCharType="end"/>
      </w:r>
      <w:r>
        <w:rPr>
          <w:color w:val="000000"/>
        </w:rPr>
        <w:t xml:space="preserve">, но и проблемой для </w:t>
      </w:r>
      <w:r>
        <w:fldChar w:fldCharType="begin"/>
      </w:r>
      <w:r>
        <w:instrText xml:space="preserve">eq </w:instrText>
      </w:r>
      <w:r>
        <w:rPr>
          <w:noProof/>
          <w:color w:val="000000"/>
        </w:rPr>
        <w:instrText>всего</w:instrText>
      </w:r>
      <w:r>
        <w:rPr>
          <w:noProof/>
          <w:color w:val="FFFFFF"/>
          <w:spacing w:val="-20000"/>
          <w:sz w:val="2"/>
          <w:szCs w:val="28"/>
        </w:rPr>
        <w:instrText> line</w:instrText>
      </w:r>
      <w:r>
        <w:fldChar w:fldCharType="end"/>
      </w:r>
      <w:r>
        <w:rPr>
          <w:color w:val="000000"/>
        </w:rPr>
        <w:t xml:space="preserve"> Приморского края: </w:t>
      </w:r>
      <w:r>
        <w:fldChar w:fldCharType="begin"/>
      </w:r>
      <w:r>
        <w:instrText xml:space="preserve">eq </w:instrText>
      </w:r>
      <w:r>
        <w:rPr>
          <w:noProof/>
          <w:color w:val="FFFFFF"/>
          <w:spacing w:val="-20000"/>
          <w:sz w:val="2"/>
          <w:szCs w:val="28"/>
        </w:rPr>
        <w:instrText xml:space="preserve"> органами </w:instrText>
      </w:r>
      <w:r>
        <w:rPr>
          <w:noProof/>
          <w:color w:val="000000"/>
        </w:rPr>
        <w:instrText>поскольку</w:instrText>
      </w:r>
      <w:r>
        <w:rPr>
          <w:noProof/>
          <w:color w:val="FFFFFF"/>
          <w:spacing w:val="-20000"/>
          <w:sz w:val="2"/>
          <w:szCs w:val="28"/>
        </w:rPr>
        <w:instrText> рамках</w:instrText>
      </w:r>
      <w:r>
        <w:fldChar w:fldCharType="end"/>
      </w:r>
      <w:r>
        <w:rPr>
          <w:color w:val="000000"/>
        </w:rPr>
        <w:t xml:space="preserve"> край на сегодняшний </w:t>
      </w:r>
      <w:r>
        <w:fldChar w:fldCharType="begin"/>
      </w:r>
      <w:r>
        <w:instrText xml:space="preserve">eq </w:instrText>
      </w:r>
      <w:r>
        <w:rPr>
          <w:noProof/>
          <w:color w:val="FFFFFF"/>
          <w:spacing w:val="-20000"/>
          <w:sz w:val="2"/>
          <w:szCs w:val="28"/>
        </w:rPr>
        <w:instrText xml:space="preserve"> самые </w:instrText>
      </w:r>
      <w:r>
        <w:rPr>
          <w:noProof/>
          <w:color w:val="000000"/>
        </w:rPr>
        <w:instrText>день</w:instrText>
      </w:r>
      <w:r>
        <w:fldChar w:fldCharType="end"/>
      </w:r>
      <w:r>
        <w:rPr>
          <w:color w:val="000000"/>
        </w:rPr>
        <w:t xml:space="preserve"> находится в стадии </w:t>
      </w:r>
      <w:r>
        <w:fldChar w:fldCharType="begin"/>
      </w:r>
      <w:r>
        <w:instrText xml:space="preserve">eq </w:instrText>
      </w:r>
      <w:r>
        <w:rPr>
          <w:noProof/>
          <w:color w:val="FFFFFF"/>
          <w:spacing w:val="-20000"/>
          <w:sz w:val="2"/>
          <w:szCs w:val="28"/>
        </w:rPr>
        <w:instrText xml:space="preserve"> речь </w:instrText>
      </w:r>
      <w:r>
        <w:rPr>
          <w:noProof/>
          <w:color w:val="000000"/>
        </w:rPr>
        <w:instrText>активного</w:instrText>
      </w:r>
      <w:r>
        <w:rPr>
          <w:noProof/>
          <w:color w:val="FFFFFF"/>
          <w:spacing w:val="-20000"/>
          <w:sz w:val="2"/>
          <w:szCs w:val="28"/>
        </w:rPr>
        <w:instrText> этом</w:instrText>
      </w:r>
      <w:r>
        <w:fldChar w:fldCharType="end"/>
      </w:r>
      <w:r>
        <w:rPr>
          <w:color w:val="000000"/>
        </w:rPr>
        <w:t xml:space="preserve"> развития, </w:t>
      </w:r>
      <w:r>
        <w:fldChar w:fldCharType="begin"/>
      </w:r>
      <w:r>
        <w:instrText xml:space="preserve">eq </w:instrText>
      </w:r>
      <w:r>
        <w:rPr>
          <w:noProof/>
          <w:color w:val="000000"/>
        </w:rPr>
        <w:instrText>отток</w:instrText>
      </w:r>
      <w:r>
        <w:rPr>
          <w:noProof/>
          <w:color w:val="FFFFFF"/>
          <w:spacing w:val="-20000"/>
          <w:sz w:val="2"/>
          <w:szCs w:val="28"/>
        </w:rPr>
        <w:instrText> перспективы</w:instrText>
      </w:r>
      <w:r>
        <w:fldChar w:fldCharType="end"/>
      </w:r>
      <w:r>
        <w:rPr>
          <w:color w:val="000000"/>
        </w:rPr>
        <w:t xml:space="preserve"> будущих и уже имевшихся </w:t>
      </w:r>
      <w:r>
        <w:fldChar w:fldCharType="begin"/>
      </w:r>
      <w:r>
        <w:instrText xml:space="preserve">eq </w:instrText>
      </w:r>
      <w:r>
        <w:rPr>
          <w:noProof/>
          <w:color w:val="FFFFFF"/>
          <w:spacing w:val="-20000"/>
          <w:sz w:val="2"/>
          <w:szCs w:val="28"/>
        </w:rPr>
        <w:instrText xml:space="preserve"> узам </w:instrText>
      </w:r>
      <w:r>
        <w:rPr>
          <w:noProof/>
          <w:color w:val="000000"/>
        </w:rPr>
        <w:instrText>молодых</w:instrText>
      </w:r>
      <w:r>
        <w:rPr>
          <w:noProof/>
          <w:color w:val="FFFFFF"/>
          <w:spacing w:val="-20000"/>
          <w:sz w:val="2"/>
          <w:szCs w:val="28"/>
        </w:rPr>
        <w:instrText> наименее</w:instrText>
      </w:r>
      <w:r>
        <w:fldChar w:fldCharType="end"/>
      </w:r>
      <w:r>
        <w:rPr>
          <w:color w:val="000000"/>
        </w:rPr>
        <w:t xml:space="preserve"> специалистов, мягко </w:t>
      </w:r>
      <w:r>
        <w:fldChar w:fldCharType="begin"/>
      </w:r>
      <w:r>
        <w:instrText xml:space="preserve">eq </w:instrText>
      </w:r>
      <w:r>
        <w:rPr>
          <w:noProof/>
          <w:color w:val="FFFFFF"/>
          <w:spacing w:val="-20000"/>
          <w:sz w:val="2"/>
          <w:szCs w:val="28"/>
        </w:rPr>
        <w:instrText xml:space="preserve"> рамках </w:instrText>
      </w:r>
      <w:r>
        <w:rPr>
          <w:noProof/>
          <w:color w:val="000000"/>
        </w:rPr>
        <w:instrText>говоря</w:instrText>
      </w:r>
      <w:r>
        <w:fldChar w:fldCharType="end"/>
      </w:r>
      <w:r>
        <w:rPr>
          <w:color w:val="000000"/>
        </w:rPr>
        <w:t xml:space="preserve">, не очень способствует ему </w:t>
      </w:r>
      <w:r>
        <w:fldChar w:fldCharType="begin"/>
      </w:r>
      <w:r>
        <w:instrText xml:space="preserve">eq </w:instrText>
      </w:r>
      <w:r>
        <w:rPr>
          <w:noProof/>
          <w:color w:val="FFFFFF"/>
          <w:spacing w:val="-20000"/>
          <w:sz w:val="2"/>
          <w:szCs w:val="28"/>
        </w:rPr>
        <w:instrText xml:space="preserve"> образования </w:instrText>
      </w:r>
      <w:r>
        <w:rPr>
          <w:noProof/>
          <w:color w:val="000000"/>
        </w:rPr>
        <w:instrText>совершенствоваться</w:instrText>
      </w:r>
      <w:r>
        <w:rPr>
          <w:noProof/>
          <w:color w:val="FFFFFF"/>
          <w:spacing w:val="-20000"/>
          <w:sz w:val="2"/>
          <w:szCs w:val="28"/>
        </w:rPr>
        <w:instrText> бюджетной</w:instrText>
      </w:r>
      <w:r>
        <w:fldChar w:fldCharType="end"/>
      </w:r>
      <w:r>
        <w:rPr>
          <w:color w:val="000000"/>
        </w:rPr>
        <w:t xml:space="preserve">. </w:t>
      </w:r>
    </w:p>
    <w:p w:rsidR="005E1201" w:rsidRPr="0025022D" w:rsidRDefault="005E1201" w:rsidP="005E1201">
      <w:pPr>
        <w:tabs>
          <w:tab w:val="left" w:pos="709"/>
        </w:tabs>
        <w:ind w:right="-1"/>
        <w:contextualSpacing/>
        <w:jc w:val="both"/>
      </w:pPr>
      <w:r>
        <w:rPr>
          <w:lang w:val="en-US"/>
        </w:rPr>
        <w:softHyphen/>
      </w:r>
      <w:r>
        <w:rPr>
          <w:lang w:val="en-US"/>
        </w:rPr>
        <w:softHyphen/>
      </w:r>
      <w:r>
        <w:rPr>
          <w:lang w:val="en-US"/>
        </w:rPr>
        <w:softHyphen/>
      </w:r>
      <w:r>
        <w:rPr>
          <w:lang w:val="en-US"/>
        </w:rPr>
        <w:softHyphen/>
      </w:r>
      <w:r>
        <w:rPr>
          <w:lang w:val="en-US"/>
        </w:rPr>
        <w:softHyphen/>
      </w:r>
      <w:r>
        <w:rPr>
          <w:lang w:val="en-US"/>
        </w:rPr>
        <w:softHyphen/>
      </w:r>
      <w:r>
        <w:rPr>
          <w:lang w:val="en-US"/>
        </w:rPr>
        <w:softHyphen/>
      </w:r>
      <w:r>
        <w:rPr>
          <w:lang w:val="en-US"/>
        </w:rPr>
        <w:softHyphen/>
      </w:r>
      <w:r>
        <w:rPr>
          <w:lang w:val="en-US"/>
        </w:rPr>
        <w:softHyphen/>
      </w:r>
      <w:r>
        <w:rPr>
          <w:lang w:val="en-US"/>
        </w:rPr>
        <w:softHyphen/>
      </w:r>
      <w:r>
        <w:rPr>
          <w:lang w:val="en-US"/>
        </w:rPr>
        <w:softHyphen/>
      </w:r>
      <w:r>
        <w:rPr>
          <w:lang w:val="en-US"/>
        </w:rPr>
        <w:softHyphen/>
      </w:r>
      <w:r>
        <w:rPr>
          <w:lang w:val="en-US"/>
        </w:rPr>
        <w:softHyphen/>
      </w:r>
      <w:r>
        <w:rPr>
          <w:lang w:val="en-US"/>
        </w:rPr>
        <w:softHyphen/>
      </w:r>
      <w:r>
        <w:rPr>
          <w:lang w:val="en-US"/>
        </w:rPr>
        <w:softHyphen/>
      </w:r>
      <w:r>
        <w:rPr>
          <w:lang w:val="en-US"/>
        </w:rPr>
        <w:softHyphen/>
      </w:r>
      <w:r>
        <w:rPr>
          <w:lang w:val="en-US"/>
        </w:rPr>
        <w:softHyphen/>
      </w:r>
      <w:r>
        <w:rPr>
          <w:lang w:val="en-US"/>
        </w:rPr>
        <w:softHyphen/>
      </w:r>
      <w:r>
        <w:rPr>
          <w:lang w:val="en-US"/>
        </w:rPr>
        <w:softHyphen/>
      </w:r>
      <w:r>
        <w:rPr>
          <w:lang w:val="en-US"/>
        </w:rPr>
        <w:softHyphen/>
      </w:r>
      <w:r>
        <w:rPr>
          <w:lang w:val="en-US"/>
        </w:rPr>
        <w:softHyphen/>
      </w:r>
      <w:r>
        <w:rPr>
          <w:lang w:val="en-US"/>
        </w:rPr>
        <w:softHyphen/>
      </w:r>
      <w:r>
        <w:rPr>
          <w:lang w:val="en-US"/>
        </w:rPr>
        <w:softHyphen/>
        <w:t>________________________________________________________________________________</w:t>
      </w:r>
      <w:r>
        <w:t xml:space="preserve"> </w:t>
      </w:r>
    </w:p>
    <w:p w:rsidR="005E1201" w:rsidRDefault="005E1201" w:rsidP="005E1201">
      <w:pPr>
        <w:tabs>
          <w:tab w:val="left" w:pos="709"/>
        </w:tabs>
        <w:ind w:right="-568" w:firstLine="709"/>
        <w:contextualSpacing/>
        <w:jc w:val="both"/>
      </w:pPr>
    </w:p>
    <w:p w:rsidR="005E1201" w:rsidRPr="00C40295" w:rsidRDefault="005E1201" w:rsidP="005B1DF7">
      <w:pPr>
        <w:numPr>
          <w:ilvl w:val="0"/>
          <w:numId w:val="108"/>
        </w:numPr>
        <w:pBdr>
          <w:top w:val="none" w:sz="0" w:space="0" w:color="auto"/>
          <w:left w:val="none" w:sz="0" w:space="0" w:color="auto"/>
          <w:bottom w:val="none" w:sz="0" w:space="0" w:color="auto"/>
          <w:right w:val="none" w:sz="0" w:space="0" w:color="auto"/>
          <w:between w:val="none" w:sz="0" w:space="0" w:color="auto"/>
        </w:pBdr>
        <w:spacing w:after="0" w:line="240" w:lineRule="auto"/>
        <w:ind w:left="284" w:right="-1" w:hanging="284"/>
        <w:contextualSpacing/>
        <w:jc w:val="both"/>
      </w:pPr>
      <w:r>
        <w:fldChar w:fldCharType="begin"/>
      </w:r>
      <w:r>
        <w:instrText xml:space="preserve">eq </w:instrText>
      </w:r>
      <w:r>
        <w:rPr>
          <w:noProof/>
        </w:rPr>
        <w:instrText>Актуальные</w:instrText>
      </w:r>
      <w:r>
        <w:rPr>
          <w:noProof/>
          <w:color w:val="FFFFFF"/>
          <w:spacing w:val="-20000"/>
          <w:sz w:val="2"/>
          <w:szCs w:val="28"/>
        </w:rPr>
        <w:instrText> конкуренции</w:instrText>
      </w:r>
      <w:r>
        <w:fldChar w:fldCharType="end"/>
      </w:r>
      <w:r>
        <w:t xml:space="preserve"> вопросы экономики и </w:t>
      </w:r>
      <w:r>
        <w:fldChar w:fldCharType="begin"/>
      </w:r>
      <w:r>
        <w:instrText xml:space="preserve">eq </w:instrText>
      </w:r>
      <w:r>
        <w:rPr>
          <w:noProof/>
          <w:color w:val="FFFFFF"/>
          <w:spacing w:val="-20000"/>
          <w:sz w:val="2"/>
          <w:szCs w:val="28"/>
        </w:rPr>
        <w:instrText xml:space="preserve"> чего </w:instrText>
      </w:r>
      <w:r>
        <w:rPr>
          <w:noProof/>
        </w:rPr>
        <w:instrText>управления</w:instrText>
      </w:r>
      <w:r>
        <w:rPr>
          <w:noProof/>
          <w:color w:val="FFFFFF"/>
          <w:spacing w:val="-20000"/>
          <w:sz w:val="2"/>
          <w:szCs w:val="28"/>
        </w:rPr>
        <w:instrText> актуальность</w:instrText>
      </w:r>
      <w:r>
        <w:fldChar w:fldCharType="end"/>
      </w:r>
      <w:r>
        <w:t xml:space="preserve">: Специфика образовательной </w:t>
      </w:r>
      <w:r>
        <w:fldChar w:fldCharType="begin"/>
      </w:r>
      <w:r>
        <w:instrText xml:space="preserve">eq </w:instrText>
      </w:r>
      <w:r>
        <w:rPr>
          <w:noProof/>
          <w:color w:val="FFFFFF"/>
          <w:spacing w:val="-20000"/>
          <w:sz w:val="2"/>
          <w:szCs w:val="28"/>
        </w:rPr>
        <w:instrText xml:space="preserve"> сегодняшний </w:instrText>
      </w:r>
      <w:r>
        <w:rPr>
          <w:noProof/>
        </w:rPr>
        <w:instrText>услуги</w:instrText>
      </w:r>
      <w:r>
        <w:fldChar w:fldCharType="end"/>
      </w:r>
      <w:r>
        <w:t xml:space="preserve"> как основа маркетинговой </w:t>
      </w:r>
      <w:r>
        <w:fldChar w:fldCharType="begin"/>
      </w:r>
      <w:r>
        <w:instrText xml:space="preserve">eq </w:instrText>
      </w:r>
      <w:r>
        <w:rPr>
          <w:noProof/>
          <w:color w:val="FFFFFF"/>
          <w:spacing w:val="-20000"/>
          <w:sz w:val="2"/>
          <w:szCs w:val="28"/>
        </w:rPr>
        <w:instrText xml:space="preserve"> самые </w:instrText>
      </w:r>
      <w:r>
        <w:rPr>
          <w:noProof/>
        </w:rPr>
        <w:instrText>политики</w:instrText>
      </w:r>
      <w:r>
        <w:rPr>
          <w:noProof/>
          <w:color w:val="FFFFFF"/>
          <w:spacing w:val="-20000"/>
          <w:sz w:val="2"/>
          <w:szCs w:val="28"/>
        </w:rPr>
        <w:instrText> недостаточный</w:instrText>
      </w:r>
      <w:r>
        <w:fldChar w:fldCharType="end"/>
      </w:r>
      <w:r>
        <w:t xml:space="preserve"> вуза: мат. </w:t>
      </w:r>
      <w:r>
        <w:fldChar w:fldCharType="begin"/>
      </w:r>
      <w:r>
        <w:instrText xml:space="preserve">eq </w:instrText>
      </w:r>
      <w:r>
        <w:rPr>
          <w:noProof/>
        </w:rPr>
        <w:instrText>междунар</w:instrText>
      </w:r>
      <w:r>
        <w:rPr>
          <w:noProof/>
          <w:color w:val="FFFFFF"/>
          <w:spacing w:val="-20000"/>
          <w:sz w:val="2"/>
          <w:szCs w:val="28"/>
        </w:rPr>
        <w:instrText> также</w:instrText>
      </w:r>
      <w:r>
        <w:fldChar w:fldCharType="end"/>
      </w:r>
      <w:r>
        <w:t xml:space="preserve">. науч. конф. </w:t>
      </w:r>
      <w:r>
        <w:fldChar w:fldCharType="begin"/>
      </w:r>
      <w:r>
        <w:instrText xml:space="preserve">eq </w:instrText>
      </w:r>
      <w:r>
        <w:rPr>
          <w:noProof/>
          <w:color w:val="FFFFFF"/>
          <w:spacing w:val="-20000"/>
          <w:sz w:val="2"/>
          <w:szCs w:val="28"/>
        </w:rPr>
        <w:instrText xml:space="preserve"> снижение </w:instrText>
      </w:r>
      <w:r>
        <w:rPr>
          <w:noProof/>
        </w:rPr>
        <w:instrText>апрель</w:instrText>
      </w:r>
      <w:r>
        <w:rPr>
          <w:noProof/>
          <w:color w:val="FFFFFF"/>
          <w:spacing w:val="-20000"/>
          <w:sz w:val="2"/>
          <w:szCs w:val="28"/>
        </w:rPr>
        <w:instrText> программы</w:instrText>
      </w:r>
      <w:r>
        <w:fldChar w:fldCharType="end"/>
      </w:r>
      <w:r>
        <w:t xml:space="preserve"> 2011 г. – Москва: </w:t>
      </w:r>
      <w:r>
        <w:fldChar w:fldCharType="begin"/>
      </w:r>
      <w:r>
        <w:instrText xml:space="preserve">eq </w:instrText>
      </w:r>
      <w:r>
        <w:rPr>
          <w:noProof/>
          <w:color w:val="FFFFFF"/>
          <w:spacing w:val="-20000"/>
          <w:sz w:val="2"/>
          <w:szCs w:val="28"/>
        </w:rPr>
        <w:instrText xml:space="preserve"> услуги </w:instrText>
      </w:r>
      <w:r>
        <w:rPr>
          <w:noProof/>
        </w:rPr>
        <w:instrText>Изд-во</w:instrText>
      </w:r>
      <w:r>
        <w:fldChar w:fldCharType="end"/>
      </w:r>
      <w:r>
        <w:t xml:space="preserve"> РИОР, 2011. – С. </w:t>
      </w:r>
      <w:r>
        <w:fldChar w:fldCharType="begin"/>
      </w:r>
      <w:r>
        <w:instrText xml:space="preserve">eq </w:instrText>
      </w:r>
      <w:r>
        <w:rPr>
          <w:noProof/>
          <w:color w:val="FFFFFF"/>
          <w:spacing w:val="-20000"/>
          <w:sz w:val="2"/>
          <w:szCs w:val="28"/>
        </w:rPr>
        <w:instrText xml:space="preserve"> продолжится </w:instrText>
      </w:r>
      <w:r>
        <w:rPr>
          <w:noProof/>
        </w:rPr>
        <w:instrText>7-12.</w:instrText>
      </w:r>
      <w:r>
        <w:rPr>
          <w:noProof/>
          <w:color w:val="FFFFFF"/>
          <w:spacing w:val="-20000"/>
          <w:sz w:val="2"/>
          <w:szCs w:val="28"/>
        </w:rPr>
        <w:instrText> защите</w:instrText>
      </w:r>
      <w:r>
        <w:fldChar w:fldCharType="end"/>
      </w:r>
      <w:r>
        <w:t xml:space="preserve"> </w:t>
      </w:r>
    </w:p>
    <w:p w:rsidR="005E1201" w:rsidRPr="00C40295" w:rsidRDefault="005E1201" w:rsidP="005B1DF7">
      <w:pPr>
        <w:widowControl w:val="0"/>
        <w:numPr>
          <w:ilvl w:val="0"/>
          <w:numId w:val="108"/>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284" w:hanging="284"/>
        <w:contextualSpacing/>
        <w:jc w:val="both"/>
      </w:pPr>
      <w:r>
        <w:t xml:space="preserve">Боляев Д.А. </w:t>
      </w:r>
      <w:r>
        <w:fldChar w:fldCharType="begin"/>
      </w:r>
      <w:r>
        <w:instrText xml:space="preserve">eq </w:instrText>
      </w:r>
      <w:r>
        <w:rPr>
          <w:noProof/>
        </w:rPr>
        <w:instrText>Результаты</w:instrText>
      </w:r>
      <w:r>
        <w:rPr>
          <w:noProof/>
          <w:color w:val="FFFFFF"/>
          <w:spacing w:val="-20000"/>
          <w:sz w:val="2"/>
          <w:szCs w:val="28"/>
        </w:rPr>
        <w:instrText> пределами</w:instrText>
      </w:r>
      <w:r>
        <w:fldChar w:fldCharType="end"/>
      </w:r>
      <w:r>
        <w:t xml:space="preserve"> и основные направления </w:t>
      </w:r>
      <w:r>
        <w:fldChar w:fldCharType="begin"/>
      </w:r>
      <w:r>
        <w:instrText xml:space="preserve">eq </w:instrText>
      </w:r>
      <w:r>
        <w:rPr>
          <w:noProof/>
          <w:color w:val="FFFFFF"/>
          <w:spacing w:val="-20000"/>
          <w:sz w:val="2"/>
          <w:szCs w:val="28"/>
        </w:rPr>
        <w:instrText xml:space="preserve"> купить </w:instrText>
      </w:r>
      <w:r>
        <w:rPr>
          <w:noProof/>
        </w:rPr>
        <w:instrText>деятельности</w:instrText>
      </w:r>
      <w:r>
        <w:rPr>
          <w:noProof/>
          <w:color w:val="FFFFFF"/>
          <w:spacing w:val="-20000"/>
          <w:sz w:val="2"/>
          <w:szCs w:val="28"/>
        </w:rPr>
        <w:instrText> связанных</w:instrText>
      </w:r>
      <w:r>
        <w:fldChar w:fldCharType="end"/>
      </w:r>
      <w:r>
        <w:t xml:space="preserve"> Министерства образования и </w:t>
      </w:r>
      <w:r>
        <w:fldChar w:fldCharType="begin"/>
      </w:r>
      <w:r>
        <w:instrText xml:space="preserve">eq </w:instrText>
      </w:r>
      <w:r>
        <w:rPr>
          <w:noProof/>
          <w:color w:val="FFFFFF"/>
          <w:spacing w:val="-20000"/>
          <w:sz w:val="2"/>
          <w:szCs w:val="28"/>
        </w:rPr>
        <w:instrText xml:space="preserve"> рамках </w:instrText>
      </w:r>
      <w:r>
        <w:rPr>
          <w:noProof/>
        </w:rPr>
        <w:instrText>науки</w:instrText>
      </w:r>
      <w:r>
        <w:fldChar w:fldCharType="end"/>
      </w:r>
      <w:r>
        <w:t xml:space="preserve"> РФ на 2016-2018 годы [</w:t>
      </w:r>
      <w:r>
        <w:fldChar w:fldCharType="begin"/>
      </w:r>
      <w:r>
        <w:instrText xml:space="preserve">eq </w:instrText>
      </w:r>
      <w:r>
        <w:rPr>
          <w:noProof/>
          <w:color w:val="FFFFFF"/>
          <w:spacing w:val="-20000"/>
          <w:sz w:val="2"/>
          <w:szCs w:val="28"/>
        </w:rPr>
        <w:instrText xml:space="preserve"> защите </w:instrText>
      </w:r>
      <w:r>
        <w:rPr>
          <w:noProof/>
        </w:rPr>
        <w:instrText>Электронный</w:instrText>
      </w:r>
      <w:r>
        <w:rPr>
          <w:noProof/>
          <w:color w:val="FFFFFF"/>
          <w:spacing w:val="-20000"/>
          <w:sz w:val="2"/>
          <w:szCs w:val="28"/>
        </w:rPr>
        <w:instrText> результата</w:instrText>
      </w:r>
      <w:r>
        <w:fldChar w:fldCharType="end"/>
      </w:r>
      <w:r>
        <w:t xml:space="preserve"> ресурс] / Д.А. </w:t>
      </w:r>
      <w:r>
        <w:fldChar w:fldCharType="begin"/>
      </w:r>
      <w:r>
        <w:instrText xml:space="preserve">eq </w:instrText>
      </w:r>
      <w:r>
        <w:rPr>
          <w:noProof/>
        </w:rPr>
        <w:instrText>Беляев</w:instrText>
      </w:r>
      <w:r>
        <w:rPr>
          <w:noProof/>
          <w:color w:val="FFFFFF"/>
          <w:spacing w:val="-20000"/>
          <w:sz w:val="2"/>
          <w:szCs w:val="28"/>
        </w:rPr>
        <w:instrText> режим</w:instrText>
      </w:r>
      <w:r>
        <w:fldChar w:fldCharType="end"/>
      </w:r>
      <w:r>
        <w:t xml:space="preserve"> // Дмитрий Анатольевич </w:t>
      </w:r>
      <w:r>
        <w:fldChar w:fldCharType="begin"/>
      </w:r>
      <w:r>
        <w:instrText xml:space="preserve">eq </w:instrText>
      </w:r>
      <w:r>
        <w:rPr>
          <w:noProof/>
          <w:color w:val="FFFFFF"/>
          <w:spacing w:val="-20000"/>
          <w:sz w:val="2"/>
          <w:szCs w:val="28"/>
        </w:rPr>
        <w:instrText xml:space="preserve"> конкуренции </w:instrText>
      </w:r>
      <w:r>
        <w:rPr>
          <w:noProof/>
        </w:rPr>
        <w:instrText>Беляев</w:instrText>
      </w:r>
      <w:r>
        <w:rPr>
          <w:noProof/>
          <w:color w:val="FFFFFF"/>
          <w:spacing w:val="-20000"/>
          <w:sz w:val="2"/>
          <w:szCs w:val="28"/>
        </w:rPr>
        <w:instrText> отрицательных</w:instrText>
      </w:r>
      <w:r>
        <w:fldChar w:fldCharType="end"/>
      </w:r>
      <w:r>
        <w:t xml:space="preserve">, персональный сайт и </w:t>
      </w:r>
      <w:r>
        <w:fldChar w:fldCharType="begin"/>
      </w:r>
      <w:r>
        <w:instrText xml:space="preserve">eq </w:instrText>
      </w:r>
      <w:r>
        <w:rPr>
          <w:noProof/>
          <w:color w:val="FFFFFF"/>
          <w:spacing w:val="-20000"/>
          <w:sz w:val="2"/>
          <w:szCs w:val="28"/>
        </w:rPr>
        <w:instrText xml:space="preserve"> первую </w:instrText>
      </w:r>
      <w:r>
        <w:rPr>
          <w:noProof/>
        </w:rPr>
        <w:instrText>блог</w:instrText>
      </w:r>
      <w:r>
        <w:fldChar w:fldCharType="end"/>
      </w:r>
      <w:r>
        <w:t xml:space="preserve">. – Режим доступа: </w:t>
      </w:r>
      <w:hyperlink r:id="rId358" w:history="1">
        <w:r w:rsidRPr="00C40295">
          <w:rPr>
            <w:rStyle w:val="aa"/>
            <w:rFonts w:eastAsia="Arial"/>
          </w:rPr>
          <w:t>http://bda-expert.com/2015/04/rezultaty-i-osnovnye-napravleniya-deyatelnosti-ministerstva-obrazovaniya-i-nauki-rossijskoj-federacii-na-2016-2018-gody/</w:t>
        </w:r>
      </w:hyperlink>
      <w:r>
        <w:t xml:space="preserve">( </w:t>
      </w:r>
      <w:r>
        <w:fldChar w:fldCharType="begin"/>
      </w:r>
      <w:r>
        <w:instrText xml:space="preserve">eq </w:instrText>
      </w:r>
      <w:r>
        <w:rPr>
          <w:noProof/>
          <w:color w:val="FFFFFF"/>
          <w:spacing w:val="-20000"/>
          <w:sz w:val="2"/>
          <w:szCs w:val="28"/>
        </w:rPr>
        <w:instrText xml:space="preserve"> вместе </w:instrText>
      </w:r>
      <w:r>
        <w:rPr>
          <w:noProof/>
        </w:rPr>
        <w:instrText>дата</w:instrText>
      </w:r>
      <w:r>
        <w:rPr>
          <w:noProof/>
          <w:color w:val="FFFFFF"/>
          <w:spacing w:val="-20000"/>
          <w:sz w:val="2"/>
          <w:szCs w:val="28"/>
        </w:rPr>
        <w:instrText> программы</w:instrText>
      </w:r>
      <w:r>
        <w:fldChar w:fldCharType="end"/>
      </w:r>
      <w:r>
        <w:t xml:space="preserve"> обращения:10.05.17).</w:t>
      </w:r>
    </w:p>
    <w:p w:rsidR="005E1201" w:rsidRDefault="005E1201" w:rsidP="005B1DF7">
      <w:pPr>
        <w:widowControl w:val="0"/>
        <w:numPr>
          <w:ilvl w:val="0"/>
          <w:numId w:val="108"/>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284" w:hanging="284"/>
        <w:contextualSpacing/>
        <w:jc w:val="both"/>
      </w:pPr>
      <w:r>
        <w:fldChar w:fldCharType="begin"/>
      </w:r>
      <w:r>
        <w:instrText xml:space="preserve">eq </w:instrText>
      </w:r>
      <w:r>
        <w:rPr>
          <w:noProof/>
        </w:rPr>
        <w:instrText>Ильинскии</w:instrText>
      </w:r>
      <w:r>
        <w:rPr>
          <w:noProof/>
          <w:color w:val="FFFFFF"/>
          <w:spacing w:val="-20000"/>
          <w:sz w:val="2"/>
          <w:szCs w:val="28"/>
        </w:rPr>
        <w:instrText> опрошенных</w:instrText>
      </w:r>
      <w:r>
        <w:fldChar w:fldCharType="end"/>
      </w:r>
      <w:r>
        <w:t xml:space="preserve">̆ И.М. О ситуации, некоторых </w:t>
      </w:r>
      <w:r>
        <w:fldChar w:fldCharType="begin"/>
      </w:r>
      <w:r>
        <w:instrText xml:space="preserve">eq </w:instrText>
      </w:r>
      <w:r>
        <w:rPr>
          <w:noProof/>
          <w:color w:val="FFFFFF"/>
          <w:spacing w:val="-20000"/>
          <w:sz w:val="2"/>
          <w:szCs w:val="28"/>
        </w:rPr>
        <w:instrText xml:space="preserve"> данным </w:instrText>
      </w:r>
      <w:r>
        <w:rPr>
          <w:noProof/>
        </w:rPr>
        <w:instrText>прогнозах</w:instrText>
      </w:r>
      <w:r>
        <w:rPr>
          <w:noProof/>
          <w:color w:val="FFFFFF"/>
          <w:spacing w:val="-20000"/>
          <w:sz w:val="2"/>
          <w:szCs w:val="28"/>
        </w:rPr>
        <w:instrText> стоит</w:instrText>
      </w:r>
      <w:r>
        <w:fldChar w:fldCharType="end"/>
      </w:r>
      <w:r>
        <w:t xml:space="preserve"> и стратегиях развития </w:t>
      </w:r>
      <w:r>
        <w:fldChar w:fldCharType="begin"/>
      </w:r>
      <w:r>
        <w:instrText xml:space="preserve">eq </w:instrText>
      </w:r>
      <w:r>
        <w:rPr>
          <w:noProof/>
          <w:color w:val="FFFFFF"/>
          <w:spacing w:val="-20000"/>
          <w:sz w:val="2"/>
          <w:szCs w:val="28"/>
        </w:rPr>
        <w:instrText xml:space="preserve"> которых </w:instrText>
      </w:r>
      <w:r>
        <w:rPr>
          <w:noProof/>
        </w:rPr>
        <w:instrText>негосударственного</w:instrText>
      </w:r>
      <w:r>
        <w:fldChar w:fldCharType="end"/>
      </w:r>
      <w:r>
        <w:t xml:space="preserve"> высшего профессионального </w:t>
      </w:r>
      <w:r>
        <w:fldChar w:fldCharType="begin"/>
      </w:r>
      <w:r>
        <w:instrText xml:space="preserve">eq </w:instrText>
      </w:r>
      <w:r>
        <w:rPr>
          <w:noProof/>
          <w:color w:val="FFFFFF"/>
          <w:spacing w:val="-20000"/>
          <w:sz w:val="2"/>
          <w:szCs w:val="28"/>
        </w:rPr>
        <w:instrText xml:space="preserve"> молодым </w:instrText>
      </w:r>
      <w:r>
        <w:rPr>
          <w:noProof/>
        </w:rPr>
        <w:instrText>образования</w:instrText>
      </w:r>
      <w:r>
        <w:rPr>
          <w:noProof/>
          <w:color w:val="FFFFFF"/>
          <w:spacing w:val="-20000"/>
          <w:sz w:val="2"/>
          <w:szCs w:val="28"/>
        </w:rPr>
        <w:instrText> результаты</w:instrText>
      </w:r>
      <w:r>
        <w:fldChar w:fldCharType="end"/>
      </w:r>
      <w:r>
        <w:t xml:space="preserve"> в России в </w:t>
      </w:r>
      <w:r>
        <w:fldChar w:fldCharType="begin"/>
      </w:r>
      <w:r>
        <w:instrText xml:space="preserve">eq </w:instrText>
      </w:r>
      <w:r>
        <w:rPr>
          <w:noProof/>
        </w:rPr>
        <w:instrText>связи</w:instrText>
      </w:r>
      <w:r>
        <w:rPr>
          <w:noProof/>
          <w:color w:val="FFFFFF"/>
          <w:spacing w:val="-20000"/>
          <w:sz w:val="2"/>
          <w:szCs w:val="28"/>
        </w:rPr>
        <w:instrText> направленные</w:instrText>
      </w:r>
      <w:r>
        <w:fldChar w:fldCharType="end"/>
      </w:r>
      <w:r>
        <w:t xml:space="preserve"> с демографической ямой / И.М. </w:t>
      </w:r>
      <w:r>
        <w:fldChar w:fldCharType="begin"/>
      </w:r>
      <w:r>
        <w:instrText xml:space="preserve">eq </w:instrText>
      </w:r>
      <w:r>
        <w:rPr>
          <w:noProof/>
          <w:color w:val="FFFFFF"/>
          <w:spacing w:val="-20000"/>
          <w:sz w:val="2"/>
          <w:szCs w:val="28"/>
        </w:rPr>
        <w:instrText xml:space="preserve"> шинкарева </w:instrText>
      </w:r>
      <w:r>
        <w:rPr>
          <w:noProof/>
        </w:rPr>
        <w:instrText>Ильинский</w:instrText>
      </w:r>
      <w:r>
        <w:rPr>
          <w:noProof/>
          <w:color w:val="FFFFFF"/>
          <w:spacing w:val="-20000"/>
          <w:sz w:val="2"/>
          <w:szCs w:val="28"/>
        </w:rPr>
        <w:instrText> выпускников</w:instrText>
      </w:r>
      <w:r>
        <w:fldChar w:fldCharType="end"/>
      </w:r>
      <w:r>
        <w:t xml:space="preserve"> // Знание. Понимание. </w:t>
      </w:r>
      <w:r>
        <w:fldChar w:fldCharType="begin"/>
      </w:r>
      <w:r>
        <w:instrText xml:space="preserve">eq </w:instrText>
      </w:r>
      <w:r>
        <w:rPr>
          <w:noProof/>
          <w:color w:val="FFFFFF"/>
          <w:spacing w:val="-20000"/>
          <w:sz w:val="2"/>
          <w:szCs w:val="28"/>
        </w:rPr>
        <w:instrText xml:space="preserve"> внимание </w:instrText>
      </w:r>
      <w:r>
        <w:rPr>
          <w:noProof/>
        </w:rPr>
        <w:instrText>Умение</w:instrText>
      </w:r>
      <w:r>
        <w:fldChar w:fldCharType="end"/>
      </w:r>
      <w:r>
        <w:t>. – 2010. – № 4. – С. 4-15.</w:t>
      </w:r>
    </w:p>
    <w:p w:rsidR="005E1201" w:rsidRPr="00C40295" w:rsidRDefault="005E1201" w:rsidP="005B1DF7">
      <w:pPr>
        <w:numPr>
          <w:ilvl w:val="0"/>
          <w:numId w:val="108"/>
        </w:numPr>
        <w:pBdr>
          <w:top w:val="none" w:sz="0" w:space="0" w:color="auto"/>
          <w:left w:val="none" w:sz="0" w:space="0" w:color="auto"/>
          <w:bottom w:val="none" w:sz="0" w:space="0" w:color="auto"/>
          <w:right w:val="none" w:sz="0" w:space="0" w:color="auto"/>
          <w:between w:val="none" w:sz="0" w:space="0" w:color="auto"/>
        </w:pBdr>
        <w:spacing w:after="0" w:line="240" w:lineRule="auto"/>
        <w:ind w:left="284" w:right="-1" w:hanging="284"/>
        <w:contextualSpacing/>
        <w:jc w:val="both"/>
      </w:pPr>
      <w:r>
        <w:fldChar w:fldCharType="begin"/>
      </w:r>
      <w:r>
        <w:instrText xml:space="preserve">eq </w:instrText>
      </w:r>
      <w:r>
        <w:rPr>
          <w:noProof/>
          <w:color w:val="FFFFFF"/>
          <w:spacing w:val="-20000"/>
          <w:sz w:val="2"/>
          <w:szCs w:val="28"/>
        </w:rPr>
        <w:instrText xml:space="preserve"> вместе </w:instrText>
      </w:r>
      <w:r>
        <w:rPr>
          <w:noProof/>
          <w:shd w:val="clear" w:color="auto" w:fill="FFFFFF"/>
        </w:rPr>
        <w:instrText>Шинкарева</w:instrText>
      </w:r>
      <w:r>
        <w:rPr>
          <w:noProof/>
          <w:color w:val="FFFFFF"/>
          <w:spacing w:val="-20000"/>
          <w:sz w:val="2"/>
          <w:szCs w:val="28"/>
        </w:rPr>
        <w:instrText> сегодняшний</w:instrText>
      </w:r>
      <w:r>
        <w:fldChar w:fldCharType="end"/>
      </w:r>
      <w:r>
        <w:rPr>
          <w:shd w:val="clear" w:color="auto" w:fill="FFFFFF"/>
        </w:rPr>
        <w:t xml:space="preserve"> Л.В., Дополнительные </w:t>
      </w:r>
      <w:r>
        <w:fldChar w:fldCharType="begin"/>
      </w:r>
      <w:r>
        <w:instrText xml:space="preserve">eq </w:instrText>
      </w:r>
      <w:r>
        <w:rPr>
          <w:noProof/>
          <w:shd w:val="clear" w:color="auto" w:fill="FFFFFF"/>
        </w:rPr>
        <w:instrText>образовательные</w:instrText>
      </w:r>
      <w:r>
        <w:rPr>
          <w:noProof/>
          <w:color w:val="FFFFFF"/>
          <w:spacing w:val="-20000"/>
          <w:sz w:val="2"/>
          <w:szCs w:val="28"/>
        </w:rPr>
        <w:instrText> открытых</w:instrText>
      </w:r>
      <w:r>
        <w:fldChar w:fldCharType="end"/>
      </w:r>
      <w:r>
        <w:rPr>
          <w:shd w:val="clear" w:color="auto" w:fill="FFFFFF"/>
        </w:rPr>
        <w:t xml:space="preserve"> услуги в дошкольном </w:t>
      </w:r>
      <w:r>
        <w:fldChar w:fldCharType="begin"/>
      </w:r>
      <w:r>
        <w:instrText xml:space="preserve">eq </w:instrText>
      </w:r>
      <w:r>
        <w:rPr>
          <w:noProof/>
          <w:color w:val="FFFFFF"/>
          <w:spacing w:val="-20000"/>
          <w:sz w:val="2"/>
          <w:szCs w:val="28"/>
        </w:rPr>
        <w:instrText xml:space="preserve"> таким </w:instrText>
      </w:r>
      <w:r>
        <w:rPr>
          <w:noProof/>
          <w:shd w:val="clear" w:color="auto" w:fill="FFFFFF"/>
        </w:rPr>
        <w:instrText>учреждении</w:instrText>
      </w:r>
      <w:r>
        <w:rPr>
          <w:noProof/>
          <w:color w:val="FFFFFF"/>
          <w:spacing w:val="-20000"/>
          <w:sz w:val="2"/>
          <w:szCs w:val="28"/>
        </w:rPr>
        <w:instrText> боляев</w:instrText>
      </w:r>
      <w:r>
        <w:fldChar w:fldCharType="end"/>
      </w:r>
      <w:r>
        <w:rPr>
          <w:shd w:val="clear" w:color="auto" w:fill="FFFFFF"/>
        </w:rPr>
        <w:t xml:space="preserve">: понятие, виды, </w:t>
      </w:r>
      <w:r>
        <w:fldChar w:fldCharType="begin"/>
      </w:r>
      <w:r>
        <w:instrText xml:space="preserve">eq </w:instrText>
      </w:r>
      <w:r>
        <w:rPr>
          <w:noProof/>
          <w:color w:val="FFFFFF"/>
          <w:spacing w:val="-20000"/>
          <w:sz w:val="2"/>
          <w:szCs w:val="28"/>
        </w:rPr>
        <w:instrText xml:space="preserve"> которые </w:instrText>
      </w:r>
      <w:r>
        <w:rPr>
          <w:noProof/>
          <w:shd w:val="clear" w:color="auto" w:fill="FFFFFF"/>
        </w:rPr>
        <w:instrText>особенности</w:instrText>
      </w:r>
      <w:r>
        <w:fldChar w:fldCharType="end"/>
      </w:r>
      <w:r>
        <w:rPr>
          <w:shd w:val="clear" w:color="auto" w:fill="FFFFFF"/>
        </w:rPr>
        <w:t xml:space="preserve"> реализации / Л.В. Шинкарева, А.А. </w:t>
      </w:r>
      <w:r>
        <w:fldChar w:fldCharType="begin"/>
      </w:r>
      <w:r>
        <w:instrText xml:space="preserve">eq </w:instrText>
      </w:r>
      <w:r>
        <w:rPr>
          <w:noProof/>
          <w:color w:val="FFFFFF"/>
          <w:spacing w:val="-20000"/>
          <w:sz w:val="2"/>
          <w:szCs w:val="28"/>
        </w:rPr>
        <w:instrText xml:space="preserve"> товары </w:instrText>
      </w:r>
      <w:r>
        <w:rPr>
          <w:noProof/>
          <w:shd w:val="clear" w:color="auto" w:fill="FFFFFF"/>
        </w:rPr>
        <w:instrText>Воробьева</w:instrText>
      </w:r>
      <w:r>
        <w:rPr>
          <w:noProof/>
          <w:color w:val="FFFFFF"/>
          <w:spacing w:val="-20000"/>
          <w:sz w:val="2"/>
          <w:szCs w:val="28"/>
        </w:rPr>
        <w:instrText> проведенная</w:instrText>
      </w:r>
      <w:r>
        <w:fldChar w:fldCharType="end"/>
      </w:r>
      <w:r>
        <w:rPr>
          <w:shd w:val="clear" w:color="auto" w:fill="FFFFFF"/>
        </w:rPr>
        <w:t xml:space="preserve"> // Проблемы и </w:t>
      </w:r>
      <w:r>
        <w:fldChar w:fldCharType="begin"/>
      </w:r>
      <w:r>
        <w:instrText xml:space="preserve">eq </w:instrText>
      </w:r>
      <w:r>
        <w:rPr>
          <w:noProof/>
          <w:shd w:val="clear" w:color="auto" w:fill="FFFFFF"/>
        </w:rPr>
        <w:instrText>перспективы</w:instrText>
      </w:r>
      <w:r>
        <w:rPr>
          <w:noProof/>
          <w:color w:val="FFFFFF"/>
          <w:spacing w:val="-20000"/>
          <w:sz w:val="2"/>
          <w:szCs w:val="28"/>
        </w:rPr>
        <w:instrText> респондентов</w:instrText>
      </w:r>
      <w:r>
        <w:fldChar w:fldCharType="end"/>
      </w:r>
      <w:r>
        <w:rPr>
          <w:shd w:val="clear" w:color="auto" w:fill="FFFFFF"/>
        </w:rPr>
        <w:t xml:space="preserve"> развития образования: мат. </w:t>
      </w:r>
      <w:r>
        <w:fldChar w:fldCharType="begin"/>
      </w:r>
      <w:r>
        <w:instrText xml:space="preserve">eq </w:instrText>
      </w:r>
      <w:r>
        <w:rPr>
          <w:noProof/>
          <w:color w:val="FFFFFF"/>
          <w:spacing w:val="-20000"/>
          <w:sz w:val="2"/>
          <w:szCs w:val="28"/>
        </w:rPr>
        <w:instrText xml:space="preserve"> перспективы </w:instrText>
      </w:r>
      <w:r>
        <w:rPr>
          <w:noProof/>
          <w:shd w:val="clear" w:color="auto" w:fill="FFFFFF"/>
        </w:rPr>
        <w:instrText>Междунар</w:instrText>
      </w:r>
      <w:r>
        <w:rPr>
          <w:noProof/>
          <w:color w:val="FFFFFF"/>
          <w:spacing w:val="-20000"/>
          <w:sz w:val="2"/>
          <w:szCs w:val="28"/>
        </w:rPr>
        <w:instrText> новосибирский</w:instrText>
      </w:r>
      <w:r>
        <w:fldChar w:fldCharType="end"/>
      </w:r>
      <w:r>
        <w:rPr>
          <w:shd w:val="clear" w:color="auto" w:fill="FFFFFF"/>
        </w:rPr>
        <w:t xml:space="preserve">. науч. конф., </w:t>
      </w:r>
      <w:r>
        <w:fldChar w:fldCharType="begin"/>
      </w:r>
      <w:r>
        <w:instrText xml:space="preserve">eq </w:instrText>
      </w:r>
      <w:r>
        <w:rPr>
          <w:noProof/>
          <w:color w:val="FFFFFF"/>
          <w:spacing w:val="-20000"/>
          <w:sz w:val="2"/>
          <w:szCs w:val="28"/>
        </w:rPr>
        <w:instrText xml:space="preserve"> процессе </w:instrText>
      </w:r>
      <w:r>
        <w:rPr>
          <w:noProof/>
          <w:shd w:val="clear" w:color="auto" w:fill="FFFFFF"/>
        </w:rPr>
        <w:instrText>Пермь</w:instrText>
      </w:r>
      <w:r>
        <w:fldChar w:fldCharType="end"/>
      </w:r>
      <w:r>
        <w:rPr>
          <w:shd w:val="clear" w:color="auto" w:fill="FFFFFF"/>
        </w:rPr>
        <w:t xml:space="preserve">, апрель 2011 г. </w:t>
      </w:r>
      <w:r>
        <w:t>–</w:t>
      </w:r>
      <w:r>
        <w:rPr>
          <w:shd w:val="clear" w:color="auto" w:fill="FFFFFF"/>
        </w:rPr>
        <w:t xml:space="preserve"> </w:t>
      </w:r>
      <w:r>
        <w:fldChar w:fldCharType="begin"/>
      </w:r>
      <w:r>
        <w:instrText xml:space="preserve">eq </w:instrText>
      </w:r>
      <w:r>
        <w:rPr>
          <w:noProof/>
          <w:color w:val="FFFFFF"/>
          <w:spacing w:val="-20000"/>
          <w:sz w:val="2"/>
          <w:szCs w:val="28"/>
        </w:rPr>
        <w:instrText xml:space="preserve"> napravleniya </w:instrText>
      </w:r>
      <w:r>
        <w:rPr>
          <w:noProof/>
          <w:shd w:val="clear" w:color="auto" w:fill="FFFFFF"/>
        </w:rPr>
        <w:instrText>Пермь</w:instrText>
      </w:r>
      <w:r>
        <w:rPr>
          <w:noProof/>
          <w:color w:val="FFFFFF"/>
          <w:spacing w:val="-20000"/>
          <w:sz w:val="2"/>
          <w:szCs w:val="28"/>
        </w:rPr>
        <w:instrText> направленные</w:instrText>
      </w:r>
      <w:r>
        <w:fldChar w:fldCharType="end"/>
      </w:r>
      <w:r>
        <w:rPr>
          <w:shd w:val="clear" w:color="auto" w:fill="FFFFFF"/>
        </w:rPr>
        <w:t xml:space="preserve">: Изд-во </w:t>
      </w:r>
      <w:r>
        <w:fldChar w:fldCharType="begin"/>
      </w:r>
      <w:r>
        <w:instrText xml:space="preserve">eq </w:instrText>
      </w:r>
      <w:r>
        <w:rPr>
          <w:noProof/>
          <w:shd w:val="clear" w:color="auto" w:fill="FFFFFF"/>
        </w:rPr>
        <w:instrText>Меркурий</w:instrText>
      </w:r>
      <w:r>
        <w:rPr>
          <w:noProof/>
          <w:color w:val="FFFFFF"/>
          <w:spacing w:val="-20000"/>
          <w:sz w:val="2"/>
          <w:szCs w:val="28"/>
        </w:rPr>
        <w:instrText> направленные</w:instrText>
      </w:r>
      <w:r>
        <w:fldChar w:fldCharType="end"/>
      </w:r>
      <w:r>
        <w:rPr>
          <w:shd w:val="clear" w:color="auto" w:fill="FFFFFF"/>
        </w:rPr>
        <w:t xml:space="preserve">, 2011. </w:t>
      </w:r>
      <w:r>
        <w:t>–</w:t>
      </w:r>
      <w:r>
        <w:rPr>
          <w:shd w:val="clear" w:color="auto" w:fill="FFFFFF"/>
        </w:rPr>
        <w:t xml:space="preserve"> С. 92-95.</w:t>
      </w:r>
    </w:p>
    <w:p w:rsidR="005E1201" w:rsidRPr="00C40295" w:rsidRDefault="005E1201" w:rsidP="005B1DF7">
      <w:pPr>
        <w:widowControl w:val="0"/>
        <w:numPr>
          <w:ilvl w:val="0"/>
          <w:numId w:val="108"/>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284" w:hanging="284"/>
        <w:contextualSpacing/>
        <w:jc w:val="both"/>
      </w:pPr>
      <w:r>
        <w:fldChar w:fldCharType="begin"/>
      </w:r>
      <w:r>
        <w:instrText xml:space="preserve">eq </w:instrText>
      </w:r>
      <w:r>
        <w:rPr>
          <w:noProof/>
          <w:color w:val="FFFFFF"/>
          <w:spacing w:val="-20000"/>
          <w:sz w:val="2"/>
          <w:szCs w:val="28"/>
        </w:rPr>
        <w:instrText xml:space="preserve"> респондентов </w:instrText>
      </w:r>
      <w:r>
        <w:rPr>
          <w:noProof/>
        </w:rPr>
        <w:instrText>Аскеров</w:instrText>
      </w:r>
      <w:r>
        <w:rPr>
          <w:noProof/>
          <w:color w:val="FFFFFF"/>
          <w:spacing w:val="-20000"/>
          <w:sz w:val="2"/>
          <w:szCs w:val="28"/>
        </w:rPr>
        <w:instrText> учились</w:instrText>
      </w:r>
      <w:r>
        <w:fldChar w:fldCharType="end"/>
      </w:r>
      <w:r>
        <w:t xml:space="preserve"> С. Российское высшее </w:t>
      </w:r>
      <w:r>
        <w:fldChar w:fldCharType="begin"/>
      </w:r>
      <w:r>
        <w:instrText xml:space="preserve">eq </w:instrText>
      </w:r>
      <w:r>
        <w:rPr>
          <w:noProof/>
          <w:color w:val="FFFFFF"/>
          <w:spacing w:val="-20000"/>
          <w:sz w:val="2"/>
          <w:szCs w:val="28"/>
        </w:rPr>
        <w:instrText xml:space="preserve"> услуги </w:instrText>
      </w:r>
      <w:r>
        <w:rPr>
          <w:noProof/>
        </w:rPr>
        <w:instrText>образование</w:instrText>
      </w:r>
      <w:r>
        <w:fldChar w:fldCharType="end"/>
      </w:r>
      <w:r>
        <w:t xml:space="preserve"> ждет сокращение </w:t>
      </w:r>
      <w:r>
        <w:fldChar w:fldCharType="begin"/>
      </w:r>
      <w:r>
        <w:instrText xml:space="preserve">eq </w:instrText>
      </w:r>
      <w:r>
        <w:rPr>
          <w:noProof/>
          <w:color w:val="FFFFFF"/>
          <w:spacing w:val="-20000"/>
          <w:sz w:val="2"/>
          <w:szCs w:val="28"/>
        </w:rPr>
        <w:instrText xml:space="preserve"> первую </w:instrText>
      </w:r>
      <w:r>
        <w:rPr>
          <w:noProof/>
        </w:rPr>
        <w:instrText>финансирования</w:instrText>
      </w:r>
      <w:r>
        <w:rPr>
          <w:noProof/>
          <w:color w:val="FFFFFF"/>
          <w:spacing w:val="-20000"/>
          <w:sz w:val="2"/>
          <w:szCs w:val="28"/>
        </w:rPr>
        <w:instrText> такой</w:instrText>
      </w:r>
      <w:r>
        <w:fldChar w:fldCharType="end"/>
      </w:r>
      <w:r>
        <w:t xml:space="preserve"> [Электронный </w:t>
      </w:r>
      <w:r>
        <w:fldChar w:fldCharType="begin"/>
      </w:r>
      <w:r>
        <w:instrText xml:space="preserve">eq </w:instrText>
      </w:r>
      <w:r>
        <w:rPr>
          <w:noProof/>
        </w:rPr>
        <w:instrText>ресурс</w:instrText>
      </w:r>
      <w:r>
        <w:rPr>
          <w:noProof/>
          <w:color w:val="FFFFFF"/>
          <w:spacing w:val="-20000"/>
          <w:sz w:val="2"/>
          <w:szCs w:val="28"/>
        </w:rPr>
        <w:instrText> учебном</w:instrText>
      </w:r>
      <w:r>
        <w:fldChar w:fldCharType="end"/>
      </w:r>
      <w:r>
        <w:t>] / С.Аскеров // Интернет-журнал «</w:t>
      </w:r>
      <w:r>
        <w:fldChar w:fldCharType="begin"/>
      </w:r>
      <w:r>
        <w:instrText xml:space="preserve">eq </w:instrText>
      </w:r>
      <w:r>
        <w:rPr>
          <w:noProof/>
          <w:color w:val="FFFFFF"/>
          <w:spacing w:val="-20000"/>
          <w:sz w:val="2"/>
          <w:szCs w:val="28"/>
        </w:rPr>
        <w:instrText xml:space="preserve"> результаты </w:instrText>
      </w:r>
      <w:r>
        <w:rPr>
          <w:noProof/>
        </w:rPr>
        <w:instrText>Молодой</w:instrText>
      </w:r>
      <w:r>
        <w:rPr>
          <w:noProof/>
          <w:color w:val="FFFFFF"/>
          <w:spacing w:val="-20000"/>
          <w:sz w:val="2"/>
          <w:szCs w:val="28"/>
        </w:rPr>
        <w:instrText> данный</w:instrText>
      </w:r>
      <w:r>
        <w:fldChar w:fldCharType="end"/>
      </w:r>
      <w:r>
        <w:t xml:space="preserve"> ученый». – 2016. – №19 </w:t>
      </w:r>
      <w:r>
        <w:fldChar w:fldCharType="begin"/>
      </w:r>
      <w:r>
        <w:instrText xml:space="preserve">eq </w:instrText>
      </w:r>
      <w:r>
        <w:rPr>
          <w:noProof/>
          <w:color w:val="FFFFFF"/>
          <w:spacing w:val="-20000"/>
          <w:sz w:val="2"/>
          <w:szCs w:val="28"/>
        </w:rPr>
        <w:instrText xml:space="preserve"> потребитель </w:instrText>
      </w:r>
      <w:r>
        <w:rPr>
          <w:noProof/>
        </w:rPr>
        <w:instrText>(78).</w:instrText>
      </w:r>
      <w:r>
        <w:fldChar w:fldCharType="end"/>
      </w:r>
      <w:r>
        <w:t xml:space="preserve"> – </w:t>
      </w:r>
      <w:r>
        <w:rPr>
          <w:shd w:val="clear" w:color="auto" w:fill="FFFFFF"/>
        </w:rPr>
        <w:t xml:space="preserve">Режим доступа: </w:t>
      </w:r>
      <w:r>
        <w:t xml:space="preserve"> </w:t>
      </w:r>
      <w:hyperlink r:id="rId359" w:history="1">
        <w:r w:rsidRPr="00C40295">
          <w:rPr>
            <w:rStyle w:val="aa"/>
            <w:rFonts w:eastAsia="Arial"/>
          </w:rPr>
          <w:t>http://moluch.ru/archive/78/13556/</w:t>
        </w:r>
      </w:hyperlink>
      <w:r>
        <w:rPr>
          <w:rStyle w:val="aa"/>
          <w:rFonts w:eastAsia="Arial"/>
        </w:rPr>
        <w:t xml:space="preserve"> </w:t>
      </w:r>
      <w:r>
        <w:t>(</w:t>
      </w:r>
      <w:r>
        <w:fldChar w:fldCharType="begin"/>
      </w:r>
      <w:r>
        <w:instrText xml:space="preserve">eq </w:instrText>
      </w:r>
      <w:r>
        <w:rPr>
          <w:noProof/>
          <w:color w:val="FFFFFF"/>
          <w:spacing w:val="-20000"/>
          <w:sz w:val="2"/>
          <w:szCs w:val="28"/>
        </w:rPr>
        <w:instrText xml:space="preserve"> ведет </w:instrText>
      </w:r>
      <w:r>
        <w:rPr>
          <w:noProof/>
        </w:rPr>
        <w:instrText>дата</w:instrText>
      </w:r>
      <w:r>
        <w:rPr>
          <w:noProof/>
          <w:color w:val="FFFFFF"/>
          <w:spacing w:val="-20000"/>
          <w:sz w:val="2"/>
          <w:szCs w:val="28"/>
        </w:rPr>
        <w:instrText> дополнительные</w:instrText>
      </w:r>
      <w:r>
        <w:fldChar w:fldCharType="end"/>
      </w:r>
      <w:r>
        <w:t xml:space="preserve"> обращения:18.04.17).</w:t>
      </w:r>
    </w:p>
    <w:p w:rsidR="005E1201" w:rsidRPr="00C40295" w:rsidRDefault="005E1201" w:rsidP="005B1DF7">
      <w:pPr>
        <w:widowControl w:val="0"/>
        <w:numPr>
          <w:ilvl w:val="0"/>
          <w:numId w:val="108"/>
        </w:numPr>
        <w:pBdr>
          <w:top w:val="none" w:sz="0" w:space="0" w:color="auto"/>
          <w:left w:val="none" w:sz="0" w:space="0" w:color="auto"/>
          <w:bottom w:val="none" w:sz="0" w:space="0" w:color="auto"/>
          <w:right w:val="none" w:sz="0" w:space="0" w:color="auto"/>
          <w:between w:val="none" w:sz="0" w:space="0" w:color="auto"/>
        </w:pBdr>
        <w:suppressAutoHyphens/>
        <w:autoSpaceDE w:val="0"/>
        <w:autoSpaceDN w:val="0"/>
        <w:adjustRightInd w:val="0"/>
        <w:spacing w:after="0" w:line="240" w:lineRule="auto"/>
        <w:ind w:left="284" w:hanging="284"/>
        <w:contextualSpacing/>
        <w:jc w:val="both"/>
        <w:rPr>
          <w:bCs/>
        </w:rPr>
      </w:pPr>
      <w:r>
        <w:t xml:space="preserve">Все </w:t>
      </w:r>
      <w:r>
        <w:fldChar w:fldCharType="begin"/>
      </w:r>
      <w:r>
        <w:instrText xml:space="preserve">eq </w:instrText>
      </w:r>
      <w:r>
        <w:rPr>
          <w:noProof/>
        </w:rPr>
        <w:instrText>вузы</w:instrText>
      </w:r>
      <w:r>
        <w:rPr>
          <w:noProof/>
          <w:color w:val="FFFFFF"/>
          <w:spacing w:val="-20000"/>
          <w:sz w:val="2"/>
          <w:szCs w:val="28"/>
        </w:rPr>
        <w:instrText> докладе</w:instrText>
      </w:r>
      <w:r>
        <w:fldChar w:fldCharType="end"/>
      </w:r>
      <w:r>
        <w:t xml:space="preserve"> России [Электронный </w:t>
      </w:r>
      <w:r>
        <w:fldChar w:fldCharType="begin"/>
      </w:r>
      <w:r>
        <w:instrText xml:space="preserve">eq </w:instrText>
      </w:r>
      <w:r>
        <w:rPr>
          <w:noProof/>
          <w:color w:val="FFFFFF"/>
          <w:spacing w:val="-20000"/>
          <w:sz w:val="2"/>
          <w:szCs w:val="28"/>
        </w:rPr>
        <w:instrText xml:space="preserve"> проведенная </w:instrText>
      </w:r>
      <w:r>
        <w:rPr>
          <w:noProof/>
        </w:rPr>
        <w:instrText>ресурс</w:instrText>
      </w:r>
      <w:r>
        <w:rPr>
          <w:noProof/>
          <w:color w:val="FFFFFF"/>
          <w:spacing w:val="-20000"/>
          <w:sz w:val="2"/>
          <w:szCs w:val="28"/>
        </w:rPr>
        <w:instrText> napravleniya</w:instrText>
      </w:r>
      <w:r>
        <w:fldChar w:fldCharType="end"/>
      </w:r>
      <w:r>
        <w:t xml:space="preserve">] // </w:t>
      </w:r>
      <w:r>
        <w:rPr>
          <w:lang w:val="en-US"/>
        </w:rPr>
        <w:t>ON</w:t>
      </w:r>
      <w:r>
        <w:t>-</w:t>
      </w:r>
      <w:r>
        <w:rPr>
          <w:lang w:val="en-US"/>
        </w:rPr>
        <w:t>Line</w:t>
      </w:r>
      <w:r>
        <w:t xml:space="preserve"> справочник. – </w:t>
      </w:r>
      <w:r>
        <w:fldChar w:fldCharType="begin"/>
      </w:r>
      <w:r>
        <w:instrText xml:space="preserve">eq </w:instrText>
      </w:r>
      <w:r>
        <w:rPr>
          <w:noProof/>
          <w:color w:val="FFFFFF"/>
          <w:spacing w:val="-20000"/>
          <w:sz w:val="2"/>
          <w:szCs w:val="28"/>
        </w:rPr>
        <w:instrText xml:space="preserve"> этом </w:instrText>
      </w:r>
      <w:r>
        <w:rPr>
          <w:noProof/>
          <w:shd w:val="clear" w:color="auto" w:fill="FFFFFF"/>
        </w:rPr>
        <w:instrText>Режим</w:instrText>
      </w:r>
      <w:r>
        <w:fldChar w:fldCharType="end"/>
      </w:r>
      <w:r>
        <w:rPr>
          <w:shd w:val="clear" w:color="auto" w:fill="FFFFFF"/>
        </w:rPr>
        <w:t xml:space="preserve"> доступа: </w:t>
      </w:r>
      <w:hyperlink r:id="rId360" w:history="1">
        <w:r w:rsidRPr="000D6E16">
          <w:rPr>
            <w:rStyle w:val="aa"/>
            <w:rFonts w:eastAsia="Arial"/>
          </w:rPr>
          <w:t>http://allvuzes.ru/catalog</w:t>
        </w:r>
      </w:hyperlink>
      <w:r>
        <w:t xml:space="preserve"> (дата </w:t>
      </w:r>
      <w:r>
        <w:fldChar w:fldCharType="begin"/>
      </w:r>
      <w:r>
        <w:instrText xml:space="preserve">eq </w:instrText>
      </w:r>
      <w:r>
        <w:rPr>
          <w:noProof/>
          <w:color w:val="FFFFFF"/>
          <w:spacing w:val="-20000"/>
          <w:sz w:val="2"/>
          <w:szCs w:val="28"/>
        </w:rPr>
        <w:instrText xml:space="preserve"> предлагаемых </w:instrText>
      </w:r>
      <w:r>
        <w:rPr>
          <w:noProof/>
        </w:rPr>
        <w:instrText>обращения</w:instrText>
      </w:r>
      <w:r>
        <w:rPr>
          <w:noProof/>
          <w:color w:val="FFFFFF"/>
          <w:spacing w:val="-20000"/>
          <w:sz w:val="2"/>
          <w:szCs w:val="28"/>
        </w:rPr>
        <w:instrText> какие</w:instrText>
      </w:r>
      <w:r>
        <w:fldChar w:fldCharType="end"/>
      </w:r>
      <w:r>
        <w:t>:15.03.17).</w:t>
      </w:r>
    </w:p>
    <w:p w:rsidR="005E1201" w:rsidRDefault="005E1201" w:rsidP="005B1DF7">
      <w:pPr>
        <w:numPr>
          <w:ilvl w:val="0"/>
          <w:numId w:val="108"/>
        </w:numPr>
        <w:pBdr>
          <w:top w:val="none" w:sz="0" w:space="0" w:color="auto"/>
          <w:left w:val="none" w:sz="0" w:space="0" w:color="auto"/>
          <w:bottom w:val="none" w:sz="0" w:space="0" w:color="auto"/>
          <w:right w:val="none" w:sz="0" w:space="0" w:color="auto"/>
          <w:between w:val="none" w:sz="0" w:space="0" w:color="auto"/>
        </w:pBdr>
        <w:tabs>
          <w:tab w:val="left" w:pos="709"/>
        </w:tabs>
        <w:spacing w:after="0" w:line="240" w:lineRule="auto"/>
        <w:ind w:left="284" w:right="-1" w:hanging="284"/>
        <w:contextualSpacing/>
        <w:jc w:val="both"/>
      </w:pPr>
      <w:r>
        <w:t xml:space="preserve">О защите </w:t>
      </w:r>
      <w:r>
        <w:fldChar w:fldCharType="begin"/>
      </w:r>
      <w:r>
        <w:instrText xml:space="preserve">eq </w:instrText>
      </w:r>
      <w:r>
        <w:rPr>
          <w:noProof/>
        </w:rPr>
        <w:instrText>прав</w:instrText>
      </w:r>
      <w:r>
        <w:rPr>
          <w:noProof/>
          <w:color w:val="FFFFFF"/>
          <w:spacing w:val="-20000"/>
          <w:sz w:val="2"/>
          <w:szCs w:val="28"/>
        </w:rPr>
        <w:instrText> основных</w:instrText>
      </w:r>
      <w:r>
        <w:fldChar w:fldCharType="end"/>
      </w:r>
      <w:r>
        <w:t xml:space="preserve"> потребителей: федеральный </w:t>
      </w:r>
      <w:r>
        <w:fldChar w:fldCharType="begin"/>
      </w:r>
      <w:r>
        <w:instrText xml:space="preserve">eq </w:instrText>
      </w:r>
      <w:r>
        <w:rPr>
          <w:noProof/>
          <w:color w:val="FFFFFF"/>
          <w:spacing w:val="-20000"/>
          <w:sz w:val="2"/>
          <w:szCs w:val="28"/>
        </w:rPr>
        <w:instrText xml:space="preserve"> этом </w:instrText>
      </w:r>
      <w:r>
        <w:rPr>
          <w:noProof/>
        </w:rPr>
        <w:instrText>закон</w:instrText>
      </w:r>
      <w:r>
        <w:rPr>
          <w:noProof/>
          <w:color w:val="FFFFFF"/>
          <w:spacing w:val="-20000"/>
          <w:sz w:val="2"/>
          <w:szCs w:val="28"/>
        </w:rPr>
        <w:instrText> обучения</w:instrText>
      </w:r>
      <w:r>
        <w:fldChar w:fldCharType="end"/>
      </w:r>
      <w:r>
        <w:t xml:space="preserve"> от 07.02.1992 № 2300-1</w:t>
      </w:r>
      <w:r>
        <w:rPr>
          <w:rStyle w:val="apple-converted-space"/>
          <w:rFonts w:eastAsia="Arial"/>
        </w:rPr>
        <w:t> (</w:t>
      </w:r>
      <w:r>
        <w:fldChar w:fldCharType="begin"/>
      </w:r>
      <w:r>
        <w:instrText xml:space="preserve">eq </w:instrText>
      </w:r>
      <w:r>
        <w:rPr>
          <w:noProof/>
          <w:color w:val="FFFFFF"/>
          <w:spacing w:val="-20000"/>
          <w:sz w:val="2"/>
          <w:szCs w:val="28"/>
        </w:rPr>
        <w:instrText xml:space="preserve"> данным </w:instrText>
      </w:r>
      <w:r>
        <w:rPr>
          <w:rStyle w:val="apple-converted-space"/>
          <w:rFonts w:eastAsia="Arial"/>
          <w:noProof/>
        </w:rPr>
        <w:instrText>ред</w:instrText>
      </w:r>
      <w:r>
        <w:fldChar w:fldCharType="end"/>
      </w:r>
      <w:r>
        <w:rPr>
          <w:rStyle w:val="apple-converted-space"/>
          <w:rFonts w:eastAsia="Arial"/>
        </w:rPr>
        <w:t>.</w:t>
      </w:r>
      <w:r>
        <w:rPr>
          <w:rStyle w:val="apple-converted-space"/>
          <w:rFonts w:eastAsia="Arial"/>
          <w:b/>
        </w:rPr>
        <w:t xml:space="preserve"> </w:t>
      </w:r>
      <w:r>
        <w:rPr>
          <w:rStyle w:val="apple-converted-space"/>
          <w:rFonts w:eastAsia="Arial"/>
        </w:rPr>
        <w:t>от</w:t>
      </w:r>
      <w:r>
        <w:rPr>
          <w:rStyle w:val="apple-converted-space"/>
          <w:rFonts w:eastAsia="Arial"/>
          <w:b/>
        </w:rPr>
        <w:t xml:space="preserve"> </w:t>
      </w:r>
      <w:r>
        <w:rPr>
          <w:rStyle w:val="apple-converted-space"/>
          <w:rFonts w:eastAsia="Arial"/>
        </w:rPr>
        <w:t xml:space="preserve">03.07.2016) </w:t>
      </w:r>
      <w:r>
        <w:t xml:space="preserve">[Электронный </w:t>
      </w:r>
      <w:r>
        <w:fldChar w:fldCharType="begin"/>
      </w:r>
      <w:r>
        <w:instrText xml:space="preserve">eq </w:instrText>
      </w:r>
      <w:r>
        <w:rPr>
          <w:noProof/>
          <w:color w:val="FFFFFF"/>
          <w:spacing w:val="-20000"/>
          <w:sz w:val="2"/>
          <w:szCs w:val="28"/>
        </w:rPr>
        <w:instrText xml:space="preserve"> миграция </w:instrText>
      </w:r>
      <w:r>
        <w:rPr>
          <w:noProof/>
        </w:rPr>
        <w:instrText>ресурс</w:instrText>
      </w:r>
      <w:r>
        <w:rPr>
          <w:noProof/>
          <w:color w:val="FFFFFF"/>
          <w:spacing w:val="-20000"/>
          <w:sz w:val="2"/>
          <w:szCs w:val="28"/>
        </w:rPr>
        <w:instrText> когда</w:instrText>
      </w:r>
      <w:r>
        <w:fldChar w:fldCharType="end"/>
      </w:r>
      <w:r>
        <w:t>]</w:t>
      </w:r>
      <w:r>
        <w:rPr>
          <w:b/>
        </w:rPr>
        <w:t xml:space="preserve"> // </w:t>
      </w:r>
      <w:r>
        <w:t xml:space="preserve">СПС «КонсультантПлюс». – </w:t>
      </w:r>
      <w:r>
        <w:fldChar w:fldCharType="begin"/>
      </w:r>
      <w:r>
        <w:instrText xml:space="preserve">eq </w:instrText>
      </w:r>
      <w:r>
        <w:rPr>
          <w:noProof/>
        </w:rPr>
        <w:instrText>Режим</w:instrText>
      </w:r>
      <w:r>
        <w:rPr>
          <w:noProof/>
          <w:color w:val="FFFFFF"/>
          <w:spacing w:val="-20000"/>
          <w:sz w:val="2"/>
          <w:szCs w:val="28"/>
        </w:rPr>
        <w:instrText> остаточно</w:instrText>
      </w:r>
      <w:r>
        <w:fldChar w:fldCharType="end"/>
      </w:r>
      <w:r>
        <w:t xml:space="preserve"> доступа: </w:t>
      </w:r>
      <w:hyperlink r:id="rId361" w:history="1">
        <w:r w:rsidRPr="00C40295">
          <w:rPr>
            <w:rStyle w:val="aa"/>
            <w:rFonts w:eastAsia="Arial"/>
            <w:lang w:val="en-US"/>
          </w:rPr>
          <w:t>http</w:t>
        </w:r>
        <w:r w:rsidRPr="00C40295">
          <w:rPr>
            <w:rStyle w:val="aa"/>
            <w:rFonts w:eastAsia="Arial"/>
          </w:rPr>
          <w:t>://</w:t>
        </w:r>
        <w:r w:rsidRPr="00C40295">
          <w:rPr>
            <w:rStyle w:val="aa"/>
            <w:rFonts w:eastAsia="Arial"/>
            <w:lang w:val="en-US"/>
          </w:rPr>
          <w:t>www</w:t>
        </w:r>
        <w:r w:rsidRPr="00C40295">
          <w:rPr>
            <w:rStyle w:val="aa"/>
            <w:rFonts w:eastAsia="Arial"/>
          </w:rPr>
          <w:t>.</w:t>
        </w:r>
        <w:r w:rsidRPr="00C40295">
          <w:rPr>
            <w:rStyle w:val="aa"/>
            <w:rFonts w:eastAsia="Arial"/>
            <w:lang w:val="en-US"/>
          </w:rPr>
          <w:t>consultant</w:t>
        </w:r>
        <w:r w:rsidRPr="00C40295">
          <w:rPr>
            <w:rStyle w:val="aa"/>
            <w:rFonts w:eastAsia="Arial"/>
          </w:rPr>
          <w:t>.</w:t>
        </w:r>
        <w:r w:rsidRPr="00C40295">
          <w:rPr>
            <w:rStyle w:val="aa"/>
            <w:rFonts w:eastAsia="Arial"/>
            <w:lang w:val="en-US"/>
          </w:rPr>
          <w:t>ru</w:t>
        </w:r>
        <w:r w:rsidRPr="00C40295">
          <w:rPr>
            <w:rStyle w:val="aa"/>
            <w:rFonts w:eastAsia="Arial"/>
          </w:rPr>
          <w:t>/</w:t>
        </w:r>
        <w:r w:rsidRPr="00C40295">
          <w:rPr>
            <w:rStyle w:val="aa"/>
            <w:rFonts w:eastAsia="Arial"/>
            <w:lang w:val="en-US"/>
          </w:rPr>
          <w:t>document</w:t>
        </w:r>
        <w:r w:rsidRPr="00C40295">
          <w:rPr>
            <w:rStyle w:val="aa"/>
            <w:rFonts w:eastAsia="Arial"/>
          </w:rPr>
          <w:t>/</w:t>
        </w:r>
        <w:r w:rsidRPr="00C40295">
          <w:rPr>
            <w:rStyle w:val="aa"/>
            <w:rFonts w:eastAsia="Arial"/>
            <w:lang w:val="en-US"/>
          </w:rPr>
          <w:t>cons</w:t>
        </w:r>
        <w:r w:rsidRPr="00C40295">
          <w:rPr>
            <w:rStyle w:val="aa"/>
            <w:rFonts w:eastAsia="Arial"/>
          </w:rPr>
          <w:t>_</w:t>
        </w:r>
        <w:r w:rsidRPr="00C40295">
          <w:rPr>
            <w:rStyle w:val="aa"/>
            <w:rFonts w:eastAsia="Arial"/>
            <w:lang w:val="en-US"/>
          </w:rPr>
          <w:t>doc</w:t>
        </w:r>
        <w:r w:rsidRPr="00C40295">
          <w:rPr>
            <w:rStyle w:val="aa"/>
            <w:rFonts w:eastAsia="Arial"/>
          </w:rPr>
          <w:t>_</w:t>
        </w:r>
        <w:r w:rsidRPr="00C40295">
          <w:rPr>
            <w:rStyle w:val="aa"/>
            <w:rFonts w:eastAsia="Arial"/>
            <w:lang w:val="en-US"/>
          </w:rPr>
          <w:t>LAW</w:t>
        </w:r>
        <w:r w:rsidRPr="00C40295">
          <w:rPr>
            <w:rStyle w:val="aa"/>
            <w:rFonts w:eastAsia="Arial"/>
          </w:rPr>
          <w:t>_305/</w:t>
        </w:r>
      </w:hyperlink>
      <w:r>
        <w:t xml:space="preserve"> (дата </w:t>
      </w:r>
      <w:r>
        <w:fldChar w:fldCharType="begin"/>
      </w:r>
      <w:r>
        <w:instrText xml:space="preserve">eq </w:instrText>
      </w:r>
      <w:r>
        <w:rPr>
          <w:noProof/>
          <w:color w:val="FFFFFF"/>
          <w:spacing w:val="-20000"/>
          <w:sz w:val="2"/>
          <w:szCs w:val="28"/>
        </w:rPr>
        <w:instrText xml:space="preserve"> показан </w:instrText>
      </w:r>
      <w:r>
        <w:rPr>
          <w:noProof/>
        </w:rPr>
        <w:instrText>обращения</w:instrText>
      </w:r>
      <w:r>
        <w:rPr>
          <w:noProof/>
          <w:color w:val="FFFFFF"/>
          <w:spacing w:val="-20000"/>
          <w:sz w:val="2"/>
          <w:szCs w:val="28"/>
        </w:rPr>
        <w:instrText> предлагаемых</w:instrText>
      </w:r>
      <w:r>
        <w:fldChar w:fldCharType="end"/>
      </w:r>
      <w:r>
        <w:t>:15.03.17).</w:t>
      </w:r>
    </w:p>
    <w:p w:rsidR="005E1201" w:rsidRPr="00C40295" w:rsidRDefault="005E1201" w:rsidP="005B1DF7">
      <w:pPr>
        <w:widowControl w:val="0"/>
        <w:numPr>
          <w:ilvl w:val="0"/>
          <w:numId w:val="108"/>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284" w:hanging="284"/>
        <w:contextualSpacing/>
        <w:jc w:val="both"/>
        <w:rPr>
          <w:bCs/>
        </w:rPr>
      </w:pPr>
      <w:r>
        <w:rPr>
          <w:bCs/>
        </w:rPr>
        <w:t xml:space="preserve">Шевченко Д.А. Маркетинговая </w:t>
      </w:r>
      <w:r>
        <w:fldChar w:fldCharType="begin"/>
      </w:r>
      <w:r>
        <w:instrText xml:space="preserve">eq </w:instrText>
      </w:r>
      <w:r>
        <w:rPr>
          <w:noProof/>
          <w:color w:val="FFFFFF"/>
          <w:spacing w:val="-20000"/>
          <w:sz w:val="2"/>
          <w:szCs w:val="28"/>
        </w:rPr>
        <w:instrText xml:space="preserve"> рамках </w:instrText>
      </w:r>
      <w:r>
        <w:rPr>
          <w:bCs/>
          <w:noProof/>
        </w:rPr>
        <w:instrText>деятельность</w:instrText>
      </w:r>
      <w:r>
        <w:fldChar w:fldCharType="end"/>
      </w:r>
      <w:r>
        <w:rPr>
          <w:bCs/>
        </w:rPr>
        <w:t xml:space="preserve"> вуза: структура, </w:t>
      </w:r>
      <w:r>
        <w:fldChar w:fldCharType="begin"/>
      </w:r>
      <w:r>
        <w:instrText xml:space="preserve">eq </w:instrText>
      </w:r>
      <w:r>
        <w:rPr>
          <w:noProof/>
          <w:color w:val="FFFFFF"/>
          <w:spacing w:val="-20000"/>
          <w:sz w:val="2"/>
          <w:szCs w:val="28"/>
        </w:rPr>
        <w:instrText xml:space="preserve"> недостаточный </w:instrText>
      </w:r>
      <w:r>
        <w:rPr>
          <w:bCs/>
          <w:noProof/>
        </w:rPr>
        <w:instrText>управление</w:instrText>
      </w:r>
      <w:r>
        <w:rPr>
          <w:noProof/>
          <w:color w:val="FFFFFF"/>
          <w:spacing w:val="-20000"/>
          <w:sz w:val="2"/>
          <w:szCs w:val="28"/>
        </w:rPr>
        <w:instrText> шевченко</w:instrText>
      </w:r>
      <w:r>
        <w:fldChar w:fldCharType="end"/>
      </w:r>
      <w:r>
        <w:rPr>
          <w:bCs/>
        </w:rPr>
        <w:t xml:space="preserve"> и содержание / Д.А. </w:t>
      </w:r>
      <w:r>
        <w:fldChar w:fldCharType="begin"/>
      </w:r>
      <w:r>
        <w:instrText xml:space="preserve">eq </w:instrText>
      </w:r>
      <w:r>
        <w:rPr>
          <w:bCs/>
          <w:noProof/>
        </w:rPr>
        <w:instrText>Шевченко</w:instrText>
      </w:r>
      <w:r>
        <w:rPr>
          <w:noProof/>
          <w:color w:val="FFFFFF"/>
          <w:spacing w:val="-20000"/>
          <w:sz w:val="2"/>
          <w:szCs w:val="28"/>
        </w:rPr>
        <w:instrText> платные</w:instrText>
      </w:r>
      <w:r>
        <w:fldChar w:fldCharType="end"/>
      </w:r>
      <w:r>
        <w:rPr>
          <w:bCs/>
        </w:rPr>
        <w:t xml:space="preserve"> // Практический маркетинг.–  </w:t>
      </w:r>
      <w:r>
        <w:fldChar w:fldCharType="begin"/>
      </w:r>
      <w:r>
        <w:instrText xml:space="preserve">eq </w:instrText>
      </w:r>
      <w:r>
        <w:rPr>
          <w:noProof/>
          <w:color w:val="FFFFFF"/>
          <w:spacing w:val="-20000"/>
          <w:sz w:val="2"/>
          <w:szCs w:val="28"/>
        </w:rPr>
        <w:instrText xml:space="preserve"> потребитель </w:instrText>
      </w:r>
      <w:r>
        <w:rPr>
          <w:bCs/>
          <w:noProof/>
        </w:rPr>
        <w:instrText>2013.</w:instrText>
      </w:r>
      <w:r>
        <w:rPr>
          <w:noProof/>
          <w:color w:val="FFFFFF"/>
          <w:spacing w:val="-20000"/>
          <w:sz w:val="2"/>
          <w:szCs w:val="28"/>
        </w:rPr>
        <w:instrText> таким</w:instrText>
      </w:r>
      <w:r>
        <w:fldChar w:fldCharType="end"/>
      </w:r>
      <w:r>
        <w:rPr>
          <w:bCs/>
        </w:rPr>
        <w:t xml:space="preserve"> – №9 (199) .–  С. 10.</w:t>
      </w:r>
    </w:p>
    <w:p w:rsidR="005E1201" w:rsidRPr="00C40295" w:rsidRDefault="005E1201" w:rsidP="005B1DF7">
      <w:pPr>
        <w:widowControl w:val="0"/>
        <w:numPr>
          <w:ilvl w:val="0"/>
          <w:numId w:val="108"/>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284" w:hanging="284"/>
        <w:contextualSpacing/>
        <w:jc w:val="both"/>
        <w:rPr>
          <w:bCs/>
        </w:rPr>
      </w:pPr>
      <w:r>
        <w:t xml:space="preserve">Белый Е.М., </w:t>
      </w:r>
      <w:r>
        <w:fldChar w:fldCharType="begin"/>
      </w:r>
      <w:r>
        <w:instrText xml:space="preserve">eq </w:instrText>
      </w:r>
      <w:r>
        <w:rPr>
          <w:noProof/>
          <w:color w:val="FFFFFF"/>
          <w:spacing w:val="-20000"/>
          <w:sz w:val="2"/>
          <w:szCs w:val="28"/>
        </w:rPr>
        <w:instrText xml:space="preserve"> поскольку </w:instrText>
      </w:r>
      <w:r>
        <w:rPr>
          <w:noProof/>
        </w:rPr>
        <w:instrText>Романова</w:instrText>
      </w:r>
      <w:r>
        <w:fldChar w:fldCharType="end"/>
      </w:r>
      <w:r>
        <w:t xml:space="preserve"> И.Б. Проблемы экономики и </w:t>
      </w:r>
      <w:r>
        <w:fldChar w:fldCharType="begin"/>
      </w:r>
      <w:r>
        <w:instrText xml:space="preserve">eq </w:instrText>
      </w:r>
      <w:r>
        <w:rPr>
          <w:noProof/>
          <w:color w:val="FFFFFF"/>
          <w:spacing w:val="-20000"/>
          <w:sz w:val="2"/>
          <w:szCs w:val="28"/>
        </w:rPr>
        <w:instrText xml:space="preserve"> очень </w:instrText>
      </w:r>
      <w:r>
        <w:rPr>
          <w:noProof/>
        </w:rPr>
        <w:instrText>менеджмента</w:instrText>
      </w:r>
      <w:r>
        <w:rPr>
          <w:noProof/>
          <w:color w:val="FFFFFF"/>
          <w:spacing w:val="-20000"/>
          <w:sz w:val="2"/>
          <w:szCs w:val="28"/>
        </w:rPr>
        <w:instrText> nauka</w:instrText>
      </w:r>
      <w:r>
        <w:fldChar w:fldCharType="end"/>
      </w:r>
      <w:r>
        <w:t xml:space="preserve"> / Е.М. Белый, И.Б. </w:t>
      </w:r>
      <w:r>
        <w:fldChar w:fldCharType="begin"/>
      </w:r>
      <w:r>
        <w:instrText xml:space="preserve">eq </w:instrText>
      </w:r>
      <w:r>
        <w:rPr>
          <w:noProof/>
        </w:rPr>
        <w:instrText>Романова</w:instrText>
      </w:r>
      <w:r>
        <w:rPr>
          <w:noProof/>
          <w:color w:val="FFFFFF"/>
          <w:spacing w:val="-20000"/>
          <w:sz w:val="2"/>
          <w:szCs w:val="28"/>
        </w:rPr>
        <w:instrText> приморского</w:instrText>
      </w:r>
      <w:r>
        <w:fldChar w:fldCharType="end"/>
      </w:r>
      <w:r>
        <w:t xml:space="preserve"> // Маркетинговая политика </w:t>
      </w:r>
      <w:r>
        <w:fldChar w:fldCharType="begin"/>
      </w:r>
      <w:r>
        <w:instrText xml:space="preserve">eq </w:instrText>
      </w:r>
      <w:r>
        <w:rPr>
          <w:noProof/>
          <w:color w:val="FFFFFF"/>
          <w:spacing w:val="-20000"/>
          <w:sz w:val="2"/>
          <w:szCs w:val="28"/>
        </w:rPr>
        <w:instrText xml:space="preserve"> html </w:instrText>
      </w:r>
      <w:r>
        <w:rPr>
          <w:noProof/>
        </w:rPr>
        <w:instrText>регионального</w:instrText>
      </w:r>
      <w:r>
        <w:rPr>
          <w:noProof/>
          <w:color w:val="FFFFFF"/>
          <w:spacing w:val="-20000"/>
          <w:sz w:val="2"/>
          <w:szCs w:val="28"/>
        </w:rPr>
        <w:instrText> открытых</w:instrText>
      </w:r>
      <w:r>
        <w:fldChar w:fldCharType="end"/>
      </w:r>
      <w:r>
        <w:t xml:space="preserve"> университета в сфере </w:t>
      </w:r>
      <w:r>
        <w:fldChar w:fldCharType="begin"/>
      </w:r>
      <w:r>
        <w:instrText xml:space="preserve">eq </w:instrText>
      </w:r>
      <w:r>
        <w:rPr>
          <w:noProof/>
          <w:color w:val="FFFFFF"/>
          <w:spacing w:val="-20000"/>
          <w:sz w:val="2"/>
          <w:szCs w:val="28"/>
        </w:rPr>
        <w:instrText xml:space="preserve"> программы </w:instrText>
      </w:r>
      <w:r>
        <w:rPr>
          <w:noProof/>
        </w:rPr>
        <w:instrText>экономического</w:instrText>
      </w:r>
      <w:r>
        <w:fldChar w:fldCharType="end"/>
      </w:r>
      <w:r>
        <w:t xml:space="preserve"> образования. </w:t>
      </w:r>
      <w:r>
        <w:rPr>
          <w:bCs/>
        </w:rPr>
        <w:t xml:space="preserve">– 2015. – №7 </w:t>
      </w:r>
      <w:r>
        <w:fldChar w:fldCharType="begin"/>
      </w:r>
      <w:r>
        <w:instrText xml:space="preserve">eq </w:instrText>
      </w:r>
      <w:r>
        <w:rPr>
          <w:noProof/>
          <w:color w:val="FFFFFF"/>
          <w:spacing w:val="-20000"/>
          <w:sz w:val="2"/>
          <w:szCs w:val="28"/>
        </w:rPr>
        <w:instrText xml:space="preserve"> потребитель </w:instrText>
      </w:r>
      <w:r>
        <w:rPr>
          <w:bCs/>
          <w:noProof/>
        </w:rPr>
        <w:instrText>(47).</w:instrText>
      </w:r>
      <w:r>
        <w:rPr>
          <w:noProof/>
          <w:color w:val="FFFFFF"/>
          <w:spacing w:val="-20000"/>
          <w:sz w:val="2"/>
          <w:szCs w:val="28"/>
        </w:rPr>
        <w:instrText> высших</w:instrText>
      </w:r>
      <w:r>
        <w:fldChar w:fldCharType="end"/>
      </w:r>
      <w:r>
        <w:rPr>
          <w:bCs/>
        </w:rPr>
        <w:t xml:space="preserve"> – С. 9.</w:t>
      </w:r>
    </w:p>
    <w:p w:rsidR="005E1201" w:rsidRPr="00C40295" w:rsidRDefault="005E1201" w:rsidP="005B1DF7">
      <w:pPr>
        <w:widowControl w:val="0"/>
        <w:numPr>
          <w:ilvl w:val="0"/>
          <w:numId w:val="108"/>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284" w:hanging="284"/>
        <w:contextualSpacing/>
        <w:jc w:val="both"/>
      </w:pPr>
      <w:r>
        <w:t xml:space="preserve">Информация об </w:t>
      </w:r>
      <w:r>
        <w:fldChar w:fldCharType="begin"/>
      </w:r>
      <w:r>
        <w:instrText xml:space="preserve">eq </w:instrText>
      </w:r>
      <w:r>
        <w:rPr>
          <w:noProof/>
        </w:rPr>
        <w:instrText>итогах</w:instrText>
      </w:r>
      <w:r>
        <w:rPr>
          <w:noProof/>
          <w:color w:val="FFFFFF"/>
          <w:spacing w:val="-20000"/>
          <w:sz w:val="2"/>
          <w:szCs w:val="28"/>
        </w:rPr>
        <w:instrText> результаты</w:instrText>
      </w:r>
      <w:r>
        <w:fldChar w:fldCharType="end"/>
      </w:r>
      <w:r>
        <w:t xml:space="preserve"> деятельности министерства </w:t>
      </w:r>
      <w:r>
        <w:fldChar w:fldCharType="begin"/>
      </w:r>
      <w:r>
        <w:instrText xml:space="preserve">eq </w:instrText>
      </w:r>
      <w:r>
        <w:rPr>
          <w:noProof/>
          <w:color w:val="FFFFFF"/>
          <w:spacing w:val="-20000"/>
          <w:sz w:val="2"/>
          <w:szCs w:val="28"/>
        </w:rPr>
        <w:instrText xml:space="preserve"> рынке </w:instrText>
      </w:r>
      <w:r>
        <w:rPr>
          <w:noProof/>
        </w:rPr>
        <w:instrText>образования</w:instrText>
      </w:r>
      <w:r>
        <w:rPr>
          <w:noProof/>
          <w:color w:val="FFFFFF"/>
          <w:spacing w:val="-20000"/>
          <w:sz w:val="2"/>
          <w:szCs w:val="28"/>
        </w:rPr>
        <w:instrText> данный</w:instrText>
      </w:r>
      <w:r>
        <w:fldChar w:fldCharType="end"/>
      </w:r>
      <w:r>
        <w:t xml:space="preserve"> и науки Росской </w:t>
      </w:r>
      <w:r>
        <w:fldChar w:fldCharType="begin"/>
      </w:r>
      <w:r>
        <w:instrText xml:space="preserve">eq </w:instrText>
      </w:r>
      <w:r>
        <w:rPr>
          <w:noProof/>
          <w:color w:val="FFFFFF"/>
          <w:spacing w:val="-20000"/>
          <w:sz w:val="2"/>
          <w:szCs w:val="28"/>
        </w:rPr>
        <w:instrText xml:space="preserve"> которых </w:instrText>
      </w:r>
      <w:r>
        <w:rPr>
          <w:noProof/>
        </w:rPr>
        <w:instrText>Федерации</w:instrText>
      </w:r>
      <w:r>
        <w:fldChar w:fldCharType="end"/>
      </w:r>
      <w:r>
        <w:t xml:space="preserve"> в 2015 году и </w:t>
      </w:r>
      <w:r>
        <w:fldChar w:fldCharType="begin"/>
      </w:r>
      <w:r>
        <w:instrText xml:space="preserve">eq </w:instrText>
      </w:r>
      <w:r>
        <w:rPr>
          <w:noProof/>
          <w:color w:val="FFFFFF"/>
          <w:spacing w:val="-20000"/>
          <w:sz w:val="2"/>
          <w:szCs w:val="28"/>
        </w:rPr>
        <w:instrText xml:space="preserve"> продолжает </w:instrText>
      </w:r>
      <w:r>
        <w:rPr>
          <w:noProof/>
        </w:rPr>
        <w:instrText>задачах</w:instrText>
      </w:r>
      <w:r>
        <w:rPr>
          <w:noProof/>
          <w:color w:val="FFFFFF"/>
          <w:spacing w:val="-20000"/>
          <w:sz w:val="2"/>
          <w:szCs w:val="28"/>
        </w:rPr>
        <w:instrText> актуальные</w:instrText>
      </w:r>
      <w:r>
        <w:fldChar w:fldCharType="end"/>
      </w:r>
      <w:r>
        <w:t xml:space="preserve"> на 2016 год [</w:t>
      </w:r>
      <w:r>
        <w:fldChar w:fldCharType="begin"/>
      </w:r>
      <w:r>
        <w:instrText xml:space="preserve">eq </w:instrText>
      </w:r>
      <w:r>
        <w:rPr>
          <w:noProof/>
        </w:rPr>
        <w:instrText>Электронный</w:instrText>
      </w:r>
      <w:r>
        <w:rPr>
          <w:noProof/>
          <w:color w:val="FFFFFF"/>
          <w:spacing w:val="-20000"/>
          <w:sz w:val="2"/>
          <w:szCs w:val="28"/>
        </w:rPr>
        <w:instrText> ответов</w:instrText>
      </w:r>
      <w:r>
        <w:fldChar w:fldCharType="end"/>
      </w:r>
      <w:r>
        <w:t xml:space="preserve"> ресурс] // Министерство </w:t>
      </w:r>
      <w:r>
        <w:fldChar w:fldCharType="begin"/>
      </w:r>
      <w:r>
        <w:instrText xml:space="preserve">eq </w:instrText>
      </w:r>
      <w:r>
        <w:rPr>
          <w:noProof/>
          <w:color w:val="FFFFFF"/>
          <w:spacing w:val="-20000"/>
          <w:sz w:val="2"/>
          <w:szCs w:val="28"/>
        </w:rPr>
        <w:instrText xml:space="preserve"> приморского </w:instrText>
      </w:r>
      <w:r>
        <w:rPr>
          <w:noProof/>
        </w:rPr>
        <w:instrText>образования</w:instrText>
      </w:r>
      <w:r>
        <w:rPr>
          <w:noProof/>
          <w:color w:val="FFFFFF"/>
          <w:spacing w:val="-20000"/>
          <w:sz w:val="2"/>
          <w:szCs w:val="28"/>
        </w:rPr>
        <w:instrText> актуальные</w:instrText>
      </w:r>
      <w:r>
        <w:fldChar w:fldCharType="end"/>
      </w:r>
      <w:r>
        <w:t xml:space="preserve"> и науки Российской </w:t>
      </w:r>
      <w:r>
        <w:fldChar w:fldCharType="begin"/>
      </w:r>
      <w:r>
        <w:instrText xml:space="preserve">eq </w:instrText>
      </w:r>
      <w:r>
        <w:rPr>
          <w:noProof/>
          <w:color w:val="FFFFFF"/>
          <w:spacing w:val="-20000"/>
          <w:sz w:val="2"/>
          <w:szCs w:val="28"/>
        </w:rPr>
        <w:instrText xml:space="preserve"> таким </w:instrText>
      </w:r>
      <w:r>
        <w:rPr>
          <w:noProof/>
        </w:rPr>
        <w:instrText>Федерации</w:instrText>
      </w:r>
      <w:r>
        <w:fldChar w:fldCharType="end"/>
      </w:r>
      <w:r>
        <w:t xml:space="preserve">. – Режим доступа: </w:t>
      </w:r>
      <w:hyperlink r:id="rId362" w:history="1">
        <w:r w:rsidRPr="00C40295">
          <w:rPr>
            <w:rStyle w:val="aa"/>
            <w:rFonts w:eastAsia="Arial"/>
          </w:rPr>
          <w:t>http://минобрнауки.рф/документы/7951</w:t>
        </w:r>
      </w:hyperlink>
      <w:r>
        <w:t xml:space="preserve">( </w:t>
      </w:r>
      <w:r>
        <w:fldChar w:fldCharType="begin"/>
      </w:r>
      <w:r>
        <w:instrText xml:space="preserve">eq </w:instrText>
      </w:r>
      <w:r>
        <w:rPr>
          <w:noProof/>
          <w:color w:val="FFFFFF"/>
          <w:spacing w:val="-20000"/>
          <w:sz w:val="2"/>
          <w:szCs w:val="28"/>
        </w:rPr>
        <w:instrText xml:space="preserve"> когда </w:instrText>
      </w:r>
      <w:r>
        <w:rPr>
          <w:noProof/>
        </w:rPr>
        <w:instrText>дата</w:instrText>
      </w:r>
      <w:r>
        <w:rPr>
          <w:noProof/>
          <w:color w:val="FFFFFF"/>
          <w:spacing w:val="-20000"/>
          <w:sz w:val="2"/>
          <w:szCs w:val="28"/>
        </w:rPr>
        <w:instrText> ильинскии</w:instrText>
      </w:r>
      <w:r>
        <w:fldChar w:fldCharType="end"/>
      </w:r>
      <w:r>
        <w:t xml:space="preserve"> обращения:15.03.17).</w:t>
      </w:r>
    </w:p>
    <w:p w:rsidR="005E1201" w:rsidRPr="00C40295" w:rsidRDefault="005E1201" w:rsidP="005B1DF7">
      <w:pPr>
        <w:numPr>
          <w:ilvl w:val="0"/>
          <w:numId w:val="108"/>
        </w:numPr>
        <w:pBdr>
          <w:top w:val="none" w:sz="0" w:space="0" w:color="auto"/>
          <w:left w:val="none" w:sz="0" w:space="0" w:color="auto"/>
          <w:bottom w:val="none" w:sz="0" w:space="0" w:color="auto"/>
          <w:right w:val="none" w:sz="0" w:space="0" w:color="auto"/>
          <w:between w:val="none" w:sz="0" w:space="0" w:color="auto"/>
        </w:pBdr>
        <w:spacing w:after="0" w:line="240" w:lineRule="auto"/>
        <w:ind w:left="284" w:hanging="284"/>
        <w:contextualSpacing/>
        <w:jc w:val="both"/>
      </w:pPr>
      <w:r>
        <w:fldChar w:fldCharType="begin"/>
      </w:r>
      <w:r>
        <w:instrText xml:space="preserve">eq </w:instrText>
      </w:r>
      <w:r>
        <w:rPr>
          <w:noProof/>
        </w:rPr>
        <w:instrText>Информация</w:instrText>
      </w:r>
      <w:r>
        <w:rPr>
          <w:noProof/>
          <w:color w:val="FFFFFF"/>
          <w:spacing w:val="-20000"/>
          <w:sz w:val="2"/>
          <w:szCs w:val="28"/>
        </w:rPr>
        <w:instrText> связано</w:instrText>
      </w:r>
      <w:r>
        <w:fldChar w:fldCharType="end"/>
      </w:r>
      <w:r>
        <w:t xml:space="preserve"> о направлении государственной </w:t>
      </w:r>
      <w:r>
        <w:fldChar w:fldCharType="begin"/>
      </w:r>
      <w:r>
        <w:instrText xml:space="preserve">eq </w:instrText>
      </w:r>
      <w:r>
        <w:rPr>
          <w:noProof/>
          <w:color w:val="FFFFFF"/>
          <w:spacing w:val="-20000"/>
          <w:sz w:val="2"/>
          <w:szCs w:val="28"/>
        </w:rPr>
        <w:instrText xml:space="preserve"> сегодняшний </w:instrText>
      </w:r>
      <w:r>
        <w:rPr>
          <w:noProof/>
        </w:rPr>
        <w:instrText>образовательной</w:instrText>
      </w:r>
      <w:r>
        <w:rPr>
          <w:noProof/>
          <w:color w:val="FFFFFF"/>
          <w:spacing w:val="-20000"/>
          <w:sz w:val="2"/>
          <w:szCs w:val="28"/>
        </w:rPr>
        <w:instrText> перспективы</w:instrText>
      </w:r>
      <w:r>
        <w:fldChar w:fldCharType="end"/>
      </w:r>
      <w:r>
        <w:t xml:space="preserve"> политики до 2020 </w:t>
      </w:r>
      <w:r>
        <w:fldChar w:fldCharType="begin"/>
      </w:r>
      <w:r>
        <w:instrText xml:space="preserve">eq </w:instrText>
      </w:r>
      <w:r>
        <w:rPr>
          <w:noProof/>
          <w:color w:val="FFFFFF"/>
          <w:spacing w:val="-20000"/>
          <w:sz w:val="2"/>
          <w:szCs w:val="28"/>
        </w:rPr>
        <w:instrText xml:space="preserve"> продолжает </w:instrText>
      </w:r>
      <w:r>
        <w:rPr>
          <w:noProof/>
        </w:rPr>
        <w:instrText>года</w:instrText>
      </w:r>
      <w:r>
        <w:fldChar w:fldCharType="end"/>
      </w:r>
      <w:r>
        <w:t xml:space="preserve"> [Электронный ресурс]. – </w:t>
      </w:r>
      <w:r>
        <w:fldChar w:fldCharType="begin"/>
      </w:r>
      <w:r>
        <w:instrText xml:space="preserve">eq </w:instrText>
      </w:r>
      <w:r>
        <w:rPr>
          <w:noProof/>
          <w:color w:val="FFFFFF"/>
          <w:spacing w:val="-20000"/>
          <w:sz w:val="2"/>
          <w:szCs w:val="28"/>
        </w:rPr>
        <w:instrText xml:space="preserve"> большее </w:instrText>
      </w:r>
      <w:r>
        <w:rPr>
          <w:noProof/>
        </w:rPr>
        <w:instrText>Режим</w:instrText>
      </w:r>
      <w:r>
        <w:rPr>
          <w:noProof/>
          <w:color w:val="FFFFFF"/>
          <w:spacing w:val="-20000"/>
          <w:sz w:val="2"/>
          <w:szCs w:val="28"/>
        </w:rPr>
        <w:instrText> самые</w:instrText>
      </w:r>
      <w:r>
        <w:fldChar w:fldCharType="end"/>
      </w:r>
      <w:r>
        <w:t xml:space="preserve"> доступа: </w:t>
      </w:r>
      <w:hyperlink r:id="rId363" w:history="1">
        <w:r w:rsidRPr="00C40295">
          <w:rPr>
            <w:lang w:val="en-US"/>
          </w:rPr>
          <w:t>http</w:t>
        </w:r>
        <w:r w:rsidRPr="00C40295">
          <w:t>: //</w:t>
        </w:r>
        <w:r w:rsidRPr="00C40295">
          <w:rPr>
            <w:lang w:val="en-US"/>
          </w:rPr>
          <w:t>murzim</w:t>
        </w:r>
        <w:r w:rsidRPr="00C40295">
          <w:t>.</w:t>
        </w:r>
        <w:r w:rsidRPr="00C40295">
          <w:rPr>
            <w:lang w:val="en-US"/>
          </w:rPr>
          <w:t>ru</w:t>
        </w:r>
        <w:r w:rsidRPr="00C40295">
          <w:t xml:space="preserve">/ </w:t>
        </w:r>
        <w:r w:rsidRPr="00C40295">
          <w:rPr>
            <w:lang w:val="en-US"/>
          </w:rPr>
          <w:t>nauka</w:t>
        </w:r>
        <w:r w:rsidRPr="00C40295">
          <w:t>/</w:t>
        </w:r>
        <w:r w:rsidRPr="00C40295">
          <w:rPr>
            <w:lang w:val="en-US"/>
          </w:rPr>
          <w:t>pedagogika</w:t>
        </w:r>
        <w:r w:rsidRPr="00C40295">
          <w:t>/ 28940 –</w:t>
        </w:r>
        <w:r w:rsidRPr="00C40295">
          <w:rPr>
            <w:lang w:val="en-US"/>
          </w:rPr>
          <w:t>napravleniya</w:t>
        </w:r>
        <w:r w:rsidRPr="00C40295">
          <w:t xml:space="preserve"> -</w:t>
        </w:r>
        <w:r w:rsidRPr="00C40295">
          <w:rPr>
            <w:lang w:val="en-US"/>
          </w:rPr>
          <w:t>gosudarstvennoy</w:t>
        </w:r>
        <w:r w:rsidRPr="00C40295">
          <w:t>-</w:t>
        </w:r>
        <w:r w:rsidRPr="00C40295">
          <w:rPr>
            <w:lang w:val="en-US"/>
          </w:rPr>
          <w:t>obrazovatelnoy</w:t>
        </w:r>
      </w:hyperlink>
      <w:r>
        <w:t xml:space="preserve"> -</w:t>
      </w:r>
      <w:r>
        <w:fldChar w:fldCharType="begin"/>
      </w:r>
      <w:r>
        <w:instrText xml:space="preserve">eq </w:instrText>
      </w:r>
      <w:r>
        <w:rPr>
          <w:noProof/>
          <w:lang w:val="en-US"/>
        </w:rPr>
        <w:instrText>politiki</w:instrText>
      </w:r>
      <w:r>
        <w:rPr>
          <w:noProof/>
          <w:color w:val="FFFFFF"/>
          <w:spacing w:val="-20000"/>
          <w:sz w:val="2"/>
          <w:szCs w:val="28"/>
        </w:rPr>
        <w:instrText> графику</w:instrText>
      </w:r>
      <w:r>
        <w:fldChar w:fldCharType="end"/>
      </w:r>
      <w:r>
        <w:t>-</w:t>
      </w:r>
      <w:r>
        <w:rPr>
          <w:lang w:val="en-US"/>
        </w:rPr>
        <w:t>do</w:t>
      </w:r>
      <w:r>
        <w:t>-2020-</w:t>
      </w:r>
      <w:r>
        <w:rPr>
          <w:lang w:val="en-US"/>
        </w:rPr>
        <w:t>goda</w:t>
      </w:r>
      <w:r>
        <w:t>.</w:t>
      </w:r>
      <w:r>
        <w:fldChar w:fldCharType="begin"/>
      </w:r>
      <w:r>
        <w:instrText xml:space="preserve">eq </w:instrText>
      </w:r>
      <w:r>
        <w:rPr>
          <w:noProof/>
          <w:color w:val="FFFFFF"/>
          <w:spacing w:val="-20000"/>
          <w:sz w:val="2"/>
          <w:szCs w:val="28"/>
        </w:rPr>
        <w:instrText xml:space="preserve"> товары </w:instrText>
      </w:r>
      <w:r>
        <w:rPr>
          <w:noProof/>
          <w:lang w:val="en-US"/>
        </w:rPr>
        <w:instrText>html</w:instrText>
      </w:r>
      <w:r>
        <w:rPr>
          <w:noProof/>
          <w:color w:val="FFFFFF"/>
          <w:spacing w:val="-20000"/>
          <w:sz w:val="2"/>
          <w:szCs w:val="28"/>
        </w:rPr>
        <w:instrText> основных</w:instrText>
      </w:r>
      <w:r>
        <w:fldChar w:fldCharType="end"/>
      </w:r>
      <w:r>
        <w:t xml:space="preserve"> (дата обращения:16.03.17).</w:t>
      </w:r>
    </w:p>
    <w:p w:rsidR="005E1201" w:rsidRPr="00C40295" w:rsidRDefault="005E1201" w:rsidP="005B1DF7">
      <w:pPr>
        <w:numPr>
          <w:ilvl w:val="0"/>
          <w:numId w:val="108"/>
        </w:numPr>
        <w:pBdr>
          <w:top w:val="none" w:sz="0" w:space="0" w:color="auto"/>
          <w:left w:val="none" w:sz="0" w:space="0" w:color="auto"/>
          <w:bottom w:val="none" w:sz="0" w:space="0" w:color="auto"/>
          <w:right w:val="none" w:sz="0" w:space="0" w:color="auto"/>
          <w:between w:val="none" w:sz="0" w:space="0" w:color="auto"/>
        </w:pBdr>
        <w:spacing w:after="0" w:line="240" w:lineRule="auto"/>
        <w:ind w:left="284" w:hanging="284"/>
        <w:contextualSpacing/>
        <w:jc w:val="both"/>
      </w:pPr>
      <w:r>
        <w:fldChar w:fldCharType="begin"/>
      </w:r>
      <w:r>
        <w:instrText xml:space="preserve">eq </w:instrText>
      </w:r>
      <w:r>
        <w:rPr>
          <w:noProof/>
          <w:color w:val="FFFFFF"/>
          <w:spacing w:val="-20000"/>
          <w:sz w:val="2"/>
          <w:szCs w:val="28"/>
        </w:rPr>
        <w:instrText xml:space="preserve"> образования </w:instrText>
      </w:r>
      <w:r>
        <w:rPr>
          <w:noProof/>
        </w:rPr>
        <w:instrText>Омельчук</w:instrText>
      </w:r>
      <w:r>
        <w:fldChar w:fldCharType="end"/>
      </w:r>
      <w:r>
        <w:t xml:space="preserve"> Р.К.  Идеология в педагогике: </w:t>
      </w:r>
      <w:r>
        <w:fldChar w:fldCharType="begin"/>
      </w:r>
      <w:r>
        <w:instrText xml:space="preserve">eq </w:instrText>
      </w:r>
      <w:r>
        <w:rPr>
          <w:noProof/>
          <w:color w:val="FFFFFF"/>
          <w:spacing w:val="-20000"/>
          <w:sz w:val="2"/>
          <w:szCs w:val="28"/>
        </w:rPr>
        <w:instrText xml:space="preserve"> обязательного </w:instrText>
      </w:r>
      <w:r>
        <w:rPr>
          <w:noProof/>
        </w:rPr>
        <w:instrText>идеалы</w:instrText>
      </w:r>
      <w:r>
        <w:rPr>
          <w:noProof/>
          <w:color w:val="FFFFFF"/>
          <w:spacing w:val="-20000"/>
          <w:sz w:val="2"/>
          <w:szCs w:val="28"/>
        </w:rPr>
        <w:instrText> вузы</w:instrText>
      </w:r>
      <w:r>
        <w:fldChar w:fldCharType="end"/>
      </w:r>
      <w:r>
        <w:t xml:space="preserve"> философии или </w:t>
      </w:r>
      <w:r>
        <w:fldChar w:fldCharType="begin"/>
      </w:r>
      <w:r>
        <w:instrText xml:space="preserve">eq </w:instrText>
      </w:r>
      <w:r>
        <w:rPr>
          <w:noProof/>
        </w:rPr>
        <w:instrText>идолы</w:instrText>
      </w:r>
      <w:r>
        <w:rPr>
          <w:noProof/>
          <w:color w:val="FFFFFF"/>
          <w:spacing w:val="-20000"/>
          <w:sz w:val="2"/>
          <w:szCs w:val="28"/>
        </w:rPr>
        <w:instrText> проведенная</w:instrText>
      </w:r>
      <w:r>
        <w:fldChar w:fldCharType="end"/>
      </w:r>
      <w:r>
        <w:t xml:space="preserve"> культуры / Р.К.Омельчук // </w:t>
      </w:r>
      <w:r>
        <w:fldChar w:fldCharType="begin"/>
      </w:r>
      <w:r>
        <w:instrText xml:space="preserve">eq </w:instrText>
      </w:r>
      <w:r>
        <w:rPr>
          <w:noProof/>
          <w:color w:val="FFFFFF"/>
          <w:spacing w:val="-20000"/>
          <w:sz w:val="2"/>
          <w:szCs w:val="28"/>
        </w:rPr>
        <w:instrText xml:space="preserve"> первую </w:instrText>
      </w:r>
      <w:r>
        <w:rPr>
          <w:noProof/>
        </w:rPr>
        <w:instrText>Педагогика</w:instrText>
      </w:r>
      <w:r>
        <w:rPr>
          <w:noProof/>
          <w:color w:val="FFFFFF"/>
          <w:spacing w:val="-20000"/>
          <w:sz w:val="2"/>
          <w:szCs w:val="28"/>
        </w:rPr>
        <w:instrText> данный</w:instrText>
      </w:r>
      <w:r>
        <w:fldChar w:fldCharType="end"/>
      </w:r>
      <w:r>
        <w:t xml:space="preserve"> и просвещение. – 2014. – № 2. – С. </w:t>
      </w:r>
      <w:r>
        <w:fldChar w:fldCharType="begin"/>
      </w:r>
      <w:r>
        <w:instrText xml:space="preserve">eq </w:instrText>
      </w:r>
      <w:r>
        <w:rPr>
          <w:noProof/>
          <w:color w:val="FFFFFF"/>
          <w:spacing w:val="-20000"/>
          <w:sz w:val="2"/>
          <w:szCs w:val="28"/>
        </w:rPr>
        <w:instrText xml:space="preserve"> ведет </w:instrText>
      </w:r>
      <w:r>
        <w:rPr>
          <w:noProof/>
        </w:rPr>
        <w:instrText>114-124.</w:instrText>
      </w:r>
      <w:r>
        <w:fldChar w:fldCharType="end"/>
      </w:r>
    </w:p>
    <w:p w:rsidR="005E1201" w:rsidRPr="00C40295" w:rsidRDefault="005E1201" w:rsidP="005B1DF7">
      <w:pPr>
        <w:pStyle w:val="af6"/>
        <w:numPr>
          <w:ilvl w:val="0"/>
          <w:numId w:val="108"/>
        </w:numPr>
        <w:pBdr>
          <w:top w:val="none" w:sz="0" w:space="0" w:color="auto"/>
          <w:left w:val="none" w:sz="0" w:space="0" w:color="auto"/>
          <w:bottom w:val="none" w:sz="0" w:space="0" w:color="auto"/>
          <w:right w:val="none" w:sz="0" w:space="0" w:color="auto"/>
          <w:between w:val="none" w:sz="0" w:space="0" w:color="auto"/>
        </w:pBdr>
        <w:suppressAutoHyphens/>
        <w:spacing w:before="0" w:beforeAutospacing="0" w:after="0" w:afterAutospacing="0"/>
        <w:ind w:left="284" w:hanging="284"/>
        <w:contextualSpacing/>
        <w:jc w:val="both"/>
      </w:pPr>
      <w:r>
        <w:rPr>
          <w:bCs/>
        </w:rPr>
        <w:t xml:space="preserve">Результаты опроса </w:t>
      </w:r>
      <w:r>
        <w:fldChar w:fldCharType="begin"/>
      </w:r>
      <w:r>
        <w:instrText xml:space="preserve">eq </w:instrText>
      </w:r>
      <w:r>
        <w:rPr>
          <w:noProof/>
          <w:color w:val="FFFFFF"/>
          <w:spacing w:val="-20000"/>
          <w:sz w:val="2"/>
          <w:szCs w:val="28"/>
        </w:rPr>
        <w:instrText xml:space="preserve"> стоит </w:instrText>
      </w:r>
      <w:r>
        <w:rPr>
          <w:bCs/>
          <w:noProof/>
        </w:rPr>
        <w:instrText>работодателеи</w:instrText>
      </w:r>
      <w:r>
        <w:rPr>
          <w:noProof/>
          <w:color w:val="FFFFFF"/>
          <w:spacing w:val="-20000"/>
          <w:sz w:val="2"/>
          <w:szCs w:val="28"/>
        </w:rPr>
        <w:instrText> представлено</w:instrText>
      </w:r>
      <w:r>
        <w:fldChar w:fldCharType="end"/>
      </w:r>
      <w:r>
        <w:rPr>
          <w:bCs/>
        </w:rPr>
        <w:t xml:space="preserve">̆ об удовлетворенности </w:t>
      </w:r>
      <w:r>
        <w:fldChar w:fldCharType="begin"/>
      </w:r>
      <w:r>
        <w:instrText xml:space="preserve">eq </w:instrText>
      </w:r>
      <w:r>
        <w:rPr>
          <w:bCs/>
          <w:noProof/>
        </w:rPr>
        <w:instrText>выпускниками-студентами</w:instrText>
      </w:r>
      <w:r>
        <w:rPr>
          <w:noProof/>
          <w:color w:val="FFFFFF"/>
          <w:spacing w:val="-20000"/>
          <w:sz w:val="2"/>
          <w:szCs w:val="28"/>
        </w:rPr>
        <w:instrText> маркетинговой</w:instrText>
      </w:r>
      <w:r>
        <w:fldChar w:fldCharType="end"/>
      </w:r>
      <w:r>
        <w:rPr>
          <w:bCs/>
        </w:rPr>
        <w:t xml:space="preserve"> Новосибирского государственного </w:t>
      </w:r>
      <w:r>
        <w:fldChar w:fldCharType="begin"/>
      </w:r>
      <w:r>
        <w:instrText xml:space="preserve">eq </w:instrText>
      </w:r>
      <w:r>
        <w:rPr>
          <w:noProof/>
          <w:color w:val="FFFFFF"/>
          <w:spacing w:val="-20000"/>
          <w:sz w:val="2"/>
          <w:szCs w:val="28"/>
        </w:rPr>
        <w:instrText xml:space="preserve"> имеющий </w:instrText>
      </w:r>
      <w:r>
        <w:rPr>
          <w:bCs/>
          <w:noProof/>
        </w:rPr>
        <w:instrText>технического</w:instrText>
      </w:r>
      <w:r>
        <w:rPr>
          <w:noProof/>
          <w:color w:val="FFFFFF"/>
          <w:spacing w:val="-20000"/>
          <w:sz w:val="2"/>
          <w:szCs w:val="28"/>
        </w:rPr>
        <w:instrText> гаврилова</w:instrText>
      </w:r>
      <w:r>
        <w:fldChar w:fldCharType="end"/>
      </w:r>
      <w:r>
        <w:rPr>
          <w:bCs/>
        </w:rPr>
        <w:t xml:space="preserve"> университета </w:t>
      </w:r>
      <w:r>
        <w:t xml:space="preserve">[Электронный </w:t>
      </w:r>
      <w:r>
        <w:fldChar w:fldCharType="begin"/>
      </w:r>
      <w:r>
        <w:instrText xml:space="preserve">eq </w:instrText>
      </w:r>
      <w:r>
        <w:rPr>
          <w:noProof/>
          <w:color w:val="FFFFFF"/>
          <w:spacing w:val="-20000"/>
          <w:sz w:val="2"/>
          <w:szCs w:val="28"/>
        </w:rPr>
        <w:instrText xml:space="preserve"> конф </w:instrText>
      </w:r>
      <w:r>
        <w:rPr>
          <w:noProof/>
        </w:rPr>
        <w:instrText>ресурс</w:instrText>
      </w:r>
      <w:r>
        <w:fldChar w:fldCharType="end"/>
      </w:r>
      <w:r>
        <w:t>]</w:t>
      </w:r>
      <w:r>
        <w:rPr>
          <w:lang w:eastAsia="x-none"/>
        </w:rPr>
        <w:t xml:space="preserve"> </w:t>
      </w:r>
      <w:r>
        <w:t xml:space="preserve">// Новосибирский </w:t>
      </w:r>
      <w:r w:rsidRPr="00C40295">
        <w:rPr>
          <w:bCs/>
        </w:rPr>
        <w:t>государственный технический университет: официал.</w:t>
      </w:r>
      <w:r w:rsidRPr="00C40295">
        <w:rPr>
          <w:bCs/>
          <w:lang w:eastAsia="x-none"/>
        </w:rPr>
        <w:t xml:space="preserve"> </w:t>
      </w:r>
      <w:r w:rsidRPr="00C40295">
        <w:rPr>
          <w:bCs/>
        </w:rPr>
        <w:t xml:space="preserve">сайт </w:t>
      </w:r>
      <w:r w:rsidRPr="00C40295">
        <w:t xml:space="preserve">– Режим доступа: </w:t>
      </w:r>
      <w:hyperlink r:id="rId364" w:history="1">
        <w:r w:rsidRPr="000D6E16">
          <w:rPr>
            <w:rStyle w:val="aa"/>
            <w:rFonts w:eastAsia="Arial"/>
            <w:bCs/>
          </w:rPr>
          <w:t>http://www.nstu.ru/static_files/23173/nstu_stud_companies.pdf</w:t>
        </w:r>
      </w:hyperlink>
      <w:r>
        <w:rPr>
          <w:bCs/>
          <w:lang w:eastAsia="x-none"/>
        </w:rPr>
        <w:t xml:space="preserve"> </w:t>
      </w:r>
      <w:r>
        <w:t>(дата обращения:</w:t>
      </w:r>
      <w:r>
        <w:rPr>
          <w:lang w:eastAsia="x-none"/>
        </w:rPr>
        <w:t>22</w:t>
      </w:r>
      <w:r>
        <w:t>.0</w:t>
      </w:r>
      <w:r>
        <w:rPr>
          <w:lang w:eastAsia="x-none"/>
        </w:rPr>
        <w:t>3</w:t>
      </w:r>
      <w:r>
        <w:t>.17)</w:t>
      </w:r>
      <w:r w:rsidRPr="00C40295">
        <w:t>.</w:t>
      </w:r>
    </w:p>
    <w:p w:rsidR="005E1201" w:rsidRPr="00C40295" w:rsidRDefault="005E1201" w:rsidP="005B1DF7">
      <w:pPr>
        <w:numPr>
          <w:ilvl w:val="0"/>
          <w:numId w:val="108"/>
        </w:numPr>
        <w:pBdr>
          <w:top w:val="none" w:sz="0" w:space="0" w:color="auto"/>
          <w:left w:val="none" w:sz="0" w:space="0" w:color="auto"/>
          <w:bottom w:val="none" w:sz="0" w:space="0" w:color="auto"/>
          <w:right w:val="none" w:sz="0" w:space="0" w:color="auto"/>
          <w:between w:val="none" w:sz="0" w:space="0" w:color="auto"/>
        </w:pBdr>
        <w:suppressAutoHyphens/>
        <w:spacing w:after="0" w:line="240" w:lineRule="auto"/>
        <w:ind w:left="284" w:hanging="284"/>
        <w:contextualSpacing/>
        <w:jc w:val="both"/>
      </w:pPr>
      <w:r w:rsidRPr="00C40295">
        <w:t xml:space="preserve">Гаврилова М.А. Проблемы мотивации выпускников на трудоустройство. Мероприятия ГАУ НПО «СРПК», направленные на повышение мотивации [Электронный ресурс] / М.А.Гаврилова // – Режим доступа: </w:t>
      </w:r>
      <w:hyperlink r:id="rId365" w:history="1">
        <w:r w:rsidRPr="000D6E16">
          <w:rPr>
            <w:rStyle w:val="aa"/>
            <w:rFonts w:eastAsia="Arial"/>
          </w:rPr>
          <w:t>http://www.labourmarket.ru/conf10/reports/gavrilova.doc</w:t>
        </w:r>
      </w:hyperlink>
      <w:r>
        <w:t xml:space="preserve"> (дата обращения:08.04.17)</w:t>
      </w:r>
      <w:r w:rsidRPr="00C40295">
        <w:t>.</w:t>
      </w:r>
    </w:p>
    <w:p w:rsidR="005E1201" w:rsidRPr="00C40295" w:rsidRDefault="005E1201" w:rsidP="005B1DF7">
      <w:pPr>
        <w:pStyle w:val="af6"/>
        <w:numPr>
          <w:ilvl w:val="0"/>
          <w:numId w:val="108"/>
        </w:numPr>
        <w:pBdr>
          <w:top w:val="none" w:sz="0" w:space="0" w:color="auto"/>
          <w:left w:val="none" w:sz="0" w:space="0" w:color="auto"/>
          <w:bottom w:val="none" w:sz="0" w:space="0" w:color="auto"/>
          <w:right w:val="none" w:sz="0" w:space="0" w:color="auto"/>
          <w:between w:val="none" w:sz="0" w:space="0" w:color="auto"/>
        </w:pBdr>
        <w:suppressAutoHyphens/>
        <w:spacing w:before="0" w:beforeAutospacing="0" w:after="0" w:afterAutospacing="0"/>
        <w:ind w:left="284" w:hanging="284"/>
        <w:contextualSpacing/>
        <w:jc w:val="both"/>
      </w:pPr>
      <w:r w:rsidRPr="00C40295">
        <w:t>Анализ результатов социологического опроса «Оценка степени удовлетворенности работодателей качеством профессиональной подготовки в ЗАБгу»</w:t>
      </w:r>
      <w:r w:rsidRPr="00C40295">
        <w:rPr>
          <w:shd w:val="clear" w:color="auto" w:fill="FFFFFF"/>
        </w:rPr>
        <w:t xml:space="preserve"> [Электронный ресурс]</w:t>
      </w:r>
      <w:r w:rsidRPr="00C40295">
        <w:rPr>
          <w:shd w:val="clear" w:color="auto" w:fill="FFFFFF"/>
          <w:lang w:eastAsia="x-none"/>
        </w:rPr>
        <w:t xml:space="preserve"> // Забайкальский государственный </w:t>
      </w:r>
      <w:r w:rsidRPr="00C40295">
        <w:rPr>
          <w:shd w:val="clear" w:color="auto" w:fill="FFFFFF"/>
          <w:lang w:eastAsia="x-none"/>
        </w:rPr>
        <w:tab/>
        <w:t>университет</w:t>
      </w:r>
      <w:r w:rsidRPr="00C40295">
        <w:rPr>
          <w:shd w:val="clear" w:color="auto" w:fill="FFFFFF"/>
        </w:rPr>
        <w:t xml:space="preserve">. </w:t>
      </w:r>
      <w:r w:rsidRPr="00C40295">
        <w:rPr>
          <w:shd w:val="clear" w:color="auto" w:fill="FFFFFF"/>
          <w:lang w:eastAsia="x-none"/>
        </w:rPr>
        <w:tab/>
      </w:r>
      <w:r w:rsidRPr="00C40295">
        <w:t>–</w:t>
      </w:r>
      <w:r w:rsidRPr="00C40295">
        <w:rPr>
          <w:shd w:val="clear" w:color="auto" w:fill="FFFFFF"/>
        </w:rPr>
        <w:t xml:space="preserve"> </w:t>
      </w:r>
      <w:r w:rsidRPr="00C40295">
        <w:rPr>
          <w:shd w:val="clear" w:color="auto" w:fill="FFFFFF"/>
          <w:lang w:eastAsia="x-none"/>
        </w:rPr>
        <w:tab/>
      </w:r>
      <w:r w:rsidRPr="00C40295">
        <w:rPr>
          <w:shd w:val="clear" w:color="auto" w:fill="FFFFFF"/>
        </w:rPr>
        <w:t>Режим</w:t>
      </w:r>
      <w:r w:rsidRPr="00C40295">
        <w:rPr>
          <w:shd w:val="clear" w:color="auto" w:fill="FFFFFF"/>
          <w:lang w:eastAsia="x-none"/>
        </w:rPr>
        <w:tab/>
      </w:r>
      <w:r w:rsidRPr="00C40295">
        <w:rPr>
          <w:shd w:val="clear" w:color="auto" w:fill="FFFFFF"/>
        </w:rPr>
        <w:t xml:space="preserve"> доступа: </w:t>
      </w:r>
      <w:r w:rsidRPr="00C40295">
        <w:t xml:space="preserve"> </w:t>
      </w:r>
      <w:hyperlink r:id="rId366" w:history="1">
        <w:r w:rsidRPr="000D6E16">
          <w:rPr>
            <w:rStyle w:val="aa"/>
            <w:rFonts w:eastAsia="Arial"/>
          </w:rPr>
          <w:t>http://zabgu.ru/files/html_document/pdf_files/fixed/ocenka_stepeni_udovletvorennosti_rabotodatelej/otchet_rabotodateli_2015.pdf</w:t>
        </w:r>
      </w:hyperlink>
      <w:r>
        <w:rPr>
          <w:lang w:eastAsia="x-none"/>
        </w:rPr>
        <w:t xml:space="preserve"> </w:t>
      </w:r>
      <w:r>
        <w:t>(дата обращения:</w:t>
      </w:r>
      <w:r>
        <w:rPr>
          <w:lang w:eastAsia="x-none"/>
        </w:rPr>
        <w:t>18</w:t>
      </w:r>
      <w:r>
        <w:t>.0</w:t>
      </w:r>
      <w:r>
        <w:rPr>
          <w:lang w:eastAsia="x-none"/>
        </w:rPr>
        <w:t>4</w:t>
      </w:r>
      <w:r>
        <w:t>.17)</w:t>
      </w:r>
      <w:r w:rsidRPr="00C40295">
        <w:t>.</w:t>
      </w:r>
    </w:p>
    <w:p w:rsidR="005E1201" w:rsidRPr="00C40295" w:rsidRDefault="005E1201" w:rsidP="005B1DF7">
      <w:pPr>
        <w:pStyle w:val="1"/>
        <w:keepNext/>
        <w:numPr>
          <w:ilvl w:val="0"/>
          <w:numId w:val="108"/>
        </w:numPr>
        <w:pBdr>
          <w:top w:val="none" w:sz="0" w:space="0" w:color="auto"/>
          <w:left w:val="none" w:sz="0" w:space="0" w:color="auto"/>
          <w:bottom w:val="none" w:sz="0" w:space="0" w:color="auto"/>
          <w:right w:val="none" w:sz="0" w:space="0" w:color="auto"/>
          <w:between w:val="none" w:sz="0" w:space="0" w:color="auto"/>
        </w:pBdr>
        <w:suppressAutoHyphens/>
        <w:spacing w:before="0" w:beforeAutospacing="0" w:after="0" w:afterAutospacing="0"/>
        <w:ind w:left="284" w:hanging="284"/>
        <w:contextualSpacing/>
        <w:jc w:val="both"/>
        <w:rPr>
          <w:b w:val="0"/>
          <w:sz w:val="24"/>
          <w:szCs w:val="24"/>
        </w:rPr>
      </w:pPr>
      <w:r w:rsidRPr="00C40295">
        <w:rPr>
          <w:b w:val="0"/>
          <w:sz w:val="24"/>
          <w:szCs w:val="24"/>
        </w:rPr>
        <w:t>Об образовании в Российской Федерации: федеральный закон от 29.12.2012 № 273-ФЗ</w:t>
      </w:r>
      <w:r w:rsidRPr="00C40295">
        <w:rPr>
          <w:rStyle w:val="apple-converted-space"/>
          <w:rFonts w:eastAsia="Arial"/>
          <w:b w:val="0"/>
          <w:sz w:val="24"/>
          <w:szCs w:val="24"/>
        </w:rPr>
        <w:t> (ред.</w:t>
      </w:r>
      <w:r w:rsidRPr="00C40295">
        <w:rPr>
          <w:rStyle w:val="apple-converted-space"/>
          <w:rFonts w:eastAsia="Arial"/>
          <w:b w:val="0"/>
          <w:sz w:val="24"/>
          <w:szCs w:val="24"/>
          <w:lang w:eastAsia="x-none"/>
        </w:rPr>
        <w:t xml:space="preserve"> от </w:t>
      </w:r>
      <w:r w:rsidRPr="00C40295">
        <w:rPr>
          <w:rStyle w:val="apple-converted-space"/>
          <w:rFonts w:eastAsia="Arial"/>
          <w:b w:val="0"/>
          <w:sz w:val="24"/>
          <w:szCs w:val="24"/>
        </w:rPr>
        <w:t xml:space="preserve">03.02.2014) </w:t>
      </w:r>
      <w:r w:rsidRPr="00C40295">
        <w:rPr>
          <w:b w:val="0"/>
          <w:sz w:val="24"/>
          <w:szCs w:val="24"/>
        </w:rPr>
        <w:t>[Электронный ресурс]</w:t>
      </w:r>
      <w:r w:rsidRPr="00C40295">
        <w:rPr>
          <w:b w:val="0"/>
          <w:sz w:val="24"/>
          <w:szCs w:val="24"/>
          <w:lang w:eastAsia="x-none"/>
        </w:rPr>
        <w:t xml:space="preserve"> </w:t>
      </w:r>
      <w:r w:rsidRPr="00C40295">
        <w:rPr>
          <w:b w:val="0"/>
          <w:sz w:val="24"/>
          <w:szCs w:val="24"/>
        </w:rPr>
        <w:t xml:space="preserve">// СПС «КонсультантПлюс». – Режим доступа: </w:t>
      </w:r>
      <w:hyperlink r:id="rId367" w:history="1">
        <w:r w:rsidRPr="005E1201">
          <w:rPr>
            <w:rStyle w:val="aa"/>
            <w:rFonts w:asciiTheme="minorHAnsi" w:eastAsia="Arial" w:hAnsiTheme="minorHAnsi"/>
            <w:b w:val="0"/>
            <w:sz w:val="22"/>
            <w:szCs w:val="22"/>
          </w:rPr>
          <w:t>http://www.consultant.ru/document/cons_doc_LAW_140174/</w:t>
        </w:r>
      </w:hyperlink>
      <w:r>
        <w:rPr>
          <w:b w:val="0"/>
          <w:sz w:val="24"/>
          <w:szCs w:val="24"/>
          <w:lang w:eastAsia="x-none"/>
        </w:rPr>
        <w:t xml:space="preserve"> </w:t>
      </w:r>
      <w:r w:rsidRPr="000D6E16">
        <w:rPr>
          <w:b w:val="0"/>
          <w:sz w:val="24"/>
        </w:rPr>
        <w:t>(дата обращения:1</w:t>
      </w:r>
      <w:r>
        <w:rPr>
          <w:b w:val="0"/>
          <w:sz w:val="24"/>
          <w:lang w:eastAsia="x-none"/>
        </w:rPr>
        <w:t>5</w:t>
      </w:r>
      <w:r w:rsidRPr="000D6E16">
        <w:rPr>
          <w:b w:val="0"/>
          <w:sz w:val="24"/>
        </w:rPr>
        <w:t>.0</w:t>
      </w:r>
      <w:r>
        <w:rPr>
          <w:b w:val="0"/>
          <w:sz w:val="24"/>
          <w:lang w:eastAsia="x-none"/>
        </w:rPr>
        <w:t>3</w:t>
      </w:r>
      <w:r w:rsidRPr="000D6E16">
        <w:rPr>
          <w:b w:val="0"/>
          <w:sz w:val="24"/>
        </w:rPr>
        <w:t>.17).</w:t>
      </w:r>
    </w:p>
    <w:p w:rsidR="005E1201" w:rsidRPr="00C40295" w:rsidRDefault="005E1201" w:rsidP="005B1DF7">
      <w:pPr>
        <w:pStyle w:val="af6"/>
        <w:numPr>
          <w:ilvl w:val="0"/>
          <w:numId w:val="108"/>
        </w:numPr>
        <w:pBdr>
          <w:top w:val="none" w:sz="0" w:space="0" w:color="auto"/>
          <w:left w:val="none" w:sz="0" w:space="0" w:color="auto"/>
          <w:bottom w:val="none" w:sz="0" w:space="0" w:color="auto"/>
          <w:right w:val="none" w:sz="0" w:space="0" w:color="auto"/>
          <w:between w:val="none" w:sz="0" w:space="0" w:color="auto"/>
        </w:pBdr>
        <w:suppressAutoHyphens/>
        <w:spacing w:before="0" w:beforeAutospacing="0" w:after="0" w:afterAutospacing="0"/>
        <w:ind w:left="284" w:hanging="284"/>
        <w:contextualSpacing/>
        <w:jc w:val="both"/>
      </w:pPr>
      <w:r w:rsidRPr="00C40295">
        <w:t>Васильева Е.Ю., Солодов С.В., Кочетов Д.А., Кочетов А.И.</w:t>
      </w:r>
      <w:r w:rsidRPr="00C40295">
        <w:rPr>
          <w:lang w:eastAsia="x-none"/>
        </w:rPr>
        <w:t xml:space="preserve"> </w:t>
      </w:r>
      <w:r w:rsidRPr="00C40295">
        <w:t>Мониторинг удовлетворенности работодателей качеством выпускников вузов: монография /</w:t>
      </w:r>
      <w:r w:rsidRPr="00C40295">
        <w:rPr>
          <w:lang w:eastAsia="x-none"/>
        </w:rPr>
        <w:t xml:space="preserve"> Е.Ю. Васильева, С.В. Солодов, Д.А. Кочетов, А.И. Кочетов. </w:t>
      </w:r>
      <w:r w:rsidRPr="00C40295">
        <w:t xml:space="preserve">– </w:t>
      </w:r>
      <w:r>
        <w:t>М.: Изд.дом МИСИС, 2013. – 259</w:t>
      </w:r>
      <w:r>
        <w:rPr>
          <w:lang w:eastAsia="x-none"/>
        </w:rPr>
        <w:t> </w:t>
      </w:r>
      <w:r w:rsidRPr="00C40295">
        <w:t xml:space="preserve">с. </w:t>
      </w:r>
    </w:p>
    <w:p w:rsidR="005E1201" w:rsidRPr="00C40295" w:rsidRDefault="005E1201" w:rsidP="005B1DF7">
      <w:pPr>
        <w:numPr>
          <w:ilvl w:val="0"/>
          <w:numId w:val="108"/>
        </w:numPr>
        <w:pBdr>
          <w:top w:val="none" w:sz="0" w:space="0" w:color="auto"/>
          <w:left w:val="none" w:sz="0" w:space="0" w:color="auto"/>
          <w:bottom w:val="none" w:sz="0" w:space="0" w:color="auto"/>
          <w:right w:val="none" w:sz="0" w:space="0" w:color="auto"/>
          <w:between w:val="none" w:sz="0" w:space="0" w:color="auto"/>
        </w:pBdr>
        <w:suppressAutoHyphens/>
        <w:spacing w:after="0" w:line="240" w:lineRule="auto"/>
        <w:ind w:left="284" w:hanging="284"/>
        <w:contextualSpacing/>
        <w:jc w:val="both"/>
        <w:rPr>
          <w:rStyle w:val="aa"/>
          <w:rFonts w:eastAsia="Arial"/>
        </w:rPr>
      </w:pPr>
      <w:r w:rsidRPr="00C40295">
        <w:rPr>
          <w:bCs/>
        </w:rPr>
        <w:t xml:space="preserve">Чуланова О.Л. </w:t>
      </w:r>
      <w:r w:rsidRPr="00C40295">
        <w:t>Методика реализации взаимодействия работодателей с выпускниками вузов на основе современных технологий работы с персоналом [Электронный ресурс] /</w:t>
      </w:r>
      <w:r w:rsidRPr="00C40295">
        <w:rPr>
          <w:rStyle w:val="apple-converted-space"/>
          <w:rFonts w:eastAsia="Arial"/>
        </w:rPr>
        <w:t> </w:t>
      </w:r>
      <w:r w:rsidRPr="00C40295">
        <w:rPr>
          <w:bCs/>
        </w:rPr>
        <w:t>О.Л. Чуланова, М.А. Колтунович, К.И. Яворская //</w:t>
      </w:r>
      <w:r w:rsidRPr="00C40295">
        <w:rPr>
          <w:shd w:val="clear" w:color="auto" w:fill="FFFFFF"/>
        </w:rPr>
        <w:t xml:space="preserve"> Интрнет-журнал «Актуальные проблемы гуманитарных и естественных наук». – 2016г. – №5-2. – Режим доступа: </w:t>
      </w:r>
      <w:r w:rsidRPr="00C40295">
        <w:t>//</w:t>
      </w:r>
      <w:r w:rsidRPr="00C40295">
        <w:rPr>
          <w:lang w:val="en-US"/>
        </w:rPr>
        <w:t>http</w:t>
      </w:r>
      <w:r w:rsidRPr="00C40295">
        <w:t>://</w:t>
      </w:r>
      <w:r w:rsidRPr="00C40295">
        <w:rPr>
          <w:lang w:val="en-US"/>
        </w:rPr>
        <w:t>publikacia</w:t>
      </w:r>
      <w:r w:rsidRPr="00C40295">
        <w:t>.</w:t>
      </w:r>
      <w:r w:rsidRPr="00C40295">
        <w:rPr>
          <w:lang w:val="en-US"/>
        </w:rPr>
        <w:t>net</w:t>
      </w:r>
      <w:r w:rsidRPr="00C40295">
        <w:t>/</w:t>
      </w:r>
      <w:r w:rsidRPr="00C40295">
        <w:rPr>
          <w:lang w:val="en-US"/>
        </w:rPr>
        <w:t>archive</w:t>
      </w:r>
      <w:r w:rsidRPr="00C40295">
        <w:t>/2016/5/2/49</w:t>
      </w:r>
      <w:r>
        <w:t xml:space="preserve"> (дата обращения:12.06.17)</w:t>
      </w:r>
      <w:r w:rsidRPr="00C40295">
        <w:t>.</w:t>
      </w:r>
    </w:p>
    <w:p w:rsidR="005E1201" w:rsidRPr="00C40295" w:rsidRDefault="005E1201" w:rsidP="005B1DF7">
      <w:pPr>
        <w:widowControl w:val="0"/>
        <w:numPr>
          <w:ilvl w:val="0"/>
          <w:numId w:val="108"/>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284" w:hanging="284"/>
        <w:contextualSpacing/>
        <w:jc w:val="both"/>
      </w:pPr>
      <w:r w:rsidRPr="00C40295">
        <w:t xml:space="preserve">Информация о статистике количества студентов ВУЗов [Электронный ресурс] // Территориальный орган Федеральной службы государственной статистики по Приморскому краю. – Режим доступа: </w:t>
      </w:r>
      <w:hyperlink r:id="rId368" w:history="1">
        <w:r w:rsidRPr="00C40295">
          <w:rPr>
            <w:rStyle w:val="aa"/>
            <w:rFonts w:eastAsia="Arial"/>
          </w:rPr>
          <w:t>http://primstat.gks.ru/</w:t>
        </w:r>
      </w:hyperlink>
      <w:r>
        <w:t xml:space="preserve"> (дата обращения:15.03.17)</w:t>
      </w:r>
      <w:r w:rsidRPr="00C40295">
        <w:t>.</w:t>
      </w:r>
    </w:p>
    <w:p w:rsidR="005E1201" w:rsidRPr="00420E0F" w:rsidRDefault="005E1201" w:rsidP="005B1DF7">
      <w:pPr>
        <w:widowControl w:val="0"/>
        <w:numPr>
          <w:ilvl w:val="0"/>
          <w:numId w:val="108"/>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284" w:right="-1" w:hanging="284"/>
        <w:contextualSpacing/>
        <w:jc w:val="both"/>
        <w:rPr>
          <w:sz w:val="20"/>
          <w:szCs w:val="20"/>
        </w:rPr>
      </w:pPr>
      <w:r w:rsidRPr="00C40295">
        <w:t xml:space="preserve">Авсянников Н.М. Маркетинг в образовании: учеб.пособие / Н.М. Авсянников. – М.: РУДН, 2007. –158 с. </w:t>
      </w: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Pr="000378D2" w:rsidRDefault="005E1201" w:rsidP="005E1201">
      <w:pPr>
        <w:spacing w:after="0" w:line="240" w:lineRule="auto"/>
        <w:rPr>
          <w:rFonts w:ascii="Times New Roman" w:hAnsi="Times New Roman"/>
          <w:sz w:val="24"/>
        </w:rPr>
      </w:pPr>
      <w:r w:rsidRPr="007A5A86">
        <w:rPr>
          <w:rFonts w:ascii="Times New Roman" w:hAnsi="Times New Roman"/>
          <w:sz w:val="24"/>
        </w:rPr>
        <w:t>Рубрика:</w:t>
      </w:r>
      <w:r w:rsidRPr="000378D2">
        <w:rPr>
          <w:rFonts w:ascii="Times New Roman" w:hAnsi="Times New Roman"/>
          <w:sz w:val="24"/>
        </w:rPr>
        <w:t xml:space="preserve"> Тенденции развития маркетинга в России и за рубежом</w:t>
      </w:r>
    </w:p>
    <w:p w:rsidR="005E1201" w:rsidRPr="00BC4A7D" w:rsidRDefault="005E1201" w:rsidP="005E1201">
      <w:pPr>
        <w:spacing w:after="0" w:line="240" w:lineRule="auto"/>
        <w:rPr>
          <w:rFonts w:ascii="Times New Roman" w:hAnsi="Times New Roman"/>
          <w:sz w:val="24"/>
        </w:rPr>
      </w:pPr>
      <w:r>
        <w:rPr>
          <w:rFonts w:ascii="Times New Roman" w:hAnsi="Times New Roman"/>
          <w:sz w:val="24"/>
        </w:rPr>
        <w:t>УДК</w:t>
      </w:r>
      <w:r w:rsidRPr="00BC4A7D">
        <w:rPr>
          <w:rFonts w:ascii="Times New Roman" w:hAnsi="Times New Roman"/>
          <w:sz w:val="24"/>
        </w:rPr>
        <w:t xml:space="preserve"> 339.138</w:t>
      </w:r>
    </w:p>
    <w:p w:rsidR="005E1201" w:rsidRPr="007A5A86" w:rsidRDefault="005E1201" w:rsidP="005E1201">
      <w:pPr>
        <w:spacing w:after="0" w:line="240" w:lineRule="auto"/>
        <w:rPr>
          <w:rFonts w:ascii="Times New Roman" w:hAnsi="Times New Roman"/>
          <w:sz w:val="24"/>
        </w:rPr>
      </w:pPr>
    </w:p>
    <w:p w:rsidR="005E1201" w:rsidRDefault="005E1201" w:rsidP="005E1201">
      <w:pPr>
        <w:spacing w:after="0" w:line="240" w:lineRule="auto"/>
        <w:jc w:val="center"/>
        <w:rPr>
          <w:rFonts w:ascii="Times New Roman" w:hAnsi="Times New Roman"/>
          <w:b/>
          <w:sz w:val="24"/>
        </w:rPr>
      </w:pPr>
      <w:r w:rsidRPr="002B314A">
        <w:rPr>
          <w:rFonts w:ascii="Times New Roman" w:hAnsi="Times New Roman"/>
          <w:b/>
          <w:sz w:val="24"/>
        </w:rPr>
        <w:t xml:space="preserve">Тенденции и особенности развития рынка образовательных услуг в КНР </w:t>
      </w:r>
    </w:p>
    <w:p w:rsidR="005E1201" w:rsidRPr="002B314A" w:rsidRDefault="005E1201" w:rsidP="005E1201">
      <w:pPr>
        <w:spacing w:after="0" w:line="240" w:lineRule="auto"/>
        <w:jc w:val="center"/>
        <w:rPr>
          <w:rFonts w:ascii="Times New Roman" w:hAnsi="Times New Roman"/>
          <w:b/>
          <w:sz w:val="24"/>
        </w:rPr>
      </w:pPr>
    </w:p>
    <w:p w:rsidR="005E1201" w:rsidRPr="002B314A" w:rsidRDefault="005E1201" w:rsidP="005E1201">
      <w:pPr>
        <w:spacing w:after="0" w:line="240" w:lineRule="auto"/>
        <w:jc w:val="center"/>
        <w:rPr>
          <w:rFonts w:ascii="Times New Roman" w:hAnsi="Times New Roman"/>
          <w:sz w:val="24"/>
        </w:rPr>
      </w:pPr>
      <w:r w:rsidRPr="002B314A">
        <w:rPr>
          <w:rFonts w:ascii="Times New Roman" w:hAnsi="Times New Roman"/>
          <w:sz w:val="24"/>
        </w:rPr>
        <w:t>Смычникова Валерия Юрьевна,</w:t>
      </w:r>
    </w:p>
    <w:p w:rsidR="005E1201" w:rsidRPr="002B314A" w:rsidRDefault="005E1201" w:rsidP="005E1201">
      <w:pPr>
        <w:spacing w:after="0" w:line="240" w:lineRule="auto"/>
        <w:jc w:val="center"/>
        <w:rPr>
          <w:rFonts w:ascii="Times New Roman" w:hAnsi="Times New Roman"/>
          <w:sz w:val="24"/>
        </w:rPr>
      </w:pPr>
      <w:r w:rsidRPr="002B314A">
        <w:rPr>
          <w:rFonts w:ascii="Times New Roman" w:hAnsi="Times New Roman"/>
          <w:sz w:val="24"/>
        </w:rPr>
        <w:t>бакалавр</w:t>
      </w:r>
    </w:p>
    <w:p w:rsidR="005E1201" w:rsidRPr="002B314A" w:rsidRDefault="005E1201" w:rsidP="005E1201">
      <w:pPr>
        <w:spacing w:after="0" w:line="240" w:lineRule="auto"/>
        <w:jc w:val="center"/>
        <w:rPr>
          <w:rFonts w:ascii="Times New Roman" w:hAnsi="Times New Roman"/>
          <w:i/>
          <w:sz w:val="24"/>
        </w:rPr>
      </w:pPr>
      <w:r w:rsidRPr="002B314A">
        <w:rPr>
          <w:rFonts w:ascii="Times New Roman" w:hAnsi="Times New Roman"/>
          <w:i/>
          <w:sz w:val="24"/>
        </w:rPr>
        <w:t>Владивостокский государственный университет экономики и сервиса</w:t>
      </w:r>
    </w:p>
    <w:p w:rsidR="005E1201" w:rsidRDefault="005E1201" w:rsidP="005E1201">
      <w:pPr>
        <w:spacing w:after="0" w:line="240" w:lineRule="auto"/>
        <w:jc w:val="center"/>
        <w:rPr>
          <w:rFonts w:ascii="Times New Roman" w:hAnsi="Times New Roman"/>
          <w:i/>
          <w:sz w:val="24"/>
        </w:rPr>
      </w:pPr>
      <w:r w:rsidRPr="002B314A">
        <w:rPr>
          <w:rFonts w:ascii="Times New Roman" w:hAnsi="Times New Roman"/>
          <w:i/>
          <w:sz w:val="24"/>
        </w:rPr>
        <w:t>Россия, Владивосток</w:t>
      </w:r>
    </w:p>
    <w:p w:rsidR="005E1201" w:rsidRPr="00F22B30" w:rsidRDefault="005E1201" w:rsidP="005E1201">
      <w:pPr>
        <w:spacing w:after="0" w:line="240" w:lineRule="auto"/>
        <w:jc w:val="center"/>
        <w:rPr>
          <w:rFonts w:ascii="Times New Roman" w:hAnsi="Times New Roman"/>
          <w:sz w:val="24"/>
        </w:rPr>
      </w:pPr>
      <w:r w:rsidRPr="002B314A">
        <w:rPr>
          <w:rFonts w:ascii="Times New Roman" w:hAnsi="Times New Roman"/>
          <w:sz w:val="24"/>
          <w:lang w:val="en-US"/>
        </w:rPr>
        <w:t>Email</w:t>
      </w:r>
      <w:r w:rsidRPr="00F22B30">
        <w:rPr>
          <w:rFonts w:ascii="Times New Roman" w:hAnsi="Times New Roman"/>
          <w:sz w:val="24"/>
        </w:rPr>
        <w:t xml:space="preserve">: </w:t>
      </w:r>
      <w:hyperlink r:id="rId369" w:history="1">
        <w:r w:rsidRPr="00967833">
          <w:rPr>
            <w:rStyle w:val="aa"/>
            <w:rFonts w:ascii="Times New Roman" w:eastAsia="Arial" w:hAnsi="Times New Roman"/>
            <w:lang w:val="en-US"/>
          </w:rPr>
          <w:t>lero</w:t>
        </w:r>
        <w:r w:rsidRPr="00F22B30">
          <w:rPr>
            <w:rStyle w:val="aa"/>
            <w:rFonts w:ascii="Times New Roman" w:eastAsia="Arial" w:hAnsi="Times New Roman"/>
          </w:rPr>
          <w:t>4</w:t>
        </w:r>
        <w:r w:rsidRPr="00967833">
          <w:rPr>
            <w:rStyle w:val="aa"/>
            <w:rFonts w:ascii="Times New Roman" w:eastAsia="Arial" w:hAnsi="Times New Roman"/>
            <w:lang w:val="en-US"/>
          </w:rPr>
          <w:t>ka</w:t>
        </w:r>
        <w:r w:rsidRPr="00F22B30">
          <w:rPr>
            <w:rStyle w:val="aa"/>
            <w:rFonts w:ascii="Times New Roman" w:eastAsia="Arial" w:hAnsi="Times New Roman"/>
          </w:rPr>
          <w:t>150396@</w:t>
        </w:r>
        <w:r w:rsidRPr="00967833">
          <w:rPr>
            <w:rStyle w:val="aa"/>
            <w:rFonts w:ascii="Times New Roman" w:eastAsia="Arial" w:hAnsi="Times New Roman"/>
            <w:lang w:val="en-US"/>
          </w:rPr>
          <w:t>mail</w:t>
        </w:r>
        <w:r w:rsidRPr="00F22B30">
          <w:rPr>
            <w:rStyle w:val="aa"/>
            <w:rFonts w:ascii="Times New Roman" w:eastAsia="Arial" w:hAnsi="Times New Roman"/>
          </w:rPr>
          <w:t>.</w:t>
        </w:r>
        <w:r w:rsidRPr="00967833">
          <w:rPr>
            <w:rStyle w:val="aa"/>
            <w:rFonts w:ascii="Times New Roman" w:eastAsia="Arial" w:hAnsi="Times New Roman"/>
            <w:lang w:val="en-US"/>
          </w:rPr>
          <w:t>ru</w:t>
        </w:r>
      </w:hyperlink>
      <w:r w:rsidRPr="00F22B30">
        <w:rPr>
          <w:rFonts w:ascii="Times New Roman" w:hAnsi="Times New Roman"/>
          <w:sz w:val="24"/>
        </w:rPr>
        <w:t xml:space="preserve">; </w:t>
      </w:r>
      <w:r>
        <w:rPr>
          <w:rFonts w:ascii="Times New Roman" w:hAnsi="Times New Roman"/>
          <w:sz w:val="24"/>
        </w:rPr>
        <w:t>тел</w:t>
      </w:r>
      <w:r w:rsidRPr="00F22B30">
        <w:rPr>
          <w:rFonts w:ascii="Times New Roman" w:hAnsi="Times New Roman"/>
          <w:sz w:val="24"/>
        </w:rPr>
        <w:t>.: +79147120315</w:t>
      </w:r>
    </w:p>
    <w:p w:rsidR="005E1201" w:rsidRPr="001161E2" w:rsidRDefault="005E1201" w:rsidP="005E1201">
      <w:pPr>
        <w:spacing w:after="0" w:line="240" w:lineRule="auto"/>
        <w:jc w:val="center"/>
        <w:rPr>
          <w:rFonts w:ascii="Times New Roman" w:hAnsi="Times New Roman"/>
          <w:sz w:val="24"/>
        </w:rPr>
      </w:pPr>
      <w:r>
        <w:rPr>
          <w:rFonts w:ascii="Times New Roman" w:hAnsi="Times New Roman"/>
          <w:sz w:val="24"/>
        </w:rPr>
        <w:t>ул. Гоголя, 41, г. Владивосток, Приморский край, Россия, 690014</w:t>
      </w:r>
    </w:p>
    <w:p w:rsidR="005E1201" w:rsidRPr="001161E2" w:rsidRDefault="005E1201" w:rsidP="005E1201">
      <w:pPr>
        <w:spacing w:after="0" w:line="240" w:lineRule="auto"/>
        <w:jc w:val="center"/>
        <w:rPr>
          <w:rFonts w:ascii="Times New Roman" w:hAnsi="Times New Roman"/>
          <w:sz w:val="24"/>
        </w:rPr>
      </w:pPr>
    </w:p>
    <w:p w:rsidR="005E1201" w:rsidRPr="001161E2" w:rsidRDefault="005E1201" w:rsidP="005E1201">
      <w:pPr>
        <w:spacing w:after="0" w:line="240" w:lineRule="auto"/>
        <w:ind w:firstLine="709"/>
        <w:jc w:val="both"/>
        <w:rPr>
          <w:rFonts w:ascii="Times New Roman" w:hAnsi="Times New Roman"/>
          <w:i/>
          <w:sz w:val="24"/>
        </w:rPr>
      </w:pPr>
      <w:r w:rsidRPr="009B5C7B">
        <w:rPr>
          <w:rFonts w:ascii="Times New Roman" w:hAnsi="Times New Roman"/>
          <w:i/>
          <w:sz w:val="24"/>
        </w:rPr>
        <w:t>Статья посвящена анализу современных тенденций и особенностей развития рынка образовательных услуг КНР. Китайский рынок образовательных услуг характеризуется ростом конкуренции. В статье рассматриваются факторы конкурентоспособности образовательных услуг и оценка конкурентоспособности ведущих китайских вузов.</w:t>
      </w:r>
    </w:p>
    <w:p w:rsidR="005E1201" w:rsidRPr="001161E2" w:rsidRDefault="005E1201" w:rsidP="005E1201">
      <w:pPr>
        <w:spacing w:after="0" w:line="240" w:lineRule="auto"/>
        <w:ind w:firstLine="709"/>
        <w:jc w:val="both"/>
        <w:rPr>
          <w:rFonts w:ascii="Times New Roman" w:hAnsi="Times New Roman"/>
          <w:i/>
          <w:sz w:val="24"/>
        </w:rPr>
      </w:pPr>
    </w:p>
    <w:p w:rsidR="005E1201" w:rsidRPr="001161E2" w:rsidRDefault="005E1201" w:rsidP="005E1201">
      <w:pPr>
        <w:spacing w:after="0" w:line="240" w:lineRule="auto"/>
        <w:ind w:firstLine="709"/>
        <w:jc w:val="both"/>
        <w:rPr>
          <w:rFonts w:ascii="Times New Roman" w:hAnsi="Times New Roman"/>
          <w:i/>
          <w:sz w:val="24"/>
        </w:rPr>
      </w:pPr>
      <w:r w:rsidRPr="009B5C7B">
        <w:rPr>
          <w:rFonts w:ascii="Times New Roman" w:hAnsi="Times New Roman"/>
          <w:b/>
          <w:i/>
          <w:sz w:val="24"/>
        </w:rPr>
        <w:t>Ключевые слова и словосочетания:</w:t>
      </w:r>
      <w:r w:rsidRPr="009B5C7B">
        <w:rPr>
          <w:rFonts w:ascii="Times New Roman" w:hAnsi="Times New Roman"/>
          <w:i/>
          <w:sz w:val="24"/>
        </w:rPr>
        <w:t xml:space="preserve"> образование, Китай, Китайская Народная Республика (КНР), китайские университеты, рынок образовательных услуг, тенденции, особенности, интернационализация образования.</w:t>
      </w:r>
    </w:p>
    <w:p w:rsidR="005E1201" w:rsidRPr="001161E2" w:rsidRDefault="005E1201" w:rsidP="005E1201">
      <w:pPr>
        <w:spacing w:after="0" w:line="240" w:lineRule="auto"/>
        <w:ind w:firstLine="709"/>
        <w:jc w:val="both"/>
        <w:rPr>
          <w:rFonts w:ascii="Times New Roman" w:hAnsi="Times New Roman"/>
          <w:i/>
          <w:sz w:val="24"/>
        </w:rPr>
      </w:pPr>
    </w:p>
    <w:p w:rsidR="005E1201" w:rsidRPr="009B5C7B" w:rsidRDefault="005E1201" w:rsidP="005E1201">
      <w:pPr>
        <w:spacing w:after="0" w:line="240" w:lineRule="auto"/>
        <w:ind w:firstLine="709"/>
        <w:jc w:val="both"/>
        <w:rPr>
          <w:rFonts w:ascii="Times New Roman" w:hAnsi="Times New Roman"/>
          <w:b/>
          <w:sz w:val="24"/>
          <w:lang w:val="en-US"/>
        </w:rPr>
      </w:pPr>
      <w:r w:rsidRPr="009B5C7B">
        <w:rPr>
          <w:rFonts w:ascii="Times New Roman" w:hAnsi="Times New Roman"/>
          <w:b/>
          <w:sz w:val="24"/>
          <w:lang w:val="en-US"/>
        </w:rPr>
        <w:t>Developmental trends and features of educational services market in China</w:t>
      </w:r>
    </w:p>
    <w:p w:rsidR="005E1201" w:rsidRPr="001161E2" w:rsidRDefault="005E1201" w:rsidP="005E1201">
      <w:pPr>
        <w:spacing w:after="0" w:line="240" w:lineRule="auto"/>
        <w:ind w:firstLine="709"/>
        <w:jc w:val="both"/>
        <w:rPr>
          <w:rFonts w:ascii="Times New Roman" w:hAnsi="Times New Roman"/>
          <w:b/>
          <w:sz w:val="24"/>
          <w:lang w:val="en-US"/>
        </w:rPr>
      </w:pPr>
    </w:p>
    <w:p w:rsidR="005E1201" w:rsidRPr="009B5C7B" w:rsidRDefault="005E1201" w:rsidP="005E1201">
      <w:pPr>
        <w:spacing w:after="0" w:line="240" w:lineRule="auto"/>
        <w:ind w:firstLine="709"/>
        <w:jc w:val="both"/>
        <w:rPr>
          <w:rFonts w:ascii="Times New Roman" w:hAnsi="Times New Roman"/>
          <w:i/>
          <w:sz w:val="24"/>
          <w:lang w:val="en-US"/>
        </w:rPr>
      </w:pPr>
      <w:r w:rsidRPr="009B5C7B">
        <w:rPr>
          <w:rFonts w:ascii="Times New Roman" w:hAnsi="Times New Roman"/>
          <w:i/>
          <w:sz w:val="24"/>
          <w:lang w:val="en-US"/>
        </w:rPr>
        <w:t>The article is dedicated to the modern developmental tendencies and features of educational services market in China. The growing competition is typical for market of educational services in China. Considered factors of competitiveness of educational services. Illuminated estimation of the competitiveness of leading Chinese universities.</w:t>
      </w:r>
    </w:p>
    <w:p w:rsidR="005E1201" w:rsidRPr="009B5C7B" w:rsidRDefault="005E1201" w:rsidP="005E1201">
      <w:pPr>
        <w:spacing w:after="0" w:line="240" w:lineRule="auto"/>
        <w:ind w:firstLine="709"/>
        <w:jc w:val="both"/>
        <w:rPr>
          <w:rFonts w:ascii="Times New Roman" w:hAnsi="Times New Roman"/>
          <w:i/>
          <w:sz w:val="24"/>
          <w:lang w:val="en-US"/>
        </w:rPr>
      </w:pPr>
    </w:p>
    <w:p w:rsidR="005E1201" w:rsidRPr="009B5C7B" w:rsidRDefault="005E1201" w:rsidP="005E1201">
      <w:pPr>
        <w:spacing w:after="0" w:line="240" w:lineRule="auto"/>
        <w:ind w:firstLine="709"/>
        <w:jc w:val="both"/>
        <w:rPr>
          <w:rFonts w:ascii="Times New Roman" w:hAnsi="Times New Roman"/>
          <w:i/>
          <w:sz w:val="24"/>
          <w:lang w:val="en-US"/>
        </w:rPr>
      </w:pPr>
      <w:r w:rsidRPr="009B5C7B">
        <w:rPr>
          <w:rFonts w:ascii="Times New Roman" w:hAnsi="Times New Roman"/>
          <w:b/>
          <w:i/>
          <w:sz w:val="24"/>
          <w:lang w:val="en-US"/>
        </w:rPr>
        <w:t>Keywords:</w:t>
      </w:r>
      <w:r w:rsidRPr="009B5C7B">
        <w:rPr>
          <w:rFonts w:ascii="Times New Roman" w:hAnsi="Times New Roman"/>
          <w:i/>
          <w:sz w:val="24"/>
          <w:lang w:val="en-US"/>
        </w:rPr>
        <w:t xml:space="preserve"> education, China, People's Republic of China (PRC,) Chinese universities, market of educational services, trends, features, internationalization of education. </w:t>
      </w:r>
    </w:p>
    <w:p w:rsidR="005E1201" w:rsidRPr="009B5C7B" w:rsidRDefault="005E1201" w:rsidP="005E1201">
      <w:pPr>
        <w:spacing w:after="0" w:line="240" w:lineRule="auto"/>
        <w:ind w:firstLine="709"/>
        <w:jc w:val="both"/>
        <w:rPr>
          <w:rFonts w:ascii="Times New Roman" w:hAnsi="Times New Roman"/>
          <w:i/>
          <w:lang w:val="en-US"/>
        </w:rPr>
      </w:pPr>
    </w:p>
    <w:p w:rsidR="005E1201" w:rsidRPr="005B34FF" w:rsidRDefault="005E1201" w:rsidP="005E1201">
      <w:pPr>
        <w:tabs>
          <w:tab w:val="left" w:pos="1522"/>
        </w:tabs>
        <w:spacing w:after="0" w:line="240" w:lineRule="auto"/>
        <w:ind w:firstLine="709"/>
        <w:jc w:val="both"/>
        <w:rPr>
          <w:rFonts w:ascii="Times New Roman" w:hAnsi="Times New Roman"/>
          <w:sz w:val="24"/>
        </w:rPr>
      </w:pPr>
      <w:r w:rsidRPr="005B34FF">
        <w:rPr>
          <w:rFonts w:ascii="Times New Roman" w:hAnsi="Times New Roman"/>
          <w:sz w:val="24"/>
        </w:rPr>
        <w:t>Китай, со стремительно развивающейся экономикой, нуждается в высококвалифицированных специалистах. Сфера образования, благодаря энергичным инвестициям со стороны правительства, на сегодняшний день является передовой и соответствует самым высоким мировым стандартам.</w:t>
      </w:r>
    </w:p>
    <w:p w:rsidR="005E1201" w:rsidRPr="005B34FF" w:rsidRDefault="005E1201" w:rsidP="005E1201">
      <w:pPr>
        <w:tabs>
          <w:tab w:val="left" w:pos="1522"/>
        </w:tabs>
        <w:spacing w:after="0" w:line="240" w:lineRule="auto"/>
        <w:ind w:firstLine="709"/>
        <w:jc w:val="both"/>
        <w:rPr>
          <w:rFonts w:ascii="Times New Roman" w:hAnsi="Times New Roman"/>
          <w:sz w:val="24"/>
        </w:rPr>
      </w:pPr>
      <w:r w:rsidRPr="005B34FF">
        <w:rPr>
          <w:rFonts w:ascii="Times New Roman" w:hAnsi="Times New Roman"/>
          <w:sz w:val="24"/>
        </w:rPr>
        <w:t>Китайские вузы привлекают все больше иностранных студентов, что в свою очередь свидетельствует о доступности образования наряду с высоким качеством образовательных программ.</w:t>
      </w:r>
    </w:p>
    <w:p w:rsidR="005E1201" w:rsidRPr="005B34FF" w:rsidRDefault="005E1201" w:rsidP="005E1201">
      <w:pPr>
        <w:tabs>
          <w:tab w:val="left" w:pos="1522"/>
        </w:tabs>
        <w:spacing w:after="0" w:line="240" w:lineRule="auto"/>
        <w:ind w:firstLine="709"/>
        <w:jc w:val="both"/>
        <w:rPr>
          <w:rFonts w:ascii="Times New Roman" w:hAnsi="Times New Roman"/>
          <w:sz w:val="24"/>
        </w:rPr>
      </w:pPr>
      <w:r w:rsidRPr="005B34FF">
        <w:rPr>
          <w:rFonts w:ascii="Times New Roman" w:hAnsi="Times New Roman"/>
          <w:sz w:val="24"/>
        </w:rPr>
        <w:t>Главная особе</w:t>
      </w:r>
      <w:r>
        <w:rPr>
          <w:rFonts w:ascii="Times New Roman" w:hAnsi="Times New Roman"/>
          <w:sz w:val="24"/>
        </w:rPr>
        <w:t xml:space="preserve">нность китайского образования </w:t>
      </w:r>
      <w:r w:rsidRPr="00BC4A7D">
        <w:rPr>
          <w:rFonts w:ascii="Times New Roman" w:hAnsi="Times New Roman"/>
          <w:sz w:val="24"/>
        </w:rPr>
        <w:t>–</w:t>
      </w:r>
      <w:r w:rsidRPr="005B34FF">
        <w:rPr>
          <w:rFonts w:ascii="Times New Roman" w:hAnsi="Times New Roman"/>
          <w:sz w:val="24"/>
        </w:rPr>
        <w:t xml:space="preserve"> его возраст. Первые «шуюаны» (академии) появились там почти полторы тысячи лет назад. Сейчас система образования КНР существенно видоизменилась, приблизилас</w:t>
      </w:r>
      <w:r>
        <w:rPr>
          <w:rFonts w:ascii="Times New Roman" w:hAnsi="Times New Roman"/>
          <w:sz w:val="24"/>
        </w:rPr>
        <w:t xml:space="preserve">ь к европейской и представлена </w:t>
      </w:r>
      <w:r w:rsidRPr="005B34FF">
        <w:rPr>
          <w:rFonts w:ascii="Times New Roman" w:hAnsi="Times New Roman"/>
          <w:sz w:val="24"/>
        </w:rPr>
        <w:t>колледжами, университетами и высшими школами.</w:t>
      </w:r>
    </w:p>
    <w:p w:rsidR="005E1201" w:rsidRPr="005B34FF" w:rsidRDefault="005E1201" w:rsidP="005E1201">
      <w:pPr>
        <w:tabs>
          <w:tab w:val="left" w:pos="1522"/>
        </w:tabs>
        <w:spacing w:after="0" w:line="240" w:lineRule="auto"/>
        <w:ind w:firstLine="709"/>
        <w:jc w:val="both"/>
        <w:rPr>
          <w:rFonts w:ascii="Times New Roman" w:hAnsi="Times New Roman"/>
          <w:sz w:val="24"/>
        </w:rPr>
      </w:pPr>
      <w:r w:rsidRPr="005B34FF">
        <w:rPr>
          <w:rFonts w:ascii="Times New Roman" w:hAnsi="Times New Roman"/>
          <w:sz w:val="24"/>
        </w:rPr>
        <w:t xml:space="preserve">Сегодня в Китае действуют около 2,5 тыс. учреждений высшего образования, где обучаются более 20 млн. студентов, в том числе иностранцы. </w:t>
      </w:r>
    </w:p>
    <w:p w:rsidR="005E1201" w:rsidRDefault="005E1201" w:rsidP="005E1201">
      <w:pPr>
        <w:tabs>
          <w:tab w:val="left" w:pos="1522"/>
        </w:tabs>
        <w:spacing w:after="0" w:line="240" w:lineRule="auto"/>
        <w:ind w:firstLine="709"/>
        <w:jc w:val="both"/>
        <w:rPr>
          <w:rFonts w:ascii="Times New Roman" w:hAnsi="Times New Roman"/>
          <w:sz w:val="24"/>
        </w:rPr>
      </w:pPr>
      <w:r w:rsidRPr="005B34FF">
        <w:rPr>
          <w:rFonts w:ascii="Times New Roman" w:hAnsi="Times New Roman"/>
          <w:sz w:val="24"/>
        </w:rPr>
        <w:t>Популярные учебные заведения Китая: университет Сунь Ятсена (Zhongshan University), Пе</w:t>
      </w:r>
      <w:r>
        <w:rPr>
          <w:rFonts w:ascii="Times New Roman" w:hAnsi="Times New Roman"/>
          <w:sz w:val="24"/>
        </w:rPr>
        <w:t>кинский университет (Pe</w:t>
      </w:r>
      <w:r w:rsidRPr="005B34FF">
        <w:rPr>
          <w:rFonts w:ascii="Times New Roman" w:hAnsi="Times New Roman"/>
          <w:sz w:val="24"/>
        </w:rPr>
        <w:t>king University), Фуданьский университет (Fudan University), университет Цинхуа (Tsing-Hua University), колледж Хуавень (Vocational School of China), колледж информатики и инженерии</w:t>
      </w:r>
      <w:r>
        <w:rPr>
          <w:rFonts w:ascii="Times New Roman" w:hAnsi="Times New Roman"/>
          <w:sz w:val="24"/>
        </w:rPr>
        <w:t xml:space="preserve"> (</w:t>
      </w:r>
      <w:r w:rsidRPr="0080108A">
        <w:rPr>
          <w:rFonts w:ascii="Times New Roman" w:hAnsi="Times New Roman"/>
          <w:sz w:val="24"/>
        </w:rPr>
        <w:t>Information Engineering Vocational College)</w:t>
      </w:r>
      <w:r>
        <w:rPr>
          <w:rFonts w:ascii="Times New Roman" w:hAnsi="Times New Roman"/>
          <w:sz w:val="24"/>
        </w:rPr>
        <w:t>.</w:t>
      </w:r>
    </w:p>
    <w:p w:rsidR="005E1201" w:rsidRPr="00DC3D8D" w:rsidRDefault="005E1201" w:rsidP="005E1201">
      <w:pPr>
        <w:tabs>
          <w:tab w:val="left" w:pos="1522"/>
        </w:tabs>
        <w:spacing w:after="0" w:line="240" w:lineRule="auto"/>
        <w:ind w:firstLine="709"/>
        <w:jc w:val="both"/>
        <w:rPr>
          <w:rFonts w:ascii="Times New Roman" w:hAnsi="Times New Roman"/>
          <w:sz w:val="24"/>
        </w:rPr>
      </w:pPr>
      <w:r w:rsidRPr="005B34FF">
        <w:rPr>
          <w:sz w:val="24"/>
        </w:rPr>
        <w:t xml:space="preserve"> </w:t>
      </w:r>
      <w:r w:rsidRPr="005B34FF">
        <w:rPr>
          <w:rFonts w:ascii="Times New Roman" w:hAnsi="Times New Roman"/>
          <w:sz w:val="24"/>
        </w:rPr>
        <w:t>В вузах предлагается обучение по 12 основным направлениям: математика, экономика, менеджмент, инженерия, литература, философия, педагогика, история, право, естественные науки, медицина, агрономия и военное дело</w:t>
      </w:r>
      <w:r w:rsidRPr="00DE46AA">
        <w:rPr>
          <w:rFonts w:ascii="Times New Roman" w:hAnsi="Times New Roman"/>
          <w:sz w:val="24"/>
        </w:rPr>
        <w:t>.</w:t>
      </w:r>
      <w:r w:rsidRPr="005B34FF">
        <w:rPr>
          <w:rFonts w:ascii="Times New Roman" w:hAnsi="Times New Roman"/>
          <w:sz w:val="24"/>
        </w:rPr>
        <w:t xml:space="preserve"> </w:t>
      </w:r>
      <w:r w:rsidRPr="00DC3D8D">
        <w:rPr>
          <w:rFonts w:ascii="Times New Roman" w:hAnsi="Times New Roman"/>
          <w:sz w:val="24"/>
        </w:rPr>
        <w:t>[1</w:t>
      </w:r>
      <w:r>
        <w:rPr>
          <w:rFonts w:ascii="Times New Roman" w:hAnsi="Times New Roman"/>
          <w:sz w:val="24"/>
        </w:rPr>
        <w:t xml:space="preserve">, c. </w:t>
      </w:r>
      <w:r w:rsidRPr="00DE46AA">
        <w:rPr>
          <w:rFonts w:ascii="Times New Roman" w:hAnsi="Times New Roman"/>
          <w:sz w:val="24"/>
        </w:rPr>
        <w:t>18</w:t>
      </w:r>
      <w:r w:rsidRPr="00DC3D8D">
        <w:rPr>
          <w:rFonts w:ascii="Times New Roman" w:hAnsi="Times New Roman"/>
          <w:sz w:val="24"/>
        </w:rPr>
        <w:t>]</w:t>
      </w:r>
    </w:p>
    <w:p w:rsidR="005E1201" w:rsidRPr="005B34FF" w:rsidRDefault="005E1201" w:rsidP="005E1201">
      <w:pPr>
        <w:tabs>
          <w:tab w:val="left" w:pos="1522"/>
        </w:tabs>
        <w:spacing w:after="0" w:line="240" w:lineRule="auto"/>
        <w:ind w:firstLine="709"/>
        <w:jc w:val="both"/>
        <w:rPr>
          <w:rFonts w:ascii="Times New Roman" w:hAnsi="Times New Roman"/>
          <w:sz w:val="24"/>
        </w:rPr>
      </w:pPr>
      <w:r w:rsidRPr="005B34FF">
        <w:rPr>
          <w:rFonts w:ascii="Times New Roman" w:hAnsi="Times New Roman"/>
          <w:sz w:val="24"/>
        </w:rPr>
        <w:t>Высшие учебные заведения Китая предлагают три этапа высшего образования.</w:t>
      </w:r>
    </w:p>
    <w:p w:rsidR="005E1201" w:rsidRPr="005B34FF" w:rsidRDefault="005E1201" w:rsidP="005E1201">
      <w:pPr>
        <w:tabs>
          <w:tab w:val="left" w:pos="1522"/>
        </w:tabs>
        <w:spacing w:after="0" w:line="240" w:lineRule="auto"/>
        <w:ind w:firstLine="709"/>
        <w:jc w:val="both"/>
        <w:rPr>
          <w:rFonts w:ascii="Times New Roman" w:hAnsi="Times New Roman"/>
          <w:sz w:val="24"/>
        </w:rPr>
      </w:pPr>
      <w:r w:rsidRPr="005B34FF">
        <w:rPr>
          <w:rFonts w:ascii="Times New Roman" w:hAnsi="Times New Roman"/>
          <w:sz w:val="24"/>
        </w:rPr>
        <w:t>Начальная ступень обучения за</w:t>
      </w:r>
      <w:r>
        <w:rPr>
          <w:rFonts w:ascii="Times New Roman" w:hAnsi="Times New Roman"/>
          <w:sz w:val="24"/>
        </w:rPr>
        <w:t>нимает</w:t>
      </w:r>
      <w:r w:rsidRPr="005B34FF">
        <w:rPr>
          <w:rFonts w:ascii="Times New Roman" w:hAnsi="Times New Roman"/>
          <w:sz w:val="24"/>
        </w:rPr>
        <w:t xml:space="preserve"> 4-5 лет, после окончания учебы студент получает степень бакалавра. Для прохождения этой</w:t>
      </w:r>
      <w:r>
        <w:rPr>
          <w:rFonts w:ascii="Times New Roman" w:hAnsi="Times New Roman"/>
          <w:sz w:val="24"/>
        </w:rPr>
        <w:t xml:space="preserve"> программы необходимо успешно о</w:t>
      </w:r>
      <w:r w:rsidRPr="005B34FF">
        <w:rPr>
          <w:rFonts w:ascii="Times New Roman" w:hAnsi="Times New Roman"/>
          <w:sz w:val="24"/>
        </w:rPr>
        <w:t>кончить школу и достичь 18 лет.</w:t>
      </w:r>
    </w:p>
    <w:p w:rsidR="005E1201" w:rsidRPr="005B34FF" w:rsidRDefault="005E1201" w:rsidP="005E1201">
      <w:pPr>
        <w:tabs>
          <w:tab w:val="left" w:pos="1522"/>
        </w:tabs>
        <w:spacing w:after="0" w:line="240" w:lineRule="auto"/>
        <w:ind w:firstLine="709"/>
        <w:jc w:val="both"/>
        <w:rPr>
          <w:rFonts w:ascii="Times New Roman" w:hAnsi="Times New Roman"/>
          <w:sz w:val="24"/>
        </w:rPr>
      </w:pPr>
      <w:r w:rsidRPr="005B34FF">
        <w:rPr>
          <w:rFonts w:ascii="Times New Roman" w:hAnsi="Times New Roman"/>
          <w:sz w:val="24"/>
        </w:rPr>
        <w:t xml:space="preserve">Вторая ступень </w:t>
      </w:r>
      <w:r>
        <w:rPr>
          <w:rFonts w:ascii="Times New Roman" w:hAnsi="Times New Roman"/>
          <w:sz w:val="24"/>
        </w:rPr>
        <w:t xml:space="preserve">- </w:t>
      </w:r>
      <w:r w:rsidRPr="005B34FF">
        <w:rPr>
          <w:rFonts w:ascii="Times New Roman" w:hAnsi="Times New Roman"/>
          <w:sz w:val="24"/>
        </w:rPr>
        <w:t>2-3 года изучения наук. Финалом станет присвоение степени магистра. До прохождения магистратуры необходимо получить диплом бакалавра и при этом не быть старше 40 лет.</w:t>
      </w:r>
    </w:p>
    <w:p w:rsidR="005E1201" w:rsidRDefault="005E1201" w:rsidP="005E1201">
      <w:pPr>
        <w:tabs>
          <w:tab w:val="left" w:pos="1522"/>
        </w:tabs>
        <w:spacing w:after="0" w:line="240" w:lineRule="auto"/>
        <w:ind w:firstLine="709"/>
        <w:jc w:val="both"/>
        <w:rPr>
          <w:rFonts w:ascii="Times New Roman" w:hAnsi="Times New Roman"/>
          <w:sz w:val="24"/>
        </w:rPr>
      </w:pPr>
      <w:r w:rsidRPr="005B34FF">
        <w:rPr>
          <w:rFonts w:ascii="Times New Roman" w:hAnsi="Times New Roman"/>
          <w:sz w:val="24"/>
        </w:rPr>
        <w:t>Третья ступень предполагает 3 года обучения и завершится получением степени доктора. Для обретения докторской степени также необходимо, чтобы ваш возраст не превышал 40 лет</w:t>
      </w:r>
      <w:r>
        <w:rPr>
          <w:rFonts w:ascii="Times New Roman" w:hAnsi="Times New Roman"/>
          <w:sz w:val="24"/>
        </w:rPr>
        <w:t>, необходимо</w:t>
      </w:r>
      <w:r w:rsidRPr="005B34FF">
        <w:rPr>
          <w:rFonts w:ascii="Times New Roman" w:hAnsi="Times New Roman"/>
          <w:sz w:val="24"/>
        </w:rPr>
        <w:t xml:space="preserve"> иметь диплом магистра. Также нужно успешно сдать экзамены по всем основным предметам и своими силами закончить изыскания по выбранной теме. </w:t>
      </w:r>
    </w:p>
    <w:p w:rsidR="005E1201" w:rsidRPr="00035315" w:rsidRDefault="005E1201" w:rsidP="005E1201">
      <w:pPr>
        <w:tabs>
          <w:tab w:val="left" w:pos="1522"/>
        </w:tabs>
        <w:spacing w:after="0" w:line="240" w:lineRule="auto"/>
        <w:ind w:firstLine="709"/>
        <w:jc w:val="both"/>
        <w:rPr>
          <w:rFonts w:ascii="Times New Roman" w:hAnsi="Times New Roman"/>
          <w:sz w:val="24"/>
        </w:rPr>
      </w:pPr>
      <w:r w:rsidRPr="00035315">
        <w:rPr>
          <w:rFonts w:ascii="Times New Roman" w:hAnsi="Times New Roman"/>
          <w:sz w:val="24"/>
        </w:rPr>
        <w:t>Высшее образование в Китае бесплатное, но бюджетная форма обучения предполагает строгий отбор и ограниченное количе</w:t>
      </w:r>
      <w:r>
        <w:rPr>
          <w:rFonts w:ascii="Times New Roman" w:hAnsi="Times New Roman"/>
          <w:sz w:val="24"/>
        </w:rPr>
        <w:t xml:space="preserve">ство мест. Поэтому большинство </w:t>
      </w:r>
      <w:r w:rsidRPr="00035315">
        <w:rPr>
          <w:rFonts w:ascii="Times New Roman" w:hAnsi="Times New Roman"/>
          <w:sz w:val="24"/>
        </w:rPr>
        <w:t>студентов учатся на коммерческой основе.</w:t>
      </w:r>
    </w:p>
    <w:p w:rsidR="005E1201" w:rsidRPr="00035315" w:rsidRDefault="005E1201" w:rsidP="005E1201">
      <w:pPr>
        <w:tabs>
          <w:tab w:val="left" w:pos="1522"/>
        </w:tabs>
        <w:spacing w:after="0" w:line="240" w:lineRule="auto"/>
        <w:ind w:firstLine="709"/>
        <w:jc w:val="both"/>
        <w:rPr>
          <w:rFonts w:ascii="Times New Roman" w:hAnsi="Times New Roman"/>
          <w:sz w:val="24"/>
        </w:rPr>
      </w:pPr>
      <w:r w:rsidRPr="00035315">
        <w:rPr>
          <w:rFonts w:ascii="Times New Roman" w:hAnsi="Times New Roman"/>
          <w:sz w:val="24"/>
        </w:rPr>
        <w:t>Но и для иностранных студентов существует возможность получения высшего образования в Китае на бюджетной основе. В рамках программ по поддержке и развитию образовательной системы Китая, выделяются значительные средства для финансовой поддержки иностранных студентов.</w:t>
      </w:r>
    </w:p>
    <w:p w:rsidR="005E1201" w:rsidRPr="00035315" w:rsidRDefault="005E1201" w:rsidP="005E1201">
      <w:pPr>
        <w:tabs>
          <w:tab w:val="left" w:pos="1522"/>
        </w:tabs>
        <w:spacing w:after="0" w:line="240" w:lineRule="auto"/>
        <w:ind w:firstLine="709"/>
        <w:jc w:val="both"/>
        <w:rPr>
          <w:rFonts w:ascii="Times New Roman" w:hAnsi="Times New Roman"/>
          <w:sz w:val="24"/>
        </w:rPr>
      </w:pPr>
      <w:r w:rsidRPr="00035315">
        <w:rPr>
          <w:rFonts w:ascii="Times New Roman" w:hAnsi="Times New Roman"/>
          <w:sz w:val="24"/>
        </w:rPr>
        <w:t>Для того чтобы получить грант на образование, необходимо хорошо владеть китайским языком, иметь активную жизненную позицию и какие-либо достижения в спорте, искусстве или общественной жизни, и, конечно же, хорошие оценки в аттестате.</w:t>
      </w:r>
    </w:p>
    <w:p w:rsidR="005E1201" w:rsidRPr="00BC4A7D" w:rsidRDefault="005E1201" w:rsidP="005E1201">
      <w:pPr>
        <w:tabs>
          <w:tab w:val="left" w:pos="1522"/>
        </w:tabs>
        <w:spacing w:after="0" w:line="240" w:lineRule="auto"/>
        <w:ind w:firstLine="709"/>
        <w:jc w:val="both"/>
        <w:rPr>
          <w:rFonts w:ascii="Times New Roman" w:hAnsi="Times New Roman"/>
          <w:sz w:val="24"/>
        </w:rPr>
      </w:pPr>
      <w:r w:rsidRPr="00035315">
        <w:rPr>
          <w:rFonts w:ascii="Times New Roman" w:hAnsi="Times New Roman"/>
          <w:sz w:val="24"/>
        </w:rPr>
        <w:t>Получение высшего образования в Китае, будь оно платным или бесплатным, гарантирует высокое качество образовательных услуг и дальнейшие перспективы построения успешной международной карьеры.</w:t>
      </w:r>
      <w:r>
        <w:rPr>
          <w:rFonts w:ascii="Times New Roman" w:hAnsi="Times New Roman"/>
          <w:sz w:val="24"/>
        </w:rPr>
        <w:t xml:space="preserve"> </w:t>
      </w:r>
    </w:p>
    <w:p w:rsidR="005E1201" w:rsidRDefault="005E1201" w:rsidP="005E1201">
      <w:pPr>
        <w:tabs>
          <w:tab w:val="left" w:pos="1522"/>
        </w:tabs>
        <w:spacing w:after="0" w:line="240" w:lineRule="auto"/>
        <w:ind w:firstLine="709"/>
        <w:jc w:val="both"/>
        <w:rPr>
          <w:rFonts w:ascii="Times New Roman" w:hAnsi="Times New Roman"/>
          <w:sz w:val="24"/>
        </w:rPr>
      </w:pPr>
      <w:r>
        <w:rPr>
          <w:rFonts w:ascii="Times New Roman" w:hAnsi="Times New Roman"/>
          <w:sz w:val="24"/>
        </w:rPr>
        <w:t>В</w:t>
      </w:r>
      <w:r w:rsidRPr="00035315">
        <w:rPr>
          <w:rFonts w:ascii="Times New Roman" w:hAnsi="Times New Roman"/>
          <w:sz w:val="24"/>
        </w:rPr>
        <w:t xml:space="preserve"> Китае прогуливать пары строго запрещено без о</w:t>
      </w:r>
      <w:r>
        <w:rPr>
          <w:rFonts w:ascii="Times New Roman" w:hAnsi="Times New Roman"/>
          <w:sz w:val="24"/>
        </w:rPr>
        <w:t>бо</w:t>
      </w:r>
      <w:r w:rsidRPr="00035315">
        <w:rPr>
          <w:rFonts w:ascii="Times New Roman" w:hAnsi="Times New Roman"/>
          <w:sz w:val="24"/>
        </w:rPr>
        <w:t>снованной причины, за опозданиями также очень строго следят. Если студент опоздал более чем на пятнадцать минут, то это считается пропуском. Если же студент пропускает занятия и достиг предела не посещаемости, то его не допускают до экзамена, а значит, есть риск быть оставленным на второй год. Также в Китае более удобно устроена система оценивания. Студенты имеют более гибкий учебный план.</w:t>
      </w:r>
    </w:p>
    <w:p w:rsidR="005E1201" w:rsidRPr="00035315" w:rsidRDefault="005E1201" w:rsidP="005E1201">
      <w:pPr>
        <w:tabs>
          <w:tab w:val="left" w:pos="1522"/>
        </w:tabs>
        <w:spacing w:after="0" w:line="240" w:lineRule="auto"/>
        <w:ind w:firstLine="709"/>
        <w:jc w:val="both"/>
        <w:rPr>
          <w:rFonts w:ascii="Times New Roman" w:hAnsi="Times New Roman"/>
          <w:sz w:val="24"/>
        </w:rPr>
      </w:pPr>
      <w:r w:rsidRPr="00035315">
        <w:rPr>
          <w:rFonts w:ascii="Times New Roman" w:hAnsi="Times New Roman"/>
          <w:sz w:val="24"/>
        </w:rPr>
        <w:t xml:space="preserve">Предметы делятся на основные, специальные и факультативные, что помогает студентам самим выбирать дополнительные предметы, с соблюдением определенного количества баллов, которые им нужного получить по каждому предмету для аттестации по данной специальности. </w:t>
      </w:r>
    </w:p>
    <w:p w:rsidR="005E1201" w:rsidRDefault="005E1201" w:rsidP="005E1201">
      <w:pPr>
        <w:tabs>
          <w:tab w:val="left" w:pos="1522"/>
        </w:tabs>
        <w:spacing w:after="0" w:line="240" w:lineRule="auto"/>
        <w:ind w:firstLine="709"/>
        <w:jc w:val="both"/>
        <w:rPr>
          <w:rFonts w:ascii="Times New Roman" w:hAnsi="Times New Roman"/>
          <w:sz w:val="24"/>
        </w:rPr>
      </w:pPr>
      <w:r w:rsidRPr="00035315">
        <w:rPr>
          <w:rFonts w:ascii="Times New Roman" w:hAnsi="Times New Roman"/>
          <w:sz w:val="24"/>
        </w:rPr>
        <w:t>Большинство иностранных граждан могут претендовать на стипендии, но при условии знания языка. Стипендии правительства КНР и института Конфу</w:t>
      </w:r>
      <w:r>
        <w:rPr>
          <w:rFonts w:ascii="Times New Roman" w:hAnsi="Times New Roman"/>
          <w:sz w:val="24"/>
        </w:rPr>
        <w:t>ция и др. предоставляют студента</w:t>
      </w:r>
      <w:r w:rsidRPr="00035315">
        <w:rPr>
          <w:rFonts w:ascii="Times New Roman" w:hAnsi="Times New Roman"/>
          <w:sz w:val="24"/>
        </w:rPr>
        <w:t>м бесплатное образование и пр</w:t>
      </w:r>
      <w:r>
        <w:rPr>
          <w:rFonts w:ascii="Times New Roman" w:hAnsi="Times New Roman"/>
          <w:sz w:val="24"/>
        </w:rPr>
        <w:t>оживание</w:t>
      </w:r>
      <w:r w:rsidRPr="00035315">
        <w:rPr>
          <w:rFonts w:ascii="Times New Roman" w:hAnsi="Times New Roman"/>
          <w:sz w:val="24"/>
        </w:rPr>
        <w:t xml:space="preserve">, а также огромный выбор специальностей. В университетах Китая по окончании обучения можно получить диплом бакалавра, магистра или доктора наук, в зависимости от продолжения учебы. </w:t>
      </w:r>
    </w:p>
    <w:p w:rsidR="005E1201" w:rsidRPr="00DC3D8D" w:rsidRDefault="005E1201" w:rsidP="005E1201">
      <w:pPr>
        <w:tabs>
          <w:tab w:val="left" w:pos="1522"/>
        </w:tabs>
        <w:spacing w:after="0" w:line="240" w:lineRule="auto"/>
        <w:ind w:firstLine="709"/>
        <w:jc w:val="both"/>
        <w:rPr>
          <w:rFonts w:ascii="Times New Roman" w:hAnsi="Times New Roman"/>
          <w:sz w:val="24"/>
        </w:rPr>
      </w:pPr>
      <w:r w:rsidRPr="00035315">
        <w:rPr>
          <w:rFonts w:ascii="Times New Roman" w:hAnsi="Times New Roman"/>
          <w:sz w:val="24"/>
        </w:rPr>
        <w:t>Однако общий уровень развития в Китае остается сравнительно отсталым, по причине многочисленности населения и неравномерности экономического и культурного развития разных районах страны</w:t>
      </w:r>
      <w:r w:rsidRPr="00DC3D8D">
        <w:rPr>
          <w:rFonts w:ascii="Times New Roman" w:hAnsi="Times New Roman"/>
          <w:sz w:val="24"/>
        </w:rPr>
        <w:t>.</w:t>
      </w:r>
      <w:r w:rsidRPr="00035315">
        <w:rPr>
          <w:rFonts w:ascii="Times New Roman" w:hAnsi="Times New Roman"/>
          <w:sz w:val="24"/>
        </w:rPr>
        <w:t xml:space="preserve"> </w:t>
      </w:r>
      <w:r w:rsidRPr="00DC3D8D">
        <w:rPr>
          <w:rFonts w:ascii="Times New Roman" w:hAnsi="Times New Roman"/>
          <w:sz w:val="24"/>
        </w:rPr>
        <w:t>[2]</w:t>
      </w:r>
    </w:p>
    <w:p w:rsidR="005E1201" w:rsidRPr="00035315" w:rsidRDefault="005E1201" w:rsidP="005E1201">
      <w:pPr>
        <w:tabs>
          <w:tab w:val="left" w:pos="1522"/>
        </w:tabs>
        <w:spacing w:after="0" w:line="240" w:lineRule="auto"/>
        <w:ind w:firstLine="709"/>
        <w:jc w:val="both"/>
        <w:rPr>
          <w:rFonts w:ascii="Times New Roman" w:hAnsi="Times New Roman"/>
          <w:sz w:val="24"/>
        </w:rPr>
      </w:pPr>
      <w:r w:rsidRPr="00035315">
        <w:rPr>
          <w:rFonts w:ascii="Times New Roman" w:hAnsi="Times New Roman"/>
          <w:sz w:val="24"/>
        </w:rPr>
        <w:t xml:space="preserve">Начиная с 1986 года, Министерство образования Китая утвердило внедрение новой системы стипендий и грантов для студентов университетов и колледжей. Особенность заключается в том, что стипендии в первую очередь предназначены для студентов, которые не в состоянии покрывать расходы на проживание. </w:t>
      </w:r>
    </w:p>
    <w:p w:rsidR="005E1201" w:rsidRDefault="005E1201" w:rsidP="005E1201">
      <w:pPr>
        <w:tabs>
          <w:tab w:val="left" w:pos="1522"/>
        </w:tabs>
        <w:spacing w:after="0" w:line="240" w:lineRule="auto"/>
        <w:ind w:firstLine="709"/>
        <w:jc w:val="both"/>
        <w:rPr>
          <w:rFonts w:ascii="Times New Roman" w:hAnsi="Times New Roman"/>
          <w:sz w:val="24"/>
        </w:rPr>
      </w:pPr>
      <w:r w:rsidRPr="00035315">
        <w:rPr>
          <w:rFonts w:ascii="Times New Roman" w:hAnsi="Times New Roman"/>
          <w:sz w:val="24"/>
        </w:rPr>
        <w:t>Главные факторы предоставления стипенд</w:t>
      </w:r>
      <w:r>
        <w:rPr>
          <w:rFonts w:ascii="Times New Roman" w:hAnsi="Times New Roman"/>
          <w:sz w:val="24"/>
        </w:rPr>
        <w:t xml:space="preserve">ии — хорошие показатели учёбы, </w:t>
      </w:r>
      <w:r w:rsidRPr="00035315">
        <w:rPr>
          <w:rFonts w:ascii="Times New Roman" w:hAnsi="Times New Roman"/>
          <w:sz w:val="24"/>
        </w:rPr>
        <w:t>соблюдение государственных законов Китая, дисциплинированность.</w:t>
      </w:r>
    </w:p>
    <w:p w:rsidR="005E1201" w:rsidRPr="007871CB" w:rsidRDefault="005E1201" w:rsidP="005E1201">
      <w:pPr>
        <w:tabs>
          <w:tab w:val="left" w:pos="1522"/>
        </w:tabs>
        <w:spacing w:after="0" w:line="240" w:lineRule="auto"/>
        <w:ind w:firstLine="709"/>
        <w:jc w:val="both"/>
        <w:rPr>
          <w:rFonts w:ascii="Times New Roman" w:hAnsi="Times New Roman"/>
          <w:sz w:val="24"/>
        </w:rPr>
      </w:pPr>
      <w:r w:rsidRPr="007871CB">
        <w:rPr>
          <w:rFonts w:ascii="Times New Roman" w:hAnsi="Times New Roman"/>
          <w:sz w:val="24"/>
        </w:rPr>
        <w:t>Финансовую помощь студентам оказывает китайский Промышленный и коммерческий банк. Учреждение выдаёт долгосрочные кредиты на образование под низкие проценты. Китайским правительством утверждены три категории студентов, которые имеют право на финансовую помощь в виде стипендий и долгосрочных кредитов:</w:t>
      </w:r>
    </w:p>
    <w:p w:rsidR="005E1201" w:rsidRPr="007871CB" w:rsidRDefault="005E1201" w:rsidP="005E1201">
      <w:pPr>
        <w:tabs>
          <w:tab w:val="left" w:pos="1522"/>
        </w:tabs>
        <w:spacing w:after="0" w:line="240" w:lineRule="auto"/>
        <w:ind w:firstLine="709"/>
        <w:jc w:val="both"/>
        <w:rPr>
          <w:rFonts w:ascii="Times New Roman" w:hAnsi="Times New Roman"/>
          <w:sz w:val="24"/>
        </w:rPr>
      </w:pPr>
      <w:r w:rsidRPr="007871CB">
        <w:rPr>
          <w:rFonts w:ascii="Times New Roman" w:hAnsi="Times New Roman"/>
          <w:sz w:val="24"/>
        </w:rPr>
        <w:t>- лучшие учащиеся, которые достигли высоких результатов в учёбе;</w:t>
      </w:r>
    </w:p>
    <w:p w:rsidR="005E1201" w:rsidRPr="007871CB" w:rsidRDefault="005E1201" w:rsidP="005E1201">
      <w:pPr>
        <w:tabs>
          <w:tab w:val="left" w:pos="1522"/>
        </w:tabs>
        <w:spacing w:after="0" w:line="240" w:lineRule="auto"/>
        <w:ind w:firstLine="709"/>
        <w:jc w:val="both"/>
        <w:rPr>
          <w:rFonts w:ascii="Times New Roman" w:hAnsi="Times New Roman"/>
          <w:sz w:val="24"/>
        </w:rPr>
      </w:pPr>
      <w:r w:rsidRPr="007871CB">
        <w:rPr>
          <w:rFonts w:ascii="Times New Roman" w:hAnsi="Times New Roman"/>
          <w:sz w:val="24"/>
        </w:rPr>
        <w:t>- учащиеся, осваивающие специализации в области образования, сельского хозяйства, лесного хозяйства, морского судоходства, спорта;</w:t>
      </w:r>
    </w:p>
    <w:p w:rsidR="005E1201" w:rsidRDefault="005E1201" w:rsidP="005E1201">
      <w:pPr>
        <w:tabs>
          <w:tab w:val="left" w:pos="1522"/>
        </w:tabs>
        <w:spacing w:after="0" w:line="240" w:lineRule="auto"/>
        <w:ind w:firstLine="709"/>
        <w:jc w:val="both"/>
        <w:rPr>
          <w:rFonts w:ascii="Times New Roman" w:hAnsi="Times New Roman"/>
          <w:sz w:val="24"/>
        </w:rPr>
      </w:pPr>
      <w:r w:rsidRPr="007871CB">
        <w:rPr>
          <w:rFonts w:ascii="Times New Roman" w:hAnsi="Times New Roman"/>
          <w:sz w:val="24"/>
        </w:rPr>
        <w:t>- студенты, которые по завершении учёбы выразили желание работать в отдалённых приграничных районах Китая, а также в местах с тяжёлыми условиями труда.</w:t>
      </w:r>
    </w:p>
    <w:p w:rsidR="005E1201" w:rsidRPr="00A426ED" w:rsidRDefault="005E1201" w:rsidP="005E1201">
      <w:pPr>
        <w:tabs>
          <w:tab w:val="left" w:pos="1522"/>
        </w:tabs>
        <w:spacing w:after="0" w:line="240" w:lineRule="auto"/>
        <w:ind w:firstLine="709"/>
        <w:jc w:val="both"/>
        <w:rPr>
          <w:rFonts w:ascii="Times New Roman" w:hAnsi="Times New Roman"/>
          <w:sz w:val="24"/>
        </w:rPr>
      </w:pPr>
      <w:r w:rsidRPr="00A426ED">
        <w:rPr>
          <w:rFonts w:ascii="Times New Roman" w:hAnsi="Times New Roman"/>
          <w:sz w:val="24"/>
        </w:rPr>
        <w:t xml:space="preserve">Размер стипендии в китайских вузах может достигать $2000 в год. Бесплатное обучение, питание, проживание предоставляются студентам военных школ. Однако после завершения учёбы на выпускников таких вузов накладываются обязательства прохождения военной службы как минимум в течение 5 лет. </w:t>
      </w:r>
    </w:p>
    <w:p w:rsidR="005E1201" w:rsidRPr="00A426ED" w:rsidRDefault="005E1201" w:rsidP="005E1201">
      <w:pPr>
        <w:tabs>
          <w:tab w:val="left" w:pos="1522"/>
        </w:tabs>
        <w:spacing w:after="0" w:line="240" w:lineRule="auto"/>
        <w:ind w:firstLine="709"/>
        <w:jc w:val="both"/>
        <w:rPr>
          <w:rFonts w:ascii="Times New Roman" w:hAnsi="Times New Roman"/>
          <w:sz w:val="24"/>
        </w:rPr>
      </w:pPr>
      <w:r w:rsidRPr="00A426ED">
        <w:rPr>
          <w:rFonts w:ascii="Times New Roman" w:hAnsi="Times New Roman"/>
          <w:sz w:val="24"/>
        </w:rPr>
        <w:t>Чтобы   получить стипендию необходимо предварительно подать заявку в особый совет, который распределяет денежную помощь. Китайские стипендии довольно внушительные, можно оплатить</w:t>
      </w:r>
      <w:r>
        <w:rPr>
          <w:rFonts w:ascii="Times New Roman" w:hAnsi="Times New Roman"/>
          <w:sz w:val="24"/>
        </w:rPr>
        <w:t xml:space="preserve"> обучение, </w:t>
      </w:r>
      <w:r w:rsidRPr="00A426ED">
        <w:rPr>
          <w:rFonts w:ascii="Times New Roman" w:hAnsi="Times New Roman"/>
          <w:sz w:val="24"/>
        </w:rPr>
        <w:t>медстраховку, жилье и питание.</w:t>
      </w:r>
    </w:p>
    <w:p w:rsidR="005E1201" w:rsidRDefault="005E1201" w:rsidP="005E1201">
      <w:pPr>
        <w:tabs>
          <w:tab w:val="left" w:pos="1522"/>
        </w:tabs>
        <w:spacing w:after="0" w:line="240" w:lineRule="auto"/>
        <w:ind w:firstLine="709"/>
        <w:jc w:val="both"/>
        <w:rPr>
          <w:rFonts w:ascii="Times New Roman" w:hAnsi="Times New Roman"/>
          <w:sz w:val="24"/>
        </w:rPr>
      </w:pPr>
      <w:r w:rsidRPr="00A426ED">
        <w:rPr>
          <w:rFonts w:ascii="Times New Roman" w:hAnsi="Times New Roman"/>
          <w:sz w:val="24"/>
        </w:rPr>
        <w:t>Студенты, получившие сельскохозяйственные, промышленные, узкие специальности за счёт банковских кредитов, направляются после выпуска на работу и погашают задолженность вычетами из заработной платы.</w:t>
      </w:r>
    </w:p>
    <w:p w:rsidR="005E1201" w:rsidRPr="007A5A86" w:rsidRDefault="005E1201" w:rsidP="005E1201">
      <w:pPr>
        <w:tabs>
          <w:tab w:val="left" w:pos="1522"/>
        </w:tabs>
        <w:spacing w:after="0" w:line="240" w:lineRule="auto"/>
        <w:ind w:firstLine="709"/>
        <w:jc w:val="both"/>
        <w:rPr>
          <w:rFonts w:ascii="Times New Roman" w:hAnsi="Times New Roman"/>
          <w:sz w:val="24"/>
        </w:rPr>
      </w:pPr>
      <w:r w:rsidRPr="007A5A86">
        <w:rPr>
          <w:rFonts w:ascii="Times New Roman" w:hAnsi="Times New Roman"/>
          <w:sz w:val="24"/>
        </w:rPr>
        <w:t>Учебный год в китайских вузах разделен на два семестра: с сентября по январь и с марта по июль. Среди ключевых методов обучения: лекции преподавателей, самоподготовка и домашние письменные работы. В большинстве университетов принята система кредитов (баллов). Чтобы перейти на следующий курс, студент должен набрать определенную сумму кредитов по каждой из изучаемых дисциплин и сдать устный или письменный экзамен.</w:t>
      </w:r>
    </w:p>
    <w:p w:rsidR="005E1201" w:rsidRPr="007A5A86" w:rsidRDefault="005E1201" w:rsidP="005E1201">
      <w:pPr>
        <w:tabs>
          <w:tab w:val="left" w:pos="1522"/>
        </w:tabs>
        <w:spacing w:after="0" w:line="240" w:lineRule="auto"/>
        <w:ind w:firstLine="709"/>
        <w:jc w:val="both"/>
        <w:rPr>
          <w:rFonts w:ascii="Times New Roman" w:hAnsi="Times New Roman"/>
          <w:sz w:val="24"/>
        </w:rPr>
      </w:pPr>
      <w:r w:rsidRPr="007A5A86">
        <w:rPr>
          <w:rFonts w:ascii="Times New Roman" w:hAnsi="Times New Roman"/>
          <w:sz w:val="24"/>
        </w:rPr>
        <w:t>Студенты имеют более гибкий учебный план. Предметы у них делятся на основные, специальные и факультативные, что помогает студентам самим выбирать дополнительные предметы, с соблюдением определенного количества баллов.</w:t>
      </w:r>
    </w:p>
    <w:p w:rsidR="005E1201" w:rsidRPr="005330FA" w:rsidRDefault="005E1201" w:rsidP="005E1201">
      <w:pPr>
        <w:tabs>
          <w:tab w:val="left" w:pos="1522"/>
        </w:tabs>
        <w:spacing w:after="0" w:line="240" w:lineRule="auto"/>
        <w:ind w:firstLine="709"/>
        <w:jc w:val="both"/>
        <w:rPr>
          <w:rFonts w:ascii="Times New Roman" w:hAnsi="Times New Roman"/>
          <w:i/>
          <w:sz w:val="24"/>
        </w:rPr>
      </w:pPr>
      <w:r w:rsidRPr="007A5A86">
        <w:rPr>
          <w:rFonts w:ascii="Times New Roman" w:hAnsi="Times New Roman"/>
          <w:sz w:val="24"/>
        </w:rPr>
        <w:t>Вся программа обучения делится на основные и дополнительные занятия и каждое «потянет» на какое-то количество баллов. Для получения диплома необходимо набрать определенную сумму кредитов, при этом студент может самостоятельно выбирать, какие предметы изучать, а какие оставить без внимания.</w:t>
      </w:r>
    </w:p>
    <w:p w:rsidR="005E1201" w:rsidRPr="007A5A86" w:rsidRDefault="005E1201" w:rsidP="005E1201">
      <w:pPr>
        <w:tabs>
          <w:tab w:val="left" w:pos="1522"/>
        </w:tabs>
        <w:spacing w:after="0" w:line="240" w:lineRule="auto"/>
        <w:ind w:firstLine="709"/>
        <w:jc w:val="both"/>
        <w:rPr>
          <w:rFonts w:ascii="Times New Roman" w:hAnsi="Times New Roman"/>
          <w:sz w:val="24"/>
        </w:rPr>
      </w:pPr>
      <w:r w:rsidRPr="007A5A86">
        <w:rPr>
          <w:rFonts w:ascii="Times New Roman" w:hAnsi="Times New Roman"/>
          <w:sz w:val="24"/>
        </w:rPr>
        <w:t>Дополнительная специальность. При условии успешной сдачи экзаменов в конце обучения, можно также получить аттестацию по второй специальности. Оценки по ней также зафиксируют в дипломе.</w:t>
      </w:r>
    </w:p>
    <w:p w:rsidR="005E1201" w:rsidRPr="007A5A86" w:rsidRDefault="005E1201" w:rsidP="005E1201">
      <w:pPr>
        <w:tabs>
          <w:tab w:val="left" w:pos="1522"/>
        </w:tabs>
        <w:spacing w:after="0" w:line="240" w:lineRule="auto"/>
        <w:ind w:firstLine="709"/>
        <w:jc w:val="both"/>
        <w:rPr>
          <w:rFonts w:ascii="Times New Roman" w:hAnsi="Times New Roman"/>
          <w:sz w:val="24"/>
        </w:rPr>
      </w:pPr>
      <w:r w:rsidRPr="007A5A86">
        <w:rPr>
          <w:rFonts w:ascii="Times New Roman" w:hAnsi="Times New Roman"/>
          <w:sz w:val="24"/>
        </w:rPr>
        <w:t>Кураторство. В китайских вузах студенты также имеют возможность получить помощь преподавателей. Чаще всего такая помогают магистрам и аспирантам, но, в последнее время, с вопросом может обратиться и бакалавр.</w:t>
      </w:r>
    </w:p>
    <w:p w:rsidR="005E1201" w:rsidRPr="007A5A86" w:rsidRDefault="005E1201" w:rsidP="005E1201">
      <w:pPr>
        <w:tabs>
          <w:tab w:val="left" w:pos="1522"/>
        </w:tabs>
        <w:spacing w:after="0" w:line="240" w:lineRule="auto"/>
        <w:ind w:firstLine="709"/>
        <w:jc w:val="both"/>
        <w:rPr>
          <w:rFonts w:ascii="Times New Roman" w:hAnsi="Times New Roman"/>
          <w:sz w:val="24"/>
        </w:rPr>
      </w:pPr>
      <w:r w:rsidRPr="007A5A86">
        <w:rPr>
          <w:rFonts w:ascii="Times New Roman" w:hAnsi="Times New Roman"/>
          <w:sz w:val="24"/>
        </w:rPr>
        <w:t>Домашние уроки. Обучение в китайском высшем учебном заведении состоит из 3 частей: лекции преподавателей, самостоятельная подготовка и выполнение заданных уроков. Лекции занимают совсем немного времени в этой схеме, студенты больше времени проводят за самостоятельным изучением предмета.</w:t>
      </w:r>
    </w:p>
    <w:p w:rsidR="005E1201" w:rsidRPr="007A5A86" w:rsidRDefault="005E1201" w:rsidP="005E1201">
      <w:pPr>
        <w:tabs>
          <w:tab w:val="left" w:pos="1522"/>
        </w:tabs>
        <w:spacing w:after="0" w:line="240" w:lineRule="auto"/>
        <w:ind w:firstLine="709"/>
        <w:jc w:val="both"/>
        <w:rPr>
          <w:rFonts w:ascii="Times New Roman" w:hAnsi="Times New Roman"/>
          <w:sz w:val="24"/>
        </w:rPr>
      </w:pPr>
      <w:r w:rsidRPr="007A5A86">
        <w:rPr>
          <w:rFonts w:ascii="Times New Roman" w:hAnsi="Times New Roman"/>
          <w:sz w:val="24"/>
        </w:rPr>
        <w:t>От китайского студента ожидается самостоятельность и ответственное отношение к обучению, в общем – более взрослый подход.</w:t>
      </w:r>
    </w:p>
    <w:p w:rsidR="005E1201" w:rsidRPr="007A5A86" w:rsidRDefault="005E1201" w:rsidP="005E1201">
      <w:pPr>
        <w:tabs>
          <w:tab w:val="left" w:pos="1522"/>
        </w:tabs>
        <w:spacing w:after="0" w:line="240" w:lineRule="auto"/>
        <w:ind w:firstLine="709"/>
        <w:jc w:val="both"/>
        <w:rPr>
          <w:rFonts w:ascii="Times New Roman" w:hAnsi="Times New Roman"/>
          <w:sz w:val="24"/>
        </w:rPr>
      </w:pPr>
      <w:r w:rsidRPr="007A5A86">
        <w:rPr>
          <w:rFonts w:ascii="Times New Roman" w:hAnsi="Times New Roman"/>
          <w:sz w:val="24"/>
        </w:rPr>
        <w:t>Оценивание в вузах Поднебесной бывает 3 типов:</w:t>
      </w:r>
    </w:p>
    <w:p w:rsidR="005E1201" w:rsidRPr="007A5A86" w:rsidRDefault="005E1201" w:rsidP="005E1201">
      <w:pPr>
        <w:tabs>
          <w:tab w:val="left" w:pos="1522"/>
        </w:tabs>
        <w:spacing w:after="0" w:line="240" w:lineRule="auto"/>
        <w:ind w:firstLine="709"/>
        <w:jc w:val="both"/>
        <w:rPr>
          <w:rFonts w:ascii="Times New Roman" w:hAnsi="Times New Roman"/>
          <w:sz w:val="24"/>
        </w:rPr>
      </w:pPr>
      <w:r w:rsidRPr="007A5A86">
        <w:rPr>
          <w:rFonts w:ascii="Times New Roman" w:hAnsi="Times New Roman"/>
          <w:sz w:val="24"/>
        </w:rPr>
        <w:t>Сдал – не сдал. Здесь все понятно и без пояснений.</w:t>
      </w:r>
    </w:p>
    <w:p w:rsidR="005E1201" w:rsidRPr="007A5A86" w:rsidRDefault="005E1201" w:rsidP="005E1201">
      <w:pPr>
        <w:tabs>
          <w:tab w:val="left" w:pos="1522"/>
        </w:tabs>
        <w:spacing w:after="0" w:line="240" w:lineRule="auto"/>
        <w:ind w:firstLine="709"/>
        <w:jc w:val="both"/>
        <w:rPr>
          <w:rFonts w:ascii="Times New Roman" w:hAnsi="Times New Roman"/>
          <w:sz w:val="24"/>
        </w:rPr>
      </w:pPr>
      <w:r w:rsidRPr="007A5A86">
        <w:rPr>
          <w:rFonts w:ascii="Times New Roman" w:hAnsi="Times New Roman"/>
          <w:sz w:val="24"/>
        </w:rPr>
        <w:t>Пятибалльная система. Хотя правильнее будет сказать «пятибуквенная». «А» означает, что экзамен сдан без замечаний, «В» - результат принят, но с мелкими оговорками, «С» — удовлетворительный результат, «Д» — результат принят и, наконец, «Е» — экзамен не принят.</w:t>
      </w:r>
    </w:p>
    <w:p w:rsidR="005E1201" w:rsidRPr="007A5A86" w:rsidRDefault="005E1201" w:rsidP="005E1201">
      <w:pPr>
        <w:tabs>
          <w:tab w:val="left" w:pos="1522"/>
        </w:tabs>
        <w:spacing w:after="0" w:line="240" w:lineRule="auto"/>
        <w:ind w:firstLine="709"/>
        <w:jc w:val="both"/>
        <w:rPr>
          <w:rFonts w:ascii="Times New Roman" w:hAnsi="Times New Roman"/>
          <w:sz w:val="24"/>
        </w:rPr>
      </w:pPr>
      <w:r w:rsidRPr="007A5A86">
        <w:rPr>
          <w:rFonts w:ascii="Times New Roman" w:hAnsi="Times New Roman"/>
          <w:sz w:val="24"/>
        </w:rPr>
        <w:t>100-балльная система. В этой системе оценивания достойным является результат до 60 баллов. Больше 90 – отлично, от 80 до 89 – хорошо, 70-79 – удовлетворительно, от 60 до 69 – экзамен принят. Все остальные результаты, ниже 60 баллов, не являются удовлетвори</w:t>
      </w:r>
      <w:r>
        <w:rPr>
          <w:rFonts w:ascii="Times New Roman" w:hAnsi="Times New Roman"/>
          <w:sz w:val="24"/>
        </w:rPr>
        <w:t>тельными</w:t>
      </w:r>
      <w:r w:rsidRPr="007A5A86">
        <w:rPr>
          <w:rFonts w:ascii="Times New Roman" w:hAnsi="Times New Roman"/>
          <w:sz w:val="24"/>
        </w:rPr>
        <w:t>.</w:t>
      </w:r>
    </w:p>
    <w:p w:rsidR="005E1201" w:rsidRPr="00DE0E54" w:rsidRDefault="005E1201" w:rsidP="005E1201">
      <w:pPr>
        <w:spacing w:after="0" w:line="240" w:lineRule="auto"/>
        <w:ind w:firstLine="708"/>
        <w:jc w:val="both"/>
        <w:rPr>
          <w:rFonts w:ascii="Times New Roman" w:hAnsi="Times New Roman"/>
          <w:sz w:val="24"/>
          <w:szCs w:val="24"/>
        </w:rPr>
      </w:pPr>
      <w:r w:rsidRPr="00DE0E54">
        <w:rPr>
          <w:rFonts w:ascii="Times New Roman" w:hAnsi="Times New Roman"/>
          <w:sz w:val="24"/>
          <w:szCs w:val="24"/>
        </w:rPr>
        <w:t>Развитие рыночных отношений коренным образом изменило условия функционирования системы высшего образования</w:t>
      </w:r>
      <w:r>
        <w:rPr>
          <w:rFonts w:ascii="Times New Roman" w:hAnsi="Times New Roman"/>
          <w:sz w:val="24"/>
          <w:szCs w:val="24"/>
        </w:rPr>
        <w:t xml:space="preserve"> Китая</w:t>
      </w:r>
      <w:r w:rsidRPr="00DE0E54">
        <w:rPr>
          <w:rFonts w:ascii="Times New Roman" w:hAnsi="Times New Roman"/>
          <w:sz w:val="24"/>
          <w:szCs w:val="24"/>
        </w:rPr>
        <w:t xml:space="preserve">. </w:t>
      </w:r>
    </w:p>
    <w:p w:rsidR="005E1201" w:rsidRPr="00DE0E54" w:rsidRDefault="005E1201" w:rsidP="005E1201">
      <w:pPr>
        <w:spacing w:after="0" w:line="240" w:lineRule="auto"/>
        <w:ind w:firstLine="708"/>
        <w:jc w:val="both"/>
        <w:rPr>
          <w:rFonts w:ascii="Times New Roman" w:hAnsi="Times New Roman"/>
          <w:sz w:val="24"/>
          <w:szCs w:val="24"/>
        </w:rPr>
      </w:pPr>
      <w:r w:rsidRPr="00DE0E54">
        <w:rPr>
          <w:rFonts w:ascii="Times New Roman" w:hAnsi="Times New Roman"/>
          <w:sz w:val="24"/>
          <w:szCs w:val="24"/>
        </w:rPr>
        <w:t xml:space="preserve">Перед вузами возникли проблемы обеспечения жизнестойкости, поддержания финансового состояния на достаточном уровне, поиска источников устойчивого развития, разработки и реализации стратегии повышения конкурентоспособности вуза и производимых </w:t>
      </w:r>
      <w:r>
        <w:rPr>
          <w:rFonts w:ascii="Times New Roman" w:hAnsi="Times New Roman"/>
          <w:sz w:val="24"/>
          <w:szCs w:val="24"/>
        </w:rPr>
        <w:t>им услуг</w:t>
      </w:r>
      <w:r w:rsidRPr="00DE0E54">
        <w:rPr>
          <w:rFonts w:ascii="Times New Roman" w:hAnsi="Times New Roman"/>
          <w:sz w:val="24"/>
          <w:szCs w:val="24"/>
        </w:rPr>
        <w:t>.</w:t>
      </w:r>
    </w:p>
    <w:p w:rsidR="005E1201" w:rsidRPr="00DE0E54" w:rsidRDefault="005E1201" w:rsidP="005E1201">
      <w:pPr>
        <w:spacing w:after="0" w:line="240" w:lineRule="auto"/>
        <w:ind w:firstLine="708"/>
        <w:jc w:val="both"/>
        <w:rPr>
          <w:rFonts w:ascii="Times New Roman" w:hAnsi="Times New Roman"/>
          <w:sz w:val="24"/>
          <w:szCs w:val="24"/>
        </w:rPr>
      </w:pPr>
      <w:r w:rsidRPr="00DE0E54">
        <w:rPr>
          <w:rFonts w:ascii="Times New Roman" w:hAnsi="Times New Roman"/>
          <w:sz w:val="24"/>
          <w:szCs w:val="24"/>
        </w:rPr>
        <w:t xml:space="preserve">Определение стратегии повышения конкурентоспособности вуза предполагает ее оценку. Важность проведения такой оценки обусловлена целым рядом причин. </w:t>
      </w:r>
    </w:p>
    <w:p w:rsidR="005E1201" w:rsidRPr="00DE0E54" w:rsidRDefault="005E1201" w:rsidP="005E1201">
      <w:pPr>
        <w:spacing w:after="0" w:line="240" w:lineRule="auto"/>
        <w:ind w:firstLine="708"/>
        <w:jc w:val="both"/>
        <w:rPr>
          <w:rFonts w:ascii="Times New Roman" w:hAnsi="Times New Roman"/>
          <w:sz w:val="24"/>
          <w:szCs w:val="24"/>
        </w:rPr>
      </w:pPr>
      <w:r w:rsidRPr="00DE0E54">
        <w:rPr>
          <w:rFonts w:ascii="Times New Roman" w:hAnsi="Times New Roman"/>
          <w:sz w:val="24"/>
          <w:szCs w:val="24"/>
        </w:rPr>
        <w:t xml:space="preserve">Среди главных из них можно назвать необходимость разработки конкретных мероприятий по повышению конкурентоспособности, составления программ выхода на новые рынки, формирования ассортиментной и ценовой политики, привлечения средств инвесторов и др. </w:t>
      </w:r>
    </w:p>
    <w:p w:rsidR="005E1201" w:rsidRDefault="005E1201" w:rsidP="005E1201">
      <w:pPr>
        <w:spacing w:after="0" w:line="240" w:lineRule="auto"/>
        <w:ind w:firstLine="708"/>
        <w:jc w:val="both"/>
        <w:rPr>
          <w:rFonts w:ascii="Times New Roman" w:hAnsi="Times New Roman"/>
          <w:sz w:val="24"/>
          <w:szCs w:val="24"/>
        </w:rPr>
      </w:pPr>
      <w:r w:rsidRPr="00DE0E54">
        <w:rPr>
          <w:rFonts w:ascii="Times New Roman" w:hAnsi="Times New Roman"/>
          <w:sz w:val="24"/>
          <w:szCs w:val="24"/>
        </w:rPr>
        <w:t>К факторам конкурентоспособности образовательной услуги можно отнести: уровень подготовки по специальности, стоимость образовательной услуги, престижность (популярность) специальности, рекламу специальности, востребованность специалистов данного профиля на рынке труда и т.п. Общими факторами конкурентоспособности вуза являются: престиж вуза, квалификация ППС, состояние материально-технической базы, ценовая и ассортиментная политика вуза, внеучебная работа, потенциал маркетинговых служб.</w:t>
      </w:r>
    </w:p>
    <w:p w:rsidR="005E1201" w:rsidRPr="00DE0E54" w:rsidRDefault="005E1201" w:rsidP="005E1201">
      <w:pPr>
        <w:spacing w:after="0" w:line="240" w:lineRule="auto"/>
        <w:ind w:firstLine="708"/>
        <w:jc w:val="both"/>
        <w:rPr>
          <w:rFonts w:ascii="Times New Roman" w:hAnsi="Times New Roman"/>
          <w:sz w:val="24"/>
          <w:szCs w:val="24"/>
        </w:rPr>
      </w:pPr>
      <w:r>
        <w:rPr>
          <w:rFonts w:ascii="Times New Roman" w:hAnsi="Times New Roman"/>
          <w:sz w:val="24"/>
          <w:szCs w:val="24"/>
        </w:rPr>
        <w:t xml:space="preserve">Первое место в рейтинге китайских вузов занимает </w:t>
      </w:r>
      <w:r w:rsidRPr="00DC3AF8">
        <w:rPr>
          <w:rFonts w:ascii="Times New Roman" w:hAnsi="Times New Roman"/>
          <w:sz w:val="24"/>
          <w:szCs w:val="24"/>
        </w:rPr>
        <w:t>Университет Цинхуа</w:t>
      </w:r>
      <w:r>
        <w:rPr>
          <w:rFonts w:ascii="Times New Roman" w:hAnsi="Times New Roman"/>
          <w:sz w:val="24"/>
          <w:szCs w:val="24"/>
        </w:rPr>
        <w:t xml:space="preserve">, однако по конкурентоспособности вуз занимает второе место. </w:t>
      </w:r>
      <w:r w:rsidRPr="00DE0E54">
        <w:rPr>
          <w:rFonts w:ascii="Times New Roman" w:hAnsi="Times New Roman"/>
          <w:sz w:val="24"/>
          <w:szCs w:val="24"/>
        </w:rPr>
        <w:t xml:space="preserve">Ключевое преимущество </w:t>
      </w:r>
      <w:r w:rsidRPr="00DC3AF8">
        <w:rPr>
          <w:rFonts w:ascii="Times New Roman" w:hAnsi="Times New Roman"/>
          <w:sz w:val="24"/>
          <w:szCs w:val="24"/>
        </w:rPr>
        <w:t xml:space="preserve">Университет Цинхуа </w:t>
      </w:r>
      <w:r w:rsidRPr="00DE0E54">
        <w:rPr>
          <w:rFonts w:ascii="Times New Roman" w:hAnsi="Times New Roman"/>
          <w:sz w:val="24"/>
          <w:szCs w:val="24"/>
        </w:rPr>
        <w:t xml:space="preserve">заключается в престижности вуза. Он имеет хорошую материально-техническую базу и высококвалифицированный персонал. Основываясь на данных преимуществах, </w:t>
      </w:r>
      <w:r w:rsidRPr="00DC3AF8">
        <w:rPr>
          <w:rFonts w:ascii="Times New Roman" w:hAnsi="Times New Roman"/>
          <w:sz w:val="24"/>
          <w:szCs w:val="24"/>
        </w:rPr>
        <w:t>Университет Цинхуа</w:t>
      </w:r>
      <w:r>
        <w:rPr>
          <w:rFonts w:ascii="Times New Roman" w:hAnsi="Times New Roman"/>
          <w:sz w:val="24"/>
          <w:szCs w:val="24"/>
        </w:rPr>
        <w:t xml:space="preserve"> </w:t>
      </w:r>
      <w:r w:rsidRPr="00DE0E54">
        <w:rPr>
          <w:rFonts w:ascii="Times New Roman" w:hAnsi="Times New Roman"/>
          <w:sz w:val="24"/>
          <w:szCs w:val="24"/>
        </w:rPr>
        <w:t xml:space="preserve">устанавливает высокую стоимость обучения и вследствие этого проигрывает в проведении ценовой политики образовательных услуг. </w:t>
      </w:r>
    </w:p>
    <w:p w:rsidR="005E1201" w:rsidRDefault="005E1201" w:rsidP="005E1201">
      <w:pPr>
        <w:spacing w:after="0" w:line="240" w:lineRule="auto"/>
        <w:ind w:firstLine="708"/>
        <w:jc w:val="both"/>
        <w:rPr>
          <w:rFonts w:ascii="Times New Roman" w:hAnsi="Times New Roman"/>
          <w:sz w:val="24"/>
          <w:szCs w:val="24"/>
        </w:rPr>
      </w:pPr>
      <w:r>
        <w:rPr>
          <w:rFonts w:ascii="Times New Roman" w:hAnsi="Times New Roman"/>
          <w:sz w:val="24"/>
          <w:szCs w:val="24"/>
        </w:rPr>
        <w:t xml:space="preserve">Пекинский </w:t>
      </w:r>
      <w:r w:rsidRPr="00DC3AF8">
        <w:rPr>
          <w:rFonts w:ascii="Times New Roman" w:hAnsi="Times New Roman"/>
          <w:sz w:val="24"/>
          <w:szCs w:val="24"/>
        </w:rPr>
        <w:t>университет</w:t>
      </w:r>
      <w:r>
        <w:rPr>
          <w:rFonts w:ascii="Times New Roman" w:hAnsi="Times New Roman"/>
          <w:sz w:val="24"/>
          <w:szCs w:val="24"/>
        </w:rPr>
        <w:t xml:space="preserve"> находится на втором месте рейтинга китайских вузов, но на первом месте в рейтинге конкурентоспособности, так как ценовая политика данного университета более гибкая, чем ценовая политика Университета Цинхуа. </w:t>
      </w:r>
    </w:p>
    <w:p w:rsidR="005E1201" w:rsidRDefault="005E1201" w:rsidP="005E1201">
      <w:pPr>
        <w:spacing w:after="0" w:line="240" w:lineRule="auto"/>
        <w:ind w:firstLine="708"/>
        <w:jc w:val="both"/>
        <w:rPr>
          <w:rFonts w:ascii="Times New Roman" w:hAnsi="Times New Roman"/>
          <w:sz w:val="24"/>
          <w:szCs w:val="24"/>
        </w:rPr>
      </w:pPr>
      <w:r w:rsidRPr="00DC3AF8">
        <w:rPr>
          <w:rFonts w:ascii="Times New Roman" w:hAnsi="Times New Roman"/>
          <w:sz w:val="24"/>
          <w:szCs w:val="24"/>
        </w:rPr>
        <w:t>Шахайский университет Цзяо Тун</w:t>
      </w:r>
      <w:r>
        <w:rPr>
          <w:rFonts w:ascii="Times New Roman" w:hAnsi="Times New Roman"/>
          <w:sz w:val="24"/>
          <w:szCs w:val="24"/>
        </w:rPr>
        <w:t xml:space="preserve"> расположился на третьем месте. </w:t>
      </w:r>
    </w:p>
    <w:p w:rsidR="005E1201" w:rsidRDefault="005E1201" w:rsidP="005E1201">
      <w:pPr>
        <w:spacing w:after="0" w:line="240" w:lineRule="auto"/>
        <w:ind w:firstLine="708"/>
        <w:jc w:val="both"/>
        <w:rPr>
          <w:rFonts w:ascii="Times New Roman" w:hAnsi="Times New Roman"/>
          <w:sz w:val="24"/>
          <w:szCs w:val="24"/>
        </w:rPr>
      </w:pPr>
      <w:r>
        <w:rPr>
          <w:rFonts w:ascii="Times New Roman" w:hAnsi="Times New Roman"/>
          <w:sz w:val="24"/>
          <w:szCs w:val="24"/>
        </w:rPr>
        <w:t xml:space="preserve">Следующее место занимает Фуданьский университет. </w:t>
      </w:r>
      <w:r w:rsidRPr="008F66F2">
        <w:rPr>
          <w:rFonts w:ascii="Times New Roman" w:hAnsi="Times New Roman"/>
          <w:sz w:val="24"/>
          <w:szCs w:val="24"/>
        </w:rPr>
        <w:t>При достаточно высоких значениях факторов «структура ППС» и «ценовая политика»</w:t>
      </w:r>
      <w:r>
        <w:rPr>
          <w:rFonts w:ascii="Times New Roman" w:hAnsi="Times New Roman"/>
          <w:sz w:val="24"/>
          <w:szCs w:val="24"/>
        </w:rPr>
        <w:t xml:space="preserve"> данный вуз уступает первым трём</w:t>
      </w:r>
      <w:r w:rsidRPr="008F66F2">
        <w:rPr>
          <w:rFonts w:ascii="Times New Roman" w:hAnsi="Times New Roman"/>
          <w:sz w:val="24"/>
          <w:szCs w:val="24"/>
        </w:rPr>
        <w:t>.</w:t>
      </w:r>
    </w:p>
    <w:p w:rsidR="005E1201" w:rsidRPr="00DE0E54" w:rsidRDefault="005E1201" w:rsidP="005E1201">
      <w:pPr>
        <w:spacing w:after="0" w:line="240" w:lineRule="auto"/>
        <w:ind w:firstLine="708"/>
        <w:jc w:val="both"/>
        <w:rPr>
          <w:rFonts w:ascii="Times New Roman" w:hAnsi="Times New Roman"/>
          <w:sz w:val="24"/>
          <w:szCs w:val="24"/>
        </w:rPr>
      </w:pPr>
      <w:r>
        <w:rPr>
          <w:rFonts w:ascii="Times New Roman" w:hAnsi="Times New Roman"/>
          <w:sz w:val="24"/>
          <w:szCs w:val="24"/>
        </w:rPr>
        <w:t xml:space="preserve">Далее следует </w:t>
      </w:r>
      <w:r w:rsidRPr="008B5357">
        <w:rPr>
          <w:rFonts w:ascii="Times New Roman" w:hAnsi="Times New Roman"/>
          <w:sz w:val="24"/>
          <w:szCs w:val="24"/>
        </w:rPr>
        <w:t>Чжэцзянский университет</w:t>
      </w:r>
      <w:r>
        <w:rPr>
          <w:rFonts w:ascii="Times New Roman" w:hAnsi="Times New Roman"/>
          <w:sz w:val="24"/>
          <w:szCs w:val="24"/>
        </w:rPr>
        <w:t>. В международном рейтинге вузов он расположился на 104 месте.</w:t>
      </w:r>
    </w:p>
    <w:p w:rsidR="005E1201" w:rsidRPr="0053010E" w:rsidRDefault="005E1201" w:rsidP="005E1201">
      <w:pPr>
        <w:tabs>
          <w:tab w:val="left" w:pos="1522"/>
        </w:tabs>
        <w:spacing w:after="0" w:line="240" w:lineRule="auto"/>
        <w:ind w:firstLine="709"/>
        <w:jc w:val="both"/>
        <w:rPr>
          <w:rFonts w:ascii="Times New Roman" w:hAnsi="Times New Roman"/>
          <w:sz w:val="24"/>
        </w:rPr>
      </w:pPr>
      <w:r w:rsidRPr="0053010E">
        <w:rPr>
          <w:rFonts w:ascii="Times New Roman" w:hAnsi="Times New Roman"/>
          <w:sz w:val="24"/>
        </w:rPr>
        <w:t>Образование КНР - это важнейший механизм и тщательно контролируемая стратегическая отрасль для достижения общественного порядка. Китайские университеты тесно взаимосвязаны со многими престижными университетами в других странах, в том числе с Россией, предоставляя спектр международного взаимодействия. Большая часть китайских международных корпораций с огромной охотой берут на работу иностранных специалистов, у которых есть диплом китайского университета.</w:t>
      </w:r>
    </w:p>
    <w:p w:rsidR="005E1201" w:rsidRPr="0053010E" w:rsidRDefault="005E1201" w:rsidP="005E1201">
      <w:pPr>
        <w:tabs>
          <w:tab w:val="left" w:pos="1522"/>
        </w:tabs>
        <w:spacing w:after="0" w:line="240" w:lineRule="auto"/>
        <w:ind w:firstLine="709"/>
        <w:jc w:val="both"/>
        <w:rPr>
          <w:rFonts w:ascii="Times New Roman" w:hAnsi="Times New Roman"/>
          <w:sz w:val="24"/>
        </w:rPr>
      </w:pPr>
      <w:r w:rsidRPr="0053010E">
        <w:rPr>
          <w:rFonts w:ascii="Times New Roman" w:hAnsi="Times New Roman"/>
          <w:sz w:val="24"/>
        </w:rPr>
        <w:t>Ведь такие специалисты не только знают язык, но и особенности характеров китайского населения, прожив там долгое время. Благодаря жесткой дисциплине в плане образования, выпускники высших учебных заведений в Поднебесной успешно конкурируют на рынке труда с выпускниками из других стран.</w:t>
      </w:r>
    </w:p>
    <w:p w:rsidR="005E1201" w:rsidRPr="00DE0E54" w:rsidRDefault="005E1201" w:rsidP="005E1201">
      <w:pPr>
        <w:jc w:val="both"/>
        <w:rPr>
          <w:rFonts w:ascii="Times New Roman" w:hAnsi="Times New Roman"/>
          <w:sz w:val="24"/>
        </w:rPr>
      </w:pPr>
      <w:r>
        <w:rPr>
          <w:noProof/>
          <w:lang w:eastAsia="ru-RU"/>
        </w:rPr>
        <mc:AlternateContent>
          <mc:Choice Requires="wps">
            <w:drawing>
              <wp:anchor distT="4294967295" distB="4294967295" distL="114300" distR="114300" simplePos="0" relativeHeight="251735040" behindDoc="0" locked="0" layoutInCell="1" allowOverlap="1">
                <wp:simplePos x="0" y="0"/>
                <wp:positionH relativeFrom="column">
                  <wp:posOffset>160020</wp:posOffset>
                </wp:positionH>
                <wp:positionV relativeFrom="paragraph">
                  <wp:posOffset>181609</wp:posOffset>
                </wp:positionV>
                <wp:extent cx="6021070" cy="0"/>
                <wp:effectExtent l="0" t="0" r="17780" b="19050"/>
                <wp:wrapNone/>
                <wp:docPr id="164" name="Прямая соединительная линия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21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F73E88" id="Прямая соединительная линия 164" o:spid="_x0000_s1026" style="position:absolute;flip:y;z-index:2517350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2.6pt,14.3pt" to="486.7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" strokecolor="black [3040]">
                <o:lock v:ext="edit" shapetype="f"/>
              </v:line>
            </w:pict>
          </mc:Fallback>
        </mc:AlternateContent>
      </w:r>
      <w:r>
        <w:rPr>
          <w:rFonts w:ascii="Times New Roman" w:hAnsi="Times New Roman"/>
          <w:sz w:val="24"/>
        </w:rPr>
        <w:t xml:space="preserve">  </w:t>
      </w:r>
    </w:p>
    <w:p w:rsidR="005E1201" w:rsidRDefault="005E1201" w:rsidP="005E1201">
      <w:pPr>
        <w:spacing w:after="0"/>
        <w:ind w:firstLine="708"/>
        <w:jc w:val="both"/>
        <w:rPr>
          <w:rFonts w:ascii="Times New Roman" w:hAnsi="Times New Roman"/>
          <w:sz w:val="24"/>
          <w:szCs w:val="24"/>
        </w:rPr>
      </w:pPr>
      <w:r w:rsidRPr="00C414FA">
        <w:rPr>
          <w:rFonts w:ascii="Times New Roman" w:hAnsi="Times New Roman"/>
          <w:sz w:val="24"/>
          <w:szCs w:val="24"/>
        </w:rPr>
        <w:t xml:space="preserve">1 </w:t>
      </w:r>
      <w:r w:rsidRPr="00DE46AA">
        <w:rPr>
          <w:rFonts w:ascii="Times New Roman" w:hAnsi="Times New Roman"/>
          <w:sz w:val="24"/>
          <w:szCs w:val="24"/>
        </w:rPr>
        <w:t>Кэмин, Х. Развитие и реформа высшего образования в Китае / Х. Кэмин - М.: [Б. и.], 2016. - 43 с.</w:t>
      </w:r>
    </w:p>
    <w:p w:rsidR="005E1201" w:rsidRPr="00C414FA" w:rsidRDefault="005E1201" w:rsidP="005E1201">
      <w:pPr>
        <w:spacing w:after="0"/>
        <w:ind w:firstLine="708"/>
        <w:jc w:val="both"/>
        <w:rPr>
          <w:rFonts w:ascii="Times New Roman" w:hAnsi="Times New Roman"/>
          <w:sz w:val="24"/>
          <w:szCs w:val="24"/>
        </w:rPr>
      </w:pPr>
      <w:r w:rsidRPr="00DE46AA">
        <w:rPr>
          <w:rFonts w:ascii="Times New Roman" w:hAnsi="Times New Roman"/>
          <w:sz w:val="24"/>
          <w:szCs w:val="24"/>
        </w:rPr>
        <w:t xml:space="preserve">2 </w:t>
      </w:r>
      <w:r w:rsidRPr="00C414FA">
        <w:rPr>
          <w:rFonts w:ascii="Times New Roman" w:hAnsi="Times New Roman"/>
          <w:sz w:val="24"/>
          <w:szCs w:val="24"/>
        </w:rPr>
        <w:t>Ей, Ю.Х. О стратегии развития китайского образования / Ю.Х. Ей // Педагогика. - 201</w:t>
      </w:r>
      <w:r w:rsidRPr="00DC3D8D">
        <w:rPr>
          <w:rFonts w:ascii="Times New Roman" w:hAnsi="Times New Roman"/>
          <w:sz w:val="24"/>
          <w:szCs w:val="24"/>
        </w:rPr>
        <w:t>5</w:t>
      </w:r>
      <w:r w:rsidRPr="00C414FA">
        <w:rPr>
          <w:rFonts w:ascii="Times New Roman" w:hAnsi="Times New Roman"/>
          <w:sz w:val="24"/>
          <w:szCs w:val="24"/>
        </w:rPr>
        <w:t>.</w:t>
      </w:r>
      <w:r>
        <w:rPr>
          <w:rFonts w:ascii="Times New Roman" w:hAnsi="Times New Roman"/>
          <w:sz w:val="24"/>
          <w:szCs w:val="24"/>
        </w:rPr>
        <w:t xml:space="preserve"> </w:t>
      </w:r>
      <w:r w:rsidRPr="00C414FA">
        <w:rPr>
          <w:rFonts w:ascii="Times New Roman" w:hAnsi="Times New Roman"/>
          <w:sz w:val="24"/>
          <w:szCs w:val="24"/>
        </w:rPr>
        <w:t>- № 4. -</w:t>
      </w:r>
      <w:r>
        <w:rPr>
          <w:rFonts w:ascii="Times New Roman" w:hAnsi="Times New Roman"/>
          <w:sz w:val="24"/>
          <w:szCs w:val="24"/>
        </w:rPr>
        <w:t xml:space="preserve"> с</w:t>
      </w:r>
      <w:r w:rsidRPr="00C414FA">
        <w:rPr>
          <w:rFonts w:ascii="Times New Roman" w:hAnsi="Times New Roman"/>
          <w:sz w:val="24"/>
          <w:szCs w:val="24"/>
        </w:rPr>
        <w:t>. 75–77.</w:t>
      </w:r>
    </w:p>
    <w:p w:rsidR="005E1201" w:rsidRPr="001161E2" w:rsidRDefault="005E1201" w:rsidP="005E1201">
      <w:pPr>
        <w:spacing w:after="0"/>
        <w:ind w:firstLine="708"/>
        <w:jc w:val="both"/>
        <w:rPr>
          <w:rFonts w:ascii="Times New Roman" w:hAnsi="Times New Roman"/>
          <w:sz w:val="24"/>
          <w:szCs w:val="24"/>
        </w:rPr>
      </w:pPr>
      <w:r w:rsidRPr="00DE46AA">
        <w:rPr>
          <w:rFonts w:ascii="Times New Roman" w:hAnsi="Times New Roman"/>
          <w:sz w:val="24"/>
          <w:szCs w:val="24"/>
        </w:rPr>
        <w:t>3</w:t>
      </w:r>
      <w:r w:rsidRPr="00C414FA">
        <w:rPr>
          <w:rFonts w:ascii="Times New Roman" w:hAnsi="Times New Roman"/>
          <w:sz w:val="24"/>
          <w:szCs w:val="24"/>
        </w:rPr>
        <w:t xml:space="preserve"> </w:t>
      </w:r>
      <w:r w:rsidRPr="001161E2">
        <w:rPr>
          <w:rFonts w:ascii="Times New Roman" w:hAnsi="Times New Roman"/>
          <w:sz w:val="24"/>
          <w:szCs w:val="24"/>
        </w:rPr>
        <w:t>Кметь Е. Б.</w:t>
      </w:r>
      <w:r>
        <w:rPr>
          <w:rFonts w:ascii="Times New Roman" w:hAnsi="Times New Roman"/>
          <w:sz w:val="24"/>
          <w:szCs w:val="24"/>
        </w:rPr>
        <w:t>,Ким А.Г.</w:t>
      </w:r>
      <w:r w:rsidRPr="001161E2">
        <w:rPr>
          <w:rFonts w:ascii="Times New Roman" w:hAnsi="Times New Roman"/>
          <w:sz w:val="24"/>
          <w:szCs w:val="24"/>
        </w:rPr>
        <w:t xml:space="preserve"> Управление маркетингом: учебник / Е. Б. Кметь, А. Г. Ким. </w:t>
      </w:r>
      <w:r>
        <w:rPr>
          <w:rFonts w:ascii="Times New Roman" w:hAnsi="Times New Roman"/>
          <w:sz w:val="24"/>
          <w:szCs w:val="24"/>
        </w:rPr>
        <w:t>-</w:t>
      </w:r>
      <w:r w:rsidRPr="001161E2">
        <w:rPr>
          <w:rFonts w:ascii="Times New Roman" w:hAnsi="Times New Roman"/>
          <w:sz w:val="24"/>
          <w:szCs w:val="24"/>
        </w:rPr>
        <w:t xml:space="preserve">Владивосток: Изд-во ВГУЭС, 2015. </w:t>
      </w:r>
      <w:r>
        <w:rPr>
          <w:rFonts w:ascii="Times New Roman" w:hAnsi="Times New Roman"/>
          <w:sz w:val="24"/>
          <w:szCs w:val="24"/>
        </w:rPr>
        <w:t xml:space="preserve">- </w:t>
      </w:r>
      <w:r w:rsidRPr="001161E2">
        <w:rPr>
          <w:rFonts w:ascii="Times New Roman" w:hAnsi="Times New Roman"/>
          <w:sz w:val="24"/>
          <w:szCs w:val="24"/>
        </w:rPr>
        <w:t>308 с.</w:t>
      </w:r>
    </w:p>
    <w:p w:rsidR="005E1201" w:rsidRPr="00C414FA" w:rsidRDefault="005E1201" w:rsidP="005E1201">
      <w:pPr>
        <w:spacing w:after="0"/>
        <w:ind w:firstLine="708"/>
        <w:jc w:val="both"/>
        <w:rPr>
          <w:rFonts w:ascii="Times New Roman" w:hAnsi="Times New Roman"/>
          <w:sz w:val="24"/>
          <w:szCs w:val="24"/>
        </w:rPr>
      </w:pPr>
      <w:r>
        <w:rPr>
          <w:rFonts w:ascii="Times New Roman" w:hAnsi="Times New Roman"/>
          <w:sz w:val="24"/>
          <w:szCs w:val="24"/>
        </w:rPr>
        <w:t>4</w:t>
      </w:r>
      <w:r w:rsidRPr="00C414FA">
        <w:rPr>
          <w:rFonts w:ascii="Times New Roman" w:hAnsi="Times New Roman"/>
          <w:sz w:val="24"/>
          <w:szCs w:val="24"/>
        </w:rPr>
        <w:t xml:space="preserve"> Тремзина</w:t>
      </w:r>
      <w:r w:rsidRPr="001161E2">
        <w:rPr>
          <w:rFonts w:ascii="Times New Roman" w:hAnsi="Times New Roman"/>
          <w:sz w:val="24"/>
          <w:szCs w:val="24"/>
        </w:rPr>
        <w:t>,</w:t>
      </w:r>
      <w:r w:rsidRPr="00C414FA">
        <w:rPr>
          <w:rFonts w:ascii="Times New Roman" w:hAnsi="Times New Roman"/>
          <w:sz w:val="24"/>
          <w:szCs w:val="24"/>
        </w:rPr>
        <w:t xml:space="preserve"> П. А. Отличительные особенности образования в Китае/ П.А. Тремзина // Молодой ученый. - 2016. - №7. - С. 92-93.</w:t>
      </w:r>
    </w:p>
    <w:p w:rsidR="005E1201" w:rsidRPr="00195068" w:rsidRDefault="005E1201" w:rsidP="005E1201">
      <w:pPr>
        <w:spacing w:after="0"/>
        <w:ind w:firstLine="708"/>
        <w:jc w:val="both"/>
        <w:rPr>
          <w:rFonts w:ascii="Times New Roman" w:hAnsi="Times New Roman"/>
          <w:sz w:val="24"/>
          <w:szCs w:val="24"/>
        </w:rPr>
      </w:pPr>
      <w:r>
        <w:rPr>
          <w:rFonts w:ascii="Times New Roman" w:hAnsi="Times New Roman"/>
          <w:sz w:val="24"/>
          <w:szCs w:val="24"/>
        </w:rPr>
        <w:t>5</w:t>
      </w:r>
      <w:r w:rsidRPr="00C414FA">
        <w:rPr>
          <w:rFonts w:ascii="Times New Roman" w:hAnsi="Times New Roman"/>
          <w:sz w:val="24"/>
          <w:szCs w:val="24"/>
        </w:rPr>
        <w:t xml:space="preserve"> Университеты Китая </w:t>
      </w:r>
      <w:r>
        <w:rPr>
          <w:rFonts w:ascii="Times New Roman" w:hAnsi="Times New Roman"/>
          <w:sz w:val="24"/>
          <w:szCs w:val="24"/>
        </w:rPr>
        <w:t>[Электрон</w:t>
      </w:r>
      <w:r w:rsidRPr="00F22B30">
        <w:rPr>
          <w:rFonts w:ascii="Times New Roman" w:hAnsi="Times New Roman"/>
          <w:sz w:val="24"/>
          <w:szCs w:val="24"/>
        </w:rPr>
        <w:t>ный ресурс]. – Режим доступа:</w:t>
      </w:r>
      <w:r w:rsidRPr="00C414FA">
        <w:rPr>
          <w:rFonts w:ascii="Times New Roman" w:hAnsi="Times New Roman"/>
          <w:sz w:val="24"/>
          <w:szCs w:val="24"/>
        </w:rPr>
        <w:t xml:space="preserve"> https://www.unipage.net/ru/universities_in_china?page=1&amp;per-page=10</w:t>
      </w:r>
      <w:r w:rsidRPr="00195068">
        <w:rPr>
          <w:rFonts w:ascii="Times New Roman" w:hAnsi="Times New Roman"/>
          <w:sz w:val="24"/>
          <w:szCs w:val="24"/>
        </w:rPr>
        <w:t>.</w:t>
      </w:r>
    </w:p>
    <w:p w:rsidR="005E1201" w:rsidRPr="00DE0E54" w:rsidRDefault="005E1201" w:rsidP="005E1201">
      <w:pPr>
        <w:ind w:firstLine="708"/>
        <w:jc w:val="both"/>
        <w:rPr>
          <w:rFonts w:ascii="Times New Roman" w:hAnsi="Times New Roman"/>
          <w:sz w:val="24"/>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Pr="005E1201" w:rsidRDefault="005E1201" w:rsidP="005E1201">
      <w:pPr>
        <w:pBdr>
          <w:top w:val="none" w:sz="0" w:space="0" w:color="auto"/>
          <w:left w:val="none" w:sz="0" w:space="0" w:color="auto"/>
          <w:bottom w:val="none" w:sz="0" w:space="0" w:color="auto"/>
          <w:right w:val="none" w:sz="0" w:space="0" w:color="auto"/>
          <w:between w:val="none" w:sz="0" w:space="0" w:color="auto"/>
        </w:pBdr>
        <w:spacing w:after="240" w:line="240" w:lineRule="auto"/>
        <w:rPr>
          <w:rFonts w:ascii="Times New Roman" w:hAnsi="Times New Roman" w:cs="Times New Roman"/>
          <w:sz w:val="24"/>
          <w:szCs w:val="40"/>
          <w:lang w:eastAsia="ru-RU"/>
        </w:rPr>
      </w:pPr>
      <w:r w:rsidRPr="005E1201">
        <w:rPr>
          <w:rFonts w:ascii="Times New Roman" w:hAnsi="Times New Roman" w:cs="Times New Roman"/>
          <w:sz w:val="24"/>
          <w:szCs w:val="40"/>
          <w:lang w:eastAsia="ru-RU"/>
        </w:rPr>
        <w:t>Рубрика: Тенденции развития маркетинга в России и за рубежом</w:t>
      </w:r>
    </w:p>
    <w:p w:rsidR="005E1201" w:rsidRPr="005E1201" w:rsidRDefault="005E1201" w:rsidP="005E1201">
      <w:pPr>
        <w:pBdr>
          <w:top w:val="none" w:sz="0" w:space="0" w:color="auto"/>
          <w:left w:val="none" w:sz="0" w:space="0" w:color="auto"/>
          <w:bottom w:val="none" w:sz="0" w:space="0" w:color="auto"/>
          <w:right w:val="none" w:sz="0" w:space="0" w:color="auto"/>
          <w:between w:val="none" w:sz="0" w:space="0" w:color="auto"/>
        </w:pBdr>
        <w:spacing w:after="240" w:line="240" w:lineRule="auto"/>
        <w:rPr>
          <w:rFonts w:ascii="Times New Roman" w:hAnsi="Times New Roman" w:cs="Times New Roman"/>
          <w:sz w:val="24"/>
          <w:szCs w:val="40"/>
          <w:lang w:eastAsia="ru-RU"/>
        </w:rPr>
      </w:pPr>
      <w:r w:rsidRPr="005E1201">
        <w:rPr>
          <w:rFonts w:ascii="Times New Roman" w:hAnsi="Times New Roman" w:cs="Times New Roman"/>
          <w:sz w:val="24"/>
          <w:szCs w:val="40"/>
          <w:lang w:eastAsia="ru-RU"/>
        </w:rPr>
        <w:t>УДК 339.138</w:t>
      </w:r>
    </w:p>
    <w:p w:rsidR="005E1201" w:rsidRPr="005E1201" w:rsidRDefault="005E1201" w:rsidP="005E1201">
      <w:pPr>
        <w:pBdr>
          <w:top w:val="none" w:sz="0" w:space="0" w:color="auto"/>
          <w:left w:val="none" w:sz="0" w:space="0" w:color="auto"/>
          <w:bottom w:val="none" w:sz="0" w:space="0" w:color="auto"/>
          <w:right w:val="none" w:sz="0" w:space="0" w:color="auto"/>
          <w:between w:val="none" w:sz="0" w:space="0" w:color="auto"/>
        </w:pBdr>
        <w:spacing w:after="240" w:line="240" w:lineRule="auto"/>
        <w:ind w:firstLine="851"/>
        <w:jc w:val="center"/>
        <w:rPr>
          <w:rFonts w:ascii="Times New Roman" w:hAnsi="Times New Roman" w:cs="Times New Roman"/>
          <w:b/>
          <w:sz w:val="24"/>
          <w:szCs w:val="40"/>
          <w:lang w:eastAsia="ru-RU"/>
        </w:rPr>
      </w:pPr>
      <w:r w:rsidRPr="005E1201">
        <w:rPr>
          <w:rFonts w:ascii="Times New Roman" w:hAnsi="Times New Roman" w:cs="Times New Roman"/>
          <w:b/>
          <w:sz w:val="24"/>
          <w:szCs w:val="40"/>
          <w:lang w:eastAsia="ru-RU"/>
        </w:rPr>
        <w:t>Анализ системы образования в КНР</w:t>
      </w:r>
    </w:p>
    <w:p w:rsidR="005E1201" w:rsidRPr="005E1201" w:rsidRDefault="005E1201" w:rsidP="005E1201">
      <w:pPr>
        <w:pBdr>
          <w:top w:val="none" w:sz="0" w:space="0" w:color="auto"/>
          <w:left w:val="none" w:sz="0" w:space="0" w:color="auto"/>
          <w:bottom w:val="none" w:sz="0" w:space="0" w:color="auto"/>
          <w:right w:val="none" w:sz="0" w:space="0" w:color="auto"/>
          <w:between w:val="none" w:sz="0" w:space="0" w:color="auto"/>
        </w:pBdr>
        <w:spacing w:after="0" w:line="240" w:lineRule="auto"/>
        <w:ind w:firstLine="851"/>
        <w:jc w:val="center"/>
        <w:rPr>
          <w:rFonts w:ascii="Times New Roman" w:hAnsi="Times New Roman" w:cs="Times New Roman"/>
          <w:sz w:val="24"/>
          <w:szCs w:val="40"/>
          <w:lang w:eastAsia="ru-RU"/>
        </w:rPr>
      </w:pPr>
      <w:r w:rsidRPr="005E1201">
        <w:rPr>
          <w:rFonts w:ascii="Times New Roman" w:hAnsi="Times New Roman" w:cs="Times New Roman"/>
          <w:sz w:val="24"/>
          <w:szCs w:val="40"/>
          <w:lang w:eastAsia="ru-RU"/>
        </w:rPr>
        <w:t>Солдатенкова Дарья Сергеевна,</w:t>
      </w:r>
    </w:p>
    <w:p w:rsidR="005E1201" w:rsidRPr="005E1201" w:rsidRDefault="005E1201" w:rsidP="005E1201">
      <w:pPr>
        <w:pBdr>
          <w:top w:val="none" w:sz="0" w:space="0" w:color="auto"/>
          <w:left w:val="none" w:sz="0" w:space="0" w:color="auto"/>
          <w:bottom w:val="none" w:sz="0" w:space="0" w:color="auto"/>
          <w:right w:val="none" w:sz="0" w:space="0" w:color="auto"/>
          <w:between w:val="none" w:sz="0" w:space="0" w:color="auto"/>
        </w:pBdr>
        <w:spacing w:after="0" w:line="240" w:lineRule="auto"/>
        <w:ind w:firstLine="851"/>
        <w:jc w:val="center"/>
        <w:rPr>
          <w:rFonts w:ascii="Times New Roman" w:hAnsi="Times New Roman" w:cs="Times New Roman"/>
          <w:sz w:val="24"/>
          <w:szCs w:val="40"/>
          <w:lang w:eastAsia="ru-RU"/>
        </w:rPr>
      </w:pPr>
      <w:r w:rsidRPr="005E1201">
        <w:rPr>
          <w:rFonts w:ascii="Times New Roman" w:hAnsi="Times New Roman" w:cs="Times New Roman"/>
          <w:sz w:val="24"/>
          <w:szCs w:val="40"/>
          <w:lang w:eastAsia="ru-RU"/>
        </w:rPr>
        <w:t>бакалавр</w:t>
      </w:r>
    </w:p>
    <w:p w:rsidR="005E1201" w:rsidRPr="005E1201" w:rsidRDefault="005E1201" w:rsidP="005E1201">
      <w:pPr>
        <w:pBdr>
          <w:top w:val="none" w:sz="0" w:space="0" w:color="auto"/>
          <w:left w:val="none" w:sz="0" w:space="0" w:color="auto"/>
          <w:bottom w:val="none" w:sz="0" w:space="0" w:color="auto"/>
          <w:right w:val="none" w:sz="0" w:space="0" w:color="auto"/>
          <w:between w:val="none" w:sz="0" w:space="0" w:color="auto"/>
        </w:pBdr>
        <w:spacing w:after="0" w:line="240" w:lineRule="auto"/>
        <w:ind w:firstLine="851"/>
        <w:jc w:val="center"/>
        <w:rPr>
          <w:rFonts w:ascii="Times New Roman" w:hAnsi="Times New Roman" w:cs="Times New Roman"/>
          <w:i/>
          <w:sz w:val="24"/>
          <w:szCs w:val="40"/>
          <w:lang w:eastAsia="ru-RU"/>
        </w:rPr>
      </w:pPr>
      <w:r w:rsidRPr="005E1201">
        <w:rPr>
          <w:rFonts w:ascii="Times New Roman" w:hAnsi="Times New Roman" w:cs="Times New Roman"/>
          <w:i/>
          <w:sz w:val="24"/>
          <w:szCs w:val="40"/>
          <w:lang w:eastAsia="ru-RU"/>
        </w:rPr>
        <w:t>Владивостокский государственный университет экономики и сервиса</w:t>
      </w:r>
    </w:p>
    <w:p w:rsidR="005E1201" w:rsidRPr="005E1201" w:rsidRDefault="005E1201" w:rsidP="005E1201">
      <w:pPr>
        <w:pBdr>
          <w:top w:val="none" w:sz="0" w:space="0" w:color="auto"/>
          <w:left w:val="none" w:sz="0" w:space="0" w:color="auto"/>
          <w:bottom w:val="none" w:sz="0" w:space="0" w:color="auto"/>
          <w:right w:val="none" w:sz="0" w:space="0" w:color="auto"/>
          <w:between w:val="none" w:sz="0" w:space="0" w:color="auto"/>
        </w:pBdr>
        <w:spacing w:after="0" w:line="240" w:lineRule="auto"/>
        <w:ind w:firstLine="851"/>
        <w:jc w:val="center"/>
        <w:rPr>
          <w:rFonts w:ascii="Times New Roman" w:hAnsi="Times New Roman" w:cs="Times New Roman"/>
          <w:i/>
          <w:sz w:val="24"/>
          <w:szCs w:val="40"/>
          <w:lang w:eastAsia="ru-RU"/>
        </w:rPr>
      </w:pPr>
      <w:r w:rsidRPr="005E1201">
        <w:rPr>
          <w:rFonts w:ascii="Times New Roman" w:hAnsi="Times New Roman" w:cs="Times New Roman"/>
          <w:i/>
          <w:sz w:val="24"/>
          <w:szCs w:val="40"/>
          <w:lang w:eastAsia="ru-RU"/>
        </w:rPr>
        <w:t>Россия,  Владивосток</w:t>
      </w:r>
    </w:p>
    <w:p w:rsidR="005E1201" w:rsidRPr="005E1201" w:rsidRDefault="005E1201" w:rsidP="005E1201">
      <w:pPr>
        <w:pBdr>
          <w:top w:val="none" w:sz="0" w:space="0" w:color="auto"/>
          <w:left w:val="none" w:sz="0" w:space="0" w:color="auto"/>
          <w:bottom w:val="none" w:sz="0" w:space="0" w:color="auto"/>
          <w:right w:val="none" w:sz="0" w:space="0" w:color="auto"/>
          <w:between w:val="none" w:sz="0" w:space="0" w:color="auto"/>
        </w:pBdr>
        <w:spacing w:after="0" w:line="240" w:lineRule="auto"/>
        <w:ind w:firstLine="851"/>
        <w:jc w:val="center"/>
        <w:rPr>
          <w:rFonts w:ascii="Times New Roman" w:hAnsi="Times New Roman" w:cs="Times New Roman"/>
          <w:sz w:val="24"/>
          <w:szCs w:val="40"/>
          <w:lang w:eastAsia="ru-RU"/>
        </w:rPr>
      </w:pPr>
      <w:r w:rsidRPr="005E1201">
        <w:rPr>
          <w:rFonts w:ascii="Times New Roman" w:hAnsi="Times New Roman" w:cs="Times New Roman"/>
          <w:sz w:val="24"/>
          <w:szCs w:val="40"/>
          <w:lang w:val="en-US" w:eastAsia="ru-RU"/>
        </w:rPr>
        <w:t>E</w:t>
      </w:r>
      <w:r w:rsidRPr="005E1201">
        <w:rPr>
          <w:rFonts w:ascii="Times New Roman" w:hAnsi="Times New Roman" w:cs="Times New Roman"/>
          <w:sz w:val="24"/>
          <w:szCs w:val="40"/>
          <w:lang w:eastAsia="ru-RU"/>
        </w:rPr>
        <w:t>-</w:t>
      </w:r>
      <w:r w:rsidRPr="005E1201">
        <w:rPr>
          <w:rFonts w:ascii="Times New Roman" w:hAnsi="Times New Roman" w:cs="Times New Roman"/>
          <w:sz w:val="24"/>
          <w:szCs w:val="40"/>
          <w:lang w:val="en-US" w:eastAsia="ru-RU"/>
        </w:rPr>
        <w:t>mail</w:t>
      </w:r>
      <w:r w:rsidRPr="005E1201">
        <w:rPr>
          <w:rFonts w:ascii="Times New Roman" w:hAnsi="Times New Roman" w:cs="Times New Roman"/>
          <w:sz w:val="24"/>
          <w:szCs w:val="40"/>
          <w:lang w:eastAsia="ru-RU"/>
        </w:rPr>
        <w:t xml:space="preserve">: </w:t>
      </w:r>
      <w:r w:rsidRPr="005E1201">
        <w:rPr>
          <w:rFonts w:ascii="Times New Roman" w:hAnsi="Times New Roman" w:cs="Times New Roman"/>
          <w:sz w:val="24"/>
          <w:szCs w:val="40"/>
          <w:lang w:val="en-US" w:eastAsia="ru-RU"/>
        </w:rPr>
        <w:t>soldatenkovad</w:t>
      </w:r>
      <w:r w:rsidRPr="005E1201">
        <w:rPr>
          <w:rFonts w:ascii="Times New Roman" w:hAnsi="Times New Roman" w:cs="Times New Roman"/>
          <w:sz w:val="24"/>
          <w:szCs w:val="40"/>
          <w:lang w:eastAsia="ru-RU"/>
        </w:rPr>
        <w:t>96@</w:t>
      </w:r>
      <w:r w:rsidRPr="005E1201">
        <w:rPr>
          <w:rFonts w:ascii="Times New Roman" w:hAnsi="Times New Roman" w:cs="Times New Roman"/>
          <w:sz w:val="24"/>
          <w:szCs w:val="40"/>
          <w:lang w:val="en-US" w:eastAsia="ru-RU"/>
        </w:rPr>
        <w:t>mail</w:t>
      </w:r>
      <w:r w:rsidRPr="005E1201">
        <w:rPr>
          <w:rFonts w:ascii="Times New Roman" w:hAnsi="Times New Roman" w:cs="Times New Roman"/>
          <w:sz w:val="24"/>
          <w:szCs w:val="40"/>
          <w:lang w:eastAsia="ru-RU"/>
        </w:rPr>
        <w:t>.</w:t>
      </w:r>
      <w:r w:rsidRPr="005E1201">
        <w:rPr>
          <w:rFonts w:ascii="Times New Roman" w:hAnsi="Times New Roman" w:cs="Times New Roman"/>
          <w:sz w:val="24"/>
          <w:szCs w:val="40"/>
          <w:lang w:val="en-US" w:eastAsia="ru-RU"/>
        </w:rPr>
        <w:t>ru</w:t>
      </w:r>
      <w:r w:rsidRPr="005E1201">
        <w:rPr>
          <w:rFonts w:ascii="Times New Roman" w:hAnsi="Times New Roman" w:cs="Times New Roman"/>
          <w:sz w:val="24"/>
          <w:szCs w:val="40"/>
          <w:lang w:eastAsia="ru-RU"/>
        </w:rPr>
        <w:t>; тел.: +79146715424</w:t>
      </w:r>
    </w:p>
    <w:p w:rsidR="005E1201" w:rsidRPr="005E1201" w:rsidRDefault="005E1201" w:rsidP="005E1201">
      <w:pPr>
        <w:pBdr>
          <w:top w:val="none" w:sz="0" w:space="0" w:color="auto"/>
          <w:left w:val="none" w:sz="0" w:space="0" w:color="auto"/>
          <w:bottom w:val="none" w:sz="0" w:space="0" w:color="auto"/>
          <w:right w:val="none" w:sz="0" w:space="0" w:color="auto"/>
          <w:between w:val="none" w:sz="0" w:space="0" w:color="auto"/>
        </w:pBdr>
        <w:spacing w:after="0" w:line="240" w:lineRule="auto"/>
        <w:ind w:firstLine="851"/>
        <w:jc w:val="center"/>
        <w:rPr>
          <w:rFonts w:ascii="Times New Roman" w:hAnsi="Times New Roman" w:cs="Times New Roman"/>
          <w:sz w:val="24"/>
          <w:szCs w:val="40"/>
          <w:lang w:eastAsia="ru-RU"/>
        </w:rPr>
      </w:pPr>
      <w:r w:rsidRPr="005E1201">
        <w:rPr>
          <w:rFonts w:ascii="Times New Roman" w:hAnsi="Times New Roman" w:cs="Times New Roman"/>
          <w:sz w:val="24"/>
          <w:szCs w:val="40"/>
          <w:lang w:eastAsia="ru-RU"/>
        </w:rPr>
        <w:t>ул. Гоголя, 41, г. Владивосток, Приморский край, Россия,690014</w:t>
      </w:r>
    </w:p>
    <w:p w:rsidR="005E1201" w:rsidRPr="005E1201" w:rsidRDefault="005E1201" w:rsidP="005E1201">
      <w:pPr>
        <w:pBdr>
          <w:top w:val="none" w:sz="0" w:space="0" w:color="auto"/>
          <w:left w:val="none" w:sz="0" w:space="0" w:color="auto"/>
          <w:bottom w:val="none" w:sz="0" w:space="0" w:color="auto"/>
          <w:right w:val="none" w:sz="0" w:space="0" w:color="auto"/>
          <w:between w:val="none" w:sz="0" w:space="0" w:color="auto"/>
        </w:pBdr>
        <w:spacing w:after="0" w:line="240" w:lineRule="auto"/>
        <w:ind w:firstLine="851"/>
        <w:jc w:val="both"/>
        <w:rPr>
          <w:rFonts w:ascii="Times New Roman" w:hAnsi="Times New Roman" w:cs="Times New Roman"/>
          <w:b/>
          <w:sz w:val="24"/>
          <w:szCs w:val="40"/>
          <w:lang w:eastAsia="ru-RU"/>
        </w:rPr>
      </w:pPr>
    </w:p>
    <w:p w:rsidR="005E1201" w:rsidRPr="005E1201" w:rsidRDefault="005E1201" w:rsidP="005E1201">
      <w:pPr>
        <w:pBdr>
          <w:top w:val="none" w:sz="0" w:space="0" w:color="auto"/>
          <w:left w:val="none" w:sz="0" w:space="0" w:color="auto"/>
          <w:bottom w:val="none" w:sz="0" w:space="0" w:color="auto"/>
          <w:right w:val="none" w:sz="0" w:space="0" w:color="auto"/>
          <w:between w:val="none" w:sz="0" w:space="0" w:color="auto"/>
        </w:pBdr>
        <w:spacing w:after="0" w:line="240" w:lineRule="auto"/>
        <w:ind w:firstLine="851"/>
        <w:jc w:val="both"/>
        <w:rPr>
          <w:rFonts w:ascii="Times New Roman" w:hAnsi="Times New Roman" w:cs="Times New Roman"/>
          <w:b/>
          <w:sz w:val="24"/>
          <w:szCs w:val="40"/>
          <w:lang w:eastAsia="ru-RU"/>
        </w:rPr>
      </w:pPr>
    </w:p>
    <w:p w:rsidR="005E1201" w:rsidRPr="005E1201" w:rsidRDefault="005E1201" w:rsidP="005E1201">
      <w:pPr>
        <w:pBdr>
          <w:top w:val="none" w:sz="0" w:space="0" w:color="auto"/>
          <w:left w:val="none" w:sz="0" w:space="0" w:color="auto"/>
          <w:bottom w:val="none" w:sz="0" w:space="0" w:color="auto"/>
          <w:right w:val="none" w:sz="0" w:space="0" w:color="auto"/>
          <w:between w:val="none" w:sz="0" w:space="0" w:color="auto"/>
        </w:pBdr>
        <w:spacing w:before="240" w:after="240" w:line="360" w:lineRule="auto"/>
        <w:ind w:firstLine="851"/>
        <w:jc w:val="both"/>
        <w:rPr>
          <w:rFonts w:ascii="Times New Roman" w:hAnsi="Times New Roman" w:cs="Times New Roman"/>
          <w:i/>
          <w:sz w:val="24"/>
          <w:szCs w:val="40"/>
          <w:lang w:eastAsia="ru-RU"/>
        </w:rPr>
      </w:pPr>
      <w:r w:rsidRPr="005E1201">
        <w:rPr>
          <w:rFonts w:ascii="Times New Roman" w:hAnsi="Times New Roman" w:cs="Times New Roman"/>
          <w:i/>
          <w:sz w:val="24"/>
          <w:szCs w:val="40"/>
          <w:lang w:eastAsia="ru-RU"/>
        </w:rPr>
        <w:t xml:space="preserve">В настоящее время множество российских ВУЗов сотрудничают с зарубежными учебными заведениями, обмениваются опытом и проводят различные программы для студентов, отправляя их учиться за границу. В особенности актуально взаимодействие с ВУЗами КНР, поэтому очень важно выявить особенности услуг образования в КНР с целью лучшего взаимодействия и повышения эффективности образовательных программ, связанных с обучением в Китае. </w:t>
      </w:r>
    </w:p>
    <w:p w:rsidR="005E1201" w:rsidRPr="005E1201" w:rsidRDefault="005E1201" w:rsidP="005E1201">
      <w:pPr>
        <w:pBdr>
          <w:top w:val="none" w:sz="0" w:space="0" w:color="auto"/>
          <w:left w:val="none" w:sz="0" w:space="0" w:color="auto"/>
          <w:bottom w:val="none" w:sz="0" w:space="0" w:color="auto"/>
          <w:right w:val="none" w:sz="0" w:space="0" w:color="auto"/>
          <w:between w:val="none" w:sz="0" w:space="0" w:color="auto"/>
        </w:pBdr>
        <w:spacing w:before="240" w:after="240" w:line="360" w:lineRule="auto"/>
        <w:ind w:firstLine="851"/>
        <w:jc w:val="both"/>
        <w:rPr>
          <w:rFonts w:ascii="Times New Roman" w:hAnsi="Times New Roman" w:cs="Times New Roman"/>
          <w:i/>
          <w:sz w:val="24"/>
          <w:szCs w:val="40"/>
          <w:lang w:eastAsia="ru-RU"/>
        </w:rPr>
      </w:pPr>
      <w:r w:rsidRPr="005E1201">
        <w:rPr>
          <w:rFonts w:ascii="Times New Roman" w:hAnsi="Times New Roman" w:cs="Times New Roman"/>
          <w:b/>
          <w:i/>
          <w:sz w:val="24"/>
          <w:szCs w:val="40"/>
          <w:lang w:eastAsia="ru-RU"/>
        </w:rPr>
        <w:t xml:space="preserve">Ключевые слова и словосочетания: </w:t>
      </w:r>
      <w:r w:rsidRPr="005E1201">
        <w:rPr>
          <w:rFonts w:ascii="Times New Roman" w:hAnsi="Times New Roman" w:cs="Times New Roman"/>
          <w:i/>
          <w:sz w:val="24"/>
          <w:szCs w:val="40"/>
          <w:lang w:eastAsia="ru-RU"/>
        </w:rPr>
        <w:t>образование, обучение за границей, образовательные услуги в КНР, сотрудничество российских и китайских учебных заведений.</w:t>
      </w:r>
    </w:p>
    <w:p w:rsidR="005E1201" w:rsidRPr="005E1201" w:rsidRDefault="005E1201" w:rsidP="005E1201">
      <w:pPr>
        <w:pBdr>
          <w:top w:val="none" w:sz="0" w:space="0" w:color="auto"/>
          <w:left w:val="none" w:sz="0" w:space="0" w:color="auto"/>
          <w:bottom w:val="none" w:sz="0" w:space="0" w:color="auto"/>
          <w:right w:val="none" w:sz="0" w:space="0" w:color="auto"/>
          <w:between w:val="none" w:sz="0" w:space="0" w:color="auto"/>
        </w:pBdr>
        <w:spacing w:before="240" w:after="240" w:line="240" w:lineRule="auto"/>
        <w:ind w:firstLine="851"/>
        <w:jc w:val="center"/>
        <w:rPr>
          <w:rFonts w:ascii="Times New Roman" w:hAnsi="Times New Roman" w:cs="Times New Roman"/>
          <w:b/>
          <w:sz w:val="24"/>
          <w:szCs w:val="40"/>
          <w:lang w:val="en-US" w:eastAsia="ru-RU"/>
        </w:rPr>
      </w:pPr>
      <w:r w:rsidRPr="005E1201">
        <w:rPr>
          <w:rFonts w:ascii="Times New Roman" w:hAnsi="Times New Roman" w:cs="Times New Roman"/>
          <w:b/>
          <w:sz w:val="24"/>
          <w:szCs w:val="40"/>
          <w:lang w:val="en-US" w:eastAsia="ru-RU"/>
        </w:rPr>
        <w:t>Analysis of educational system in China</w:t>
      </w:r>
    </w:p>
    <w:p w:rsidR="005E1201" w:rsidRPr="005E1201" w:rsidRDefault="005E1201" w:rsidP="005E1201">
      <w:pPr>
        <w:pBdr>
          <w:top w:val="none" w:sz="0" w:space="0" w:color="auto"/>
          <w:left w:val="none" w:sz="0" w:space="0" w:color="auto"/>
          <w:bottom w:val="none" w:sz="0" w:space="0" w:color="auto"/>
          <w:right w:val="none" w:sz="0" w:space="0" w:color="auto"/>
          <w:between w:val="none" w:sz="0" w:space="0" w:color="auto"/>
        </w:pBdr>
        <w:spacing w:before="240" w:after="240" w:line="360" w:lineRule="auto"/>
        <w:ind w:firstLine="851"/>
        <w:jc w:val="both"/>
        <w:rPr>
          <w:rFonts w:ascii="Times New Roman" w:hAnsi="Times New Roman" w:cs="Times New Roman"/>
          <w:i/>
          <w:sz w:val="24"/>
          <w:szCs w:val="40"/>
          <w:lang w:val="en-US" w:eastAsia="ru-RU"/>
        </w:rPr>
      </w:pPr>
      <w:r w:rsidRPr="005E1201">
        <w:rPr>
          <w:rFonts w:ascii="Times New Roman" w:hAnsi="Times New Roman" w:cs="Times New Roman"/>
          <w:i/>
          <w:sz w:val="24"/>
          <w:szCs w:val="40"/>
          <w:lang w:val="en-US" w:eastAsia="ru-RU"/>
        </w:rPr>
        <w:t>In present times a lot of Russian universities cooperate with foreign schools, exchange experience and arrange different educational programs, connected with studying abroad. Especially topical theme is interaction with universities of China, that is why it is very important to identify features of Chinese education with the purpose of better communication and higher effectiveness of educational programs associated with China.</w:t>
      </w:r>
    </w:p>
    <w:p w:rsidR="005E1201" w:rsidRPr="005E1201" w:rsidRDefault="005E1201" w:rsidP="005E1201">
      <w:pPr>
        <w:pBdr>
          <w:top w:val="none" w:sz="0" w:space="0" w:color="auto"/>
          <w:left w:val="none" w:sz="0" w:space="0" w:color="auto"/>
          <w:bottom w:val="none" w:sz="0" w:space="0" w:color="auto"/>
          <w:right w:val="none" w:sz="0" w:space="0" w:color="auto"/>
          <w:between w:val="none" w:sz="0" w:space="0" w:color="auto"/>
        </w:pBdr>
        <w:spacing w:before="240" w:after="240" w:line="360" w:lineRule="auto"/>
        <w:ind w:firstLine="851"/>
        <w:jc w:val="both"/>
        <w:rPr>
          <w:rFonts w:ascii="Times New Roman" w:hAnsi="Times New Roman" w:cs="Times New Roman"/>
          <w:i/>
          <w:sz w:val="24"/>
          <w:szCs w:val="40"/>
          <w:lang w:val="en-US" w:eastAsia="ru-RU"/>
        </w:rPr>
      </w:pPr>
      <w:r w:rsidRPr="005E1201">
        <w:rPr>
          <w:rFonts w:ascii="Times New Roman" w:hAnsi="Times New Roman" w:cs="Times New Roman"/>
          <w:b/>
          <w:i/>
          <w:sz w:val="24"/>
          <w:szCs w:val="40"/>
          <w:lang w:val="en-US" w:eastAsia="ru-RU"/>
        </w:rPr>
        <w:t xml:space="preserve">Keywords: </w:t>
      </w:r>
      <w:r w:rsidRPr="005E1201">
        <w:rPr>
          <w:rFonts w:ascii="Times New Roman" w:hAnsi="Times New Roman" w:cs="Times New Roman"/>
          <w:i/>
          <w:sz w:val="24"/>
          <w:szCs w:val="40"/>
          <w:lang w:val="en-US" w:eastAsia="ru-RU"/>
        </w:rPr>
        <w:t>education, studying abroad, educational services in China, cooperation of Russian and Chinese schools.</w:t>
      </w:r>
    </w:p>
    <w:p w:rsidR="005E1201" w:rsidRPr="005E1201" w:rsidRDefault="005E1201" w:rsidP="005E1201">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after="0" w:line="360" w:lineRule="auto"/>
        <w:ind w:firstLine="851"/>
        <w:jc w:val="both"/>
        <w:rPr>
          <w:rFonts w:ascii="Times New Roman" w:eastAsia="SimSun" w:hAnsi="Times New Roman" w:cs="Times New Roman"/>
          <w:sz w:val="24"/>
          <w:szCs w:val="24"/>
          <w:lang w:eastAsia="zh-CN"/>
        </w:rPr>
      </w:pPr>
      <w:r w:rsidRPr="005E1201">
        <w:rPr>
          <w:rFonts w:ascii="Times New Roman" w:eastAsia="SimSun" w:hAnsi="Times New Roman" w:cs="Times New Roman"/>
          <w:sz w:val="24"/>
          <w:szCs w:val="24"/>
          <w:lang w:eastAsia="zh-CN"/>
        </w:rPr>
        <w:t xml:space="preserve">В Китае образованный человек в Древнее и Средневековое время действительно мог иметь высокий уровень жизни и занимать высокое положение в общественной иерархии независимо от материального положения, достаточно иметь обширные знания. С течением времени значение образования в Китае только возросло, стремление к знанием стало отличительной особенностью китайского народа. Развитие сферы образования и распространения в массы не только позволило Китаю достичь столь высокого уровня цивилизации, но и значительно повлияло на развитие всей мировой цивилизации. Именно благодаря Китаю мир получил такие изобретения как бумага, компас, порох, шелк и многие другие. </w:t>
      </w:r>
    </w:p>
    <w:p w:rsidR="005E1201" w:rsidRPr="005E1201" w:rsidRDefault="005E1201" w:rsidP="005E1201">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after="0" w:line="360" w:lineRule="auto"/>
        <w:ind w:firstLine="851"/>
        <w:jc w:val="both"/>
        <w:rPr>
          <w:rFonts w:ascii="Times New Roman" w:eastAsia="SimSun" w:hAnsi="Times New Roman" w:cs="Times New Roman"/>
          <w:sz w:val="24"/>
          <w:szCs w:val="24"/>
          <w:lang w:eastAsia="zh-CN"/>
        </w:rPr>
      </w:pPr>
      <w:r w:rsidRPr="005E1201">
        <w:rPr>
          <w:rFonts w:ascii="Times New Roman" w:eastAsia="SimSun" w:hAnsi="Times New Roman" w:cs="Times New Roman"/>
          <w:sz w:val="24"/>
          <w:szCs w:val="24"/>
          <w:lang w:eastAsia="zh-CN"/>
        </w:rPr>
        <w:t>В Китае, с целью соответствия мировому уровню развития науки, техники и технологии, а также для поддержания социального и экономического развития страны в 1993 году был принят закон "О развитии науки и техники", который на законодательном уровне утвердил курс на процветание и развитие. В последующем в 1995 году была применена стратегия "развития науки и образования". Главным образом, стратегия основывается на выдвижении науки и образования в качестве фундамента социально-экономического развития государства. С того момента наука стала развиваться как мощная сфера, с помощью которой можно легко не только достичь уровня передовых государств, но и смело с ними конкурировать. Так, был сделан упор на качественное всестороннее образование, охватывающее не только теоретические знания, но и подкрепленное практическими аспектами, а также развитие творческих способностей. [1]</w:t>
      </w:r>
    </w:p>
    <w:p w:rsidR="005E1201" w:rsidRPr="005E1201" w:rsidRDefault="005E1201" w:rsidP="005E1201">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after="0" w:line="360" w:lineRule="auto"/>
        <w:ind w:firstLine="851"/>
        <w:jc w:val="both"/>
        <w:rPr>
          <w:rFonts w:ascii="Times New Roman" w:eastAsia="SimSun" w:hAnsi="Times New Roman" w:cs="Times New Roman"/>
          <w:sz w:val="24"/>
          <w:szCs w:val="24"/>
          <w:lang w:eastAsia="zh-CN"/>
        </w:rPr>
      </w:pPr>
      <w:r w:rsidRPr="005E1201">
        <w:rPr>
          <w:rFonts w:ascii="Times New Roman" w:eastAsia="SimSun" w:hAnsi="Times New Roman" w:cs="Times New Roman"/>
          <w:sz w:val="24"/>
          <w:szCs w:val="24"/>
          <w:lang w:eastAsia="zh-CN"/>
        </w:rPr>
        <w:t>Продолжая стратегию развития науки и образования в стране, в 1998 году на третьей сессии съезда ВСНП 8 созыва был принят закон "Об образовании", влияние которого было направлено на улучшение уровня жизни населения, достижение социального, материального и духовного прогресса. Закон гласит, что образование - не только право каждого гражданина КНР, но и обязанность. Выдвигается структура базовой системы образования, в которую входит дошкольное, начальное, среднее и высшее образование; вводится обязательное девятилетнее обучение с ударением на то, что государство гарантирует доступ к образованию всем детям школьного возраста и подросткам. Также упоминается об активном стимулировании зарубежного обмена и сотрудничества с различными иностранными учебными учреждениями с целью учебы, проведения исследований, академического обмена.</w:t>
      </w:r>
    </w:p>
    <w:p w:rsidR="005E1201" w:rsidRPr="005E1201" w:rsidRDefault="005E1201" w:rsidP="005E1201">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after="0" w:line="360" w:lineRule="auto"/>
        <w:ind w:firstLine="851"/>
        <w:jc w:val="both"/>
        <w:rPr>
          <w:rFonts w:ascii="Times New Roman" w:eastAsia="SimSun" w:hAnsi="Times New Roman" w:cs="Times New Roman"/>
          <w:sz w:val="24"/>
          <w:szCs w:val="24"/>
          <w:lang w:eastAsia="zh-CN"/>
        </w:rPr>
      </w:pPr>
      <w:r w:rsidRPr="005E1201">
        <w:rPr>
          <w:rFonts w:ascii="Times New Roman" w:eastAsia="SimSun" w:hAnsi="Times New Roman" w:cs="Times New Roman"/>
          <w:sz w:val="24"/>
          <w:szCs w:val="24"/>
          <w:lang w:eastAsia="zh-CN"/>
        </w:rPr>
        <w:t>Закон утверждает, что управление сферой высшего образования находится в руках Госсовета и подлежащих ему ведомств, причем сейчас около 2100 высших учебных заведений Китая признаны ведомственными, остальные же 100 в компетенции министерства образования. Выдвигается три ступени высшего образования: специальные учебные курсы продолжительностью 2-3 года, бакалавриат и магистратура. [2]</w:t>
      </w:r>
    </w:p>
    <w:p w:rsidR="005E1201" w:rsidRPr="005E1201" w:rsidRDefault="005E1201" w:rsidP="005E1201">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after="0" w:line="360" w:lineRule="auto"/>
        <w:ind w:firstLine="851"/>
        <w:jc w:val="both"/>
        <w:rPr>
          <w:rFonts w:ascii="Times New Roman" w:eastAsia="SimSun" w:hAnsi="Times New Roman" w:cs="Times New Roman"/>
          <w:sz w:val="24"/>
          <w:szCs w:val="24"/>
          <w:lang w:eastAsia="zh-CN"/>
        </w:rPr>
      </w:pPr>
      <w:r w:rsidRPr="005E1201">
        <w:rPr>
          <w:rFonts w:ascii="Times New Roman" w:eastAsia="SimSun" w:hAnsi="Times New Roman" w:cs="Times New Roman"/>
          <w:sz w:val="24"/>
          <w:szCs w:val="24"/>
          <w:lang w:eastAsia="zh-CN"/>
        </w:rPr>
        <w:t>Главной особенностью образования в Китае считается возможность его получения на бесплатной основе на всех его уровнях.</w:t>
      </w:r>
    </w:p>
    <w:p w:rsidR="005E1201" w:rsidRPr="005E1201" w:rsidRDefault="005E1201" w:rsidP="005E1201">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after="0" w:line="360" w:lineRule="auto"/>
        <w:ind w:firstLine="851"/>
        <w:jc w:val="both"/>
        <w:rPr>
          <w:rFonts w:ascii="Times New Roman" w:eastAsia="SimSun" w:hAnsi="Times New Roman" w:cs="Times New Roman"/>
          <w:sz w:val="24"/>
          <w:szCs w:val="24"/>
          <w:lang w:eastAsia="zh-CN"/>
        </w:rPr>
      </w:pPr>
      <w:r w:rsidRPr="005E1201">
        <w:rPr>
          <w:rFonts w:ascii="Times New Roman" w:eastAsia="SimSun" w:hAnsi="Times New Roman" w:cs="Times New Roman"/>
          <w:sz w:val="24"/>
          <w:szCs w:val="24"/>
          <w:lang w:eastAsia="zh-CN"/>
        </w:rPr>
        <w:t>Когда речь заходит о высшем образовании, китайские университеты принято считать одними из лучших в Азиатском регионе, располагающими огромными площадками для проведения различных научных исследований, лабораториями, библиотеками. Для того, чтобы поступить в высшее учебное заведение, все школьники обязаны сдать единый государственный экзамен, называемый "Гаокао" (</w:t>
      </w:r>
      <w:r w:rsidRPr="005E1201">
        <w:rPr>
          <w:rFonts w:ascii="Times New Roman" w:eastAsia="SimSun" w:hAnsi="Times New Roman" w:cs="Times New Roman" w:hint="eastAsia"/>
          <w:sz w:val="24"/>
          <w:szCs w:val="24"/>
          <w:lang w:val="en-US" w:eastAsia="zh-CN"/>
        </w:rPr>
        <w:t>高考</w:t>
      </w:r>
      <w:r w:rsidRPr="005E1201">
        <w:rPr>
          <w:rFonts w:ascii="Times New Roman" w:eastAsia="SimSun" w:hAnsi="Times New Roman" w:cs="Times New Roman" w:hint="eastAsia"/>
          <w:sz w:val="24"/>
          <w:szCs w:val="24"/>
          <w:lang w:eastAsia="zh-CN"/>
        </w:rPr>
        <w:t>）</w:t>
      </w:r>
      <w:r w:rsidRPr="005E1201">
        <w:rPr>
          <w:rFonts w:ascii="Times New Roman" w:eastAsia="SimSun" w:hAnsi="Times New Roman" w:cs="Times New Roman"/>
          <w:sz w:val="24"/>
          <w:szCs w:val="24"/>
          <w:lang w:eastAsia="zh-CN"/>
        </w:rPr>
        <w:t>. В период сдачи экзамена на школьников возлагается колоссальное давление, так как это шанс поступить в престижный вуз, который занимает высокое положение в системе вузов не только страны, но и мира в целом. Давление настолько сильное, что в китайском языке есть выражение "черный июнь" (</w:t>
      </w:r>
      <w:r w:rsidRPr="005E1201">
        <w:rPr>
          <w:rFonts w:ascii="Times New Roman" w:eastAsia="SimSun" w:hAnsi="Times New Roman" w:cs="Times New Roman" w:hint="eastAsia"/>
          <w:sz w:val="24"/>
          <w:szCs w:val="24"/>
          <w:lang w:val="en-US" w:eastAsia="zh-CN"/>
        </w:rPr>
        <w:t>黑色的六月</w:t>
      </w:r>
      <w:r w:rsidRPr="005E1201">
        <w:rPr>
          <w:rFonts w:ascii="Times New Roman" w:eastAsia="SimSun" w:hAnsi="Times New Roman" w:cs="Times New Roman"/>
          <w:sz w:val="24"/>
          <w:szCs w:val="24"/>
          <w:lang w:eastAsia="zh-CN"/>
        </w:rPr>
        <w:t>), именно в этот период времени проводится экзамен, результаты которого определят судьбу выпускника школы не на пару тройку предстоящих лет, а на всю жизнь. Экзамен проверяет не только знания, но и физическую, психологическую устойчивость учеников. Зачастую конкурс в определенный вуз составляет сто абитуриентов на одно место и если не удалось поступить с первого раза, то абитуриент будет продолжать и продолжать попытки, не рассматривая вуз уровнем выше. Поэтому очень много людей, которые предпочитают пересдать Гаокао с целью получить баллы выше и поступить в желанный университет, в следствие чего, конкуренция на экзамене становится все сильнее и сильнее с каждым годом. В период сдачи Гаокао значительно возрастает число обращений в различные медучреждения с жалобами на повышенную нервозность, нарушения сня и нервного истощения. Доходит даже до того, что учащаются случаи самоубийств по причине неудачно сданных экзаменов. В Китае эта проблема с каждым годом все серьезнее. [3]</w:t>
      </w:r>
    </w:p>
    <w:p w:rsidR="005E1201" w:rsidRPr="005E1201" w:rsidRDefault="005E1201" w:rsidP="005E1201">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after="0" w:line="360" w:lineRule="auto"/>
        <w:ind w:firstLine="851"/>
        <w:jc w:val="both"/>
        <w:rPr>
          <w:rFonts w:ascii="Times New Roman" w:hAnsi="Times New Roman" w:cs="Times New Roman"/>
          <w:spacing w:val="-8"/>
          <w:sz w:val="24"/>
          <w:szCs w:val="24"/>
        </w:rPr>
      </w:pPr>
      <w:r w:rsidRPr="005E1201">
        <w:rPr>
          <w:rFonts w:ascii="Times New Roman" w:hAnsi="Times New Roman" w:cs="Times New Roman"/>
          <w:spacing w:val="-8"/>
          <w:sz w:val="24"/>
          <w:szCs w:val="24"/>
        </w:rPr>
        <w:t>В основном, в Китае преобладают государственные вузы, принимающие студентов на основе Гаокао. Обучение платное, но цена сравнительно не высока. Конечно, абитуриенты из сел и деревень зачастую не могут позволить себе оплачивать обучение. В таких случаях предусматривается возможность взять кредит, если после обучения молодой специалист готов вернуться обратно в село, то возвращать кредит ему не придется. Однако если он не захочет, то долг придется вернуть в полном размере. Также предусматривается льготная система, а также различные стипендии и прочие выплаты. [4]</w:t>
      </w:r>
    </w:p>
    <w:p w:rsidR="005E1201" w:rsidRPr="005E1201" w:rsidRDefault="005E1201" w:rsidP="005E1201">
      <w:pPr>
        <w:pBdr>
          <w:top w:val="none" w:sz="0" w:space="0" w:color="auto"/>
          <w:left w:val="none" w:sz="0" w:space="0" w:color="auto"/>
          <w:bottom w:val="none" w:sz="0" w:space="0" w:color="auto"/>
          <w:right w:val="none" w:sz="0" w:space="0" w:color="auto"/>
          <w:between w:val="none" w:sz="0" w:space="0" w:color="auto"/>
        </w:pBdr>
        <w:tabs>
          <w:tab w:val="left" w:pos="709"/>
        </w:tabs>
        <w:spacing w:after="0" w:line="360" w:lineRule="auto"/>
        <w:ind w:firstLine="851"/>
        <w:jc w:val="both"/>
        <w:rPr>
          <w:rFonts w:ascii="Times New Roman" w:eastAsia="SimSun" w:hAnsi="Times New Roman" w:cs="Times New Roman"/>
          <w:sz w:val="24"/>
          <w:szCs w:val="24"/>
          <w:lang w:val="kk-KZ" w:eastAsia="ru-RU"/>
        </w:rPr>
      </w:pPr>
      <w:r w:rsidRPr="005E1201">
        <w:rPr>
          <w:rFonts w:ascii="Times New Roman" w:eastAsia="SimSun" w:hAnsi="Times New Roman" w:cs="Times New Roman"/>
          <w:sz w:val="24"/>
          <w:szCs w:val="24"/>
          <w:lang w:val="kk-KZ" w:eastAsia="ru-RU"/>
        </w:rPr>
        <w:t xml:space="preserve">Обратив внимание на уровень грамотности населения КНР, можно отметить, что усилия правительства по развитию науки и образования привели к впечатляющим результатам: еще в 1982 году уровень грамотности составлял 65,5%, в 2000 году 90,9%, а в 2015 уже 96,4%. В других же азиатских странах этот уровень значительно ниже, к примеру, в Индии уровень грамотности сотсавляет всего 72%, 56% в Пакистане, 61% в Бангладеш.  Еще лучше у КНР другой важный индикатор – доля неграмотных женщин в возрастной группе 15-24 года. Он показывает эффективность борьбы с неграмотностью за последние двадцать лет и косвенно свидетельствует о положении женщин в семье и обществе. В Китае указанный показатель составляет всего 4%. Этот же индикатор достигает 44% в Индии, 63% в Бангладеш, 61% в Пакистане, 10% в Иране, 8% в Турции, 4% в Индонезии. </w:t>
      </w:r>
    </w:p>
    <w:p w:rsidR="005E1201" w:rsidRPr="005E1201" w:rsidRDefault="005E1201" w:rsidP="005E1201">
      <w:pPr>
        <w:pBdr>
          <w:top w:val="none" w:sz="0" w:space="0" w:color="auto"/>
          <w:left w:val="none" w:sz="0" w:space="0" w:color="auto"/>
          <w:bottom w:val="none" w:sz="0" w:space="0" w:color="auto"/>
          <w:right w:val="none" w:sz="0" w:space="0" w:color="auto"/>
          <w:between w:val="none" w:sz="0" w:space="0" w:color="auto"/>
        </w:pBdr>
        <w:tabs>
          <w:tab w:val="left" w:pos="709"/>
        </w:tabs>
        <w:spacing w:after="0" w:line="360" w:lineRule="auto"/>
        <w:ind w:firstLine="851"/>
        <w:jc w:val="both"/>
        <w:rPr>
          <w:rFonts w:ascii="Times New Roman" w:eastAsia="SimSun" w:hAnsi="Times New Roman" w:cs="Times New Roman"/>
          <w:sz w:val="24"/>
          <w:szCs w:val="24"/>
          <w:lang w:val="en-US" w:eastAsia="ru-RU"/>
        </w:rPr>
      </w:pPr>
      <w:r w:rsidRPr="005E1201">
        <w:rPr>
          <w:rFonts w:ascii="Times New Roman" w:eastAsia="SimSun" w:hAnsi="Times New Roman" w:cs="Times New Roman"/>
          <w:sz w:val="24"/>
          <w:szCs w:val="24"/>
          <w:lang w:val="kk-KZ" w:eastAsia="ru-RU"/>
        </w:rPr>
        <w:t>В настоящее время в вухах КНР обучается примерно 20 млн. студентов, всего насчитывается около 1000 вузов. За последние двадцать лет ученые степени в стране получили свыше 300 000 кандидатов и 20 000 докторов наук. Подготовку диссертаций ведут в настоящее время 160 000 аспирантов. За годы реформ 280 000 китайских студентов были посланы за рубеж, свыше 100 000 уже вернулись на родину. В некоторых регионах США и Австралии местные жители уже шутят, что университет – это место, где русские преподаватели учат китайских студентов. Находясь за рубежом, китайские студенты неизменно привлекают внимание своей прилежностью и сравнительно высокой базовой подготовкой по таким предметам, как математика, физика, биология. Обращает на себя внимание исключительно широкая география зарубежного обучения: в настоящее время студентов из КНР принимают свыше 100 стран. В свою очередь, Китай активно привлекает иностранных студентов пройти обучение в своих вузах и дать своим выпускникам такое образование, которое позволит им быть конкурентоспособными на рынке труда.</w:t>
      </w:r>
      <w:r w:rsidRPr="005E1201">
        <w:rPr>
          <w:rFonts w:ascii="Times New Roman" w:eastAsia="SimSun" w:hAnsi="Times New Roman" w:cs="Times New Roman"/>
          <w:sz w:val="24"/>
          <w:szCs w:val="24"/>
          <w:lang w:eastAsia="ru-RU"/>
        </w:rPr>
        <w:t xml:space="preserve"> [</w:t>
      </w:r>
      <w:r w:rsidRPr="005E1201">
        <w:rPr>
          <w:rFonts w:ascii="Times New Roman" w:eastAsia="SimSun" w:hAnsi="Times New Roman" w:cs="Times New Roman"/>
          <w:sz w:val="24"/>
          <w:szCs w:val="24"/>
          <w:lang w:val="en-US" w:eastAsia="ru-RU"/>
        </w:rPr>
        <w:t>5]</w:t>
      </w:r>
    </w:p>
    <w:p w:rsidR="005E1201" w:rsidRPr="005E1201" w:rsidRDefault="005E1201" w:rsidP="005E1201">
      <w:pPr>
        <w:pBdr>
          <w:top w:val="none" w:sz="0" w:space="0" w:color="auto"/>
          <w:left w:val="none" w:sz="0" w:space="0" w:color="auto"/>
          <w:bottom w:val="single" w:sz="6" w:space="1" w:color="auto"/>
          <w:right w:val="none" w:sz="0" w:space="0" w:color="auto"/>
          <w:between w:val="none" w:sz="0" w:space="0" w:color="auto"/>
        </w:pBdr>
        <w:tabs>
          <w:tab w:val="left" w:pos="709"/>
        </w:tabs>
        <w:spacing w:after="0" w:line="360" w:lineRule="auto"/>
        <w:ind w:firstLine="851"/>
        <w:jc w:val="both"/>
        <w:rPr>
          <w:rFonts w:ascii="Times New Roman" w:eastAsia="SimSun" w:hAnsi="Times New Roman" w:cs="Times New Roman"/>
          <w:sz w:val="24"/>
          <w:szCs w:val="24"/>
          <w:lang w:val="kk-KZ" w:eastAsia="ru-RU"/>
        </w:rPr>
      </w:pPr>
    </w:p>
    <w:p w:rsidR="005E1201" w:rsidRPr="005E1201" w:rsidRDefault="005E1201" w:rsidP="005B1DF7">
      <w:pPr>
        <w:numPr>
          <w:ilvl w:val="0"/>
          <w:numId w:val="109"/>
        </w:numPr>
        <w:pBdr>
          <w:top w:val="none" w:sz="0" w:space="0" w:color="auto"/>
          <w:left w:val="none" w:sz="0" w:space="0" w:color="auto"/>
          <w:bottom w:val="none" w:sz="0" w:space="0" w:color="auto"/>
          <w:right w:val="none" w:sz="0" w:space="0" w:color="auto"/>
          <w:between w:val="none" w:sz="0" w:space="0" w:color="auto"/>
        </w:pBdr>
        <w:spacing w:after="0" w:line="360" w:lineRule="auto"/>
        <w:jc w:val="both"/>
        <w:rPr>
          <w:rFonts w:ascii="Times New Roman" w:eastAsia="SimSun" w:hAnsi="Times New Roman" w:cs="Times New Roman"/>
          <w:color w:val="000000"/>
          <w:sz w:val="24"/>
          <w:szCs w:val="24"/>
          <w:lang w:eastAsia="zh-CN"/>
        </w:rPr>
      </w:pPr>
      <w:r w:rsidRPr="005E1201">
        <w:rPr>
          <w:rFonts w:ascii="Times New Roman" w:eastAsia="SimSun" w:hAnsi="Times New Roman" w:cs="Times New Roman"/>
          <w:color w:val="000000"/>
          <w:sz w:val="24"/>
          <w:szCs w:val="24"/>
          <w:lang w:eastAsia="zh-CN"/>
        </w:rPr>
        <w:t>Петрова И.Е., Котельникова Т.В. Инновации в высшем образовании КНР в условиях интернационализации международного образовательного пространства//Россия и Китай: проблемы стратегического взаимодействия: сборник Восточного центра. 2015. № 16-2. С. 39-44.</w:t>
      </w:r>
    </w:p>
    <w:p w:rsidR="005E1201" w:rsidRPr="005E1201" w:rsidRDefault="005E1201" w:rsidP="005B1DF7">
      <w:pPr>
        <w:widowControl w:val="0"/>
        <w:numPr>
          <w:ilvl w:val="0"/>
          <w:numId w:val="109"/>
        </w:numPr>
        <w:pBdr>
          <w:top w:val="none" w:sz="0" w:space="0" w:color="auto"/>
          <w:left w:val="none" w:sz="0" w:space="0" w:color="auto"/>
          <w:bottom w:val="none" w:sz="0" w:space="0" w:color="auto"/>
          <w:right w:val="none" w:sz="0" w:space="0" w:color="auto"/>
          <w:between w:val="none" w:sz="0" w:space="0" w:color="auto"/>
        </w:pBdr>
        <w:autoSpaceDE w:val="0"/>
        <w:autoSpaceDN w:val="0"/>
        <w:spacing w:after="0" w:line="360" w:lineRule="auto"/>
        <w:jc w:val="both"/>
        <w:rPr>
          <w:rFonts w:ascii="Times New Roman" w:hAnsi="Times New Roman" w:cs="Times New Roman"/>
          <w:sz w:val="24"/>
          <w:szCs w:val="24"/>
        </w:rPr>
      </w:pPr>
      <w:r w:rsidRPr="005E1201">
        <w:rPr>
          <w:rFonts w:ascii="Times New Roman" w:hAnsi="Times New Roman" w:cs="Times New Roman"/>
          <w:color w:val="000000"/>
          <w:sz w:val="24"/>
          <w:szCs w:val="24"/>
        </w:rPr>
        <w:t>Чебаненко Е.Н. Государственное финансирование и политика дифференциации вузов - основа модернизации высшего образования в КНР// Материалы научно-методической конференции Северо-Западного института управления. 2013. № 1. С. 258-262.</w:t>
      </w:r>
    </w:p>
    <w:p w:rsidR="005E1201" w:rsidRPr="005E1201" w:rsidRDefault="005E1201" w:rsidP="005B1DF7">
      <w:pPr>
        <w:widowControl w:val="0"/>
        <w:numPr>
          <w:ilvl w:val="0"/>
          <w:numId w:val="109"/>
        </w:numPr>
        <w:pBdr>
          <w:top w:val="none" w:sz="0" w:space="0" w:color="auto"/>
          <w:left w:val="none" w:sz="0" w:space="0" w:color="auto"/>
          <w:bottom w:val="none" w:sz="0" w:space="0" w:color="auto"/>
          <w:right w:val="none" w:sz="0" w:space="0" w:color="auto"/>
          <w:between w:val="none" w:sz="0" w:space="0" w:color="auto"/>
        </w:pBdr>
        <w:autoSpaceDE w:val="0"/>
        <w:autoSpaceDN w:val="0"/>
        <w:spacing w:after="0" w:line="360" w:lineRule="auto"/>
        <w:jc w:val="both"/>
        <w:rPr>
          <w:rFonts w:ascii="Times New Roman" w:hAnsi="Times New Roman" w:cs="Times New Roman"/>
          <w:color w:val="000000"/>
          <w:sz w:val="24"/>
          <w:szCs w:val="24"/>
        </w:rPr>
      </w:pPr>
      <w:r w:rsidRPr="005E1201">
        <w:rPr>
          <w:rFonts w:ascii="Times New Roman" w:hAnsi="Times New Roman" w:cs="Times New Roman"/>
          <w:color w:val="000000"/>
          <w:sz w:val="24"/>
          <w:szCs w:val="24"/>
        </w:rPr>
        <w:t xml:space="preserve">Раубо К.В. Международные обмены как фактор сотрудничества в сфере высшего образования (на примере КНР)// В книге: Педагогический профессионализм в образовании Сборник научных трудов </w:t>
      </w:r>
      <w:r w:rsidRPr="005E1201">
        <w:rPr>
          <w:rFonts w:ascii="Times New Roman" w:hAnsi="Times New Roman" w:cs="Times New Roman"/>
          <w:color w:val="000000"/>
          <w:sz w:val="24"/>
          <w:szCs w:val="24"/>
          <w:lang w:val="en-US"/>
        </w:rPr>
        <w:t>XI</w:t>
      </w:r>
      <w:r w:rsidRPr="005E1201">
        <w:rPr>
          <w:rFonts w:ascii="Times New Roman" w:hAnsi="Times New Roman" w:cs="Times New Roman"/>
          <w:color w:val="000000"/>
          <w:sz w:val="24"/>
          <w:szCs w:val="24"/>
        </w:rPr>
        <w:t xml:space="preserve"> Международной научно-практической конференции, посвященной 80-летию </w:t>
      </w:r>
      <w:r w:rsidRPr="005E1201">
        <w:rPr>
          <w:rFonts w:ascii="Times New Roman" w:hAnsi="Times New Roman" w:cs="Times New Roman"/>
          <w:color w:val="000000"/>
          <w:sz w:val="24"/>
          <w:szCs w:val="24"/>
          <w:lang w:val="en-US"/>
        </w:rPr>
        <w:t>НГПУ. ФГБОУ ВПО «Новосибирский государственный педагогический университет». 2015. С. 229-236.</w:t>
      </w:r>
    </w:p>
    <w:p w:rsidR="005E1201" w:rsidRPr="005E1201" w:rsidRDefault="005E1201" w:rsidP="005B1DF7">
      <w:pPr>
        <w:widowControl w:val="0"/>
        <w:numPr>
          <w:ilvl w:val="0"/>
          <w:numId w:val="109"/>
        </w:numPr>
        <w:pBdr>
          <w:top w:val="none" w:sz="0" w:space="0" w:color="auto"/>
          <w:left w:val="none" w:sz="0" w:space="0" w:color="auto"/>
          <w:bottom w:val="none" w:sz="0" w:space="0" w:color="auto"/>
          <w:right w:val="none" w:sz="0" w:space="0" w:color="auto"/>
          <w:between w:val="none" w:sz="0" w:space="0" w:color="auto"/>
        </w:pBdr>
        <w:autoSpaceDE w:val="0"/>
        <w:autoSpaceDN w:val="0"/>
        <w:spacing w:after="0" w:line="360" w:lineRule="auto"/>
        <w:jc w:val="both"/>
        <w:rPr>
          <w:rFonts w:ascii="Times New Roman" w:hAnsi="Times New Roman" w:cs="Times New Roman"/>
          <w:sz w:val="24"/>
          <w:szCs w:val="24"/>
        </w:rPr>
      </w:pPr>
      <w:r w:rsidRPr="005E1201">
        <w:rPr>
          <w:rFonts w:ascii="Times New Roman" w:hAnsi="Times New Roman" w:cs="Times New Roman"/>
          <w:color w:val="000000"/>
          <w:sz w:val="24"/>
          <w:szCs w:val="24"/>
        </w:rPr>
        <w:t>Помелова Ю.П. Высшее образование для национальных меньшинств в КНР// Вестник Мининского университета. 2014. № 1 (5). С. 20.</w:t>
      </w:r>
    </w:p>
    <w:p w:rsidR="005E1201" w:rsidRPr="005E1201" w:rsidRDefault="005E1201" w:rsidP="005B1DF7">
      <w:pPr>
        <w:widowControl w:val="0"/>
        <w:numPr>
          <w:ilvl w:val="0"/>
          <w:numId w:val="109"/>
        </w:numPr>
        <w:pBdr>
          <w:top w:val="none" w:sz="0" w:space="0" w:color="auto"/>
          <w:left w:val="none" w:sz="0" w:space="0" w:color="auto"/>
          <w:bottom w:val="none" w:sz="0" w:space="0" w:color="auto"/>
          <w:right w:val="none" w:sz="0" w:space="0" w:color="auto"/>
          <w:between w:val="none" w:sz="0" w:space="0" w:color="auto"/>
        </w:pBdr>
        <w:autoSpaceDE w:val="0"/>
        <w:autoSpaceDN w:val="0"/>
        <w:spacing w:after="0" w:line="360" w:lineRule="auto"/>
        <w:jc w:val="both"/>
        <w:rPr>
          <w:rFonts w:ascii="Times New Roman" w:hAnsi="Times New Roman" w:cs="Times New Roman"/>
          <w:sz w:val="24"/>
          <w:szCs w:val="24"/>
        </w:rPr>
      </w:pPr>
      <w:r w:rsidRPr="005E1201">
        <w:rPr>
          <w:rFonts w:ascii="Times New Roman" w:eastAsia="SimSun" w:hAnsi="Times New Roman" w:cs="Times New Roman"/>
          <w:color w:val="000000"/>
          <w:sz w:val="24"/>
          <w:szCs w:val="24"/>
          <w:lang w:eastAsia="zh-CN"/>
        </w:rPr>
        <w:t>Кметь Е.Б., Ким А.Г. Управление маркетингом// Учебник. Владивосток Издательство ВГУЭС. 2015.</w:t>
      </w:r>
    </w:p>
    <w:p w:rsidR="005E1201" w:rsidRPr="005E1201" w:rsidRDefault="005E1201" w:rsidP="005E1201">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after="0" w:line="360" w:lineRule="auto"/>
        <w:ind w:left="720"/>
        <w:jc w:val="both"/>
        <w:rPr>
          <w:rFonts w:ascii="Times New Roman" w:hAnsi="Times New Roman" w:cs="Times New Roman"/>
          <w:sz w:val="24"/>
          <w:szCs w:val="24"/>
        </w:rPr>
      </w:pPr>
    </w:p>
    <w:p w:rsidR="005E1201" w:rsidRPr="005E1201" w:rsidRDefault="005E1201" w:rsidP="005E1201">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after="0" w:line="360" w:lineRule="auto"/>
        <w:ind w:left="720"/>
        <w:jc w:val="both"/>
        <w:rPr>
          <w:rFonts w:ascii="Times New Roman" w:hAnsi="Times New Roman" w:cs="Times New Roman"/>
          <w:sz w:val="24"/>
          <w:szCs w:val="24"/>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A17BCD" w:rsidRPr="00DA0B73" w:rsidRDefault="00A17BCD" w:rsidP="00A17BCD">
      <w:pPr>
        <w:rPr>
          <w:rFonts w:ascii="Times New Roman" w:hAnsi="Times New Roman" w:cs="Times New Roman"/>
          <w:color w:val="000000"/>
          <w:sz w:val="20"/>
          <w:szCs w:val="20"/>
        </w:rPr>
      </w:pPr>
      <w:r w:rsidRPr="00DA0B73">
        <w:rPr>
          <w:rFonts w:ascii="Times New Roman" w:hAnsi="Times New Roman" w:cs="Times New Roman"/>
          <w:color w:val="000000"/>
          <w:sz w:val="20"/>
          <w:szCs w:val="20"/>
        </w:rPr>
        <w:t>Рубрика: Международные отношения и приграничное сотрудничество в АТР: опыт, проблемы и перспективы развития</w:t>
      </w:r>
    </w:p>
    <w:p w:rsidR="00A17BCD" w:rsidRPr="00DA0B73" w:rsidRDefault="00A17BCD" w:rsidP="00A17BCD">
      <w:pPr>
        <w:rPr>
          <w:rFonts w:ascii="Times New Roman" w:hAnsi="Times New Roman" w:cs="Times New Roman"/>
          <w:color w:val="000000"/>
          <w:sz w:val="20"/>
          <w:szCs w:val="20"/>
        </w:rPr>
      </w:pPr>
      <w:r w:rsidRPr="00DA0B73">
        <w:rPr>
          <w:rFonts w:ascii="Times New Roman" w:hAnsi="Times New Roman" w:cs="Times New Roman"/>
          <w:color w:val="000000"/>
          <w:sz w:val="20"/>
          <w:szCs w:val="20"/>
        </w:rPr>
        <w:t>УДК: 341.01</w:t>
      </w:r>
    </w:p>
    <w:p w:rsidR="00A17BCD" w:rsidRDefault="00A17BCD" w:rsidP="00A17BCD">
      <w:pPr>
        <w:rPr>
          <w:rFonts w:ascii="Times New Roman" w:hAnsi="Times New Roman" w:cs="Times New Roman"/>
          <w:b/>
          <w:color w:val="000000"/>
          <w:sz w:val="24"/>
          <w:szCs w:val="24"/>
        </w:rPr>
      </w:pPr>
    </w:p>
    <w:p w:rsidR="00A17BCD" w:rsidRDefault="00A17BCD" w:rsidP="00A17BCD">
      <w:pPr>
        <w:spacing w:line="240" w:lineRule="auto"/>
        <w:jc w:val="center"/>
        <w:rPr>
          <w:rFonts w:ascii="Times New Roman" w:hAnsi="Times New Roman" w:cs="Times New Roman"/>
          <w:b/>
          <w:color w:val="000000"/>
          <w:sz w:val="24"/>
          <w:szCs w:val="24"/>
        </w:rPr>
      </w:pPr>
      <w:r w:rsidRPr="00D366BE">
        <w:rPr>
          <w:rFonts w:ascii="Times New Roman" w:hAnsi="Times New Roman" w:cs="Times New Roman"/>
          <w:b/>
          <w:color w:val="000000"/>
          <w:sz w:val="24"/>
          <w:szCs w:val="24"/>
        </w:rPr>
        <w:t>Причина территориальных споров в АТР: неквалифицированные юристы или осознанная политика США</w:t>
      </w:r>
    </w:p>
    <w:p w:rsidR="00A17BCD" w:rsidRDefault="00A17BCD" w:rsidP="00A17BCD">
      <w:pPr>
        <w:spacing w:line="240" w:lineRule="auto"/>
        <w:contextualSpacing/>
        <w:jc w:val="center"/>
        <w:rPr>
          <w:rFonts w:ascii="Times New Roman" w:hAnsi="Times New Roman" w:cs="Times New Roman"/>
          <w:color w:val="000000"/>
          <w:sz w:val="24"/>
          <w:szCs w:val="24"/>
        </w:rPr>
      </w:pPr>
      <w:r w:rsidRPr="00DA0B73">
        <w:rPr>
          <w:rFonts w:ascii="Times New Roman" w:hAnsi="Times New Roman" w:cs="Times New Roman"/>
          <w:color w:val="000000"/>
          <w:sz w:val="24"/>
          <w:szCs w:val="24"/>
        </w:rPr>
        <w:t>Ершов Илья Андреевич</w:t>
      </w:r>
      <w:r>
        <w:rPr>
          <w:rFonts w:ascii="Times New Roman" w:hAnsi="Times New Roman" w:cs="Times New Roman"/>
          <w:color w:val="000000"/>
          <w:sz w:val="24"/>
          <w:szCs w:val="24"/>
        </w:rPr>
        <w:t>,</w:t>
      </w:r>
      <w:r w:rsidRPr="00DA0B73">
        <w:rPr>
          <w:rFonts w:ascii="Times New Roman" w:hAnsi="Times New Roman" w:cs="Times New Roman"/>
          <w:color w:val="000000"/>
          <w:sz w:val="24"/>
          <w:szCs w:val="24"/>
        </w:rPr>
        <w:t xml:space="preserve"> </w:t>
      </w:r>
    </w:p>
    <w:p w:rsidR="00A17BCD" w:rsidRPr="00DA0B73" w:rsidRDefault="00A17BCD" w:rsidP="00A17BCD">
      <w:pPr>
        <w:spacing w:line="240" w:lineRule="auto"/>
        <w:contextualSpacing/>
        <w:jc w:val="center"/>
        <w:rPr>
          <w:rFonts w:ascii="Times New Roman" w:hAnsi="Times New Roman" w:cs="Times New Roman"/>
          <w:color w:val="000000"/>
          <w:sz w:val="24"/>
          <w:szCs w:val="24"/>
        </w:rPr>
      </w:pPr>
      <w:r>
        <w:rPr>
          <w:rFonts w:ascii="Times New Roman" w:hAnsi="Times New Roman" w:cs="Times New Roman"/>
          <w:color w:val="000000"/>
          <w:sz w:val="24"/>
          <w:szCs w:val="24"/>
        </w:rPr>
        <w:t>бакалавр</w:t>
      </w:r>
    </w:p>
    <w:p w:rsidR="00A17BCD" w:rsidRPr="00DA0B73" w:rsidRDefault="00A17BCD" w:rsidP="00A17BCD">
      <w:pPr>
        <w:spacing w:line="240" w:lineRule="auto"/>
        <w:contextualSpacing/>
        <w:jc w:val="center"/>
        <w:rPr>
          <w:rFonts w:ascii="Times New Roman" w:hAnsi="Times New Roman" w:cs="Times New Roman"/>
          <w:i/>
          <w:color w:val="000000"/>
          <w:sz w:val="24"/>
          <w:szCs w:val="24"/>
        </w:rPr>
      </w:pPr>
      <w:r w:rsidRPr="00DA0B73">
        <w:rPr>
          <w:rFonts w:ascii="Times New Roman" w:hAnsi="Times New Roman" w:cs="Times New Roman"/>
          <w:i/>
          <w:color w:val="000000"/>
          <w:sz w:val="24"/>
          <w:szCs w:val="24"/>
        </w:rPr>
        <w:t>Владивостокский государственный университет экономики и сервиса</w:t>
      </w:r>
    </w:p>
    <w:p w:rsidR="00A17BCD" w:rsidRPr="00DA0B73" w:rsidRDefault="00A17BCD" w:rsidP="00A17BCD">
      <w:pPr>
        <w:spacing w:line="240" w:lineRule="auto"/>
        <w:contextualSpacing/>
        <w:jc w:val="center"/>
        <w:rPr>
          <w:rFonts w:ascii="Times New Roman" w:hAnsi="Times New Roman" w:cs="Times New Roman"/>
          <w:i/>
          <w:color w:val="000000"/>
          <w:sz w:val="24"/>
          <w:szCs w:val="24"/>
        </w:rPr>
      </w:pPr>
      <w:r w:rsidRPr="00DA0B73">
        <w:rPr>
          <w:rFonts w:ascii="Times New Roman" w:hAnsi="Times New Roman" w:cs="Times New Roman"/>
          <w:i/>
          <w:color w:val="000000"/>
          <w:sz w:val="24"/>
          <w:szCs w:val="24"/>
        </w:rPr>
        <w:t xml:space="preserve"> Россия. Владивосток</w:t>
      </w:r>
    </w:p>
    <w:p w:rsidR="00A17BCD" w:rsidRPr="00BC107C" w:rsidRDefault="00A17BCD" w:rsidP="00A17BCD">
      <w:pPr>
        <w:spacing w:line="240" w:lineRule="auto"/>
        <w:contextualSpacing/>
        <w:jc w:val="center"/>
        <w:rPr>
          <w:rFonts w:ascii="Times New Roman" w:hAnsi="Times New Roman" w:cs="Times New Roman"/>
          <w:color w:val="000000"/>
          <w:sz w:val="24"/>
          <w:szCs w:val="24"/>
        </w:rPr>
      </w:pPr>
      <w:r w:rsidRPr="00D5185B">
        <w:rPr>
          <w:rFonts w:ascii="Times New Roman" w:hAnsi="Times New Roman" w:cs="Times New Roman"/>
          <w:color w:val="000000"/>
          <w:sz w:val="24"/>
          <w:szCs w:val="24"/>
        </w:rPr>
        <w:t xml:space="preserve"> </w:t>
      </w:r>
      <w:r w:rsidRPr="00DA0B73">
        <w:rPr>
          <w:rFonts w:ascii="Times New Roman" w:hAnsi="Times New Roman" w:cs="Times New Roman"/>
          <w:color w:val="000000"/>
          <w:sz w:val="24"/>
          <w:szCs w:val="24"/>
          <w:lang w:val="en-US"/>
        </w:rPr>
        <w:t>E</w:t>
      </w:r>
      <w:r w:rsidRPr="00BC107C">
        <w:rPr>
          <w:rFonts w:ascii="Times New Roman" w:hAnsi="Times New Roman" w:cs="Times New Roman"/>
          <w:color w:val="000000"/>
          <w:sz w:val="24"/>
          <w:szCs w:val="24"/>
        </w:rPr>
        <w:t>-</w:t>
      </w:r>
      <w:r w:rsidRPr="00DA0B73">
        <w:rPr>
          <w:rFonts w:ascii="Times New Roman" w:hAnsi="Times New Roman" w:cs="Times New Roman"/>
          <w:color w:val="000000"/>
          <w:sz w:val="24"/>
          <w:szCs w:val="24"/>
          <w:lang w:val="en-US"/>
        </w:rPr>
        <w:t>mail</w:t>
      </w:r>
      <w:r w:rsidRPr="00BC107C">
        <w:rPr>
          <w:rFonts w:ascii="Times New Roman" w:hAnsi="Times New Roman" w:cs="Times New Roman"/>
          <w:color w:val="000000"/>
          <w:sz w:val="24"/>
          <w:szCs w:val="24"/>
        </w:rPr>
        <w:t xml:space="preserve">: </w:t>
      </w:r>
      <w:r w:rsidRPr="00DA0B73">
        <w:rPr>
          <w:rFonts w:ascii="Times New Roman" w:hAnsi="Times New Roman" w:cs="Times New Roman"/>
          <w:color w:val="000000"/>
          <w:sz w:val="24"/>
          <w:szCs w:val="24"/>
          <w:lang w:val="en-US"/>
        </w:rPr>
        <w:t>ilyaershov</w:t>
      </w:r>
      <w:r w:rsidRPr="00BC107C">
        <w:rPr>
          <w:rFonts w:ascii="Times New Roman" w:hAnsi="Times New Roman" w:cs="Times New Roman"/>
          <w:color w:val="000000"/>
          <w:sz w:val="24"/>
          <w:szCs w:val="24"/>
        </w:rPr>
        <w:t>96@</w:t>
      </w:r>
      <w:r w:rsidRPr="00DA0B73">
        <w:rPr>
          <w:rFonts w:ascii="Times New Roman" w:hAnsi="Times New Roman" w:cs="Times New Roman"/>
          <w:color w:val="000000"/>
          <w:sz w:val="24"/>
          <w:szCs w:val="24"/>
          <w:lang w:val="en-US"/>
        </w:rPr>
        <w:t>mail</w:t>
      </w:r>
      <w:r w:rsidRPr="00BC107C">
        <w:rPr>
          <w:rFonts w:ascii="Times New Roman" w:hAnsi="Times New Roman" w:cs="Times New Roman"/>
          <w:color w:val="000000"/>
          <w:sz w:val="24"/>
          <w:szCs w:val="24"/>
        </w:rPr>
        <w:t>.</w:t>
      </w:r>
      <w:r w:rsidRPr="00DA0B73">
        <w:rPr>
          <w:rFonts w:ascii="Times New Roman" w:hAnsi="Times New Roman" w:cs="Times New Roman"/>
          <w:color w:val="000000"/>
          <w:sz w:val="24"/>
          <w:szCs w:val="24"/>
          <w:lang w:val="en-US"/>
        </w:rPr>
        <w:t>ru</w:t>
      </w:r>
      <w:r w:rsidRPr="00BC107C">
        <w:rPr>
          <w:rFonts w:ascii="Times New Roman" w:hAnsi="Times New Roman" w:cs="Times New Roman"/>
          <w:color w:val="000000"/>
          <w:sz w:val="24"/>
          <w:szCs w:val="24"/>
        </w:rPr>
        <w:t xml:space="preserve">; </w:t>
      </w:r>
      <w:r w:rsidRPr="00DA0B73">
        <w:rPr>
          <w:rFonts w:ascii="Times New Roman" w:hAnsi="Times New Roman" w:cs="Times New Roman"/>
          <w:color w:val="000000"/>
          <w:sz w:val="24"/>
          <w:szCs w:val="24"/>
        </w:rPr>
        <w:t>тел</w:t>
      </w:r>
      <w:r w:rsidRPr="00BC107C">
        <w:rPr>
          <w:rFonts w:ascii="Times New Roman" w:hAnsi="Times New Roman" w:cs="Times New Roman"/>
          <w:color w:val="000000"/>
          <w:sz w:val="24"/>
          <w:szCs w:val="24"/>
        </w:rPr>
        <w:t>.: +79841898938</w:t>
      </w:r>
    </w:p>
    <w:p w:rsidR="00A17BCD" w:rsidRPr="00AE75A0" w:rsidRDefault="00A17BCD" w:rsidP="00A17BCD">
      <w:pPr>
        <w:spacing w:line="240" w:lineRule="auto"/>
        <w:contextualSpacing/>
        <w:jc w:val="center"/>
        <w:rPr>
          <w:rFonts w:ascii="Times New Roman" w:hAnsi="Times New Roman" w:cs="Times New Roman"/>
          <w:color w:val="000000"/>
          <w:sz w:val="24"/>
          <w:szCs w:val="24"/>
        </w:rPr>
      </w:pPr>
      <w:r w:rsidRPr="00BC107C">
        <w:rPr>
          <w:rFonts w:ascii="Times New Roman" w:hAnsi="Times New Roman" w:cs="Times New Roman"/>
          <w:color w:val="000000"/>
          <w:sz w:val="24"/>
          <w:szCs w:val="24"/>
        </w:rPr>
        <w:t xml:space="preserve"> </w:t>
      </w:r>
      <w:r w:rsidRPr="00DA0B73">
        <w:rPr>
          <w:rFonts w:ascii="Times New Roman" w:hAnsi="Times New Roman" w:cs="Times New Roman"/>
          <w:color w:val="000000"/>
          <w:sz w:val="24"/>
          <w:szCs w:val="24"/>
        </w:rPr>
        <w:t>ул</w:t>
      </w:r>
      <w:r w:rsidRPr="00AE75A0">
        <w:rPr>
          <w:rFonts w:ascii="Times New Roman" w:hAnsi="Times New Roman" w:cs="Times New Roman"/>
          <w:color w:val="000000"/>
          <w:sz w:val="24"/>
          <w:szCs w:val="24"/>
        </w:rPr>
        <w:t xml:space="preserve">. </w:t>
      </w:r>
      <w:r w:rsidRPr="00DA0B73">
        <w:rPr>
          <w:rFonts w:ascii="Times New Roman" w:hAnsi="Times New Roman" w:cs="Times New Roman"/>
          <w:color w:val="000000"/>
          <w:sz w:val="24"/>
          <w:szCs w:val="24"/>
        </w:rPr>
        <w:t>Гоголя, 41, г. Владивосток, Приморский край, Россия, 690014</w:t>
      </w:r>
    </w:p>
    <w:p w:rsidR="00A17BCD" w:rsidRPr="00AE75A0" w:rsidRDefault="00A17BCD" w:rsidP="00A17BCD">
      <w:pPr>
        <w:spacing w:line="240" w:lineRule="auto"/>
        <w:contextualSpacing/>
        <w:rPr>
          <w:rFonts w:ascii="Times New Roman" w:hAnsi="Times New Roman" w:cs="Times New Roman"/>
          <w:color w:val="000000"/>
          <w:sz w:val="24"/>
          <w:szCs w:val="24"/>
        </w:rPr>
      </w:pPr>
    </w:p>
    <w:p w:rsidR="00A17BCD" w:rsidRDefault="00A17BCD" w:rsidP="00A17BCD">
      <w:pPr>
        <w:spacing w:line="240" w:lineRule="auto"/>
        <w:jc w:val="both"/>
        <w:rPr>
          <w:rFonts w:ascii="Times New Roman" w:hAnsi="Times New Roman" w:cs="Times New Roman"/>
          <w:i/>
          <w:color w:val="000000"/>
          <w:sz w:val="24"/>
          <w:szCs w:val="24"/>
        </w:rPr>
      </w:pPr>
      <w:r>
        <w:rPr>
          <w:rFonts w:ascii="Times New Roman" w:hAnsi="Times New Roman" w:cs="Times New Roman"/>
          <w:i/>
          <w:color w:val="000000"/>
          <w:sz w:val="24"/>
          <w:szCs w:val="24"/>
        </w:rPr>
        <w:t>В настоящей статье рассматриваются причины возникновения территориальных споров в странах АТ</w:t>
      </w:r>
      <w:r w:rsidRPr="004204F7">
        <w:rPr>
          <w:rFonts w:ascii="Times New Roman" w:hAnsi="Times New Roman" w:cs="Times New Roman"/>
          <w:i/>
          <w:color w:val="000000"/>
          <w:sz w:val="24"/>
          <w:szCs w:val="24"/>
        </w:rPr>
        <w:t>Р</w:t>
      </w:r>
      <w:r>
        <w:rPr>
          <w:rFonts w:ascii="Times New Roman" w:hAnsi="Times New Roman" w:cs="Times New Roman"/>
          <w:i/>
          <w:color w:val="000000"/>
          <w:sz w:val="24"/>
          <w:szCs w:val="24"/>
        </w:rPr>
        <w:t>. Главной причиной является несовершенство текста Сан-Францисского мирного договора 1951 г</w:t>
      </w:r>
      <w:r w:rsidRPr="004204F7">
        <w:rPr>
          <w:rFonts w:ascii="Times New Roman" w:hAnsi="Times New Roman" w:cs="Times New Roman"/>
          <w:i/>
          <w:color w:val="000000"/>
          <w:sz w:val="24"/>
          <w:szCs w:val="24"/>
        </w:rPr>
        <w:t>.</w:t>
      </w:r>
      <w:r>
        <w:rPr>
          <w:rFonts w:ascii="Times New Roman" w:hAnsi="Times New Roman" w:cs="Times New Roman"/>
          <w:i/>
          <w:color w:val="000000"/>
          <w:sz w:val="24"/>
          <w:szCs w:val="24"/>
        </w:rPr>
        <w:t>,</w:t>
      </w:r>
      <w:r w:rsidRPr="004204F7">
        <w:rPr>
          <w:rFonts w:ascii="Times New Roman" w:hAnsi="Times New Roman" w:cs="Times New Roman"/>
          <w:i/>
          <w:color w:val="000000"/>
          <w:sz w:val="24"/>
          <w:szCs w:val="24"/>
        </w:rPr>
        <w:t xml:space="preserve"> который</w:t>
      </w:r>
      <w:r>
        <w:rPr>
          <w:rFonts w:ascii="Times New Roman" w:hAnsi="Times New Roman" w:cs="Times New Roman"/>
          <w:i/>
          <w:color w:val="000000"/>
          <w:sz w:val="24"/>
          <w:szCs w:val="24"/>
        </w:rPr>
        <w:t xml:space="preserve"> был заключен по завершении войны с Японией. Автором разрешается вопрос о преднамеренности составления текста Договора с существенными пробелами. </w:t>
      </w:r>
    </w:p>
    <w:p w:rsidR="00A17BCD" w:rsidRDefault="00A17BCD" w:rsidP="00A17BCD">
      <w:pPr>
        <w:spacing w:line="240" w:lineRule="auto"/>
        <w:jc w:val="both"/>
        <w:rPr>
          <w:rFonts w:ascii="Times New Roman" w:hAnsi="Times New Roman" w:cs="Times New Roman"/>
          <w:i/>
          <w:color w:val="000000"/>
          <w:sz w:val="24"/>
          <w:szCs w:val="24"/>
        </w:rPr>
      </w:pPr>
      <w:r w:rsidRPr="00EA7C1B">
        <w:rPr>
          <w:rFonts w:ascii="Times New Roman" w:hAnsi="Times New Roman" w:cs="Times New Roman"/>
          <w:b/>
          <w:i/>
          <w:color w:val="000000"/>
          <w:sz w:val="24"/>
          <w:szCs w:val="24"/>
        </w:rPr>
        <w:t>Ключевые слова и словосочетания</w:t>
      </w:r>
      <w:r>
        <w:rPr>
          <w:rFonts w:ascii="Times New Roman" w:hAnsi="Times New Roman" w:cs="Times New Roman"/>
          <w:b/>
          <w:i/>
          <w:color w:val="000000"/>
          <w:sz w:val="24"/>
          <w:szCs w:val="24"/>
        </w:rPr>
        <w:t>:</w:t>
      </w:r>
      <w:r>
        <w:rPr>
          <w:rFonts w:ascii="Times New Roman" w:hAnsi="Times New Roman" w:cs="Times New Roman"/>
          <w:i/>
          <w:color w:val="000000"/>
          <w:sz w:val="24"/>
          <w:szCs w:val="24"/>
        </w:rPr>
        <w:t xml:space="preserve"> Территориальные споры в АТР, Сан-Францисский мирный договор, Япония, Северные территории, Такэсима/Токто, Сенкаку/Дяоюйдао,.  </w:t>
      </w:r>
    </w:p>
    <w:p w:rsidR="00A17BCD" w:rsidRPr="00B05876" w:rsidRDefault="00A17BCD" w:rsidP="00A17BCD">
      <w:pPr>
        <w:spacing w:line="240" w:lineRule="auto"/>
        <w:jc w:val="center"/>
        <w:rPr>
          <w:rFonts w:ascii="Times New Roman" w:hAnsi="Times New Roman" w:cs="Times New Roman"/>
          <w:b/>
          <w:color w:val="000000"/>
          <w:sz w:val="24"/>
          <w:szCs w:val="24"/>
          <w:lang w:val="en-US"/>
        </w:rPr>
      </w:pPr>
      <w:r w:rsidRPr="00B05876">
        <w:rPr>
          <w:rFonts w:ascii="Times New Roman" w:hAnsi="Times New Roman" w:cs="Times New Roman"/>
          <w:b/>
          <w:color w:val="000000"/>
          <w:sz w:val="24"/>
          <w:szCs w:val="24"/>
          <w:lang w:val="en-US"/>
        </w:rPr>
        <w:t>The reason for territorial disputes in the Asia-Pacific region: unskilled lawyers or informed US policy</w:t>
      </w:r>
    </w:p>
    <w:p w:rsidR="00A17BCD" w:rsidRPr="00DA0B73" w:rsidRDefault="00A17BCD" w:rsidP="00A17BCD">
      <w:pPr>
        <w:spacing w:line="240" w:lineRule="auto"/>
        <w:jc w:val="both"/>
        <w:rPr>
          <w:rFonts w:ascii="Times New Roman" w:hAnsi="Times New Roman" w:cs="Times New Roman"/>
          <w:i/>
          <w:color w:val="000000"/>
          <w:sz w:val="24"/>
          <w:szCs w:val="24"/>
          <w:lang w:val="en-US"/>
        </w:rPr>
      </w:pPr>
      <w:r>
        <w:rPr>
          <w:rFonts w:ascii="Times New Roman" w:hAnsi="Times New Roman" w:cs="Times New Roman"/>
          <w:i/>
          <w:color w:val="000000"/>
          <w:sz w:val="24"/>
          <w:szCs w:val="24"/>
          <w:lang w:val="en-US"/>
        </w:rPr>
        <w:t>T</w:t>
      </w:r>
      <w:r w:rsidRPr="00DA0B73">
        <w:rPr>
          <w:rFonts w:ascii="Times New Roman" w:hAnsi="Times New Roman" w:cs="Times New Roman"/>
          <w:i/>
          <w:color w:val="000000"/>
          <w:sz w:val="24"/>
          <w:szCs w:val="24"/>
          <w:lang w:val="en-US"/>
        </w:rPr>
        <w:t xml:space="preserve">he author resolves the issue that caused the emergence of territorial disputes in the APR the San Francisco peace Treaty of 1951, which was concluded at the end of the war with Japan. The author also resolves the issue of intent to prepare the text of the Treaty with significant gaps. </w:t>
      </w:r>
    </w:p>
    <w:p w:rsidR="00A17BCD" w:rsidRPr="00DA0B73" w:rsidRDefault="00A17BCD" w:rsidP="00A17BCD">
      <w:pPr>
        <w:spacing w:line="240" w:lineRule="auto"/>
        <w:jc w:val="both"/>
        <w:rPr>
          <w:rFonts w:ascii="Times New Roman" w:hAnsi="Times New Roman" w:cs="Times New Roman"/>
          <w:i/>
          <w:color w:val="000000"/>
          <w:sz w:val="24"/>
          <w:szCs w:val="24"/>
          <w:lang w:val="en-US"/>
        </w:rPr>
      </w:pPr>
      <w:r w:rsidRPr="00DA0B73">
        <w:rPr>
          <w:rFonts w:ascii="Times New Roman" w:hAnsi="Times New Roman" w:cs="Times New Roman"/>
          <w:b/>
          <w:i/>
          <w:color w:val="000000"/>
          <w:sz w:val="24"/>
          <w:szCs w:val="24"/>
          <w:lang w:val="en-US"/>
        </w:rPr>
        <w:t>Keywords:</w:t>
      </w:r>
      <w:r w:rsidRPr="00DA0B73">
        <w:rPr>
          <w:rFonts w:ascii="Times New Roman" w:hAnsi="Times New Roman" w:cs="Times New Roman"/>
          <w:i/>
          <w:color w:val="000000"/>
          <w:sz w:val="24"/>
          <w:szCs w:val="24"/>
          <w:lang w:val="en-US"/>
        </w:rPr>
        <w:t xml:space="preserve"> territorial disputes in the Asia-Pacific region, San Francisco peace Treaty, Japan, , Northern territories, Takeshima</w:t>
      </w:r>
      <w:r w:rsidRPr="004204F7">
        <w:rPr>
          <w:rFonts w:ascii="Times New Roman" w:hAnsi="Times New Roman" w:cs="Times New Roman"/>
          <w:i/>
          <w:color w:val="000000"/>
          <w:sz w:val="24"/>
          <w:szCs w:val="24"/>
          <w:lang w:val="en-US"/>
        </w:rPr>
        <w:t>/</w:t>
      </w:r>
      <w:r>
        <w:rPr>
          <w:rFonts w:ascii="Times New Roman" w:hAnsi="Times New Roman" w:cs="Times New Roman"/>
          <w:i/>
          <w:color w:val="000000"/>
          <w:sz w:val="24"/>
          <w:szCs w:val="24"/>
          <w:lang w:val="en-US"/>
        </w:rPr>
        <w:t>Tokto</w:t>
      </w:r>
      <w:r w:rsidRPr="00DA0B73">
        <w:rPr>
          <w:rFonts w:ascii="Times New Roman" w:hAnsi="Times New Roman" w:cs="Times New Roman"/>
          <w:i/>
          <w:color w:val="000000"/>
          <w:sz w:val="24"/>
          <w:szCs w:val="24"/>
          <w:lang w:val="en-US"/>
        </w:rPr>
        <w:t>, Senkaku</w:t>
      </w:r>
      <w:r w:rsidRPr="004204F7">
        <w:rPr>
          <w:rFonts w:ascii="Times New Roman" w:hAnsi="Times New Roman" w:cs="Times New Roman"/>
          <w:i/>
          <w:color w:val="000000"/>
          <w:sz w:val="24"/>
          <w:szCs w:val="24"/>
          <w:lang w:val="en-US"/>
        </w:rPr>
        <w:t xml:space="preserve">/ </w:t>
      </w:r>
      <w:r>
        <w:rPr>
          <w:rFonts w:ascii="Times New Roman" w:hAnsi="Times New Roman" w:cs="Times New Roman"/>
          <w:i/>
          <w:color w:val="000000"/>
          <w:sz w:val="24"/>
          <w:szCs w:val="24"/>
          <w:lang w:val="en-US"/>
        </w:rPr>
        <w:t>Diaoyutai</w:t>
      </w:r>
      <w:r w:rsidRPr="00DA0B73">
        <w:rPr>
          <w:rFonts w:ascii="Times New Roman" w:hAnsi="Times New Roman" w:cs="Times New Roman"/>
          <w:i/>
          <w:color w:val="000000"/>
          <w:sz w:val="24"/>
          <w:szCs w:val="24"/>
          <w:lang w:val="en-US"/>
        </w:rPr>
        <w:t>.</w:t>
      </w:r>
    </w:p>
    <w:p w:rsidR="00A17BCD" w:rsidRPr="00D366BE" w:rsidRDefault="00A17BCD" w:rsidP="00A17BCD">
      <w:pPr>
        <w:spacing w:line="240" w:lineRule="auto"/>
        <w:ind w:firstLine="709"/>
        <w:contextualSpacing/>
        <w:jc w:val="both"/>
        <w:rPr>
          <w:rFonts w:ascii="Times New Roman" w:hAnsi="Times New Roman" w:cs="Times New Roman"/>
          <w:color w:val="000000"/>
          <w:sz w:val="24"/>
          <w:szCs w:val="24"/>
        </w:rPr>
      </w:pPr>
      <w:r>
        <w:rPr>
          <w:rFonts w:ascii="Times New Roman" w:hAnsi="Times New Roman" w:cs="Times New Roman"/>
          <w:color w:val="000000"/>
          <w:sz w:val="24"/>
          <w:szCs w:val="24"/>
        </w:rPr>
        <w:t>В</w:t>
      </w:r>
      <w:r w:rsidRPr="00D366BE">
        <w:rPr>
          <w:rFonts w:ascii="Times New Roman" w:hAnsi="Times New Roman" w:cs="Times New Roman"/>
          <w:color w:val="000000"/>
          <w:sz w:val="24"/>
          <w:szCs w:val="24"/>
        </w:rPr>
        <w:t xml:space="preserve"> Азиатско-Тихоокеанском регионе существует ряд территориальных споров, существенно влияющих на </w:t>
      </w:r>
      <w:r>
        <w:rPr>
          <w:rFonts w:ascii="Times New Roman" w:hAnsi="Times New Roman" w:cs="Times New Roman"/>
          <w:color w:val="000000"/>
          <w:sz w:val="24"/>
          <w:szCs w:val="24"/>
        </w:rPr>
        <w:t>взаимоотношения</w:t>
      </w:r>
      <w:r w:rsidRPr="00D366BE">
        <w:rPr>
          <w:rFonts w:ascii="Times New Roman" w:hAnsi="Times New Roman" w:cs="Times New Roman"/>
          <w:color w:val="000000"/>
          <w:sz w:val="24"/>
          <w:szCs w:val="24"/>
        </w:rPr>
        <w:t xml:space="preserve"> стран, в них участвующих. Прежде всего, возникновение споров связано с предъявлением</w:t>
      </w:r>
      <w:r>
        <w:rPr>
          <w:rFonts w:ascii="Times New Roman" w:hAnsi="Times New Roman" w:cs="Times New Roman"/>
          <w:color w:val="000000"/>
          <w:sz w:val="24"/>
          <w:szCs w:val="24"/>
        </w:rPr>
        <w:t xml:space="preserve"> территориальных</w:t>
      </w:r>
      <w:r w:rsidRPr="00D366BE">
        <w:rPr>
          <w:rFonts w:ascii="Times New Roman" w:hAnsi="Times New Roman" w:cs="Times New Roman"/>
          <w:color w:val="000000"/>
          <w:sz w:val="24"/>
          <w:szCs w:val="24"/>
        </w:rPr>
        <w:t xml:space="preserve"> претензий Японией к странам, которые по ее мнению незаконно владеют</w:t>
      </w:r>
      <w:r>
        <w:rPr>
          <w:rFonts w:ascii="Times New Roman" w:hAnsi="Times New Roman" w:cs="Times New Roman"/>
          <w:color w:val="000000"/>
          <w:sz w:val="24"/>
          <w:szCs w:val="24"/>
        </w:rPr>
        <w:t xml:space="preserve"> </w:t>
      </w:r>
      <w:r w:rsidRPr="00D366BE">
        <w:rPr>
          <w:rFonts w:ascii="Times New Roman" w:hAnsi="Times New Roman" w:cs="Times New Roman"/>
          <w:color w:val="000000"/>
          <w:sz w:val="24"/>
          <w:szCs w:val="24"/>
        </w:rPr>
        <w:t>территориями</w:t>
      </w:r>
      <w:r>
        <w:rPr>
          <w:rFonts w:ascii="Times New Roman" w:hAnsi="Times New Roman" w:cs="Times New Roman"/>
          <w:color w:val="000000"/>
          <w:sz w:val="24"/>
          <w:szCs w:val="24"/>
        </w:rPr>
        <w:t>, принадлежащих Японии</w:t>
      </w:r>
      <w:r w:rsidRPr="00D366BE">
        <w:rPr>
          <w:rFonts w:ascii="Times New Roman" w:hAnsi="Times New Roman" w:cs="Times New Roman"/>
          <w:color w:val="000000"/>
          <w:sz w:val="24"/>
          <w:szCs w:val="24"/>
        </w:rPr>
        <w:t>. К этим странам относится Россия, Южная Корея и КНР.</w:t>
      </w:r>
    </w:p>
    <w:p w:rsidR="00A17BCD" w:rsidRPr="00D366BE" w:rsidRDefault="00A17BCD" w:rsidP="00A17BCD">
      <w:pPr>
        <w:spacing w:line="240" w:lineRule="auto"/>
        <w:ind w:firstLine="709"/>
        <w:contextualSpacing/>
        <w:jc w:val="both"/>
        <w:rPr>
          <w:rFonts w:ascii="Times New Roman" w:hAnsi="Times New Roman" w:cs="Times New Roman"/>
          <w:color w:val="000000"/>
          <w:sz w:val="24"/>
          <w:szCs w:val="24"/>
        </w:rPr>
      </w:pPr>
      <w:r w:rsidRPr="00D366BE">
        <w:rPr>
          <w:rFonts w:ascii="Times New Roman" w:hAnsi="Times New Roman" w:cs="Times New Roman"/>
          <w:color w:val="000000"/>
          <w:sz w:val="24"/>
          <w:szCs w:val="24"/>
        </w:rPr>
        <w:t xml:space="preserve"> Так, Япония</w:t>
      </w:r>
      <w:r>
        <w:rPr>
          <w:rFonts w:ascii="Times New Roman" w:hAnsi="Times New Roman" w:cs="Times New Roman"/>
          <w:color w:val="000000"/>
          <w:sz w:val="24"/>
          <w:szCs w:val="24"/>
        </w:rPr>
        <w:t xml:space="preserve"> </w:t>
      </w:r>
      <w:r w:rsidRPr="00D366BE">
        <w:rPr>
          <w:rFonts w:ascii="Times New Roman" w:hAnsi="Times New Roman" w:cs="Times New Roman"/>
          <w:color w:val="000000"/>
          <w:sz w:val="24"/>
          <w:szCs w:val="24"/>
        </w:rPr>
        <w:t>пытается оспорить</w:t>
      </w:r>
      <w:r>
        <w:rPr>
          <w:rFonts w:ascii="Times New Roman" w:hAnsi="Times New Roman" w:cs="Times New Roman"/>
          <w:color w:val="000000"/>
          <w:sz w:val="24"/>
          <w:szCs w:val="24"/>
        </w:rPr>
        <w:t xml:space="preserve"> принадлежность</w:t>
      </w:r>
      <w:r w:rsidRPr="00D366BE">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четырех южных Курильских островов у Российской Федерации: </w:t>
      </w:r>
      <w:r w:rsidRPr="00D366BE">
        <w:rPr>
          <w:rFonts w:ascii="Times New Roman" w:hAnsi="Times New Roman" w:cs="Times New Roman"/>
          <w:color w:val="000000"/>
          <w:sz w:val="24"/>
          <w:szCs w:val="24"/>
        </w:rPr>
        <w:t>Иту</w:t>
      </w:r>
      <w:r>
        <w:rPr>
          <w:rFonts w:ascii="Times New Roman" w:hAnsi="Times New Roman" w:cs="Times New Roman"/>
          <w:color w:val="000000"/>
          <w:sz w:val="24"/>
          <w:szCs w:val="24"/>
        </w:rPr>
        <w:t>руп, Кунашир, Шикотан и Хабомаи</w:t>
      </w:r>
      <w:r w:rsidRPr="00D366BE">
        <w:rPr>
          <w:rFonts w:ascii="Times New Roman" w:hAnsi="Times New Roman" w:cs="Times New Roman"/>
          <w:color w:val="000000"/>
          <w:sz w:val="24"/>
          <w:szCs w:val="24"/>
        </w:rPr>
        <w:t>. Я</w:t>
      </w:r>
      <w:r>
        <w:rPr>
          <w:rFonts w:ascii="Times New Roman" w:hAnsi="Times New Roman" w:cs="Times New Roman"/>
          <w:color w:val="000000"/>
          <w:sz w:val="24"/>
          <w:szCs w:val="24"/>
        </w:rPr>
        <w:t>понией эти острова</w:t>
      </w:r>
      <w:r w:rsidRPr="00D366BE">
        <w:rPr>
          <w:rFonts w:ascii="Times New Roman" w:hAnsi="Times New Roman" w:cs="Times New Roman"/>
          <w:color w:val="000000"/>
          <w:sz w:val="24"/>
          <w:szCs w:val="24"/>
        </w:rPr>
        <w:t xml:space="preserve"> получили название «Северные территории».</w:t>
      </w:r>
      <w:r>
        <w:rPr>
          <w:rFonts w:ascii="Times New Roman" w:hAnsi="Times New Roman" w:cs="Times New Roman"/>
          <w:color w:val="000000"/>
          <w:sz w:val="24"/>
          <w:szCs w:val="24"/>
        </w:rPr>
        <w:t xml:space="preserve"> </w:t>
      </w:r>
      <w:r w:rsidRPr="00D366BE">
        <w:rPr>
          <w:rFonts w:ascii="Times New Roman" w:hAnsi="Times New Roman" w:cs="Times New Roman"/>
          <w:color w:val="000000"/>
          <w:sz w:val="24"/>
          <w:szCs w:val="24"/>
        </w:rPr>
        <w:t>К Южной Коре</w:t>
      </w:r>
      <w:r>
        <w:rPr>
          <w:rFonts w:ascii="Times New Roman" w:hAnsi="Times New Roman" w:cs="Times New Roman"/>
          <w:color w:val="000000"/>
          <w:sz w:val="24"/>
          <w:szCs w:val="24"/>
        </w:rPr>
        <w:t>е</w:t>
      </w:r>
      <w:r w:rsidRPr="00D366BE">
        <w:rPr>
          <w:rFonts w:ascii="Times New Roman" w:hAnsi="Times New Roman" w:cs="Times New Roman"/>
          <w:color w:val="000000"/>
          <w:sz w:val="24"/>
          <w:szCs w:val="24"/>
        </w:rPr>
        <w:t xml:space="preserve"> Япония предъявляет претензии на право владения островами Токто, которые </w:t>
      </w:r>
      <w:r>
        <w:rPr>
          <w:rFonts w:ascii="Times New Roman" w:hAnsi="Times New Roman" w:cs="Times New Roman"/>
          <w:color w:val="000000"/>
          <w:sz w:val="24"/>
          <w:szCs w:val="24"/>
        </w:rPr>
        <w:t xml:space="preserve">в японском варианте называются </w:t>
      </w:r>
      <w:r w:rsidRPr="00D366BE">
        <w:rPr>
          <w:rFonts w:ascii="Times New Roman" w:hAnsi="Times New Roman" w:cs="Times New Roman"/>
          <w:color w:val="000000"/>
          <w:sz w:val="24"/>
          <w:szCs w:val="24"/>
        </w:rPr>
        <w:t>островами Такэсима. Также, Япония не признает права Китая над мелким коралловым островом Окинотори и архипелагом Дяоюйдао, называемый японцами</w:t>
      </w:r>
      <w:r>
        <w:rPr>
          <w:rFonts w:ascii="Times New Roman" w:hAnsi="Times New Roman" w:cs="Times New Roman"/>
          <w:color w:val="000000"/>
          <w:sz w:val="24"/>
          <w:szCs w:val="24"/>
        </w:rPr>
        <w:t xml:space="preserve"> Сенкаку</w:t>
      </w:r>
      <w:r w:rsidRPr="00D366BE">
        <w:rPr>
          <w:rFonts w:ascii="Times New Roman" w:hAnsi="Times New Roman" w:cs="Times New Roman"/>
          <w:color w:val="000000"/>
          <w:sz w:val="24"/>
          <w:szCs w:val="24"/>
        </w:rPr>
        <w:t>. Помимо Японии к Китаю предъявляет претензии</w:t>
      </w:r>
      <w:r>
        <w:rPr>
          <w:rFonts w:ascii="Times New Roman" w:hAnsi="Times New Roman" w:cs="Times New Roman"/>
          <w:color w:val="000000"/>
          <w:sz w:val="24"/>
          <w:szCs w:val="24"/>
        </w:rPr>
        <w:t>,</w:t>
      </w:r>
      <w:r w:rsidRPr="00D366BE">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в том числе и </w:t>
      </w:r>
      <w:r w:rsidRPr="00D366BE">
        <w:rPr>
          <w:rFonts w:ascii="Times New Roman" w:hAnsi="Times New Roman" w:cs="Times New Roman"/>
          <w:color w:val="000000"/>
          <w:sz w:val="24"/>
          <w:szCs w:val="24"/>
        </w:rPr>
        <w:t xml:space="preserve">Вьетнам, который намеревается отобрать у КНР два архипелага – Спратли и Парасельские острова.  </w:t>
      </w:r>
    </w:p>
    <w:p w:rsidR="00A17BCD" w:rsidRPr="00D366BE" w:rsidRDefault="00A17BCD" w:rsidP="00A17BCD">
      <w:pPr>
        <w:spacing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Представляется, что </w:t>
      </w:r>
      <w:r w:rsidRPr="00D366BE">
        <w:rPr>
          <w:rFonts w:ascii="Times New Roman" w:hAnsi="Times New Roman" w:cs="Times New Roman"/>
          <w:sz w:val="24"/>
          <w:szCs w:val="24"/>
        </w:rPr>
        <w:t>Территориальные споры в Азиатско-</w:t>
      </w:r>
      <w:r>
        <w:rPr>
          <w:rFonts w:ascii="Times New Roman" w:hAnsi="Times New Roman" w:cs="Times New Roman"/>
          <w:sz w:val="24"/>
          <w:szCs w:val="24"/>
        </w:rPr>
        <w:t>Т</w:t>
      </w:r>
      <w:r w:rsidRPr="00D366BE">
        <w:rPr>
          <w:rFonts w:ascii="Times New Roman" w:hAnsi="Times New Roman" w:cs="Times New Roman"/>
          <w:sz w:val="24"/>
          <w:szCs w:val="24"/>
        </w:rPr>
        <w:t>ихоокеанском регионе в большинстве своем, связаны с итогами Второй мировой войны. Основанием тому послужил текст Мирного договора с Японией, подписанн</w:t>
      </w:r>
      <w:r>
        <w:rPr>
          <w:rFonts w:ascii="Times New Roman" w:hAnsi="Times New Roman" w:cs="Times New Roman"/>
          <w:sz w:val="24"/>
          <w:szCs w:val="24"/>
        </w:rPr>
        <w:t>ый</w:t>
      </w:r>
      <w:r w:rsidRPr="00D366BE">
        <w:rPr>
          <w:rFonts w:ascii="Times New Roman" w:hAnsi="Times New Roman" w:cs="Times New Roman"/>
          <w:sz w:val="24"/>
          <w:szCs w:val="24"/>
        </w:rPr>
        <w:t xml:space="preserve"> в Сан-</w:t>
      </w:r>
      <w:r w:rsidRPr="00F82D08">
        <w:rPr>
          <w:rFonts w:ascii="Times New Roman" w:hAnsi="Times New Roman" w:cs="Times New Roman"/>
          <w:sz w:val="24"/>
          <w:szCs w:val="24"/>
        </w:rPr>
        <w:t>Франциско</w:t>
      </w:r>
      <w:r w:rsidRPr="00D366BE">
        <w:rPr>
          <w:rFonts w:ascii="Times New Roman" w:hAnsi="Times New Roman" w:cs="Times New Roman"/>
          <w:sz w:val="24"/>
          <w:szCs w:val="24"/>
        </w:rPr>
        <w:t xml:space="preserve"> 8 сентября 1951</w:t>
      </w:r>
      <w:r w:rsidRPr="00346F62">
        <w:rPr>
          <w:rFonts w:ascii="Times New Roman" w:hAnsi="Times New Roman" w:cs="Times New Roman"/>
          <w:sz w:val="24"/>
          <w:szCs w:val="24"/>
        </w:rPr>
        <w:t xml:space="preserve"> </w:t>
      </w:r>
      <w:r w:rsidRPr="00B05876">
        <w:rPr>
          <w:rFonts w:ascii="Times New Roman" w:hAnsi="Times New Roman" w:cs="Times New Roman"/>
          <w:sz w:val="24"/>
          <w:szCs w:val="24"/>
        </w:rPr>
        <w:t>[1]</w:t>
      </w:r>
      <w:r w:rsidRPr="00D366BE">
        <w:rPr>
          <w:rFonts w:ascii="Times New Roman" w:hAnsi="Times New Roman" w:cs="Times New Roman"/>
          <w:sz w:val="24"/>
          <w:szCs w:val="24"/>
        </w:rPr>
        <w:t xml:space="preserve">. </w:t>
      </w:r>
    </w:p>
    <w:p w:rsidR="00A17BCD" w:rsidRPr="00D366BE" w:rsidRDefault="00A17BCD" w:rsidP="00A17BCD">
      <w:pPr>
        <w:spacing w:line="240" w:lineRule="auto"/>
        <w:ind w:firstLine="709"/>
        <w:contextualSpacing/>
        <w:jc w:val="both"/>
        <w:rPr>
          <w:rFonts w:ascii="Times New Roman" w:hAnsi="Times New Roman" w:cs="Times New Roman"/>
          <w:sz w:val="24"/>
          <w:szCs w:val="24"/>
        </w:rPr>
      </w:pPr>
      <w:r w:rsidRPr="00D366BE">
        <w:rPr>
          <w:rFonts w:ascii="Times New Roman" w:hAnsi="Times New Roman" w:cs="Times New Roman"/>
          <w:sz w:val="24"/>
          <w:szCs w:val="24"/>
        </w:rPr>
        <w:t>Сан-Францисский  мирный договор от 08 сентября 1951</w:t>
      </w:r>
      <w:r>
        <w:rPr>
          <w:rFonts w:ascii="Times New Roman" w:hAnsi="Times New Roman" w:cs="Times New Roman"/>
          <w:sz w:val="24"/>
          <w:szCs w:val="24"/>
        </w:rPr>
        <w:t>г.,</w:t>
      </w:r>
      <w:r w:rsidRPr="00D366BE">
        <w:rPr>
          <w:rFonts w:ascii="Times New Roman" w:hAnsi="Times New Roman" w:cs="Times New Roman"/>
          <w:sz w:val="24"/>
          <w:szCs w:val="24"/>
        </w:rPr>
        <w:t xml:space="preserve"> заключенный между Японией и Союзными Державами, </w:t>
      </w:r>
      <w:r>
        <w:rPr>
          <w:rFonts w:ascii="Times New Roman" w:hAnsi="Times New Roman" w:cs="Times New Roman"/>
          <w:sz w:val="24"/>
          <w:szCs w:val="24"/>
        </w:rPr>
        <w:t>п</w:t>
      </w:r>
      <w:r w:rsidRPr="00D366BE">
        <w:rPr>
          <w:rFonts w:ascii="Times New Roman" w:hAnsi="Times New Roman" w:cs="Times New Roman"/>
          <w:sz w:val="24"/>
          <w:szCs w:val="24"/>
        </w:rPr>
        <w:t xml:space="preserve">овлек за собой ряд негативных последствий по причине несовершенства составления текста договора. Именно несовершенство текста дало право государствам трактовать пункты мирного соглашения по-своему, что повлекло за этим ряд территориальных претензий, в частности, со стороны Японии. Также Вьетнам претендует на территории от которых отказалась Япония, </w:t>
      </w:r>
      <w:r>
        <w:rPr>
          <w:rFonts w:ascii="Times New Roman" w:hAnsi="Times New Roman" w:cs="Times New Roman"/>
          <w:sz w:val="24"/>
          <w:szCs w:val="24"/>
        </w:rPr>
        <w:t xml:space="preserve">Находящиеся </w:t>
      </w:r>
      <w:r w:rsidRPr="00D366BE">
        <w:rPr>
          <w:rFonts w:ascii="Times New Roman" w:hAnsi="Times New Roman" w:cs="Times New Roman"/>
          <w:sz w:val="24"/>
          <w:szCs w:val="24"/>
        </w:rPr>
        <w:t xml:space="preserve">по окончании Второй мировой войны </w:t>
      </w:r>
      <w:r>
        <w:rPr>
          <w:rFonts w:ascii="Times New Roman" w:hAnsi="Times New Roman" w:cs="Times New Roman"/>
          <w:sz w:val="24"/>
          <w:szCs w:val="24"/>
        </w:rPr>
        <w:t>под китайской юрисдикцией</w:t>
      </w:r>
      <w:r w:rsidRPr="00D366BE">
        <w:rPr>
          <w:rFonts w:ascii="Times New Roman" w:hAnsi="Times New Roman" w:cs="Times New Roman"/>
          <w:sz w:val="24"/>
          <w:szCs w:val="24"/>
        </w:rPr>
        <w:t xml:space="preserve">.  </w:t>
      </w:r>
    </w:p>
    <w:p w:rsidR="00A17BCD" w:rsidRPr="00D366BE" w:rsidRDefault="00A17BCD" w:rsidP="00A17BCD">
      <w:pPr>
        <w:spacing w:line="240" w:lineRule="auto"/>
        <w:ind w:firstLine="709"/>
        <w:contextualSpacing/>
        <w:jc w:val="both"/>
        <w:rPr>
          <w:rFonts w:ascii="Times New Roman" w:hAnsi="Times New Roman" w:cs="Times New Roman"/>
          <w:sz w:val="24"/>
          <w:szCs w:val="24"/>
        </w:rPr>
      </w:pPr>
      <w:r w:rsidRPr="00D366BE">
        <w:rPr>
          <w:rFonts w:ascii="Times New Roman" w:hAnsi="Times New Roman" w:cs="Times New Roman"/>
          <w:sz w:val="24"/>
          <w:szCs w:val="24"/>
        </w:rPr>
        <w:t>Сан-Францисский мирный договор не подписал СССР, Китай и Корея. Данные страны, не подпис</w:t>
      </w:r>
      <w:r>
        <w:rPr>
          <w:rFonts w:ascii="Times New Roman" w:hAnsi="Times New Roman" w:cs="Times New Roman"/>
          <w:sz w:val="24"/>
          <w:szCs w:val="24"/>
        </w:rPr>
        <w:t>али</w:t>
      </w:r>
      <w:r w:rsidRPr="00D366BE">
        <w:rPr>
          <w:rFonts w:ascii="Times New Roman" w:hAnsi="Times New Roman" w:cs="Times New Roman"/>
          <w:sz w:val="24"/>
          <w:szCs w:val="24"/>
        </w:rPr>
        <w:t xml:space="preserve"> Мирный договор 1951 года, в том числе, по причине составления текста ненадлежащим образом [1].</w:t>
      </w:r>
      <w:r>
        <w:rPr>
          <w:rFonts w:ascii="Times New Roman" w:hAnsi="Times New Roman" w:cs="Times New Roman"/>
          <w:sz w:val="24"/>
          <w:szCs w:val="24"/>
        </w:rPr>
        <w:t xml:space="preserve">Именно к этим государствам </w:t>
      </w:r>
      <w:r w:rsidRPr="00D366BE">
        <w:rPr>
          <w:rFonts w:ascii="Times New Roman" w:hAnsi="Times New Roman" w:cs="Times New Roman"/>
          <w:sz w:val="24"/>
          <w:szCs w:val="24"/>
        </w:rPr>
        <w:t>Япония и по сей день имеет территориальные претензии</w:t>
      </w:r>
      <w:r>
        <w:rPr>
          <w:rFonts w:ascii="Times New Roman" w:hAnsi="Times New Roman" w:cs="Times New Roman"/>
          <w:sz w:val="24"/>
          <w:szCs w:val="24"/>
        </w:rPr>
        <w:t>.</w:t>
      </w:r>
    </w:p>
    <w:p w:rsidR="00A17BCD" w:rsidRPr="00D366BE" w:rsidRDefault="00A17BCD" w:rsidP="00A17BCD">
      <w:pPr>
        <w:spacing w:line="240" w:lineRule="auto"/>
        <w:ind w:firstLine="709"/>
        <w:contextualSpacing/>
        <w:jc w:val="both"/>
        <w:rPr>
          <w:rFonts w:ascii="Times New Roman" w:hAnsi="Times New Roman" w:cs="Times New Roman"/>
          <w:sz w:val="24"/>
          <w:szCs w:val="24"/>
        </w:rPr>
      </w:pPr>
      <w:r w:rsidRPr="00D366BE">
        <w:rPr>
          <w:rFonts w:ascii="Times New Roman" w:hAnsi="Times New Roman" w:cs="Times New Roman"/>
          <w:sz w:val="24"/>
          <w:szCs w:val="24"/>
        </w:rPr>
        <w:t xml:space="preserve">Основная причина, по которой текст Договора </w:t>
      </w:r>
      <w:r>
        <w:rPr>
          <w:rFonts w:ascii="Times New Roman" w:hAnsi="Times New Roman" w:cs="Times New Roman"/>
          <w:sz w:val="24"/>
          <w:szCs w:val="24"/>
        </w:rPr>
        <w:t xml:space="preserve">принято считать несовершенным – его неопределенность и не точность. </w:t>
      </w:r>
      <w:r w:rsidRPr="00D366BE">
        <w:rPr>
          <w:rFonts w:ascii="Times New Roman" w:hAnsi="Times New Roman" w:cs="Times New Roman"/>
          <w:sz w:val="24"/>
          <w:szCs w:val="24"/>
        </w:rPr>
        <w:t>Так, в Сан-Францисском мирн</w:t>
      </w:r>
      <w:r>
        <w:rPr>
          <w:rFonts w:ascii="Times New Roman" w:hAnsi="Times New Roman" w:cs="Times New Roman"/>
          <w:sz w:val="24"/>
          <w:szCs w:val="24"/>
        </w:rPr>
        <w:t>ом договоре во второй статье Япония</w:t>
      </w:r>
      <w:r w:rsidRPr="00D366BE">
        <w:rPr>
          <w:rFonts w:ascii="Times New Roman" w:hAnsi="Times New Roman" w:cs="Times New Roman"/>
          <w:sz w:val="24"/>
          <w:szCs w:val="24"/>
        </w:rPr>
        <w:t xml:space="preserve"> </w:t>
      </w:r>
      <w:r>
        <w:rPr>
          <w:rFonts w:ascii="Times New Roman" w:hAnsi="Times New Roman" w:cs="Times New Roman"/>
          <w:sz w:val="24"/>
          <w:szCs w:val="24"/>
        </w:rPr>
        <w:t>обязалась</w:t>
      </w:r>
      <w:r w:rsidRPr="00D366BE">
        <w:rPr>
          <w:rFonts w:ascii="Times New Roman" w:hAnsi="Times New Roman" w:cs="Times New Roman"/>
          <w:sz w:val="24"/>
          <w:szCs w:val="24"/>
        </w:rPr>
        <w:t xml:space="preserve"> отказаться от ряда территорий: </w:t>
      </w:r>
    </w:p>
    <w:p w:rsidR="00A17BCD" w:rsidRPr="00D366BE" w:rsidRDefault="00A17BCD" w:rsidP="00A17BCD">
      <w:pPr>
        <w:spacing w:line="240" w:lineRule="auto"/>
        <w:ind w:firstLine="709"/>
        <w:contextualSpacing/>
        <w:jc w:val="both"/>
        <w:rPr>
          <w:rFonts w:ascii="Times New Roman" w:hAnsi="Times New Roman"/>
          <w:sz w:val="24"/>
          <w:szCs w:val="24"/>
        </w:rPr>
      </w:pPr>
      <w:r w:rsidRPr="00D366BE">
        <w:rPr>
          <w:rFonts w:ascii="Times New Roman" w:hAnsi="Times New Roman" w:cs="Times New Roman"/>
          <w:sz w:val="24"/>
          <w:szCs w:val="24"/>
        </w:rPr>
        <w:t xml:space="preserve">1) </w:t>
      </w:r>
      <w:r w:rsidRPr="00D366BE">
        <w:rPr>
          <w:rFonts w:ascii="Times New Roman" w:hAnsi="Times New Roman"/>
          <w:sz w:val="24"/>
          <w:szCs w:val="24"/>
        </w:rPr>
        <w:t>от Кореи</w:t>
      </w:r>
      <w:r w:rsidRPr="00D366BE">
        <w:rPr>
          <w:rStyle w:val="aff4"/>
          <w:rFonts w:eastAsia="Arial"/>
          <w:sz w:val="24"/>
          <w:szCs w:val="24"/>
        </w:rPr>
        <w:footnoteReference w:id="2"/>
      </w:r>
      <w:r w:rsidRPr="00D366BE">
        <w:rPr>
          <w:rFonts w:ascii="Times New Roman" w:hAnsi="Times New Roman"/>
          <w:sz w:val="24"/>
          <w:szCs w:val="24"/>
        </w:rPr>
        <w:t xml:space="preserve"> в полном объеме, включая острова Квельпарт,</w:t>
      </w:r>
      <w:r w:rsidRPr="00D366BE">
        <w:rPr>
          <w:rStyle w:val="aff4"/>
          <w:rFonts w:eastAsia="Arial"/>
          <w:sz w:val="24"/>
          <w:szCs w:val="24"/>
        </w:rPr>
        <w:footnoteReference w:id="3"/>
      </w:r>
      <w:r w:rsidRPr="00D366BE">
        <w:rPr>
          <w:rFonts w:ascii="Times New Roman" w:hAnsi="Times New Roman"/>
          <w:sz w:val="24"/>
          <w:szCs w:val="24"/>
        </w:rPr>
        <w:t xml:space="preserve"> порт Гамильтон и Дагелет</w:t>
      </w:r>
      <w:r>
        <w:rPr>
          <w:rFonts w:ascii="Times New Roman" w:hAnsi="Times New Roman"/>
          <w:sz w:val="24"/>
          <w:szCs w:val="24"/>
        </w:rPr>
        <w:t xml:space="preserve"> (п. а, ст. 2)</w:t>
      </w:r>
      <w:r w:rsidRPr="00D366BE">
        <w:rPr>
          <w:rFonts w:ascii="Times New Roman" w:hAnsi="Times New Roman"/>
          <w:sz w:val="24"/>
          <w:szCs w:val="24"/>
        </w:rPr>
        <w:t>;</w:t>
      </w:r>
    </w:p>
    <w:p w:rsidR="00A17BCD" w:rsidRPr="00D366BE" w:rsidRDefault="00A17BCD" w:rsidP="00A17BCD">
      <w:pPr>
        <w:spacing w:line="240" w:lineRule="auto"/>
        <w:ind w:firstLine="709"/>
        <w:contextualSpacing/>
        <w:jc w:val="both"/>
        <w:rPr>
          <w:rFonts w:ascii="Times New Roman" w:hAnsi="Times New Roman"/>
          <w:sz w:val="24"/>
          <w:szCs w:val="24"/>
        </w:rPr>
      </w:pPr>
      <w:r w:rsidRPr="00D366BE">
        <w:rPr>
          <w:rFonts w:ascii="Times New Roman" w:hAnsi="Times New Roman"/>
          <w:sz w:val="24"/>
          <w:szCs w:val="24"/>
        </w:rPr>
        <w:t xml:space="preserve">2) </w:t>
      </w:r>
      <w:r>
        <w:rPr>
          <w:rFonts w:ascii="Times New Roman" w:hAnsi="Times New Roman"/>
          <w:sz w:val="24"/>
          <w:szCs w:val="24"/>
        </w:rPr>
        <w:t xml:space="preserve">от </w:t>
      </w:r>
      <w:r w:rsidRPr="00D366BE">
        <w:rPr>
          <w:rFonts w:ascii="Times New Roman" w:hAnsi="Times New Roman"/>
          <w:sz w:val="24"/>
          <w:szCs w:val="24"/>
        </w:rPr>
        <w:t>Формозы и Пескадорских островов</w:t>
      </w:r>
      <w:r>
        <w:rPr>
          <w:rFonts w:ascii="Times New Roman" w:hAnsi="Times New Roman"/>
          <w:sz w:val="24"/>
          <w:szCs w:val="24"/>
        </w:rPr>
        <w:t xml:space="preserve"> (п. </w:t>
      </w:r>
      <w:r>
        <w:rPr>
          <w:rFonts w:ascii="Times New Roman" w:hAnsi="Times New Roman"/>
          <w:sz w:val="24"/>
          <w:szCs w:val="24"/>
          <w:lang w:val="en-US"/>
        </w:rPr>
        <w:t>b</w:t>
      </w:r>
      <w:r>
        <w:rPr>
          <w:rFonts w:ascii="Times New Roman" w:hAnsi="Times New Roman"/>
          <w:sz w:val="24"/>
          <w:szCs w:val="24"/>
        </w:rPr>
        <w:t>, ст. 2)</w:t>
      </w:r>
      <w:r w:rsidRPr="00D366BE">
        <w:rPr>
          <w:rFonts w:ascii="Times New Roman" w:hAnsi="Times New Roman"/>
          <w:sz w:val="24"/>
          <w:szCs w:val="24"/>
        </w:rPr>
        <w:t>;</w:t>
      </w:r>
    </w:p>
    <w:p w:rsidR="00A17BCD" w:rsidRPr="00D366BE" w:rsidRDefault="00A17BCD" w:rsidP="00A17BCD">
      <w:pPr>
        <w:spacing w:line="240" w:lineRule="auto"/>
        <w:ind w:firstLine="709"/>
        <w:contextualSpacing/>
        <w:jc w:val="both"/>
        <w:rPr>
          <w:rFonts w:ascii="Times New Roman" w:hAnsi="Times New Roman"/>
          <w:sz w:val="24"/>
          <w:szCs w:val="24"/>
        </w:rPr>
      </w:pPr>
      <w:r w:rsidRPr="00D366BE">
        <w:rPr>
          <w:rFonts w:ascii="Times New Roman" w:hAnsi="Times New Roman"/>
          <w:sz w:val="24"/>
          <w:szCs w:val="24"/>
        </w:rPr>
        <w:t>3) от южной части острова Сахалин и всех прилегающих к нему островов, а также от Курильских островов</w:t>
      </w:r>
      <w:r>
        <w:rPr>
          <w:rFonts w:ascii="Times New Roman" w:hAnsi="Times New Roman"/>
          <w:sz w:val="24"/>
          <w:szCs w:val="24"/>
        </w:rPr>
        <w:t xml:space="preserve"> (п. с, ст. 2)</w:t>
      </w:r>
      <w:r w:rsidRPr="00D366BE">
        <w:rPr>
          <w:rFonts w:ascii="Times New Roman" w:hAnsi="Times New Roman"/>
          <w:sz w:val="24"/>
          <w:szCs w:val="24"/>
        </w:rPr>
        <w:t>;</w:t>
      </w:r>
    </w:p>
    <w:p w:rsidR="00A17BCD" w:rsidRDefault="00A17BCD" w:rsidP="00A17BCD">
      <w:pPr>
        <w:spacing w:line="240" w:lineRule="auto"/>
        <w:ind w:firstLine="709"/>
        <w:contextualSpacing/>
        <w:jc w:val="both"/>
        <w:rPr>
          <w:rFonts w:ascii="Times New Roman" w:hAnsi="Times New Roman"/>
          <w:sz w:val="24"/>
          <w:szCs w:val="24"/>
        </w:rPr>
      </w:pPr>
      <w:r w:rsidRPr="00D366BE">
        <w:rPr>
          <w:rFonts w:ascii="Times New Roman" w:hAnsi="Times New Roman"/>
          <w:sz w:val="24"/>
          <w:szCs w:val="24"/>
        </w:rPr>
        <w:t>4) от Парасельских островов и островов Спратли</w:t>
      </w:r>
      <w:r>
        <w:rPr>
          <w:rFonts w:ascii="Times New Roman" w:hAnsi="Times New Roman"/>
          <w:sz w:val="24"/>
          <w:szCs w:val="24"/>
        </w:rPr>
        <w:t xml:space="preserve"> (п. </w:t>
      </w:r>
      <w:r>
        <w:rPr>
          <w:rFonts w:ascii="Times New Roman" w:hAnsi="Times New Roman"/>
          <w:sz w:val="24"/>
          <w:szCs w:val="24"/>
          <w:lang w:val="en-US"/>
        </w:rPr>
        <w:t>f</w:t>
      </w:r>
      <w:r>
        <w:rPr>
          <w:rFonts w:ascii="Times New Roman" w:hAnsi="Times New Roman"/>
          <w:sz w:val="24"/>
          <w:szCs w:val="24"/>
        </w:rPr>
        <w:t>, ст. 2)</w:t>
      </w:r>
      <w:r w:rsidRPr="00346F62">
        <w:rPr>
          <w:rFonts w:ascii="Times New Roman" w:hAnsi="Times New Roman"/>
          <w:sz w:val="24"/>
          <w:szCs w:val="24"/>
        </w:rPr>
        <w:t xml:space="preserve"> [1]</w:t>
      </w:r>
      <w:r w:rsidRPr="00D366BE">
        <w:rPr>
          <w:rFonts w:ascii="Times New Roman" w:hAnsi="Times New Roman"/>
          <w:sz w:val="24"/>
          <w:szCs w:val="24"/>
        </w:rPr>
        <w:t>.</w:t>
      </w:r>
    </w:p>
    <w:p w:rsidR="00A17BCD" w:rsidRDefault="00A17BCD" w:rsidP="00A17BCD">
      <w:pPr>
        <w:spacing w:line="240" w:lineRule="auto"/>
        <w:ind w:firstLine="709"/>
        <w:contextualSpacing/>
        <w:jc w:val="both"/>
        <w:rPr>
          <w:rFonts w:ascii="Times New Roman" w:hAnsi="Times New Roman" w:cs="Times New Roman"/>
          <w:sz w:val="24"/>
          <w:szCs w:val="24"/>
        </w:rPr>
      </w:pPr>
      <w:r w:rsidRPr="00D366BE">
        <w:rPr>
          <w:rFonts w:ascii="Times New Roman" w:hAnsi="Times New Roman"/>
          <w:sz w:val="24"/>
          <w:szCs w:val="24"/>
        </w:rPr>
        <w:t xml:space="preserve">Несовершенство составленного текста связанно с тем, что в статье второй не указано в пользу кого Япония отказывается от перечисленных территорий, данное обстоятельство сыграло ключевую роль в территориальной борьбе за Парасельские острова и острова </w:t>
      </w:r>
      <w:r w:rsidRPr="00A76296">
        <w:rPr>
          <w:rFonts w:ascii="Times New Roman" w:hAnsi="Times New Roman"/>
          <w:sz w:val="24"/>
          <w:szCs w:val="24"/>
        </w:rPr>
        <w:t>Спратли</w:t>
      </w:r>
      <w:r>
        <w:rPr>
          <w:rFonts w:ascii="Times New Roman" w:hAnsi="Times New Roman"/>
          <w:sz w:val="24"/>
          <w:szCs w:val="24"/>
        </w:rPr>
        <w:t>, между Китаем,</w:t>
      </w:r>
      <w:r w:rsidRPr="00D366BE">
        <w:rPr>
          <w:rFonts w:ascii="Times New Roman" w:hAnsi="Times New Roman"/>
          <w:sz w:val="24"/>
          <w:szCs w:val="24"/>
        </w:rPr>
        <w:t xml:space="preserve"> Вьетнамом</w:t>
      </w:r>
      <w:r>
        <w:rPr>
          <w:rFonts w:ascii="Times New Roman" w:hAnsi="Times New Roman"/>
          <w:sz w:val="24"/>
          <w:szCs w:val="24"/>
        </w:rPr>
        <w:t>, Филиппинами, Малайзией, Тайванем и Брунеем</w:t>
      </w:r>
      <w:r w:rsidRPr="00D366BE">
        <w:rPr>
          <w:rFonts w:ascii="Times New Roman" w:hAnsi="Times New Roman"/>
          <w:sz w:val="24"/>
          <w:szCs w:val="24"/>
        </w:rPr>
        <w:t>. Также</w:t>
      </w:r>
      <w:r>
        <w:rPr>
          <w:rFonts w:ascii="Times New Roman" w:hAnsi="Times New Roman"/>
          <w:sz w:val="24"/>
          <w:szCs w:val="24"/>
        </w:rPr>
        <w:t>,</w:t>
      </w:r>
      <w:r w:rsidRPr="00D366BE">
        <w:rPr>
          <w:rFonts w:ascii="Times New Roman" w:hAnsi="Times New Roman"/>
          <w:sz w:val="24"/>
          <w:szCs w:val="24"/>
        </w:rPr>
        <w:t xml:space="preserve"> в тексте не конкретизировано, что именно толкуется под данными территориями. В связи с чем, можно задаться вопросом, является ли указанное несовершенство текста – ошибкой составителей договора или преднамеренным действием со стороны Соединенных Штатов и Великобритании. </w:t>
      </w:r>
      <w:r w:rsidRPr="00D366BE">
        <w:rPr>
          <w:rFonts w:ascii="Times New Roman" w:hAnsi="Times New Roman" w:cs="Times New Roman"/>
          <w:sz w:val="24"/>
          <w:szCs w:val="24"/>
        </w:rPr>
        <w:t xml:space="preserve"> </w:t>
      </w:r>
    </w:p>
    <w:p w:rsidR="00A17BCD" w:rsidRPr="00D366BE" w:rsidRDefault="00A17BCD" w:rsidP="00A17BCD">
      <w:pPr>
        <w:spacing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В связи с эти Советским Союзом было предложено решение проблемы, путем внесения поправок в проект Договора. Так, и</w:t>
      </w:r>
      <w:r w:rsidRPr="00D366BE">
        <w:rPr>
          <w:rFonts w:ascii="Times New Roman" w:hAnsi="Times New Roman" w:cs="Times New Roman"/>
          <w:sz w:val="24"/>
          <w:szCs w:val="24"/>
        </w:rPr>
        <w:t>з речи А.А. Громыко можно сделать выводы, какие конкретно предложения о внесении изменений в договор были проигнорированы участниками конференции: «Учитывая, что американо-английский проект мирного договора с Японией не отвечает тем требованиям, которые предъявляются к мирному договору с Японией, Советская делегация предлагает внести следующие поправки к проекту мирного договора, внесенному правительствами США и Великобритании на рассмотрение конференции.</w:t>
      </w:r>
    </w:p>
    <w:p w:rsidR="00A17BCD" w:rsidRPr="00D366BE" w:rsidRDefault="00A17BCD" w:rsidP="00A17BCD">
      <w:pPr>
        <w:spacing w:line="240" w:lineRule="auto"/>
        <w:ind w:firstLine="709"/>
        <w:contextualSpacing/>
        <w:jc w:val="both"/>
        <w:rPr>
          <w:rFonts w:ascii="Times New Roman" w:hAnsi="Times New Roman" w:cs="Times New Roman"/>
          <w:sz w:val="24"/>
          <w:szCs w:val="24"/>
        </w:rPr>
      </w:pPr>
      <w:r w:rsidRPr="00D366BE">
        <w:rPr>
          <w:rFonts w:ascii="Times New Roman" w:hAnsi="Times New Roman" w:cs="Times New Roman"/>
          <w:sz w:val="24"/>
          <w:szCs w:val="24"/>
        </w:rPr>
        <w:t>1. По статье 2.</w:t>
      </w:r>
    </w:p>
    <w:p w:rsidR="00A17BCD" w:rsidRPr="00D366BE" w:rsidRDefault="00A17BCD" w:rsidP="00A17BCD">
      <w:pPr>
        <w:spacing w:line="240" w:lineRule="auto"/>
        <w:ind w:firstLine="709"/>
        <w:contextualSpacing/>
        <w:jc w:val="both"/>
        <w:rPr>
          <w:rFonts w:ascii="Times New Roman" w:hAnsi="Times New Roman" w:cs="Times New Roman"/>
          <w:sz w:val="24"/>
          <w:szCs w:val="24"/>
        </w:rPr>
      </w:pPr>
      <w:r w:rsidRPr="00D366BE">
        <w:rPr>
          <w:rFonts w:ascii="Times New Roman" w:hAnsi="Times New Roman" w:cs="Times New Roman"/>
          <w:sz w:val="24"/>
          <w:szCs w:val="24"/>
        </w:rPr>
        <w:t>А) Вместо пунктов «b» и «f» включить пункт в следующей редакции:</w:t>
      </w:r>
    </w:p>
    <w:p w:rsidR="00A17BCD" w:rsidRPr="00D366BE" w:rsidRDefault="00A17BCD" w:rsidP="00A17BCD">
      <w:pPr>
        <w:spacing w:line="240" w:lineRule="auto"/>
        <w:ind w:firstLine="709"/>
        <w:contextualSpacing/>
        <w:jc w:val="both"/>
        <w:rPr>
          <w:rFonts w:ascii="Times New Roman" w:hAnsi="Times New Roman" w:cs="Times New Roman"/>
          <w:sz w:val="24"/>
          <w:szCs w:val="24"/>
        </w:rPr>
      </w:pPr>
      <w:r w:rsidRPr="00D366BE">
        <w:rPr>
          <w:rFonts w:ascii="Times New Roman" w:hAnsi="Times New Roman" w:cs="Times New Roman"/>
          <w:sz w:val="24"/>
          <w:szCs w:val="24"/>
        </w:rPr>
        <w:t>«Япония признает полный суверенитет Китайской Народной Республики над Маньчжурией, островами Тайванем (Формоза) со всеми прилегающими к нему островами, над островами Пэнхуледао (Пескадорские), островами Дуишацюньдао (о-ва Иратас), а также над островами Сишацюньдао и Чжуншацюньдао (о-ва Парасель-ские, группа Амфитриты и банка Макксилфилд) и островами Наньшацюньдао, включая о-в Спратли, и отказывается от всех прав, правооснований и претензий на названные в этой статье территории»;</w:t>
      </w:r>
    </w:p>
    <w:p w:rsidR="00A17BCD" w:rsidRPr="00D366BE" w:rsidRDefault="00A17BCD" w:rsidP="00A17BCD">
      <w:pPr>
        <w:spacing w:line="240" w:lineRule="auto"/>
        <w:ind w:firstLine="709"/>
        <w:contextualSpacing/>
        <w:jc w:val="both"/>
        <w:rPr>
          <w:rFonts w:ascii="Times New Roman" w:hAnsi="Times New Roman" w:cs="Times New Roman"/>
          <w:sz w:val="24"/>
          <w:szCs w:val="24"/>
        </w:rPr>
      </w:pPr>
      <w:r w:rsidRPr="00D366BE">
        <w:rPr>
          <w:rFonts w:ascii="Times New Roman" w:hAnsi="Times New Roman" w:cs="Times New Roman"/>
          <w:sz w:val="24"/>
          <w:szCs w:val="24"/>
        </w:rPr>
        <w:t>Б) Пункт «с» изложить в следующей редакции:</w:t>
      </w:r>
    </w:p>
    <w:p w:rsidR="00A17BCD" w:rsidRPr="00D366BE" w:rsidRDefault="00A17BCD" w:rsidP="00A17BCD">
      <w:pPr>
        <w:spacing w:line="240" w:lineRule="auto"/>
        <w:ind w:firstLine="709"/>
        <w:contextualSpacing/>
        <w:jc w:val="both"/>
        <w:rPr>
          <w:rFonts w:ascii="Times New Roman" w:hAnsi="Times New Roman" w:cs="Times New Roman"/>
          <w:sz w:val="24"/>
          <w:szCs w:val="24"/>
        </w:rPr>
      </w:pPr>
      <w:r w:rsidRPr="00D366BE">
        <w:rPr>
          <w:rFonts w:ascii="Times New Roman" w:hAnsi="Times New Roman" w:cs="Times New Roman"/>
          <w:sz w:val="24"/>
          <w:szCs w:val="24"/>
        </w:rPr>
        <w:t>«Япония признает полный суверенитет Союза Советских Социалистических Республик на южную часть острова Сахалина, со всеми прилегающими к ней островами и на Курильские острова и отказывается от всех прав, правооснований и претензий на эти территории»</w:t>
      </w:r>
    </w:p>
    <w:p w:rsidR="00A17BCD" w:rsidRPr="00D366BE" w:rsidRDefault="00A17BCD" w:rsidP="00A17BCD">
      <w:pPr>
        <w:spacing w:line="240" w:lineRule="auto"/>
        <w:ind w:firstLine="709"/>
        <w:contextualSpacing/>
        <w:jc w:val="both"/>
        <w:rPr>
          <w:rFonts w:ascii="Times New Roman" w:hAnsi="Times New Roman" w:cs="Times New Roman"/>
          <w:sz w:val="24"/>
          <w:szCs w:val="24"/>
        </w:rPr>
      </w:pPr>
      <w:r w:rsidRPr="00D366BE">
        <w:rPr>
          <w:rFonts w:ascii="Times New Roman" w:hAnsi="Times New Roman" w:cs="Times New Roman"/>
          <w:sz w:val="24"/>
          <w:szCs w:val="24"/>
        </w:rPr>
        <w:t>2. По статье 3. Изложить статью в следующей редакции:</w:t>
      </w:r>
    </w:p>
    <w:p w:rsidR="00A17BCD" w:rsidRDefault="00A17BCD" w:rsidP="00A17BCD">
      <w:pPr>
        <w:spacing w:line="240" w:lineRule="auto"/>
        <w:ind w:firstLine="709"/>
        <w:contextualSpacing/>
        <w:jc w:val="both"/>
        <w:rPr>
          <w:rFonts w:ascii="Times New Roman" w:hAnsi="Times New Roman" w:cs="Times New Roman"/>
          <w:sz w:val="24"/>
          <w:szCs w:val="24"/>
        </w:rPr>
      </w:pPr>
      <w:r w:rsidRPr="00D366BE">
        <w:rPr>
          <w:rFonts w:ascii="Times New Roman" w:hAnsi="Times New Roman" w:cs="Times New Roman"/>
          <w:sz w:val="24"/>
          <w:szCs w:val="24"/>
        </w:rPr>
        <w:t>«Суверенитет Японии будет распространяться на территорию,</w:t>
      </w:r>
      <w:r>
        <w:rPr>
          <w:rFonts w:ascii="Times New Roman" w:hAnsi="Times New Roman" w:cs="Times New Roman"/>
          <w:sz w:val="24"/>
          <w:szCs w:val="24"/>
        </w:rPr>
        <w:t xml:space="preserve"> </w:t>
      </w:r>
      <w:r w:rsidRPr="00D366BE">
        <w:rPr>
          <w:rFonts w:ascii="Times New Roman" w:hAnsi="Times New Roman" w:cs="Times New Roman"/>
          <w:sz w:val="24"/>
          <w:szCs w:val="24"/>
        </w:rPr>
        <w:t>состоящую из островов Хонсю, Кюсю, Сикоку, Хоккайдо, а также Рюкю, Бонин, Розарио, Волкано, Парес Вела, Маркус, Цусима и другие острова, входившие в состав Японии до 7 декабря 1941 г., за исключением тех территорий и островов, которые указаны в ст. 2» [</w:t>
      </w:r>
      <w:r>
        <w:rPr>
          <w:rFonts w:ascii="Times New Roman" w:hAnsi="Times New Roman" w:cs="Times New Roman"/>
          <w:sz w:val="24"/>
          <w:szCs w:val="24"/>
        </w:rPr>
        <w:t>2</w:t>
      </w:r>
      <w:r w:rsidRPr="00D366BE">
        <w:rPr>
          <w:rFonts w:ascii="Times New Roman" w:hAnsi="Times New Roman" w:cs="Times New Roman"/>
          <w:sz w:val="24"/>
          <w:szCs w:val="24"/>
        </w:rPr>
        <w:t>].</w:t>
      </w:r>
    </w:p>
    <w:p w:rsidR="00A17BCD" w:rsidRPr="00D366BE" w:rsidRDefault="00A17BCD" w:rsidP="00A17BCD">
      <w:pPr>
        <w:spacing w:line="240" w:lineRule="auto"/>
        <w:ind w:firstLine="709"/>
        <w:contextualSpacing/>
        <w:jc w:val="both"/>
        <w:rPr>
          <w:rFonts w:ascii="Times New Roman" w:hAnsi="Times New Roman"/>
          <w:sz w:val="24"/>
          <w:szCs w:val="24"/>
        </w:rPr>
      </w:pPr>
      <w:r>
        <w:rPr>
          <w:rFonts w:ascii="Times New Roman" w:hAnsi="Times New Roman" w:cs="Times New Roman"/>
          <w:sz w:val="24"/>
          <w:szCs w:val="24"/>
        </w:rPr>
        <w:t>Таким образом, советской стороной было предложено разрешение проблемы путем уточнения, в пользу кого отказывается Япония, от изложенных в статье второй территорий, а также определение границ Японии после того, как Договор вступит в силу.</w:t>
      </w:r>
    </w:p>
    <w:p w:rsidR="00A17BCD" w:rsidRPr="00D366BE" w:rsidRDefault="00A17BCD" w:rsidP="00A17BCD">
      <w:pPr>
        <w:spacing w:line="240" w:lineRule="auto"/>
        <w:ind w:firstLine="709"/>
        <w:contextualSpacing/>
        <w:jc w:val="both"/>
        <w:rPr>
          <w:rFonts w:ascii="Times New Roman" w:hAnsi="Times New Roman" w:cs="Times New Roman"/>
          <w:sz w:val="24"/>
          <w:szCs w:val="24"/>
        </w:rPr>
      </w:pPr>
      <w:r w:rsidRPr="00D366BE">
        <w:rPr>
          <w:rFonts w:ascii="Times New Roman" w:hAnsi="Times New Roman" w:cs="Times New Roman"/>
          <w:sz w:val="24"/>
          <w:szCs w:val="24"/>
        </w:rPr>
        <w:t xml:space="preserve">Проблемы, которые возникли между Японией и СССР и рядом других стран были спрогнозированы еще до вступления </w:t>
      </w:r>
      <w:r>
        <w:rPr>
          <w:rFonts w:ascii="Times New Roman" w:hAnsi="Times New Roman" w:cs="Times New Roman"/>
          <w:sz w:val="24"/>
          <w:szCs w:val="24"/>
        </w:rPr>
        <w:t>М</w:t>
      </w:r>
      <w:r w:rsidRPr="00D366BE">
        <w:rPr>
          <w:rFonts w:ascii="Times New Roman" w:hAnsi="Times New Roman" w:cs="Times New Roman"/>
          <w:sz w:val="24"/>
          <w:szCs w:val="24"/>
        </w:rPr>
        <w:t>ирного договора 1951 года в силу, посколь</w:t>
      </w:r>
      <w:r>
        <w:rPr>
          <w:rFonts w:ascii="Times New Roman" w:hAnsi="Times New Roman" w:cs="Times New Roman"/>
          <w:sz w:val="24"/>
          <w:szCs w:val="24"/>
        </w:rPr>
        <w:t>ку к тому времени уже началась холодная война</w:t>
      </w:r>
      <w:r w:rsidRPr="00D366BE">
        <w:rPr>
          <w:rFonts w:ascii="Times New Roman" w:hAnsi="Times New Roman" w:cs="Times New Roman"/>
          <w:sz w:val="24"/>
          <w:szCs w:val="24"/>
        </w:rPr>
        <w:t>. США с Великобританией, составившие текст мирного договора сделали все, чтобы СССР никак не мог изменить условия договора в соответствии со своими интересами на Сан-Францисской конференции. Из информационных бюллетеней Госдепартамента США следует, что на ход событий повлияла война в Корее, которая началась 25 июня 1950 года [</w:t>
      </w:r>
      <w:r>
        <w:rPr>
          <w:rFonts w:ascii="Times New Roman" w:hAnsi="Times New Roman" w:cs="Times New Roman"/>
          <w:sz w:val="24"/>
          <w:szCs w:val="24"/>
        </w:rPr>
        <w:t>3</w:t>
      </w:r>
      <w:r w:rsidRPr="00D366BE">
        <w:rPr>
          <w:rFonts w:ascii="Times New Roman" w:hAnsi="Times New Roman" w:cs="Times New Roman"/>
          <w:sz w:val="24"/>
          <w:szCs w:val="24"/>
        </w:rPr>
        <w:t>, с. 114]. Данная война показала Соединенным Штатам, какое важное стратегическое значение имеет Япония для противостояния «распространению коммунизма в Азии». Корейская война для руководства Америки играла большую роль, чем победа коммунизма в Китае 1949 года, поскольку подтвердила тенденцию к « силовому наступлению коммунистического мира» в различных регионах. В связи с этим, политика США и Японии сходилась в том, что необходимо скорее заключить договор и сделать Японию добровольным союзником Соединенных Штатов на Дальнем Востоке. Соединенные Штаты считали, что включение независимой Японии в союзники США сделает их союз наиболее эффективным, чем участие в нем оккупированной Японии [</w:t>
      </w:r>
      <w:r>
        <w:rPr>
          <w:rFonts w:ascii="Times New Roman" w:hAnsi="Times New Roman" w:cs="Times New Roman"/>
          <w:sz w:val="24"/>
          <w:szCs w:val="24"/>
        </w:rPr>
        <w:t>4</w:t>
      </w:r>
      <w:r w:rsidRPr="00D366BE">
        <w:rPr>
          <w:rFonts w:ascii="Times New Roman" w:hAnsi="Times New Roman" w:cs="Times New Roman"/>
          <w:sz w:val="24"/>
          <w:szCs w:val="24"/>
        </w:rPr>
        <w:t>].</w:t>
      </w:r>
    </w:p>
    <w:p w:rsidR="00A17BCD" w:rsidRPr="00D366BE" w:rsidRDefault="00A17BCD" w:rsidP="00A17BCD">
      <w:pPr>
        <w:spacing w:line="240" w:lineRule="auto"/>
        <w:ind w:firstLine="709"/>
        <w:contextualSpacing/>
        <w:jc w:val="both"/>
        <w:rPr>
          <w:rFonts w:ascii="Times New Roman" w:hAnsi="Times New Roman" w:cs="Times New Roman"/>
          <w:sz w:val="24"/>
          <w:szCs w:val="24"/>
        </w:rPr>
      </w:pPr>
      <w:r w:rsidRPr="00D366BE">
        <w:rPr>
          <w:rFonts w:ascii="Times New Roman" w:hAnsi="Times New Roman" w:cs="Times New Roman"/>
          <w:sz w:val="24"/>
          <w:szCs w:val="24"/>
        </w:rPr>
        <w:t xml:space="preserve"> Так, ранее упомянутые действия США и Великобритании, были обговорены между союзниками еще до начала конференции, а страны, участвовавшие в этой конференции, были приглашены США, многие из которых внесли не то, что минимальный вклад в поражение Японии, а более того, участвовали в войне с ней лишь формально. «Для того чтобы, утвердить англо-американскую заготовку, был подобран состав </w:t>
      </w:r>
      <w:r>
        <w:rPr>
          <w:rFonts w:ascii="Times New Roman" w:hAnsi="Times New Roman" w:cs="Times New Roman"/>
          <w:sz w:val="24"/>
          <w:szCs w:val="24"/>
        </w:rPr>
        <w:t>у</w:t>
      </w:r>
      <w:r w:rsidRPr="00D366BE">
        <w:rPr>
          <w:rFonts w:ascii="Times New Roman" w:hAnsi="Times New Roman" w:cs="Times New Roman"/>
          <w:sz w:val="24"/>
          <w:szCs w:val="24"/>
        </w:rPr>
        <w:t>частников подписания, в основном из стран проамериканской ориентации. В Сан-Франциско были приглашены представители 21 латиноамерик</w:t>
      </w:r>
      <w:r>
        <w:rPr>
          <w:rFonts w:ascii="Times New Roman" w:hAnsi="Times New Roman" w:cs="Times New Roman"/>
          <w:sz w:val="24"/>
          <w:szCs w:val="24"/>
        </w:rPr>
        <w:t>анских, 7 европейских,</w:t>
      </w:r>
      <w:r w:rsidRPr="00D366BE">
        <w:rPr>
          <w:rFonts w:ascii="Times New Roman" w:hAnsi="Times New Roman" w:cs="Times New Roman"/>
          <w:sz w:val="24"/>
          <w:szCs w:val="24"/>
        </w:rPr>
        <w:t xml:space="preserve"> 7 африканских государств. Страны же, много лет сражавшиеся с японскими агрессорам и больше всех пострадавшие от них, на конференцию были не допущены</w:t>
      </w:r>
      <w:r>
        <w:rPr>
          <w:rFonts w:ascii="Times New Roman" w:hAnsi="Times New Roman" w:cs="Times New Roman"/>
          <w:sz w:val="24"/>
          <w:szCs w:val="24"/>
        </w:rPr>
        <w:t>.</w:t>
      </w:r>
      <w:r w:rsidRPr="00D366BE">
        <w:rPr>
          <w:rFonts w:ascii="Times New Roman" w:hAnsi="Times New Roman" w:cs="Times New Roman"/>
          <w:sz w:val="24"/>
          <w:szCs w:val="24"/>
        </w:rPr>
        <w:t xml:space="preserve"> Не получили приглашения КНР, КНДР, ДРВ, Монгольская Народная Республика» [</w:t>
      </w:r>
      <w:r w:rsidRPr="00346F62">
        <w:rPr>
          <w:rFonts w:ascii="Times New Roman" w:hAnsi="Times New Roman" w:cs="Times New Roman"/>
          <w:sz w:val="24"/>
          <w:szCs w:val="24"/>
        </w:rPr>
        <w:t>2</w:t>
      </w:r>
      <w:r w:rsidRPr="00D366BE">
        <w:rPr>
          <w:rFonts w:ascii="Times New Roman" w:hAnsi="Times New Roman" w:cs="Times New Roman"/>
          <w:sz w:val="24"/>
          <w:szCs w:val="24"/>
        </w:rPr>
        <w:t xml:space="preserve">, с. 131] . Все поправки и предложения, вносимые Советским Союзом, не были вынесены на обсуждение. </w:t>
      </w:r>
    </w:p>
    <w:p w:rsidR="00A17BCD" w:rsidRPr="00D366BE" w:rsidRDefault="00A17BCD" w:rsidP="00A17BCD">
      <w:pPr>
        <w:spacing w:line="240" w:lineRule="auto"/>
        <w:ind w:firstLine="709"/>
        <w:contextualSpacing/>
        <w:jc w:val="both"/>
        <w:rPr>
          <w:rFonts w:ascii="Times New Roman" w:hAnsi="Times New Roman" w:cs="Times New Roman"/>
          <w:sz w:val="24"/>
          <w:szCs w:val="24"/>
        </w:rPr>
      </w:pPr>
      <w:r w:rsidRPr="00D366BE">
        <w:rPr>
          <w:rFonts w:ascii="Times New Roman" w:hAnsi="Times New Roman" w:cs="Times New Roman"/>
          <w:sz w:val="24"/>
          <w:szCs w:val="24"/>
        </w:rPr>
        <w:t xml:space="preserve">Данная конференция была охарактеризована первым заместителем министра иностранных дел Советского Союза – А.А. Громыко как конференция с целью создания сепаратной сделки между Японией </w:t>
      </w:r>
      <w:r>
        <w:rPr>
          <w:rFonts w:ascii="Times New Roman" w:hAnsi="Times New Roman" w:cs="Times New Roman"/>
          <w:sz w:val="24"/>
          <w:szCs w:val="24"/>
        </w:rPr>
        <w:t xml:space="preserve">с </w:t>
      </w:r>
      <w:r w:rsidRPr="00D366BE">
        <w:rPr>
          <w:rFonts w:ascii="Times New Roman" w:hAnsi="Times New Roman" w:cs="Times New Roman"/>
          <w:sz w:val="24"/>
          <w:szCs w:val="24"/>
        </w:rPr>
        <w:t xml:space="preserve">США </w:t>
      </w:r>
      <w:r>
        <w:rPr>
          <w:rFonts w:ascii="Times New Roman" w:hAnsi="Times New Roman" w:cs="Times New Roman"/>
          <w:sz w:val="24"/>
          <w:szCs w:val="24"/>
        </w:rPr>
        <w:t>и</w:t>
      </w:r>
      <w:r w:rsidRPr="00D366BE">
        <w:rPr>
          <w:rFonts w:ascii="Times New Roman" w:hAnsi="Times New Roman" w:cs="Times New Roman"/>
          <w:sz w:val="24"/>
          <w:szCs w:val="24"/>
        </w:rPr>
        <w:t xml:space="preserve"> Великобританией</w:t>
      </w:r>
      <w:r>
        <w:rPr>
          <w:rFonts w:ascii="Times New Roman" w:hAnsi="Times New Roman" w:cs="Times New Roman"/>
          <w:sz w:val="24"/>
          <w:szCs w:val="24"/>
        </w:rPr>
        <w:t xml:space="preserve">. При этом в Потсдамких соглашениях был определен порядок подготовки мирного договора с Японией, в котором предусматривалось, что </w:t>
      </w:r>
      <w:r w:rsidRPr="00D366BE">
        <w:rPr>
          <w:rFonts w:ascii="Times New Roman" w:hAnsi="Times New Roman" w:cs="Times New Roman"/>
          <w:sz w:val="24"/>
          <w:szCs w:val="24"/>
        </w:rPr>
        <w:t>с государствами, находившимися в войне с союзными и соединенными державами, не должны быть заключены сепаратные мирные договоры. В Потсдамском соглашении прямо указывается, что Совет министров иностранных дел создается в первую очередь для "подготовительной работы по мирному урегулированию" и что при составлении соответствующих мирных договоров "совет будет состоять из членов, представляющих те государства, которые подписали условия капитуляции, продиктованные тому вражескому государству, которого касается данная задача".[1] Таким образом, в вопросе о порядке подготовки мирного договора с Японией не</w:t>
      </w:r>
      <w:r>
        <w:rPr>
          <w:rFonts w:ascii="Times New Roman" w:hAnsi="Times New Roman" w:cs="Times New Roman"/>
          <w:sz w:val="24"/>
          <w:szCs w:val="24"/>
        </w:rPr>
        <w:t xml:space="preserve"> было</w:t>
      </w:r>
      <w:r w:rsidRPr="00D366BE">
        <w:rPr>
          <w:rFonts w:ascii="Times New Roman" w:hAnsi="Times New Roman" w:cs="Times New Roman"/>
          <w:sz w:val="24"/>
          <w:szCs w:val="24"/>
        </w:rPr>
        <w:t xml:space="preserve"> никакой неясности</w:t>
      </w:r>
      <w:r>
        <w:rPr>
          <w:rFonts w:ascii="Times New Roman" w:hAnsi="Times New Roman" w:cs="Times New Roman"/>
          <w:sz w:val="24"/>
          <w:szCs w:val="24"/>
        </w:rPr>
        <w:t xml:space="preserve">». </w:t>
      </w:r>
    </w:p>
    <w:p w:rsidR="00A17BCD" w:rsidRDefault="00A17BCD" w:rsidP="00A17BCD">
      <w:pPr>
        <w:spacing w:line="240" w:lineRule="auto"/>
        <w:ind w:firstLine="709"/>
        <w:contextualSpacing/>
        <w:jc w:val="both"/>
        <w:rPr>
          <w:rFonts w:ascii="Times New Roman" w:hAnsi="Times New Roman" w:cs="Times New Roman"/>
          <w:sz w:val="24"/>
          <w:szCs w:val="24"/>
        </w:rPr>
      </w:pPr>
      <w:r w:rsidRPr="00D366BE">
        <w:rPr>
          <w:rFonts w:ascii="Times New Roman" w:hAnsi="Times New Roman" w:cs="Times New Roman"/>
          <w:sz w:val="24"/>
          <w:szCs w:val="24"/>
        </w:rPr>
        <w:t xml:space="preserve">Таким образом, можно констатировать, что </w:t>
      </w:r>
      <w:r>
        <w:rPr>
          <w:rFonts w:ascii="Times New Roman" w:hAnsi="Times New Roman" w:cs="Times New Roman"/>
          <w:sz w:val="24"/>
          <w:szCs w:val="24"/>
        </w:rPr>
        <w:t xml:space="preserve">большая часть территориальных споров в странах АТР – </w:t>
      </w:r>
      <w:r w:rsidRPr="00D366BE">
        <w:rPr>
          <w:rFonts w:ascii="Times New Roman" w:hAnsi="Times New Roman" w:cs="Times New Roman"/>
          <w:sz w:val="24"/>
          <w:szCs w:val="24"/>
        </w:rPr>
        <w:t>резуль</w:t>
      </w:r>
      <w:r>
        <w:rPr>
          <w:rFonts w:ascii="Times New Roman" w:hAnsi="Times New Roman" w:cs="Times New Roman"/>
          <w:sz w:val="24"/>
          <w:szCs w:val="24"/>
        </w:rPr>
        <w:t xml:space="preserve">тат Сан-Францисской конференции, которая </w:t>
      </w:r>
      <w:r w:rsidRPr="00D366BE">
        <w:rPr>
          <w:rFonts w:ascii="Times New Roman" w:hAnsi="Times New Roman" w:cs="Times New Roman"/>
          <w:sz w:val="24"/>
          <w:szCs w:val="24"/>
        </w:rPr>
        <w:t>является ничем иным</w:t>
      </w:r>
      <w:r>
        <w:rPr>
          <w:rFonts w:ascii="Times New Roman" w:hAnsi="Times New Roman" w:cs="Times New Roman"/>
          <w:sz w:val="24"/>
          <w:szCs w:val="24"/>
        </w:rPr>
        <w:t>,</w:t>
      </w:r>
      <w:r w:rsidRPr="00D366BE">
        <w:rPr>
          <w:rFonts w:ascii="Times New Roman" w:hAnsi="Times New Roman" w:cs="Times New Roman"/>
          <w:sz w:val="24"/>
          <w:szCs w:val="24"/>
        </w:rPr>
        <w:t xml:space="preserve"> как</w:t>
      </w:r>
      <w:r>
        <w:rPr>
          <w:rFonts w:ascii="Times New Roman" w:hAnsi="Times New Roman" w:cs="Times New Roman"/>
          <w:sz w:val="24"/>
          <w:szCs w:val="24"/>
        </w:rPr>
        <w:t xml:space="preserve"> осознанным политическим маневром Соединенных Штатов, с целью получения нового союзника в лице Японии на фоне </w:t>
      </w:r>
      <w:r w:rsidRPr="00D366BE">
        <w:rPr>
          <w:rFonts w:ascii="Times New Roman" w:hAnsi="Times New Roman" w:cs="Times New Roman"/>
          <w:sz w:val="24"/>
          <w:szCs w:val="24"/>
        </w:rPr>
        <w:t xml:space="preserve"> обостренных отношений между коммунистическим и капиталистическим блоком государств, которое называется </w:t>
      </w:r>
      <w:r w:rsidRPr="00965A16">
        <w:rPr>
          <w:rFonts w:ascii="Times New Roman" w:hAnsi="Times New Roman" w:cs="Times New Roman"/>
          <w:sz w:val="24"/>
          <w:szCs w:val="24"/>
        </w:rPr>
        <w:t>холодной войной.</w:t>
      </w:r>
      <w:r w:rsidRPr="00D366BE">
        <w:rPr>
          <w:rFonts w:ascii="Times New Roman" w:hAnsi="Times New Roman" w:cs="Times New Roman"/>
          <w:sz w:val="24"/>
          <w:szCs w:val="24"/>
        </w:rPr>
        <w:t xml:space="preserve"> Поскольку очевидно, что все предложенные проекты, в том числе, выносимые Советским Союзом, способные </w:t>
      </w:r>
      <w:r>
        <w:rPr>
          <w:rFonts w:ascii="Times New Roman" w:hAnsi="Times New Roman" w:cs="Times New Roman"/>
          <w:sz w:val="24"/>
          <w:szCs w:val="24"/>
        </w:rPr>
        <w:t>предотвратить</w:t>
      </w:r>
      <w:r w:rsidRPr="00D366BE">
        <w:rPr>
          <w:rFonts w:ascii="Times New Roman" w:hAnsi="Times New Roman" w:cs="Times New Roman"/>
          <w:sz w:val="24"/>
          <w:szCs w:val="24"/>
        </w:rPr>
        <w:t xml:space="preserve"> будущие территориальные вопросы, были осознанно проигнорированы участниками конференции. Также ясны цели Соединенных Штатов как государства составителя текста Договора – получение нового союзника в лице Японии, в том числе, за счет составления максимально благоприятного Мирного договора с ней, а также создать проблемы коммунистическим странам. На наш взгляд, ни о какой ошибки</w:t>
      </w:r>
      <w:r>
        <w:rPr>
          <w:rFonts w:ascii="Times New Roman" w:hAnsi="Times New Roman" w:cs="Times New Roman"/>
          <w:sz w:val="24"/>
          <w:szCs w:val="24"/>
        </w:rPr>
        <w:t xml:space="preserve"> составителей текста договора</w:t>
      </w:r>
      <w:r w:rsidRPr="00D366BE">
        <w:rPr>
          <w:rFonts w:ascii="Times New Roman" w:hAnsi="Times New Roman" w:cs="Times New Roman"/>
          <w:sz w:val="24"/>
          <w:szCs w:val="24"/>
        </w:rPr>
        <w:t xml:space="preserve"> речи идти не может. </w:t>
      </w:r>
    </w:p>
    <w:p w:rsidR="00A17BCD" w:rsidRPr="00AE75A0" w:rsidRDefault="00A17BCD" w:rsidP="00A17BCD">
      <w:pPr>
        <w:pBdr>
          <w:bottom w:val="single" w:sz="12" w:space="1" w:color="auto"/>
        </w:pBdr>
        <w:spacing w:line="240" w:lineRule="auto"/>
        <w:contextualSpacing/>
        <w:jc w:val="both"/>
        <w:rPr>
          <w:rFonts w:ascii="Times New Roman" w:hAnsi="Times New Roman" w:cs="Times New Roman"/>
          <w:sz w:val="24"/>
          <w:szCs w:val="24"/>
        </w:rPr>
      </w:pPr>
    </w:p>
    <w:p w:rsidR="00A17BCD" w:rsidRPr="00A3024E" w:rsidRDefault="00A17BCD" w:rsidP="00A17BCD">
      <w:pPr>
        <w:spacing w:after="0" w:line="240" w:lineRule="auto"/>
        <w:ind w:firstLine="709"/>
        <w:contextualSpacing/>
        <w:jc w:val="both"/>
        <w:rPr>
          <w:rFonts w:ascii="Times New Roman" w:hAnsi="Times New Roman" w:cs="Times New Roman"/>
          <w:sz w:val="24"/>
          <w:szCs w:val="24"/>
        </w:rPr>
      </w:pPr>
      <w:r w:rsidRPr="00346F62">
        <w:rPr>
          <w:rFonts w:ascii="Times New Roman" w:hAnsi="Times New Roman" w:cs="Times New Roman"/>
          <w:sz w:val="24"/>
          <w:szCs w:val="24"/>
        </w:rPr>
        <w:t xml:space="preserve">1. </w:t>
      </w:r>
      <w:r w:rsidRPr="00A3024E">
        <w:rPr>
          <w:rFonts w:ascii="Times New Roman" w:hAnsi="Times New Roman" w:cs="Times New Roman"/>
          <w:sz w:val="24"/>
          <w:szCs w:val="24"/>
        </w:rPr>
        <w:t>Мирный договор с Японией: подписан в Сан-Франциско 08 сентября 1951 года; вступ. в силу 28 апреля 1952 г. [Электронный ресурс] // Рос. гос. архив ВМФ. – Режим доступа:</w:t>
      </w:r>
    </w:p>
    <w:p w:rsidR="00A17BCD" w:rsidRPr="00346F62" w:rsidRDefault="00A17BCD" w:rsidP="00A17BCD">
      <w:pPr>
        <w:spacing w:after="0" w:line="240" w:lineRule="auto"/>
        <w:ind w:firstLine="709"/>
        <w:contextualSpacing/>
        <w:jc w:val="both"/>
        <w:rPr>
          <w:rFonts w:ascii="Times New Roman" w:hAnsi="Times New Roman" w:cs="Times New Roman"/>
          <w:sz w:val="24"/>
          <w:szCs w:val="24"/>
        </w:rPr>
      </w:pPr>
      <w:r w:rsidRPr="00346F62">
        <w:rPr>
          <w:rFonts w:ascii="Times New Roman" w:hAnsi="Times New Roman" w:cs="Times New Roman"/>
          <w:sz w:val="24"/>
          <w:szCs w:val="24"/>
          <w:lang w:val="en-US"/>
        </w:rPr>
        <w:t>https</w:t>
      </w:r>
      <w:r w:rsidRPr="00346F62">
        <w:rPr>
          <w:rFonts w:ascii="Times New Roman" w:hAnsi="Times New Roman" w:cs="Times New Roman"/>
          <w:sz w:val="24"/>
          <w:szCs w:val="24"/>
        </w:rPr>
        <w:t>://</w:t>
      </w:r>
      <w:r w:rsidRPr="00346F62">
        <w:rPr>
          <w:rFonts w:ascii="Times New Roman" w:hAnsi="Times New Roman" w:cs="Times New Roman"/>
          <w:sz w:val="24"/>
          <w:szCs w:val="24"/>
          <w:lang w:val="en-US"/>
        </w:rPr>
        <w:t>rgavmf</w:t>
      </w:r>
      <w:r w:rsidRPr="00346F62">
        <w:rPr>
          <w:rFonts w:ascii="Times New Roman" w:hAnsi="Times New Roman" w:cs="Times New Roman"/>
          <w:sz w:val="24"/>
          <w:szCs w:val="24"/>
        </w:rPr>
        <w:t>.</w:t>
      </w:r>
      <w:r w:rsidRPr="00346F62">
        <w:rPr>
          <w:rFonts w:ascii="Times New Roman" w:hAnsi="Times New Roman" w:cs="Times New Roman"/>
          <w:sz w:val="24"/>
          <w:szCs w:val="24"/>
          <w:lang w:val="en-US"/>
        </w:rPr>
        <w:t>ru</w:t>
      </w:r>
      <w:r w:rsidRPr="00346F62">
        <w:rPr>
          <w:rFonts w:ascii="Times New Roman" w:hAnsi="Times New Roman" w:cs="Times New Roman"/>
          <w:sz w:val="24"/>
          <w:szCs w:val="24"/>
        </w:rPr>
        <w:t>/</w:t>
      </w:r>
      <w:r w:rsidRPr="00346F62">
        <w:rPr>
          <w:rFonts w:ascii="Times New Roman" w:hAnsi="Times New Roman" w:cs="Times New Roman"/>
          <w:sz w:val="24"/>
          <w:szCs w:val="24"/>
          <w:lang w:val="en-US"/>
        </w:rPr>
        <w:t>sites</w:t>
      </w:r>
      <w:r w:rsidRPr="00346F62">
        <w:rPr>
          <w:rFonts w:ascii="Times New Roman" w:hAnsi="Times New Roman" w:cs="Times New Roman"/>
          <w:sz w:val="24"/>
          <w:szCs w:val="24"/>
        </w:rPr>
        <w:t>/</w:t>
      </w:r>
      <w:r w:rsidRPr="00346F62">
        <w:rPr>
          <w:rFonts w:ascii="Times New Roman" w:hAnsi="Times New Roman" w:cs="Times New Roman"/>
          <w:sz w:val="24"/>
          <w:szCs w:val="24"/>
          <w:lang w:val="en-US"/>
        </w:rPr>
        <w:t>default</w:t>
      </w:r>
      <w:r w:rsidRPr="00346F62">
        <w:rPr>
          <w:rFonts w:ascii="Times New Roman" w:hAnsi="Times New Roman" w:cs="Times New Roman"/>
          <w:sz w:val="24"/>
          <w:szCs w:val="24"/>
        </w:rPr>
        <w:t>/</w:t>
      </w:r>
      <w:r w:rsidRPr="00346F62">
        <w:rPr>
          <w:rFonts w:ascii="Times New Roman" w:hAnsi="Times New Roman" w:cs="Times New Roman"/>
          <w:sz w:val="24"/>
          <w:szCs w:val="24"/>
          <w:lang w:val="en-US"/>
        </w:rPr>
        <w:t>files</w:t>
      </w:r>
      <w:r w:rsidRPr="00346F62">
        <w:rPr>
          <w:rFonts w:ascii="Times New Roman" w:hAnsi="Times New Roman" w:cs="Times New Roman"/>
          <w:sz w:val="24"/>
          <w:szCs w:val="24"/>
        </w:rPr>
        <w:t>/</w:t>
      </w:r>
      <w:r w:rsidRPr="00346F62">
        <w:rPr>
          <w:rFonts w:ascii="Times New Roman" w:hAnsi="Times New Roman" w:cs="Times New Roman"/>
          <w:sz w:val="24"/>
          <w:szCs w:val="24"/>
          <w:lang w:val="en-US"/>
        </w:rPr>
        <w:t>lib</w:t>
      </w:r>
      <w:r w:rsidRPr="00346F62">
        <w:rPr>
          <w:rFonts w:ascii="Times New Roman" w:hAnsi="Times New Roman" w:cs="Times New Roman"/>
          <w:sz w:val="24"/>
          <w:szCs w:val="24"/>
        </w:rPr>
        <w:t>/</w:t>
      </w:r>
      <w:r w:rsidRPr="00346F62">
        <w:rPr>
          <w:rFonts w:ascii="Times New Roman" w:hAnsi="Times New Roman" w:cs="Times New Roman"/>
          <w:sz w:val="24"/>
          <w:szCs w:val="24"/>
          <w:lang w:val="en-US"/>
        </w:rPr>
        <w:t>sf</w:t>
      </w:r>
      <w:r w:rsidRPr="00346F62">
        <w:rPr>
          <w:rFonts w:ascii="Times New Roman" w:hAnsi="Times New Roman" w:cs="Times New Roman"/>
          <w:sz w:val="24"/>
          <w:szCs w:val="24"/>
        </w:rPr>
        <w:t>_</w:t>
      </w:r>
      <w:r w:rsidRPr="00346F62">
        <w:rPr>
          <w:rFonts w:ascii="Times New Roman" w:hAnsi="Times New Roman" w:cs="Times New Roman"/>
          <w:sz w:val="24"/>
          <w:szCs w:val="24"/>
          <w:lang w:val="en-US"/>
        </w:rPr>
        <w:t>dogovor</w:t>
      </w:r>
      <w:r w:rsidRPr="00346F62">
        <w:rPr>
          <w:rFonts w:ascii="Times New Roman" w:hAnsi="Times New Roman" w:cs="Times New Roman"/>
          <w:sz w:val="24"/>
          <w:szCs w:val="24"/>
        </w:rPr>
        <w:t>_1951_</w:t>
      </w:r>
      <w:r w:rsidRPr="00346F62">
        <w:rPr>
          <w:rFonts w:ascii="Times New Roman" w:hAnsi="Times New Roman" w:cs="Times New Roman"/>
          <w:sz w:val="24"/>
          <w:szCs w:val="24"/>
          <w:lang w:val="en-US"/>
        </w:rPr>
        <w:t>text</w:t>
      </w:r>
      <w:r w:rsidRPr="00346F62">
        <w:rPr>
          <w:rFonts w:ascii="Times New Roman" w:hAnsi="Times New Roman" w:cs="Times New Roman"/>
          <w:sz w:val="24"/>
          <w:szCs w:val="24"/>
        </w:rPr>
        <w:t>.</w:t>
      </w:r>
      <w:r w:rsidRPr="00346F62">
        <w:rPr>
          <w:rFonts w:ascii="Times New Roman" w:hAnsi="Times New Roman" w:cs="Times New Roman"/>
          <w:sz w:val="24"/>
          <w:szCs w:val="24"/>
          <w:lang w:val="en-US"/>
        </w:rPr>
        <w:t>pdf</w:t>
      </w:r>
      <w:r w:rsidRPr="00A3024E">
        <w:rPr>
          <w:rFonts w:ascii="Times New Roman" w:hAnsi="Times New Roman" w:cs="Times New Roman"/>
          <w:sz w:val="24"/>
          <w:szCs w:val="24"/>
        </w:rPr>
        <w:t>.</w:t>
      </w:r>
    </w:p>
    <w:p w:rsidR="00A17BCD" w:rsidRPr="00A3024E" w:rsidRDefault="00A17BCD" w:rsidP="00A17BCD">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2</w:t>
      </w:r>
      <w:r w:rsidRPr="00346F62">
        <w:rPr>
          <w:rFonts w:ascii="Times New Roman" w:hAnsi="Times New Roman" w:cs="Times New Roman"/>
          <w:sz w:val="24"/>
          <w:szCs w:val="24"/>
        </w:rPr>
        <w:t xml:space="preserve">. </w:t>
      </w:r>
      <w:r w:rsidRPr="00A3024E">
        <w:rPr>
          <w:rFonts w:ascii="Times New Roman" w:hAnsi="Times New Roman" w:cs="Times New Roman"/>
          <w:sz w:val="24"/>
          <w:szCs w:val="24"/>
        </w:rPr>
        <w:t xml:space="preserve">Из заявления первого заместителя министра иностранных дел СССР А.А. Громыко на пресс-конференции в Сан-Франциско [Электронный ресурс] // Хронос. –  Режим доступа: </w:t>
      </w:r>
    </w:p>
    <w:p w:rsidR="00A17BCD" w:rsidRPr="00346F62" w:rsidRDefault="000D1C8F" w:rsidP="00A17BCD">
      <w:pPr>
        <w:spacing w:after="0" w:line="240" w:lineRule="auto"/>
        <w:ind w:firstLine="709"/>
        <w:contextualSpacing/>
        <w:jc w:val="both"/>
        <w:rPr>
          <w:rFonts w:ascii="Times New Roman" w:hAnsi="Times New Roman" w:cs="Times New Roman"/>
          <w:sz w:val="24"/>
          <w:szCs w:val="24"/>
        </w:rPr>
      </w:pPr>
      <w:hyperlink r:id="rId370" w:history="1">
        <w:r w:rsidR="00A17BCD" w:rsidRPr="00A3024E">
          <w:rPr>
            <w:rStyle w:val="aa"/>
            <w:rFonts w:ascii="Times New Roman" w:eastAsia="Arial" w:hAnsi="Times New Roman"/>
            <w:sz w:val="24"/>
            <w:szCs w:val="24"/>
          </w:rPr>
          <w:t>http://www.hrono.ru/dokum/195_dok/19510908gromy.php</w:t>
        </w:r>
      </w:hyperlink>
    </w:p>
    <w:p w:rsidR="00A17BCD" w:rsidRPr="00A3024E" w:rsidRDefault="00A17BCD" w:rsidP="00A17BCD">
      <w:pPr>
        <w:spacing w:after="0" w:line="240" w:lineRule="auto"/>
        <w:ind w:firstLine="709"/>
        <w:contextualSpacing/>
        <w:jc w:val="both"/>
        <w:rPr>
          <w:rFonts w:ascii="Times New Roman" w:eastAsia="Calibri" w:hAnsi="Times New Roman" w:cs="Times New Roman"/>
          <w:sz w:val="24"/>
          <w:szCs w:val="24"/>
        </w:rPr>
      </w:pPr>
      <w:r>
        <w:rPr>
          <w:rFonts w:ascii="Times New Roman" w:hAnsi="Times New Roman" w:cs="Times New Roman"/>
          <w:sz w:val="24"/>
          <w:szCs w:val="24"/>
          <w:lang w:val="en-US"/>
        </w:rPr>
        <w:t xml:space="preserve">3. </w:t>
      </w:r>
      <w:r w:rsidRPr="00A3024E">
        <w:rPr>
          <w:rFonts w:ascii="Times New Roman" w:eastAsia="Calibri" w:hAnsi="Times New Roman" w:cs="Times New Roman"/>
          <w:sz w:val="24"/>
          <w:szCs w:val="24"/>
          <w:lang w:val="en-US"/>
        </w:rPr>
        <w:t xml:space="preserve">The department of state bulletin. </w:t>
      </w:r>
      <w:r w:rsidRPr="00A3024E">
        <w:rPr>
          <w:rFonts w:ascii="Times New Roman" w:eastAsia="Calibri" w:hAnsi="Times New Roman" w:cs="Times New Roman"/>
          <w:sz w:val="24"/>
          <w:szCs w:val="24"/>
        </w:rPr>
        <w:t xml:space="preserve">1950. 10 </w:t>
      </w:r>
      <w:r w:rsidRPr="00A3024E">
        <w:rPr>
          <w:rFonts w:ascii="Times New Roman" w:eastAsia="Calibri" w:hAnsi="Times New Roman" w:cs="Times New Roman"/>
          <w:sz w:val="24"/>
          <w:szCs w:val="24"/>
          <w:lang w:val="en-US"/>
        </w:rPr>
        <w:t>july</w:t>
      </w:r>
      <w:r w:rsidRPr="00A3024E">
        <w:rPr>
          <w:rFonts w:ascii="Times New Roman" w:eastAsia="Calibri" w:hAnsi="Times New Roman" w:cs="Times New Roman"/>
          <w:sz w:val="24"/>
          <w:szCs w:val="24"/>
        </w:rPr>
        <w:t>. – Режим доступа:</w:t>
      </w:r>
    </w:p>
    <w:p w:rsidR="00A17BCD" w:rsidRPr="00AE75A0" w:rsidRDefault="000D1C8F" w:rsidP="00A17BCD">
      <w:pPr>
        <w:spacing w:after="0" w:line="240" w:lineRule="auto"/>
        <w:ind w:firstLine="709"/>
        <w:contextualSpacing/>
        <w:jc w:val="both"/>
      </w:pPr>
      <w:hyperlink r:id="rId371" w:history="1">
        <w:r w:rsidR="00A17BCD" w:rsidRPr="00A3024E">
          <w:rPr>
            <w:rStyle w:val="aa"/>
            <w:rFonts w:ascii="Times New Roman" w:eastAsia="Arial" w:hAnsi="Times New Roman"/>
            <w:sz w:val="24"/>
            <w:szCs w:val="24"/>
          </w:rPr>
          <w:t>https://babel.hathitrust.org/cgi/pt?id=mdp.39015077178146;view=1up;seq=1</w:t>
        </w:r>
      </w:hyperlink>
    </w:p>
    <w:p w:rsidR="00A17BCD" w:rsidRPr="00A3024E" w:rsidRDefault="00A17BCD" w:rsidP="00A17BCD">
      <w:pPr>
        <w:spacing w:after="0" w:line="240" w:lineRule="auto"/>
        <w:ind w:firstLine="709"/>
        <w:contextualSpacing/>
        <w:jc w:val="both"/>
        <w:rPr>
          <w:rFonts w:ascii="Times New Roman" w:hAnsi="Times New Roman" w:cs="Times New Roman"/>
          <w:sz w:val="24"/>
          <w:szCs w:val="24"/>
        </w:rPr>
      </w:pPr>
      <w:r w:rsidRPr="00346F62">
        <w:rPr>
          <w:rFonts w:ascii="Times New Roman" w:hAnsi="Times New Roman" w:cs="Times New Roman"/>
          <w:sz w:val="24"/>
          <w:szCs w:val="24"/>
        </w:rPr>
        <w:t>4.</w:t>
      </w:r>
      <w:r>
        <w:rPr>
          <w:rFonts w:ascii="Times New Roman" w:hAnsi="Times New Roman" w:cs="Times New Roman"/>
          <w:sz w:val="24"/>
          <w:szCs w:val="24"/>
        </w:rPr>
        <w:t xml:space="preserve"> </w:t>
      </w:r>
      <w:r w:rsidRPr="00A3024E">
        <w:rPr>
          <w:rFonts w:ascii="Times New Roman" w:hAnsi="Times New Roman" w:cs="Times New Roman"/>
          <w:sz w:val="24"/>
          <w:szCs w:val="24"/>
        </w:rPr>
        <w:t>Кузьминков В.В. Сан-Францисский мирный договор 1951 г. в японской историографии /  В.В. Кузьминков // Проблемы Дальнего Востока. – 2013. – № 3. –  С. 113-121. – Режим доступа:</w:t>
      </w:r>
    </w:p>
    <w:p w:rsidR="00A17BCD" w:rsidRPr="00346F62" w:rsidRDefault="000D1C8F" w:rsidP="00A17BCD">
      <w:pPr>
        <w:spacing w:after="0" w:line="240" w:lineRule="auto"/>
        <w:ind w:firstLine="709"/>
        <w:contextualSpacing/>
        <w:jc w:val="both"/>
        <w:rPr>
          <w:rFonts w:ascii="Times New Roman" w:hAnsi="Times New Roman" w:cs="Times New Roman"/>
          <w:sz w:val="24"/>
          <w:szCs w:val="24"/>
        </w:rPr>
      </w:pPr>
      <w:hyperlink r:id="rId372" w:history="1">
        <w:r w:rsidR="00A17BCD" w:rsidRPr="00A04C87">
          <w:rPr>
            <w:rStyle w:val="aa"/>
            <w:rFonts w:ascii="Times New Roman" w:eastAsia="Arial" w:hAnsi="Times New Roman"/>
            <w:sz w:val="24"/>
            <w:szCs w:val="24"/>
          </w:rPr>
          <w:t>https://elibrary.ru/item.asp?id=20166578</w:t>
        </w:r>
      </w:hyperlink>
    </w:p>
    <w:p w:rsidR="00A17BCD" w:rsidRPr="00AE75A0" w:rsidRDefault="00A17BCD" w:rsidP="00A17BCD">
      <w:pPr>
        <w:spacing w:after="0" w:line="240" w:lineRule="auto"/>
        <w:ind w:firstLine="709"/>
        <w:contextualSpacing/>
        <w:jc w:val="both"/>
        <w:rPr>
          <w:rFonts w:ascii="Times New Roman" w:hAnsi="Times New Roman" w:cs="Times New Roman"/>
          <w:sz w:val="24"/>
          <w:szCs w:val="24"/>
        </w:rPr>
      </w:pPr>
    </w:p>
    <w:p w:rsidR="00A17BCD" w:rsidRPr="00A3024E" w:rsidRDefault="00A17BCD" w:rsidP="00A17BCD">
      <w:pPr>
        <w:spacing w:after="0" w:line="240" w:lineRule="auto"/>
        <w:ind w:firstLine="709"/>
        <w:contextualSpacing/>
        <w:jc w:val="both"/>
        <w:rPr>
          <w:rFonts w:ascii="Times New Roman" w:hAnsi="Times New Roman" w:cs="Times New Roman"/>
          <w:sz w:val="24"/>
          <w:szCs w:val="24"/>
        </w:rPr>
      </w:pPr>
      <w:r w:rsidRPr="00346F62">
        <w:rPr>
          <w:rFonts w:ascii="Times New Roman" w:hAnsi="Times New Roman" w:cs="Times New Roman"/>
          <w:sz w:val="24"/>
          <w:szCs w:val="24"/>
        </w:rPr>
        <w:t xml:space="preserve">5. </w:t>
      </w:r>
      <w:r w:rsidRPr="00A3024E">
        <w:rPr>
          <w:rFonts w:ascii="Times New Roman" w:hAnsi="Times New Roman" w:cs="Times New Roman"/>
          <w:sz w:val="24"/>
          <w:szCs w:val="24"/>
        </w:rPr>
        <w:t>Кошкин А.А. Громыко говорит «нет»: к истории заключения послевоенного мирного договора с Японией / А.А. Кошкин // Вестник МГИМО. – 2011. – № 4. – С. 129-135. – Режим доступа:</w:t>
      </w:r>
    </w:p>
    <w:p w:rsidR="00A17BCD" w:rsidRPr="00A3024E" w:rsidRDefault="000D1C8F" w:rsidP="00A17BCD">
      <w:pPr>
        <w:spacing w:after="0" w:line="240" w:lineRule="auto"/>
        <w:ind w:firstLine="709"/>
        <w:contextualSpacing/>
        <w:jc w:val="both"/>
        <w:rPr>
          <w:rFonts w:ascii="Times New Roman" w:hAnsi="Times New Roman" w:cs="Times New Roman"/>
          <w:sz w:val="24"/>
          <w:szCs w:val="24"/>
        </w:rPr>
      </w:pPr>
      <w:hyperlink r:id="rId373" w:history="1">
        <w:r w:rsidR="00A17BCD" w:rsidRPr="00A3024E">
          <w:rPr>
            <w:rStyle w:val="aa"/>
            <w:rFonts w:ascii="Times New Roman" w:eastAsia="Arial" w:hAnsi="Times New Roman"/>
            <w:sz w:val="24"/>
            <w:szCs w:val="24"/>
          </w:rPr>
          <w:t>http://www.vestnik.mgimo.ru/sites/default/files/vestnik/2011-19-4.pdf</w:t>
        </w:r>
      </w:hyperlink>
    </w:p>
    <w:p w:rsidR="00A17BCD" w:rsidRPr="00346F62" w:rsidRDefault="00A17BCD" w:rsidP="00A17BCD">
      <w:pPr>
        <w:spacing w:after="0" w:line="360" w:lineRule="auto"/>
        <w:ind w:firstLine="709"/>
        <w:contextualSpacing/>
        <w:jc w:val="both"/>
        <w:rPr>
          <w:rFonts w:ascii="Times New Roman" w:hAnsi="Times New Roman" w:cs="Times New Roman"/>
          <w:sz w:val="24"/>
          <w:szCs w:val="24"/>
        </w:rPr>
      </w:pPr>
    </w:p>
    <w:p w:rsidR="00A17BCD" w:rsidRPr="00346F62" w:rsidRDefault="00A17BCD" w:rsidP="00A17BCD">
      <w:pPr>
        <w:spacing w:after="0" w:line="360" w:lineRule="auto"/>
        <w:ind w:firstLine="709"/>
        <w:contextualSpacing/>
        <w:jc w:val="both"/>
        <w:rPr>
          <w:rFonts w:ascii="Times New Roman" w:hAnsi="Times New Roman" w:cs="Times New Roman"/>
          <w:sz w:val="24"/>
          <w:szCs w:val="24"/>
        </w:rPr>
      </w:pPr>
    </w:p>
    <w:p w:rsidR="00A17BCD" w:rsidRPr="00346F62" w:rsidRDefault="00A17BCD" w:rsidP="00A17BCD">
      <w:pPr>
        <w:spacing w:after="0" w:line="360" w:lineRule="auto"/>
        <w:ind w:firstLine="709"/>
        <w:contextualSpacing/>
        <w:jc w:val="both"/>
        <w:rPr>
          <w:rFonts w:ascii="Times New Roman" w:hAnsi="Times New Roman" w:cs="Times New Roman"/>
          <w:sz w:val="24"/>
          <w:szCs w:val="24"/>
        </w:rPr>
      </w:pPr>
    </w:p>
    <w:p w:rsidR="00A17BCD" w:rsidRPr="00346F62" w:rsidRDefault="00A17BCD" w:rsidP="00A17BCD">
      <w:pPr>
        <w:spacing w:line="240" w:lineRule="auto"/>
        <w:contextualSpacing/>
        <w:jc w:val="both"/>
        <w:rPr>
          <w:rFonts w:ascii="Times New Roman" w:hAnsi="Times New Roman" w:cs="Times New Roman"/>
          <w:sz w:val="24"/>
          <w:szCs w:val="24"/>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A17BCD" w:rsidRDefault="00A17BCD" w:rsidP="005E1201">
      <w:pPr>
        <w:pStyle w:val="af4"/>
        <w:spacing w:after="0" w:line="240" w:lineRule="auto"/>
        <w:ind w:left="0"/>
        <w:jc w:val="both"/>
        <w:rPr>
          <w:rFonts w:ascii="Times New Roman" w:eastAsia="Calibri" w:hAnsi="Times New Roman"/>
          <w:b/>
          <w:color w:val="000000"/>
          <w:sz w:val="20"/>
          <w:szCs w:val="20"/>
        </w:rPr>
      </w:pPr>
    </w:p>
    <w:p w:rsidR="00A17BCD" w:rsidRDefault="00A17BCD" w:rsidP="005E1201">
      <w:pPr>
        <w:pStyle w:val="af4"/>
        <w:spacing w:after="0" w:line="240" w:lineRule="auto"/>
        <w:ind w:left="0"/>
        <w:jc w:val="both"/>
        <w:rPr>
          <w:rFonts w:ascii="Times New Roman" w:eastAsia="Calibri" w:hAnsi="Times New Roman"/>
          <w:b/>
          <w:color w:val="000000"/>
          <w:sz w:val="20"/>
          <w:szCs w:val="20"/>
        </w:rPr>
      </w:pPr>
    </w:p>
    <w:p w:rsidR="00A17BCD" w:rsidRDefault="00A17BCD" w:rsidP="005E1201">
      <w:pPr>
        <w:pStyle w:val="af4"/>
        <w:spacing w:after="0" w:line="240" w:lineRule="auto"/>
        <w:ind w:left="0"/>
        <w:jc w:val="both"/>
        <w:rPr>
          <w:rFonts w:ascii="Times New Roman" w:eastAsia="Calibri" w:hAnsi="Times New Roman"/>
          <w:b/>
          <w:color w:val="000000"/>
          <w:sz w:val="20"/>
          <w:szCs w:val="20"/>
        </w:rPr>
      </w:pPr>
    </w:p>
    <w:p w:rsidR="00A17BCD" w:rsidRDefault="00A17BCD" w:rsidP="005E1201">
      <w:pPr>
        <w:pStyle w:val="af4"/>
        <w:spacing w:after="0" w:line="240" w:lineRule="auto"/>
        <w:ind w:left="0"/>
        <w:jc w:val="both"/>
        <w:rPr>
          <w:rFonts w:ascii="Times New Roman" w:eastAsia="Calibri" w:hAnsi="Times New Roman"/>
          <w:b/>
          <w:color w:val="000000"/>
          <w:sz w:val="20"/>
          <w:szCs w:val="20"/>
        </w:rPr>
      </w:pPr>
    </w:p>
    <w:p w:rsidR="00A17BCD" w:rsidRDefault="00A17BCD" w:rsidP="005E1201">
      <w:pPr>
        <w:pStyle w:val="af4"/>
        <w:spacing w:after="0" w:line="240" w:lineRule="auto"/>
        <w:ind w:left="0"/>
        <w:jc w:val="both"/>
        <w:rPr>
          <w:rFonts w:ascii="Times New Roman" w:eastAsia="Calibri" w:hAnsi="Times New Roman"/>
          <w:b/>
          <w:color w:val="000000"/>
          <w:sz w:val="20"/>
          <w:szCs w:val="20"/>
        </w:rPr>
      </w:pPr>
    </w:p>
    <w:p w:rsidR="00A17BCD" w:rsidRDefault="00A17BCD" w:rsidP="005E1201">
      <w:pPr>
        <w:pStyle w:val="af4"/>
        <w:spacing w:after="0" w:line="240" w:lineRule="auto"/>
        <w:ind w:left="0"/>
        <w:jc w:val="both"/>
        <w:rPr>
          <w:rFonts w:ascii="Times New Roman" w:eastAsia="Calibri" w:hAnsi="Times New Roman"/>
          <w:b/>
          <w:color w:val="000000"/>
          <w:sz w:val="20"/>
          <w:szCs w:val="20"/>
        </w:rPr>
      </w:pPr>
    </w:p>
    <w:p w:rsidR="00A17BCD" w:rsidRDefault="00A17BCD" w:rsidP="005E1201">
      <w:pPr>
        <w:pStyle w:val="af4"/>
        <w:spacing w:after="0" w:line="240" w:lineRule="auto"/>
        <w:ind w:left="0"/>
        <w:jc w:val="both"/>
        <w:rPr>
          <w:rFonts w:ascii="Times New Roman" w:eastAsia="Calibri" w:hAnsi="Times New Roman"/>
          <w:b/>
          <w:color w:val="000000"/>
          <w:sz w:val="20"/>
          <w:szCs w:val="20"/>
        </w:rPr>
      </w:pPr>
    </w:p>
    <w:p w:rsidR="00A17BCD" w:rsidRDefault="00A17BCD" w:rsidP="005E1201">
      <w:pPr>
        <w:pStyle w:val="af4"/>
        <w:spacing w:after="0" w:line="240" w:lineRule="auto"/>
        <w:ind w:left="0"/>
        <w:jc w:val="both"/>
        <w:rPr>
          <w:rFonts w:ascii="Times New Roman" w:eastAsia="Calibri" w:hAnsi="Times New Roman"/>
          <w:b/>
          <w:color w:val="000000"/>
          <w:sz w:val="20"/>
          <w:szCs w:val="20"/>
        </w:rPr>
      </w:pPr>
    </w:p>
    <w:p w:rsidR="00A17BCD" w:rsidRDefault="00A17BCD" w:rsidP="005E1201">
      <w:pPr>
        <w:pStyle w:val="af4"/>
        <w:spacing w:after="0" w:line="240" w:lineRule="auto"/>
        <w:ind w:left="0"/>
        <w:jc w:val="both"/>
        <w:rPr>
          <w:rFonts w:ascii="Times New Roman" w:eastAsia="Calibri" w:hAnsi="Times New Roman"/>
          <w:b/>
          <w:color w:val="000000"/>
          <w:sz w:val="20"/>
          <w:szCs w:val="20"/>
        </w:rPr>
      </w:pPr>
    </w:p>
    <w:p w:rsidR="00A17BCD" w:rsidRDefault="00A17BCD" w:rsidP="005E1201">
      <w:pPr>
        <w:pStyle w:val="af4"/>
        <w:spacing w:after="0" w:line="240" w:lineRule="auto"/>
        <w:ind w:left="0"/>
        <w:jc w:val="both"/>
        <w:rPr>
          <w:rFonts w:ascii="Times New Roman" w:eastAsia="Calibri" w:hAnsi="Times New Roman"/>
          <w:b/>
          <w:color w:val="000000"/>
          <w:sz w:val="20"/>
          <w:szCs w:val="20"/>
        </w:rPr>
      </w:pPr>
    </w:p>
    <w:p w:rsidR="00A17BCD" w:rsidRDefault="00A17BCD" w:rsidP="005E1201">
      <w:pPr>
        <w:pStyle w:val="af4"/>
        <w:spacing w:after="0" w:line="240" w:lineRule="auto"/>
        <w:ind w:left="0"/>
        <w:jc w:val="both"/>
        <w:rPr>
          <w:rFonts w:ascii="Times New Roman" w:eastAsia="Calibri" w:hAnsi="Times New Roman"/>
          <w:b/>
          <w:color w:val="000000"/>
          <w:sz w:val="20"/>
          <w:szCs w:val="20"/>
        </w:rPr>
      </w:pPr>
    </w:p>
    <w:p w:rsidR="00A17BCD" w:rsidRDefault="00A17BCD" w:rsidP="005E1201">
      <w:pPr>
        <w:pStyle w:val="af4"/>
        <w:spacing w:after="0" w:line="240" w:lineRule="auto"/>
        <w:ind w:left="0"/>
        <w:jc w:val="both"/>
        <w:rPr>
          <w:rFonts w:ascii="Times New Roman" w:eastAsia="Calibri" w:hAnsi="Times New Roman"/>
          <w:b/>
          <w:color w:val="000000"/>
          <w:sz w:val="20"/>
          <w:szCs w:val="20"/>
        </w:rPr>
      </w:pPr>
    </w:p>
    <w:p w:rsidR="00A17BCD" w:rsidRDefault="00A17BCD" w:rsidP="005E1201">
      <w:pPr>
        <w:pStyle w:val="af4"/>
        <w:spacing w:after="0" w:line="240" w:lineRule="auto"/>
        <w:ind w:left="0"/>
        <w:jc w:val="both"/>
        <w:rPr>
          <w:rFonts w:ascii="Times New Roman" w:eastAsia="Calibri" w:hAnsi="Times New Roman"/>
          <w:b/>
          <w:color w:val="000000"/>
          <w:sz w:val="20"/>
          <w:szCs w:val="20"/>
        </w:rPr>
      </w:pPr>
    </w:p>
    <w:p w:rsidR="00A17BCD" w:rsidRDefault="00A17BCD" w:rsidP="005E1201">
      <w:pPr>
        <w:pStyle w:val="af4"/>
        <w:spacing w:after="0" w:line="240" w:lineRule="auto"/>
        <w:ind w:left="0"/>
        <w:jc w:val="both"/>
        <w:rPr>
          <w:rFonts w:ascii="Times New Roman" w:eastAsia="Calibri" w:hAnsi="Times New Roman"/>
          <w:b/>
          <w:color w:val="000000"/>
          <w:sz w:val="20"/>
          <w:szCs w:val="20"/>
        </w:rPr>
      </w:pPr>
    </w:p>
    <w:p w:rsidR="00A17BCD" w:rsidRDefault="00A17BCD" w:rsidP="005E1201">
      <w:pPr>
        <w:pStyle w:val="af4"/>
        <w:spacing w:after="0" w:line="240" w:lineRule="auto"/>
        <w:ind w:left="0"/>
        <w:jc w:val="both"/>
        <w:rPr>
          <w:rFonts w:ascii="Times New Roman" w:eastAsia="Calibri" w:hAnsi="Times New Roman"/>
          <w:b/>
          <w:color w:val="000000"/>
          <w:sz w:val="20"/>
          <w:szCs w:val="20"/>
        </w:rPr>
      </w:pPr>
    </w:p>
    <w:p w:rsidR="00A17BCD" w:rsidRDefault="00A17BCD" w:rsidP="005E1201">
      <w:pPr>
        <w:pStyle w:val="af4"/>
        <w:spacing w:after="0" w:line="240" w:lineRule="auto"/>
        <w:ind w:left="0"/>
        <w:jc w:val="both"/>
        <w:rPr>
          <w:rFonts w:ascii="Times New Roman" w:eastAsia="Calibri" w:hAnsi="Times New Roman"/>
          <w:b/>
          <w:color w:val="000000"/>
          <w:sz w:val="20"/>
          <w:szCs w:val="20"/>
        </w:rPr>
      </w:pPr>
    </w:p>
    <w:p w:rsidR="00A17BCD" w:rsidRDefault="00A17BCD"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A17BCD" w:rsidRPr="0083407D" w:rsidRDefault="00A17BCD" w:rsidP="00A17BCD">
      <w:pPr>
        <w:rPr>
          <w:rFonts w:ascii="Times New Roman" w:hAnsi="Times New Roman"/>
          <w:color w:val="000000"/>
          <w:sz w:val="24"/>
          <w:szCs w:val="24"/>
        </w:rPr>
      </w:pPr>
      <w:r w:rsidRPr="0083407D">
        <w:rPr>
          <w:rFonts w:ascii="Times New Roman" w:hAnsi="Times New Roman"/>
          <w:color w:val="000000"/>
          <w:sz w:val="24"/>
          <w:szCs w:val="24"/>
        </w:rPr>
        <w:t>Рубрика: Международные отношения и приграничное сотрудничество в АТР: опыт, проблемы и перспективы развития</w:t>
      </w:r>
    </w:p>
    <w:p w:rsidR="00A17BCD" w:rsidRPr="00544624" w:rsidRDefault="00A17BCD" w:rsidP="00A17BCD">
      <w:pPr>
        <w:spacing w:line="240" w:lineRule="auto"/>
        <w:rPr>
          <w:rFonts w:ascii="Times New Roman" w:hAnsi="Times New Roman"/>
          <w:sz w:val="24"/>
          <w:szCs w:val="24"/>
        </w:rPr>
      </w:pPr>
      <w:r w:rsidRPr="009B28B9">
        <w:rPr>
          <w:rFonts w:ascii="Times New Roman" w:hAnsi="Times New Roman"/>
          <w:sz w:val="24"/>
          <w:szCs w:val="24"/>
        </w:rPr>
        <w:t>УДК 314.74</w:t>
      </w:r>
    </w:p>
    <w:p w:rsidR="00A17BCD" w:rsidRPr="00261BC3" w:rsidRDefault="00A17BCD" w:rsidP="00A17BCD">
      <w:pPr>
        <w:spacing w:line="240" w:lineRule="auto"/>
        <w:jc w:val="center"/>
        <w:rPr>
          <w:rFonts w:ascii="Times New Roman" w:hAnsi="Times New Roman"/>
          <w:b/>
          <w:bCs/>
          <w:sz w:val="24"/>
          <w:szCs w:val="24"/>
        </w:rPr>
      </w:pPr>
      <w:r w:rsidRPr="0066535A">
        <w:rPr>
          <w:rFonts w:ascii="Times New Roman" w:hAnsi="Times New Roman"/>
          <w:b/>
          <w:bCs/>
          <w:sz w:val="24"/>
          <w:szCs w:val="24"/>
        </w:rPr>
        <w:t>Предотвращение ННН промысла в Тихом океане: ново</w:t>
      </w:r>
      <w:smartTag w:uri="urn:schemas-microsoft-com:office:smarttags" w:element="PersonName">
        <w:r w:rsidRPr="0066535A">
          <w:rPr>
            <w:rFonts w:ascii="Times New Roman" w:hAnsi="Times New Roman"/>
            <w:b/>
            <w:bCs/>
            <w:sz w:val="24"/>
            <w:szCs w:val="24"/>
          </w:rPr>
          <w:t>е н</w:t>
        </w:r>
      </w:smartTag>
      <w:r w:rsidRPr="0066535A">
        <w:rPr>
          <w:rFonts w:ascii="Times New Roman" w:hAnsi="Times New Roman"/>
          <w:b/>
          <w:bCs/>
          <w:sz w:val="24"/>
          <w:szCs w:val="24"/>
        </w:rPr>
        <w:t xml:space="preserve">азвание или новое явление </w:t>
      </w:r>
    </w:p>
    <w:p w:rsidR="00A17BCD" w:rsidRPr="00544624" w:rsidRDefault="00A17BCD" w:rsidP="00A17BCD">
      <w:pPr>
        <w:spacing w:line="240" w:lineRule="auto"/>
        <w:jc w:val="center"/>
        <w:rPr>
          <w:rFonts w:ascii="Times New Roman" w:hAnsi="Times New Roman"/>
          <w:sz w:val="24"/>
          <w:szCs w:val="24"/>
        </w:rPr>
      </w:pPr>
      <w:r>
        <w:rPr>
          <w:rFonts w:ascii="Times New Roman" w:hAnsi="Times New Roman"/>
          <w:sz w:val="24"/>
          <w:szCs w:val="24"/>
        </w:rPr>
        <w:t xml:space="preserve">Милова </w:t>
      </w:r>
      <w:smartTag w:uri="urn:schemas-microsoft-com:office:smarttags" w:element="PersonName">
        <w:r>
          <w:rPr>
            <w:rFonts w:ascii="Times New Roman" w:hAnsi="Times New Roman"/>
            <w:sz w:val="24"/>
            <w:szCs w:val="24"/>
          </w:rPr>
          <w:t>Анастасия</w:t>
        </w:r>
      </w:smartTag>
      <w:r>
        <w:rPr>
          <w:rFonts w:ascii="Times New Roman" w:hAnsi="Times New Roman"/>
          <w:sz w:val="24"/>
          <w:szCs w:val="24"/>
        </w:rPr>
        <w:t xml:space="preserve"> Эдуардовна</w:t>
      </w:r>
      <w:r w:rsidRPr="00544624">
        <w:rPr>
          <w:rFonts w:ascii="Times New Roman" w:hAnsi="Times New Roman"/>
          <w:sz w:val="24"/>
          <w:szCs w:val="24"/>
        </w:rPr>
        <w:t>,</w:t>
      </w:r>
    </w:p>
    <w:p w:rsidR="00A17BCD" w:rsidRPr="00544624" w:rsidRDefault="00A17BCD" w:rsidP="00A17BCD">
      <w:pPr>
        <w:spacing w:line="240" w:lineRule="auto"/>
        <w:jc w:val="center"/>
        <w:rPr>
          <w:rFonts w:ascii="Times New Roman" w:hAnsi="Times New Roman"/>
          <w:sz w:val="24"/>
          <w:szCs w:val="24"/>
        </w:rPr>
      </w:pPr>
      <w:r>
        <w:rPr>
          <w:rFonts w:ascii="Times New Roman" w:hAnsi="Times New Roman"/>
          <w:sz w:val="24"/>
          <w:szCs w:val="24"/>
        </w:rPr>
        <w:t>студент</w:t>
      </w:r>
    </w:p>
    <w:p w:rsidR="00A17BCD" w:rsidRPr="00544624" w:rsidRDefault="00A17BCD" w:rsidP="00A17BCD">
      <w:pPr>
        <w:spacing w:line="240" w:lineRule="auto"/>
        <w:jc w:val="center"/>
        <w:rPr>
          <w:rFonts w:ascii="Times New Roman" w:hAnsi="Times New Roman"/>
          <w:sz w:val="24"/>
          <w:szCs w:val="24"/>
        </w:rPr>
      </w:pPr>
      <w:r w:rsidRPr="00544624">
        <w:rPr>
          <w:rFonts w:ascii="Times New Roman" w:hAnsi="Times New Roman"/>
          <w:i/>
          <w:iCs/>
          <w:sz w:val="24"/>
          <w:szCs w:val="24"/>
        </w:rPr>
        <w:t>Владивостокский государственный университет экономики и сервиса</w:t>
      </w:r>
    </w:p>
    <w:p w:rsidR="00A17BCD" w:rsidRPr="00544624" w:rsidRDefault="00A17BCD" w:rsidP="00A17BCD">
      <w:pPr>
        <w:spacing w:line="240" w:lineRule="auto"/>
        <w:jc w:val="center"/>
        <w:rPr>
          <w:rFonts w:ascii="Times New Roman" w:hAnsi="Times New Roman"/>
          <w:sz w:val="24"/>
          <w:szCs w:val="24"/>
        </w:rPr>
      </w:pPr>
      <w:r w:rsidRPr="00544624">
        <w:rPr>
          <w:rFonts w:ascii="Times New Roman" w:hAnsi="Times New Roman"/>
          <w:i/>
          <w:iCs/>
          <w:sz w:val="24"/>
          <w:szCs w:val="24"/>
        </w:rPr>
        <w:t>Россия. Владивосток</w:t>
      </w:r>
    </w:p>
    <w:p w:rsidR="00A17BCD" w:rsidRPr="0083407D" w:rsidRDefault="00A17BCD" w:rsidP="00A17BCD">
      <w:pPr>
        <w:spacing w:line="240" w:lineRule="auto"/>
        <w:jc w:val="center"/>
        <w:rPr>
          <w:rFonts w:ascii="Times New Roman" w:hAnsi="Times New Roman"/>
          <w:sz w:val="24"/>
          <w:szCs w:val="24"/>
        </w:rPr>
      </w:pPr>
      <w:r w:rsidRPr="0066535A">
        <w:rPr>
          <w:rFonts w:ascii="Times New Roman" w:hAnsi="Times New Roman"/>
          <w:sz w:val="24"/>
          <w:szCs w:val="24"/>
          <w:lang w:val="en-US"/>
        </w:rPr>
        <w:t>E</w:t>
      </w:r>
      <w:r w:rsidRPr="0083407D">
        <w:rPr>
          <w:rFonts w:ascii="Times New Roman" w:hAnsi="Times New Roman"/>
          <w:sz w:val="24"/>
          <w:szCs w:val="24"/>
        </w:rPr>
        <w:t>-</w:t>
      </w:r>
      <w:r w:rsidRPr="0066535A">
        <w:rPr>
          <w:rFonts w:ascii="Times New Roman" w:hAnsi="Times New Roman"/>
          <w:sz w:val="24"/>
          <w:szCs w:val="24"/>
          <w:lang w:val="en-US"/>
        </w:rPr>
        <w:t>mail</w:t>
      </w:r>
      <w:r w:rsidRPr="0083407D">
        <w:rPr>
          <w:rFonts w:ascii="Times New Roman" w:hAnsi="Times New Roman"/>
          <w:sz w:val="24"/>
          <w:szCs w:val="24"/>
        </w:rPr>
        <w:t xml:space="preserve">: </w:t>
      </w:r>
      <w:r>
        <w:rPr>
          <w:rFonts w:ascii="Times New Roman" w:hAnsi="Times New Roman"/>
          <w:sz w:val="24"/>
          <w:szCs w:val="24"/>
          <w:lang w:val="en-US"/>
        </w:rPr>
        <w:t>milova</w:t>
      </w:r>
      <w:r w:rsidRPr="0083407D">
        <w:rPr>
          <w:rFonts w:ascii="Times New Roman" w:hAnsi="Times New Roman"/>
          <w:sz w:val="24"/>
          <w:szCs w:val="24"/>
        </w:rPr>
        <w:t>-</w:t>
      </w:r>
      <w:r>
        <w:rPr>
          <w:rFonts w:ascii="Times New Roman" w:hAnsi="Times New Roman"/>
          <w:sz w:val="24"/>
          <w:szCs w:val="24"/>
          <w:lang w:val="en-US"/>
        </w:rPr>
        <w:t>anastasiy</w:t>
      </w:r>
      <w:r w:rsidRPr="0083407D">
        <w:rPr>
          <w:rFonts w:ascii="Times New Roman" w:hAnsi="Times New Roman"/>
          <w:sz w:val="24"/>
          <w:szCs w:val="24"/>
        </w:rPr>
        <w:t>@</w:t>
      </w:r>
      <w:r>
        <w:rPr>
          <w:rFonts w:ascii="Times New Roman" w:hAnsi="Times New Roman"/>
          <w:sz w:val="24"/>
          <w:szCs w:val="24"/>
          <w:lang w:val="en-US"/>
        </w:rPr>
        <w:t>mail</w:t>
      </w:r>
      <w:r w:rsidRPr="0083407D">
        <w:rPr>
          <w:rFonts w:ascii="Times New Roman" w:hAnsi="Times New Roman"/>
          <w:sz w:val="24"/>
          <w:szCs w:val="24"/>
        </w:rPr>
        <w:t>.</w:t>
      </w:r>
      <w:r>
        <w:rPr>
          <w:rFonts w:ascii="Times New Roman" w:hAnsi="Times New Roman"/>
          <w:sz w:val="24"/>
          <w:szCs w:val="24"/>
          <w:lang w:val="en-US"/>
        </w:rPr>
        <w:t>ru</w:t>
      </w:r>
      <w:r w:rsidRPr="0083407D">
        <w:rPr>
          <w:rFonts w:ascii="Times New Roman" w:hAnsi="Times New Roman"/>
          <w:sz w:val="24"/>
          <w:szCs w:val="24"/>
        </w:rPr>
        <w:t xml:space="preserve">; </w:t>
      </w:r>
      <w:r w:rsidRPr="00544624">
        <w:rPr>
          <w:rFonts w:ascii="Times New Roman" w:hAnsi="Times New Roman"/>
          <w:sz w:val="24"/>
          <w:szCs w:val="24"/>
        </w:rPr>
        <w:t>тел</w:t>
      </w:r>
      <w:r w:rsidRPr="0083407D">
        <w:rPr>
          <w:rFonts w:ascii="Times New Roman" w:hAnsi="Times New Roman"/>
          <w:sz w:val="24"/>
          <w:szCs w:val="24"/>
        </w:rPr>
        <w:t>.: +79143378605</w:t>
      </w:r>
    </w:p>
    <w:p w:rsidR="00A17BCD" w:rsidRPr="00544624" w:rsidRDefault="00A17BCD" w:rsidP="00A17BCD">
      <w:pPr>
        <w:spacing w:line="240" w:lineRule="auto"/>
        <w:jc w:val="center"/>
        <w:rPr>
          <w:rFonts w:ascii="Times New Roman" w:hAnsi="Times New Roman"/>
          <w:sz w:val="24"/>
          <w:szCs w:val="24"/>
        </w:rPr>
      </w:pPr>
      <w:r w:rsidRPr="00544624">
        <w:rPr>
          <w:rFonts w:ascii="Times New Roman" w:hAnsi="Times New Roman"/>
          <w:sz w:val="24"/>
          <w:szCs w:val="24"/>
        </w:rPr>
        <w:t xml:space="preserve">ул. Гоголя, </w:t>
      </w:r>
      <w:smartTag w:uri="urn:schemas-microsoft-com:office:smarttags" w:element="metricconverter">
        <w:smartTagPr>
          <w:attr w:name="ProductID" w:val="41, г"/>
        </w:smartTagPr>
        <w:r w:rsidRPr="00544624">
          <w:rPr>
            <w:rFonts w:ascii="Times New Roman" w:hAnsi="Times New Roman"/>
            <w:sz w:val="24"/>
            <w:szCs w:val="24"/>
          </w:rPr>
          <w:t>41, г</w:t>
        </w:r>
      </w:smartTag>
      <w:r w:rsidRPr="00544624">
        <w:rPr>
          <w:rFonts w:ascii="Times New Roman" w:hAnsi="Times New Roman"/>
          <w:sz w:val="24"/>
          <w:szCs w:val="24"/>
        </w:rPr>
        <w:t>. Владивосток, Приморский край, Россия, 690014</w:t>
      </w:r>
    </w:p>
    <w:p w:rsidR="00A17BCD" w:rsidRPr="0066535A" w:rsidRDefault="00A17BCD" w:rsidP="00A17BCD">
      <w:pPr>
        <w:spacing w:line="240" w:lineRule="auto"/>
        <w:jc w:val="center"/>
        <w:rPr>
          <w:rFonts w:ascii="Times New Roman" w:hAnsi="Times New Roman"/>
          <w:i/>
          <w:iCs/>
          <w:sz w:val="24"/>
          <w:szCs w:val="24"/>
        </w:rPr>
      </w:pPr>
      <w:r w:rsidRPr="0066535A">
        <w:rPr>
          <w:rFonts w:ascii="Times New Roman" w:hAnsi="Times New Roman"/>
          <w:i/>
          <w:iCs/>
          <w:sz w:val="24"/>
          <w:szCs w:val="24"/>
        </w:rPr>
        <w:t xml:space="preserve">ННН промысел – это незаконный, нерегулируемый и несообщаемый вылов водных биологических ресурсов.  Это не просто преступный промысел, это огромная проблема, имеющая место во всех районах Мирового океана. ННН промысел порождает множество негативных последствий как для экономик всех стран, так и для экологии морской среды. Для борьбы с таким промыслом необходимы усилия многих государств как совместно, так и на внутринациональном уровне. </w:t>
      </w:r>
      <w:r>
        <w:rPr>
          <w:rFonts w:ascii="Times New Roman" w:hAnsi="Times New Roman"/>
          <w:i/>
          <w:iCs/>
          <w:sz w:val="24"/>
          <w:szCs w:val="24"/>
        </w:rPr>
        <w:t>Однако, новое ли явление ННН промысел или это просто новое понятие, введенное Международным планом действий ННН?</w:t>
      </w:r>
    </w:p>
    <w:p w:rsidR="00A17BCD" w:rsidRPr="00544624" w:rsidRDefault="00A17BCD" w:rsidP="00A17BCD">
      <w:pPr>
        <w:spacing w:line="240" w:lineRule="auto"/>
        <w:jc w:val="center"/>
        <w:rPr>
          <w:rFonts w:ascii="Times New Roman" w:hAnsi="Times New Roman"/>
          <w:sz w:val="24"/>
          <w:szCs w:val="24"/>
        </w:rPr>
      </w:pPr>
      <w:r w:rsidRPr="00544624">
        <w:rPr>
          <w:rFonts w:ascii="Times New Roman" w:hAnsi="Times New Roman"/>
          <w:b/>
          <w:bCs/>
          <w:i/>
          <w:iCs/>
          <w:sz w:val="24"/>
          <w:szCs w:val="24"/>
        </w:rPr>
        <w:t>Ключевые слова и словосочетания</w:t>
      </w:r>
      <w:r w:rsidRPr="00544624">
        <w:rPr>
          <w:rFonts w:ascii="Times New Roman" w:hAnsi="Times New Roman"/>
          <w:i/>
          <w:iCs/>
          <w:sz w:val="24"/>
          <w:szCs w:val="24"/>
        </w:rPr>
        <w:t xml:space="preserve">: </w:t>
      </w:r>
      <w:r>
        <w:rPr>
          <w:rFonts w:ascii="Times New Roman" w:hAnsi="Times New Roman"/>
          <w:i/>
          <w:iCs/>
          <w:sz w:val="24"/>
          <w:szCs w:val="24"/>
        </w:rPr>
        <w:t>ННН промысел</w:t>
      </w:r>
      <w:r w:rsidRPr="00544624">
        <w:rPr>
          <w:rFonts w:ascii="Times New Roman" w:hAnsi="Times New Roman"/>
          <w:i/>
          <w:iCs/>
          <w:sz w:val="24"/>
          <w:szCs w:val="24"/>
        </w:rPr>
        <w:t xml:space="preserve">, </w:t>
      </w:r>
      <w:r>
        <w:rPr>
          <w:rFonts w:ascii="Times New Roman" w:hAnsi="Times New Roman"/>
          <w:i/>
          <w:iCs/>
          <w:sz w:val="24"/>
          <w:szCs w:val="24"/>
        </w:rPr>
        <w:t>рыболовство</w:t>
      </w:r>
      <w:r w:rsidRPr="00544624">
        <w:rPr>
          <w:rFonts w:ascii="Times New Roman" w:hAnsi="Times New Roman"/>
          <w:i/>
          <w:iCs/>
          <w:sz w:val="24"/>
          <w:szCs w:val="24"/>
        </w:rPr>
        <w:t xml:space="preserve">, </w:t>
      </w:r>
      <w:r>
        <w:rPr>
          <w:rFonts w:ascii="Times New Roman" w:hAnsi="Times New Roman"/>
          <w:i/>
          <w:iCs/>
          <w:sz w:val="24"/>
          <w:szCs w:val="24"/>
        </w:rPr>
        <w:t>международный договор, двусторонние договоры</w:t>
      </w:r>
      <w:r w:rsidRPr="00544624">
        <w:rPr>
          <w:rFonts w:ascii="Times New Roman" w:hAnsi="Times New Roman"/>
          <w:i/>
          <w:iCs/>
          <w:sz w:val="24"/>
          <w:szCs w:val="24"/>
        </w:rPr>
        <w:t>.</w:t>
      </w:r>
    </w:p>
    <w:p w:rsidR="00A17BCD" w:rsidRPr="00544624" w:rsidRDefault="00A17BCD" w:rsidP="00A17BCD">
      <w:pPr>
        <w:spacing w:line="240" w:lineRule="auto"/>
        <w:jc w:val="center"/>
        <w:rPr>
          <w:rFonts w:ascii="Times New Roman" w:hAnsi="Times New Roman"/>
          <w:sz w:val="24"/>
          <w:szCs w:val="24"/>
          <w:lang w:val="en-US"/>
        </w:rPr>
      </w:pPr>
      <w:r w:rsidRPr="00544624">
        <w:rPr>
          <w:rFonts w:ascii="Times New Roman" w:hAnsi="Times New Roman"/>
          <w:b/>
          <w:bCs/>
          <w:sz w:val="24"/>
          <w:szCs w:val="24"/>
          <w:lang w:val="en-US"/>
        </w:rPr>
        <w:t xml:space="preserve">International migration in contemporary </w:t>
      </w:r>
      <w:smartTag w:uri="urn:schemas-microsoft-com:office:smarttags" w:element="country-region">
        <w:smartTag w:uri="urn:schemas-microsoft-com:office:smarttags" w:element="place">
          <w:r w:rsidRPr="00544624">
            <w:rPr>
              <w:rFonts w:ascii="Times New Roman" w:hAnsi="Times New Roman"/>
              <w:b/>
              <w:bCs/>
              <w:sz w:val="24"/>
              <w:szCs w:val="24"/>
              <w:lang w:val="en-US"/>
            </w:rPr>
            <w:t>Russia</w:t>
          </w:r>
        </w:smartTag>
      </w:smartTag>
      <w:r w:rsidRPr="00544624">
        <w:rPr>
          <w:rFonts w:ascii="Times New Roman" w:hAnsi="Times New Roman"/>
          <w:b/>
          <w:bCs/>
          <w:sz w:val="24"/>
          <w:szCs w:val="24"/>
          <w:lang w:val="en-US"/>
        </w:rPr>
        <w:t>: Far Eastern context</w:t>
      </w:r>
    </w:p>
    <w:p w:rsidR="00A17BCD" w:rsidRPr="00E832FA" w:rsidRDefault="00A17BCD" w:rsidP="00A17BCD">
      <w:pPr>
        <w:spacing w:line="240" w:lineRule="auto"/>
        <w:jc w:val="center"/>
        <w:rPr>
          <w:rFonts w:ascii="Times New Roman" w:hAnsi="Times New Roman"/>
          <w:i/>
          <w:iCs/>
          <w:sz w:val="24"/>
          <w:szCs w:val="24"/>
          <w:lang w:val="en-US"/>
        </w:rPr>
      </w:pPr>
      <w:r w:rsidRPr="0066535A">
        <w:rPr>
          <w:rFonts w:ascii="Times New Roman" w:hAnsi="Times New Roman"/>
          <w:i/>
          <w:iCs/>
          <w:sz w:val="24"/>
          <w:szCs w:val="24"/>
          <w:lang w:val="en-US"/>
        </w:rPr>
        <w:t xml:space="preserve">IUU fishing is an illegal, unregulated and unreported catch of aquatic biological resources. This is not just criminal fishing, it is a huge problem that occurs in all areas of the </w:t>
      </w:r>
      <w:smartTag w:uri="urn:schemas-microsoft-com:office:smarttags" w:element="PlaceName">
        <w:smartTag w:uri="urn:schemas-microsoft-com:office:smarttags" w:element="place">
          <w:r w:rsidRPr="0066535A">
            <w:rPr>
              <w:rFonts w:ascii="Times New Roman" w:hAnsi="Times New Roman"/>
              <w:i/>
              <w:iCs/>
              <w:sz w:val="24"/>
              <w:szCs w:val="24"/>
              <w:lang w:val="en-US"/>
            </w:rPr>
            <w:t>World</w:t>
          </w:r>
        </w:smartTag>
        <w:r w:rsidRPr="0066535A">
          <w:rPr>
            <w:rFonts w:ascii="Times New Roman" w:hAnsi="Times New Roman"/>
            <w:i/>
            <w:iCs/>
            <w:sz w:val="24"/>
            <w:szCs w:val="24"/>
            <w:lang w:val="en-US"/>
          </w:rPr>
          <w:t xml:space="preserve"> </w:t>
        </w:r>
        <w:smartTag w:uri="urn:schemas-microsoft-com:office:smarttags" w:element="PlaceType">
          <w:r w:rsidRPr="0066535A">
            <w:rPr>
              <w:rFonts w:ascii="Times New Roman" w:hAnsi="Times New Roman"/>
              <w:i/>
              <w:iCs/>
              <w:sz w:val="24"/>
              <w:szCs w:val="24"/>
              <w:lang w:val="en-US"/>
            </w:rPr>
            <w:t>Ocean</w:t>
          </w:r>
        </w:smartTag>
      </w:smartTag>
      <w:r w:rsidRPr="0066535A">
        <w:rPr>
          <w:rFonts w:ascii="Times New Roman" w:hAnsi="Times New Roman"/>
          <w:i/>
          <w:iCs/>
          <w:sz w:val="24"/>
          <w:szCs w:val="24"/>
          <w:lang w:val="en-US"/>
        </w:rPr>
        <w:t xml:space="preserve">. IUU fishing causes many negative consequences for both the economies of all countries and for the ecology of the marine environment. To combat such fishing, efforts of many states are needed both jointly and at the national level. However, is the new phenomenon of IUU fishing or is it just a new concept introduced by the </w:t>
      </w:r>
      <w:r w:rsidRPr="00E832FA">
        <w:rPr>
          <w:rFonts w:ascii="Times New Roman" w:hAnsi="Times New Roman"/>
          <w:i/>
          <w:iCs/>
          <w:sz w:val="24"/>
          <w:szCs w:val="24"/>
          <w:lang w:val="en-US"/>
        </w:rPr>
        <w:t>IPOA-IUU?</w:t>
      </w:r>
    </w:p>
    <w:p w:rsidR="00A17BCD" w:rsidRPr="00E832FA" w:rsidRDefault="00A17BCD" w:rsidP="00A17BCD">
      <w:pPr>
        <w:spacing w:line="240" w:lineRule="auto"/>
        <w:jc w:val="center"/>
        <w:rPr>
          <w:rFonts w:ascii="Times New Roman" w:hAnsi="Times New Roman"/>
          <w:i/>
          <w:iCs/>
          <w:sz w:val="24"/>
          <w:szCs w:val="24"/>
          <w:lang w:val="en-US"/>
        </w:rPr>
      </w:pPr>
      <w:r w:rsidRPr="00544624">
        <w:rPr>
          <w:rFonts w:ascii="Times New Roman" w:hAnsi="Times New Roman"/>
          <w:b/>
          <w:bCs/>
          <w:i/>
          <w:iCs/>
          <w:sz w:val="24"/>
          <w:szCs w:val="24"/>
          <w:lang w:val="en-US"/>
        </w:rPr>
        <w:t>Keywords</w:t>
      </w:r>
      <w:r w:rsidRPr="00544624">
        <w:rPr>
          <w:rFonts w:ascii="Times New Roman" w:hAnsi="Times New Roman"/>
          <w:i/>
          <w:iCs/>
          <w:sz w:val="24"/>
          <w:szCs w:val="24"/>
          <w:lang w:val="en-US"/>
        </w:rPr>
        <w:t xml:space="preserve">: </w:t>
      </w:r>
      <w:r>
        <w:rPr>
          <w:rFonts w:ascii="Times New Roman" w:hAnsi="Times New Roman"/>
          <w:i/>
          <w:iCs/>
          <w:sz w:val="24"/>
          <w:szCs w:val="24"/>
          <w:lang w:val="en-US"/>
        </w:rPr>
        <w:t>IUU</w:t>
      </w:r>
      <w:r w:rsidRPr="00544624">
        <w:rPr>
          <w:rFonts w:ascii="Times New Roman" w:hAnsi="Times New Roman"/>
          <w:i/>
          <w:iCs/>
          <w:sz w:val="24"/>
          <w:szCs w:val="24"/>
          <w:lang w:val="en-US"/>
        </w:rPr>
        <w:t xml:space="preserve">, </w:t>
      </w:r>
      <w:r w:rsidRPr="00E832FA">
        <w:rPr>
          <w:rFonts w:ascii="Times New Roman" w:hAnsi="Times New Roman"/>
          <w:i/>
          <w:iCs/>
          <w:sz w:val="24"/>
          <w:szCs w:val="24"/>
          <w:lang w:val="en-US"/>
        </w:rPr>
        <w:t>fishing, international treaty</w:t>
      </w:r>
      <w:r w:rsidRPr="00544624">
        <w:rPr>
          <w:rFonts w:ascii="Times New Roman" w:hAnsi="Times New Roman"/>
          <w:i/>
          <w:iCs/>
          <w:sz w:val="24"/>
          <w:szCs w:val="24"/>
          <w:lang w:val="en-US"/>
        </w:rPr>
        <w:t xml:space="preserve">, </w:t>
      </w:r>
      <w:r w:rsidRPr="00E832FA">
        <w:rPr>
          <w:rFonts w:ascii="Times New Roman" w:hAnsi="Times New Roman"/>
          <w:i/>
          <w:iCs/>
          <w:sz w:val="24"/>
          <w:szCs w:val="24"/>
          <w:lang w:val="en-US"/>
        </w:rPr>
        <w:t>bilateral agreements</w:t>
      </w:r>
      <w:r w:rsidRPr="00544624">
        <w:rPr>
          <w:rFonts w:ascii="Times New Roman" w:hAnsi="Times New Roman"/>
          <w:i/>
          <w:iCs/>
          <w:sz w:val="24"/>
          <w:szCs w:val="24"/>
          <w:lang w:val="en-US"/>
        </w:rPr>
        <w:t>.</w:t>
      </w:r>
    </w:p>
    <w:p w:rsidR="00A17BCD" w:rsidRPr="00544624" w:rsidRDefault="00A17BCD" w:rsidP="00A17BCD">
      <w:pPr>
        <w:spacing w:line="240" w:lineRule="auto"/>
        <w:rPr>
          <w:rFonts w:ascii="Times New Roman" w:hAnsi="Times New Roman"/>
          <w:sz w:val="28"/>
          <w:szCs w:val="28"/>
          <w:lang w:val="en-US"/>
        </w:rPr>
      </w:pPr>
    </w:p>
    <w:p w:rsidR="00A17BCD" w:rsidRPr="00953B16" w:rsidRDefault="00A17BCD" w:rsidP="00A17BCD">
      <w:pPr>
        <w:spacing w:after="0" w:line="240" w:lineRule="auto"/>
        <w:ind w:firstLine="708"/>
        <w:jc w:val="both"/>
        <w:rPr>
          <w:rFonts w:ascii="Times New Roman" w:hAnsi="Times New Roman"/>
          <w:sz w:val="24"/>
          <w:szCs w:val="24"/>
        </w:rPr>
      </w:pPr>
      <w:r w:rsidRPr="00953B16">
        <w:rPr>
          <w:rFonts w:ascii="Times New Roman" w:hAnsi="Times New Roman"/>
          <w:sz w:val="24"/>
          <w:szCs w:val="24"/>
        </w:rPr>
        <w:t>Проблема незаконного, несообщаемого и нерегулируемого промысла (далее – НН промысел) существует во всех странах. Ежегодно такой промысел наносит крупный ущерб экономикам множества стран. Государства, основная часть экономики которых состоит из рыбной промышленности, теряют прибыль из-за процветания такого преступного промысла, а также в</w:t>
      </w:r>
      <w:r w:rsidRPr="00953B16">
        <w:rPr>
          <w:rStyle w:val="aff5"/>
          <w:rFonts w:eastAsia="Arial"/>
          <w:sz w:val="24"/>
          <w:szCs w:val="24"/>
        </w:rPr>
        <w:t xml:space="preserve"> </w:t>
      </w:r>
      <w:r w:rsidRPr="00953B16">
        <w:rPr>
          <w:rStyle w:val="aff5"/>
          <w:rFonts w:ascii="Times New Roman" w:eastAsia="Arial" w:hAnsi="Times New Roman"/>
          <w:sz w:val="24"/>
          <w:szCs w:val="24"/>
        </w:rPr>
        <w:t>с</w:t>
      </w:r>
      <w:r w:rsidRPr="00953B16">
        <w:rPr>
          <w:rFonts w:ascii="Times New Roman" w:hAnsi="Times New Roman"/>
          <w:sz w:val="24"/>
          <w:szCs w:val="24"/>
        </w:rPr>
        <w:t xml:space="preserve">транах, где рыбная продукция является основным источником питания, ННН промысел может привести к угрозе продовольственной безопасности. Также, несмотря на почти неисчерпаемость ресурсов Мирового океана, для того, чтобы сохранить те или иные виды водных биологических ресурсов, необходимо использовать их рационально и разумно. Но ННН промысел наносит непоправимый ущерб водным биологическим ресурсам своей нерациональностью и невозможностью отслеживания. Такой промысел ведет к угрозе устойчивости рыбных запасов во всем мире и может привести к полному уничтожению пород рыбы и краба, а также подорвать важный источник продовольствия для всего мира. Поэтому ННН-промысел – проблема, с которой должны бороться все страны сообща, и путем международного сотрудничества разработать меры и направления, которые бы помогли наиболее эффективно бороться с данным преступным промыслом. Главной задачей государств в борьбе с ННН промыслом является становление устойчивого рыболовства с должным учетом биологических, технических и экологических аспектов. </w:t>
      </w:r>
    </w:p>
    <w:p w:rsidR="00A17BCD" w:rsidRPr="00953B16" w:rsidRDefault="00A17BCD" w:rsidP="00A17BCD">
      <w:pPr>
        <w:spacing w:after="0" w:line="240" w:lineRule="auto"/>
        <w:ind w:firstLine="708"/>
        <w:jc w:val="both"/>
        <w:rPr>
          <w:rFonts w:ascii="Times New Roman" w:hAnsi="Times New Roman"/>
          <w:sz w:val="24"/>
          <w:szCs w:val="24"/>
        </w:rPr>
      </w:pPr>
      <w:r w:rsidRPr="00953B16">
        <w:rPr>
          <w:rFonts w:ascii="Times New Roman" w:hAnsi="Times New Roman"/>
          <w:sz w:val="24"/>
          <w:szCs w:val="24"/>
        </w:rPr>
        <w:t>Понятие ННН-промысла довольно развернуто представлено в Международном плане действий по предупреждению, сдерживанию и ликвидации незаконного, несообщаемого и нерегулируемого рыбного промысла (далее – МПД), который был принят Комитетом по рыболовству Продовольственной и сельскохозяйственной организации ООН (далее – ФАО) в 2001 году</w:t>
      </w:r>
      <w:r>
        <w:rPr>
          <w:rFonts w:ascii="Times New Roman" w:hAnsi="Times New Roman"/>
          <w:sz w:val="24"/>
          <w:szCs w:val="24"/>
        </w:rPr>
        <w:t xml:space="preserve"> </w:t>
      </w:r>
      <w:r w:rsidRPr="004F7A8F">
        <w:rPr>
          <w:rFonts w:ascii="Times New Roman" w:hAnsi="Times New Roman"/>
          <w:sz w:val="24"/>
          <w:szCs w:val="24"/>
        </w:rPr>
        <w:t>[</w:t>
      </w:r>
      <w:r>
        <w:rPr>
          <w:rFonts w:ascii="Times New Roman" w:hAnsi="Times New Roman"/>
          <w:sz w:val="24"/>
          <w:szCs w:val="24"/>
        </w:rPr>
        <w:t>1</w:t>
      </w:r>
      <w:r w:rsidRPr="004F7A8F">
        <w:rPr>
          <w:rFonts w:ascii="Times New Roman" w:hAnsi="Times New Roman"/>
          <w:sz w:val="24"/>
          <w:szCs w:val="24"/>
        </w:rPr>
        <w:t>]</w:t>
      </w:r>
      <w:r w:rsidRPr="00953B16">
        <w:rPr>
          <w:rFonts w:ascii="Times New Roman" w:hAnsi="Times New Roman"/>
          <w:sz w:val="24"/>
          <w:szCs w:val="24"/>
        </w:rPr>
        <w:t xml:space="preserve">. </w:t>
      </w:r>
    </w:p>
    <w:p w:rsidR="00A17BCD" w:rsidRPr="00953B16" w:rsidRDefault="00A17BCD" w:rsidP="00A17BCD">
      <w:pPr>
        <w:spacing w:after="0" w:line="240" w:lineRule="auto"/>
        <w:ind w:firstLine="708"/>
        <w:jc w:val="both"/>
        <w:rPr>
          <w:rFonts w:ascii="Times New Roman" w:hAnsi="Times New Roman"/>
          <w:sz w:val="24"/>
          <w:szCs w:val="24"/>
        </w:rPr>
      </w:pPr>
      <w:r w:rsidRPr="00953B16">
        <w:rPr>
          <w:rFonts w:ascii="Times New Roman" w:hAnsi="Times New Roman"/>
          <w:sz w:val="24"/>
          <w:szCs w:val="24"/>
        </w:rPr>
        <w:t xml:space="preserve">В соответствии с пунктом 3 данного документа ННН промысел это:  во-первых, незаконный промысел. Незаконность такого промысла заключается в следующем: </w:t>
      </w:r>
      <w:r>
        <w:rPr>
          <w:rFonts w:ascii="Times New Roman" w:hAnsi="Times New Roman"/>
          <w:sz w:val="24"/>
          <w:szCs w:val="24"/>
        </w:rPr>
        <w:t>«</w:t>
      </w:r>
      <w:r w:rsidRPr="00953B16">
        <w:rPr>
          <w:rFonts w:ascii="Times New Roman" w:hAnsi="Times New Roman"/>
          <w:sz w:val="24"/>
          <w:szCs w:val="24"/>
        </w:rPr>
        <w:t xml:space="preserve">1) Это вылов, производимый судами в нарушение применяемых законов (национальных либо других государств). </w:t>
      </w:r>
      <w:r w:rsidRPr="003338A8">
        <w:rPr>
          <w:rFonts w:ascii="Times New Roman" w:hAnsi="Times New Roman"/>
          <w:sz w:val="24"/>
          <w:szCs w:val="24"/>
        </w:rPr>
        <w:t xml:space="preserve">Это может быть нарушение квот вылова либо вылов запрещенными </w:t>
      </w:r>
      <w:r w:rsidRPr="00953B16">
        <w:rPr>
          <w:rFonts w:ascii="Times New Roman" w:hAnsi="Times New Roman"/>
          <w:sz w:val="24"/>
          <w:szCs w:val="24"/>
        </w:rPr>
        <w:t xml:space="preserve">способами; 2) </w:t>
      </w:r>
      <w:r>
        <w:rPr>
          <w:rFonts w:ascii="Times New Roman" w:hAnsi="Times New Roman"/>
          <w:sz w:val="24"/>
          <w:szCs w:val="24"/>
        </w:rPr>
        <w:t>в</w:t>
      </w:r>
      <w:r w:rsidRPr="00953B16">
        <w:rPr>
          <w:rFonts w:ascii="Times New Roman" w:hAnsi="Times New Roman"/>
          <w:sz w:val="24"/>
          <w:szCs w:val="24"/>
        </w:rPr>
        <w:t xml:space="preserve">ылов, производимый судами в нарушение мер по сохранению и управлению, принятыми региональными организациями, участниками которого являются государства флага; 3) </w:t>
      </w:r>
      <w:r>
        <w:rPr>
          <w:rFonts w:ascii="Times New Roman" w:hAnsi="Times New Roman"/>
          <w:sz w:val="24"/>
          <w:szCs w:val="24"/>
        </w:rPr>
        <w:t>л</w:t>
      </w:r>
      <w:r w:rsidRPr="00953B16">
        <w:rPr>
          <w:rFonts w:ascii="Times New Roman" w:hAnsi="Times New Roman"/>
          <w:sz w:val="24"/>
          <w:szCs w:val="24"/>
        </w:rPr>
        <w:t>юбой вылов, не согласующийся с мерами региональных организаций</w:t>
      </w:r>
      <w:r>
        <w:rPr>
          <w:rFonts w:ascii="Times New Roman" w:hAnsi="Times New Roman"/>
          <w:sz w:val="24"/>
          <w:szCs w:val="24"/>
        </w:rPr>
        <w:t>»</w:t>
      </w:r>
      <w:r w:rsidRPr="00953B16">
        <w:rPr>
          <w:rFonts w:ascii="Times New Roman" w:hAnsi="Times New Roman"/>
          <w:sz w:val="24"/>
          <w:szCs w:val="24"/>
        </w:rPr>
        <w:t xml:space="preserve">. </w:t>
      </w:r>
    </w:p>
    <w:p w:rsidR="00A17BCD" w:rsidRPr="00953B16" w:rsidRDefault="00A17BCD" w:rsidP="00A17BCD">
      <w:pPr>
        <w:spacing w:after="0" w:line="240" w:lineRule="auto"/>
        <w:ind w:firstLine="708"/>
        <w:jc w:val="both"/>
        <w:rPr>
          <w:rFonts w:ascii="Times New Roman" w:hAnsi="Times New Roman"/>
          <w:sz w:val="24"/>
          <w:szCs w:val="24"/>
        </w:rPr>
      </w:pPr>
      <w:r w:rsidRPr="00953B16">
        <w:rPr>
          <w:rFonts w:ascii="Times New Roman" w:hAnsi="Times New Roman"/>
          <w:sz w:val="24"/>
          <w:szCs w:val="24"/>
        </w:rPr>
        <w:t xml:space="preserve">Во-вторых, несообщаемый промысел. Несообщаемым он является потому что: </w:t>
      </w:r>
      <w:r>
        <w:rPr>
          <w:rFonts w:ascii="Times New Roman" w:hAnsi="Times New Roman"/>
          <w:sz w:val="24"/>
          <w:szCs w:val="24"/>
        </w:rPr>
        <w:t>«</w:t>
      </w:r>
      <w:r w:rsidRPr="00953B16">
        <w:rPr>
          <w:rFonts w:ascii="Times New Roman" w:hAnsi="Times New Roman"/>
          <w:sz w:val="24"/>
          <w:szCs w:val="24"/>
        </w:rPr>
        <w:t xml:space="preserve">1) </w:t>
      </w:r>
      <w:r>
        <w:rPr>
          <w:rFonts w:ascii="Times New Roman" w:hAnsi="Times New Roman"/>
          <w:sz w:val="24"/>
          <w:szCs w:val="24"/>
        </w:rPr>
        <w:t>о</w:t>
      </w:r>
      <w:r w:rsidRPr="00953B16">
        <w:rPr>
          <w:rFonts w:ascii="Times New Roman" w:hAnsi="Times New Roman"/>
          <w:sz w:val="24"/>
          <w:szCs w:val="24"/>
        </w:rPr>
        <w:t xml:space="preserve"> таком промысл</w:t>
      </w:r>
      <w:smartTag w:uri="urn:schemas-microsoft-com:office:smarttags" w:element="PersonName">
        <w:r w:rsidRPr="00953B16">
          <w:rPr>
            <w:rFonts w:ascii="Times New Roman" w:hAnsi="Times New Roman"/>
            <w:sz w:val="24"/>
            <w:szCs w:val="24"/>
          </w:rPr>
          <w:t>е н</w:t>
        </w:r>
      </w:smartTag>
      <w:r w:rsidRPr="00953B16">
        <w:rPr>
          <w:rFonts w:ascii="Times New Roman" w:hAnsi="Times New Roman"/>
          <w:sz w:val="24"/>
          <w:szCs w:val="24"/>
        </w:rPr>
        <w:t xml:space="preserve">е сообщалось национальным властям; 2) </w:t>
      </w:r>
      <w:r>
        <w:rPr>
          <w:rFonts w:ascii="Times New Roman" w:hAnsi="Times New Roman"/>
          <w:sz w:val="24"/>
          <w:szCs w:val="24"/>
        </w:rPr>
        <w:t>н</w:t>
      </w:r>
      <w:r w:rsidRPr="00953B16">
        <w:rPr>
          <w:rFonts w:ascii="Times New Roman" w:hAnsi="Times New Roman"/>
          <w:sz w:val="24"/>
          <w:szCs w:val="24"/>
        </w:rPr>
        <w:t xml:space="preserve">е сообщалось либо неправильно сообщалось региональным организациям; 3) </w:t>
      </w:r>
      <w:r>
        <w:rPr>
          <w:rFonts w:ascii="Times New Roman" w:hAnsi="Times New Roman"/>
          <w:sz w:val="24"/>
          <w:szCs w:val="24"/>
        </w:rPr>
        <w:t>о</w:t>
      </w:r>
      <w:r w:rsidRPr="00953B16">
        <w:rPr>
          <w:rFonts w:ascii="Times New Roman" w:hAnsi="Times New Roman"/>
          <w:sz w:val="24"/>
          <w:szCs w:val="24"/>
        </w:rPr>
        <w:t xml:space="preserve"> такой деятельности недостоверно сообщалось национальным органам, что соответственно вводит в заблуждение соответствующие органы, заставляя не применять необходимых мер к таким судам</w:t>
      </w:r>
      <w:r>
        <w:rPr>
          <w:rFonts w:ascii="Times New Roman" w:hAnsi="Times New Roman"/>
          <w:sz w:val="24"/>
          <w:szCs w:val="24"/>
        </w:rPr>
        <w:t>»</w:t>
      </w:r>
      <w:r w:rsidRPr="00953B16">
        <w:rPr>
          <w:rFonts w:ascii="Times New Roman" w:hAnsi="Times New Roman"/>
          <w:sz w:val="24"/>
          <w:szCs w:val="24"/>
        </w:rPr>
        <w:t>.</w:t>
      </w:r>
    </w:p>
    <w:p w:rsidR="00A17BCD" w:rsidRPr="00953B16" w:rsidRDefault="00A17BCD" w:rsidP="00A17BCD">
      <w:pPr>
        <w:spacing w:after="0" w:line="240" w:lineRule="auto"/>
        <w:ind w:firstLine="708"/>
        <w:jc w:val="both"/>
        <w:rPr>
          <w:rFonts w:ascii="Times New Roman" w:hAnsi="Times New Roman"/>
          <w:sz w:val="24"/>
          <w:szCs w:val="24"/>
        </w:rPr>
      </w:pPr>
      <w:r w:rsidRPr="00953B16">
        <w:rPr>
          <w:rFonts w:ascii="Times New Roman" w:hAnsi="Times New Roman"/>
          <w:sz w:val="24"/>
          <w:szCs w:val="24"/>
        </w:rPr>
        <w:t xml:space="preserve"> В-третьих, этот промысел нерегулируемый, потому что: </w:t>
      </w:r>
      <w:r>
        <w:rPr>
          <w:rFonts w:ascii="Times New Roman" w:hAnsi="Times New Roman"/>
          <w:sz w:val="24"/>
          <w:szCs w:val="24"/>
        </w:rPr>
        <w:t>«</w:t>
      </w:r>
      <w:r w:rsidRPr="00953B16">
        <w:rPr>
          <w:rFonts w:ascii="Times New Roman" w:hAnsi="Times New Roman"/>
          <w:sz w:val="24"/>
          <w:szCs w:val="24"/>
        </w:rPr>
        <w:t xml:space="preserve">1) </w:t>
      </w:r>
      <w:r>
        <w:rPr>
          <w:rFonts w:ascii="Times New Roman" w:hAnsi="Times New Roman"/>
          <w:sz w:val="24"/>
          <w:szCs w:val="24"/>
        </w:rPr>
        <w:t>п</w:t>
      </w:r>
      <w:r w:rsidRPr="00953B16">
        <w:rPr>
          <w:rFonts w:ascii="Times New Roman" w:hAnsi="Times New Roman"/>
          <w:sz w:val="24"/>
          <w:szCs w:val="24"/>
        </w:rPr>
        <w:t xml:space="preserve">роводится судами, не имеющими национальности либо стороной организации, соответственно, живые ресурсы, добытые такими судами невозможно контролировать, а суда, осуществляющие такой вылов невозможно отследить; 2) </w:t>
      </w:r>
      <w:r>
        <w:rPr>
          <w:rFonts w:ascii="Times New Roman" w:hAnsi="Times New Roman"/>
          <w:sz w:val="24"/>
          <w:szCs w:val="24"/>
        </w:rPr>
        <w:t>пр</w:t>
      </w:r>
      <w:r w:rsidRPr="00953B16">
        <w:rPr>
          <w:rFonts w:ascii="Times New Roman" w:hAnsi="Times New Roman"/>
          <w:sz w:val="24"/>
          <w:szCs w:val="24"/>
        </w:rPr>
        <w:t>оводится неразрешенным способом, что может грозить чрезмерному вылову и истреблению определенных пород рыб. Такие способы лова такж</w:t>
      </w:r>
      <w:smartTag w:uri="urn:schemas-microsoft-com:office:smarttags" w:element="PersonName">
        <w:r w:rsidRPr="00953B16">
          <w:rPr>
            <w:rFonts w:ascii="Times New Roman" w:hAnsi="Times New Roman"/>
            <w:sz w:val="24"/>
            <w:szCs w:val="24"/>
          </w:rPr>
          <w:t>е н</w:t>
        </w:r>
      </w:smartTag>
      <w:r w:rsidRPr="00953B16">
        <w:rPr>
          <w:rFonts w:ascii="Times New Roman" w:hAnsi="Times New Roman"/>
          <w:sz w:val="24"/>
          <w:szCs w:val="24"/>
        </w:rPr>
        <w:t xml:space="preserve">евозможно контролировать; 3) </w:t>
      </w:r>
      <w:r>
        <w:rPr>
          <w:rFonts w:ascii="Times New Roman" w:hAnsi="Times New Roman"/>
          <w:sz w:val="24"/>
          <w:szCs w:val="24"/>
        </w:rPr>
        <w:t>п</w:t>
      </w:r>
      <w:r w:rsidRPr="00953B16">
        <w:rPr>
          <w:rFonts w:ascii="Times New Roman" w:hAnsi="Times New Roman"/>
          <w:sz w:val="24"/>
          <w:szCs w:val="24"/>
        </w:rPr>
        <w:t>роводится в районах, гд</w:t>
      </w:r>
      <w:smartTag w:uri="urn:schemas-microsoft-com:office:smarttags" w:element="PersonName">
        <w:r w:rsidRPr="00953B16">
          <w:rPr>
            <w:rFonts w:ascii="Times New Roman" w:hAnsi="Times New Roman"/>
            <w:sz w:val="24"/>
            <w:szCs w:val="24"/>
          </w:rPr>
          <w:t>е н</w:t>
        </w:r>
      </w:smartTag>
      <w:r w:rsidRPr="00953B16">
        <w:rPr>
          <w:rFonts w:ascii="Times New Roman" w:hAnsi="Times New Roman"/>
          <w:sz w:val="24"/>
          <w:szCs w:val="24"/>
        </w:rPr>
        <w:t>ет мер по сохранению и управлению, то есть, нет отслеживания судьбы таких запасов, их количества и судов, их добывающих</w:t>
      </w:r>
      <w:r>
        <w:rPr>
          <w:rFonts w:ascii="Times New Roman" w:hAnsi="Times New Roman"/>
          <w:sz w:val="24"/>
          <w:szCs w:val="24"/>
        </w:rPr>
        <w:t>»</w:t>
      </w:r>
      <w:r w:rsidRPr="00953B16">
        <w:rPr>
          <w:rFonts w:ascii="Times New Roman" w:hAnsi="Times New Roman"/>
          <w:sz w:val="24"/>
          <w:szCs w:val="24"/>
        </w:rPr>
        <w:t>.</w:t>
      </w:r>
    </w:p>
    <w:p w:rsidR="00A17BCD" w:rsidRPr="009B28B9" w:rsidRDefault="00A17BCD" w:rsidP="00A17BCD">
      <w:pPr>
        <w:spacing w:after="0" w:line="240" w:lineRule="auto"/>
        <w:ind w:firstLine="708"/>
        <w:jc w:val="both"/>
        <w:rPr>
          <w:rFonts w:ascii="Times New Roman" w:hAnsi="Times New Roman"/>
          <w:sz w:val="24"/>
          <w:szCs w:val="24"/>
        </w:rPr>
      </w:pPr>
      <w:r w:rsidRPr="00953B16">
        <w:rPr>
          <w:rFonts w:ascii="Times New Roman" w:hAnsi="Times New Roman"/>
          <w:sz w:val="24"/>
          <w:szCs w:val="24"/>
        </w:rPr>
        <w:t>Как видно, формулировка, к</w:t>
      </w:r>
      <w:r>
        <w:rPr>
          <w:rFonts w:ascii="Times New Roman" w:hAnsi="Times New Roman"/>
          <w:sz w:val="24"/>
          <w:szCs w:val="24"/>
        </w:rPr>
        <w:t>оторая используется в М</w:t>
      </w:r>
      <w:r w:rsidRPr="00953B16">
        <w:rPr>
          <w:rFonts w:ascii="Times New Roman" w:hAnsi="Times New Roman"/>
          <w:sz w:val="24"/>
          <w:szCs w:val="24"/>
        </w:rPr>
        <w:t>ПД</w:t>
      </w:r>
      <w:r>
        <w:rPr>
          <w:rFonts w:ascii="Times New Roman" w:hAnsi="Times New Roman"/>
          <w:sz w:val="24"/>
          <w:szCs w:val="24"/>
        </w:rPr>
        <w:t xml:space="preserve"> ННН</w:t>
      </w:r>
      <w:r w:rsidRPr="00953B16">
        <w:rPr>
          <w:rFonts w:ascii="Times New Roman" w:hAnsi="Times New Roman"/>
          <w:sz w:val="24"/>
          <w:szCs w:val="24"/>
        </w:rPr>
        <w:t>, состоит из трех, независимых друг от друга элементов. А для отнесения промысла к нерегулируемому, незаконному либо нерегистрируемому достаточно наличия даже одного из нескольких</w:t>
      </w:r>
      <w:r>
        <w:rPr>
          <w:rFonts w:ascii="Times New Roman" w:hAnsi="Times New Roman"/>
          <w:sz w:val="24"/>
          <w:szCs w:val="24"/>
        </w:rPr>
        <w:t xml:space="preserve"> критериев для данных элементов. </w:t>
      </w:r>
      <w:r w:rsidRPr="009B28B9">
        <w:rPr>
          <w:rFonts w:ascii="Times New Roman" w:hAnsi="Times New Roman"/>
          <w:sz w:val="24"/>
          <w:szCs w:val="24"/>
        </w:rPr>
        <w:t>Об этом нам говорит союз «или», стоящий между критериями. И соответственно, можно сделать вывод о том, что наличие любого из критериев, присутствующих в промысловой деятельности лиц, будет считаться противоправным (незаконным, несообщаемым либо нерегулируемым).</w:t>
      </w:r>
    </w:p>
    <w:p w:rsidR="00A17BCD" w:rsidRDefault="00A17BCD" w:rsidP="00A17BCD">
      <w:pPr>
        <w:tabs>
          <w:tab w:val="left" w:pos="708"/>
          <w:tab w:val="left" w:pos="1416"/>
          <w:tab w:val="left" w:pos="2124"/>
          <w:tab w:val="left" w:pos="2832"/>
          <w:tab w:val="left" w:pos="3540"/>
          <w:tab w:val="center" w:pos="4819"/>
        </w:tabs>
        <w:spacing w:after="0" w:line="240" w:lineRule="auto"/>
        <w:jc w:val="both"/>
        <w:rPr>
          <w:rFonts w:ascii="Times New Roman" w:hAnsi="Times New Roman"/>
          <w:sz w:val="24"/>
          <w:szCs w:val="24"/>
        </w:rPr>
      </w:pPr>
      <w:r w:rsidRPr="009B28B9">
        <w:rPr>
          <w:rFonts w:ascii="Times New Roman" w:hAnsi="Times New Roman"/>
          <w:sz w:val="24"/>
          <w:szCs w:val="24"/>
        </w:rPr>
        <w:tab/>
        <w:t>Международный план действий по предотвращению ННН промысла</w:t>
      </w:r>
      <w:r w:rsidRPr="00953B16">
        <w:rPr>
          <w:rFonts w:ascii="Times New Roman" w:hAnsi="Times New Roman"/>
          <w:sz w:val="24"/>
          <w:szCs w:val="24"/>
        </w:rPr>
        <w:t xml:space="preserve"> впервые ввел развернутое понятие ННН промысл</w:t>
      </w:r>
      <w:r>
        <w:rPr>
          <w:rFonts w:ascii="Times New Roman" w:hAnsi="Times New Roman"/>
          <w:sz w:val="24"/>
          <w:szCs w:val="24"/>
        </w:rPr>
        <w:t>а</w:t>
      </w:r>
      <w:r w:rsidRPr="00953B16">
        <w:rPr>
          <w:rFonts w:ascii="Times New Roman" w:hAnsi="Times New Roman"/>
          <w:sz w:val="24"/>
          <w:szCs w:val="24"/>
        </w:rPr>
        <w:t xml:space="preserve">, которое было рассмотрено выше. Однако, это не означает, что и сама незаконная деятельность, именуемая ННН промыслом, появилась с принятием данного документа. Проблема незаконного вылова рыбных ресурсов существовала всегда, а МПН ННН лишь определил универсальное понятие такой деятельности. </w:t>
      </w:r>
      <w:r>
        <w:rPr>
          <w:rFonts w:ascii="Times New Roman" w:hAnsi="Times New Roman"/>
          <w:sz w:val="24"/>
          <w:szCs w:val="24"/>
        </w:rPr>
        <w:t>Можно сказать, что ННН промысел является наиболее общим и развернутым понятием, объединяющим в себе множество различных аспектов незаконной рыболовной деятельности.  Можно было бы отождествить ННН промысел с браконьерством. Оба понятия, если задуматься и проанализировать, означают одно и то же</w:t>
      </w:r>
      <w:r w:rsidRPr="009B28B9">
        <w:rPr>
          <w:rFonts w:ascii="Times New Roman" w:hAnsi="Times New Roman"/>
          <w:sz w:val="24"/>
          <w:szCs w:val="24"/>
        </w:rPr>
        <w:t>. Возможно термин «браконьерство» более стар, нежели ННН промысел, да и более распространён, так как в Российской Федерации мы слышим его более часто. Однако, правого понятия «браконьерство» не закреплено в нормативных актах, поэтому название ННН промысел здесь является более выигрышным, так как закреплено в международных договорах, а также объединило в себе все те аспекты, все те различные термины незаконной деятельности, существовавшей ранее, но не имеющей общего полноценного определения.</w:t>
      </w:r>
      <w:r>
        <w:rPr>
          <w:rFonts w:ascii="Times New Roman" w:hAnsi="Times New Roman"/>
          <w:sz w:val="24"/>
          <w:szCs w:val="24"/>
        </w:rPr>
        <w:t xml:space="preserve"> </w:t>
      </w:r>
    </w:p>
    <w:p w:rsidR="00A17BCD" w:rsidRDefault="00A17BCD" w:rsidP="00A17BCD">
      <w:pPr>
        <w:tabs>
          <w:tab w:val="left" w:pos="708"/>
          <w:tab w:val="left" w:pos="1416"/>
          <w:tab w:val="left" w:pos="2124"/>
          <w:tab w:val="left" w:pos="2832"/>
          <w:tab w:val="left" w:pos="3540"/>
          <w:tab w:val="center" w:pos="4819"/>
        </w:tabs>
        <w:spacing w:after="0" w:line="240" w:lineRule="auto"/>
        <w:jc w:val="both"/>
        <w:rPr>
          <w:rFonts w:ascii="Times New Roman" w:hAnsi="Times New Roman"/>
          <w:sz w:val="24"/>
          <w:szCs w:val="24"/>
        </w:rPr>
      </w:pPr>
      <w:r>
        <w:rPr>
          <w:rFonts w:ascii="Times New Roman" w:hAnsi="Times New Roman"/>
          <w:sz w:val="24"/>
          <w:szCs w:val="24"/>
        </w:rPr>
        <w:tab/>
      </w:r>
      <w:r w:rsidRPr="00953B16">
        <w:rPr>
          <w:rFonts w:ascii="Times New Roman" w:hAnsi="Times New Roman"/>
          <w:sz w:val="24"/>
          <w:szCs w:val="24"/>
        </w:rPr>
        <w:t>Кроме того, такая деятельность не только существовала, но с ней также вели борьбу путем принятия соответствующих международных договоров. К таким договорам можно отнести, во-первых, Соглашение об осуществлении положений Конвенции ООН по морскому праву от 10 декабря 1982 года, которые касаются сохранения трансграничных рыбных запасов и запасов далеко мигрирующих рыб и управления ими 1995 года</w:t>
      </w:r>
      <w:r>
        <w:rPr>
          <w:rFonts w:ascii="Times New Roman" w:hAnsi="Times New Roman"/>
          <w:sz w:val="24"/>
          <w:szCs w:val="24"/>
        </w:rPr>
        <w:t xml:space="preserve"> </w:t>
      </w:r>
      <w:r w:rsidRPr="004F7A8F">
        <w:rPr>
          <w:rFonts w:ascii="Times New Roman" w:hAnsi="Times New Roman"/>
          <w:sz w:val="24"/>
          <w:szCs w:val="24"/>
        </w:rPr>
        <w:t>[2]</w:t>
      </w:r>
      <w:r w:rsidRPr="00953B16">
        <w:rPr>
          <w:rFonts w:ascii="Times New Roman" w:hAnsi="Times New Roman"/>
          <w:sz w:val="24"/>
          <w:szCs w:val="24"/>
        </w:rPr>
        <w:t xml:space="preserve">. В нем нет понятия ННН промысла, </w:t>
      </w:r>
      <w:r>
        <w:rPr>
          <w:rFonts w:ascii="Times New Roman" w:hAnsi="Times New Roman"/>
          <w:sz w:val="24"/>
          <w:szCs w:val="24"/>
        </w:rPr>
        <w:t>потому что этот термин появился позже</w:t>
      </w:r>
      <w:r w:rsidRPr="00953B16">
        <w:rPr>
          <w:rFonts w:ascii="Times New Roman" w:hAnsi="Times New Roman"/>
          <w:sz w:val="24"/>
          <w:szCs w:val="24"/>
        </w:rPr>
        <w:t>. Целью соглашения не является борьба с ННН промыслом, однако, государства-участники Соглашения, стремясь обеспечить сохранение и устойчивое использование трансграничных рыбных запасов (ТРЗ) и запасов далеко мигрирующих рыб (ДМР), приняли данное Соглашени</w:t>
      </w:r>
      <w:smartTag w:uri="urn:schemas-microsoft-com:office:smarttags" w:element="PersonName">
        <w:r w:rsidRPr="00953B16">
          <w:rPr>
            <w:rFonts w:ascii="Times New Roman" w:hAnsi="Times New Roman"/>
            <w:sz w:val="24"/>
            <w:szCs w:val="24"/>
          </w:rPr>
          <w:t>е н</w:t>
        </w:r>
      </w:smartTag>
      <w:r w:rsidRPr="00953B16">
        <w:rPr>
          <w:rFonts w:ascii="Times New Roman" w:hAnsi="Times New Roman"/>
          <w:sz w:val="24"/>
          <w:szCs w:val="24"/>
        </w:rPr>
        <w:t>а основе Конвенции ООН по морскому праву 1982 года, чтобы расширить ряд статей в Конвенции, относящийся к ТЗС и ДМР. То есть можно говорить о том, что в Соглашении затронуты вопросы в области рыболовства и сохранения ТРЗ и ДМР.</w:t>
      </w:r>
    </w:p>
    <w:p w:rsidR="00A17BCD" w:rsidRPr="00544624" w:rsidRDefault="00A17BCD" w:rsidP="00A17BCD">
      <w:pPr>
        <w:tabs>
          <w:tab w:val="left" w:pos="708"/>
          <w:tab w:val="left" w:pos="1416"/>
          <w:tab w:val="left" w:pos="2124"/>
          <w:tab w:val="left" w:pos="2832"/>
          <w:tab w:val="left" w:pos="3540"/>
          <w:tab w:val="center" w:pos="4819"/>
        </w:tabs>
        <w:spacing w:after="0" w:line="240" w:lineRule="auto"/>
        <w:jc w:val="both"/>
        <w:rPr>
          <w:rFonts w:ascii="Times New Roman" w:hAnsi="Times New Roman"/>
          <w:sz w:val="24"/>
          <w:szCs w:val="24"/>
        </w:rPr>
      </w:pPr>
      <w:r>
        <w:rPr>
          <w:rFonts w:ascii="Times New Roman" w:hAnsi="Times New Roman"/>
          <w:sz w:val="24"/>
          <w:szCs w:val="24"/>
        </w:rPr>
        <w:tab/>
      </w:r>
      <w:r w:rsidRPr="00544624">
        <w:rPr>
          <w:rFonts w:ascii="Times New Roman" w:hAnsi="Times New Roman"/>
          <w:sz w:val="24"/>
          <w:szCs w:val="24"/>
        </w:rPr>
        <w:t xml:space="preserve">Целью Соглашения </w:t>
      </w:r>
      <w:r w:rsidRPr="00ED7D2B">
        <w:rPr>
          <w:rFonts w:ascii="Times New Roman" w:hAnsi="Times New Roman"/>
          <w:sz w:val="24"/>
          <w:szCs w:val="24"/>
        </w:rPr>
        <w:t xml:space="preserve">является: </w:t>
      </w:r>
      <w:r>
        <w:rPr>
          <w:rFonts w:ascii="Times New Roman" w:hAnsi="Times New Roman"/>
          <w:sz w:val="24"/>
          <w:szCs w:val="24"/>
        </w:rPr>
        <w:t>«О</w:t>
      </w:r>
      <w:r w:rsidRPr="00ED7D2B">
        <w:rPr>
          <w:rFonts w:ascii="Times New Roman" w:hAnsi="Times New Roman"/>
          <w:sz w:val="24"/>
          <w:szCs w:val="24"/>
        </w:rPr>
        <w:t>беспечение</w:t>
      </w:r>
      <w:r>
        <w:rPr>
          <w:rStyle w:val="aff5"/>
          <w:rFonts w:eastAsia="Arial"/>
        </w:rPr>
        <w:t xml:space="preserve"> </w:t>
      </w:r>
      <w:r>
        <w:rPr>
          <w:rStyle w:val="aff5"/>
          <w:rFonts w:ascii="Times New Roman" w:eastAsia="Arial" w:hAnsi="Times New Roman"/>
          <w:sz w:val="24"/>
          <w:szCs w:val="24"/>
        </w:rPr>
        <w:t>до</w:t>
      </w:r>
      <w:r>
        <w:rPr>
          <w:rFonts w:ascii="Times New Roman" w:hAnsi="Times New Roman"/>
          <w:sz w:val="24"/>
          <w:szCs w:val="24"/>
        </w:rPr>
        <w:t>лгосрочного</w:t>
      </w:r>
      <w:r w:rsidRPr="00544624">
        <w:rPr>
          <w:rFonts w:ascii="Times New Roman" w:hAnsi="Times New Roman"/>
          <w:sz w:val="24"/>
          <w:szCs w:val="24"/>
        </w:rPr>
        <w:t xml:space="preserve"> сохранени</w:t>
      </w:r>
      <w:r>
        <w:rPr>
          <w:rFonts w:ascii="Times New Roman" w:hAnsi="Times New Roman"/>
          <w:sz w:val="24"/>
          <w:szCs w:val="24"/>
        </w:rPr>
        <w:t>я</w:t>
      </w:r>
      <w:r w:rsidRPr="00544624">
        <w:rPr>
          <w:rFonts w:ascii="Times New Roman" w:hAnsi="Times New Roman"/>
          <w:sz w:val="24"/>
          <w:szCs w:val="24"/>
        </w:rPr>
        <w:t xml:space="preserve"> и устойчивое использование трансграничных рыбных запасов и запасов далеко мигрирующих рыб посредством эффективного осуществления соответствующих положений Конвенции». Соглашение устанавливает общие принципы (ст. 5), которые соблюдают государства для сохранения рыбных запасов, прописывает функции субрегиональных и региональных рыбохозяйственных организаций (ст. 10), перечисляет основные обязанности государства флага в области контроля за судами, ведущими рыбный промысел под их флагом в открытом море (ст. 18), также Соглашение уделяет значительную роль международному сотрудничеству между государствами непосредственно или через региональные и субрегиональные организации (ст. 8, ст. 14, ст. 20, ст. 21, ст. 25). </w:t>
      </w:r>
    </w:p>
    <w:p w:rsidR="00A17BCD" w:rsidRPr="00544624" w:rsidRDefault="00A17BCD" w:rsidP="00A17BCD">
      <w:pPr>
        <w:tabs>
          <w:tab w:val="left" w:pos="708"/>
          <w:tab w:val="left" w:pos="1416"/>
          <w:tab w:val="left" w:pos="2124"/>
          <w:tab w:val="left" w:pos="2832"/>
          <w:tab w:val="left" w:pos="3540"/>
          <w:tab w:val="center" w:pos="4819"/>
        </w:tabs>
        <w:spacing w:after="0" w:line="240" w:lineRule="auto"/>
        <w:jc w:val="both"/>
        <w:rPr>
          <w:rFonts w:ascii="Times New Roman" w:hAnsi="Times New Roman"/>
          <w:sz w:val="24"/>
          <w:szCs w:val="24"/>
        </w:rPr>
      </w:pPr>
      <w:r w:rsidRPr="00544624">
        <w:rPr>
          <w:rFonts w:ascii="Times New Roman" w:hAnsi="Times New Roman"/>
          <w:sz w:val="24"/>
          <w:szCs w:val="24"/>
        </w:rPr>
        <w:tab/>
        <w:t>В частности, государство должно осуществлять контроль за судами, плавающими под его флагом в открытом море при помощи рыболовных лицензий или разрешений; разрешает использовать суда под его флагом для рыболовства только, если государство способно нести свою ответственность за эти суда согласно Конвенции ООН 1982 года и этому Соглашению; запрещает рыболовство в открытом море судам, которые не имеют лицензий на лов рыбы или рыбный промысел, который не соответствует лицензии, а также иметь данные лицензии всегда на борту судна; учредить национальный реестр ры</w:t>
      </w:r>
      <w:r>
        <w:rPr>
          <w:rFonts w:ascii="Times New Roman" w:hAnsi="Times New Roman"/>
          <w:sz w:val="24"/>
          <w:szCs w:val="24"/>
        </w:rPr>
        <w:t>боловных судов, которым разреше</w:t>
      </w:r>
      <w:r w:rsidRPr="00544624">
        <w:rPr>
          <w:rFonts w:ascii="Times New Roman" w:hAnsi="Times New Roman"/>
          <w:sz w:val="24"/>
          <w:szCs w:val="24"/>
        </w:rPr>
        <w:t>но вести рыбный промысел в открытом море и требовать маркировки рыболовных судов, которая была бы единообразна и признана международными системами маркировки судов, принятыми ФАО и другими международными организациями; осуществлять мониторинг, контроль и наблюдение за судами, их промысловыми операциями и деятельностью. Кроме того, в соответствии с Соглашением, государство, под  чьим флагом плавают суда, расследует любые предполагаемые нарушения и, если будет доказ</w:t>
      </w:r>
      <w:r>
        <w:rPr>
          <w:rFonts w:ascii="Times New Roman" w:hAnsi="Times New Roman"/>
          <w:sz w:val="24"/>
          <w:szCs w:val="24"/>
        </w:rPr>
        <w:t>ано, что нарушение было соверше</w:t>
      </w:r>
      <w:r w:rsidRPr="00544624">
        <w:rPr>
          <w:rFonts w:ascii="Times New Roman" w:hAnsi="Times New Roman"/>
          <w:sz w:val="24"/>
          <w:szCs w:val="24"/>
        </w:rPr>
        <w:t>но, принять меры к тому, чтобы данное судно не вело ры</w:t>
      </w:r>
      <w:r>
        <w:rPr>
          <w:rFonts w:ascii="Times New Roman" w:hAnsi="Times New Roman"/>
          <w:sz w:val="24"/>
          <w:szCs w:val="24"/>
        </w:rPr>
        <w:t>боловных операций в открытом мо</w:t>
      </w:r>
      <w:r w:rsidRPr="00544624">
        <w:rPr>
          <w:rFonts w:ascii="Times New Roman" w:hAnsi="Times New Roman"/>
          <w:sz w:val="24"/>
          <w:szCs w:val="24"/>
        </w:rPr>
        <w:t>ре до тех пор, пока не будут применены все санкции.</w:t>
      </w:r>
    </w:p>
    <w:p w:rsidR="00A17BCD" w:rsidRPr="00544624" w:rsidRDefault="00A17BCD" w:rsidP="00A17BCD">
      <w:pPr>
        <w:tabs>
          <w:tab w:val="left" w:pos="708"/>
          <w:tab w:val="left" w:pos="1416"/>
          <w:tab w:val="left" w:pos="2124"/>
          <w:tab w:val="left" w:pos="2832"/>
          <w:tab w:val="left" w:pos="3540"/>
          <w:tab w:val="center" w:pos="4819"/>
        </w:tabs>
        <w:spacing w:after="0" w:line="240" w:lineRule="auto"/>
        <w:jc w:val="both"/>
        <w:rPr>
          <w:rFonts w:ascii="Times New Roman" w:hAnsi="Times New Roman"/>
          <w:sz w:val="24"/>
          <w:szCs w:val="24"/>
        </w:rPr>
      </w:pPr>
      <w:r w:rsidRPr="00544624">
        <w:rPr>
          <w:rFonts w:ascii="Times New Roman" w:hAnsi="Times New Roman"/>
          <w:sz w:val="24"/>
          <w:szCs w:val="24"/>
        </w:rPr>
        <w:tab/>
        <w:t xml:space="preserve">Также в Соглашении важную роль занимает международное сотрудничество между государствами через субрегиональные и региональные организации либо непосредственно. </w:t>
      </w:r>
    </w:p>
    <w:p w:rsidR="00A17BCD" w:rsidRPr="00953B16" w:rsidRDefault="00A17BCD" w:rsidP="00A17BCD">
      <w:pPr>
        <w:tabs>
          <w:tab w:val="left" w:pos="708"/>
          <w:tab w:val="left" w:pos="1416"/>
          <w:tab w:val="left" w:pos="2124"/>
          <w:tab w:val="left" w:pos="2832"/>
          <w:tab w:val="left" w:pos="3540"/>
          <w:tab w:val="center" w:pos="4819"/>
        </w:tabs>
        <w:spacing w:after="0" w:line="240" w:lineRule="auto"/>
        <w:jc w:val="both"/>
        <w:rPr>
          <w:rFonts w:ascii="Times New Roman" w:hAnsi="Times New Roman"/>
          <w:sz w:val="24"/>
          <w:szCs w:val="24"/>
        </w:rPr>
      </w:pPr>
      <w:r w:rsidRPr="00544624">
        <w:rPr>
          <w:rFonts w:ascii="Times New Roman" w:hAnsi="Times New Roman"/>
          <w:sz w:val="24"/>
          <w:szCs w:val="24"/>
        </w:rPr>
        <w:tab/>
        <w:t>Исходя из вышеизложенного можно сказать, что Соглашение содержит примерный перечень мер по сохранению живых ресурсов открытого моря и исходя из цели Соглашения и перечисленных мер можно говорить о том, что данный документ может быть отнесен к международным договорам, направленным на предотвращение ННН промысла.</w:t>
      </w:r>
    </w:p>
    <w:p w:rsidR="00A17BCD" w:rsidRPr="00953B16" w:rsidRDefault="00A17BCD" w:rsidP="00A17BCD">
      <w:pPr>
        <w:tabs>
          <w:tab w:val="left" w:pos="708"/>
          <w:tab w:val="left" w:pos="1416"/>
          <w:tab w:val="left" w:pos="2124"/>
          <w:tab w:val="left" w:pos="2832"/>
          <w:tab w:val="left" w:pos="3540"/>
          <w:tab w:val="center" w:pos="4819"/>
        </w:tabs>
        <w:spacing w:after="0" w:line="240" w:lineRule="auto"/>
        <w:jc w:val="both"/>
        <w:rPr>
          <w:rFonts w:ascii="Times New Roman" w:hAnsi="Times New Roman"/>
          <w:sz w:val="24"/>
          <w:szCs w:val="24"/>
        </w:rPr>
      </w:pPr>
      <w:r>
        <w:rPr>
          <w:rFonts w:ascii="Times New Roman" w:hAnsi="Times New Roman"/>
          <w:sz w:val="24"/>
          <w:szCs w:val="24"/>
        </w:rPr>
        <w:tab/>
      </w:r>
      <w:r w:rsidRPr="00953B16">
        <w:rPr>
          <w:rFonts w:ascii="Times New Roman" w:hAnsi="Times New Roman"/>
          <w:sz w:val="24"/>
          <w:szCs w:val="24"/>
        </w:rPr>
        <w:t>Наиболее авторитетным международным договором в области управления рыболовством является Конвенция по морскому праву 1982 года [</w:t>
      </w:r>
      <w:r w:rsidRPr="004F7A8F">
        <w:rPr>
          <w:rFonts w:ascii="Times New Roman" w:hAnsi="Times New Roman"/>
          <w:sz w:val="24"/>
          <w:szCs w:val="24"/>
        </w:rPr>
        <w:t>3</w:t>
      </w:r>
      <w:r w:rsidRPr="00953B16">
        <w:rPr>
          <w:rFonts w:ascii="Times New Roman" w:hAnsi="Times New Roman"/>
          <w:sz w:val="24"/>
          <w:szCs w:val="24"/>
        </w:rPr>
        <w:t xml:space="preserve">]. Конвенция была подписана в городе Монтего-Бэй в декабре 1982 года. Она имеет 320 статей и 9 приложений, которые регулируют все вопросы в области морского права, в том числе и вопросы, касающиеся рыболовства в исключительной экономической зоне государств и открытом море. Участниками данной Конвенции на сегодняшний день являются 167 государств, а также Европейский </w:t>
      </w:r>
      <w:r w:rsidRPr="00ED7D2B">
        <w:rPr>
          <w:rFonts w:ascii="Times New Roman" w:hAnsi="Times New Roman"/>
          <w:sz w:val="24"/>
          <w:szCs w:val="24"/>
        </w:rPr>
        <w:t>сою</w:t>
      </w:r>
      <w:r>
        <w:rPr>
          <w:rFonts w:ascii="Times New Roman" w:hAnsi="Times New Roman"/>
          <w:sz w:val="24"/>
          <w:szCs w:val="24"/>
        </w:rPr>
        <w:t>з</w:t>
      </w:r>
      <w:r w:rsidRPr="00953B16">
        <w:rPr>
          <w:rFonts w:ascii="Times New Roman" w:hAnsi="Times New Roman"/>
          <w:sz w:val="24"/>
          <w:szCs w:val="24"/>
        </w:rPr>
        <w:t xml:space="preserve">. Странами Тихоокеанского региона, не подписавшими Конвенцию, являются США, Тайвань, а не ратифицирующими Конвенцию – КНДР. Несмотря на то, что в Конвенции по морскому праву не содержится формулировки ННН промысла, все же в ней есть положения о сохранении живых ресурсов открытого моря (часть </w:t>
      </w:r>
      <w:r w:rsidRPr="00953B16">
        <w:rPr>
          <w:rFonts w:ascii="Times New Roman" w:hAnsi="Times New Roman"/>
          <w:sz w:val="24"/>
          <w:szCs w:val="24"/>
          <w:lang w:val="en-US"/>
        </w:rPr>
        <w:t>VII</w:t>
      </w:r>
      <w:r w:rsidRPr="00953B16">
        <w:rPr>
          <w:rFonts w:ascii="Times New Roman" w:hAnsi="Times New Roman"/>
          <w:sz w:val="24"/>
          <w:szCs w:val="24"/>
        </w:rPr>
        <w:t>, раздел 2). Статья 87 Конвенции говорит о том, что открытое море свободно для всех государств.</w:t>
      </w:r>
    </w:p>
    <w:p w:rsidR="00A17BCD" w:rsidRPr="00953B16" w:rsidRDefault="00A17BCD" w:rsidP="00A17BCD">
      <w:pPr>
        <w:spacing w:after="0" w:line="240" w:lineRule="auto"/>
        <w:ind w:firstLine="708"/>
        <w:jc w:val="both"/>
        <w:rPr>
          <w:rFonts w:ascii="Times New Roman" w:hAnsi="Times New Roman"/>
          <w:sz w:val="24"/>
          <w:szCs w:val="24"/>
        </w:rPr>
      </w:pPr>
      <w:r w:rsidRPr="00953B16">
        <w:rPr>
          <w:rFonts w:ascii="Times New Roman" w:hAnsi="Times New Roman"/>
          <w:sz w:val="24"/>
          <w:szCs w:val="24"/>
        </w:rPr>
        <w:t>Также, п</w:t>
      </w:r>
      <w:r>
        <w:rPr>
          <w:rFonts w:ascii="Times New Roman" w:hAnsi="Times New Roman"/>
          <w:sz w:val="24"/>
          <w:szCs w:val="24"/>
        </w:rPr>
        <w:t>ункт 4 статьи 62 Конвенции закрепляет</w:t>
      </w:r>
      <w:r w:rsidRPr="00953B16">
        <w:rPr>
          <w:rFonts w:ascii="Times New Roman" w:hAnsi="Times New Roman"/>
          <w:sz w:val="24"/>
          <w:szCs w:val="24"/>
        </w:rPr>
        <w:t>, что: «Граждане других государств, ведущие рыбный промысел в исключительной экономической зоне, соблюдают меры по сохранению и другие положения и условия, установленные в законах и правилах данного прибрежного государства». Таким образом, Конвенция обязывает иностранных лиц соблюдать не только международные нормы и принципы при ведении рыбного промысла в исключительной экономической зоне, но и законодательство прибрежного государства по сохранению морских живых ресурсов.</w:t>
      </w:r>
    </w:p>
    <w:p w:rsidR="00A17BCD" w:rsidRDefault="00A17BCD" w:rsidP="00A17BCD">
      <w:pPr>
        <w:spacing w:after="0" w:line="240" w:lineRule="auto"/>
        <w:ind w:firstLine="708"/>
        <w:jc w:val="both"/>
        <w:rPr>
          <w:rFonts w:ascii="Times New Roman" w:hAnsi="Times New Roman"/>
          <w:sz w:val="24"/>
          <w:szCs w:val="24"/>
        </w:rPr>
      </w:pPr>
      <w:r w:rsidRPr="00953B16">
        <w:rPr>
          <w:rFonts w:ascii="Times New Roman" w:hAnsi="Times New Roman"/>
          <w:sz w:val="24"/>
          <w:szCs w:val="24"/>
        </w:rPr>
        <w:t>Статья 73 Конвенции дает право прибрежному государству применять необходимые меры для обеспечения законности в исключительной экономической зоне прибрежного государства, предотвращения незаконного рыболовства и обеспечения сохранности живых водных ресурсов в том числе. К таким мерам Конвенция относит: досмотр, инспекцию, арест, судебное разбирательство.</w:t>
      </w:r>
    </w:p>
    <w:p w:rsidR="00A17BCD" w:rsidRPr="00953B16" w:rsidRDefault="00A17BCD" w:rsidP="00A17BCD">
      <w:pPr>
        <w:spacing w:after="0" w:line="240" w:lineRule="auto"/>
        <w:ind w:firstLine="708"/>
        <w:jc w:val="both"/>
        <w:rPr>
          <w:rFonts w:ascii="Times New Roman" w:hAnsi="Times New Roman"/>
          <w:sz w:val="24"/>
          <w:szCs w:val="24"/>
        </w:rPr>
      </w:pPr>
      <w:r w:rsidRPr="00953B16">
        <w:rPr>
          <w:rFonts w:ascii="Times New Roman" w:hAnsi="Times New Roman"/>
          <w:sz w:val="24"/>
          <w:szCs w:val="24"/>
        </w:rPr>
        <w:t>А государство, под флагом которого плавает судно, обязано осуществлять свою юрисдикцию и контроль в административных, технических и социальных вопросах в отношении всех судов, которым оно предоставило свой флаг. Данная статья, на наш взгляд, направлена на предотвращение и ликвидацию регистрации судов под «удобным» флагом, о которых говорилось выше, так как ННН промысел, осуществляемый под этими флагами, составляет значительную часть, а контроль над судном у такого государства флага сводится к минимуму.</w:t>
      </w:r>
    </w:p>
    <w:p w:rsidR="00A17BCD" w:rsidRDefault="00A17BCD" w:rsidP="00A17BCD">
      <w:pPr>
        <w:tabs>
          <w:tab w:val="left" w:pos="708"/>
          <w:tab w:val="left" w:pos="1416"/>
          <w:tab w:val="left" w:pos="2124"/>
          <w:tab w:val="left" w:pos="2832"/>
          <w:tab w:val="left" w:pos="3540"/>
          <w:tab w:val="center" w:pos="4819"/>
        </w:tabs>
        <w:spacing w:after="0" w:line="240" w:lineRule="auto"/>
        <w:jc w:val="both"/>
        <w:rPr>
          <w:rFonts w:ascii="Times New Roman" w:hAnsi="Times New Roman"/>
          <w:sz w:val="24"/>
          <w:szCs w:val="24"/>
        </w:rPr>
      </w:pPr>
      <w:r>
        <w:rPr>
          <w:rFonts w:ascii="Times New Roman" w:hAnsi="Times New Roman"/>
          <w:sz w:val="24"/>
          <w:szCs w:val="24"/>
        </w:rPr>
        <w:tab/>
      </w:r>
      <w:r w:rsidRPr="00953B16">
        <w:rPr>
          <w:rFonts w:ascii="Times New Roman" w:hAnsi="Times New Roman"/>
          <w:sz w:val="24"/>
          <w:szCs w:val="24"/>
        </w:rPr>
        <w:t>Конвенцию о сохранении ресурсов минтая и управлении ими в центральной части Берингова моря от 1994 года [</w:t>
      </w:r>
      <w:r w:rsidRPr="004F7A8F">
        <w:rPr>
          <w:rFonts w:ascii="Times New Roman" w:hAnsi="Times New Roman"/>
          <w:sz w:val="24"/>
          <w:szCs w:val="24"/>
        </w:rPr>
        <w:t>4</w:t>
      </w:r>
      <w:r w:rsidRPr="00953B16">
        <w:rPr>
          <w:rFonts w:ascii="Times New Roman" w:hAnsi="Times New Roman"/>
          <w:sz w:val="24"/>
          <w:szCs w:val="24"/>
        </w:rPr>
        <w:t>] также отнести к категории международных договоров, которые регулировали борьбу с ННН промыслом до возникновения соответствующего понятия. Конвенция призвана обеспечить сохранение минтая и управление им в Беринговом море. Для достижения этих целей в рамках Конвенции создается ежегодная конференция и образовывается научно-технический комитет.</w:t>
      </w:r>
    </w:p>
    <w:p w:rsidR="00A17BCD" w:rsidRDefault="00A17BCD" w:rsidP="00A17BCD">
      <w:pPr>
        <w:tabs>
          <w:tab w:val="left" w:pos="708"/>
          <w:tab w:val="left" w:pos="1416"/>
          <w:tab w:val="left" w:pos="2124"/>
          <w:tab w:val="left" w:pos="2832"/>
          <w:tab w:val="left" w:pos="3540"/>
          <w:tab w:val="center" w:pos="4819"/>
        </w:tabs>
        <w:spacing w:after="0" w:line="240" w:lineRule="auto"/>
        <w:jc w:val="both"/>
        <w:rPr>
          <w:rFonts w:ascii="Times New Roman" w:hAnsi="Times New Roman"/>
          <w:sz w:val="24"/>
          <w:szCs w:val="24"/>
        </w:rPr>
      </w:pPr>
      <w:r>
        <w:rPr>
          <w:rFonts w:ascii="Times New Roman" w:hAnsi="Times New Roman"/>
          <w:sz w:val="24"/>
          <w:szCs w:val="24"/>
        </w:rPr>
        <w:tab/>
        <w:t xml:space="preserve">После появления понятия ННН промысла стали приниматься международные договоры, в которых присутствует данное словосочетание. К таким договорам можно отнести </w:t>
      </w:r>
      <w:r w:rsidRPr="00544624">
        <w:rPr>
          <w:rFonts w:ascii="Times New Roman" w:hAnsi="Times New Roman"/>
          <w:sz w:val="24"/>
          <w:szCs w:val="24"/>
        </w:rPr>
        <w:t>Соглашение о мерах государственного порта по предупреждению, сдерживанию и ликвидации незаконного, несообщаемого и нерегулируемого промысла, принятого в 2009 году</w:t>
      </w:r>
      <w:r>
        <w:rPr>
          <w:rFonts w:ascii="Times New Roman" w:hAnsi="Times New Roman"/>
          <w:sz w:val="24"/>
          <w:szCs w:val="24"/>
        </w:rPr>
        <w:t xml:space="preserve">, </w:t>
      </w:r>
      <w:r w:rsidRPr="00544624">
        <w:rPr>
          <w:rFonts w:ascii="Times New Roman" w:hAnsi="Times New Roman"/>
          <w:sz w:val="24"/>
          <w:szCs w:val="24"/>
        </w:rPr>
        <w:t>Конвенция о сохранении и управлении рыбными ресурсами в открытом море северной части Тихого океана, которая была принята в феврале 2012 года</w:t>
      </w:r>
      <w:r>
        <w:rPr>
          <w:rFonts w:ascii="Times New Roman" w:hAnsi="Times New Roman"/>
          <w:sz w:val="24"/>
          <w:szCs w:val="24"/>
        </w:rPr>
        <w:t>, а также многочисленные двусторонние договоры между странами, направленные на регулирование отношений в области рыболовства и ликвидацию ННН промысла.</w:t>
      </w:r>
    </w:p>
    <w:p w:rsidR="00A17BCD" w:rsidRDefault="00A17BCD" w:rsidP="00A17BCD">
      <w:pPr>
        <w:tabs>
          <w:tab w:val="left" w:pos="708"/>
          <w:tab w:val="left" w:pos="1416"/>
          <w:tab w:val="left" w:pos="2124"/>
          <w:tab w:val="left" w:pos="2832"/>
          <w:tab w:val="left" w:pos="3540"/>
          <w:tab w:val="center" w:pos="4819"/>
        </w:tabs>
        <w:spacing w:after="0" w:line="240" w:lineRule="auto"/>
        <w:jc w:val="both"/>
        <w:rPr>
          <w:rFonts w:ascii="Times New Roman" w:hAnsi="Times New Roman"/>
          <w:sz w:val="24"/>
          <w:szCs w:val="24"/>
        </w:rPr>
      </w:pPr>
      <w:r>
        <w:rPr>
          <w:rFonts w:ascii="Times New Roman" w:hAnsi="Times New Roman"/>
          <w:sz w:val="24"/>
          <w:szCs w:val="24"/>
        </w:rPr>
        <w:tab/>
        <w:t>Таким образом, можно сделать вывод о том, что ННН промысел – это не новое явление в области незаконного рыболовства, а лишь общее понятие, собравшее в себя различную незаконную деятельность, существовавшую всегда в области рыболовства для конкретизации и введения единого понятия для дальнейшей борьбы с данным феноменом.</w:t>
      </w:r>
    </w:p>
    <w:p w:rsidR="00A17BCD" w:rsidRPr="00953B16" w:rsidRDefault="00A17BCD" w:rsidP="00A17BCD">
      <w:pPr>
        <w:tabs>
          <w:tab w:val="left" w:pos="708"/>
          <w:tab w:val="left" w:pos="1416"/>
          <w:tab w:val="left" w:pos="2124"/>
          <w:tab w:val="left" w:pos="2832"/>
          <w:tab w:val="left" w:pos="3540"/>
          <w:tab w:val="center" w:pos="4819"/>
        </w:tabs>
        <w:spacing w:after="0" w:line="240" w:lineRule="auto"/>
        <w:jc w:val="both"/>
        <w:rPr>
          <w:rFonts w:ascii="Times New Roman" w:hAnsi="Times New Roman"/>
          <w:sz w:val="24"/>
          <w:szCs w:val="24"/>
        </w:rPr>
      </w:pPr>
      <w:r>
        <w:rPr>
          <w:rFonts w:ascii="Times New Roman" w:hAnsi="Times New Roman"/>
          <w:sz w:val="24"/>
          <w:szCs w:val="24"/>
        </w:rPr>
        <w:tab/>
      </w:r>
    </w:p>
    <w:p w:rsidR="00A17BCD" w:rsidRDefault="00A17BCD" w:rsidP="00A17BCD">
      <w:pPr>
        <w:tabs>
          <w:tab w:val="left" w:pos="708"/>
          <w:tab w:val="left" w:pos="1416"/>
          <w:tab w:val="left" w:pos="2124"/>
          <w:tab w:val="left" w:pos="2832"/>
          <w:tab w:val="left" w:pos="3540"/>
          <w:tab w:val="center" w:pos="4819"/>
        </w:tabs>
        <w:spacing w:line="360" w:lineRule="auto"/>
        <w:jc w:val="both"/>
        <w:rPr>
          <w:rFonts w:ascii="Times New Roman" w:hAnsi="Times New Roman"/>
          <w:sz w:val="24"/>
          <w:szCs w:val="24"/>
        </w:rPr>
      </w:pPr>
      <w:r>
        <w:rPr>
          <w:rFonts w:ascii="Times New Roman" w:hAnsi="Times New Roman"/>
          <w:sz w:val="24"/>
          <w:szCs w:val="24"/>
        </w:rPr>
        <w:t>________________________________________________________________________________</w:t>
      </w:r>
    </w:p>
    <w:p w:rsidR="00A17BCD" w:rsidRPr="004F7A8F" w:rsidRDefault="00A17BCD" w:rsidP="00A17BCD">
      <w:pPr>
        <w:tabs>
          <w:tab w:val="left" w:pos="708"/>
          <w:tab w:val="left" w:pos="1416"/>
          <w:tab w:val="left" w:pos="2124"/>
          <w:tab w:val="left" w:pos="2832"/>
          <w:tab w:val="left" w:pos="3540"/>
          <w:tab w:val="center" w:pos="4819"/>
        </w:tabs>
        <w:spacing w:line="240" w:lineRule="auto"/>
        <w:jc w:val="both"/>
        <w:rPr>
          <w:rFonts w:ascii="Times New Roman" w:hAnsi="Times New Roman"/>
          <w:sz w:val="24"/>
          <w:szCs w:val="24"/>
        </w:rPr>
      </w:pPr>
      <w:r w:rsidRPr="004F7A8F">
        <w:rPr>
          <w:rFonts w:ascii="Times New Roman" w:hAnsi="Times New Roman"/>
          <w:sz w:val="24"/>
          <w:szCs w:val="24"/>
        </w:rPr>
        <w:t>1.</w:t>
      </w:r>
      <w:r>
        <w:rPr>
          <w:rFonts w:ascii="Times New Roman" w:hAnsi="Times New Roman"/>
          <w:sz w:val="24"/>
          <w:szCs w:val="24"/>
        </w:rPr>
        <w:t xml:space="preserve"> </w:t>
      </w:r>
      <w:r w:rsidRPr="004F7A8F">
        <w:rPr>
          <w:rFonts w:ascii="Times New Roman" w:hAnsi="Times New Roman"/>
          <w:sz w:val="24"/>
          <w:szCs w:val="24"/>
        </w:rPr>
        <w:t xml:space="preserve">Международный план действий по предупреждению, сдерживанию и ликвидации незаконного, несообщаемого и нерегулируемого рыбного промысла [Электронный ресурс] // Продовольственная и сельскохозяйственная организация Объединенных Наций; Де-партамент хозяйства и аквакультуры: офиц. сайт. – Режим доступа: </w:t>
      </w:r>
      <w:r w:rsidRPr="005E64BE">
        <w:rPr>
          <w:rFonts w:ascii="Times New Roman" w:hAnsi="Times New Roman"/>
          <w:sz w:val="24"/>
          <w:szCs w:val="24"/>
        </w:rPr>
        <w:t>http://www.fao.org/docrep/010/y1224r/y1224r00.htm</w:t>
      </w:r>
      <w:r>
        <w:rPr>
          <w:rFonts w:ascii="Times New Roman" w:hAnsi="Times New Roman"/>
          <w:sz w:val="24"/>
          <w:szCs w:val="24"/>
        </w:rPr>
        <w:t>.</w:t>
      </w:r>
    </w:p>
    <w:p w:rsidR="00A17BCD" w:rsidRPr="00B86265" w:rsidRDefault="00A17BCD" w:rsidP="00A17BCD">
      <w:pPr>
        <w:spacing w:after="0" w:line="240" w:lineRule="auto"/>
        <w:jc w:val="both"/>
        <w:rPr>
          <w:rFonts w:ascii="Times New Roman" w:hAnsi="Times New Roman"/>
          <w:sz w:val="24"/>
          <w:szCs w:val="24"/>
        </w:rPr>
      </w:pPr>
      <w:r w:rsidRPr="004F7A8F">
        <w:rPr>
          <w:rFonts w:ascii="Times New Roman" w:hAnsi="Times New Roman"/>
          <w:sz w:val="24"/>
          <w:szCs w:val="24"/>
        </w:rPr>
        <w:t>2.</w:t>
      </w:r>
      <w:r w:rsidRPr="004F7A8F">
        <w:t xml:space="preserve"> </w:t>
      </w:r>
      <w:r w:rsidRPr="00B86265">
        <w:rPr>
          <w:rFonts w:ascii="Times New Roman" w:hAnsi="Times New Roman"/>
          <w:sz w:val="24"/>
          <w:szCs w:val="24"/>
        </w:rPr>
        <w:t>Соглашение об осуществлении положений Конвенции Организации Объединенных Наций по морскому праву от 10 декабря 1982 года, которые касаются сохранения трансграничных рыбных запасов и запасов далеко мигрирующих рыб и управления ими</w:t>
      </w:r>
      <w:r>
        <w:rPr>
          <w:rFonts w:ascii="Times New Roman" w:hAnsi="Times New Roman"/>
          <w:sz w:val="24"/>
          <w:szCs w:val="24"/>
        </w:rPr>
        <w:t xml:space="preserve">: международный договор от </w:t>
      </w:r>
      <w:r w:rsidRPr="00D1757E">
        <w:rPr>
          <w:rFonts w:ascii="Times New Roman" w:hAnsi="Times New Roman"/>
          <w:sz w:val="24"/>
          <w:szCs w:val="24"/>
        </w:rPr>
        <w:t>04.08.1995</w:t>
      </w:r>
      <w:r>
        <w:rPr>
          <w:rFonts w:ascii="Times New Roman" w:hAnsi="Times New Roman"/>
          <w:sz w:val="24"/>
          <w:szCs w:val="24"/>
        </w:rPr>
        <w:t xml:space="preserve"> г.</w:t>
      </w:r>
      <w:r w:rsidRPr="00D1757E">
        <w:rPr>
          <w:rFonts w:ascii="Times New Roman" w:hAnsi="Times New Roman"/>
          <w:sz w:val="24"/>
          <w:szCs w:val="24"/>
        </w:rPr>
        <w:t xml:space="preserve"> </w:t>
      </w:r>
      <w:r w:rsidRPr="00B86265">
        <w:rPr>
          <w:rFonts w:ascii="Times New Roman" w:hAnsi="Times New Roman"/>
          <w:sz w:val="24"/>
          <w:szCs w:val="24"/>
        </w:rPr>
        <w:t>[Электронный ресурс] // Юридический портал. – Режим доступа: http://www.law.edu.ru/norm/norm.asp?normID=1293657.</w:t>
      </w:r>
    </w:p>
    <w:p w:rsidR="00A17BCD" w:rsidRPr="004F7A8F" w:rsidRDefault="00A17BCD" w:rsidP="00A17BCD"/>
    <w:p w:rsidR="00A17BCD" w:rsidRPr="004F7A8F" w:rsidRDefault="00A17BCD" w:rsidP="00A17BCD">
      <w:pPr>
        <w:jc w:val="both"/>
        <w:rPr>
          <w:rFonts w:ascii="Times New Roman" w:hAnsi="Times New Roman"/>
          <w:sz w:val="24"/>
          <w:szCs w:val="24"/>
        </w:rPr>
      </w:pPr>
      <w:r w:rsidRPr="004F7A8F">
        <w:rPr>
          <w:rFonts w:ascii="Times New Roman" w:hAnsi="Times New Roman"/>
          <w:sz w:val="24"/>
          <w:szCs w:val="24"/>
        </w:rPr>
        <w:t>3. Конвенция ООН по морскому праву: международный договор от 10.12.1982 г. [Электронный ресурс] // Организация Объединенных наций: офиц. сайт. – Режим доступа: http://www.un.org/ru/documents/decl_conv/conventions/lawsea.shtml.</w:t>
      </w:r>
    </w:p>
    <w:p w:rsidR="00A17BCD" w:rsidRDefault="00A17BCD" w:rsidP="00A17BCD">
      <w:pPr>
        <w:tabs>
          <w:tab w:val="left" w:pos="708"/>
          <w:tab w:val="left" w:pos="1416"/>
          <w:tab w:val="left" w:pos="2124"/>
          <w:tab w:val="left" w:pos="2832"/>
          <w:tab w:val="left" w:pos="3540"/>
          <w:tab w:val="center" w:pos="4819"/>
        </w:tabs>
        <w:spacing w:line="240" w:lineRule="auto"/>
        <w:jc w:val="both"/>
        <w:rPr>
          <w:rFonts w:ascii="Times New Roman" w:hAnsi="Times New Roman"/>
          <w:sz w:val="24"/>
          <w:szCs w:val="24"/>
        </w:rPr>
      </w:pPr>
      <w:r w:rsidRPr="004F7A8F">
        <w:rPr>
          <w:rFonts w:ascii="Times New Roman" w:hAnsi="Times New Roman"/>
          <w:sz w:val="24"/>
          <w:szCs w:val="24"/>
        </w:rPr>
        <w:t>4. Конвенци</w:t>
      </w:r>
      <w:r>
        <w:rPr>
          <w:rFonts w:ascii="Times New Roman" w:hAnsi="Times New Roman"/>
          <w:sz w:val="24"/>
          <w:szCs w:val="24"/>
        </w:rPr>
        <w:t>я</w:t>
      </w:r>
      <w:r w:rsidRPr="004F7A8F">
        <w:rPr>
          <w:rFonts w:ascii="Times New Roman" w:hAnsi="Times New Roman"/>
          <w:sz w:val="24"/>
          <w:szCs w:val="24"/>
        </w:rPr>
        <w:t xml:space="preserve"> о сохранении ресурсов минтая и управлении ими в центральной части Берингова моря</w:t>
      </w:r>
      <w:r>
        <w:rPr>
          <w:rFonts w:ascii="Times New Roman" w:hAnsi="Times New Roman"/>
          <w:sz w:val="24"/>
          <w:szCs w:val="24"/>
        </w:rPr>
        <w:t>: международный договор</w:t>
      </w:r>
      <w:r w:rsidRPr="004F7A8F">
        <w:rPr>
          <w:rFonts w:ascii="Times New Roman" w:hAnsi="Times New Roman"/>
          <w:sz w:val="24"/>
          <w:szCs w:val="24"/>
        </w:rPr>
        <w:t xml:space="preserve"> от </w:t>
      </w:r>
      <w:r>
        <w:rPr>
          <w:rFonts w:ascii="Times New Roman" w:hAnsi="Times New Roman"/>
          <w:sz w:val="24"/>
          <w:szCs w:val="24"/>
        </w:rPr>
        <w:t>16.06.</w:t>
      </w:r>
      <w:r w:rsidRPr="004F7A8F">
        <w:rPr>
          <w:rFonts w:ascii="Times New Roman" w:hAnsi="Times New Roman"/>
          <w:sz w:val="24"/>
          <w:szCs w:val="24"/>
        </w:rPr>
        <w:t>1994 г</w:t>
      </w:r>
      <w:r>
        <w:rPr>
          <w:rFonts w:ascii="Times New Roman" w:hAnsi="Times New Roman"/>
          <w:sz w:val="24"/>
          <w:szCs w:val="24"/>
        </w:rPr>
        <w:t>.</w:t>
      </w:r>
      <w:r w:rsidRPr="005E64BE">
        <w:t xml:space="preserve"> </w:t>
      </w:r>
      <w:r w:rsidRPr="005E64BE">
        <w:rPr>
          <w:rFonts w:ascii="Times New Roman" w:hAnsi="Times New Roman"/>
          <w:sz w:val="24"/>
          <w:szCs w:val="24"/>
        </w:rPr>
        <w:t>[Электронный ресурс] //</w:t>
      </w:r>
      <w:r>
        <w:rPr>
          <w:rFonts w:ascii="Times New Roman" w:hAnsi="Times New Roman"/>
          <w:sz w:val="24"/>
          <w:szCs w:val="24"/>
        </w:rPr>
        <w:t xml:space="preserve"> Информационно-правовой портал Гарант: офиц. сайт. – Режим доступа: </w:t>
      </w:r>
      <w:r w:rsidRPr="005E64BE">
        <w:rPr>
          <w:rFonts w:ascii="Times New Roman" w:hAnsi="Times New Roman"/>
          <w:sz w:val="24"/>
          <w:szCs w:val="24"/>
        </w:rPr>
        <w:t>http://base.garant.ru/2555840/</w:t>
      </w:r>
    </w:p>
    <w:p w:rsidR="00A17BCD" w:rsidRDefault="00A17BCD" w:rsidP="00A17BCD">
      <w:pPr>
        <w:tabs>
          <w:tab w:val="left" w:pos="708"/>
          <w:tab w:val="left" w:pos="1416"/>
          <w:tab w:val="left" w:pos="2124"/>
          <w:tab w:val="left" w:pos="2832"/>
          <w:tab w:val="left" w:pos="3540"/>
          <w:tab w:val="center" w:pos="4819"/>
        </w:tabs>
        <w:spacing w:line="360" w:lineRule="auto"/>
        <w:jc w:val="both"/>
        <w:rPr>
          <w:rFonts w:ascii="Times New Roman" w:hAnsi="Times New Roman"/>
          <w:sz w:val="24"/>
          <w:szCs w:val="24"/>
        </w:rPr>
      </w:pPr>
    </w:p>
    <w:p w:rsidR="00A17BCD" w:rsidRPr="004F7A8F" w:rsidRDefault="00A17BCD" w:rsidP="00A17BCD">
      <w:pPr>
        <w:tabs>
          <w:tab w:val="left" w:pos="708"/>
          <w:tab w:val="left" w:pos="1416"/>
          <w:tab w:val="left" w:pos="2124"/>
          <w:tab w:val="left" w:pos="2832"/>
          <w:tab w:val="left" w:pos="3540"/>
          <w:tab w:val="center" w:pos="4819"/>
        </w:tabs>
        <w:spacing w:line="360" w:lineRule="auto"/>
        <w:jc w:val="both"/>
        <w:rPr>
          <w:rFonts w:ascii="Times New Roman" w:hAnsi="Times New Roman"/>
          <w:sz w:val="24"/>
          <w:szCs w:val="24"/>
        </w:rPr>
      </w:pPr>
    </w:p>
    <w:p w:rsidR="00A17BCD" w:rsidRDefault="00A17BCD" w:rsidP="00A17BCD">
      <w:pPr>
        <w:tabs>
          <w:tab w:val="left" w:pos="708"/>
          <w:tab w:val="left" w:pos="1416"/>
          <w:tab w:val="left" w:pos="2124"/>
          <w:tab w:val="left" w:pos="2832"/>
          <w:tab w:val="left" w:pos="3540"/>
          <w:tab w:val="center" w:pos="4819"/>
        </w:tabs>
        <w:spacing w:line="360" w:lineRule="auto"/>
        <w:jc w:val="both"/>
        <w:rPr>
          <w:rFonts w:ascii="Times New Roman" w:hAnsi="Times New Roman"/>
          <w:sz w:val="24"/>
          <w:szCs w:val="24"/>
        </w:rPr>
      </w:pPr>
    </w:p>
    <w:p w:rsidR="00A17BCD" w:rsidRDefault="00A17BCD" w:rsidP="00A17BCD">
      <w:pPr>
        <w:tabs>
          <w:tab w:val="left" w:pos="708"/>
          <w:tab w:val="left" w:pos="1416"/>
          <w:tab w:val="left" w:pos="2124"/>
          <w:tab w:val="left" w:pos="2832"/>
          <w:tab w:val="left" w:pos="3540"/>
          <w:tab w:val="center" w:pos="4819"/>
        </w:tabs>
        <w:spacing w:line="360" w:lineRule="auto"/>
        <w:jc w:val="both"/>
        <w:rPr>
          <w:rFonts w:ascii="Times New Roman" w:hAnsi="Times New Roman"/>
          <w:sz w:val="24"/>
          <w:szCs w:val="24"/>
        </w:rPr>
      </w:pPr>
    </w:p>
    <w:p w:rsidR="00A17BCD" w:rsidRPr="005A0697" w:rsidRDefault="00A17BCD" w:rsidP="00A17BCD">
      <w:pPr>
        <w:rPr>
          <w:rFonts w:ascii="Times New Roman" w:hAnsi="Times New Roman"/>
          <w:sz w:val="28"/>
          <w:szCs w:val="28"/>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2B7398" w:rsidRPr="00BE4A5F" w:rsidRDefault="002B7398" w:rsidP="002B7398">
      <w:pPr>
        <w:rPr>
          <w:rFonts w:ascii="Times New Roman" w:hAnsi="Times New Roman"/>
          <w:color w:val="000000"/>
          <w:sz w:val="24"/>
          <w:szCs w:val="24"/>
        </w:rPr>
      </w:pPr>
      <w:r w:rsidRPr="00BE4A5F">
        <w:rPr>
          <w:rFonts w:ascii="Times New Roman" w:hAnsi="Times New Roman"/>
          <w:color w:val="000000"/>
          <w:sz w:val="24"/>
          <w:szCs w:val="24"/>
        </w:rPr>
        <w:t>Рубрика: Международные отношения и приграничное сотрудничество в АТР: опыт, проблемы и перспективы развития</w:t>
      </w:r>
    </w:p>
    <w:p w:rsidR="002B7398" w:rsidRPr="001805B3" w:rsidRDefault="002B7398" w:rsidP="002B7398">
      <w:pPr>
        <w:spacing w:line="240" w:lineRule="auto"/>
        <w:rPr>
          <w:rFonts w:ascii="Times New Roman" w:hAnsi="Times New Roman"/>
          <w:sz w:val="24"/>
          <w:szCs w:val="24"/>
        </w:rPr>
      </w:pPr>
      <w:r w:rsidRPr="001805B3">
        <w:rPr>
          <w:rFonts w:ascii="Times New Roman" w:hAnsi="Times New Roman"/>
          <w:sz w:val="24"/>
          <w:szCs w:val="24"/>
        </w:rPr>
        <w:t>УДК:</w:t>
      </w:r>
      <w:r>
        <w:rPr>
          <w:rFonts w:ascii="Times New Roman" w:hAnsi="Times New Roman"/>
          <w:sz w:val="24"/>
          <w:szCs w:val="24"/>
        </w:rPr>
        <w:t xml:space="preserve"> </w:t>
      </w:r>
      <w:r w:rsidRPr="004979CC">
        <w:rPr>
          <w:rFonts w:ascii="Times New Roman" w:hAnsi="Times New Roman"/>
          <w:sz w:val="24"/>
          <w:szCs w:val="24"/>
        </w:rPr>
        <w:t>341.215.4</w:t>
      </w:r>
    </w:p>
    <w:p w:rsidR="002B7398" w:rsidRPr="001805B3" w:rsidRDefault="002B7398" w:rsidP="002B7398">
      <w:pPr>
        <w:spacing w:before="100" w:beforeAutospacing="1" w:after="120" w:line="240" w:lineRule="auto"/>
        <w:jc w:val="center"/>
        <w:rPr>
          <w:rFonts w:ascii="Times New Roman" w:hAnsi="Times New Roman"/>
          <w:b/>
          <w:sz w:val="24"/>
          <w:szCs w:val="24"/>
        </w:rPr>
      </w:pPr>
      <w:r w:rsidRPr="001805B3">
        <w:rPr>
          <w:rFonts w:ascii="Times New Roman" w:hAnsi="Times New Roman"/>
          <w:b/>
          <w:sz w:val="24"/>
          <w:szCs w:val="24"/>
        </w:rPr>
        <w:t>Легальная типология трудящихся-мигрантов в странах Восточной Азии (на примере Южной Кореи, Японии и Китая)</w:t>
      </w:r>
    </w:p>
    <w:p w:rsidR="002B7398" w:rsidRPr="001805B3" w:rsidRDefault="002B7398" w:rsidP="002B7398">
      <w:pPr>
        <w:spacing w:after="0" w:line="240" w:lineRule="auto"/>
        <w:jc w:val="center"/>
        <w:rPr>
          <w:rFonts w:ascii="Times New Roman" w:hAnsi="Times New Roman"/>
          <w:sz w:val="24"/>
          <w:szCs w:val="24"/>
        </w:rPr>
      </w:pPr>
      <w:r w:rsidRPr="001805B3">
        <w:rPr>
          <w:rFonts w:ascii="Times New Roman" w:hAnsi="Times New Roman"/>
          <w:sz w:val="24"/>
          <w:szCs w:val="24"/>
        </w:rPr>
        <w:t>Наймушин Валентин Сергеевич,</w:t>
      </w:r>
    </w:p>
    <w:p w:rsidR="002B7398" w:rsidRPr="001805B3" w:rsidRDefault="002B7398" w:rsidP="002B7398">
      <w:pPr>
        <w:spacing w:after="0" w:line="240" w:lineRule="auto"/>
        <w:jc w:val="center"/>
        <w:rPr>
          <w:rFonts w:ascii="Times New Roman" w:hAnsi="Times New Roman"/>
          <w:sz w:val="24"/>
          <w:szCs w:val="24"/>
        </w:rPr>
      </w:pPr>
      <w:r>
        <w:rPr>
          <w:rFonts w:ascii="Times New Roman" w:hAnsi="Times New Roman"/>
          <w:sz w:val="24"/>
          <w:szCs w:val="24"/>
        </w:rPr>
        <w:t>б</w:t>
      </w:r>
      <w:r w:rsidRPr="001805B3">
        <w:rPr>
          <w:rFonts w:ascii="Times New Roman" w:hAnsi="Times New Roman"/>
          <w:sz w:val="24"/>
          <w:szCs w:val="24"/>
        </w:rPr>
        <w:t>акалавр</w:t>
      </w:r>
    </w:p>
    <w:p w:rsidR="002B7398" w:rsidRPr="001805B3" w:rsidRDefault="002B7398" w:rsidP="002B7398">
      <w:pPr>
        <w:spacing w:after="0" w:line="240" w:lineRule="auto"/>
        <w:jc w:val="center"/>
        <w:rPr>
          <w:rFonts w:ascii="Times New Roman" w:hAnsi="Times New Roman"/>
          <w:i/>
          <w:sz w:val="24"/>
          <w:szCs w:val="24"/>
        </w:rPr>
      </w:pPr>
      <w:r w:rsidRPr="001805B3">
        <w:rPr>
          <w:rFonts w:ascii="Times New Roman" w:hAnsi="Times New Roman"/>
          <w:i/>
          <w:sz w:val="24"/>
          <w:szCs w:val="24"/>
        </w:rPr>
        <w:t>Владивостокский государственный университет экономики и сервиса</w:t>
      </w:r>
    </w:p>
    <w:p w:rsidR="002B7398" w:rsidRPr="001805B3" w:rsidRDefault="002B7398" w:rsidP="002B7398">
      <w:pPr>
        <w:spacing w:after="0" w:line="240" w:lineRule="auto"/>
        <w:jc w:val="center"/>
        <w:rPr>
          <w:rFonts w:ascii="Times New Roman" w:hAnsi="Times New Roman"/>
          <w:i/>
          <w:sz w:val="24"/>
          <w:szCs w:val="24"/>
        </w:rPr>
      </w:pPr>
      <w:r w:rsidRPr="001805B3">
        <w:rPr>
          <w:rFonts w:ascii="Times New Roman" w:hAnsi="Times New Roman"/>
          <w:i/>
          <w:sz w:val="24"/>
          <w:szCs w:val="24"/>
        </w:rPr>
        <w:t>Россия, Владивосток</w:t>
      </w:r>
    </w:p>
    <w:p w:rsidR="002B7398" w:rsidRPr="00EE1BC1" w:rsidRDefault="002B7398" w:rsidP="002B7398">
      <w:pPr>
        <w:spacing w:after="0" w:line="240" w:lineRule="auto"/>
        <w:jc w:val="center"/>
        <w:rPr>
          <w:rFonts w:ascii="Times New Roman" w:hAnsi="Times New Roman"/>
          <w:sz w:val="24"/>
          <w:szCs w:val="24"/>
        </w:rPr>
      </w:pPr>
      <w:r w:rsidRPr="001805B3">
        <w:rPr>
          <w:rFonts w:ascii="Times New Roman" w:hAnsi="Times New Roman"/>
          <w:sz w:val="24"/>
          <w:szCs w:val="24"/>
          <w:lang w:val="en-US"/>
        </w:rPr>
        <w:t>e</w:t>
      </w:r>
      <w:r w:rsidRPr="00EE1BC1">
        <w:rPr>
          <w:rFonts w:ascii="Times New Roman" w:hAnsi="Times New Roman"/>
          <w:sz w:val="24"/>
          <w:szCs w:val="24"/>
        </w:rPr>
        <w:t>-</w:t>
      </w:r>
      <w:r w:rsidRPr="001805B3">
        <w:rPr>
          <w:rFonts w:ascii="Times New Roman" w:hAnsi="Times New Roman"/>
          <w:sz w:val="24"/>
          <w:szCs w:val="24"/>
          <w:lang w:val="en-US"/>
        </w:rPr>
        <w:t>mail</w:t>
      </w:r>
      <w:r w:rsidRPr="00EE1BC1">
        <w:rPr>
          <w:rFonts w:ascii="Times New Roman" w:hAnsi="Times New Roman"/>
          <w:sz w:val="24"/>
          <w:szCs w:val="24"/>
        </w:rPr>
        <w:t xml:space="preserve">: </w:t>
      </w:r>
      <w:r w:rsidRPr="001805B3">
        <w:rPr>
          <w:rFonts w:ascii="Times New Roman" w:hAnsi="Times New Roman"/>
          <w:sz w:val="24"/>
          <w:szCs w:val="24"/>
          <w:lang w:val="en-US"/>
        </w:rPr>
        <w:t>valmen</w:t>
      </w:r>
      <w:r w:rsidRPr="00EE1BC1">
        <w:rPr>
          <w:rFonts w:ascii="Times New Roman" w:hAnsi="Times New Roman"/>
          <w:sz w:val="24"/>
          <w:szCs w:val="24"/>
        </w:rPr>
        <w:t>1996@</w:t>
      </w:r>
      <w:r w:rsidRPr="001805B3">
        <w:rPr>
          <w:rFonts w:ascii="Times New Roman" w:hAnsi="Times New Roman"/>
          <w:sz w:val="24"/>
          <w:szCs w:val="24"/>
          <w:lang w:val="en-US"/>
        </w:rPr>
        <w:t>gmail</w:t>
      </w:r>
      <w:r w:rsidRPr="00EE1BC1">
        <w:rPr>
          <w:rFonts w:ascii="Times New Roman" w:hAnsi="Times New Roman"/>
          <w:sz w:val="24"/>
          <w:szCs w:val="24"/>
        </w:rPr>
        <w:t>.</w:t>
      </w:r>
      <w:r w:rsidRPr="001805B3">
        <w:rPr>
          <w:rFonts w:ascii="Times New Roman" w:hAnsi="Times New Roman"/>
          <w:sz w:val="24"/>
          <w:szCs w:val="24"/>
          <w:lang w:val="en-US"/>
        </w:rPr>
        <w:t>com</w:t>
      </w:r>
      <w:r w:rsidRPr="00EE1BC1">
        <w:rPr>
          <w:rFonts w:ascii="Times New Roman" w:hAnsi="Times New Roman"/>
          <w:sz w:val="24"/>
          <w:szCs w:val="24"/>
        </w:rPr>
        <w:t xml:space="preserve">; </w:t>
      </w:r>
      <w:r w:rsidRPr="001805B3">
        <w:rPr>
          <w:rFonts w:ascii="Times New Roman" w:hAnsi="Times New Roman"/>
          <w:sz w:val="24"/>
          <w:szCs w:val="24"/>
        </w:rPr>
        <w:t>тел</w:t>
      </w:r>
      <w:r w:rsidRPr="00EE1BC1">
        <w:rPr>
          <w:rFonts w:ascii="Times New Roman" w:hAnsi="Times New Roman"/>
          <w:sz w:val="24"/>
          <w:szCs w:val="24"/>
        </w:rPr>
        <w:t>.: +7</w:t>
      </w:r>
      <w:r w:rsidRPr="001805B3">
        <w:rPr>
          <w:rFonts w:ascii="Times New Roman" w:hAnsi="Times New Roman"/>
          <w:sz w:val="24"/>
          <w:szCs w:val="24"/>
          <w:lang w:val="en-US"/>
        </w:rPr>
        <w:t> </w:t>
      </w:r>
      <w:r w:rsidRPr="00EE1BC1">
        <w:rPr>
          <w:rFonts w:ascii="Times New Roman" w:hAnsi="Times New Roman"/>
          <w:sz w:val="24"/>
          <w:szCs w:val="24"/>
        </w:rPr>
        <w:t>909</w:t>
      </w:r>
      <w:r w:rsidRPr="001805B3">
        <w:rPr>
          <w:rFonts w:ascii="Times New Roman" w:hAnsi="Times New Roman"/>
          <w:sz w:val="24"/>
          <w:szCs w:val="24"/>
          <w:lang w:val="en-US"/>
        </w:rPr>
        <w:t> </w:t>
      </w:r>
      <w:r w:rsidRPr="00EE1BC1">
        <w:rPr>
          <w:rFonts w:ascii="Times New Roman" w:hAnsi="Times New Roman"/>
          <w:sz w:val="24"/>
          <w:szCs w:val="24"/>
        </w:rPr>
        <w:t>993-82-21</w:t>
      </w:r>
    </w:p>
    <w:p w:rsidR="002B7398" w:rsidRDefault="002B7398" w:rsidP="002B7398">
      <w:pPr>
        <w:spacing w:after="0" w:line="240" w:lineRule="auto"/>
        <w:jc w:val="center"/>
        <w:rPr>
          <w:rFonts w:ascii="Times New Roman" w:hAnsi="Times New Roman"/>
          <w:sz w:val="24"/>
          <w:szCs w:val="24"/>
        </w:rPr>
      </w:pPr>
      <w:r w:rsidRPr="001805B3">
        <w:rPr>
          <w:rFonts w:ascii="Times New Roman" w:hAnsi="Times New Roman"/>
          <w:sz w:val="24"/>
          <w:szCs w:val="24"/>
        </w:rPr>
        <w:t xml:space="preserve">ул. Гоголя, </w:t>
      </w:r>
      <w:smartTag w:uri="urn:schemas-microsoft-com:office:smarttags" w:element="metricconverter">
        <w:smartTagPr>
          <w:attr w:name="ProductID" w:val="41, г"/>
        </w:smartTagPr>
        <w:r w:rsidRPr="001805B3">
          <w:rPr>
            <w:rFonts w:ascii="Times New Roman" w:hAnsi="Times New Roman"/>
            <w:sz w:val="24"/>
            <w:szCs w:val="24"/>
          </w:rPr>
          <w:t>41, г</w:t>
        </w:r>
      </w:smartTag>
      <w:r w:rsidRPr="001805B3">
        <w:rPr>
          <w:rFonts w:ascii="Times New Roman" w:hAnsi="Times New Roman"/>
          <w:sz w:val="24"/>
          <w:szCs w:val="24"/>
        </w:rPr>
        <w:t>. Владивосток, Приморский край, Россия, 690014</w:t>
      </w:r>
    </w:p>
    <w:p w:rsidR="002B7398" w:rsidRDefault="002B7398" w:rsidP="002B7398">
      <w:pPr>
        <w:spacing w:after="0" w:line="240" w:lineRule="auto"/>
        <w:jc w:val="center"/>
        <w:rPr>
          <w:rFonts w:ascii="Times New Roman" w:hAnsi="Times New Roman"/>
          <w:sz w:val="24"/>
          <w:szCs w:val="24"/>
        </w:rPr>
      </w:pPr>
    </w:p>
    <w:p w:rsidR="002B7398" w:rsidRDefault="002B7398" w:rsidP="002B7398">
      <w:pPr>
        <w:spacing w:after="0" w:line="240" w:lineRule="auto"/>
        <w:jc w:val="center"/>
        <w:rPr>
          <w:rFonts w:ascii="Times New Roman" w:hAnsi="Times New Roman"/>
          <w:sz w:val="24"/>
          <w:szCs w:val="24"/>
        </w:rPr>
      </w:pPr>
    </w:p>
    <w:p w:rsidR="002B7398" w:rsidRPr="009D7469" w:rsidRDefault="002B7398" w:rsidP="002B7398">
      <w:pPr>
        <w:spacing w:after="0" w:line="240" w:lineRule="auto"/>
        <w:ind w:firstLine="709"/>
        <w:jc w:val="both"/>
        <w:rPr>
          <w:rFonts w:ascii="Times New Roman" w:hAnsi="Times New Roman"/>
          <w:i/>
          <w:sz w:val="24"/>
          <w:szCs w:val="24"/>
        </w:rPr>
      </w:pPr>
      <w:r w:rsidRPr="009D7469">
        <w:rPr>
          <w:rFonts w:ascii="Times New Roman" w:hAnsi="Times New Roman"/>
          <w:i/>
          <w:sz w:val="24"/>
          <w:szCs w:val="24"/>
        </w:rPr>
        <w:t>Необходимость эффективного регулирования процессов внешней трудовой миграции с каждым годом становятся все более и более актуальными в связи с увеличениями потоков мигрантов</w:t>
      </w:r>
      <w:r w:rsidRPr="001805B3">
        <w:rPr>
          <w:rFonts w:ascii="Times New Roman" w:hAnsi="Times New Roman"/>
          <w:i/>
          <w:sz w:val="24"/>
          <w:szCs w:val="24"/>
        </w:rPr>
        <w:t>.</w:t>
      </w:r>
      <w:r w:rsidRPr="009D7469">
        <w:rPr>
          <w:rFonts w:ascii="Times New Roman" w:hAnsi="Times New Roman"/>
          <w:i/>
          <w:sz w:val="24"/>
          <w:szCs w:val="24"/>
        </w:rPr>
        <w:t xml:space="preserve"> </w:t>
      </w:r>
      <w:r>
        <w:rPr>
          <w:rFonts w:ascii="Times New Roman" w:hAnsi="Times New Roman"/>
          <w:i/>
          <w:sz w:val="24"/>
          <w:szCs w:val="24"/>
        </w:rPr>
        <w:t>В следствии этого, законодателями разрабатываются вс</w:t>
      </w:r>
      <w:smartTag w:uri="urn:schemas-microsoft-com:office:smarttags" w:element="PersonName">
        <w:r>
          <w:rPr>
            <w:rFonts w:ascii="Times New Roman" w:hAnsi="Times New Roman"/>
            <w:i/>
            <w:sz w:val="24"/>
            <w:szCs w:val="24"/>
          </w:rPr>
          <w:t>е н</w:t>
        </w:r>
      </w:smartTag>
      <w:r>
        <w:rPr>
          <w:rFonts w:ascii="Times New Roman" w:hAnsi="Times New Roman"/>
          <w:i/>
          <w:sz w:val="24"/>
          <w:szCs w:val="24"/>
        </w:rPr>
        <w:t>овые и новые способы контроля и регулирования за процессами трудовой миграции. Одним из примеров подобного эффективного регулирования является разделения трудящихся-мигрантов на типы, поскольку данная типология позволит выявить какие мигранты преимущественно приезжают в страну и где требуется внести корректировки в нормативно-правовые акты. В данной статье будут приведены примеры легальной типологии трудящихся-мигрантов в Южной Корее, Японии и Китая.</w:t>
      </w:r>
    </w:p>
    <w:p w:rsidR="002B7398" w:rsidRPr="005E4FBF" w:rsidRDefault="002B7398" w:rsidP="002B7398">
      <w:pPr>
        <w:spacing w:before="120" w:after="120" w:line="240" w:lineRule="auto"/>
        <w:ind w:firstLine="709"/>
        <w:jc w:val="both"/>
        <w:rPr>
          <w:rFonts w:ascii="Times New Roman" w:hAnsi="Times New Roman"/>
          <w:i/>
          <w:sz w:val="24"/>
          <w:szCs w:val="24"/>
        </w:rPr>
      </w:pPr>
      <w:r w:rsidRPr="001805B3">
        <w:rPr>
          <w:rFonts w:ascii="Times New Roman" w:hAnsi="Times New Roman"/>
          <w:b/>
          <w:sz w:val="24"/>
          <w:szCs w:val="24"/>
        </w:rPr>
        <w:t>Ключевые слова и словосочетания</w:t>
      </w:r>
      <w:r>
        <w:rPr>
          <w:rFonts w:ascii="Times New Roman" w:hAnsi="Times New Roman"/>
          <w:sz w:val="24"/>
          <w:szCs w:val="24"/>
        </w:rPr>
        <w:t xml:space="preserve">: </w:t>
      </w:r>
      <w:r w:rsidRPr="005E4FBF">
        <w:rPr>
          <w:rFonts w:ascii="Times New Roman" w:hAnsi="Times New Roman"/>
          <w:i/>
          <w:sz w:val="24"/>
          <w:szCs w:val="24"/>
        </w:rPr>
        <w:t>трудовая миграция, Азиатско-Тихоокеанский регион, легальная трудовая миграция, трудящийся-мигрант.</w:t>
      </w:r>
    </w:p>
    <w:p w:rsidR="002B7398" w:rsidRPr="005E4FBF" w:rsidRDefault="002B7398" w:rsidP="002B7398">
      <w:pPr>
        <w:spacing w:before="120" w:after="0" w:line="240" w:lineRule="auto"/>
        <w:ind w:firstLine="709"/>
        <w:jc w:val="center"/>
        <w:rPr>
          <w:rFonts w:ascii="Times New Roman" w:hAnsi="Times New Roman"/>
          <w:b/>
          <w:sz w:val="24"/>
          <w:szCs w:val="24"/>
          <w:lang w:val="en-US"/>
        </w:rPr>
      </w:pPr>
      <w:r w:rsidRPr="001805B3">
        <w:rPr>
          <w:rFonts w:ascii="Times New Roman" w:hAnsi="Times New Roman"/>
          <w:b/>
          <w:sz w:val="24"/>
          <w:szCs w:val="24"/>
          <w:lang w:val="en-US"/>
        </w:rPr>
        <w:t xml:space="preserve">Legal typology of migrant workers in the countries of East Asia (for example </w:t>
      </w:r>
      <w:smartTag w:uri="urn:schemas-microsoft-com:office:smarttags" w:element="country-region">
        <w:r w:rsidRPr="001805B3">
          <w:rPr>
            <w:rFonts w:ascii="Times New Roman" w:hAnsi="Times New Roman"/>
            <w:b/>
            <w:sz w:val="24"/>
            <w:szCs w:val="24"/>
            <w:lang w:val="en-US"/>
          </w:rPr>
          <w:t>South Korea</w:t>
        </w:r>
      </w:smartTag>
      <w:r w:rsidRPr="001805B3">
        <w:rPr>
          <w:rFonts w:ascii="Times New Roman" w:hAnsi="Times New Roman"/>
          <w:b/>
          <w:sz w:val="24"/>
          <w:szCs w:val="24"/>
          <w:lang w:val="en-US"/>
        </w:rPr>
        <w:t xml:space="preserve">, </w:t>
      </w:r>
      <w:smartTag w:uri="urn:schemas-microsoft-com:office:smarttags" w:element="country-region">
        <w:r w:rsidRPr="001805B3">
          <w:rPr>
            <w:rFonts w:ascii="Times New Roman" w:hAnsi="Times New Roman"/>
            <w:b/>
            <w:sz w:val="24"/>
            <w:szCs w:val="24"/>
            <w:lang w:val="en-US"/>
          </w:rPr>
          <w:t>Japan</w:t>
        </w:r>
      </w:smartTag>
      <w:r w:rsidRPr="001805B3">
        <w:rPr>
          <w:rFonts w:ascii="Times New Roman" w:hAnsi="Times New Roman"/>
          <w:b/>
          <w:sz w:val="24"/>
          <w:szCs w:val="24"/>
          <w:lang w:val="en-US"/>
        </w:rPr>
        <w:t xml:space="preserve"> and </w:t>
      </w:r>
      <w:smartTag w:uri="urn:schemas-microsoft-com:office:smarttags" w:element="place">
        <w:smartTag w:uri="urn:schemas-microsoft-com:office:smarttags" w:element="country-region">
          <w:r w:rsidRPr="001805B3">
            <w:rPr>
              <w:rFonts w:ascii="Times New Roman" w:hAnsi="Times New Roman"/>
              <w:b/>
              <w:sz w:val="24"/>
              <w:szCs w:val="24"/>
              <w:lang w:val="en-US"/>
            </w:rPr>
            <w:t>China</w:t>
          </w:r>
        </w:smartTag>
      </w:smartTag>
      <w:r w:rsidRPr="001805B3">
        <w:rPr>
          <w:rFonts w:ascii="Times New Roman" w:hAnsi="Times New Roman"/>
          <w:b/>
          <w:sz w:val="24"/>
          <w:szCs w:val="24"/>
          <w:lang w:val="en-US"/>
        </w:rPr>
        <w:t>)</w:t>
      </w:r>
    </w:p>
    <w:p w:rsidR="002B7398" w:rsidRPr="009D7469" w:rsidRDefault="002B7398" w:rsidP="002B7398">
      <w:pPr>
        <w:spacing w:before="120" w:after="120" w:line="240" w:lineRule="auto"/>
        <w:ind w:firstLine="709"/>
        <w:jc w:val="both"/>
        <w:rPr>
          <w:rFonts w:ascii="Times New Roman" w:hAnsi="Times New Roman"/>
          <w:i/>
          <w:sz w:val="24"/>
          <w:szCs w:val="24"/>
          <w:lang w:val="en-US"/>
        </w:rPr>
      </w:pPr>
      <w:r w:rsidRPr="009D7469">
        <w:rPr>
          <w:rFonts w:ascii="Times New Roman" w:hAnsi="Times New Roman"/>
          <w:i/>
          <w:sz w:val="24"/>
          <w:szCs w:val="24"/>
          <w:lang w:val="en-US"/>
        </w:rPr>
        <w:t xml:space="preserve">The need for effective regulation of the processes of external labor migration is becoming more and more relevant every year due to the increase in migrant flows. One example of this kind of effective regulation is the divisions of migrant workers into types, as this typology will identify which migrants are mostly coming to the country and where adjustments are required to the regulatory legal acts. This article will give examples of a legal typology of migrant workers in </w:t>
      </w:r>
      <w:smartTag w:uri="urn:schemas-microsoft-com:office:smarttags" w:element="country-region">
        <w:r w:rsidRPr="009D7469">
          <w:rPr>
            <w:rFonts w:ascii="Times New Roman" w:hAnsi="Times New Roman"/>
            <w:i/>
            <w:sz w:val="24"/>
            <w:szCs w:val="24"/>
            <w:lang w:val="en-US"/>
          </w:rPr>
          <w:t>Sout</w:t>
        </w:r>
        <w:r>
          <w:rPr>
            <w:rFonts w:ascii="Times New Roman" w:hAnsi="Times New Roman"/>
            <w:i/>
            <w:sz w:val="24"/>
            <w:szCs w:val="24"/>
            <w:lang w:val="en-US"/>
          </w:rPr>
          <w:t>h Korea</w:t>
        </w:r>
      </w:smartTag>
      <w:r>
        <w:rPr>
          <w:rFonts w:ascii="Times New Roman" w:hAnsi="Times New Roman"/>
          <w:i/>
          <w:sz w:val="24"/>
          <w:szCs w:val="24"/>
          <w:lang w:val="en-US"/>
        </w:rPr>
        <w:t xml:space="preserve">, </w:t>
      </w:r>
      <w:smartTag w:uri="urn:schemas-microsoft-com:office:smarttags" w:element="country-region">
        <w:r>
          <w:rPr>
            <w:rFonts w:ascii="Times New Roman" w:hAnsi="Times New Roman"/>
            <w:i/>
            <w:sz w:val="24"/>
            <w:szCs w:val="24"/>
            <w:lang w:val="en-US"/>
          </w:rPr>
          <w:t>Japan</w:t>
        </w:r>
      </w:smartTag>
      <w:r>
        <w:rPr>
          <w:rFonts w:ascii="Times New Roman" w:hAnsi="Times New Roman"/>
          <w:i/>
          <w:sz w:val="24"/>
          <w:szCs w:val="24"/>
          <w:lang w:val="en-US"/>
        </w:rPr>
        <w:t xml:space="preserve"> and </w:t>
      </w:r>
      <w:smartTag w:uri="urn:schemas-microsoft-com:office:smarttags" w:element="place">
        <w:smartTag w:uri="urn:schemas-microsoft-com:office:smarttags" w:element="country-region">
          <w:r>
            <w:rPr>
              <w:rFonts w:ascii="Times New Roman" w:hAnsi="Times New Roman"/>
              <w:i/>
              <w:sz w:val="24"/>
              <w:szCs w:val="24"/>
              <w:lang w:val="en-US"/>
            </w:rPr>
            <w:t>China</w:t>
          </w:r>
        </w:smartTag>
      </w:smartTag>
      <w:r w:rsidRPr="009D7469">
        <w:rPr>
          <w:rFonts w:ascii="Times New Roman" w:hAnsi="Times New Roman"/>
          <w:i/>
          <w:sz w:val="24"/>
          <w:szCs w:val="24"/>
          <w:lang w:val="en-US"/>
        </w:rPr>
        <w:t>.</w:t>
      </w:r>
    </w:p>
    <w:p w:rsidR="002B7398" w:rsidRDefault="002B7398" w:rsidP="002B7398">
      <w:pPr>
        <w:spacing w:before="120" w:after="0" w:line="240" w:lineRule="auto"/>
        <w:ind w:firstLine="709"/>
        <w:jc w:val="both"/>
        <w:rPr>
          <w:rFonts w:ascii="Times New Roman" w:hAnsi="Times New Roman"/>
          <w:i/>
          <w:sz w:val="24"/>
          <w:szCs w:val="24"/>
          <w:lang w:val="en-US"/>
        </w:rPr>
      </w:pPr>
      <w:r w:rsidRPr="005E4FBF">
        <w:rPr>
          <w:rFonts w:ascii="Times New Roman" w:hAnsi="Times New Roman"/>
          <w:b/>
          <w:i/>
          <w:sz w:val="24"/>
          <w:szCs w:val="24"/>
          <w:lang w:val="en-US"/>
        </w:rPr>
        <w:t>Keywords:</w:t>
      </w:r>
      <w:r>
        <w:rPr>
          <w:rFonts w:ascii="Times New Roman" w:hAnsi="Times New Roman"/>
          <w:i/>
          <w:sz w:val="24"/>
          <w:szCs w:val="24"/>
          <w:lang w:val="en-US"/>
        </w:rPr>
        <w:t xml:space="preserve"> </w:t>
      </w:r>
      <w:r w:rsidRPr="005E4FBF">
        <w:rPr>
          <w:rFonts w:ascii="Times New Roman" w:hAnsi="Times New Roman"/>
          <w:i/>
          <w:sz w:val="24"/>
          <w:szCs w:val="24"/>
          <w:lang w:val="en-US"/>
        </w:rPr>
        <w:t>labour migration, the Asia-Pacific region, legal labour migration, migrant worker.</w:t>
      </w:r>
    </w:p>
    <w:p w:rsidR="002B7398" w:rsidRDefault="002B7398" w:rsidP="002B7398">
      <w:pPr>
        <w:spacing w:after="0" w:line="240" w:lineRule="auto"/>
        <w:ind w:firstLine="709"/>
        <w:jc w:val="both"/>
        <w:rPr>
          <w:rFonts w:ascii="Times New Roman" w:hAnsi="Times New Roman"/>
          <w:sz w:val="24"/>
          <w:szCs w:val="24"/>
          <w:lang w:val="en-US"/>
        </w:rPr>
      </w:pPr>
    </w:p>
    <w:p w:rsidR="002B7398" w:rsidRPr="009D7469" w:rsidRDefault="002B7398" w:rsidP="002B7398">
      <w:pPr>
        <w:spacing w:after="0" w:line="240" w:lineRule="auto"/>
        <w:ind w:firstLine="709"/>
        <w:jc w:val="both"/>
        <w:rPr>
          <w:rFonts w:ascii="Times New Roman" w:hAnsi="Times New Roman"/>
          <w:sz w:val="24"/>
          <w:szCs w:val="24"/>
        </w:rPr>
      </w:pPr>
      <w:r>
        <w:rPr>
          <w:rFonts w:ascii="Times New Roman" w:hAnsi="Times New Roman"/>
          <w:sz w:val="24"/>
          <w:szCs w:val="24"/>
        </w:rPr>
        <w:t>М</w:t>
      </w:r>
      <w:r w:rsidRPr="009D7469">
        <w:rPr>
          <w:rFonts w:ascii="Times New Roman" w:hAnsi="Times New Roman"/>
          <w:sz w:val="24"/>
          <w:szCs w:val="24"/>
        </w:rPr>
        <w:t>ногие страны в своём законодательстве проводят разделения мигрантов, пребывающих на территорию их</w:t>
      </w:r>
      <w:r>
        <w:rPr>
          <w:rFonts w:ascii="Times New Roman" w:hAnsi="Times New Roman"/>
          <w:sz w:val="24"/>
          <w:szCs w:val="24"/>
        </w:rPr>
        <w:t xml:space="preserve"> государства на различные типы. Одним из критериев деления</w:t>
      </w:r>
      <w:r>
        <w:rPr>
          <w:rStyle w:val="aff5"/>
          <w:rFonts w:eastAsia="Arial"/>
        </w:rPr>
        <w:t xml:space="preserve"> </w:t>
      </w:r>
      <w:r>
        <w:rPr>
          <w:rStyle w:val="aff5"/>
          <w:rFonts w:ascii="Times New Roman" w:eastAsia="Arial" w:hAnsi="Times New Roman"/>
        </w:rPr>
        <w:t>в</w:t>
      </w:r>
      <w:r>
        <w:rPr>
          <w:rFonts w:ascii="Times New Roman" w:hAnsi="Times New Roman"/>
          <w:sz w:val="24"/>
          <w:szCs w:val="24"/>
        </w:rPr>
        <w:t xml:space="preserve">ыступают различные визовые режимы, которые вводят страны для трудящихся-мигрантов. Визовый режим является критерием для деления трудящихся-мигрантов на типы по той причине, что различные режимы порождают различные права и обязанности мигрантов, наделяют их рядом, порой не совпадающих, прав и обязанностей. Исходя из несовпадений правовых положений граждан, въехавших на территорию страны по различному виду разрешительных документов, мы и можем выделить определенную типологию. </w:t>
      </w:r>
      <w:r w:rsidRPr="009D7469">
        <w:rPr>
          <w:rFonts w:ascii="Times New Roman" w:hAnsi="Times New Roman"/>
          <w:sz w:val="24"/>
          <w:szCs w:val="24"/>
        </w:rPr>
        <w:t>Обратимся к теории для выявления типологии трудовой миграции.</w:t>
      </w:r>
    </w:p>
    <w:p w:rsidR="002B7398" w:rsidRPr="00F45A4E" w:rsidRDefault="002B7398" w:rsidP="002B7398">
      <w:pPr>
        <w:spacing w:after="0" w:line="240" w:lineRule="auto"/>
        <w:ind w:firstLine="709"/>
        <w:jc w:val="both"/>
        <w:rPr>
          <w:rFonts w:ascii="Times New Roman" w:hAnsi="Times New Roman"/>
          <w:sz w:val="24"/>
          <w:szCs w:val="24"/>
        </w:rPr>
      </w:pPr>
      <w:r w:rsidRPr="00F45A4E">
        <w:rPr>
          <w:rFonts w:ascii="Times New Roman" w:hAnsi="Times New Roman"/>
          <w:sz w:val="24"/>
          <w:szCs w:val="24"/>
        </w:rPr>
        <w:t>В странах Восточной Азии, как и во многих других по всему миру, трудовая миграция многообразна. Она имеет тенденцию увеличения с каждым годом, особенно в страны с наиболее развитой экономикой, поскольку в них имеется больше возможностей ля трудоустройства, а также более высокие зарплаты. Основными странами, принимающие мигрантов на территории Восточной Азии являются Китай, Япония и Южная Корея. Обусловлено это, как раз, окладом за труд: к примеру, размер среднего оклада за месяц в Японии с</w:t>
      </w:r>
      <w:r>
        <w:rPr>
          <w:rFonts w:ascii="Times New Roman" w:hAnsi="Times New Roman"/>
          <w:sz w:val="24"/>
          <w:szCs w:val="24"/>
        </w:rPr>
        <w:t>оставляет 3400 долларов, в Южной Корее- 28</w:t>
      </w:r>
      <w:r w:rsidRPr="00F45A4E">
        <w:rPr>
          <w:rFonts w:ascii="Times New Roman" w:hAnsi="Times New Roman"/>
          <w:sz w:val="24"/>
          <w:szCs w:val="24"/>
        </w:rPr>
        <w:t xml:space="preserve">00 долларов, в Китае – </w:t>
      </w:r>
      <w:r>
        <w:rPr>
          <w:rFonts w:ascii="Times New Roman" w:hAnsi="Times New Roman"/>
          <w:sz w:val="24"/>
          <w:szCs w:val="24"/>
        </w:rPr>
        <w:t>800</w:t>
      </w:r>
      <w:r w:rsidRPr="00F45A4E">
        <w:rPr>
          <w:rFonts w:ascii="Times New Roman" w:hAnsi="Times New Roman"/>
          <w:sz w:val="24"/>
          <w:szCs w:val="24"/>
        </w:rPr>
        <w:t xml:space="preserve"> долларов</w:t>
      </w:r>
      <w:r>
        <w:rPr>
          <w:rStyle w:val="aff4"/>
          <w:rFonts w:eastAsia="Arial"/>
          <w:sz w:val="24"/>
          <w:szCs w:val="24"/>
        </w:rPr>
        <w:footnoteReference w:id="4"/>
      </w:r>
      <w:r w:rsidRPr="00F45A4E">
        <w:rPr>
          <w:rFonts w:ascii="Times New Roman" w:hAnsi="Times New Roman"/>
          <w:sz w:val="24"/>
          <w:szCs w:val="24"/>
        </w:rPr>
        <w:t>. Подобные условия являются достаточно привлекательными для трудящихся-мигрантов, поэтому в странах и вводятся различные визовые режимы, чтобы более эффективно регулировать потоки въезжающих лиц в страну. Рассмотрим же визы, выдаваемые трудящимся-мигрантам в этих странах и выделим типологию.</w:t>
      </w:r>
    </w:p>
    <w:p w:rsidR="002B7398" w:rsidRPr="00F45A4E" w:rsidRDefault="002B7398" w:rsidP="002B7398">
      <w:pPr>
        <w:spacing w:after="0" w:line="240" w:lineRule="auto"/>
        <w:ind w:firstLine="709"/>
        <w:jc w:val="both"/>
        <w:rPr>
          <w:rFonts w:ascii="Times New Roman" w:hAnsi="Times New Roman"/>
          <w:sz w:val="24"/>
          <w:szCs w:val="24"/>
        </w:rPr>
      </w:pPr>
      <w:r>
        <w:rPr>
          <w:rFonts w:ascii="Times New Roman" w:hAnsi="Times New Roman"/>
          <w:sz w:val="24"/>
          <w:szCs w:val="24"/>
        </w:rPr>
        <w:t>Вопросы иммиграционной политики Южной Кореи урегулированы Законом «О найм</w:t>
      </w:r>
      <w:smartTag w:uri="urn:schemas-microsoft-com:office:smarttags" w:element="PersonName">
        <w:r>
          <w:rPr>
            <w:rFonts w:ascii="Times New Roman" w:hAnsi="Times New Roman"/>
            <w:sz w:val="24"/>
            <w:szCs w:val="24"/>
          </w:rPr>
          <w:t>е н</w:t>
        </w:r>
      </w:smartTag>
      <w:r>
        <w:rPr>
          <w:rFonts w:ascii="Times New Roman" w:hAnsi="Times New Roman"/>
          <w:sz w:val="24"/>
          <w:szCs w:val="24"/>
        </w:rPr>
        <w:t>а работу иностранцев». В данном законе устанавливается перечень визовых режимов, позволяющих трудящимся-мигрантам осуществлять трудовую деятельность, а также порядок оформления виз. Стоит отметить, что законодательством не предусмотрено право занятия трудовой деятельностью без оформления визы. Из 32-х типов виз, предусмотренных корейским законодательством, 12 относятся к категории рабочих. Таковыми являются:</w:t>
      </w:r>
      <w:r w:rsidRPr="00F45A4E">
        <w:rPr>
          <w:rFonts w:ascii="Times New Roman" w:hAnsi="Times New Roman"/>
          <w:sz w:val="24"/>
          <w:szCs w:val="24"/>
        </w:rPr>
        <w:t xml:space="preserve"> краткосрочная рабочая (С-4), преподавательская (Е-1), преподавание разговорной речи (Е-2), исследовательская (Е-3), техническое руководство (Е-4), профессиональная рабочая (Е-5), коммерческая в области искусства (Е-6), особые виды деятельности (Е-7), непрофессиональная рабочая (Е-9), член экипажа морского судна (Е-10), рабочая виза выходного дня (Н-1),а также гостевая рабочая виза (Н-2) для этнических корейцев из стран С</w:t>
      </w:r>
      <w:r>
        <w:rPr>
          <w:rFonts w:ascii="Times New Roman" w:hAnsi="Times New Roman"/>
          <w:sz w:val="24"/>
          <w:szCs w:val="24"/>
        </w:rPr>
        <w:t>НГ и Китая в возрасте от 25 лет</w:t>
      </w:r>
      <w:r>
        <w:rPr>
          <w:rStyle w:val="aff4"/>
          <w:rFonts w:eastAsia="Arial"/>
          <w:sz w:val="24"/>
          <w:szCs w:val="24"/>
        </w:rPr>
        <w:footnoteReference w:id="5"/>
      </w:r>
      <w:r>
        <w:rPr>
          <w:rFonts w:ascii="Times New Roman" w:hAnsi="Times New Roman"/>
          <w:sz w:val="24"/>
          <w:szCs w:val="24"/>
        </w:rPr>
        <w:t>.</w:t>
      </w:r>
      <w:r w:rsidRPr="00F45A4E">
        <w:rPr>
          <w:rFonts w:ascii="Times New Roman" w:hAnsi="Times New Roman"/>
          <w:sz w:val="24"/>
          <w:szCs w:val="24"/>
        </w:rPr>
        <w:t xml:space="preserve"> Особенностью рабочих виз в Корее является то, что они строго привязаны к конкретному работодателю, который оформлял документы на визу. В случае если иностранный работник увольняется с работы, его виза автоматически аннулируется, сколько бы времени не оставалось до её окончания, и он должен в течение 1 месяц с момента увольнения покинуть страну </w:t>
      </w:r>
      <w:r w:rsidRPr="00F45A4E">
        <w:rPr>
          <w:rStyle w:val="aff4"/>
          <w:rFonts w:eastAsia="Arial"/>
          <w:sz w:val="24"/>
          <w:szCs w:val="24"/>
        </w:rPr>
        <w:footnoteReference w:id="6"/>
      </w:r>
      <w:r w:rsidRPr="00F45A4E">
        <w:rPr>
          <w:rFonts w:ascii="Times New Roman" w:hAnsi="Times New Roman"/>
          <w:sz w:val="24"/>
          <w:szCs w:val="24"/>
        </w:rPr>
        <w:t xml:space="preserve">. </w:t>
      </w:r>
      <w:r>
        <w:rPr>
          <w:rFonts w:ascii="Times New Roman" w:hAnsi="Times New Roman"/>
          <w:sz w:val="24"/>
          <w:szCs w:val="24"/>
        </w:rPr>
        <w:t>Причиной такого количества виз является высокий поток нелегальных трудовых мигрантов в Южную Корею. Власти стараются не допускать в экономику страны нелегальных трудящихся-мигрантов и строго контролировать приток иностранной рабочей силы, что вылилось в наличие такого большого перечня визовых режимов. Также, можно выделить то, что данные типы виз, в основном, относятся к высококвалифицированным специалистам, что говорит о заинтересованности власти в привлечении именно такого типа трудящихся-мигрантов.</w:t>
      </w:r>
    </w:p>
    <w:p w:rsidR="002B7398" w:rsidRPr="00F45A4E" w:rsidRDefault="002B7398" w:rsidP="002B7398">
      <w:pPr>
        <w:spacing w:after="0" w:line="240" w:lineRule="auto"/>
        <w:ind w:firstLine="709"/>
        <w:jc w:val="both"/>
        <w:rPr>
          <w:rFonts w:ascii="Times New Roman" w:hAnsi="Times New Roman"/>
          <w:sz w:val="24"/>
          <w:szCs w:val="24"/>
        </w:rPr>
      </w:pPr>
      <w:r w:rsidRPr="00F45A4E">
        <w:rPr>
          <w:rFonts w:ascii="Times New Roman" w:hAnsi="Times New Roman"/>
          <w:sz w:val="24"/>
          <w:szCs w:val="24"/>
        </w:rPr>
        <w:t xml:space="preserve">В настоящие время в корейском законодательстве </w:t>
      </w:r>
      <w:r>
        <w:rPr>
          <w:rFonts w:ascii="Times New Roman" w:hAnsi="Times New Roman"/>
          <w:sz w:val="24"/>
          <w:szCs w:val="24"/>
        </w:rPr>
        <w:t>выделяется три категории</w:t>
      </w:r>
      <w:r w:rsidRPr="00F45A4E">
        <w:rPr>
          <w:rFonts w:ascii="Times New Roman" w:hAnsi="Times New Roman"/>
          <w:sz w:val="24"/>
          <w:szCs w:val="24"/>
        </w:rPr>
        <w:t xml:space="preserve"> трудовых мигрантов. Первая категория трудовых мигрантов – это защищенные работники (стажеры), которые осуществляют </w:t>
      </w:r>
      <w:r>
        <w:rPr>
          <w:rFonts w:ascii="Times New Roman" w:hAnsi="Times New Roman"/>
          <w:sz w:val="24"/>
          <w:szCs w:val="24"/>
        </w:rPr>
        <w:t>трудовую миграцию</w:t>
      </w:r>
      <w:r w:rsidRPr="00F45A4E">
        <w:rPr>
          <w:rFonts w:ascii="Times New Roman" w:hAnsi="Times New Roman"/>
          <w:sz w:val="24"/>
          <w:szCs w:val="24"/>
        </w:rPr>
        <w:t xml:space="preserve"> через Министерство Труда. Отправляющиеся на работу в Республику Корея проходят подготовку в центре адаптации и обучения граждан, где они изучают корейский язык, законодательство Республики Корея, национальные обычаи и технику безопасности. Вторая категория трудовых мигрантов – это лица, которы</w:t>
      </w:r>
      <w:smartTag w:uri="urn:schemas-microsoft-com:office:smarttags" w:element="PersonName">
        <w:r w:rsidRPr="00F45A4E">
          <w:rPr>
            <w:rFonts w:ascii="Times New Roman" w:hAnsi="Times New Roman"/>
            <w:sz w:val="24"/>
            <w:szCs w:val="24"/>
          </w:rPr>
          <w:t>е н</w:t>
        </w:r>
      </w:smartTag>
      <w:r w:rsidRPr="00F45A4E">
        <w:rPr>
          <w:rFonts w:ascii="Times New Roman" w:hAnsi="Times New Roman"/>
          <w:sz w:val="24"/>
          <w:szCs w:val="24"/>
        </w:rPr>
        <w:t>ачинали работу в Корее посредством Минтруда, но затем уходят в нелегалы. Третья категория трудовых мигрантов – это лица, которы</w:t>
      </w:r>
      <w:smartTag w:uri="urn:schemas-microsoft-com:office:smarttags" w:element="PersonName">
        <w:r w:rsidRPr="00F45A4E">
          <w:rPr>
            <w:rFonts w:ascii="Times New Roman" w:hAnsi="Times New Roman"/>
            <w:sz w:val="24"/>
            <w:szCs w:val="24"/>
          </w:rPr>
          <w:t>е н</w:t>
        </w:r>
      </w:smartTag>
      <w:r w:rsidRPr="00F45A4E">
        <w:rPr>
          <w:rFonts w:ascii="Times New Roman" w:hAnsi="Times New Roman"/>
          <w:sz w:val="24"/>
          <w:szCs w:val="24"/>
        </w:rPr>
        <w:t>е оформляли трудового договора по линии Минтруда. Обычно они выезжают в Корею по гостевой</w:t>
      </w:r>
      <w:r>
        <w:rPr>
          <w:rFonts w:ascii="Times New Roman" w:hAnsi="Times New Roman"/>
          <w:sz w:val="24"/>
          <w:szCs w:val="24"/>
        </w:rPr>
        <w:t xml:space="preserve"> или туристической</w:t>
      </w:r>
      <w:r w:rsidRPr="00F45A4E">
        <w:rPr>
          <w:rFonts w:ascii="Times New Roman" w:hAnsi="Times New Roman"/>
          <w:sz w:val="24"/>
          <w:szCs w:val="24"/>
        </w:rPr>
        <w:t xml:space="preserve"> визе, и в дальнейшем устраиваются на работу на нелегальной основе </w:t>
      </w:r>
      <w:r w:rsidRPr="00F45A4E">
        <w:rPr>
          <w:rStyle w:val="aff4"/>
          <w:rFonts w:eastAsia="Arial"/>
          <w:sz w:val="24"/>
          <w:szCs w:val="24"/>
        </w:rPr>
        <w:footnoteReference w:id="7"/>
      </w:r>
      <w:r w:rsidRPr="00F45A4E">
        <w:rPr>
          <w:rFonts w:ascii="Times New Roman" w:hAnsi="Times New Roman"/>
          <w:sz w:val="24"/>
          <w:szCs w:val="24"/>
        </w:rPr>
        <w:t>.</w:t>
      </w:r>
    </w:p>
    <w:p w:rsidR="002B7398" w:rsidRPr="00E32E24" w:rsidRDefault="002B7398" w:rsidP="002B7398">
      <w:pPr>
        <w:spacing w:after="0" w:line="240" w:lineRule="auto"/>
        <w:ind w:firstLine="709"/>
        <w:jc w:val="both"/>
        <w:rPr>
          <w:rFonts w:ascii="Times New Roman" w:hAnsi="Times New Roman"/>
          <w:sz w:val="24"/>
          <w:szCs w:val="24"/>
        </w:rPr>
      </w:pPr>
      <w:r w:rsidRPr="00E32E24">
        <w:rPr>
          <w:rFonts w:ascii="Times New Roman" w:hAnsi="Times New Roman"/>
          <w:sz w:val="24"/>
          <w:szCs w:val="24"/>
        </w:rPr>
        <w:t>Вопросы правового положения иностранных граждан и лиц без гражданства регулируются в Яп</w:t>
      </w:r>
      <w:r>
        <w:rPr>
          <w:rFonts w:ascii="Times New Roman" w:hAnsi="Times New Roman"/>
          <w:sz w:val="24"/>
          <w:szCs w:val="24"/>
        </w:rPr>
        <w:t>онии двумя основными законами: «</w:t>
      </w:r>
      <w:r w:rsidRPr="00E32E24">
        <w:rPr>
          <w:rFonts w:ascii="Times New Roman" w:hAnsi="Times New Roman"/>
          <w:sz w:val="24"/>
          <w:szCs w:val="24"/>
        </w:rPr>
        <w:t>О контроле за въезд</w:t>
      </w:r>
      <w:r>
        <w:rPr>
          <w:rFonts w:ascii="Times New Roman" w:hAnsi="Times New Roman"/>
          <w:sz w:val="24"/>
          <w:szCs w:val="24"/>
        </w:rPr>
        <w:t>ом и выездом и статусе беженцев»</w:t>
      </w:r>
      <w:r w:rsidRPr="00E32E24">
        <w:rPr>
          <w:rFonts w:ascii="Times New Roman" w:hAnsi="Times New Roman"/>
          <w:sz w:val="24"/>
          <w:szCs w:val="24"/>
        </w:rPr>
        <w:t xml:space="preserve"> (иммиграционный </w:t>
      </w:r>
      <w:r>
        <w:rPr>
          <w:rFonts w:ascii="Times New Roman" w:hAnsi="Times New Roman"/>
          <w:sz w:val="24"/>
          <w:szCs w:val="24"/>
        </w:rPr>
        <w:t xml:space="preserve">закон) от 04 октября </w:t>
      </w:r>
      <w:smartTag w:uri="urn:schemas-microsoft-com:office:smarttags" w:element="PersonName">
        <w:r>
          <w:rPr>
            <w:rFonts w:ascii="Times New Roman" w:hAnsi="Times New Roman"/>
            <w:sz w:val="24"/>
            <w:szCs w:val="24"/>
          </w:rPr>
          <w:t>1952 г</w:t>
        </w:r>
      </w:smartTag>
      <w:r>
        <w:rPr>
          <w:rFonts w:ascii="Times New Roman" w:hAnsi="Times New Roman"/>
          <w:sz w:val="24"/>
          <w:szCs w:val="24"/>
        </w:rPr>
        <w:t>. и «О регистрации иностранцев»</w:t>
      </w:r>
      <w:r w:rsidRPr="00E32E24">
        <w:rPr>
          <w:rFonts w:ascii="Times New Roman" w:hAnsi="Times New Roman"/>
          <w:sz w:val="24"/>
          <w:szCs w:val="24"/>
        </w:rPr>
        <w:t xml:space="preserve"> от 28 апреля 1952г., который регламентирует правила проживания иностранных граждан в стране.</w:t>
      </w:r>
      <w:r>
        <w:rPr>
          <w:rFonts w:ascii="Times New Roman" w:hAnsi="Times New Roman"/>
          <w:sz w:val="24"/>
          <w:szCs w:val="24"/>
        </w:rPr>
        <w:t xml:space="preserve"> По аналогии в Южной Кореей, для въезда на территорию Японии для занятия трудовой деятельностью, необходимо оформления определенной визы, а также в законе исключена возможность безвизового занятия трудовой деятельности для иностранцев. </w:t>
      </w:r>
      <w:r w:rsidRPr="00F45A4E">
        <w:rPr>
          <w:rFonts w:ascii="Times New Roman" w:hAnsi="Times New Roman"/>
          <w:sz w:val="24"/>
          <w:szCs w:val="24"/>
        </w:rPr>
        <w:t xml:space="preserve">Закон Японии «Об иммиграционном контроле» устанавливает </w:t>
      </w:r>
      <w:r>
        <w:rPr>
          <w:rFonts w:ascii="Times New Roman" w:hAnsi="Times New Roman"/>
          <w:sz w:val="24"/>
          <w:szCs w:val="24"/>
        </w:rPr>
        <w:t>11</w:t>
      </w:r>
      <w:r w:rsidRPr="00F45A4E">
        <w:rPr>
          <w:rFonts w:ascii="Times New Roman" w:hAnsi="Times New Roman"/>
          <w:sz w:val="24"/>
          <w:szCs w:val="24"/>
        </w:rPr>
        <w:t xml:space="preserve"> статусов</w:t>
      </w:r>
      <w:r>
        <w:rPr>
          <w:rFonts w:ascii="Times New Roman" w:hAnsi="Times New Roman"/>
          <w:sz w:val="24"/>
          <w:szCs w:val="24"/>
        </w:rPr>
        <w:t xml:space="preserve"> рабочих виз: в</w:t>
      </w:r>
      <w:r w:rsidRPr="00E32E24">
        <w:rPr>
          <w:rFonts w:ascii="Times New Roman" w:hAnsi="Times New Roman"/>
          <w:sz w:val="24"/>
          <w:szCs w:val="24"/>
        </w:rPr>
        <w:t>ысококвалифицированный специалист, бизнес менеджер, предоставляющий юридические/бухгалтерские услуги, медицинский персонал, исследователь, преподаватель языка, инженер/ специалист по гуманитарным наукам/ международные службы, переводчик внутри компании, эстрадный артист, квалифицированный рабочий, техническое обучение</w:t>
      </w:r>
      <w:r>
        <w:rPr>
          <w:rFonts w:ascii="Times New Roman" w:hAnsi="Times New Roman"/>
          <w:sz w:val="24"/>
          <w:szCs w:val="24"/>
        </w:rPr>
        <w:t xml:space="preserve">. Данное деление </w:t>
      </w:r>
      <w:r w:rsidRPr="00F45A4E">
        <w:rPr>
          <w:rFonts w:ascii="Times New Roman" w:hAnsi="Times New Roman"/>
          <w:sz w:val="24"/>
          <w:szCs w:val="24"/>
        </w:rPr>
        <w:t xml:space="preserve">говорит о наличии типологии мигрантов на территории Японии </w:t>
      </w:r>
      <w:r w:rsidRPr="00F45A4E">
        <w:rPr>
          <w:rStyle w:val="aff4"/>
          <w:rFonts w:eastAsia="Arial"/>
          <w:sz w:val="24"/>
          <w:szCs w:val="24"/>
        </w:rPr>
        <w:footnoteReference w:id="8"/>
      </w:r>
      <w:r w:rsidRPr="00F45A4E">
        <w:rPr>
          <w:rFonts w:ascii="Times New Roman" w:hAnsi="Times New Roman"/>
          <w:sz w:val="24"/>
          <w:szCs w:val="24"/>
        </w:rPr>
        <w:t xml:space="preserve">. Получение статуса </w:t>
      </w:r>
      <w:r>
        <w:rPr>
          <w:rFonts w:ascii="Times New Roman" w:hAnsi="Times New Roman"/>
          <w:sz w:val="24"/>
          <w:szCs w:val="24"/>
        </w:rPr>
        <w:t xml:space="preserve">трудящегося-мигранта </w:t>
      </w:r>
      <w:r w:rsidRPr="00F45A4E">
        <w:rPr>
          <w:rFonts w:ascii="Times New Roman" w:hAnsi="Times New Roman"/>
          <w:sz w:val="24"/>
          <w:szCs w:val="24"/>
        </w:rPr>
        <w:t>дает иностранцу право заниматься в течении отведенного периода времени только той деятельностью, которая разрешена по этому конкретному статусу.</w:t>
      </w:r>
      <w:r>
        <w:rPr>
          <w:rFonts w:ascii="Times New Roman" w:hAnsi="Times New Roman"/>
          <w:sz w:val="24"/>
          <w:szCs w:val="24"/>
        </w:rPr>
        <w:t xml:space="preserve"> Также, можем отметить, что основное деление затрагивает высококвалифицированных специалистов. Связано это, прежде всего, </w:t>
      </w:r>
      <w:r w:rsidRPr="00E32E24">
        <w:rPr>
          <w:rFonts w:ascii="Times New Roman" w:hAnsi="Times New Roman"/>
          <w:sz w:val="24"/>
          <w:szCs w:val="24"/>
        </w:rPr>
        <w:t>с проводимой миграционной политикой данной страны, которая заключается в стимулировании трудовой миграции высококвалифицированных кадров в следствии старения населения страны и нехватки подобных кадров внутри</w:t>
      </w:r>
      <w:r>
        <w:rPr>
          <w:rFonts w:ascii="Times New Roman" w:hAnsi="Times New Roman"/>
          <w:sz w:val="24"/>
          <w:szCs w:val="24"/>
        </w:rPr>
        <w:t>.</w:t>
      </w:r>
    </w:p>
    <w:p w:rsidR="002B7398" w:rsidRPr="00F45A4E" w:rsidRDefault="002B7398" w:rsidP="002B7398">
      <w:pPr>
        <w:spacing w:after="0" w:line="240" w:lineRule="auto"/>
        <w:ind w:firstLine="709"/>
        <w:jc w:val="both"/>
        <w:rPr>
          <w:rFonts w:ascii="Times New Roman" w:hAnsi="Times New Roman"/>
          <w:sz w:val="24"/>
          <w:szCs w:val="24"/>
        </w:rPr>
      </w:pPr>
      <w:r w:rsidRPr="00F45A4E">
        <w:rPr>
          <w:rFonts w:ascii="Times New Roman" w:hAnsi="Times New Roman"/>
          <w:sz w:val="24"/>
          <w:szCs w:val="24"/>
        </w:rPr>
        <w:t xml:space="preserve">Законодательство Китая также имеет типологию </w:t>
      </w:r>
      <w:r>
        <w:rPr>
          <w:rFonts w:ascii="Times New Roman" w:hAnsi="Times New Roman"/>
          <w:sz w:val="24"/>
          <w:szCs w:val="24"/>
        </w:rPr>
        <w:t>трудящихся-</w:t>
      </w:r>
      <w:r w:rsidRPr="00F45A4E">
        <w:rPr>
          <w:rFonts w:ascii="Times New Roman" w:hAnsi="Times New Roman"/>
          <w:sz w:val="24"/>
          <w:szCs w:val="24"/>
        </w:rPr>
        <w:t xml:space="preserve">мигрантов. </w:t>
      </w:r>
      <w:r>
        <w:rPr>
          <w:rFonts w:ascii="Times New Roman" w:hAnsi="Times New Roman"/>
          <w:sz w:val="24"/>
          <w:szCs w:val="24"/>
        </w:rPr>
        <w:t>Законом КНР «Об управлении въездом и выездом», а именно в ст. 16 установлено, что для въезда иностранца в страну ему должна быть выдана определенная категория визы. Для трудящихся-мигрантов необходима обычная виза</w:t>
      </w:r>
      <w:r>
        <w:rPr>
          <w:rStyle w:val="aff4"/>
          <w:rFonts w:eastAsia="Arial"/>
          <w:sz w:val="24"/>
          <w:szCs w:val="24"/>
        </w:rPr>
        <w:footnoteReference w:id="9"/>
      </w:r>
      <w:r>
        <w:rPr>
          <w:rFonts w:ascii="Times New Roman" w:hAnsi="Times New Roman"/>
          <w:sz w:val="24"/>
          <w:szCs w:val="24"/>
        </w:rPr>
        <w:t xml:space="preserve">. В дополнении к данному закону были выпущены Нормы и правила регулирования въезда и выезда иностранных граждан за границу КНР, которые дают более подробную информацию по типологии визовых режимов. </w:t>
      </w:r>
      <w:r w:rsidRPr="00F45A4E">
        <w:rPr>
          <w:rFonts w:ascii="Times New Roman" w:hAnsi="Times New Roman"/>
          <w:sz w:val="24"/>
          <w:szCs w:val="24"/>
        </w:rPr>
        <w:t xml:space="preserve">В ст. 5 </w:t>
      </w:r>
      <w:r>
        <w:rPr>
          <w:rFonts w:ascii="Times New Roman" w:hAnsi="Times New Roman"/>
          <w:sz w:val="24"/>
          <w:szCs w:val="24"/>
        </w:rPr>
        <w:t>указанного документа</w:t>
      </w:r>
      <w:r w:rsidRPr="00F45A4E">
        <w:rPr>
          <w:rFonts w:ascii="Times New Roman" w:hAnsi="Times New Roman"/>
          <w:sz w:val="24"/>
          <w:szCs w:val="24"/>
        </w:rPr>
        <w:t xml:space="preserve"> устанавливается тип</w:t>
      </w:r>
      <w:r w:rsidRPr="009D7469">
        <w:rPr>
          <w:rFonts w:ascii="Times New Roman" w:hAnsi="Times New Roman"/>
          <w:sz w:val="24"/>
          <w:szCs w:val="24"/>
        </w:rPr>
        <w:t xml:space="preserve"> </w:t>
      </w:r>
      <w:r w:rsidRPr="00F45A4E">
        <w:rPr>
          <w:rFonts w:ascii="Times New Roman" w:hAnsi="Times New Roman"/>
          <w:sz w:val="24"/>
          <w:szCs w:val="24"/>
        </w:rPr>
        <w:t>виз для трудящихся-мигрантов на территории Китая. Согласно положению этой статьи, виза Z1, выдается лицам, работающим на территории КНР более 90 дней; виза Z2, выдается лицам, работающим на территории КНР менее 90 дней; виза R1, выдается иностранным высококвалифицированным и дефицитным специалистам, нуждающимся в проживании в КНР; виза R2, выдается иностранным высококвалифицированным и дефицитным специалистам, пребывающим в Китай на краткий срок</w:t>
      </w:r>
      <w:r w:rsidRPr="00F45A4E">
        <w:rPr>
          <w:rStyle w:val="aff4"/>
          <w:rFonts w:eastAsia="Arial"/>
          <w:sz w:val="24"/>
          <w:szCs w:val="24"/>
        </w:rPr>
        <w:footnoteReference w:id="10"/>
      </w:r>
      <w:r w:rsidRPr="00F45A4E">
        <w:rPr>
          <w:rFonts w:ascii="Times New Roman" w:hAnsi="Times New Roman"/>
          <w:sz w:val="24"/>
          <w:szCs w:val="24"/>
        </w:rPr>
        <w:t>.</w:t>
      </w:r>
      <w:r>
        <w:rPr>
          <w:rFonts w:ascii="Times New Roman" w:hAnsi="Times New Roman"/>
          <w:sz w:val="24"/>
          <w:szCs w:val="24"/>
        </w:rPr>
        <w:t>Отметим, что китайским законодательством также не предусмотрена возможность занятия трудовой деятельностью на безвизовых основаниях. Вероятно, это связано с целью борьбы с нелегальной трудовой миграцией.</w:t>
      </w:r>
    </w:p>
    <w:p w:rsidR="002B7398" w:rsidRPr="00F45A4E" w:rsidRDefault="002B7398" w:rsidP="002B7398">
      <w:pPr>
        <w:spacing w:after="0" w:line="240" w:lineRule="auto"/>
        <w:ind w:firstLine="709"/>
        <w:jc w:val="both"/>
        <w:rPr>
          <w:rFonts w:ascii="Times New Roman" w:hAnsi="Times New Roman"/>
          <w:sz w:val="24"/>
          <w:szCs w:val="24"/>
        </w:rPr>
      </w:pPr>
      <w:r w:rsidRPr="00F45A4E">
        <w:rPr>
          <w:rFonts w:ascii="Times New Roman" w:hAnsi="Times New Roman"/>
          <w:sz w:val="24"/>
          <w:szCs w:val="24"/>
        </w:rPr>
        <w:t xml:space="preserve">Также, стоит отметить, подобная типология имеется и в законодательстве России. В Российской Федерации типы трудовых мигрантов закреплены в Постановлении Правительства РФ от 09.06.2003 N 335 «Об утверждении Положения об установлении формы визы, порядка и условий ее оформления и выдачи. В ст. 27 этого документа указано, что в зависимости от цели въезда иностранного гражданина в Российскую Федерацию и цели его пребывания в Российской Федерации обыкновенная виза имеет разновидности, которые включают в себя рабочую визу. Рабочие визы по законодательству Российской Федерации делятся на два типа: обычную и многократную. </w:t>
      </w:r>
    </w:p>
    <w:p w:rsidR="002B7398" w:rsidRPr="00F45A4E" w:rsidRDefault="002B7398" w:rsidP="002B7398">
      <w:pPr>
        <w:spacing w:after="0" w:line="240" w:lineRule="auto"/>
        <w:ind w:firstLine="709"/>
        <w:jc w:val="both"/>
        <w:rPr>
          <w:rFonts w:ascii="Times New Roman" w:hAnsi="Times New Roman"/>
          <w:sz w:val="24"/>
          <w:szCs w:val="24"/>
        </w:rPr>
      </w:pPr>
      <w:r w:rsidRPr="00F45A4E">
        <w:rPr>
          <w:rFonts w:ascii="Times New Roman" w:hAnsi="Times New Roman"/>
          <w:sz w:val="24"/>
          <w:szCs w:val="24"/>
        </w:rPr>
        <w:t xml:space="preserve">Обыкновенная рабочая виза выдается иностранному гражданину, въезжающему в Российскую Федерацию в целях осуществления трудовой деятельности, на основании приглашения дипломатическим представительством или консульским учреждением Российской Федерации на срок до 3 месяцев с возможностью последующего ее продления на срок действия трудового или гражданско-правового договора, но не более чем на 1 год для каждой последующей визы </w:t>
      </w:r>
      <w:r w:rsidRPr="00F45A4E">
        <w:rPr>
          <w:rStyle w:val="aff4"/>
          <w:rFonts w:eastAsia="Arial"/>
          <w:sz w:val="24"/>
          <w:szCs w:val="24"/>
        </w:rPr>
        <w:footnoteReference w:id="11"/>
      </w:r>
      <w:r w:rsidRPr="00F45A4E">
        <w:rPr>
          <w:rFonts w:ascii="Times New Roman" w:hAnsi="Times New Roman"/>
          <w:sz w:val="24"/>
          <w:szCs w:val="24"/>
        </w:rPr>
        <w:t>.</w:t>
      </w:r>
    </w:p>
    <w:p w:rsidR="002B7398" w:rsidRPr="00F45A4E" w:rsidRDefault="002B7398" w:rsidP="002B7398">
      <w:pPr>
        <w:spacing w:after="0" w:line="240" w:lineRule="auto"/>
        <w:ind w:firstLine="709"/>
        <w:jc w:val="both"/>
        <w:rPr>
          <w:rFonts w:ascii="Times New Roman" w:hAnsi="Times New Roman"/>
          <w:sz w:val="24"/>
          <w:szCs w:val="24"/>
        </w:rPr>
      </w:pPr>
      <w:r w:rsidRPr="00F45A4E">
        <w:rPr>
          <w:rFonts w:ascii="Times New Roman" w:hAnsi="Times New Roman"/>
          <w:sz w:val="24"/>
          <w:szCs w:val="24"/>
        </w:rPr>
        <w:t xml:space="preserve">Многократная рабочая виза выдается иностранному гражданину, являющемуся высококвалифицированным специалистом и осуществляющему трудовую деятельность в этом качестве на территории Российской Федерации по месту постановки на миграционный учет. Указанная виза выдается на срок действия трудового договора или гражданско-правового договора на выполнение работ (оказание услуг), но не более чем на 3 года, с последующим продлением срока ее действия на срок действия трудового договора или гражданско-правового договора на выполнение работ (оказание услуг), но не более чем на 3 года для каждого такого продления </w:t>
      </w:r>
      <w:r w:rsidRPr="00F45A4E">
        <w:rPr>
          <w:rStyle w:val="aff4"/>
          <w:rFonts w:eastAsia="Arial"/>
          <w:sz w:val="24"/>
          <w:szCs w:val="24"/>
        </w:rPr>
        <w:footnoteReference w:id="12"/>
      </w:r>
      <w:r w:rsidRPr="00F45A4E">
        <w:rPr>
          <w:rFonts w:ascii="Times New Roman" w:hAnsi="Times New Roman"/>
          <w:sz w:val="24"/>
          <w:szCs w:val="24"/>
        </w:rPr>
        <w:t>.</w:t>
      </w:r>
    </w:p>
    <w:p w:rsidR="002B7398" w:rsidRPr="00F45A4E" w:rsidRDefault="002B7398" w:rsidP="002B7398">
      <w:pPr>
        <w:spacing w:after="0" w:line="240" w:lineRule="auto"/>
        <w:ind w:firstLine="709"/>
        <w:jc w:val="both"/>
        <w:rPr>
          <w:rFonts w:ascii="Times New Roman" w:hAnsi="Times New Roman"/>
          <w:sz w:val="24"/>
          <w:szCs w:val="24"/>
        </w:rPr>
      </w:pPr>
      <w:r w:rsidRPr="00F45A4E">
        <w:rPr>
          <w:rFonts w:ascii="Times New Roman" w:hAnsi="Times New Roman"/>
          <w:sz w:val="24"/>
          <w:szCs w:val="24"/>
        </w:rPr>
        <w:t>Также, в Российской Федерации существует категория безвизовых работников. К ним относятся: граждане Белоруссии, Казахстана и Армении (основанием такого порядка является статья 97 Договора о Евразийском экономическом союзе от 29 мая 2014 г.);</w:t>
      </w:r>
      <w:r w:rsidRPr="009D7469">
        <w:rPr>
          <w:rFonts w:ascii="Times New Roman" w:hAnsi="Times New Roman"/>
          <w:sz w:val="24"/>
          <w:szCs w:val="24"/>
        </w:rPr>
        <w:t xml:space="preserve"> </w:t>
      </w:r>
      <w:r w:rsidRPr="00F45A4E">
        <w:rPr>
          <w:rFonts w:ascii="Times New Roman" w:hAnsi="Times New Roman"/>
          <w:sz w:val="24"/>
          <w:szCs w:val="24"/>
        </w:rPr>
        <w:t xml:space="preserve">временно проживающие (имеющие разрешение на временное проживание в РФ); постоянно проживающие (получившие вид на жительство в РФ); дипломатические и консульские работники; журналисты, аккредитованные в России; работники иностранных организаций, выполняющие монтажные работы, сервисное, гарантийное и постгарантийное обслуживание и ремонт оборудования, поставленного в Россию; иностранные студенты, работающие во время каникул, или в учебных заведениях, где они учатся; профессорско-преподавательский состав; беженцы и получившие временное убежище на территории РФ </w:t>
      </w:r>
      <w:r w:rsidRPr="00F45A4E">
        <w:rPr>
          <w:rStyle w:val="aff4"/>
          <w:rFonts w:eastAsia="Arial"/>
          <w:sz w:val="24"/>
          <w:szCs w:val="24"/>
        </w:rPr>
        <w:footnoteReference w:id="13"/>
      </w:r>
      <w:r w:rsidRPr="00F45A4E">
        <w:rPr>
          <w:rFonts w:ascii="Times New Roman" w:hAnsi="Times New Roman"/>
          <w:sz w:val="24"/>
          <w:szCs w:val="24"/>
        </w:rPr>
        <w:t>.</w:t>
      </w:r>
    </w:p>
    <w:p w:rsidR="002B7398" w:rsidRPr="00F45A4E" w:rsidRDefault="002B7398" w:rsidP="002B7398">
      <w:pPr>
        <w:spacing w:after="0" w:line="240" w:lineRule="auto"/>
        <w:ind w:firstLine="709"/>
        <w:jc w:val="both"/>
        <w:rPr>
          <w:rFonts w:ascii="Times New Roman" w:hAnsi="Times New Roman"/>
          <w:sz w:val="24"/>
          <w:szCs w:val="24"/>
        </w:rPr>
      </w:pPr>
      <w:r w:rsidRPr="00F45A4E">
        <w:rPr>
          <w:rFonts w:ascii="Times New Roman" w:hAnsi="Times New Roman"/>
          <w:sz w:val="24"/>
          <w:szCs w:val="24"/>
        </w:rPr>
        <w:t xml:space="preserve">Пунктом 8 ст. 13 ФЗ «О правовом положении иностранных граждан в Российской Федерации» предусмотрена необходимость уведомления работодателем территориального органа федерального органа исполнительной власти в сфере миграции в субъекте Российской Федерации о заключении или прекращении трудового договора с гражданами иностранных государств для дальнейших действий по прекращению пребывания трудящегося-мигранта на территории РФ </w:t>
      </w:r>
      <w:r w:rsidRPr="00F45A4E">
        <w:rPr>
          <w:rStyle w:val="aff4"/>
          <w:rFonts w:eastAsia="Arial"/>
          <w:sz w:val="24"/>
          <w:szCs w:val="24"/>
        </w:rPr>
        <w:footnoteReference w:id="14"/>
      </w:r>
      <w:r w:rsidRPr="00F45A4E">
        <w:rPr>
          <w:rFonts w:ascii="Times New Roman" w:hAnsi="Times New Roman"/>
          <w:sz w:val="24"/>
          <w:szCs w:val="24"/>
        </w:rPr>
        <w:t>.</w:t>
      </w:r>
    </w:p>
    <w:p w:rsidR="002B7398" w:rsidRDefault="002B7398" w:rsidP="002B7398">
      <w:pPr>
        <w:spacing w:after="0" w:line="240" w:lineRule="auto"/>
        <w:ind w:firstLine="709"/>
        <w:jc w:val="both"/>
        <w:rPr>
          <w:rFonts w:ascii="Times New Roman" w:hAnsi="Times New Roman"/>
          <w:sz w:val="24"/>
          <w:szCs w:val="24"/>
        </w:rPr>
      </w:pPr>
      <w:r>
        <w:rPr>
          <w:rFonts w:ascii="Times New Roman" w:hAnsi="Times New Roman"/>
          <w:sz w:val="24"/>
          <w:szCs w:val="24"/>
        </w:rPr>
        <w:t>Общим подходом в типологии можно выделить то, что в основном она направлена на разделения типов высококвалифицированных специалистов, поскольку именно они представляют наибольший интерес для стран осуществления трудовой деятельности. Как можем видеть, режимы их пребывания урегулированы достаточно полно и в разных отраслях труда.</w:t>
      </w:r>
    </w:p>
    <w:p w:rsidR="002B7398" w:rsidRPr="009D7469" w:rsidRDefault="002B7398" w:rsidP="002B7398">
      <w:pPr>
        <w:spacing w:after="0" w:line="240" w:lineRule="auto"/>
        <w:ind w:firstLine="709"/>
        <w:jc w:val="both"/>
        <w:rPr>
          <w:rFonts w:ascii="Times New Roman" w:hAnsi="Times New Roman"/>
          <w:sz w:val="24"/>
          <w:szCs w:val="24"/>
        </w:rPr>
      </w:pPr>
      <w:r w:rsidRPr="00F45A4E">
        <w:rPr>
          <w:rFonts w:ascii="Times New Roman" w:hAnsi="Times New Roman"/>
          <w:sz w:val="24"/>
          <w:szCs w:val="24"/>
        </w:rPr>
        <w:t>Как можем видеть, законодатель в странах Восточной Азии подходит к определению типологии трудящихся-мигрантов достаточно тщательно. Связано это с возрастающими потоками мигрирующих в эти страны, что вызывает потребность урегулирования положения каждого мигранта, определения его статуса в стране и, самое главное, борьба с нелегальной миграцией. Можно ожидать, что с увеличением роста потоков мигрантов будут выделяться новые категории визовых режимов, что приведет к изменению типологии трудящихся мигрантов.</w:t>
      </w:r>
      <w:r>
        <w:rPr>
          <w:rFonts w:ascii="Times New Roman" w:hAnsi="Times New Roman"/>
          <w:sz w:val="24"/>
          <w:szCs w:val="24"/>
        </w:rPr>
        <w:t xml:space="preserve"> Также, можно отметить, что различные типы определяют различный правовой статус трудящегося-мигранта, определяют его правовое положение в стране осуществления трудовой деятельности, наделяют его рядом прав и обязанностей, отличных у разных категорий трудящихся-мигрантов.</w:t>
      </w:r>
    </w:p>
    <w:p w:rsidR="002B7398" w:rsidRDefault="002B7398" w:rsidP="002B7398"/>
    <w:p w:rsidR="002B7398" w:rsidRPr="00EE1BC1" w:rsidRDefault="002B7398" w:rsidP="002B7398"/>
    <w:p w:rsidR="002B7398" w:rsidRDefault="002B7398" w:rsidP="002B7398">
      <w:pPr>
        <w:widowControl w:val="0"/>
        <w:shd w:val="clear" w:color="auto" w:fill="FFFFFF"/>
        <w:spacing w:after="0" w:line="240" w:lineRule="auto"/>
        <w:ind w:left="567"/>
        <w:contextualSpacing/>
        <w:jc w:val="both"/>
        <w:rPr>
          <w:rFonts w:ascii="Times New Roman" w:hAnsi="Times New Roman"/>
          <w:kern w:val="36"/>
          <w:sz w:val="24"/>
          <w:szCs w:val="24"/>
          <w:lang w:eastAsia="ru-RU"/>
        </w:rPr>
      </w:pPr>
      <w:r>
        <w:rPr>
          <w:rFonts w:ascii="Times New Roman" w:hAnsi="Times New Roman"/>
          <w:kern w:val="36"/>
          <w:sz w:val="24"/>
          <w:szCs w:val="24"/>
          <w:lang w:eastAsia="ru-RU"/>
        </w:rPr>
        <w:t>Рубрика: Международные отношения и приграничное сотрудничество в АТР: опыт, проблемы и перспективы развития.</w:t>
      </w:r>
    </w:p>
    <w:p w:rsidR="002B7398" w:rsidRDefault="002B7398" w:rsidP="002B7398">
      <w:pPr>
        <w:widowControl w:val="0"/>
        <w:shd w:val="clear" w:color="auto" w:fill="FFFFFF"/>
        <w:spacing w:after="0" w:line="240" w:lineRule="auto"/>
        <w:ind w:firstLine="567"/>
        <w:contextualSpacing/>
        <w:jc w:val="both"/>
        <w:rPr>
          <w:rFonts w:ascii="Times New Roman" w:hAnsi="Times New Roman"/>
          <w:kern w:val="36"/>
          <w:sz w:val="24"/>
          <w:szCs w:val="24"/>
          <w:lang w:eastAsia="ru-RU"/>
        </w:rPr>
      </w:pPr>
    </w:p>
    <w:p w:rsidR="002B7398" w:rsidRPr="002B7398" w:rsidRDefault="002B7398" w:rsidP="002B7398">
      <w:pPr>
        <w:widowControl w:val="0"/>
        <w:shd w:val="clear" w:color="auto" w:fill="FFFFFF"/>
        <w:spacing w:after="0" w:line="240" w:lineRule="auto"/>
        <w:ind w:firstLine="567"/>
        <w:contextualSpacing/>
        <w:jc w:val="both"/>
        <w:rPr>
          <w:rFonts w:ascii="Times New Roman" w:hAnsi="Times New Roman"/>
          <w:kern w:val="36"/>
          <w:sz w:val="24"/>
          <w:szCs w:val="24"/>
          <w:lang w:eastAsia="ru-RU"/>
        </w:rPr>
      </w:pPr>
      <w:r w:rsidRPr="00A31194">
        <w:rPr>
          <w:rFonts w:ascii="Times New Roman" w:hAnsi="Times New Roman"/>
          <w:kern w:val="36"/>
          <w:sz w:val="24"/>
          <w:szCs w:val="24"/>
          <w:lang w:eastAsia="ru-RU"/>
        </w:rPr>
        <w:t xml:space="preserve">УДК </w:t>
      </w:r>
      <w:r w:rsidRPr="002B7398">
        <w:rPr>
          <w:rFonts w:ascii="Times New Roman" w:hAnsi="Times New Roman"/>
          <w:kern w:val="36"/>
          <w:sz w:val="24"/>
          <w:szCs w:val="24"/>
          <w:lang w:eastAsia="ru-RU"/>
        </w:rPr>
        <w:t>34</w:t>
      </w:r>
    </w:p>
    <w:p w:rsidR="002B7398" w:rsidRPr="00A31194" w:rsidRDefault="002B7398" w:rsidP="002B7398">
      <w:pPr>
        <w:widowControl w:val="0"/>
        <w:shd w:val="clear" w:color="auto" w:fill="FFFFFF"/>
        <w:spacing w:after="0" w:line="240" w:lineRule="auto"/>
        <w:contextualSpacing/>
        <w:jc w:val="center"/>
        <w:rPr>
          <w:rFonts w:ascii="Times New Roman" w:hAnsi="Times New Roman"/>
          <w:b/>
          <w:kern w:val="36"/>
          <w:sz w:val="24"/>
          <w:szCs w:val="24"/>
          <w:lang w:eastAsia="ru-RU"/>
        </w:rPr>
      </w:pPr>
    </w:p>
    <w:p w:rsidR="002B7398" w:rsidRDefault="002B7398" w:rsidP="002B7398">
      <w:pPr>
        <w:widowControl w:val="0"/>
        <w:shd w:val="clear" w:color="auto" w:fill="FFFFFF"/>
        <w:spacing w:after="0" w:line="240" w:lineRule="auto"/>
        <w:contextualSpacing/>
        <w:jc w:val="center"/>
        <w:rPr>
          <w:rFonts w:ascii="Times New Roman" w:hAnsi="Times New Roman"/>
          <w:b/>
          <w:kern w:val="36"/>
          <w:sz w:val="24"/>
          <w:szCs w:val="24"/>
          <w:lang w:eastAsia="ru-RU"/>
        </w:rPr>
      </w:pPr>
      <w:r>
        <w:rPr>
          <w:rFonts w:ascii="Times New Roman" w:hAnsi="Times New Roman"/>
          <w:b/>
          <w:kern w:val="36"/>
          <w:sz w:val="24"/>
          <w:szCs w:val="24"/>
          <w:lang w:eastAsia="ru-RU"/>
        </w:rPr>
        <w:t>Правовой статус Северного морского пути: перспективы для стран АТР</w:t>
      </w:r>
    </w:p>
    <w:p w:rsidR="002B7398" w:rsidRPr="006B1D40" w:rsidRDefault="002B7398" w:rsidP="002B7398">
      <w:pPr>
        <w:widowControl w:val="0"/>
        <w:shd w:val="clear" w:color="auto" w:fill="FFFFFF"/>
        <w:spacing w:after="0" w:line="240" w:lineRule="auto"/>
        <w:contextualSpacing/>
        <w:jc w:val="center"/>
        <w:rPr>
          <w:rFonts w:ascii="Times New Roman" w:hAnsi="Times New Roman"/>
          <w:b/>
          <w:kern w:val="36"/>
          <w:sz w:val="24"/>
          <w:szCs w:val="24"/>
          <w:lang w:eastAsia="ru-RU"/>
        </w:rPr>
      </w:pPr>
    </w:p>
    <w:p w:rsidR="002B7398" w:rsidRPr="00B66E8F" w:rsidRDefault="002B7398" w:rsidP="002B7398">
      <w:pPr>
        <w:widowControl w:val="0"/>
        <w:shd w:val="clear" w:color="auto" w:fill="FFFFFF"/>
        <w:spacing w:after="0" w:line="240" w:lineRule="auto"/>
        <w:contextualSpacing/>
        <w:jc w:val="center"/>
        <w:rPr>
          <w:rFonts w:ascii="Times New Roman" w:hAnsi="Times New Roman"/>
          <w:kern w:val="36"/>
          <w:sz w:val="24"/>
          <w:szCs w:val="24"/>
          <w:lang w:eastAsia="ru-RU"/>
        </w:rPr>
      </w:pPr>
      <w:r>
        <w:rPr>
          <w:rFonts w:ascii="Times New Roman" w:hAnsi="Times New Roman"/>
          <w:kern w:val="36"/>
          <w:sz w:val="24"/>
          <w:szCs w:val="24"/>
          <w:lang w:eastAsia="ru-RU"/>
        </w:rPr>
        <w:t>Охота Светлана Вадимовна</w:t>
      </w:r>
    </w:p>
    <w:p w:rsidR="002B7398" w:rsidRDefault="002B7398" w:rsidP="002B7398">
      <w:pPr>
        <w:widowControl w:val="0"/>
        <w:shd w:val="clear" w:color="auto" w:fill="FFFFFF"/>
        <w:spacing w:after="0" w:line="240" w:lineRule="auto"/>
        <w:contextualSpacing/>
        <w:jc w:val="center"/>
        <w:rPr>
          <w:rFonts w:ascii="Times New Roman" w:hAnsi="Times New Roman"/>
          <w:kern w:val="36"/>
          <w:sz w:val="24"/>
          <w:szCs w:val="24"/>
          <w:lang w:eastAsia="ru-RU"/>
        </w:rPr>
      </w:pPr>
      <w:r>
        <w:rPr>
          <w:rFonts w:ascii="Times New Roman" w:hAnsi="Times New Roman"/>
          <w:kern w:val="36"/>
          <w:sz w:val="24"/>
          <w:szCs w:val="24"/>
          <w:lang w:eastAsia="ru-RU"/>
        </w:rPr>
        <w:t>бакалавр</w:t>
      </w:r>
    </w:p>
    <w:p w:rsidR="002B7398" w:rsidRPr="00A31194" w:rsidRDefault="002B7398" w:rsidP="002B7398">
      <w:pPr>
        <w:widowControl w:val="0"/>
        <w:shd w:val="clear" w:color="auto" w:fill="FFFFFF"/>
        <w:spacing w:after="0" w:line="240" w:lineRule="auto"/>
        <w:contextualSpacing/>
        <w:rPr>
          <w:rFonts w:ascii="Times New Roman" w:hAnsi="Times New Roman"/>
          <w:i/>
          <w:kern w:val="36"/>
          <w:sz w:val="24"/>
          <w:szCs w:val="24"/>
          <w:lang w:eastAsia="ru-RU"/>
        </w:rPr>
      </w:pPr>
    </w:p>
    <w:p w:rsidR="002B7398" w:rsidRPr="00A31194" w:rsidRDefault="002B7398" w:rsidP="002B7398">
      <w:pPr>
        <w:widowControl w:val="0"/>
        <w:shd w:val="clear" w:color="auto" w:fill="FFFFFF"/>
        <w:spacing w:after="0" w:line="240" w:lineRule="auto"/>
        <w:contextualSpacing/>
        <w:jc w:val="center"/>
        <w:rPr>
          <w:rFonts w:ascii="Times New Roman" w:hAnsi="Times New Roman"/>
          <w:i/>
          <w:kern w:val="36"/>
          <w:sz w:val="24"/>
          <w:szCs w:val="24"/>
          <w:lang w:eastAsia="ru-RU"/>
        </w:rPr>
      </w:pPr>
      <w:r w:rsidRPr="00A31194">
        <w:rPr>
          <w:rFonts w:ascii="Times New Roman" w:hAnsi="Times New Roman"/>
          <w:i/>
          <w:kern w:val="36"/>
          <w:sz w:val="24"/>
          <w:szCs w:val="24"/>
          <w:lang w:eastAsia="ru-RU"/>
        </w:rPr>
        <w:t>Владивостокский государственный университет экономики и сервиса</w:t>
      </w:r>
    </w:p>
    <w:p w:rsidR="002B7398" w:rsidRDefault="002B7398" w:rsidP="002B7398">
      <w:pPr>
        <w:widowControl w:val="0"/>
        <w:shd w:val="clear" w:color="auto" w:fill="FFFFFF"/>
        <w:spacing w:after="0" w:line="240" w:lineRule="auto"/>
        <w:contextualSpacing/>
        <w:jc w:val="center"/>
        <w:rPr>
          <w:rFonts w:ascii="Times New Roman" w:hAnsi="Times New Roman"/>
          <w:i/>
          <w:kern w:val="36"/>
          <w:sz w:val="24"/>
          <w:szCs w:val="24"/>
          <w:lang w:eastAsia="ru-RU"/>
        </w:rPr>
      </w:pPr>
      <w:r w:rsidRPr="00A31194">
        <w:rPr>
          <w:rFonts w:ascii="Times New Roman" w:hAnsi="Times New Roman"/>
          <w:i/>
          <w:kern w:val="36"/>
          <w:sz w:val="24"/>
          <w:szCs w:val="24"/>
          <w:lang w:eastAsia="ru-RU"/>
        </w:rPr>
        <w:t>Россия. Владивосток</w:t>
      </w:r>
    </w:p>
    <w:p w:rsidR="002B7398" w:rsidRDefault="002B7398" w:rsidP="002B7398">
      <w:pPr>
        <w:widowControl w:val="0"/>
        <w:shd w:val="clear" w:color="auto" w:fill="FFFFFF"/>
        <w:spacing w:after="0" w:line="240" w:lineRule="auto"/>
        <w:contextualSpacing/>
        <w:jc w:val="center"/>
        <w:rPr>
          <w:rFonts w:ascii="Times New Roman" w:hAnsi="Times New Roman"/>
          <w:kern w:val="36"/>
          <w:sz w:val="24"/>
          <w:szCs w:val="24"/>
          <w:lang w:eastAsia="ru-RU"/>
        </w:rPr>
      </w:pPr>
      <w:r w:rsidRPr="006B1D40">
        <w:rPr>
          <w:rFonts w:ascii="Times New Roman" w:hAnsi="Times New Roman"/>
          <w:kern w:val="36"/>
          <w:sz w:val="24"/>
          <w:szCs w:val="24"/>
          <w:lang w:val="fr-CI" w:eastAsia="ru-RU"/>
        </w:rPr>
        <w:t xml:space="preserve">E-mail: sfld@mail.ru; </w:t>
      </w:r>
      <w:r>
        <w:rPr>
          <w:rFonts w:ascii="Times New Roman" w:hAnsi="Times New Roman"/>
          <w:kern w:val="36"/>
          <w:sz w:val="24"/>
          <w:szCs w:val="24"/>
          <w:lang w:eastAsia="ru-RU"/>
        </w:rPr>
        <w:t>тел</w:t>
      </w:r>
      <w:r w:rsidRPr="006B1D40">
        <w:rPr>
          <w:rFonts w:ascii="Times New Roman" w:hAnsi="Times New Roman"/>
          <w:kern w:val="36"/>
          <w:sz w:val="24"/>
          <w:szCs w:val="24"/>
          <w:lang w:val="fr-CI" w:eastAsia="ru-RU"/>
        </w:rPr>
        <w:t>.: 8-996-424-35-15</w:t>
      </w:r>
    </w:p>
    <w:p w:rsidR="002B7398" w:rsidRPr="006B1D40" w:rsidRDefault="002B7398" w:rsidP="002B7398">
      <w:pPr>
        <w:widowControl w:val="0"/>
        <w:shd w:val="clear" w:color="auto" w:fill="FFFFFF"/>
        <w:spacing w:after="0" w:line="240" w:lineRule="auto"/>
        <w:contextualSpacing/>
        <w:jc w:val="center"/>
        <w:rPr>
          <w:rFonts w:ascii="Times New Roman" w:hAnsi="Times New Roman"/>
          <w:kern w:val="36"/>
          <w:sz w:val="24"/>
          <w:szCs w:val="24"/>
          <w:lang w:eastAsia="ru-RU"/>
        </w:rPr>
      </w:pPr>
      <w:r>
        <w:rPr>
          <w:rFonts w:ascii="Times New Roman" w:hAnsi="Times New Roman"/>
          <w:kern w:val="36"/>
          <w:sz w:val="24"/>
          <w:szCs w:val="24"/>
          <w:lang w:eastAsia="ru-RU"/>
        </w:rPr>
        <w:t>ул. Гоголя, 41, г. Владивосток, Приморский край, Россия, 690014</w:t>
      </w:r>
    </w:p>
    <w:p w:rsidR="002B7398" w:rsidRPr="006B1D40" w:rsidRDefault="002B7398" w:rsidP="002B7398">
      <w:pPr>
        <w:widowControl w:val="0"/>
        <w:shd w:val="clear" w:color="auto" w:fill="FFFFFF"/>
        <w:spacing w:after="0" w:line="240" w:lineRule="auto"/>
        <w:ind w:firstLine="567"/>
        <w:contextualSpacing/>
        <w:jc w:val="both"/>
        <w:rPr>
          <w:rFonts w:ascii="Times New Roman" w:hAnsi="Times New Roman"/>
          <w:i/>
          <w:kern w:val="36"/>
          <w:sz w:val="24"/>
          <w:szCs w:val="24"/>
          <w:lang w:eastAsia="ru-RU"/>
        </w:rPr>
      </w:pPr>
    </w:p>
    <w:p w:rsidR="002B7398" w:rsidRDefault="002B7398" w:rsidP="002B7398">
      <w:pPr>
        <w:widowControl w:val="0"/>
        <w:shd w:val="clear" w:color="auto" w:fill="FFFFFF"/>
        <w:spacing w:after="0" w:line="240" w:lineRule="auto"/>
        <w:ind w:firstLine="567"/>
        <w:contextualSpacing/>
        <w:jc w:val="both"/>
        <w:rPr>
          <w:rFonts w:ascii="Times New Roman" w:hAnsi="Times New Roman"/>
          <w:i/>
          <w:kern w:val="36"/>
          <w:sz w:val="24"/>
          <w:szCs w:val="24"/>
          <w:lang w:eastAsia="ru-RU"/>
        </w:rPr>
      </w:pPr>
      <w:r w:rsidRPr="002114B3">
        <w:rPr>
          <w:rFonts w:ascii="Times New Roman" w:hAnsi="Times New Roman"/>
          <w:i/>
          <w:kern w:val="36"/>
          <w:sz w:val="24"/>
          <w:szCs w:val="24"/>
          <w:lang w:eastAsia="ru-RU"/>
        </w:rPr>
        <w:t xml:space="preserve">Важной составляющей Арктической зоны Российской Федерации </w:t>
      </w:r>
      <w:r>
        <w:rPr>
          <w:rFonts w:ascii="Times New Roman" w:hAnsi="Times New Roman"/>
          <w:i/>
          <w:kern w:val="36"/>
          <w:sz w:val="24"/>
          <w:szCs w:val="24"/>
          <w:lang w:eastAsia="ru-RU"/>
        </w:rPr>
        <w:t>является</w:t>
      </w:r>
      <w:r w:rsidRPr="002114B3">
        <w:rPr>
          <w:rFonts w:ascii="Times New Roman" w:hAnsi="Times New Roman"/>
          <w:i/>
          <w:kern w:val="36"/>
          <w:sz w:val="24"/>
          <w:szCs w:val="24"/>
          <w:lang w:eastAsia="ru-RU"/>
        </w:rPr>
        <w:t xml:space="preserve"> Северный морской путь</w:t>
      </w:r>
      <w:r>
        <w:rPr>
          <w:rFonts w:ascii="Times New Roman" w:hAnsi="Times New Roman"/>
          <w:i/>
          <w:kern w:val="36"/>
          <w:sz w:val="24"/>
          <w:szCs w:val="24"/>
          <w:lang w:eastAsia="ru-RU"/>
        </w:rPr>
        <w:t>. Особо актуальна тема, связанная с правовым статусом и перспективами развития тем, что в настоящее время государство уделяет пристальное внимание развитию и освоению данной территории. Первостепенно задача состоит в выходе Северного морского пути на международный уровень, сохраняя национальные интересы государства.</w:t>
      </w:r>
    </w:p>
    <w:p w:rsidR="002B7398" w:rsidRPr="006B1D40" w:rsidRDefault="002B7398" w:rsidP="002B7398">
      <w:pPr>
        <w:widowControl w:val="0"/>
        <w:shd w:val="clear" w:color="auto" w:fill="FFFFFF"/>
        <w:spacing w:after="0" w:line="240" w:lineRule="auto"/>
        <w:ind w:firstLine="567"/>
        <w:contextualSpacing/>
        <w:jc w:val="both"/>
        <w:rPr>
          <w:rFonts w:ascii="Times New Roman" w:hAnsi="Times New Roman"/>
          <w:i/>
          <w:kern w:val="36"/>
          <w:sz w:val="24"/>
          <w:szCs w:val="24"/>
          <w:lang w:eastAsia="ru-RU"/>
        </w:rPr>
      </w:pPr>
    </w:p>
    <w:p w:rsidR="002B7398" w:rsidRPr="00A31194" w:rsidRDefault="002B7398" w:rsidP="002B7398">
      <w:pPr>
        <w:widowControl w:val="0"/>
        <w:shd w:val="clear" w:color="auto" w:fill="FFFFFF"/>
        <w:spacing w:after="0" w:line="240" w:lineRule="auto"/>
        <w:ind w:firstLine="567"/>
        <w:contextualSpacing/>
        <w:jc w:val="both"/>
        <w:rPr>
          <w:rFonts w:ascii="Times New Roman" w:hAnsi="Times New Roman"/>
          <w:i/>
          <w:kern w:val="36"/>
          <w:sz w:val="24"/>
          <w:szCs w:val="24"/>
          <w:lang w:eastAsia="ru-RU"/>
        </w:rPr>
      </w:pPr>
      <w:r w:rsidRPr="00B66E8F">
        <w:rPr>
          <w:rFonts w:ascii="Times New Roman" w:hAnsi="Times New Roman"/>
          <w:b/>
          <w:i/>
          <w:kern w:val="36"/>
          <w:sz w:val="24"/>
          <w:szCs w:val="24"/>
          <w:lang w:eastAsia="ru-RU"/>
        </w:rPr>
        <w:t>Ключевые слова и словосочетания</w:t>
      </w:r>
      <w:r>
        <w:rPr>
          <w:rFonts w:ascii="Times New Roman" w:hAnsi="Times New Roman"/>
          <w:i/>
          <w:kern w:val="36"/>
          <w:sz w:val="24"/>
          <w:szCs w:val="24"/>
          <w:lang w:eastAsia="ru-RU"/>
        </w:rPr>
        <w:t>: Северный морской путь,</w:t>
      </w:r>
      <w:r w:rsidRPr="00876542">
        <w:rPr>
          <w:rFonts w:ascii="Times New Roman" w:hAnsi="Times New Roman"/>
          <w:i/>
          <w:kern w:val="36"/>
          <w:sz w:val="24"/>
          <w:szCs w:val="24"/>
          <w:lang w:eastAsia="ru-RU"/>
        </w:rPr>
        <w:t xml:space="preserve"> правовой</w:t>
      </w:r>
      <w:r>
        <w:rPr>
          <w:rFonts w:ascii="Times New Roman" w:hAnsi="Times New Roman"/>
          <w:i/>
          <w:kern w:val="36"/>
          <w:sz w:val="24"/>
          <w:szCs w:val="24"/>
          <w:lang w:eastAsia="ru-RU"/>
        </w:rPr>
        <w:t>,</w:t>
      </w:r>
      <w:r w:rsidRPr="00876542">
        <w:rPr>
          <w:rFonts w:ascii="Times New Roman" w:hAnsi="Times New Roman"/>
          <w:i/>
          <w:kern w:val="36"/>
          <w:sz w:val="24"/>
          <w:szCs w:val="24"/>
          <w:lang w:eastAsia="ru-RU"/>
        </w:rPr>
        <w:t xml:space="preserve"> статус</w:t>
      </w:r>
      <w:r>
        <w:rPr>
          <w:rFonts w:ascii="Times New Roman" w:hAnsi="Times New Roman"/>
          <w:i/>
          <w:kern w:val="36"/>
          <w:sz w:val="24"/>
          <w:szCs w:val="24"/>
          <w:lang w:eastAsia="ru-RU"/>
        </w:rPr>
        <w:t>, страны АТР</w:t>
      </w:r>
      <w:r w:rsidRPr="00B66E8F">
        <w:rPr>
          <w:rFonts w:ascii="Times New Roman" w:hAnsi="Times New Roman"/>
          <w:i/>
          <w:kern w:val="36"/>
          <w:sz w:val="24"/>
          <w:szCs w:val="24"/>
          <w:lang w:eastAsia="ru-RU"/>
        </w:rPr>
        <w:t xml:space="preserve">, </w:t>
      </w:r>
      <w:r w:rsidRPr="00876542">
        <w:rPr>
          <w:rFonts w:ascii="Times New Roman" w:hAnsi="Times New Roman"/>
          <w:i/>
          <w:kern w:val="36"/>
          <w:sz w:val="24"/>
          <w:szCs w:val="24"/>
          <w:lang w:eastAsia="ru-RU"/>
        </w:rPr>
        <w:t>перспективы развития</w:t>
      </w:r>
      <w:r>
        <w:rPr>
          <w:rFonts w:ascii="Times New Roman" w:hAnsi="Times New Roman"/>
          <w:i/>
          <w:kern w:val="36"/>
          <w:sz w:val="24"/>
          <w:szCs w:val="24"/>
          <w:lang w:eastAsia="ru-RU"/>
        </w:rPr>
        <w:t>, сотрудничество.</w:t>
      </w:r>
    </w:p>
    <w:p w:rsidR="002B7398" w:rsidRPr="00A31194" w:rsidRDefault="002B7398" w:rsidP="002B7398">
      <w:pPr>
        <w:widowControl w:val="0"/>
        <w:shd w:val="clear" w:color="auto" w:fill="FFFFFF"/>
        <w:spacing w:after="0" w:line="240" w:lineRule="auto"/>
        <w:ind w:firstLine="567"/>
        <w:contextualSpacing/>
        <w:jc w:val="both"/>
        <w:rPr>
          <w:rFonts w:ascii="Times New Roman" w:hAnsi="Times New Roman"/>
          <w:i/>
          <w:kern w:val="36"/>
          <w:sz w:val="24"/>
          <w:szCs w:val="24"/>
          <w:lang w:eastAsia="ru-RU"/>
        </w:rPr>
      </w:pPr>
    </w:p>
    <w:p w:rsidR="002B7398" w:rsidRPr="00A31194" w:rsidRDefault="002B7398" w:rsidP="002B7398">
      <w:pPr>
        <w:widowControl w:val="0"/>
        <w:shd w:val="clear" w:color="auto" w:fill="FFFFFF"/>
        <w:spacing w:after="0" w:line="240" w:lineRule="auto"/>
        <w:ind w:firstLine="567"/>
        <w:contextualSpacing/>
        <w:jc w:val="both"/>
        <w:rPr>
          <w:rFonts w:ascii="Times New Roman" w:hAnsi="Times New Roman"/>
          <w:i/>
          <w:kern w:val="36"/>
          <w:sz w:val="24"/>
          <w:szCs w:val="24"/>
          <w:lang w:eastAsia="ru-RU"/>
        </w:rPr>
      </w:pPr>
    </w:p>
    <w:p w:rsidR="002B7398" w:rsidRPr="002B7398" w:rsidRDefault="002B7398" w:rsidP="002B7398">
      <w:pPr>
        <w:widowControl w:val="0"/>
        <w:shd w:val="clear" w:color="auto" w:fill="FFFFFF"/>
        <w:spacing w:after="0" w:line="240" w:lineRule="auto"/>
        <w:contextualSpacing/>
        <w:jc w:val="center"/>
        <w:rPr>
          <w:rFonts w:ascii="Times New Roman" w:hAnsi="Times New Roman"/>
          <w:b/>
          <w:kern w:val="36"/>
          <w:sz w:val="24"/>
          <w:szCs w:val="24"/>
          <w:lang w:val="en-US" w:eastAsia="ru-RU"/>
        </w:rPr>
      </w:pPr>
      <w:r w:rsidRPr="00E10F9C">
        <w:rPr>
          <w:rFonts w:ascii="Times New Roman" w:hAnsi="Times New Roman"/>
          <w:b/>
          <w:kern w:val="36"/>
          <w:sz w:val="24"/>
          <w:szCs w:val="24"/>
          <w:lang w:val="en-US" w:eastAsia="ru-RU"/>
        </w:rPr>
        <w:t>Legal Status of the Northern Sea Route: Prospects for Asia-Pacific Countries</w:t>
      </w:r>
    </w:p>
    <w:p w:rsidR="002B7398" w:rsidRPr="002B7398" w:rsidRDefault="002B7398" w:rsidP="002B7398">
      <w:pPr>
        <w:widowControl w:val="0"/>
        <w:shd w:val="clear" w:color="auto" w:fill="FFFFFF"/>
        <w:spacing w:after="0" w:line="240" w:lineRule="auto"/>
        <w:contextualSpacing/>
        <w:rPr>
          <w:rFonts w:ascii="Times New Roman" w:hAnsi="Times New Roman"/>
          <w:b/>
          <w:kern w:val="36"/>
          <w:sz w:val="24"/>
          <w:szCs w:val="24"/>
          <w:lang w:val="en-US" w:eastAsia="ru-RU"/>
        </w:rPr>
      </w:pPr>
    </w:p>
    <w:p w:rsidR="002B7398" w:rsidRPr="002B7398" w:rsidRDefault="002B7398" w:rsidP="002B7398">
      <w:pPr>
        <w:widowControl w:val="0"/>
        <w:shd w:val="clear" w:color="auto" w:fill="FFFFFF"/>
        <w:spacing w:after="0" w:line="240" w:lineRule="auto"/>
        <w:ind w:firstLine="708"/>
        <w:contextualSpacing/>
        <w:rPr>
          <w:rFonts w:ascii="Times New Roman" w:hAnsi="Times New Roman"/>
          <w:i/>
          <w:kern w:val="36"/>
          <w:sz w:val="24"/>
          <w:szCs w:val="24"/>
          <w:lang w:val="en-US" w:eastAsia="ru-RU"/>
        </w:rPr>
      </w:pPr>
      <w:r w:rsidRPr="00AF2FC5">
        <w:rPr>
          <w:rFonts w:ascii="Times New Roman" w:hAnsi="Times New Roman"/>
          <w:i/>
          <w:kern w:val="36"/>
          <w:sz w:val="24"/>
          <w:szCs w:val="24"/>
          <w:lang w:val="en-US" w:eastAsia="ru-RU"/>
        </w:rPr>
        <w:t>An important component of the Arctic zone of the Russian Federation is the Northern Sea Route. Particularly relevant is the topic related to the legal status and development prospects of the fact that at present the state pays close attention to the development and development of this territory. Primarily the task is to get the Northern Sea Route to the international level, while preserving the national interests of the state.</w:t>
      </w:r>
    </w:p>
    <w:p w:rsidR="002B7398" w:rsidRPr="002B7398" w:rsidRDefault="002B7398" w:rsidP="002B7398">
      <w:pPr>
        <w:widowControl w:val="0"/>
        <w:shd w:val="clear" w:color="auto" w:fill="FFFFFF"/>
        <w:spacing w:after="0" w:line="240" w:lineRule="auto"/>
        <w:ind w:firstLine="708"/>
        <w:contextualSpacing/>
        <w:rPr>
          <w:rFonts w:ascii="Times New Roman" w:hAnsi="Times New Roman"/>
          <w:i/>
          <w:kern w:val="36"/>
          <w:sz w:val="24"/>
          <w:szCs w:val="24"/>
          <w:lang w:val="en-US" w:eastAsia="ru-RU"/>
        </w:rPr>
      </w:pPr>
    </w:p>
    <w:p w:rsidR="002B7398" w:rsidRPr="002114B3" w:rsidRDefault="002B7398" w:rsidP="002B7398">
      <w:pPr>
        <w:widowControl w:val="0"/>
        <w:shd w:val="clear" w:color="auto" w:fill="FFFFFF"/>
        <w:spacing w:after="0" w:line="240" w:lineRule="auto"/>
        <w:ind w:firstLine="709"/>
        <w:contextualSpacing/>
        <w:jc w:val="both"/>
        <w:rPr>
          <w:rFonts w:ascii="Times New Roman" w:hAnsi="Times New Roman"/>
          <w:i/>
          <w:kern w:val="36"/>
          <w:sz w:val="24"/>
          <w:szCs w:val="24"/>
          <w:lang w:val="en-US" w:eastAsia="ru-RU"/>
        </w:rPr>
      </w:pPr>
      <w:r w:rsidRPr="00A31194">
        <w:rPr>
          <w:rFonts w:ascii="Times New Roman" w:hAnsi="Times New Roman"/>
          <w:b/>
          <w:i/>
          <w:kern w:val="36"/>
          <w:sz w:val="24"/>
          <w:szCs w:val="24"/>
          <w:lang w:val="en-US" w:eastAsia="ru-RU"/>
        </w:rPr>
        <w:t>Keywords</w:t>
      </w:r>
      <w:r w:rsidRPr="002114B3">
        <w:rPr>
          <w:rFonts w:ascii="Times New Roman" w:hAnsi="Times New Roman"/>
          <w:b/>
          <w:i/>
          <w:kern w:val="36"/>
          <w:sz w:val="24"/>
          <w:szCs w:val="24"/>
          <w:lang w:val="en-US" w:eastAsia="ru-RU"/>
        </w:rPr>
        <w:t xml:space="preserve"> </w:t>
      </w:r>
      <w:r w:rsidRPr="00544036">
        <w:rPr>
          <w:rFonts w:ascii="Times New Roman" w:hAnsi="Times New Roman"/>
          <w:b/>
          <w:i/>
          <w:kern w:val="36"/>
          <w:sz w:val="24"/>
          <w:szCs w:val="24"/>
          <w:lang w:val="en-US" w:eastAsia="ru-RU"/>
        </w:rPr>
        <w:t>and</w:t>
      </w:r>
      <w:r w:rsidRPr="002114B3">
        <w:rPr>
          <w:rFonts w:ascii="Times New Roman" w:hAnsi="Times New Roman"/>
          <w:b/>
          <w:i/>
          <w:kern w:val="36"/>
          <w:sz w:val="24"/>
          <w:szCs w:val="24"/>
          <w:lang w:val="en-US" w:eastAsia="ru-RU"/>
        </w:rPr>
        <w:t xml:space="preserve"> </w:t>
      </w:r>
      <w:r w:rsidRPr="00544036">
        <w:rPr>
          <w:rFonts w:ascii="Times New Roman" w:hAnsi="Times New Roman"/>
          <w:b/>
          <w:i/>
          <w:kern w:val="36"/>
          <w:sz w:val="24"/>
          <w:szCs w:val="24"/>
          <w:lang w:val="en-US" w:eastAsia="ru-RU"/>
        </w:rPr>
        <w:t>phrases</w:t>
      </w:r>
      <w:r w:rsidRPr="002114B3">
        <w:rPr>
          <w:rFonts w:ascii="Times New Roman" w:hAnsi="Times New Roman"/>
          <w:i/>
          <w:kern w:val="36"/>
          <w:sz w:val="24"/>
          <w:szCs w:val="24"/>
          <w:lang w:val="en-US" w:eastAsia="ru-RU"/>
        </w:rPr>
        <w:t>:</w:t>
      </w:r>
      <w:r w:rsidRPr="002114B3">
        <w:rPr>
          <w:lang w:val="en-US"/>
        </w:rPr>
        <w:t xml:space="preserve"> </w:t>
      </w:r>
      <w:r w:rsidRPr="002114B3">
        <w:rPr>
          <w:rFonts w:ascii="Times New Roman" w:hAnsi="Times New Roman"/>
          <w:i/>
          <w:sz w:val="24"/>
          <w:szCs w:val="24"/>
          <w:lang w:val="en-US"/>
        </w:rPr>
        <w:t>Northern Sea Route, legal, status, APR countries, development prospects, cooperation.</w:t>
      </w:r>
    </w:p>
    <w:p w:rsidR="002B7398" w:rsidRPr="002114B3" w:rsidRDefault="002B7398" w:rsidP="002B7398">
      <w:pPr>
        <w:widowControl w:val="0"/>
        <w:shd w:val="clear" w:color="auto" w:fill="FFFFFF"/>
        <w:spacing w:after="0" w:line="240" w:lineRule="auto"/>
        <w:ind w:firstLine="567"/>
        <w:contextualSpacing/>
        <w:jc w:val="both"/>
        <w:rPr>
          <w:rFonts w:ascii="Times New Roman" w:hAnsi="Times New Roman"/>
          <w:kern w:val="36"/>
          <w:sz w:val="24"/>
          <w:szCs w:val="24"/>
          <w:lang w:val="en-US" w:eastAsia="ru-RU"/>
        </w:rPr>
      </w:pPr>
    </w:p>
    <w:p w:rsidR="002B7398" w:rsidRPr="00DE5529"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kern w:val="36"/>
          <w:sz w:val="24"/>
          <w:szCs w:val="24"/>
          <w:lang w:eastAsia="ru-RU"/>
        </w:rPr>
      </w:pPr>
      <w:r w:rsidRPr="00DE5529">
        <w:rPr>
          <w:rFonts w:ascii="Times New Roman" w:hAnsi="Times New Roman"/>
          <w:kern w:val="36"/>
          <w:sz w:val="24"/>
          <w:szCs w:val="24"/>
          <w:lang w:eastAsia="ru-RU"/>
        </w:rPr>
        <w:t>Российская Федерация обладает самым протяженным арктическим побережьем относительно других прибрежных государств, имеющих выход к Северному Ледовитому океану. Важной составляющей Арктической зоны Российской Федерации можно по праву считать Северный морской путь (далее – СМП), который простирается с запада от берегов Кольского полуострова до Берингова пролива на востоке.</w:t>
      </w:r>
    </w:p>
    <w:p w:rsidR="002B7398" w:rsidRPr="00DE5529"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kern w:val="36"/>
          <w:sz w:val="24"/>
          <w:szCs w:val="24"/>
          <w:lang w:eastAsia="ru-RU"/>
        </w:rPr>
      </w:pPr>
      <w:r w:rsidRPr="00DE5529">
        <w:rPr>
          <w:rFonts w:ascii="Times New Roman" w:hAnsi="Times New Roman"/>
          <w:kern w:val="36"/>
          <w:sz w:val="24"/>
          <w:szCs w:val="24"/>
          <w:lang w:eastAsia="ru-RU"/>
        </w:rPr>
        <w:tab/>
        <w:t>Профессор А.В. Истомин отмечает значимость СМП, так как он оказывает влияние на экономическое развитие территории Арктики, способствует изучению природных ресурсов и вод Северного Ледовитого океана, а также наличие и развитие СЛО способствует формированию ледокольного флота Российской Федерации, строительству и воссозданию морских портов и транспортных судов. [1, с. 2]</w:t>
      </w:r>
    </w:p>
    <w:p w:rsidR="002B7398" w:rsidRPr="00DE5529"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kern w:val="36"/>
          <w:sz w:val="24"/>
          <w:szCs w:val="24"/>
          <w:lang w:eastAsia="ru-RU"/>
        </w:rPr>
      </w:pPr>
      <w:r w:rsidRPr="00DE5529">
        <w:rPr>
          <w:rFonts w:ascii="Times New Roman" w:hAnsi="Times New Roman"/>
          <w:kern w:val="36"/>
          <w:sz w:val="24"/>
          <w:szCs w:val="24"/>
          <w:lang w:eastAsia="ru-RU"/>
        </w:rPr>
        <w:tab/>
        <w:t>Свои права и вытекающие из этих прав обязанности по осуществлению деятельности в Арктической зоне и в отношении СЛО</w:t>
      </w:r>
      <w:r>
        <w:rPr>
          <w:rFonts w:ascii="Times New Roman" w:hAnsi="Times New Roman"/>
          <w:kern w:val="36"/>
          <w:sz w:val="24"/>
          <w:szCs w:val="24"/>
          <w:lang w:eastAsia="ru-RU"/>
        </w:rPr>
        <w:t xml:space="preserve"> Российская Федерация выражает в</w:t>
      </w:r>
      <w:r w:rsidRPr="00DE5529">
        <w:rPr>
          <w:rFonts w:ascii="Times New Roman" w:hAnsi="Times New Roman"/>
          <w:kern w:val="36"/>
          <w:sz w:val="24"/>
          <w:szCs w:val="24"/>
          <w:lang w:eastAsia="ru-RU"/>
        </w:rPr>
        <w:t xml:space="preserve"> различных нормативно-правовых актах. </w:t>
      </w:r>
    </w:p>
    <w:p w:rsidR="002B7398" w:rsidRPr="00DE5529"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kern w:val="36"/>
          <w:sz w:val="24"/>
          <w:szCs w:val="24"/>
          <w:lang w:eastAsia="ru-RU"/>
        </w:rPr>
      </w:pPr>
      <w:r w:rsidRPr="00DE5529">
        <w:rPr>
          <w:rFonts w:ascii="Times New Roman" w:hAnsi="Times New Roman"/>
          <w:kern w:val="36"/>
          <w:sz w:val="24"/>
          <w:szCs w:val="24"/>
          <w:lang w:eastAsia="ru-RU"/>
        </w:rPr>
        <w:tab/>
        <w:t>Пристальное внимание Правительство Российской Федерации уделяет развитию территории Арктики и СМП, так Президент Российской Федерации в своем Приказе-232 «Стратегия развития Арктической зоны Российской Федерации и обеспечения национальной безопасности  на период до 2020 года (утв. Президентом Российской Федерации от 8 февраля 2013 г. № Пр-232)» определил приоритетные направления развития Арктической зоны Российской Федерации и обеспечения национальной безопасности, начиная от комплексного социально-экономического развития Арктической зоны и заканчивая обеспечением военной безопасности, защиты и охраны государственной границы в Арктике [2, ст. 7].</w:t>
      </w:r>
    </w:p>
    <w:p w:rsidR="002B7398" w:rsidRPr="00DE5529"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kern w:val="36"/>
          <w:sz w:val="24"/>
          <w:szCs w:val="24"/>
          <w:lang w:eastAsia="ru-RU"/>
        </w:rPr>
      </w:pPr>
      <w:r w:rsidRPr="00DE5529">
        <w:rPr>
          <w:rFonts w:ascii="Times New Roman" w:hAnsi="Times New Roman"/>
          <w:kern w:val="36"/>
          <w:sz w:val="24"/>
          <w:szCs w:val="24"/>
          <w:lang w:eastAsia="ru-RU"/>
        </w:rPr>
        <w:tab/>
        <w:t xml:space="preserve">Как известно, СМП не имеет фиксированного проложенного пути, поэтому трасса может проходить как во внутренних водах и территориальном море Российской Федерации, так и в исключительной экономической зоне. Конвенцией ООН 1982 года по морскому праву определено, что в водах территориального моря суда пользуются правом мирного прохода [3, ст. 17], а в исключительной экономической зоне определяется свобода судоходства [3, ст. 58], и если путь проходит через внутренние воды, то применяется законодательство Российской Федерации </w:t>
      </w:r>
    </w:p>
    <w:p w:rsidR="002B7398" w:rsidRPr="00DE5529"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kern w:val="36"/>
          <w:sz w:val="24"/>
          <w:szCs w:val="24"/>
          <w:lang w:eastAsia="ru-RU"/>
        </w:rPr>
      </w:pPr>
      <w:r w:rsidRPr="00DE5529">
        <w:rPr>
          <w:rFonts w:ascii="Times New Roman" w:hAnsi="Times New Roman"/>
          <w:kern w:val="36"/>
          <w:sz w:val="24"/>
          <w:szCs w:val="24"/>
          <w:lang w:eastAsia="ru-RU"/>
        </w:rPr>
        <w:t>Одним из существенных и важных действий, которое предприняла Российская Федерация в отношении развития и  регламентации СМП, было утверждение новой редакции статьи 14 Федерального закона «О внутренних морских водах, территориальном море и прилежащей зоне Российской Федерации» от 31 июля 1998 г. № 155-ФЗ. Относительно СМП было определено, что «плавание в акватории Северного морского пути, исторически сложившейся национальной транспортной коммуникации Российской Федерации, осуществляется в соответствии с общепризнанными принципами и нормами международного права, международными договорами Российской Федерации, настоящим Федеральным законом, другими федеральными законами и издаваемыми в соответствии с ними иными нормативными правовыми актами» [4, ст. 14]. Тем самым было определено понятие СМП на законодательном уровне.</w:t>
      </w:r>
    </w:p>
    <w:p w:rsidR="002B7398" w:rsidRPr="00DE5529"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kern w:val="36"/>
          <w:sz w:val="24"/>
          <w:szCs w:val="24"/>
          <w:lang w:eastAsia="ru-RU"/>
        </w:rPr>
      </w:pPr>
      <w:r w:rsidRPr="00DE5529">
        <w:rPr>
          <w:rFonts w:ascii="Times New Roman" w:hAnsi="Times New Roman"/>
          <w:kern w:val="36"/>
          <w:sz w:val="24"/>
          <w:szCs w:val="24"/>
          <w:lang w:eastAsia="ru-RU"/>
        </w:rPr>
        <w:t>Для организации плавания судов в акватории СМП и обеспечения безопасности мореплавания и защиты морской среды от загрязнения с судов [5, ст.</w:t>
      </w:r>
      <w:r>
        <w:rPr>
          <w:rFonts w:ascii="Times New Roman" w:hAnsi="Times New Roman"/>
          <w:kern w:val="36"/>
          <w:sz w:val="24"/>
          <w:szCs w:val="24"/>
          <w:lang w:eastAsia="ru-RU"/>
        </w:rPr>
        <w:t xml:space="preserve"> </w:t>
      </w:r>
      <w:r w:rsidRPr="00DE5529">
        <w:rPr>
          <w:rFonts w:ascii="Times New Roman" w:hAnsi="Times New Roman"/>
          <w:kern w:val="36"/>
          <w:sz w:val="24"/>
          <w:szCs w:val="24"/>
          <w:lang w:eastAsia="ru-RU"/>
        </w:rPr>
        <w:t>2] была создана Администрация СЛО распоряжением Правительства Российской Федерации от 15 марта 2013 года № 358-р, а также были созданы Правила плавания в акватории СМП [6, ст. 1].</w:t>
      </w:r>
    </w:p>
    <w:p w:rsidR="002B7398" w:rsidRPr="00DE5529"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kern w:val="36"/>
          <w:sz w:val="24"/>
          <w:szCs w:val="24"/>
          <w:lang w:eastAsia="ru-RU"/>
        </w:rPr>
      </w:pPr>
      <w:r w:rsidRPr="00DE5529">
        <w:rPr>
          <w:rFonts w:ascii="Times New Roman" w:hAnsi="Times New Roman"/>
          <w:kern w:val="36"/>
          <w:sz w:val="24"/>
          <w:szCs w:val="24"/>
          <w:lang w:eastAsia="ru-RU"/>
        </w:rPr>
        <w:tab/>
        <w:t>В последнее время Российская Федерация уделяет достаточно большое внимание развитию Арктической зоны и национальной транспортной коммуникации - СМП в том числе. Но не только Российская Федерация прилагает усилия для этого, ряд стран с мощным финансовым потенциалом и высокой заинтересованностью также оказывают посильную помощь, желая получить доступ к СМП. И речь идет о странах Азиатско-Тихоокеанского региона. Ведь если осуществлять доставку груза через Северный Ледовитый океан по морскому пути значительно сокращается само время доставки, а за временем следует сокращение топлива и эксплуатационных расходов.</w:t>
      </w:r>
    </w:p>
    <w:p w:rsidR="002B7398" w:rsidRPr="00DE5529"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kern w:val="36"/>
          <w:sz w:val="24"/>
          <w:szCs w:val="24"/>
          <w:lang w:eastAsia="ru-RU"/>
        </w:rPr>
      </w:pPr>
      <w:r w:rsidRPr="00DE5529">
        <w:rPr>
          <w:rFonts w:ascii="Times New Roman" w:hAnsi="Times New Roman"/>
          <w:kern w:val="36"/>
          <w:sz w:val="24"/>
          <w:szCs w:val="24"/>
          <w:lang w:eastAsia="ru-RU"/>
        </w:rPr>
        <w:t>Для реализации государственной политики Российской Федерации на территории Арктики был разработан поэтапный план, которые способствует поддержанию намеченного пути и скорейшему достижению намеченных целей. Этот план включает некоторые этапы, которые могут положительно повлиять на положение стран АТР, это и международное сотрудничество с иностранными государствами, и финансирование целевых программ из внебюджетных источников [7, ст. 11].</w:t>
      </w:r>
    </w:p>
    <w:p w:rsidR="002B7398" w:rsidRPr="00DE5529"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kern w:val="36"/>
          <w:sz w:val="24"/>
          <w:szCs w:val="24"/>
          <w:lang w:eastAsia="ru-RU"/>
        </w:rPr>
      </w:pPr>
      <w:r w:rsidRPr="00DE5529">
        <w:rPr>
          <w:rFonts w:ascii="Times New Roman" w:hAnsi="Times New Roman"/>
          <w:kern w:val="36"/>
          <w:sz w:val="24"/>
          <w:szCs w:val="24"/>
          <w:lang w:eastAsia="ru-RU"/>
        </w:rPr>
        <w:t xml:space="preserve">В настоящий момент сырье и материалы Азиатско-Тихоокеанского региона транспортируются через Суэцкий канал. А это, во-первых, в разы увеличивает срок доставки груза и время транспортировки, во-вторых, террористические акты и деятельность пиратов подрывает безопасность доставки груза по данному пути. </w:t>
      </w:r>
    </w:p>
    <w:p w:rsidR="002B7398" w:rsidRPr="00DE5529"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kern w:val="36"/>
          <w:sz w:val="24"/>
          <w:szCs w:val="24"/>
          <w:lang w:eastAsia="ru-RU"/>
        </w:rPr>
      </w:pPr>
      <w:r w:rsidRPr="00DE5529">
        <w:rPr>
          <w:rFonts w:ascii="Times New Roman" w:hAnsi="Times New Roman"/>
          <w:kern w:val="36"/>
          <w:sz w:val="24"/>
          <w:szCs w:val="24"/>
          <w:lang w:eastAsia="ru-RU"/>
        </w:rPr>
        <w:t>В 2012 году во Владивостоке прошел саммит АТЭС, где поднимался и обсуждался вопрос перспективных возможностей СМП. Тогда же была выражена мысль о привлечение иностранных партнеров и инвесторов для развития главного северного морского пути.</w:t>
      </w:r>
    </w:p>
    <w:p w:rsidR="002B7398" w:rsidRPr="00DE5529"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kern w:val="36"/>
          <w:sz w:val="24"/>
          <w:szCs w:val="24"/>
          <w:lang w:eastAsia="ru-RU"/>
        </w:rPr>
      </w:pPr>
      <w:r w:rsidRPr="00DE5529">
        <w:rPr>
          <w:rFonts w:ascii="Times New Roman" w:hAnsi="Times New Roman"/>
          <w:kern w:val="36"/>
          <w:sz w:val="24"/>
          <w:szCs w:val="24"/>
          <w:lang w:eastAsia="ru-RU"/>
        </w:rPr>
        <w:t>На сегодняшний день несколько государств заинтересованы и принимают активное участие в развитии судоходной магистрали. Одной из таких государств является страна восходящего солнца – Япония. Представители государства не раз положительно высказывались относительно перспектив и возможностей транспортировки груза через СМП, а также о выгодности и быстроте доставки товара в Европу и обратно.</w:t>
      </w:r>
    </w:p>
    <w:p w:rsidR="002B7398" w:rsidRPr="00DE5529"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kern w:val="36"/>
          <w:sz w:val="24"/>
          <w:szCs w:val="24"/>
          <w:lang w:eastAsia="ru-RU"/>
        </w:rPr>
      </w:pPr>
      <w:r w:rsidRPr="00DE5529">
        <w:rPr>
          <w:rFonts w:ascii="Times New Roman" w:hAnsi="Times New Roman"/>
          <w:kern w:val="36"/>
          <w:sz w:val="24"/>
          <w:szCs w:val="24"/>
          <w:lang w:eastAsia="ru-RU"/>
        </w:rPr>
        <w:t>Также, на использование СМП претендует Китай. Несмотря на то, что это государство разрабатывает свой «Морской шелковый путь», который должен соединить Азию с Европой по южному маршруту, государство не раз проявляло интерес к СМП. С учетом таянья льдов и глобального потепления Китай проявляет заинтересованность и оказывает посильную помощь в развитии морской магистрали.</w:t>
      </w:r>
    </w:p>
    <w:p w:rsidR="002B7398" w:rsidRPr="00DE5529"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kern w:val="36"/>
          <w:sz w:val="24"/>
          <w:szCs w:val="24"/>
          <w:lang w:eastAsia="ru-RU"/>
        </w:rPr>
      </w:pPr>
      <w:r w:rsidRPr="00DE5529">
        <w:rPr>
          <w:rFonts w:ascii="Times New Roman" w:hAnsi="Times New Roman"/>
          <w:kern w:val="36"/>
          <w:sz w:val="24"/>
          <w:szCs w:val="24"/>
          <w:lang w:eastAsia="ru-RU"/>
        </w:rPr>
        <w:t>А. В Пиковская утверждает, что «актуальность СМП явилась результатом возрастания его роли и в глобальной торговле: выгодная альтернатива более протяженным южным путям и богатые месторождения газа и нефти на маршруте делают его привлекательным не только для российских компаний, но и для всего мирового сообщества. Этому в немалой степени поспособствовало таяние льдов, как следствие глобального потепления, и увеличение присутствия приполярных держав в Арктическом регионе, что уже предполагает поиск трансарктических проходов и удобных судоходных артерий для переправки грузов. Подобная перспектива не могла долго оставаться вне поля зрения и государств АТР, так как использование пути для доставки энергоресурсов и укрепление торговых связей с северными странами стали бы гарантией благополучия и дальнейшего развития этого региона. Понимая его важность, китайская корпорация CNPC в 2010 году подписала соглашение «О долгосрочном стратегическом партнерстве» с российским Совкомфлотом, где обговаривалось использование СМП» [8, с. 343].</w:t>
      </w:r>
    </w:p>
    <w:p w:rsidR="002B7398" w:rsidRPr="00DE5529"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kern w:val="36"/>
          <w:sz w:val="24"/>
          <w:szCs w:val="24"/>
          <w:lang w:eastAsia="ru-RU"/>
        </w:rPr>
      </w:pPr>
      <w:r w:rsidRPr="00DE5529">
        <w:rPr>
          <w:rFonts w:ascii="Times New Roman" w:hAnsi="Times New Roman"/>
          <w:kern w:val="36"/>
          <w:sz w:val="24"/>
          <w:szCs w:val="24"/>
          <w:lang w:eastAsia="ru-RU"/>
        </w:rPr>
        <w:t>В современных условиях роль СМП значительно возрастает, поскольку освоение природных ресурсов Арктики, укрепление обороноспособности северных рубежей России без создания надёжной транспортной инфраструктуры невозможно. По этому поводу В.С. Селин полагал, что «роль и значение СМП в хозяйственном развитии северных территорий России первостепенно определяется потребностями промышленного освоения и успешного функционирования хозяйственных комплексов, прилегающих к СМП районов арктического побережья, как важнейшего фактора обеспечения национальной, геополитической и экономиче</w:t>
      </w:r>
      <w:r>
        <w:rPr>
          <w:rFonts w:ascii="Times New Roman" w:hAnsi="Times New Roman"/>
          <w:kern w:val="36"/>
          <w:sz w:val="24"/>
          <w:szCs w:val="24"/>
          <w:lang w:eastAsia="ru-RU"/>
        </w:rPr>
        <w:t>ской безопасности» [1</w:t>
      </w:r>
      <w:r w:rsidRPr="00DE5529">
        <w:rPr>
          <w:rFonts w:ascii="Times New Roman" w:hAnsi="Times New Roman"/>
          <w:kern w:val="36"/>
          <w:sz w:val="24"/>
          <w:szCs w:val="24"/>
          <w:lang w:eastAsia="ru-RU"/>
        </w:rPr>
        <w:t>, с. 2]. Исключительно важно повышение роли СМП для международных транзитных перевозок между европейскими портами и портами Азиатско-Тихоокеанского региона.</w:t>
      </w:r>
    </w:p>
    <w:p w:rsidR="002B7398" w:rsidRPr="00DE5529"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kern w:val="36"/>
          <w:sz w:val="24"/>
          <w:szCs w:val="24"/>
          <w:lang w:eastAsia="ru-RU"/>
        </w:rPr>
      </w:pPr>
      <w:r w:rsidRPr="00DE5529">
        <w:rPr>
          <w:rFonts w:ascii="Times New Roman" w:hAnsi="Times New Roman"/>
          <w:kern w:val="36"/>
          <w:sz w:val="24"/>
          <w:szCs w:val="24"/>
          <w:lang w:eastAsia="ru-RU"/>
        </w:rPr>
        <w:t>Ввиду достаточно быстрого развития в экономическом плане Азиатско-Тихоокеанского региона и заявления некоторых стран о потенциальном сотрудничестве в развитии и совершенствовании СМП, можно полагать, что представленный симбиоз может принести весомым клад в бюджет Российской Федерации. А развитие СМП может дать колоссальный шаг в развитии не только Дальнего Востока и района Севера, но и укрепить экономическое положения государства в целом.</w:t>
      </w:r>
    </w:p>
    <w:p w:rsidR="002B7398" w:rsidRPr="00DE5529"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kern w:val="36"/>
          <w:sz w:val="24"/>
          <w:szCs w:val="24"/>
          <w:lang w:eastAsia="ru-RU"/>
        </w:rPr>
      </w:pPr>
      <w:r w:rsidRPr="00DE5529">
        <w:rPr>
          <w:rFonts w:ascii="Times New Roman" w:hAnsi="Times New Roman"/>
          <w:kern w:val="36"/>
          <w:sz w:val="24"/>
          <w:szCs w:val="24"/>
          <w:lang w:eastAsia="ru-RU"/>
        </w:rPr>
        <w:t>С одной стороны сотрудничество с иностранными государствами, возможность осуществления ими деятельности на СМП оказывает положительное влияние на международные взаимоотношения в целом и развитие СМП уже не как национальной транспортной коммуникации, а выход на международный уровень. Но с другой стороны такое положение вещей может пошатнуть позиции российских судоходных компаний, а также уменьшить объем отечественных морских перевозок. Поэтому, уже в конце 2017 года Президентом Российской Федерации было принято решение наделить суда под российским флагом исключительным правом на перевозку нефти и  газа, тем самым дать возможность российским компаниям совершенствоваться и укреплять свои позиции.</w:t>
      </w:r>
    </w:p>
    <w:p w:rsidR="002B7398" w:rsidRPr="00DE5529"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kern w:val="36"/>
          <w:sz w:val="24"/>
          <w:szCs w:val="24"/>
          <w:lang w:eastAsia="ru-RU"/>
        </w:rPr>
      </w:pPr>
      <w:r w:rsidRPr="00DE5529">
        <w:rPr>
          <w:rFonts w:ascii="Times New Roman" w:hAnsi="Times New Roman"/>
          <w:kern w:val="36"/>
          <w:sz w:val="24"/>
          <w:szCs w:val="24"/>
          <w:lang w:eastAsia="ru-RU"/>
        </w:rPr>
        <w:t xml:space="preserve"> Казалось бы, еще несколько лет назад сотрудничество с рядом иностранных государств предрекало развитие и повышение конкурентоспособности СМП, а уже сегодня это становится ощутимой проблемой для государства. Дело в том, что проблемы, вызванные переводом морских судов из-под национальной юрисдикции, увеличивают зависимость экономики от импорта морских транспортных услуг: российские внешнеторговые грузы перевозят суда под флагами иностранных государств, и именно в их бюджеты уходят налоги и другие поступления от этих перевозок. Это потеря рабочих мест для российских моряков, вынужденных искать работу на судах под иностранными флагами. В связи с этим в начале 2018 года Минпромторг при поддержке Минтранса и Минэнерго выступили с законодательной инициативой о запрете судам перевозить грузы по СМП под иностранным флагом. Представляется, что это один из тех законодательных шагов, которые помогут уравновесить импорт транспортных услуг, увеличить доходы в бюджет страны, которые могут пойти на развитие и совершенствование ледокольного и морского флота Российской Федерации, повысить конкурентоспособность российских судоходных компаний</w:t>
      </w:r>
    </w:p>
    <w:p w:rsidR="002B7398" w:rsidRPr="00DE5529"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kern w:val="36"/>
          <w:sz w:val="24"/>
          <w:szCs w:val="24"/>
          <w:lang w:eastAsia="ru-RU"/>
        </w:rPr>
      </w:pPr>
      <w:r w:rsidRPr="00DE5529">
        <w:rPr>
          <w:rFonts w:ascii="Times New Roman" w:hAnsi="Times New Roman"/>
          <w:kern w:val="36"/>
          <w:sz w:val="24"/>
          <w:szCs w:val="24"/>
          <w:lang w:eastAsia="ru-RU"/>
        </w:rPr>
        <w:t>Подводя итоги, представляется важным и целесообразным развивать сотрудничество со странами Азиатско-Тихоокеанского региона, потому что при достижении взаимопонимания и для достижения общих целей, такое сотрудничество поможет Российской Федерации поднять СМП на международный уровень, повысить экономический уровень государства, а также развить территорию Арктики. У стран Азиатско-Тихоокеанского региона появится возможность экономить время в пути при доставки грузов, уменьшить время и денежные расходы на транспортировку, но любое сотрудничество на международном уровне не должно ухудшать положения Российской Федерации, поэтому при принятии решений в отношении СМП нужно, прежде всего, руководствоваться национальными, государственными интересами страны, укреплять свои позиции за счет сотрудничества и не в коем случае не действовать в ущерб государству.</w:t>
      </w:r>
    </w:p>
    <w:p w:rsidR="002B7398" w:rsidRPr="00A31194"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sz w:val="24"/>
          <w:szCs w:val="24"/>
          <w:lang w:eastAsia="ru-RU"/>
        </w:rPr>
      </w:pPr>
      <w:r>
        <w:rPr>
          <w:rFonts w:ascii="Times New Roman" w:hAnsi="Times New Roman"/>
          <w:sz w:val="24"/>
          <w:szCs w:val="24"/>
          <w:lang w:eastAsia="ru-RU"/>
        </w:rPr>
        <w:t>__________________________________________________________________________</w:t>
      </w:r>
    </w:p>
    <w:p w:rsidR="002B7398" w:rsidRPr="00080B74" w:rsidRDefault="002B7398" w:rsidP="002B7398">
      <w:pPr>
        <w:widowControl w:val="0"/>
        <w:spacing w:after="0" w:line="240" w:lineRule="auto"/>
        <w:ind w:firstLine="709"/>
        <w:contextualSpacing/>
        <w:jc w:val="both"/>
        <w:rPr>
          <w:rFonts w:ascii="Times New Roman" w:hAnsi="Times New Roman"/>
          <w:sz w:val="24"/>
          <w:szCs w:val="24"/>
          <w:lang w:eastAsia="ru-RU"/>
        </w:rPr>
      </w:pPr>
      <w:r w:rsidRPr="00080B74">
        <w:rPr>
          <w:rFonts w:ascii="Times New Roman" w:hAnsi="Times New Roman"/>
          <w:sz w:val="24"/>
          <w:szCs w:val="24"/>
          <w:lang w:eastAsia="ru-RU"/>
        </w:rPr>
        <w:t>1</w:t>
      </w:r>
      <w:r>
        <w:rPr>
          <w:rFonts w:ascii="Times New Roman" w:hAnsi="Times New Roman"/>
          <w:sz w:val="24"/>
          <w:szCs w:val="24"/>
          <w:lang w:eastAsia="ru-RU"/>
        </w:rPr>
        <w:t>.</w:t>
      </w:r>
      <w:r w:rsidRPr="00080B74">
        <w:rPr>
          <w:rFonts w:ascii="Times New Roman" w:hAnsi="Times New Roman"/>
          <w:sz w:val="24"/>
          <w:szCs w:val="24"/>
          <w:lang w:eastAsia="ru-RU"/>
        </w:rPr>
        <w:t xml:space="preserve"> </w:t>
      </w:r>
      <w:r w:rsidRPr="007D2D52">
        <w:rPr>
          <w:rFonts w:ascii="Times New Roman" w:hAnsi="Times New Roman"/>
          <w:sz w:val="24"/>
          <w:szCs w:val="24"/>
          <w:lang w:eastAsia="ru-RU"/>
        </w:rPr>
        <w:t>Селин В.С., Истомин А.В., Павлов К.В. Северный морской путь - важнейший фактор развития морехозяйственных связей в Российской Арктике [Электронный ресурс] / В.С. Селин, А.В. Истомин, К.В. Павлов // Научная электронная библиотека «КиберЛенинка». – 2008. –2-7.  – Режим доступа: https://cyberleninka.ru/article/n/severnyy-morskoy-put-vazhneyshiy-faktor-razvitiya-morehozyaystvennyh-svyazey-v-rossiyskoy-arktike.</w:t>
      </w:r>
    </w:p>
    <w:p w:rsidR="002B7398" w:rsidRPr="00080B74" w:rsidRDefault="002B7398" w:rsidP="002B7398">
      <w:pPr>
        <w:widowControl w:val="0"/>
        <w:spacing w:after="0" w:line="240" w:lineRule="auto"/>
        <w:ind w:firstLine="709"/>
        <w:contextualSpacing/>
        <w:jc w:val="both"/>
        <w:rPr>
          <w:rFonts w:ascii="Times New Roman" w:hAnsi="Times New Roman"/>
          <w:sz w:val="24"/>
          <w:szCs w:val="24"/>
          <w:lang w:eastAsia="ru-RU"/>
        </w:rPr>
      </w:pPr>
      <w:r w:rsidRPr="00080B74">
        <w:rPr>
          <w:rFonts w:ascii="Times New Roman" w:hAnsi="Times New Roman"/>
          <w:sz w:val="24"/>
          <w:szCs w:val="24"/>
          <w:lang w:eastAsia="ru-RU"/>
        </w:rPr>
        <w:t>2</w:t>
      </w:r>
      <w:r>
        <w:rPr>
          <w:rFonts w:ascii="Times New Roman" w:hAnsi="Times New Roman"/>
          <w:sz w:val="24"/>
          <w:szCs w:val="24"/>
          <w:lang w:eastAsia="ru-RU"/>
        </w:rPr>
        <w:t xml:space="preserve">. </w:t>
      </w:r>
      <w:r w:rsidRPr="00876542">
        <w:rPr>
          <w:rFonts w:ascii="Times New Roman" w:hAnsi="Times New Roman"/>
          <w:sz w:val="24"/>
          <w:szCs w:val="24"/>
          <w:lang w:eastAsia="ru-RU"/>
        </w:rPr>
        <w:t>Стратегия развития Арктической зоны Российской Федерации и обеспечения национальной безопасности на период до 2020 года (утв. Президентом Российской Федерации от 8 февраля 2013 г. № Пр-232): Приказ от 8.02.2013 г. № Пр-232 [Электронный ресурс] // СПС «Гарант». – Режим доступа: http://base.garant.ru/71796486/.</w:t>
      </w:r>
    </w:p>
    <w:p w:rsidR="002B7398" w:rsidRDefault="002B7398" w:rsidP="002B7398">
      <w:pPr>
        <w:widowControl w:val="0"/>
        <w:spacing w:after="0" w:line="240" w:lineRule="auto"/>
        <w:ind w:firstLine="709"/>
        <w:contextualSpacing/>
        <w:jc w:val="both"/>
        <w:rPr>
          <w:rFonts w:ascii="Times New Roman" w:hAnsi="Times New Roman"/>
          <w:sz w:val="24"/>
          <w:szCs w:val="24"/>
          <w:lang w:eastAsia="ru-RU"/>
        </w:rPr>
      </w:pPr>
      <w:r>
        <w:rPr>
          <w:rFonts w:ascii="Times New Roman" w:hAnsi="Times New Roman"/>
          <w:sz w:val="24"/>
          <w:szCs w:val="24"/>
          <w:lang w:eastAsia="ru-RU"/>
        </w:rPr>
        <w:t xml:space="preserve">3. </w:t>
      </w:r>
      <w:r w:rsidRPr="00876542">
        <w:rPr>
          <w:rFonts w:ascii="Times New Roman" w:hAnsi="Times New Roman"/>
          <w:sz w:val="24"/>
          <w:szCs w:val="24"/>
          <w:lang w:eastAsia="ru-RU"/>
        </w:rPr>
        <w:t>Конвенция ООН по морскому праву 1982 года [Электронный ресурс] // Организация Объединенных наций: офиц. сайт. – Режим доступа: http://www.un.org/ru/documents/decl_conv/conventions/lawsea.shtml.</w:t>
      </w:r>
    </w:p>
    <w:p w:rsidR="002B7398" w:rsidRPr="00080B74" w:rsidRDefault="002B7398" w:rsidP="002B7398">
      <w:pPr>
        <w:widowControl w:val="0"/>
        <w:spacing w:after="0" w:line="240" w:lineRule="auto"/>
        <w:ind w:firstLine="709"/>
        <w:contextualSpacing/>
        <w:jc w:val="both"/>
        <w:rPr>
          <w:rFonts w:ascii="Times New Roman" w:hAnsi="Times New Roman"/>
          <w:sz w:val="24"/>
          <w:szCs w:val="24"/>
          <w:lang w:eastAsia="ru-RU"/>
        </w:rPr>
      </w:pPr>
      <w:r>
        <w:rPr>
          <w:rFonts w:ascii="Times New Roman" w:hAnsi="Times New Roman"/>
          <w:sz w:val="24"/>
          <w:szCs w:val="24"/>
          <w:lang w:eastAsia="ru-RU"/>
        </w:rPr>
        <w:t>4.</w:t>
      </w:r>
      <w:r w:rsidRPr="007D2D52">
        <w:t xml:space="preserve"> </w:t>
      </w:r>
      <w:r w:rsidRPr="00876542">
        <w:rPr>
          <w:rFonts w:ascii="Times New Roman" w:hAnsi="Times New Roman"/>
          <w:sz w:val="24"/>
          <w:szCs w:val="24"/>
          <w:lang w:eastAsia="ru-RU"/>
        </w:rPr>
        <w:t>О внутренних морских водах, территориальном море и прилежащей зоне Российской Федерации: федеральный закон от 31 июля 1998 г. № 155-ФЗ [Электронный ресурс] // СПС «Гарант». – Режим доступа: http://base.garant.ru/12112602/.</w:t>
      </w:r>
    </w:p>
    <w:p w:rsidR="002B7398" w:rsidRPr="00573D7D" w:rsidRDefault="002B7398" w:rsidP="002B7398">
      <w:pPr>
        <w:widowControl w:val="0"/>
        <w:spacing w:after="0" w:line="240" w:lineRule="auto"/>
        <w:ind w:firstLine="709"/>
        <w:contextualSpacing/>
        <w:jc w:val="both"/>
        <w:rPr>
          <w:rFonts w:ascii="Times New Roman" w:hAnsi="Times New Roman"/>
          <w:sz w:val="24"/>
          <w:szCs w:val="24"/>
          <w:lang w:eastAsia="ru-RU"/>
        </w:rPr>
      </w:pPr>
      <w:r>
        <w:rPr>
          <w:rFonts w:ascii="Times New Roman" w:hAnsi="Times New Roman"/>
          <w:sz w:val="24"/>
          <w:szCs w:val="24"/>
          <w:lang w:eastAsia="ru-RU"/>
        </w:rPr>
        <w:t>5.</w:t>
      </w:r>
      <w:r w:rsidRPr="00573D7D">
        <w:rPr>
          <w:rFonts w:ascii="Times New Roman" w:hAnsi="Times New Roman"/>
          <w:sz w:val="24"/>
          <w:szCs w:val="24"/>
          <w:lang w:eastAsia="ru-RU"/>
        </w:rPr>
        <w:t xml:space="preserve"> </w:t>
      </w:r>
      <w:r w:rsidRPr="00876542">
        <w:rPr>
          <w:rFonts w:ascii="Times New Roman" w:hAnsi="Times New Roman"/>
          <w:sz w:val="24"/>
          <w:szCs w:val="24"/>
          <w:lang w:eastAsia="ru-RU"/>
        </w:rPr>
        <w:t>О создании федерального государственного казенного учреждения «Администрация Северного морского пути»: распоряжение Правительства Российской Федерации от 15 марта 2013 года № 358-р [Электронный ресурс] // СПС «Гарант». – Режим доступа: http: //base.garant.ru/70335828/.</w:t>
      </w:r>
    </w:p>
    <w:p w:rsidR="002B7398" w:rsidRPr="00573D7D" w:rsidRDefault="002B7398" w:rsidP="002B7398">
      <w:pPr>
        <w:widowControl w:val="0"/>
        <w:spacing w:after="0" w:line="240" w:lineRule="auto"/>
        <w:ind w:firstLine="709"/>
        <w:contextualSpacing/>
        <w:jc w:val="both"/>
        <w:rPr>
          <w:rFonts w:ascii="Times New Roman" w:hAnsi="Times New Roman"/>
          <w:sz w:val="24"/>
          <w:szCs w:val="24"/>
          <w:lang w:eastAsia="ru-RU"/>
        </w:rPr>
      </w:pPr>
      <w:r>
        <w:rPr>
          <w:rFonts w:ascii="Times New Roman" w:hAnsi="Times New Roman"/>
          <w:sz w:val="24"/>
          <w:szCs w:val="24"/>
          <w:lang w:eastAsia="ru-RU"/>
        </w:rPr>
        <w:t>6.</w:t>
      </w:r>
      <w:r w:rsidRPr="00573D7D">
        <w:rPr>
          <w:rFonts w:ascii="Times New Roman" w:hAnsi="Times New Roman"/>
          <w:sz w:val="24"/>
          <w:szCs w:val="24"/>
          <w:lang w:eastAsia="ru-RU"/>
        </w:rPr>
        <w:t xml:space="preserve"> </w:t>
      </w:r>
      <w:r w:rsidRPr="00876542">
        <w:rPr>
          <w:rFonts w:ascii="Times New Roman" w:hAnsi="Times New Roman"/>
          <w:sz w:val="24"/>
          <w:szCs w:val="24"/>
          <w:lang w:eastAsia="ru-RU"/>
        </w:rPr>
        <w:t>Об утверждении Правил плавания в акватории Северного морского пути: приказ Министерства транспорта РФ от 17 января 2013 г. № 7 [Электронный ресурс] // СПС «Гарант». – Режим доступа: http: http://base.garant.ru/70302484/.</w:t>
      </w:r>
    </w:p>
    <w:p w:rsidR="002B7398" w:rsidRPr="00573D7D" w:rsidRDefault="002B7398" w:rsidP="002B7398">
      <w:pPr>
        <w:widowControl w:val="0"/>
        <w:spacing w:after="0" w:line="240" w:lineRule="auto"/>
        <w:ind w:firstLine="709"/>
        <w:contextualSpacing/>
        <w:jc w:val="both"/>
        <w:rPr>
          <w:rFonts w:ascii="Times New Roman" w:hAnsi="Times New Roman"/>
          <w:sz w:val="24"/>
          <w:szCs w:val="24"/>
          <w:lang w:eastAsia="ru-RU"/>
        </w:rPr>
      </w:pPr>
      <w:r>
        <w:rPr>
          <w:rFonts w:ascii="Times New Roman" w:hAnsi="Times New Roman"/>
          <w:sz w:val="24"/>
          <w:szCs w:val="24"/>
          <w:lang w:eastAsia="ru-RU"/>
        </w:rPr>
        <w:t>7.</w:t>
      </w:r>
      <w:r w:rsidRPr="00573D7D">
        <w:rPr>
          <w:rFonts w:ascii="Times New Roman" w:hAnsi="Times New Roman"/>
          <w:sz w:val="24"/>
          <w:szCs w:val="24"/>
          <w:lang w:eastAsia="ru-RU"/>
        </w:rPr>
        <w:t xml:space="preserve"> </w:t>
      </w:r>
      <w:r w:rsidRPr="001859D1">
        <w:rPr>
          <w:rFonts w:ascii="Times New Roman" w:hAnsi="Times New Roman"/>
          <w:sz w:val="24"/>
          <w:szCs w:val="24"/>
          <w:lang w:eastAsia="ru-RU"/>
        </w:rPr>
        <w:t>Основы государственной политики Российской Федерации в Арктике на период до 2020 года и дальнейшую перспективу: приказ от 18.09.2008 г. № Пр-1969 [Электронный ресурс] // СПС «Гарант». – Режим доступа: http://base.garant.ru/195720/.</w:t>
      </w:r>
    </w:p>
    <w:p w:rsidR="002B7398" w:rsidRPr="00876542" w:rsidRDefault="002B7398" w:rsidP="002B7398">
      <w:pPr>
        <w:widowControl w:val="0"/>
        <w:spacing w:after="0" w:line="240" w:lineRule="auto"/>
        <w:ind w:firstLine="709"/>
        <w:contextualSpacing/>
        <w:jc w:val="both"/>
        <w:rPr>
          <w:rFonts w:ascii="Times New Roman" w:hAnsi="Times New Roman"/>
          <w:sz w:val="24"/>
          <w:szCs w:val="24"/>
          <w:lang w:eastAsia="ru-RU"/>
        </w:rPr>
      </w:pPr>
      <w:r w:rsidRPr="00CE3303">
        <w:rPr>
          <w:rFonts w:ascii="Times New Roman" w:hAnsi="Times New Roman"/>
          <w:sz w:val="24"/>
          <w:szCs w:val="24"/>
          <w:lang w:eastAsia="ru-RU"/>
        </w:rPr>
        <w:t>8. Пиковская</w:t>
      </w:r>
      <w:r w:rsidRPr="000B7C90">
        <w:rPr>
          <w:rFonts w:ascii="Times New Roman" w:hAnsi="Times New Roman"/>
          <w:sz w:val="24"/>
          <w:szCs w:val="24"/>
          <w:lang w:eastAsia="ru-RU"/>
        </w:rPr>
        <w:t xml:space="preserve"> А. В., Кулинич А. А. СМП: территория сотрудничества или конфликта? // </w:t>
      </w:r>
      <w:r>
        <w:rPr>
          <w:rFonts w:ascii="Times New Roman" w:hAnsi="Times New Roman"/>
          <w:sz w:val="24"/>
          <w:szCs w:val="24"/>
          <w:lang w:eastAsia="ru-RU"/>
        </w:rPr>
        <w:t>Научный журнал «Молодой ученый».</w:t>
      </w:r>
      <w:r w:rsidRPr="000B7C90">
        <w:rPr>
          <w:rFonts w:ascii="Times New Roman" w:hAnsi="Times New Roman"/>
          <w:sz w:val="24"/>
          <w:szCs w:val="24"/>
          <w:lang w:eastAsia="ru-RU"/>
        </w:rPr>
        <w:t xml:space="preserve"> –</w:t>
      </w:r>
      <w:r>
        <w:rPr>
          <w:rFonts w:ascii="Times New Roman" w:hAnsi="Times New Roman"/>
          <w:sz w:val="24"/>
          <w:szCs w:val="24"/>
          <w:lang w:eastAsia="ru-RU"/>
        </w:rPr>
        <w:t xml:space="preserve"> 2014</w:t>
      </w:r>
      <w:r w:rsidRPr="000B7C90">
        <w:rPr>
          <w:rFonts w:ascii="Times New Roman" w:hAnsi="Times New Roman"/>
          <w:sz w:val="24"/>
          <w:szCs w:val="24"/>
          <w:lang w:eastAsia="ru-RU"/>
        </w:rPr>
        <w:t>. –</w:t>
      </w:r>
      <w:r>
        <w:rPr>
          <w:rFonts w:ascii="Times New Roman" w:hAnsi="Times New Roman"/>
          <w:sz w:val="24"/>
          <w:szCs w:val="24"/>
          <w:lang w:eastAsia="ru-RU"/>
        </w:rPr>
        <w:t xml:space="preserve"> </w:t>
      </w:r>
      <w:r w:rsidRPr="000B7C90">
        <w:rPr>
          <w:rFonts w:ascii="Times New Roman" w:hAnsi="Times New Roman"/>
          <w:sz w:val="24"/>
          <w:szCs w:val="24"/>
          <w:lang w:eastAsia="ru-RU"/>
        </w:rPr>
        <w:t>343-345. –</w:t>
      </w:r>
      <w:r>
        <w:rPr>
          <w:rFonts w:ascii="Times New Roman" w:hAnsi="Times New Roman"/>
          <w:sz w:val="24"/>
          <w:szCs w:val="24"/>
          <w:lang w:eastAsia="ru-RU"/>
        </w:rPr>
        <w:t xml:space="preserve"> </w:t>
      </w:r>
      <w:r w:rsidRPr="000B7C90">
        <w:rPr>
          <w:rFonts w:ascii="Times New Roman" w:hAnsi="Times New Roman"/>
          <w:sz w:val="24"/>
          <w:szCs w:val="24"/>
          <w:lang w:eastAsia="ru-RU"/>
        </w:rPr>
        <w:t>Режим доступа:</w:t>
      </w:r>
      <w:r>
        <w:rPr>
          <w:rFonts w:ascii="Times New Roman" w:hAnsi="Times New Roman"/>
          <w:sz w:val="24"/>
          <w:szCs w:val="24"/>
          <w:lang w:eastAsia="ru-RU"/>
        </w:rPr>
        <w:t xml:space="preserve"> </w:t>
      </w:r>
      <w:r w:rsidRPr="00876542">
        <w:rPr>
          <w:rFonts w:ascii="Times New Roman" w:hAnsi="Times New Roman"/>
          <w:sz w:val="24"/>
          <w:szCs w:val="24"/>
          <w:lang w:eastAsia="ru-RU"/>
        </w:rPr>
        <w:t>https://moluch.ru/archive/71/12207/</w:t>
      </w:r>
      <w:r>
        <w:rPr>
          <w:rFonts w:ascii="Times New Roman" w:hAnsi="Times New Roman"/>
          <w:sz w:val="24"/>
          <w:szCs w:val="24"/>
          <w:lang w:eastAsia="ru-RU"/>
        </w:rPr>
        <w:t>.</w:t>
      </w: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2B7398" w:rsidRDefault="002B7398" w:rsidP="005E1201">
      <w:pPr>
        <w:pStyle w:val="af4"/>
        <w:spacing w:after="0" w:line="240" w:lineRule="auto"/>
        <w:ind w:left="0"/>
        <w:jc w:val="both"/>
        <w:rPr>
          <w:rFonts w:ascii="Times New Roman" w:eastAsia="Calibri" w:hAnsi="Times New Roman"/>
          <w:b/>
          <w:color w:val="000000"/>
          <w:sz w:val="20"/>
          <w:szCs w:val="20"/>
        </w:rPr>
      </w:pPr>
    </w:p>
    <w:p w:rsidR="002B7398" w:rsidRDefault="002B7398" w:rsidP="005E1201">
      <w:pPr>
        <w:pStyle w:val="af4"/>
        <w:spacing w:after="0" w:line="240" w:lineRule="auto"/>
        <w:ind w:left="0"/>
        <w:jc w:val="both"/>
        <w:rPr>
          <w:rFonts w:ascii="Times New Roman" w:eastAsia="Calibri" w:hAnsi="Times New Roman"/>
          <w:b/>
          <w:color w:val="000000"/>
          <w:sz w:val="20"/>
          <w:szCs w:val="20"/>
        </w:rPr>
      </w:pPr>
    </w:p>
    <w:p w:rsidR="002B7398" w:rsidRDefault="002B7398" w:rsidP="005E1201">
      <w:pPr>
        <w:pStyle w:val="af4"/>
        <w:spacing w:after="0" w:line="240" w:lineRule="auto"/>
        <w:ind w:left="0"/>
        <w:jc w:val="both"/>
        <w:rPr>
          <w:rFonts w:ascii="Times New Roman" w:eastAsia="Calibri" w:hAnsi="Times New Roman"/>
          <w:b/>
          <w:color w:val="000000"/>
          <w:sz w:val="20"/>
          <w:szCs w:val="20"/>
        </w:rPr>
      </w:pPr>
    </w:p>
    <w:p w:rsidR="002B7398" w:rsidRPr="003658B5" w:rsidRDefault="002B7398" w:rsidP="005E1201">
      <w:pPr>
        <w:pStyle w:val="af4"/>
        <w:spacing w:after="0" w:line="240" w:lineRule="auto"/>
        <w:ind w:left="0"/>
        <w:jc w:val="both"/>
        <w:rPr>
          <w:rFonts w:ascii="Times New Roman" w:eastAsia="Calibri" w:hAnsi="Times New Roman"/>
          <w:b/>
          <w:color w:val="000000"/>
          <w:sz w:val="20"/>
          <w:szCs w:val="20"/>
        </w:rPr>
      </w:pPr>
    </w:p>
    <w:p w:rsidR="00A17BCD" w:rsidRDefault="00A17BCD" w:rsidP="005E1201">
      <w:pPr>
        <w:pStyle w:val="af4"/>
        <w:spacing w:after="0" w:line="240" w:lineRule="auto"/>
        <w:ind w:left="0"/>
        <w:jc w:val="both"/>
        <w:rPr>
          <w:rFonts w:ascii="Times New Roman" w:eastAsia="Calibri" w:hAnsi="Times New Roman"/>
          <w:b/>
          <w:color w:val="000000"/>
          <w:sz w:val="20"/>
          <w:szCs w:val="20"/>
        </w:rPr>
      </w:pP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color w:val="000000"/>
          <w:sz w:val="24"/>
          <w:szCs w:val="24"/>
        </w:rPr>
      </w:pPr>
      <w:bookmarkStart w:id="29" w:name="_Toc511329811"/>
      <w:r w:rsidRPr="00500AB2">
        <w:rPr>
          <w:rFonts w:ascii="Times New Roman" w:hAnsi="Times New Roman" w:cs="Times New Roman"/>
          <w:color w:val="000000"/>
          <w:sz w:val="24"/>
          <w:szCs w:val="24"/>
        </w:rPr>
        <w:t>Рубрика: Информационные технологии. Вычислительная техника. Обработка данных</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color w:val="000000"/>
          <w:sz w:val="24"/>
          <w:szCs w:val="24"/>
        </w:rPr>
      </w:pPr>
      <w:r w:rsidRPr="00500AB2">
        <w:rPr>
          <w:rFonts w:ascii="Times New Roman" w:hAnsi="Times New Roman" w:cs="Times New Roman"/>
          <w:color w:val="000000"/>
          <w:sz w:val="24"/>
          <w:szCs w:val="24"/>
        </w:rPr>
        <w:t>УДК 004</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color w:val="000000"/>
          <w:sz w:val="24"/>
          <w:szCs w:val="24"/>
        </w:rPr>
      </w:pPr>
      <w:r w:rsidRPr="00500AB2">
        <w:rPr>
          <w:rFonts w:ascii="Times New Roman" w:hAnsi="Times New Roman" w:cs="Times New Roman"/>
          <w:b/>
          <w:color w:val="000000"/>
          <w:sz w:val="24"/>
          <w:szCs w:val="24"/>
        </w:rPr>
        <w:t>Масштабируемая многослойная платформа</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color w:val="000000"/>
          <w:sz w:val="24"/>
          <w:szCs w:val="24"/>
        </w:rPr>
      </w:pPr>
      <w:r w:rsidRPr="00500AB2">
        <w:rPr>
          <w:rFonts w:ascii="Times New Roman" w:hAnsi="Times New Roman" w:cs="Times New Roman"/>
          <w:b/>
          <w:color w:val="000000"/>
          <w:sz w:val="24"/>
          <w:szCs w:val="24"/>
        </w:rPr>
        <w:t>для осуществления дистанционного банковского обслуживания</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color w:val="000000"/>
          <w:sz w:val="24"/>
          <w:szCs w:val="24"/>
        </w:rPr>
      </w:pPr>
      <w:r w:rsidRPr="00500AB2">
        <w:rPr>
          <w:rFonts w:ascii="Times New Roman" w:hAnsi="Times New Roman" w:cs="Times New Roman"/>
          <w:b/>
          <w:color w:val="000000"/>
          <w:sz w:val="24"/>
          <w:szCs w:val="24"/>
        </w:rPr>
        <w:t xml:space="preserve"> в режиме чата на базе популярных мессенджеров.</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tabs>
          <w:tab w:val="center" w:pos="4819"/>
          <w:tab w:val="left" w:pos="6792"/>
        </w:tabs>
        <w:spacing w:before="240" w:after="0" w:line="240" w:lineRule="auto"/>
        <w:rPr>
          <w:rFonts w:ascii="Times New Roman" w:hAnsi="Times New Roman" w:cs="Times New Roman"/>
          <w:i/>
          <w:color w:val="000000"/>
          <w:sz w:val="24"/>
          <w:szCs w:val="24"/>
        </w:rPr>
      </w:pPr>
      <w:r w:rsidRPr="00500AB2">
        <w:rPr>
          <w:rFonts w:ascii="Times New Roman" w:hAnsi="Times New Roman" w:cs="Times New Roman"/>
          <w:color w:val="000000"/>
          <w:sz w:val="24"/>
          <w:szCs w:val="24"/>
        </w:rPr>
        <w:tab/>
        <w:t xml:space="preserve">Руденко Евгений Олегович, </w:t>
      </w:r>
      <w:r w:rsidRPr="00500AB2">
        <w:rPr>
          <w:rFonts w:ascii="Times New Roman" w:hAnsi="Times New Roman" w:cs="Times New Roman"/>
          <w:i/>
          <w:color w:val="000000"/>
          <w:sz w:val="24"/>
          <w:szCs w:val="24"/>
        </w:rPr>
        <w:t>бакалавр</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color w:val="000000"/>
          <w:sz w:val="24"/>
          <w:szCs w:val="24"/>
        </w:rPr>
      </w:pPr>
      <w:r w:rsidRPr="00500AB2">
        <w:rPr>
          <w:rFonts w:ascii="Times New Roman" w:hAnsi="Times New Roman" w:cs="Times New Roman"/>
          <w:color w:val="000000"/>
          <w:sz w:val="24"/>
          <w:szCs w:val="24"/>
        </w:rPr>
        <w:t xml:space="preserve">Одияко Наталья Николаевна, </w:t>
      </w:r>
      <w:r w:rsidRPr="00500AB2">
        <w:rPr>
          <w:rFonts w:ascii="Times New Roman" w:hAnsi="Times New Roman" w:cs="Times New Roman"/>
          <w:i/>
          <w:color w:val="000000"/>
          <w:sz w:val="24"/>
          <w:szCs w:val="24"/>
        </w:rPr>
        <w:t>доцент</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color w:val="000000"/>
          <w:sz w:val="24"/>
          <w:szCs w:val="24"/>
        </w:rPr>
      </w:pPr>
      <w:r w:rsidRPr="00500AB2">
        <w:rPr>
          <w:rFonts w:ascii="Times New Roman" w:hAnsi="Times New Roman" w:cs="Times New Roman"/>
          <w:i/>
          <w:color w:val="000000"/>
          <w:sz w:val="24"/>
          <w:szCs w:val="24"/>
        </w:rPr>
        <w:t>Владивостокский государственный университет экономики и сервиса</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color w:val="000000"/>
          <w:sz w:val="24"/>
          <w:szCs w:val="24"/>
        </w:rPr>
      </w:pPr>
      <w:r w:rsidRPr="00500AB2">
        <w:rPr>
          <w:rFonts w:ascii="Times New Roman" w:hAnsi="Times New Roman" w:cs="Times New Roman"/>
          <w:i/>
          <w:color w:val="000000"/>
          <w:sz w:val="24"/>
          <w:szCs w:val="24"/>
        </w:rPr>
        <w:t>Россия. Владивосток</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color w:val="000000"/>
          <w:sz w:val="24"/>
          <w:szCs w:val="24"/>
        </w:rPr>
      </w:pPr>
      <w:r w:rsidRPr="00500AB2">
        <w:rPr>
          <w:rFonts w:ascii="Times New Roman" w:hAnsi="Times New Roman" w:cs="Times New Roman"/>
          <w:i/>
          <w:color w:val="000000"/>
          <w:sz w:val="24"/>
          <w:szCs w:val="24"/>
          <w:lang w:val="en-US"/>
        </w:rPr>
        <w:t>E</w:t>
      </w:r>
      <w:r w:rsidRPr="00500AB2">
        <w:rPr>
          <w:rFonts w:ascii="Times New Roman" w:hAnsi="Times New Roman" w:cs="Times New Roman"/>
          <w:i/>
          <w:color w:val="000000"/>
          <w:sz w:val="24"/>
          <w:szCs w:val="24"/>
        </w:rPr>
        <w:t>-</w:t>
      </w:r>
      <w:r w:rsidRPr="00500AB2">
        <w:rPr>
          <w:rFonts w:ascii="Times New Roman" w:hAnsi="Times New Roman" w:cs="Times New Roman"/>
          <w:i/>
          <w:color w:val="000000"/>
          <w:sz w:val="24"/>
          <w:szCs w:val="24"/>
          <w:lang w:val="en-US"/>
        </w:rPr>
        <w:t>mail</w:t>
      </w:r>
      <w:r w:rsidRPr="00500AB2">
        <w:rPr>
          <w:rFonts w:ascii="Times New Roman" w:hAnsi="Times New Roman" w:cs="Times New Roman"/>
          <w:i/>
          <w:color w:val="000000"/>
          <w:sz w:val="24"/>
          <w:szCs w:val="24"/>
        </w:rPr>
        <w:t xml:space="preserve">: </w:t>
      </w:r>
      <w:r w:rsidRPr="00500AB2">
        <w:rPr>
          <w:rFonts w:ascii="Times New Roman" w:hAnsi="Times New Roman" w:cs="Times New Roman"/>
          <w:i/>
          <w:color w:val="000000"/>
          <w:sz w:val="24"/>
          <w:szCs w:val="24"/>
          <w:lang w:val="en-US"/>
        </w:rPr>
        <w:t>Evgeniy</w:t>
      </w:r>
      <w:r w:rsidRPr="00500AB2">
        <w:rPr>
          <w:rFonts w:ascii="Times New Roman" w:hAnsi="Times New Roman" w:cs="Times New Roman"/>
          <w:i/>
          <w:color w:val="000000"/>
          <w:sz w:val="24"/>
          <w:szCs w:val="24"/>
        </w:rPr>
        <w:t>.</w:t>
      </w:r>
      <w:r w:rsidRPr="00500AB2">
        <w:rPr>
          <w:rFonts w:ascii="Times New Roman" w:hAnsi="Times New Roman" w:cs="Times New Roman"/>
          <w:i/>
          <w:color w:val="000000"/>
          <w:sz w:val="24"/>
          <w:szCs w:val="24"/>
          <w:lang w:val="en-US"/>
        </w:rPr>
        <w:t>Rudenko</w:t>
      </w:r>
      <w:r w:rsidRPr="00500AB2">
        <w:rPr>
          <w:rFonts w:ascii="Times New Roman" w:hAnsi="Times New Roman" w:cs="Times New Roman"/>
          <w:i/>
          <w:color w:val="000000"/>
          <w:sz w:val="24"/>
          <w:szCs w:val="24"/>
        </w:rPr>
        <w:t>@</w:t>
      </w:r>
      <w:r w:rsidRPr="00500AB2">
        <w:rPr>
          <w:rFonts w:ascii="Times New Roman" w:hAnsi="Times New Roman" w:cs="Times New Roman"/>
          <w:i/>
          <w:color w:val="000000"/>
          <w:sz w:val="24"/>
          <w:szCs w:val="24"/>
          <w:lang w:val="en-US"/>
        </w:rPr>
        <w:t>vvsu</w:t>
      </w:r>
      <w:r w:rsidRPr="00500AB2">
        <w:rPr>
          <w:rFonts w:ascii="Times New Roman" w:hAnsi="Times New Roman" w:cs="Times New Roman"/>
          <w:i/>
          <w:color w:val="000000"/>
          <w:sz w:val="24"/>
          <w:szCs w:val="24"/>
        </w:rPr>
        <w:t>.</w:t>
      </w:r>
      <w:r w:rsidRPr="00500AB2">
        <w:rPr>
          <w:rFonts w:ascii="Times New Roman" w:hAnsi="Times New Roman" w:cs="Times New Roman"/>
          <w:i/>
          <w:color w:val="000000"/>
          <w:sz w:val="24"/>
          <w:szCs w:val="24"/>
          <w:lang w:val="en-US"/>
        </w:rPr>
        <w:t>ru</w:t>
      </w:r>
      <w:r w:rsidRPr="00500AB2">
        <w:rPr>
          <w:rFonts w:ascii="Times New Roman" w:hAnsi="Times New Roman" w:cs="Times New Roman"/>
          <w:i/>
          <w:color w:val="000000"/>
          <w:sz w:val="24"/>
          <w:szCs w:val="24"/>
        </w:rPr>
        <w:t>; тел.: +79146899396</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color w:val="000000"/>
          <w:sz w:val="24"/>
          <w:szCs w:val="24"/>
        </w:rPr>
      </w:pPr>
      <w:r w:rsidRPr="00500AB2">
        <w:rPr>
          <w:rFonts w:ascii="Times New Roman" w:hAnsi="Times New Roman" w:cs="Times New Roman"/>
          <w:i/>
          <w:color w:val="000000"/>
          <w:sz w:val="24"/>
          <w:szCs w:val="24"/>
        </w:rPr>
        <w:t>ул. Гоголя, 41, г. Владивосток, Приморский край, Россия, 690014.</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color w:val="000000"/>
          <w:sz w:val="24"/>
          <w:szCs w:val="24"/>
        </w:rPr>
      </w:pP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i/>
          <w:color w:val="000000"/>
          <w:sz w:val="24"/>
          <w:szCs w:val="24"/>
        </w:rPr>
      </w:pPr>
      <w:r w:rsidRPr="00500AB2">
        <w:rPr>
          <w:rFonts w:ascii="Times New Roman" w:hAnsi="Times New Roman" w:cs="Times New Roman"/>
          <w:i/>
          <w:color w:val="000000"/>
          <w:sz w:val="24"/>
          <w:szCs w:val="24"/>
        </w:rPr>
        <w:t xml:space="preserve">Практика показывает, что чат с клиентами через мессенджеры прекрасно дополняет собой другие каналы связи с клиентами и, в ряде случаев, оказание поддержки посредством переписки в мессенджере является более удобным, чем звонок по телефону или электронное письмо. Система переписки с клиентами через мессенджеры использует мгновенные push-уведомления, то есть адресат сразу узнает о новом сообщении и быстро прочитает его. При поддержке через мессенджеры, такие как Viber или WhatsApp, клиента идентифицируют по номеру телефона, что обеспечивает надежный и долгосрочный контакт с ним, появляется возможность хранить историю взаимодействия. </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i/>
          <w:color w:val="000000"/>
          <w:sz w:val="24"/>
          <w:szCs w:val="24"/>
        </w:rPr>
      </w:pP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i/>
          <w:color w:val="000000"/>
          <w:sz w:val="24"/>
          <w:szCs w:val="24"/>
        </w:rPr>
      </w:pPr>
      <w:r w:rsidRPr="00500AB2">
        <w:rPr>
          <w:rFonts w:ascii="Times New Roman" w:hAnsi="Times New Roman" w:cs="Times New Roman"/>
          <w:b/>
          <w:i/>
          <w:color w:val="000000"/>
          <w:sz w:val="24"/>
          <w:szCs w:val="24"/>
        </w:rPr>
        <w:t xml:space="preserve">Ключевые слова и словосочетания: </w:t>
      </w:r>
      <w:r w:rsidRPr="00500AB2">
        <w:rPr>
          <w:rFonts w:ascii="Times New Roman" w:hAnsi="Times New Roman" w:cs="Times New Roman"/>
          <w:i/>
          <w:color w:val="000000"/>
          <w:sz w:val="24"/>
          <w:szCs w:val="24"/>
        </w:rPr>
        <w:t>клиент, поддержка, данные, банк, решение, ДБО, автоматизация.</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i/>
          <w:color w:val="000000"/>
          <w:sz w:val="24"/>
          <w:szCs w:val="24"/>
        </w:rPr>
      </w:pPr>
      <w:r w:rsidRPr="00500AB2">
        <w:rPr>
          <w:rFonts w:ascii="Times New Roman" w:hAnsi="Times New Roman" w:cs="Times New Roman"/>
          <w:i/>
          <w:color w:val="000000"/>
          <w:sz w:val="24"/>
          <w:szCs w:val="24"/>
        </w:rPr>
        <w:t xml:space="preserve">  </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center"/>
        <w:rPr>
          <w:rFonts w:ascii="Times New Roman" w:hAnsi="Times New Roman" w:cs="Times New Roman"/>
          <w:b/>
          <w:color w:val="000000"/>
          <w:sz w:val="24"/>
          <w:szCs w:val="24"/>
          <w:lang w:val="en-US"/>
        </w:rPr>
      </w:pPr>
      <w:r w:rsidRPr="00500AB2">
        <w:rPr>
          <w:rFonts w:ascii="Times New Roman" w:hAnsi="Times New Roman" w:cs="Times New Roman"/>
          <w:b/>
          <w:color w:val="000000"/>
          <w:sz w:val="24"/>
          <w:szCs w:val="24"/>
          <w:lang w:val="en-US"/>
        </w:rPr>
        <w:t xml:space="preserve">Scalable multilayer platform </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center"/>
        <w:rPr>
          <w:rFonts w:ascii="Times New Roman" w:hAnsi="Times New Roman" w:cs="Times New Roman"/>
          <w:b/>
          <w:color w:val="000000"/>
          <w:sz w:val="24"/>
          <w:szCs w:val="24"/>
          <w:lang w:val="en-US"/>
        </w:rPr>
      </w:pPr>
      <w:r w:rsidRPr="00500AB2">
        <w:rPr>
          <w:rFonts w:ascii="Times New Roman" w:hAnsi="Times New Roman" w:cs="Times New Roman"/>
          <w:b/>
          <w:color w:val="000000"/>
          <w:sz w:val="24"/>
          <w:szCs w:val="24"/>
          <w:lang w:val="en-US"/>
        </w:rPr>
        <w:t>for remote banking in the chat mode</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center"/>
        <w:rPr>
          <w:rFonts w:ascii="Times New Roman" w:hAnsi="Times New Roman" w:cs="Times New Roman"/>
          <w:b/>
          <w:color w:val="000000"/>
          <w:sz w:val="24"/>
          <w:szCs w:val="24"/>
          <w:lang w:val="en-US"/>
        </w:rPr>
      </w:pPr>
      <w:r w:rsidRPr="00500AB2">
        <w:rPr>
          <w:rFonts w:ascii="Times New Roman" w:hAnsi="Times New Roman" w:cs="Times New Roman"/>
          <w:b/>
          <w:color w:val="000000"/>
          <w:sz w:val="24"/>
          <w:szCs w:val="24"/>
          <w:lang w:val="en-US"/>
        </w:rPr>
        <w:t xml:space="preserve"> on the basis of popular instant messengers.</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tabs>
          <w:tab w:val="left" w:pos="6840"/>
        </w:tabs>
        <w:spacing w:after="0" w:line="240" w:lineRule="auto"/>
        <w:ind w:firstLine="708"/>
        <w:rPr>
          <w:rFonts w:ascii="Times New Roman" w:hAnsi="Times New Roman" w:cs="Times New Roman"/>
          <w:i/>
          <w:color w:val="000000"/>
          <w:sz w:val="24"/>
          <w:szCs w:val="24"/>
          <w:lang w:val="en-US"/>
        </w:rPr>
      </w:pPr>
      <w:r w:rsidRPr="00500AB2">
        <w:rPr>
          <w:rFonts w:ascii="Times New Roman" w:hAnsi="Times New Roman" w:cs="Times New Roman"/>
          <w:i/>
          <w:color w:val="000000"/>
          <w:sz w:val="24"/>
          <w:szCs w:val="24"/>
          <w:lang w:val="en-US"/>
        </w:rPr>
        <w:tab/>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i/>
          <w:color w:val="000000"/>
          <w:sz w:val="24"/>
          <w:szCs w:val="24"/>
          <w:lang w:val="en-US"/>
        </w:rPr>
      </w:pPr>
      <w:r w:rsidRPr="00500AB2">
        <w:rPr>
          <w:rFonts w:ascii="Times New Roman" w:hAnsi="Times New Roman" w:cs="Times New Roman"/>
          <w:i/>
          <w:color w:val="000000"/>
          <w:sz w:val="24"/>
          <w:szCs w:val="24"/>
          <w:lang w:val="en-US"/>
        </w:rPr>
        <w:t>Practice shows that chat with customers through messengers perfectly complements other channels of communication with customers and, in some cases, the provision of support through correspondence in the messenger is more convenient than a phone call or e-mail. The system of correspondence with clients via messengers uses instant push-notifications, that is, the addressee immediately learns about the new message and quickly read it. With the support of messengers such as Viber or WhatsApp, the customer is identified by phone number, which provides a reliable and long-term contact with him, it is possible to store the history of interaction.</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i/>
          <w:color w:val="000000"/>
          <w:sz w:val="24"/>
          <w:szCs w:val="24"/>
          <w:lang w:val="en-US"/>
        </w:rPr>
      </w:pPr>
      <w:r w:rsidRPr="00500AB2">
        <w:rPr>
          <w:rFonts w:ascii="Times New Roman" w:hAnsi="Times New Roman" w:cs="Times New Roman"/>
          <w:i/>
          <w:color w:val="000000"/>
          <w:sz w:val="24"/>
          <w:szCs w:val="24"/>
          <w:lang w:val="en-US"/>
        </w:rPr>
        <w:t xml:space="preserve"> </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i/>
          <w:color w:val="000000"/>
          <w:sz w:val="24"/>
          <w:szCs w:val="24"/>
          <w:lang w:val="en-US"/>
        </w:rPr>
      </w:pPr>
      <w:r w:rsidRPr="00500AB2">
        <w:rPr>
          <w:rFonts w:ascii="Times New Roman" w:hAnsi="Times New Roman" w:cs="Times New Roman"/>
          <w:b/>
          <w:i/>
          <w:color w:val="000000"/>
          <w:sz w:val="24"/>
          <w:szCs w:val="24"/>
          <w:lang w:val="en-US"/>
        </w:rPr>
        <w:t>Keywords:</w:t>
      </w:r>
      <w:r w:rsidRPr="00500AB2">
        <w:rPr>
          <w:rFonts w:ascii="Times New Roman" w:hAnsi="Times New Roman" w:cs="Times New Roman"/>
          <w:i/>
          <w:color w:val="000000"/>
          <w:sz w:val="24"/>
          <w:szCs w:val="24"/>
          <w:lang w:val="en-US"/>
        </w:rPr>
        <w:t xml:space="preserve"> customer, support, data, Bank, solution, SDB, automation.</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color w:val="FF0000"/>
          <w:sz w:val="24"/>
          <w:szCs w:val="24"/>
          <w:lang w:val="en-US"/>
        </w:rPr>
      </w:pPr>
    </w:p>
    <w:bookmarkEnd w:id="29"/>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500AB2">
        <w:rPr>
          <w:rFonts w:ascii="Times New Roman" w:hAnsi="Times New Roman" w:cs="Times New Roman"/>
          <w:sz w:val="24"/>
          <w:szCs w:val="24"/>
        </w:rPr>
        <w:t xml:space="preserve">В ходе изучения предметной области был выявлен ряд функциональных потребностей. На данный момент в большинстве финансовых организаций поддержка клиентов осуществляется через линию телефонной связи, электронную почту и специальные программные продукты ДБО (такие как </w:t>
      </w:r>
      <w:r w:rsidRPr="00500AB2">
        <w:rPr>
          <w:rFonts w:ascii="Times New Roman" w:hAnsi="Times New Roman" w:cs="Times New Roman"/>
          <w:sz w:val="24"/>
          <w:szCs w:val="24"/>
          <w:lang w:val="en-US"/>
        </w:rPr>
        <w:t>ibank</w:t>
      </w:r>
      <w:r w:rsidRPr="00500AB2">
        <w:rPr>
          <w:rFonts w:ascii="Times New Roman" w:hAnsi="Times New Roman" w:cs="Times New Roman"/>
          <w:sz w:val="24"/>
          <w:szCs w:val="24"/>
        </w:rPr>
        <w:t xml:space="preserve"> и другие). Кроме того, отсутствует возможность информирования клиентов путем прямых новостных рассылок.</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500AB2">
        <w:rPr>
          <w:rFonts w:ascii="Times New Roman" w:hAnsi="Times New Roman" w:cs="Times New Roman"/>
          <w:sz w:val="24"/>
          <w:szCs w:val="24"/>
        </w:rPr>
        <w:t xml:space="preserve">Реорганизация процессов поддержки и внедрение новых передовых каналов взаимодействия с клиентами приведет к повышению лояльности клиентов, позволит расширить аудиторию клиентов. </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500AB2">
        <w:rPr>
          <w:rFonts w:ascii="Times New Roman" w:hAnsi="Times New Roman" w:cs="Times New Roman"/>
          <w:sz w:val="24"/>
          <w:szCs w:val="24"/>
        </w:rPr>
        <w:t>Некоторые финансовые компании уже сейчас внедрили чаты в свои онлайн-приложения и осуществляют поддержку через популярные мессенджеры [1, 2]. Одно большая часть существующих решений способна выполнять простые линейные задачи, либо соединение с оператором службы поддержки клиентов. Ни одно из существующих решений не предлагает решения, имеющие многослойную структуру, способные в автономном режиме обрабатывать запросы клиентов и отвечать на них, предоставляя клиентам возможность соединиться со специалистом отдела поддержки (личным менеджером), для расширения списка задач, решаемых посредством канала коммуникации и снижения нагрузки, на отдел поддержки физических и/или юридических лиц, что влечет за собой сокращение издержек, связанных с обслуживанием клиентов.</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500AB2">
        <w:rPr>
          <w:rFonts w:ascii="Times New Roman" w:hAnsi="Times New Roman" w:cs="Times New Roman"/>
          <w:sz w:val="24"/>
          <w:szCs w:val="24"/>
        </w:rPr>
        <w:t>Решение позволило объединить каналы коммуникации, создав при этом объединенное рабочее место оператора, увеличить скорость обработки обращение клиента, повысить лояльность клиентов к бренду также заинтересовать более молодой сегмент граждан благодаря использованию более современных каналов коммуникации с настоящими и потенциальными клиентами [3, 4, 5].</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500AB2">
        <w:rPr>
          <w:rFonts w:ascii="Times New Roman" w:hAnsi="Times New Roman" w:cs="Times New Roman"/>
          <w:sz w:val="24"/>
          <w:szCs w:val="24"/>
        </w:rPr>
        <w:t>Были спроектированы и разработаны:</w:t>
      </w:r>
    </w:p>
    <w:p w:rsidR="00500AB2" w:rsidRPr="00500AB2" w:rsidRDefault="00500AB2" w:rsidP="00500AB2">
      <w:pPr>
        <w:numPr>
          <w:ilvl w:val="0"/>
          <w:numId w:val="110"/>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jc w:val="both"/>
        <w:rPr>
          <w:rFonts w:ascii="Times New Roman" w:hAnsi="Times New Roman" w:cs="Times New Roman"/>
          <w:sz w:val="24"/>
          <w:szCs w:val="24"/>
        </w:rPr>
      </w:pPr>
      <w:r w:rsidRPr="00500AB2">
        <w:rPr>
          <w:rFonts w:ascii="Times New Roman" w:hAnsi="Times New Roman" w:cs="Times New Roman"/>
          <w:sz w:val="24"/>
          <w:szCs w:val="24"/>
        </w:rPr>
        <w:t>обработчик, выполняющий синхронизацию базы данных с инфраструктурой канала коммуникации;</w:t>
      </w:r>
    </w:p>
    <w:p w:rsidR="00500AB2" w:rsidRPr="00500AB2" w:rsidRDefault="00500AB2" w:rsidP="00500AB2">
      <w:pPr>
        <w:numPr>
          <w:ilvl w:val="0"/>
          <w:numId w:val="110"/>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jc w:val="both"/>
        <w:rPr>
          <w:rFonts w:ascii="Times New Roman" w:hAnsi="Times New Roman" w:cs="Times New Roman"/>
          <w:sz w:val="24"/>
          <w:szCs w:val="24"/>
        </w:rPr>
      </w:pPr>
      <w:r w:rsidRPr="00500AB2">
        <w:rPr>
          <w:rFonts w:ascii="Times New Roman" w:hAnsi="Times New Roman" w:cs="Times New Roman"/>
          <w:sz w:val="24"/>
          <w:szCs w:val="24"/>
        </w:rPr>
        <w:t>база данных, хранящая всю необходимую информацию для функционирования подсистемы, например, информацию о клиентах, историю диалогов и сообщений, информацию о сотрудниках, осуществляющих работу с подсистемой, аналитическую и другую необходимую информацию, модель БД представлена на рис. 1 [6];</w:t>
      </w:r>
    </w:p>
    <w:p w:rsidR="00500AB2" w:rsidRPr="00500AB2" w:rsidRDefault="00500AB2" w:rsidP="00500AB2">
      <w:pPr>
        <w:numPr>
          <w:ilvl w:val="0"/>
          <w:numId w:val="110"/>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jc w:val="both"/>
        <w:rPr>
          <w:rFonts w:ascii="Times New Roman" w:hAnsi="Times New Roman" w:cs="Times New Roman"/>
          <w:sz w:val="24"/>
          <w:szCs w:val="24"/>
        </w:rPr>
      </w:pPr>
      <w:r w:rsidRPr="00500AB2">
        <w:rPr>
          <w:rFonts w:ascii="Times New Roman" w:hAnsi="Times New Roman" w:cs="Times New Roman"/>
          <w:sz w:val="24"/>
          <w:szCs w:val="24"/>
        </w:rPr>
        <w:t xml:space="preserve">бек - приложение, позволяющее сотрудникам быстро осуществлять поддержку клиентов посредством новых созданных каналов связи, контролировать работу подсистемы, добавлять и редактировать информацию, просматривать отчеты. </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200" w:line="240" w:lineRule="auto"/>
        <w:jc w:val="center"/>
        <w:rPr>
          <w:rFonts w:ascii="Times New Roman" w:hAnsi="Times New Roman" w:cs="Times New Roman"/>
          <w:iCs/>
          <w:sz w:val="24"/>
          <w:szCs w:val="24"/>
        </w:rPr>
      </w:pPr>
      <w:r w:rsidRPr="00500AB2">
        <w:rPr>
          <w:rFonts w:ascii="Times New Roman" w:hAnsi="Times New Roman" w:cs="Times New Roman"/>
          <w:i/>
          <w:iCs/>
          <w:noProof/>
          <w:color w:val="44546A"/>
          <w:sz w:val="24"/>
          <w:szCs w:val="24"/>
          <w:lang w:eastAsia="ru-RU"/>
        </w:rPr>
        <w:drawing>
          <wp:inline distT="0" distB="0" distL="0" distR="0" wp14:anchorId="4E4DB50F" wp14:editId="1627DBDD">
            <wp:extent cx="4495800" cy="4953000"/>
            <wp:effectExtent l="0" t="0" r="0" b="0"/>
            <wp:docPr id="168"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374">
                      <a:extLst>
                        <a:ext uri="{28A0092B-C50C-407E-A947-70E740481C1C}">
                          <a14:useLocalDpi xmlns:a14="http://schemas.microsoft.com/office/drawing/2010/main" val="0"/>
                        </a:ext>
                      </a:extLst>
                    </a:blip>
                    <a:srcRect l="481" r="40160" b="2950"/>
                    <a:stretch>
                      <a:fillRect/>
                    </a:stretch>
                  </pic:blipFill>
                  <pic:spPr bwMode="auto">
                    <a:xfrm>
                      <a:off x="0" y="0"/>
                      <a:ext cx="4495800" cy="4953000"/>
                    </a:xfrm>
                    <a:prstGeom prst="rect">
                      <a:avLst/>
                    </a:prstGeom>
                    <a:noFill/>
                    <a:ln>
                      <a:noFill/>
                    </a:ln>
                  </pic:spPr>
                </pic:pic>
              </a:graphicData>
            </a:graphic>
          </wp:inline>
        </w:drawing>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200" w:line="240" w:lineRule="auto"/>
        <w:jc w:val="center"/>
        <w:rPr>
          <w:rFonts w:ascii="Times New Roman" w:hAnsi="Times New Roman" w:cs="Times New Roman"/>
          <w:iCs/>
          <w:sz w:val="24"/>
          <w:szCs w:val="24"/>
        </w:rPr>
      </w:pPr>
      <w:r w:rsidRPr="00500AB2">
        <w:rPr>
          <w:rFonts w:ascii="Times New Roman" w:hAnsi="Times New Roman" w:cs="Times New Roman"/>
          <w:iCs/>
          <w:sz w:val="24"/>
          <w:szCs w:val="24"/>
        </w:rPr>
        <w:t xml:space="preserve">Рис. </w:t>
      </w:r>
      <w:r w:rsidRPr="00500AB2">
        <w:rPr>
          <w:rFonts w:ascii="Times New Roman" w:hAnsi="Times New Roman" w:cs="Times New Roman"/>
          <w:iCs/>
          <w:sz w:val="24"/>
          <w:szCs w:val="24"/>
        </w:rPr>
        <w:fldChar w:fldCharType="begin"/>
      </w:r>
      <w:r w:rsidRPr="00500AB2">
        <w:rPr>
          <w:rFonts w:ascii="Times New Roman" w:hAnsi="Times New Roman" w:cs="Times New Roman"/>
          <w:iCs/>
          <w:sz w:val="24"/>
          <w:szCs w:val="24"/>
        </w:rPr>
        <w:instrText xml:space="preserve"> SEQ Рисунок \* ARABIC </w:instrText>
      </w:r>
      <w:r w:rsidRPr="00500AB2">
        <w:rPr>
          <w:rFonts w:ascii="Times New Roman" w:hAnsi="Times New Roman" w:cs="Times New Roman"/>
          <w:iCs/>
          <w:sz w:val="24"/>
          <w:szCs w:val="24"/>
        </w:rPr>
        <w:fldChar w:fldCharType="separate"/>
      </w:r>
      <w:r w:rsidRPr="00500AB2">
        <w:rPr>
          <w:rFonts w:ascii="Times New Roman" w:hAnsi="Times New Roman" w:cs="Times New Roman"/>
          <w:iCs/>
          <w:noProof/>
          <w:sz w:val="24"/>
          <w:szCs w:val="24"/>
        </w:rPr>
        <w:t>1</w:t>
      </w:r>
      <w:r w:rsidRPr="00500AB2">
        <w:rPr>
          <w:rFonts w:ascii="Times New Roman" w:hAnsi="Times New Roman" w:cs="Times New Roman"/>
          <w:iCs/>
          <w:sz w:val="24"/>
          <w:szCs w:val="24"/>
        </w:rPr>
        <w:fldChar w:fldCharType="end"/>
      </w:r>
      <w:r w:rsidRPr="00500AB2">
        <w:rPr>
          <w:rFonts w:ascii="Times New Roman" w:hAnsi="Times New Roman" w:cs="Times New Roman"/>
          <w:iCs/>
          <w:sz w:val="24"/>
          <w:szCs w:val="24"/>
        </w:rPr>
        <w:t xml:space="preserve"> - Модель РБД</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8"/>
        <w:contextualSpacing/>
        <w:jc w:val="both"/>
        <w:rPr>
          <w:rFonts w:ascii="Times New Roman" w:hAnsi="Times New Roman" w:cs="Times New Roman"/>
          <w:color w:val="FF0000"/>
          <w:sz w:val="24"/>
          <w:szCs w:val="24"/>
        </w:rPr>
      </w:pPr>
      <w:r w:rsidRPr="00500AB2">
        <w:rPr>
          <w:rFonts w:ascii="Times New Roman" w:hAnsi="Times New Roman" w:cs="Times New Roman"/>
          <w:sz w:val="24"/>
          <w:szCs w:val="24"/>
        </w:rPr>
        <w:t xml:space="preserve">На начальном этапе, согласно методологии ICONIX, приступают к построению прецедентов. В моделируемое подсистеме были выделены следующие «акторы»: оператор отдела поддержки клиентов, сотрудник отдела маркетинга, администратор, клиент банка.  </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500AB2">
        <w:rPr>
          <w:rFonts w:ascii="Times New Roman" w:hAnsi="Times New Roman" w:cs="Times New Roman"/>
          <w:sz w:val="24"/>
          <w:szCs w:val="24"/>
        </w:rPr>
        <w:t>Требуется разработать базу данных для реализации функций разрабатываемой подсистемы [7].</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500AB2">
        <w:rPr>
          <w:rFonts w:ascii="Times New Roman" w:hAnsi="Times New Roman" w:cs="Times New Roman"/>
          <w:sz w:val="24"/>
          <w:szCs w:val="24"/>
        </w:rPr>
        <w:t>В базе данных предполагается хранение информация о сотрудниках организации, клиентах, историю сообщений и обращений, каналах взаимодействия с клиентами, события и пр.</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noProof/>
          <w:sz w:val="24"/>
          <w:szCs w:val="24"/>
          <w:lang w:eastAsia="ru-RU"/>
        </w:rPr>
      </w:pPr>
      <w:r w:rsidRPr="00500AB2">
        <w:rPr>
          <w:rFonts w:ascii="Times New Roman" w:hAnsi="Times New Roman" w:cs="Times New Roman"/>
          <w:noProof/>
          <w:sz w:val="24"/>
          <w:szCs w:val="24"/>
          <w:lang w:eastAsia="ru-RU"/>
        </w:rPr>
        <w:t xml:space="preserve"> </w:t>
      </w:r>
      <w:r w:rsidRPr="00500AB2">
        <w:rPr>
          <w:rFonts w:ascii="Times New Roman" w:hAnsi="Times New Roman" w:cs="Times New Roman"/>
          <w:sz w:val="24"/>
          <w:szCs w:val="24"/>
        </w:rPr>
        <w:t xml:space="preserve">Для хранения информации потребуются следующие сущности: client (клиенты), dialog (диалоги), staff (сотрудники), event (события), log (системный журнал), msg (сообщения), </w:t>
      </w:r>
      <w:r w:rsidRPr="00500AB2">
        <w:rPr>
          <w:rFonts w:ascii="Times New Roman" w:hAnsi="Times New Roman" w:cs="Times New Roman"/>
          <w:sz w:val="24"/>
          <w:szCs w:val="24"/>
          <w:lang w:val="en-US"/>
        </w:rPr>
        <w:t>place</w:t>
      </w:r>
      <w:r w:rsidRPr="00500AB2">
        <w:rPr>
          <w:rFonts w:ascii="Times New Roman" w:hAnsi="Times New Roman" w:cs="Times New Roman"/>
          <w:sz w:val="24"/>
          <w:szCs w:val="24"/>
        </w:rPr>
        <w:t xml:space="preserve"> («места»), </w:t>
      </w:r>
      <w:r w:rsidRPr="00500AB2">
        <w:rPr>
          <w:rFonts w:ascii="Times New Roman" w:hAnsi="Times New Roman" w:cs="Times New Roman"/>
          <w:sz w:val="24"/>
          <w:szCs w:val="24"/>
          <w:lang w:val="en-US"/>
        </w:rPr>
        <w:t>source</w:t>
      </w:r>
      <w:r w:rsidRPr="00500AB2">
        <w:rPr>
          <w:rFonts w:ascii="Times New Roman" w:hAnsi="Times New Roman" w:cs="Times New Roman"/>
          <w:sz w:val="24"/>
          <w:szCs w:val="24"/>
        </w:rPr>
        <w:t xml:space="preserve"> (платформы), </w:t>
      </w:r>
      <w:r w:rsidRPr="00500AB2">
        <w:rPr>
          <w:rFonts w:ascii="Times New Roman" w:hAnsi="Times New Roman" w:cs="Times New Roman"/>
          <w:sz w:val="24"/>
          <w:szCs w:val="24"/>
          <w:lang w:val="en-US"/>
        </w:rPr>
        <w:t>request</w:t>
      </w:r>
      <w:r w:rsidRPr="00500AB2">
        <w:rPr>
          <w:rFonts w:ascii="Times New Roman" w:hAnsi="Times New Roman" w:cs="Times New Roman"/>
          <w:sz w:val="24"/>
          <w:szCs w:val="24"/>
        </w:rPr>
        <w:t xml:space="preserve"> (заявки), role (роли), user (пользователи), staff_role (связь «сотрудник-роль» типа M:M), event_source (связь «событие-платформа» типа M:M).</w:t>
      </w:r>
      <w:r w:rsidRPr="00500AB2">
        <w:rPr>
          <w:rFonts w:ascii="Times New Roman" w:hAnsi="Times New Roman" w:cs="Times New Roman"/>
          <w:noProof/>
          <w:sz w:val="24"/>
          <w:szCs w:val="24"/>
          <w:lang w:eastAsia="ru-RU"/>
        </w:rPr>
        <w:t xml:space="preserve"> </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500AB2">
        <w:rPr>
          <w:rFonts w:ascii="Times New Roman" w:hAnsi="Times New Roman" w:cs="Times New Roman"/>
          <w:sz w:val="24"/>
          <w:szCs w:val="24"/>
        </w:rPr>
        <w:t xml:space="preserve">Все элементы подсистемы будут функционировать в сети Extranet. Это позволяет защитить подсистему от несанкционированного доступа и компрометации персональных данных сотрудников или клиентов банка [8, 9]. Доступ к приложениям и иным элементам подсистемы будет возможен только в сети организации, объединяющей главный офис банка и филиалы, находящиеся в разных территориальных единицах страны. </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500AB2">
        <w:rPr>
          <w:rFonts w:ascii="Times New Roman" w:hAnsi="Times New Roman" w:cs="Times New Roman"/>
          <w:sz w:val="24"/>
          <w:szCs w:val="24"/>
        </w:rPr>
        <w:t>Упрощенная модель архитектуры подсистемы представлена на рис. 2.</w:t>
      </w:r>
    </w:p>
    <w:p w:rsidR="00500AB2" w:rsidRPr="00500AB2" w:rsidRDefault="00500AB2" w:rsidP="00500AB2">
      <w:pPr>
        <w:keepNext/>
        <w:pBdr>
          <w:top w:val="none" w:sz="0" w:space="0" w:color="auto"/>
          <w:left w:val="none" w:sz="0" w:space="0" w:color="auto"/>
          <w:bottom w:val="none" w:sz="0" w:space="0" w:color="auto"/>
          <w:right w:val="none" w:sz="0" w:space="0" w:color="auto"/>
          <w:between w:val="none" w:sz="0" w:space="0" w:color="auto"/>
        </w:pBdr>
        <w:spacing w:after="0" w:line="240" w:lineRule="auto"/>
        <w:contextualSpacing/>
        <w:jc w:val="center"/>
        <w:rPr>
          <w:rFonts w:ascii="Times New Roman" w:hAnsi="Times New Roman" w:cs="Times New Roman"/>
          <w:sz w:val="24"/>
          <w:szCs w:val="24"/>
        </w:rPr>
      </w:pPr>
    </w:p>
    <w:p w:rsidR="00500AB2" w:rsidRPr="00500AB2" w:rsidRDefault="00500AB2" w:rsidP="00500AB2">
      <w:pPr>
        <w:keepNext/>
        <w:pBdr>
          <w:top w:val="none" w:sz="0" w:space="0" w:color="auto"/>
          <w:left w:val="none" w:sz="0" w:space="0" w:color="auto"/>
          <w:bottom w:val="none" w:sz="0" w:space="0" w:color="auto"/>
          <w:right w:val="none" w:sz="0" w:space="0" w:color="auto"/>
          <w:between w:val="none" w:sz="0" w:space="0" w:color="auto"/>
        </w:pBdr>
        <w:spacing w:after="0" w:line="240" w:lineRule="auto"/>
        <w:contextualSpacing/>
        <w:jc w:val="center"/>
        <w:rPr>
          <w:rFonts w:ascii="Times New Roman" w:hAnsi="Times New Roman" w:cs="Times New Roman"/>
          <w:sz w:val="24"/>
          <w:szCs w:val="24"/>
        </w:rPr>
      </w:pPr>
      <w:r w:rsidRPr="00500AB2">
        <w:rPr>
          <w:rFonts w:ascii="Times New Roman" w:hAnsi="Times New Roman" w:cs="Times New Roman"/>
          <w:noProof/>
          <w:sz w:val="24"/>
          <w:szCs w:val="24"/>
          <w:lang w:eastAsia="ru-RU"/>
        </w:rPr>
        <w:drawing>
          <wp:inline distT="0" distB="0" distL="0" distR="0" wp14:anchorId="122A77D8" wp14:editId="024442AF">
            <wp:extent cx="5010150" cy="5524500"/>
            <wp:effectExtent l="0" t="0" r="0" b="0"/>
            <wp:docPr id="169"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375">
                      <a:extLst>
                        <a:ext uri="{28A0092B-C50C-407E-A947-70E740481C1C}">
                          <a14:useLocalDpi xmlns:a14="http://schemas.microsoft.com/office/drawing/2010/main" val="0"/>
                        </a:ext>
                      </a:extLst>
                    </a:blip>
                    <a:srcRect/>
                    <a:stretch>
                      <a:fillRect/>
                    </a:stretch>
                  </pic:blipFill>
                  <pic:spPr bwMode="auto">
                    <a:xfrm>
                      <a:off x="0" y="0"/>
                      <a:ext cx="5010150" cy="5524500"/>
                    </a:xfrm>
                    <a:prstGeom prst="rect">
                      <a:avLst/>
                    </a:prstGeom>
                    <a:noFill/>
                    <a:ln>
                      <a:noFill/>
                    </a:ln>
                  </pic:spPr>
                </pic:pic>
              </a:graphicData>
            </a:graphic>
          </wp:inline>
        </w:drawing>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200" w:line="240" w:lineRule="auto"/>
        <w:ind w:firstLine="709"/>
        <w:jc w:val="center"/>
        <w:rPr>
          <w:rFonts w:ascii="Times New Roman" w:hAnsi="Times New Roman" w:cs="Times New Roman"/>
          <w:iCs/>
          <w:color w:val="000000"/>
          <w:sz w:val="24"/>
          <w:szCs w:val="24"/>
        </w:rPr>
      </w:pPr>
      <w:r w:rsidRPr="00500AB2">
        <w:rPr>
          <w:rFonts w:ascii="Times New Roman" w:hAnsi="Times New Roman" w:cs="Times New Roman"/>
          <w:iCs/>
          <w:color w:val="000000"/>
          <w:sz w:val="24"/>
          <w:szCs w:val="24"/>
        </w:rPr>
        <w:t xml:space="preserve">Рис. </w:t>
      </w:r>
      <w:r w:rsidRPr="00500AB2">
        <w:rPr>
          <w:rFonts w:ascii="Times New Roman" w:hAnsi="Times New Roman" w:cs="Times New Roman"/>
          <w:iCs/>
          <w:color w:val="000000"/>
          <w:sz w:val="24"/>
          <w:szCs w:val="24"/>
        </w:rPr>
        <w:fldChar w:fldCharType="begin"/>
      </w:r>
      <w:r w:rsidRPr="00500AB2">
        <w:rPr>
          <w:rFonts w:ascii="Times New Roman" w:hAnsi="Times New Roman" w:cs="Times New Roman"/>
          <w:iCs/>
          <w:color w:val="000000"/>
          <w:sz w:val="24"/>
          <w:szCs w:val="24"/>
        </w:rPr>
        <w:instrText xml:space="preserve"> SEQ Рисунок \* ARABIC </w:instrText>
      </w:r>
      <w:r w:rsidRPr="00500AB2">
        <w:rPr>
          <w:rFonts w:ascii="Times New Roman" w:hAnsi="Times New Roman" w:cs="Times New Roman"/>
          <w:iCs/>
          <w:color w:val="000000"/>
          <w:sz w:val="24"/>
          <w:szCs w:val="24"/>
        </w:rPr>
        <w:fldChar w:fldCharType="separate"/>
      </w:r>
      <w:r w:rsidRPr="00500AB2">
        <w:rPr>
          <w:rFonts w:ascii="Times New Roman" w:hAnsi="Times New Roman" w:cs="Times New Roman"/>
          <w:iCs/>
          <w:noProof/>
          <w:color w:val="000000"/>
          <w:sz w:val="24"/>
          <w:szCs w:val="24"/>
        </w:rPr>
        <w:t>2</w:t>
      </w:r>
      <w:r w:rsidRPr="00500AB2">
        <w:rPr>
          <w:rFonts w:ascii="Times New Roman" w:hAnsi="Times New Roman" w:cs="Times New Roman"/>
          <w:iCs/>
          <w:color w:val="000000"/>
          <w:sz w:val="24"/>
          <w:szCs w:val="24"/>
        </w:rPr>
        <w:fldChar w:fldCharType="end"/>
      </w:r>
      <w:r w:rsidRPr="00500AB2">
        <w:rPr>
          <w:rFonts w:ascii="Times New Roman" w:hAnsi="Times New Roman" w:cs="Times New Roman"/>
          <w:iCs/>
          <w:color w:val="000000"/>
          <w:sz w:val="24"/>
          <w:szCs w:val="24"/>
        </w:rPr>
        <w:t xml:space="preserve"> - Упрощенная модель архитектуры приложения</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color w:val="000000"/>
          <w:sz w:val="24"/>
          <w:szCs w:val="24"/>
        </w:rPr>
      </w:pPr>
      <w:r w:rsidRPr="00500AB2">
        <w:rPr>
          <w:rFonts w:ascii="Times New Roman" w:hAnsi="Times New Roman" w:cs="Times New Roman"/>
          <w:color w:val="000000"/>
          <w:sz w:val="24"/>
          <w:szCs w:val="24"/>
        </w:rPr>
        <w:t>В данный момент проект в стадии обоснования и оценки специалистами по сопровождению программного обеспечения и информационной безопасности [10, 11].</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Pr>
          <w:rFonts w:cs="Times New Roman"/>
          <w:noProof/>
          <w:lang w:eastAsia="ru-RU"/>
        </w:rPr>
        <mc:AlternateContent>
          <mc:Choice Requires="wps">
            <w:drawing>
              <wp:anchor distT="0" distB="0" distL="114300" distR="114300" simplePos="0" relativeHeight="251737088" behindDoc="0" locked="0" layoutInCell="1" allowOverlap="1">
                <wp:simplePos x="0" y="0"/>
                <wp:positionH relativeFrom="column">
                  <wp:posOffset>-139065</wp:posOffset>
                </wp:positionH>
                <wp:positionV relativeFrom="paragraph">
                  <wp:posOffset>80010</wp:posOffset>
                </wp:positionV>
                <wp:extent cx="2924175" cy="0"/>
                <wp:effectExtent l="9525" t="7620" r="9525" b="11430"/>
                <wp:wrapNone/>
                <wp:docPr id="170" name="Прямая со стрелкой 1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24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6FFC40" id="Прямая со стрелкой 170" o:spid="_x0000_s1026" type="#_x0000_t32" style="position:absolute;margin-left:-10.95pt;margin-top:6.3pt;width:230.25pt;height:0;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"/>
            </w:pict>
          </mc:Fallback>
        </mc:AlternateContent>
      </w:r>
    </w:p>
    <w:p w:rsidR="00500AB2" w:rsidRPr="00500AB2" w:rsidRDefault="00500AB2" w:rsidP="00500AB2">
      <w:pPr>
        <w:numPr>
          <w:ilvl w:val="0"/>
          <w:numId w:val="111"/>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jc w:val="both"/>
        <w:rPr>
          <w:rFonts w:ascii="Times New Roman" w:hAnsi="Times New Roman" w:cs="Times New Roman"/>
          <w:sz w:val="24"/>
          <w:szCs w:val="24"/>
          <w:lang w:val="en-US"/>
        </w:rPr>
      </w:pPr>
      <w:r w:rsidRPr="00500AB2">
        <w:rPr>
          <w:rFonts w:ascii="Times New Roman" w:hAnsi="Times New Roman" w:cs="Times New Roman"/>
          <w:sz w:val="24"/>
          <w:szCs w:val="24"/>
          <w:lang w:val="en-US"/>
        </w:rPr>
        <w:t xml:space="preserve">One billion people now use WhatsApp / </w:t>
      </w:r>
      <w:r w:rsidRPr="00500AB2">
        <w:rPr>
          <w:rFonts w:ascii="Times New Roman" w:hAnsi="Times New Roman" w:cs="Times New Roman"/>
          <w:sz w:val="24"/>
          <w:szCs w:val="24"/>
        </w:rPr>
        <w:t>М</w:t>
      </w:r>
      <w:r w:rsidRPr="00500AB2">
        <w:rPr>
          <w:rFonts w:ascii="Times New Roman" w:hAnsi="Times New Roman" w:cs="Times New Roman"/>
          <w:sz w:val="24"/>
          <w:szCs w:val="24"/>
          <w:lang w:val="en-US"/>
        </w:rPr>
        <w:t>.</w:t>
      </w:r>
      <w:r w:rsidRPr="00500AB2">
        <w:rPr>
          <w:rFonts w:ascii="Times New Roman" w:hAnsi="Times New Roman" w:cs="Times New Roman"/>
          <w:sz w:val="24"/>
          <w:szCs w:val="24"/>
        </w:rPr>
        <w:t>Цукерберг</w:t>
      </w:r>
      <w:r w:rsidRPr="00500AB2">
        <w:rPr>
          <w:rFonts w:ascii="Times New Roman" w:hAnsi="Times New Roman" w:cs="Times New Roman"/>
          <w:sz w:val="24"/>
          <w:szCs w:val="24"/>
          <w:lang w:val="en-US"/>
        </w:rPr>
        <w:t xml:space="preserve"> [</w:t>
      </w:r>
      <w:r w:rsidRPr="00500AB2">
        <w:rPr>
          <w:rFonts w:ascii="Times New Roman" w:hAnsi="Times New Roman" w:cs="Times New Roman"/>
          <w:sz w:val="24"/>
          <w:szCs w:val="24"/>
        </w:rPr>
        <w:t>Электронный</w:t>
      </w:r>
      <w:r w:rsidRPr="00500AB2">
        <w:rPr>
          <w:rFonts w:ascii="Times New Roman" w:hAnsi="Times New Roman" w:cs="Times New Roman"/>
          <w:sz w:val="24"/>
          <w:szCs w:val="24"/>
          <w:lang w:val="en-US"/>
        </w:rPr>
        <w:t xml:space="preserve"> </w:t>
      </w:r>
      <w:r w:rsidRPr="00500AB2">
        <w:rPr>
          <w:rFonts w:ascii="Times New Roman" w:hAnsi="Times New Roman" w:cs="Times New Roman"/>
          <w:sz w:val="24"/>
          <w:szCs w:val="24"/>
        </w:rPr>
        <w:t>ресурс</w:t>
      </w:r>
      <w:r w:rsidRPr="00500AB2">
        <w:rPr>
          <w:rFonts w:ascii="Times New Roman" w:hAnsi="Times New Roman" w:cs="Times New Roman"/>
          <w:sz w:val="24"/>
          <w:szCs w:val="24"/>
          <w:lang w:val="en-US"/>
        </w:rPr>
        <w:t xml:space="preserve">] / Facebook, 2016 – </w:t>
      </w:r>
      <w:r w:rsidRPr="00500AB2">
        <w:rPr>
          <w:rFonts w:ascii="Times New Roman" w:hAnsi="Times New Roman" w:cs="Times New Roman"/>
          <w:sz w:val="24"/>
          <w:szCs w:val="24"/>
        </w:rPr>
        <w:t>Режим</w:t>
      </w:r>
      <w:r w:rsidRPr="00500AB2">
        <w:rPr>
          <w:rFonts w:ascii="Times New Roman" w:hAnsi="Times New Roman" w:cs="Times New Roman"/>
          <w:sz w:val="24"/>
          <w:szCs w:val="24"/>
          <w:lang w:val="en-US"/>
        </w:rPr>
        <w:t xml:space="preserve"> </w:t>
      </w:r>
      <w:r w:rsidRPr="00500AB2">
        <w:rPr>
          <w:rFonts w:ascii="Times New Roman" w:hAnsi="Times New Roman" w:cs="Times New Roman"/>
          <w:sz w:val="24"/>
          <w:szCs w:val="24"/>
        </w:rPr>
        <w:t>доступа</w:t>
      </w:r>
      <w:r w:rsidRPr="00500AB2">
        <w:rPr>
          <w:rFonts w:ascii="Times New Roman" w:hAnsi="Times New Roman" w:cs="Times New Roman"/>
          <w:sz w:val="24"/>
          <w:szCs w:val="24"/>
          <w:lang w:val="en-US"/>
        </w:rPr>
        <w:t>: https://www.facebook.com/photo.php?fbid=10102630193612711&amp;set=a.612287952871.2204760.4 &amp;type=3&amp;theater</w:t>
      </w:r>
    </w:p>
    <w:p w:rsidR="00500AB2" w:rsidRPr="00500AB2" w:rsidRDefault="00500AB2" w:rsidP="00500AB2">
      <w:pPr>
        <w:numPr>
          <w:ilvl w:val="0"/>
          <w:numId w:val="111"/>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rPr>
          <w:rFonts w:ascii="Times New Roman" w:hAnsi="Times New Roman" w:cs="Times New Roman"/>
          <w:sz w:val="24"/>
          <w:szCs w:val="24"/>
        </w:rPr>
      </w:pPr>
      <w:r w:rsidRPr="00500AB2">
        <w:rPr>
          <w:rFonts w:ascii="Times New Roman" w:hAnsi="Times New Roman" w:cs="Times New Roman"/>
          <w:sz w:val="24"/>
          <w:szCs w:val="24"/>
        </w:rPr>
        <w:t xml:space="preserve">Каждый пятый банк России использует чат-ботов / </w:t>
      </w:r>
      <w:r w:rsidRPr="00500AB2">
        <w:rPr>
          <w:rFonts w:ascii="Times New Roman" w:hAnsi="Times New Roman" w:cs="Times New Roman"/>
          <w:sz w:val="24"/>
          <w:szCs w:val="24"/>
          <w:lang w:val="en-US"/>
        </w:rPr>
        <w:t>Chatbotconference</w:t>
      </w:r>
      <w:r w:rsidRPr="00500AB2">
        <w:rPr>
          <w:rFonts w:ascii="Times New Roman" w:hAnsi="Times New Roman" w:cs="Times New Roman"/>
          <w:sz w:val="24"/>
          <w:szCs w:val="24"/>
        </w:rPr>
        <w:t xml:space="preserve"> [Электронный ресурс] - </w:t>
      </w:r>
      <w:r w:rsidRPr="00500AB2">
        <w:rPr>
          <w:rFonts w:ascii="Times New Roman" w:hAnsi="Times New Roman" w:cs="Times New Roman"/>
          <w:sz w:val="24"/>
          <w:szCs w:val="24"/>
          <w:lang w:val="en-US"/>
        </w:rPr>
        <w:t>Chatbotconf</w:t>
      </w:r>
      <w:r w:rsidRPr="00500AB2">
        <w:rPr>
          <w:rFonts w:ascii="Times New Roman" w:hAnsi="Times New Roman" w:cs="Times New Roman"/>
          <w:sz w:val="24"/>
          <w:szCs w:val="24"/>
        </w:rPr>
        <w:t xml:space="preserve">, 2017 - Режим доступа: </w:t>
      </w:r>
      <w:r w:rsidRPr="00500AB2">
        <w:rPr>
          <w:rFonts w:ascii="Times New Roman" w:hAnsi="Times New Roman" w:cs="Times New Roman"/>
          <w:sz w:val="24"/>
          <w:szCs w:val="24"/>
          <w:lang w:val="en-US"/>
        </w:rPr>
        <w:t>https</w:t>
      </w:r>
      <w:r w:rsidRPr="00500AB2">
        <w:rPr>
          <w:rFonts w:ascii="Times New Roman" w:hAnsi="Times New Roman" w:cs="Times New Roman"/>
          <w:sz w:val="24"/>
          <w:szCs w:val="24"/>
        </w:rPr>
        <w:t>://</w:t>
      </w:r>
      <w:r w:rsidRPr="00500AB2">
        <w:rPr>
          <w:rFonts w:ascii="Times New Roman" w:hAnsi="Times New Roman" w:cs="Times New Roman"/>
          <w:sz w:val="24"/>
          <w:szCs w:val="24"/>
          <w:lang w:val="en-US"/>
        </w:rPr>
        <w:t>chatbotconf</w:t>
      </w:r>
      <w:r w:rsidRPr="00500AB2">
        <w:rPr>
          <w:rFonts w:ascii="Times New Roman" w:hAnsi="Times New Roman" w:cs="Times New Roman"/>
          <w:sz w:val="24"/>
          <w:szCs w:val="24"/>
        </w:rPr>
        <w:t>.</w:t>
      </w:r>
      <w:r w:rsidRPr="00500AB2">
        <w:rPr>
          <w:rFonts w:ascii="Times New Roman" w:hAnsi="Times New Roman" w:cs="Times New Roman"/>
          <w:sz w:val="24"/>
          <w:szCs w:val="24"/>
          <w:lang w:val="en-US"/>
        </w:rPr>
        <w:t>ru</w:t>
      </w:r>
      <w:r w:rsidRPr="00500AB2">
        <w:rPr>
          <w:rFonts w:ascii="Times New Roman" w:hAnsi="Times New Roman" w:cs="Times New Roman"/>
          <w:sz w:val="24"/>
          <w:szCs w:val="24"/>
        </w:rPr>
        <w:t>/</w:t>
      </w:r>
      <w:r w:rsidRPr="00500AB2">
        <w:rPr>
          <w:rFonts w:ascii="Times New Roman" w:hAnsi="Times New Roman" w:cs="Times New Roman"/>
          <w:sz w:val="24"/>
          <w:szCs w:val="24"/>
          <w:lang w:val="en-US"/>
        </w:rPr>
        <w:t>ru</w:t>
      </w:r>
      <w:r w:rsidRPr="00500AB2">
        <w:rPr>
          <w:rFonts w:ascii="Times New Roman" w:hAnsi="Times New Roman" w:cs="Times New Roman"/>
          <w:sz w:val="24"/>
          <w:szCs w:val="24"/>
        </w:rPr>
        <w:t>/</w:t>
      </w:r>
      <w:r w:rsidRPr="00500AB2">
        <w:rPr>
          <w:rFonts w:ascii="Times New Roman" w:hAnsi="Times New Roman" w:cs="Times New Roman"/>
          <w:sz w:val="24"/>
          <w:szCs w:val="24"/>
          <w:lang w:val="en-US"/>
        </w:rPr>
        <w:t>article</w:t>
      </w:r>
      <w:r w:rsidRPr="00500AB2">
        <w:rPr>
          <w:rFonts w:ascii="Times New Roman" w:hAnsi="Times New Roman" w:cs="Times New Roman"/>
          <w:sz w:val="24"/>
          <w:szCs w:val="24"/>
        </w:rPr>
        <w:t>/</w:t>
      </w:r>
      <w:r w:rsidRPr="00500AB2">
        <w:rPr>
          <w:rFonts w:ascii="Times New Roman" w:hAnsi="Times New Roman" w:cs="Times New Roman"/>
          <w:sz w:val="24"/>
          <w:szCs w:val="24"/>
          <w:lang w:val="en-US"/>
        </w:rPr>
        <w:t>kagdiy</w:t>
      </w:r>
      <w:r w:rsidRPr="00500AB2">
        <w:rPr>
          <w:rFonts w:ascii="Times New Roman" w:hAnsi="Times New Roman" w:cs="Times New Roman"/>
          <w:sz w:val="24"/>
          <w:szCs w:val="24"/>
        </w:rPr>
        <w:t>-</w:t>
      </w:r>
      <w:r w:rsidRPr="00500AB2">
        <w:rPr>
          <w:rFonts w:ascii="Times New Roman" w:hAnsi="Times New Roman" w:cs="Times New Roman"/>
          <w:sz w:val="24"/>
          <w:szCs w:val="24"/>
          <w:lang w:val="en-US"/>
        </w:rPr>
        <w:t>pyatiy</w:t>
      </w:r>
      <w:r w:rsidRPr="00500AB2">
        <w:rPr>
          <w:rFonts w:ascii="Times New Roman" w:hAnsi="Times New Roman" w:cs="Times New Roman"/>
          <w:sz w:val="24"/>
          <w:szCs w:val="24"/>
        </w:rPr>
        <w:t>-</w:t>
      </w:r>
      <w:r w:rsidRPr="00500AB2">
        <w:rPr>
          <w:rFonts w:ascii="Times New Roman" w:hAnsi="Times New Roman" w:cs="Times New Roman"/>
          <w:sz w:val="24"/>
          <w:szCs w:val="24"/>
          <w:lang w:val="en-US"/>
        </w:rPr>
        <w:t>bank</w:t>
      </w:r>
      <w:r w:rsidRPr="00500AB2">
        <w:rPr>
          <w:rFonts w:ascii="Times New Roman" w:hAnsi="Times New Roman" w:cs="Times New Roman"/>
          <w:sz w:val="24"/>
          <w:szCs w:val="24"/>
        </w:rPr>
        <w:t>-</w:t>
      </w:r>
      <w:r w:rsidRPr="00500AB2">
        <w:rPr>
          <w:rFonts w:ascii="Times New Roman" w:hAnsi="Times New Roman" w:cs="Times New Roman"/>
          <w:sz w:val="24"/>
          <w:szCs w:val="24"/>
          <w:lang w:val="en-US"/>
        </w:rPr>
        <w:t>rossii</w:t>
      </w:r>
      <w:r w:rsidRPr="00500AB2">
        <w:rPr>
          <w:rFonts w:ascii="Times New Roman" w:hAnsi="Times New Roman" w:cs="Times New Roman"/>
          <w:sz w:val="24"/>
          <w:szCs w:val="24"/>
        </w:rPr>
        <w:t>-</w:t>
      </w:r>
      <w:r w:rsidRPr="00500AB2">
        <w:rPr>
          <w:rFonts w:ascii="Times New Roman" w:hAnsi="Times New Roman" w:cs="Times New Roman"/>
          <w:sz w:val="24"/>
          <w:szCs w:val="24"/>
          <w:lang w:val="en-US"/>
        </w:rPr>
        <w:t>ispolzuet</w:t>
      </w:r>
      <w:r w:rsidRPr="00500AB2">
        <w:rPr>
          <w:rFonts w:ascii="Times New Roman" w:hAnsi="Times New Roman" w:cs="Times New Roman"/>
          <w:sz w:val="24"/>
          <w:szCs w:val="24"/>
        </w:rPr>
        <w:t>-</w:t>
      </w:r>
      <w:r w:rsidRPr="00500AB2">
        <w:rPr>
          <w:rFonts w:ascii="Times New Roman" w:hAnsi="Times New Roman" w:cs="Times New Roman"/>
          <w:sz w:val="24"/>
          <w:szCs w:val="24"/>
          <w:lang w:val="en-US"/>
        </w:rPr>
        <w:t>chat</w:t>
      </w:r>
      <w:r w:rsidRPr="00500AB2">
        <w:rPr>
          <w:rFonts w:ascii="Times New Roman" w:hAnsi="Times New Roman" w:cs="Times New Roman"/>
          <w:sz w:val="24"/>
          <w:szCs w:val="24"/>
        </w:rPr>
        <w:t>-</w:t>
      </w:r>
      <w:r w:rsidRPr="00500AB2">
        <w:rPr>
          <w:rFonts w:ascii="Times New Roman" w:hAnsi="Times New Roman" w:cs="Times New Roman"/>
          <w:sz w:val="24"/>
          <w:szCs w:val="24"/>
          <w:lang w:val="en-US"/>
        </w:rPr>
        <w:t>botov</w:t>
      </w:r>
      <w:r w:rsidRPr="00500AB2">
        <w:rPr>
          <w:rFonts w:ascii="Times New Roman" w:hAnsi="Times New Roman" w:cs="Times New Roman"/>
          <w:sz w:val="24"/>
          <w:szCs w:val="24"/>
        </w:rPr>
        <w:t>-66961</w:t>
      </w:r>
    </w:p>
    <w:p w:rsidR="00500AB2" w:rsidRPr="00500AB2" w:rsidRDefault="00500AB2" w:rsidP="00500AB2">
      <w:pPr>
        <w:numPr>
          <w:ilvl w:val="0"/>
          <w:numId w:val="111"/>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jc w:val="both"/>
        <w:rPr>
          <w:rFonts w:ascii="Times New Roman" w:hAnsi="Times New Roman" w:cs="Times New Roman"/>
          <w:sz w:val="24"/>
          <w:szCs w:val="24"/>
        </w:rPr>
      </w:pPr>
      <w:r w:rsidRPr="00500AB2">
        <w:rPr>
          <w:rFonts w:ascii="Times New Roman" w:hAnsi="Times New Roman" w:cs="Times New Roman"/>
          <w:sz w:val="24"/>
          <w:szCs w:val="24"/>
        </w:rPr>
        <w:t xml:space="preserve">Одияко Н.Н. Оптимизация работы информационной системы предприятия малого бизнеса по оказанию консультационных услуг / Одияко Н.Н., Голодная Н.Ю., Реуцкий Р.С. // Фундаментальные исследования. </w:t>
      </w:r>
      <w:r w:rsidRPr="00500AB2">
        <w:rPr>
          <w:rFonts w:ascii="Times New Roman" w:hAnsi="Times New Roman" w:cs="Times New Roman"/>
          <w:sz w:val="24"/>
          <w:szCs w:val="24"/>
        </w:rPr>
        <w:sym w:font="Symbol" w:char="F02D"/>
      </w:r>
      <w:r w:rsidRPr="00500AB2">
        <w:rPr>
          <w:rFonts w:ascii="Times New Roman" w:hAnsi="Times New Roman" w:cs="Times New Roman"/>
          <w:sz w:val="24"/>
          <w:szCs w:val="24"/>
        </w:rPr>
        <w:t xml:space="preserve"> 2016. № 12-5.</w:t>
      </w:r>
    </w:p>
    <w:p w:rsidR="00500AB2" w:rsidRPr="00500AB2" w:rsidRDefault="00500AB2" w:rsidP="00500AB2">
      <w:pPr>
        <w:numPr>
          <w:ilvl w:val="0"/>
          <w:numId w:val="111"/>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jc w:val="both"/>
        <w:rPr>
          <w:rFonts w:ascii="Times New Roman" w:hAnsi="Times New Roman" w:cs="Times New Roman"/>
          <w:sz w:val="24"/>
          <w:szCs w:val="24"/>
        </w:rPr>
      </w:pPr>
      <w:r w:rsidRPr="00500AB2">
        <w:rPr>
          <w:rFonts w:ascii="Times New Roman" w:hAnsi="Times New Roman" w:cs="Times New Roman"/>
          <w:sz w:val="24"/>
          <w:szCs w:val="24"/>
        </w:rPr>
        <w:t xml:space="preserve">Одияко Н.Н. Бизнес-планирование как переход к новому качеству экономического развития в рыночных условиях / Одияко Н.Н., Гусев Е.Г., Голодная Н.Ю. // Экономика и предпринимательство. </w:t>
      </w:r>
      <w:r w:rsidRPr="00500AB2">
        <w:rPr>
          <w:rFonts w:ascii="Times New Roman" w:hAnsi="Times New Roman" w:cs="Times New Roman"/>
          <w:sz w:val="24"/>
          <w:szCs w:val="24"/>
        </w:rPr>
        <w:sym w:font="Symbol" w:char="F02D"/>
      </w:r>
      <w:r w:rsidRPr="00500AB2">
        <w:rPr>
          <w:rFonts w:ascii="Times New Roman" w:hAnsi="Times New Roman" w:cs="Times New Roman"/>
          <w:sz w:val="24"/>
          <w:szCs w:val="24"/>
        </w:rPr>
        <w:t xml:space="preserve"> 2015. № 5-1 (58-1). </w:t>
      </w:r>
    </w:p>
    <w:p w:rsidR="00500AB2" w:rsidRPr="00500AB2" w:rsidRDefault="00500AB2" w:rsidP="00500AB2">
      <w:pPr>
        <w:numPr>
          <w:ilvl w:val="0"/>
          <w:numId w:val="111"/>
        </w:numPr>
        <w:pBdr>
          <w:top w:val="none" w:sz="0" w:space="0" w:color="auto"/>
          <w:left w:val="none" w:sz="0" w:space="0" w:color="auto"/>
          <w:bottom w:val="none" w:sz="0" w:space="0" w:color="auto"/>
          <w:right w:val="none" w:sz="0" w:space="0" w:color="auto"/>
          <w:between w:val="none" w:sz="0" w:space="0" w:color="auto"/>
        </w:pBdr>
        <w:ind w:left="0" w:firstLine="709"/>
        <w:contextualSpacing/>
        <w:rPr>
          <w:rFonts w:ascii="Times New Roman" w:hAnsi="Times New Roman" w:cs="Times New Roman"/>
          <w:sz w:val="24"/>
          <w:szCs w:val="24"/>
        </w:rPr>
      </w:pPr>
      <w:r w:rsidRPr="00500AB2">
        <w:rPr>
          <w:rFonts w:ascii="Times New Roman" w:hAnsi="Times New Roman" w:cs="Times New Roman"/>
          <w:sz w:val="24"/>
          <w:szCs w:val="24"/>
        </w:rPr>
        <w:t>Сергей Рыжиков (1С-Битрикс): «Мир стал социальным. Он построен на обратной связи» / Секреты Фирмы [Электронный ресурс] / Секреты Фирмы, 2016 - Режим доступа: https://secretma</w:t>
      </w:r>
      <w:r w:rsidRPr="00500AB2">
        <w:rPr>
          <w:rFonts w:ascii="Times New Roman" w:hAnsi="Times New Roman" w:cs="Times New Roman"/>
          <w:sz w:val="24"/>
          <w:szCs w:val="24"/>
          <w:lang w:val="en-US"/>
        </w:rPr>
        <w:t>g</w:t>
      </w:r>
      <w:r w:rsidRPr="00500AB2">
        <w:rPr>
          <w:rFonts w:ascii="Times New Roman" w:hAnsi="Times New Roman" w:cs="Times New Roman"/>
          <w:sz w:val="24"/>
          <w:szCs w:val="24"/>
        </w:rPr>
        <w:t>.</w:t>
      </w:r>
      <w:r w:rsidRPr="00500AB2">
        <w:rPr>
          <w:rFonts w:ascii="Times New Roman" w:hAnsi="Times New Roman" w:cs="Times New Roman"/>
          <w:sz w:val="24"/>
          <w:szCs w:val="24"/>
          <w:lang w:val="en-US"/>
        </w:rPr>
        <w:t>ru</w:t>
      </w:r>
      <w:r w:rsidRPr="00500AB2">
        <w:rPr>
          <w:rFonts w:ascii="Times New Roman" w:hAnsi="Times New Roman" w:cs="Times New Roman"/>
          <w:sz w:val="24"/>
          <w:szCs w:val="24"/>
        </w:rPr>
        <w:t>/</w:t>
      </w:r>
      <w:r w:rsidRPr="00500AB2">
        <w:rPr>
          <w:rFonts w:ascii="Times New Roman" w:hAnsi="Times New Roman" w:cs="Times New Roman"/>
          <w:sz w:val="24"/>
          <w:szCs w:val="24"/>
          <w:lang w:val="en-US"/>
        </w:rPr>
        <w:t>trends</w:t>
      </w:r>
      <w:r w:rsidRPr="00500AB2">
        <w:rPr>
          <w:rFonts w:ascii="Times New Roman" w:hAnsi="Times New Roman" w:cs="Times New Roman"/>
          <w:sz w:val="24"/>
          <w:szCs w:val="24"/>
        </w:rPr>
        <w:t>/</w:t>
      </w:r>
      <w:r w:rsidRPr="00500AB2">
        <w:rPr>
          <w:rFonts w:ascii="Times New Roman" w:hAnsi="Times New Roman" w:cs="Times New Roman"/>
          <w:sz w:val="24"/>
          <w:szCs w:val="24"/>
          <w:lang w:val="en-US"/>
        </w:rPr>
        <w:t>players</w:t>
      </w:r>
      <w:r w:rsidRPr="00500AB2">
        <w:rPr>
          <w:rFonts w:ascii="Times New Roman" w:hAnsi="Times New Roman" w:cs="Times New Roman"/>
          <w:sz w:val="24"/>
          <w:szCs w:val="24"/>
        </w:rPr>
        <w:t>/</w:t>
      </w:r>
      <w:r w:rsidRPr="00500AB2">
        <w:rPr>
          <w:rFonts w:ascii="Times New Roman" w:hAnsi="Times New Roman" w:cs="Times New Roman"/>
          <w:sz w:val="24"/>
          <w:szCs w:val="24"/>
          <w:lang w:val="en-US"/>
        </w:rPr>
        <w:t>sergej</w:t>
      </w:r>
      <w:r w:rsidRPr="00500AB2">
        <w:rPr>
          <w:rFonts w:ascii="Times New Roman" w:hAnsi="Times New Roman" w:cs="Times New Roman"/>
          <w:sz w:val="24"/>
          <w:szCs w:val="24"/>
        </w:rPr>
        <w:t>-</w:t>
      </w:r>
      <w:r w:rsidRPr="00500AB2">
        <w:rPr>
          <w:rFonts w:ascii="Times New Roman" w:hAnsi="Times New Roman" w:cs="Times New Roman"/>
          <w:sz w:val="24"/>
          <w:szCs w:val="24"/>
          <w:lang w:val="en-US"/>
        </w:rPr>
        <w:t>ryzhikov</w:t>
      </w:r>
      <w:r w:rsidRPr="00500AB2">
        <w:rPr>
          <w:rFonts w:ascii="Times New Roman" w:hAnsi="Times New Roman" w:cs="Times New Roman"/>
          <w:sz w:val="24"/>
          <w:szCs w:val="24"/>
        </w:rPr>
        <w:t>-</w:t>
      </w:r>
      <w:r w:rsidRPr="00500AB2">
        <w:rPr>
          <w:rFonts w:ascii="Times New Roman" w:hAnsi="Times New Roman" w:cs="Times New Roman"/>
          <w:sz w:val="24"/>
          <w:szCs w:val="24"/>
          <w:lang w:val="en-US"/>
        </w:rPr>
        <w:t>s</w:t>
      </w:r>
      <w:r w:rsidRPr="00500AB2">
        <w:rPr>
          <w:rFonts w:ascii="Times New Roman" w:hAnsi="Times New Roman" w:cs="Times New Roman"/>
          <w:sz w:val="24"/>
          <w:szCs w:val="24"/>
        </w:rPr>
        <w:t>-</w:t>
      </w:r>
      <w:r w:rsidRPr="00500AB2">
        <w:rPr>
          <w:rFonts w:ascii="Times New Roman" w:hAnsi="Times New Roman" w:cs="Times New Roman"/>
          <w:sz w:val="24"/>
          <w:szCs w:val="24"/>
          <w:lang w:val="en-US"/>
        </w:rPr>
        <w:t>bitriks</w:t>
      </w:r>
      <w:r w:rsidRPr="00500AB2">
        <w:rPr>
          <w:rFonts w:ascii="Times New Roman" w:hAnsi="Times New Roman" w:cs="Times New Roman"/>
          <w:sz w:val="24"/>
          <w:szCs w:val="24"/>
        </w:rPr>
        <w:t>.</w:t>
      </w:r>
      <w:r w:rsidRPr="00500AB2">
        <w:rPr>
          <w:rFonts w:ascii="Times New Roman" w:hAnsi="Times New Roman" w:cs="Times New Roman"/>
          <w:sz w:val="24"/>
          <w:szCs w:val="24"/>
          <w:lang w:val="en-US"/>
        </w:rPr>
        <w:t>htm</w:t>
      </w:r>
    </w:p>
    <w:p w:rsidR="00500AB2" w:rsidRPr="00500AB2" w:rsidRDefault="00500AB2" w:rsidP="00500AB2">
      <w:pPr>
        <w:numPr>
          <w:ilvl w:val="0"/>
          <w:numId w:val="111"/>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jc w:val="both"/>
        <w:rPr>
          <w:rFonts w:ascii="Times New Roman" w:hAnsi="Times New Roman" w:cs="Times New Roman"/>
          <w:sz w:val="24"/>
          <w:szCs w:val="24"/>
        </w:rPr>
      </w:pPr>
      <w:r w:rsidRPr="00500AB2">
        <w:rPr>
          <w:rFonts w:ascii="Times New Roman" w:hAnsi="Times New Roman" w:cs="Times New Roman"/>
          <w:sz w:val="24"/>
          <w:szCs w:val="24"/>
        </w:rPr>
        <w:t xml:space="preserve">Одияко Н.Н. Оптимизация деятельности предприятий малого бизнеса как основа повышения качества обслуживания населения / Одияко Н.Н., Голодная Н.Ю., Гузенко А.Г., Гусев Е.Г. // Экономика и предпринимательство. </w:t>
      </w:r>
      <w:r w:rsidRPr="00500AB2">
        <w:rPr>
          <w:rFonts w:ascii="Times New Roman" w:hAnsi="Times New Roman" w:cs="Times New Roman"/>
          <w:sz w:val="24"/>
          <w:szCs w:val="24"/>
        </w:rPr>
        <w:sym w:font="Symbol" w:char="F02D"/>
      </w:r>
      <w:r w:rsidRPr="00500AB2">
        <w:rPr>
          <w:rFonts w:ascii="Times New Roman" w:hAnsi="Times New Roman" w:cs="Times New Roman"/>
          <w:sz w:val="24"/>
          <w:szCs w:val="24"/>
        </w:rPr>
        <w:t xml:space="preserve"> 2016. № 6 (71).</w:t>
      </w:r>
    </w:p>
    <w:p w:rsidR="00500AB2" w:rsidRPr="00500AB2" w:rsidRDefault="00500AB2" w:rsidP="00500AB2">
      <w:pPr>
        <w:numPr>
          <w:ilvl w:val="0"/>
          <w:numId w:val="111"/>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jc w:val="both"/>
        <w:rPr>
          <w:rFonts w:ascii="Times New Roman" w:hAnsi="Times New Roman" w:cs="Times New Roman"/>
          <w:sz w:val="24"/>
          <w:szCs w:val="24"/>
        </w:rPr>
      </w:pPr>
      <w:r w:rsidRPr="00500AB2">
        <w:rPr>
          <w:rFonts w:ascii="Times New Roman" w:hAnsi="Times New Roman" w:cs="Times New Roman"/>
          <w:sz w:val="24"/>
          <w:szCs w:val="24"/>
        </w:rPr>
        <w:t>Одияко Н.Н. Создание интерфейса взаимодействия пользователя с базой данных предприятия / Одияко Н.Н., Ермак И.В. // Интеллектуальный потенциал вузов - на развитие дальневосточного региона России и стран АТР Материалы Х</w:t>
      </w:r>
      <w:r w:rsidRPr="00500AB2">
        <w:rPr>
          <w:rFonts w:ascii="Times New Roman" w:hAnsi="Times New Roman" w:cs="Times New Roman"/>
          <w:sz w:val="24"/>
          <w:szCs w:val="24"/>
          <w:lang w:val="en-US"/>
        </w:rPr>
        <w:t>VIII</w:t>
      </w:r>
      <w:r w:rsidRPr="00500AB2">
        <w:rPr>
          <w:rFonts w:ascii="Times New Roman" w:hAnsi="Times New Roman" w:cs="Times New Roman"/>
          <w:sz w:val="24"/>
          <w:szCs w:val="24"/>
        </w:rPr>
        <w:t xml:space="preserve"> Международной конференции студентов, аспирантов и молодых ученых. </w:t>
      </w:r>
      <w:r w:rsidRPr="00500AB2">
        <w:rPr>
          <w:rFonts w:ascii="Times New Roman" w:hAnsi="Times New Roman" w:cs="Times New Roman"/>
          <w:sz w:val="24"/>
          <w:szCs w:val="24"/>
        </w:rPr>
        <w:sym w:font="Symbol" w:char="F02D"/>
      </w:r>
      <w:r w:rsidRPr="00500AB2">
        <w:rPr>
          <w:rFonts w:ascii="Times New Roman" w:hAnsi="Times New Roman" w:cs="Times New Roman"/>
          <w:sz w:val="24"/>
          <w:szCs w:val="24"/>
        </w:rPr>
        <w:t xml:space="preserve"> 2016. </w:t>
      </w:r>
    </w:p>
    <w:p w:rsidR="00500AB2" w:rsidRPr="00500AB2" w:rsidRDefault="00500AB2" w:rsidP="00500AB2">
      <w:pPr>
        <w:numPr>
          <w:ilvl w:val="0"/>
          <w:numId w:val="111"/>
        </w:numPr>
        <w:pBdr>
          <w:top w:val="none" w:sz="0" w:space="0" w:color="auto"/>
          <w:left w:val="none" w:sz="0" w:space="0" w:color="auto"/>
          <w:bottom w:val="none" w:sz="0" w:space="0" w:color="auto"/>
          <w:right w:val="none" w:sz="0" w:space="0" w:color="auto"/>
          <w:between w:val="none" w:sz="0" w:space="0" w:color="auto"/>
        </w:pBdr>
        <w:ind w:left="0" w:firstLine="709"/>
        <w:contextualSpacing/>
        <w:rPr>
          <w:rFonts w:ascii="Times New Roman" w:hAnsi="Times New Roman" w:cs="Times New Roman"/>
          <w:sz w:val="24"/>
          <w:szCs w:val="24"/>
        </w:rPr>
      </w:pPr>
      <w:r w:rsidRPr="00500AB2">
        <w:rPr>
          <w:rFonts w:ascii="Times New Roman" w:hAnsi="Times New Roman" w:cs="Times New Roman"/>
          <w:sz w:val="24"/>
          <w:szCs w:val="24"/>
        </w:rPr>
        <w:t>Объектно-ориентированный анализ и проектирование с использованием UML и IBM RationalRose: учебное пособие / А. В. Леоненков; Интернет-Ун-т Информ. Технологий (ИНТУИТ). - М.: ИНТУИТ: БИНОМ. ЛЗ, 2006. - 320 с.: ил. - (Основы информационных технологий).</w:t>
      </w:r>
    </w:p>
    <w:p w:rsidR="00500AB2" w:rsidRPr="00500AB2" w:rsidRDefault="00500AB2" w:rsidP="00500AB2">
      <w:pPr>
        <w:numPr>
          <w:ilvl w:val="0"/>
          <w:numId w:val="111"/>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jc w:val="both"/>
        <w:rPr>
          <w:rFonts w:ascii="Times New Roman" w:hAnsi="Times New Roman" w:cs="Times New Roman"/>
          <w:sz w:val="24"/>
          <w:szCs w:val="24"/>
        </w:rPr>
      </w:pPr>
      <w:r w:rsidRPr="00500AB2">
        <w:rPr>
          <w:rFonts w:ascii="Times New Roman" w:hAnsi="Times New Roman" w:cs="Times New Roman"/>
          <w:sz w:val="24"/>
          <w:szCs w:val="24"/>
        </w:rPr>
        <w:t xml:space="preserve">Одияко Н.Н. Применение аддитивной и мультипликативной моделей прогнозирования / Одияко Н.Н., Голодная Н.Ю. // Экономика и предпринимательство. </w:t>
      </w:r>
      <w:r w:rsidRPr="00500AB2">
        <w:rPr>
          <w:rFonts w:ascii="Times New Roman" w:hAnsi="Times New Roman" w:cs="Times New Roman"/>
          <w:sz w:val="24"/>
          <w:szCs w:val="24"/>
        </w:rPr>
        <w:sym w:font="Symbol" w:char="F02D"/>
      </w:r>
      <w:r w:rsidRPr="00500AB2">
        <w:rPr>
          <w:rFonts w:ascii="Times New Roman" w:hAnsi="Times New Roman" w:cs="Times New Roman"/>
          <w:sz w:val="24"/>
          <w:szCs w:val="24"/>
        </w:rPr>
        <w:t xml:space="preserve"> 2013. № 12-1 (41-1). </w:t>
      </w:r>
    </w:p>
    <w:p w:rsidR="00500AB2" w:rsidRPr="00500AB2" w:rsidRDefault="00500AB2" w:rsidP="00500AB2">
      <w:pPr>
        <w:numPr>
          <w:ilvl w:val="0"/>
          <w:numId w:val="111"/>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jc w:val="both"/>
        <w:rPr>
          <w:rFonts w:ascii="Times New Roman" w:hAnsi="Times New Roman" w:cs="Times New Roman"/>
          <w:sz w:val="24"/>
          <w:szCs w:val="24"/>
        </w:rPr>
      </w:pPr>
      <w:r w:rsidRPr="00500AB2">
        <w:rPr>
          <w:rFonts w:ascii="Times New Roman" w:hAnsi="Times New Roman" w:cs="Times New Roman"/>
          <w:sz w:val="24"/>
          <w:szCs w:val="24"/>
        </w:rPr>
        <w:t xml:space="preserve">Гузенко А.Г. МОДЕЛИРОВАНИЕ ПОТРЕБИТЕЛЬСКОГО РЫНКА ТОРГОВОЙ МАРКИ / Гузенко А.Г., Одияко Н.Н., Лавренюк К.И. // Экономика и предпринимательство. </w:t>
      </w:r>
      <w:r w:rsidRPr="00500AB2">
        <w:rPr>
          <w:rFonts w:ascii="Times New Roman" w:hAnsi="Times New Roman" w:cs="Times New Roman"/>
          <w:sz w:val="24"/>
          <w:szCs w:val="24"/>
        </w:rPr>
        <w:sym w:font="Symbol" w:char="F02D"/>
      </w:r>
      <w:r w:rsidRPr="00500AB2">
        <w:rPr>
          <w:rFonts w:ascii="Times New Roman" w:hAnsi="Times New Roman" w:cs="Times New Roman"/>
          <w:sz w:val="24"/>
          <w:szCs w:val="24"/>
        </w:rPr>
        <w:t xml:space="preserve"> 2013. № 5 (34). </w:t>
      </w:r>
    </w:p>
    <w:p w:rsidR="00500AB2" w:rsidRPr="00500AB2" w:rsidRDefault="00500AB2" w:rsidP="00500AB2">
      <w:pPr>
        <w:numPr>
          <w:ilvl w:val="0"/>
          <w:numId w:val="111"/>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jc w:val="both"/>
        <w:rPr>
          <w:rFonts w:ascii="Times New Roman" w:hAnsi="Times New Roman" w:cs="Times New Roman"/>
          <w:sz w:val="24"/>
          <w:szCs w:val="24"/>
        </w:rPr>
      </w:pPr>
      <w:r w:rsidRPr="00500AB2">
        <w:rPr>
          <w:rFonts w:ascii="Times New Roman" w:hAnsi="Times New Roman" w:cs="Times New Roman"/>
          <w:sz w:val="24"/>
          <w:szCs w:val="24"/>
        </w:rPr>
        <w:t xml:space="preserve">Одияко Н.Н. Имитационное моделирование в анализе инвестиционного проекта / Одияко Н.Н., Гриванова С.М., Гузенко А.Г. // Экономика и предпринимательство. </w:t>
      </w:r>
      <w:r w:rsidRPr="00500AB2">
        <w:rPr>
          <w:rFonts w:ascii="Times New Roman" w:hAnsi="Times New Roman" w:cs="Times New Roman"/>
          <w:sz w:val="24"/>
          <w:szCs w:val="24"/>
        </w:rPr>
        <w:sym w:font="Symbol" w:char="F02D"/>
      </w:r>
      <w:r w:rsidRPr="00500AB2">
        <w:rPr>
          <w:rFonts w:ascii="Times New Roman" w:hAnsi="Times New Roman" w:cs="Times New Roman"/>
          <w:sz w:val="24"/>
          <w:szCs w:val="24"/>
        </w:rPr>
        <w:t xml:space="preserve"> 2014. № 12-3 (53-3).</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p>
    <w:p w:rsidR="00A17BCD" w:rsidRDefault="00A17BCD" w:rsidP="005E1201">
      <w:pPr>
        <w:pStyle w:val="af4"/>
        <w:spacing w:after="0" w:line="240" w:lineRule="auto"/>
        <w:ind w:left="0"/>
        <w:jc w:val="both"/>
        <w:rPr>
          <w:rFonts w:ascii="Times New Roman" w:eastAsia="Calibri" w:hAnsi="Times New Roman"/>
          <w:b/>
          <w:color w:val="000000"/>
          <w:sz w:val="20"/>
          <w:szCs w:val="20"/>
        </w:rPr>
      </w:pPr>
    </w:p>
    <w:p w:rsidR="00500AB2" w:rsidRDefault="00500AB2" w:rsidP="005E1201">
      <w:pPr>
        <w:pStyle w:val="af4"/>
        <w:spacing w:after="0" w:line="240" w:lineRule="auto"/>
        <w:ind w:left="0"/>
        <w:jc w:val="both"/>
        <w:rPr>
          <w:rFonts w:ascii="Times New Roman" w:eastAsia="Calibri" w:hAnsi="Times New Roman"/>
          <w:b/>
          <w:color w:val="000000"/>
          <w:sz w:val="20"/>
          <w:szCs w:val="20"/>
        </w:rPr>
      </w:pPr>
    </w:p>
    <w:p w:rsidR="00500AB2" w:rsidRDefault="00500AB2" w:rsidP="005E1201">
      <w:pPr>
        <w:pStyle w:val="af4"/>
        <w:spacing w:after="0" w:line="240" w:lineRule="auto"/>
        <w:ind w:left="0"/>
        <w:jc w:val="both"/>
        <w:rPr>
          <w:rFonts w:ascii="Times New Roman" w:eastAsia="Calibri" w:hAnsi="Times New Roman"/>
          <w:b/>
          <w:color w:val="000000"/>
          <w:sz w:val="20"/>
          <w:szCs w:val="20"/>
        </w:rPr>
      </w:pPr>
    </w:p>
    <w:p w:rsidR="00500AB2" w:rsidRDefault="00500AB2" w:rsidP="005E1201">
      <w:pPr>
        <w:pStyle w:val="af4"/>
        <w:spacing w:after="0" w:line="240" w:lineRule="auto"/>
        <w:ind w:left="0"/>
        <w:jc w:val="both"/>
        <w:rPr>
          <w:rFonts w:ascii="Times New Roman" w:eastAsia="Calibri" w:hAnsi="Times New Roman"/>
          <w:b/>
          <w:color w:val="000000"/>
          <w:sz w:val="20"/>
          <w:szCs w:val="20"/>
        </w:rPr>
      </w:pPr>
    </w:p>
    <w:p w:rsidR="00500AB2" w:rsidRDefault="00500AB2" w:rsidP="005E1201">
      <w:pPr>
        <w:pStyle w:val="af4"/>
        <w:spacing w:after="0" w:line="240" w:lineRule="auto"/>
        <w:ind w:left="0"/>
        <w:jc w:val="both"/>
        <w:rPr>
          <w:rFonts w:ascii="Times New Roman" w:eastAsia="Calibri" w:hAnsi="Times New Roman"/>
          <w:b/>
          <w:color w:val="000000"/>
          <w:sz w:val="20"/>
          <w:szCs w:val="20"/>
        </w:rPr>
      </w:pPr>
    </w:p>
    <w:p w:rsidR="00500AB2" w:rsidRDefault="00500AB2" w:rsidP="005E1201">
      <w:pPr>
        <w:pStyle w:val="af4"/>
        <w:spacing w:after="0" w:line="240" w:lineRule="auto"/>
        <w:ind w:left="0"/>
        <w:jc w:val="both"/>
        <w:rPr>
          <w:rFonts w:ascii="Times New Roman" w:eastAsia="Calibri" w:hAnsi="Times New Roman"/>
          <w:b/>
          <w:color w:val="000000"/>
          <w:sz w:val="20"/>
          <w:szCs w:val="20"/>
        </w:rPr>
      </w:pPr>
    </w:p>
    <w:p w:rsidR="00500AB2" w:rsidRDefault="00500AB2" w:rsidP="005E1201">
      <w:pPr>
        <w:pStyle w:val="af4"/>
        <w:spacing w:after="0" w:line="240" w:lineRule="auto"/>
        <w:ind w:left="0"/>
        <w:jc w:val="both"/>
        <w:rPr>
          <w:rFonts w:ascii="Times New Roman" w:eastAsia="Calibri" w:hAnsi="Times New Roman"/>
          <w:b/>
          <w:color w:val="000000"/>
          <w:sz w:val="20"/>
          <w:szCs w:val="20"/>
        </w:rPr>
      </w:pPr>
    </w:p>
    <w:p w:rsidR="00500AB2" w:rsidRDefault="00500AB2" w:rsidP="005E1201">
      <w:pPr>
        <w:pStyle w:val="af4"/>
        <w:spacing w:after="0" w:line="240" w:lineRule="auto"/>
        <w:ind w:left="0"/>
        <w:jc w:val="both"/>
        <w:rPr>
          <w:rFonts w:ascii="Times New Roman" w:eastAsia="Calibri" w:hAnsi="Times New Roman"/>
          <w:b/>
          <w:color w:val="000000"/>
          <w:sz w:val="20"/>
          <w:szCs w:val="20"/>
        </w:rPr>
      </w:pPr>
    </w:p>
    <w:p w:rsidR="00500AB2" w:rsidRDefault="00500AB2" w:rsidP="005E1201">
      <w:pPr>
        <w:pStyle w:val="af4"/>
        <w:spacing w:after="0" w:line="240" w:lineRule="auto"/>
        <w:ind w:left="0"/>
        <w:jc w:val="both"/>
        <w:rPr>
          <w:rFonts w:ascii="Times New Roman" w:eastAsia="Calibri" w:hAnsi="Times New Roman"/>
          <w:b/>
          <w:color w:val="000000"/>
          <w:sz w:val="20"/>
          <w:szCs w:val="20"/>
        </w:rPr>
      </w:pPr>
    </w:p>
    <w:p w:rsidR="00500AB2" w:rsidRDefault="00500AB2" w:rsidP="005E1201">
      <w:pPr>
        <w:pStyle w:val="af4"/>
        <w:spacing w:after="0" w:line="240" w:lineRule="auto"/>
        <w:ind w:left="0"/>
        <w:jc w:val="both"/>
        <w:rPr>
          <w:rFonts w:ascii="Times New Roman" w:eastAsia="Calibri" w:hAnsi="Times New Roman"/>
          <w:b/>
          <w:color w:val="000000"/>
          <w:sz w:val="20"/>
          <w:szCs w:val="20"/>
        </w:rPr>
      </w:pPr>
    </w:p>
    <w:p w:rsidR="00500AB2" w:rsidRDefault="00500AB2" w:rsidP="005E1201">
      <w:pPr>
        <w:pStyle w:val="af4"/>
        <w:spacing w:after="0" w:line="240" w:lineRule="auto"/>
        <w:ind w:left="0"/>
        <w:jc w:val="both"/>
        <w:rPr>
          <w:rFonts w:ascii="Times New Roman" w:eastAsia="Calibri" w:hAnsi="Times New Roman"/>
          <w:b/>
          <w:color w:val="000000"/>
          <w:sz w:val="20"/>
          <w:szCs w:val="20"/>
        </w:rPr>
      </w:pPr>
    </w:p>
    <w:p w:rsidR="00500AB2" w:rsidRDefault="00500AB2" w:rsidP="005E1201">
      <w:pPr>
        <w:pStyle w:val="af4"/>
        <w:spacing w:after="0" w:line="240" w:lineRule="auto"/>
        <w:ind w:left="0"/>
        <w:jc w:val="both"/>
        <w:rPr>
          <w:rFonts w:ascii="Times New Roman" w:eastAsia="Calibri" w:hAnsi="Times New Roman"/>
          <w:b/>
          <w:color w:val="000000"/>
          <w:sz w:val="20"/>
          <w:szCs w:val="20"/>
        </w:rPr>
      </w:pPr>
    </w:p>
    <w:p w:rsidR="00500AB2" w:rsidRDefault="00500AB2" w:rsidP="005E1201">
      <w:pPr>
        <w:pStyle w:val="af4"/>
        <w:spacing w:after="0" w:line="240" w:lineRule="auto"/>
        <w:ind w:left="0"/>
        <w:jc w:val="both"/>
        <w:rPr>
          <w:rFonts w:ascii="Times New Roman" w:eastAsia="Calibri" w:hAnsi="Times New Roman"/>
          <w:b/>
          <w:color w:val="000000"/>
          <w:sz w:val="20"/>
          <w:szCs w:val="20"/>
        </w:rPr>
      </w:pPr>
    </w:p>
    <w:p w:rsidR="00500AB2" w:rsidRDefault="00500AB2" w:rsidP="005E1201">
      <w:pPr>
        <w:pStyle w:val="af4"/>
        <w:spacing w:after="0" w:line="240" w:lineRule="auto"/>
        <w:ind w:left="0"/>
        <w:jc w:val="both"/>
        <w:rPr>
          <w:rFonts w:ascii="Times New Roman" w:eastAsia="Calibri" w:hAnsi="Times New Roman"/>
          <w:b/>
          <w:color w:val="000000"/>
          <w:sz w:val="20"/>
          <w:szCs w:val="20"/>
        </w:rPr>
      </w:pPr>
    </w:p>
    <w:p w:rsidR="00500AB2" w:rsidRDefault="00500AB2" w:rsidP="005E1201">
      <w:pPr>
        <w:pStyle w:val="af4"/>
        <w:spacing w:after="0" w:line="240" w:lineRule="auto"/>
        <w:ind w:left="0"/>
        <w:jc w:val="both"/>
        <w:rPr>
          <w:rFonts w:ascii="Times New Roman" w:eastAsia="Calibri" w:hAnsi="Times New Roman"/>
          <w:b/>
          <w:color w:val="000000"/>
          <w:sz w:val="20"/>
          <w:szCs w:val="20"/>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sz w:val="24"/>
          <w:szCs w:val="32"/>
        </w:rPr>
      </w:pPr>
      <w:r w:rsidRPr="003F05A9">
        <w:rPr>
          <w:rFonts w:ascii="Times New Roman" w:hAnsi="Times New Roman" w:cs="Times New Roman"/>
          <w:sz w:val="24"/>
          <w:szCs w:val="32"/>
        </w:rPr>
        <w:t>Рубрика: Экономические науки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sz w:val="24"/>
          <w:szCs w:val="24"/>
          <w:lang w:eastAsia="ru-RU"/>
        </w:rPr>
      </w:pPr>
      <w:r w:rsidRPr="003F05A9">
        <w:rPr>
          <w:rFonts w:ascii="Times New Roman" w:hAnsi="Times New Roman" w:cs="Times New Roman"/>
          <w:sz w:val="24"/>
          <w:szCs w:val="32"/>
        </w:rPr>
        <w:t>УДК 338.001.36; 332.145</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b/>
          <w:bCs/>
          <w:sz w:val="24"/>
          <w:szCs w:val="32"/>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sz w:val="24"/>
          <w:szCs w:val="32"/>
        </w:rPr>
      </w:pPr>
      <w:r w:rsidRPr="003F05A9">
        <w:rPr>
          <w:rFonts w:ascii="Times New Roman" w:hAnsi="Times New Roman" w:cs="Times New Roman"/>
          <w:b/>
          <w:bCs/>
          <w:sz w:val="24"/>
          <w:szCs w:val="32"/>
        </w:rPr>
        <w:t xml:space="preserve">Дифференциация регионов РФ по уровню развития человеческого капитала на основе кластерного анализа  </w:t>
      </w:r>
      <w:r w:rsidRPr="003F05A9">
        <w:rPr>
          <w:rFonts w:ascii="Times New Roman" w:hAnsi="Times New Roman" w:cs="Times New Roman"/>
          <w:b/>
          <w:sz w:val="24"/>
          <w:szCs w:val="32"/>
        </w:rPr>
        <w:t xml:space="preserve">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sz w:val="24"/>
          <w:szCs w:val="32"/>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sz w:val="24"/>
          <w:szCs w:val="32"/>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rPr>
      </w:pPr>
      <w:r w:rsidRPr="003F05A9">
        <w:rPr>
          <w:rFonts w:ascii="Times New Roman" w:hAnsi="Times New Roman" w:cs="Times New Roman"/>
          <w:sz w:val="24"/>
          <w:szCs w:val="24"/>
        </w:rPr>
        <w:t xml:space="preserve">Загудаева Ольга Николаевна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rPr>
      </w:pPr>
      <w:r w:rsidRPr="003F05A9">
        <w:rPr>
          <w:rFonts w:ascii="Times New Roman" w:hAnsi="Times New Roman" w:cs="Times New Roman"/>
          <w:sz w:val="24"/>
          <w:szCs w:val="24"/>
        </w:rPr>
        <w:t>бакалавр, кафедра математики и моделирования</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szCs w:val="24"/>
        </w:rPr>
      </w:pPr>
      <w:r w:rsidRPr="003F05A9">
        <w:rPr>
          <w:rFonts w:ascii="Times New Roman" w:hAnsi="Times New Roman" w:cs="Times New Roman"/>
          <w:i/>
          <w:sz w:val="24"/>
          <w:szCs w:val="24"/>
        </w:rPr>
        <w:t>Владивостокский государственный университет экономики и сервиса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szCs w:val="24"/>
        </w:rPr>
      </w:pPr>
      <w:r w:rsidRPr="003F05A9">
        <w:rPr>
          <w:rFonts w:ascii="Times New Roman" w:hAnsi="Times New Roman" w:cs="Times New Roman"/>
          <w:i/>
          <w:sz w:val="24"/>
          <w:szCs w:val="24"/>
        </w:rPr>
        <w:t>Россия. Владивосток</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rPr>
      </w:pPr>
      <w:r w:rsidRPr="003F05A9">
        <w:rPr>
          <w:rFonts w:ascii="Times New Roman" w:hAnsi="Times New Roman" w:cs="Times New Roman"/>
          <w:sz w:val="24"/>
          <w:szCs w:val="24"/>
          <w:lang w:val="en-US"/>
        </w:rPr>
        <w:t>E</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mail</w:t>
      </w:r>
      <w:r w:rsidRPr="003F05A9">
        <w:rPr>
          <w:rFonts w:ascii="Times New Roman" w:hAnsi="Times New Roman" w:cs="Times New Roman"/>
          <w:sz w:val="24"/>
          <w:szCs w:val="24"/>
        </w:rPr>
        <w:t xml:space="preserve">: </w:t>
      </w:r>
      <w:r w:rsidRPr="003F05A9">
        <w:rPr>
          <w:rFonts w:ascii="Times New Roman" w:hAnsi="Times New Roman" w:cs="Times New Roman"/>
          <w:sz w:val="24"/>
          <w:szCs w:val="24"/>
          <w:lang w:val="en-US"/>
        </w:rPr>
        <w:t>white</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dave</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yandex</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ru</w:t>
      </w:r>
      <w:r w:rsidRPr="003F05A9">
        <w:rPr>
          <w:rFonts w:ascii="Times New Roman" w:hAnsi="Times New Roman" w:cs="Times New Roman"/>
          <w:sz w:val="24"/>
          <w:szCs w:val="24"/>
        </w:rPr>
        <w:t>; тел.: +79294290069</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rPr>
      </w:pPr>
      <w:r w:rsidRPr="003F05A9">
        <w:rPr>
          <w:rFonts w:ascii="Times New Roman" w:hAnsi="Times New Roman" w:cs="Times New Roman"/>
          <w:sz w:val="24"/>
          <w:szCs w:val="24"/>
        </w:rPr>
        <w:t xml:space="preserve">ул. Гоголя, </w:t>
      </w:r>
      <w:smartTag w:uri="urn:schemas-microsoft-com:office:smarttags" w:element="metricconverter">
        <w:smartTagPr>
          <w:attr w:name="ProductID" w:val="41, г"/>
        </w:smartTagPr>
        <w:r w:rsidRPr="003F05A9">
          <w:rPr>
            <w:rFonts w:ascii="Times New Roman" w:hAnsi="Times New Roman" w:cs="Times New Roman"/>
            <w:sz w:val="24"/>
            <w:szCs w:val="24"/>
          </w:rPr>
          <w:t>41, г</w:t>
        </w:r>
      </w:smartTag>
      <w:r w:rsidRPr="003F05A9">
        <w:rPr>
          <w:rFonts w:ascii="Times New Roman" w:hAnsi="Times New Roman" w:cs="Times New Roman"/>
          <w:sz w:val="24"/>
          <w:szCs w:val="24"/>
        </w:rPr>
        <w:t>. Владивосток, Приморский край, Россия, 690014</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rPr>
          <w:rFonts w:ascii="Times New Roman" w:hAnsi="Times New Roman" w:cs="Times New Roman"/>
          <w:i/>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rPr>
          <w:rFonts w:ascii="Times New Roman" w:hAnsi="Times New Roman" w:cs="Times New Roman"/>
          <w:i/>
          <w:sz w:val="24"/>
          <w:szCs w:val="24"/>
        </w:rPr>
      </w:pPr>
      <w:r w:rsidRPr="003F05A9">
        <w:rPr>
          <w:rFonts w:ascii="Times New Roman" w:hAnsi="Times New Roman" w:cs="Times New Roman"/>
          <w:i/>
          <w:sz w:val="24"/>
          <w:szCs w:val="24"/>
        </w:rPr>
        <w:t xml:space="preserve">Развитие человеческого капитала (ЧК) в разных регионах России происходит по-разному. В работе проведена кластеризация регионов РФ по показателям ЧК, дана подробная характеристика каждому кластеру, выявлены позитивные и негативные стороны развития человеческого капитала в стране в 2015 году.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i/>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rPr>
          <w:rFonts w:ascii="Times New Roman" w:hAnsi="Times New Roman" w:cs="Times New Roman"/>
          <w:i/>
          <w:sz w:val="24"/>
          <w:szCs w:val="24"/>
        </w:rPr>
      </w:pPr>
      <w:r w:rsidRPr="003F05A9">
        <w:rPr>
          <w:rFonts w:ascii="Times New Roman" w:hAnsi="Times New Roman" w:cs="Times New Roman"/>
          <w:b/>
          <w:i/>
          <w:sz w:val="24"/>
          <w:szCs w:val="24"/>
        </w:rPr>
        <w:t>Ключевые слова и словосочетания</w:t>
      </w:r>
      <w:r w:rsidRPr="003F05A9">
        <w:rPr>
          <w:rFonts w:ascii="Times New Roman" w:hAnsi="Times New Roman" w:cs="Times New Roman"/>
          <w:i/>
          <w:sz w:val="24"/>
          <w:szCs w:val="24"/>
        </w:rPr>
        <w:t>: человеческий капитал, кластерный анализ, метод k-средних, метод иерархии.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567"/>
        <w:jc w:val="both"/>
        <w:rPr>
          <w:rFonts w:ascii="Times New Roman" w:hAnsi="Times New Roman" w:cs="Times New Roman"/>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sz w:val="24"/>
          <w:szCs w:val="32"/>
          <w:lang w:val="en-US"/>
        </w:rPr>
      </w:pPr>
      <w:r w:rsidRPr="003F05A9">
        <w:rPr>
          <w:rFonts w:ascii="Times New Roman" w:hAnsi="Times New Roman" w:cs="Times New Roman"/>
          <w:b/>
          <w:sz w:val="24"/>
          <w:szCs w:val="32"/>
          <w:lang w:val="en-US"/>
        </w:rPr>
        <w:t>Differentiation of Russian regions by level of human capital development on the basis of cluster analysis</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sz w:val="24"/>
          <w:szCs w:val="32"/>
          <w:lang w:val="en-US"/>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567"/>
        <w:jc w:val="both"/>
        <w:rPr>
          <w:rFonts w:ascii="Times New Roman" w:hAnsi="Times New Roman" w:cs="Times New Roman"/>
          <w:i/>
          <w:sz w:val="24"/>
          <w:szCs w:val="24"/>
          <w:lang w:val="en-US"/>
        </w:rPr>
      </w:pPr>
      <w:r w:rsidRPr="003F05A9">
        <w:rPr>
          <w:rFonts w:ascii="Times New Roman" w:hAnsi="Times New Roman" w:cs="Times New Roman"/>
          <w:i/>
          <w:sz w:val="24"/>
          <w:szCs w:val="24"/>
          <w:lang w:val="en-US"/>
        </w:rPr>
        <w:t>The development of human capital (HC) is performed variously in different regions of Russia. Сlustering of the regions of the Russian Federation on/according to the CC indicators is carried out in this article, a detailed description of each cluster is given, the positive and negative aspects of the human capital development in the country in 2015 are identified.</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567"/>
        <w:jc w:val="both"/>
        <w:rPr>
          <w:rFonts w:ascii="Times New Roman" w:hAnsi="Times New Roman" w:cs="Times New Roman"/>
          <w:i/>
          <w:sz w:val="24"/>
          <w:szCs w:val="24"/>
          <w:lang w:val="en-US"/>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rPr>
          <w:rFonts w:ascii="Times New Roman" w:hAnsi="Times New Roman" w:cs="Times New Roman"/>
          <w:i/>
          <w:sz w:val="24"/>
          <w:szCs w:val="24"/>
          <w:lang w:val="en-US"/>
        </w:rPr>
      </w:pPr>
      <w:r w:rsidRPr="003F05A9">
        <w:rPr>
          <w:rFonts w:ascii="Times New Roman" w:hAnsi="Times New Roman" w:cs="Times New Roman"/>
          <w:b/>
          <w:i/>
          <w:sz w:val="24"/>
          <w:szCs w:val="24"/>
          <w:lang w:val="en-US"/>
        </w:rPr>
        <w:t>Keywords:</w:t>
      </w:r>
      <w:r w:rsidRPr="003F05A9">
        <w:rPr>
          <w:rFonts w:ascii="Times New Roman" w:hAnsi="Times New Roman" w:cs="Times New Roman"/>
          <w:i/>
          <w:sz w:val="24"/>
          <w:szCs w:val="24"/>
          <w:lang w:val="en-US"/>
        </w:rPr>
        <w:t xml:space="preserve"> human capital, cluster analysis, k-means,</w:t>
      </w:r>
      <w:r w:rsidRPr="003F05A9">
        <w:rPr>
          <w:rFonts w:ascii="Arial" w:hAnsi="Arial" w:cs="Arial"/>
          <w:color w:val="000000"/>
          <w:sz w:val="15"/>
          <w:szCs w:val="15"/>
          <w:shd w:val="clear" w:color="auto" w:fill="FFFFFF"/>
          <w:lang w:val="en-US"/>
        </w:rPr>
        <w:t xml:space="preserve"> </w:t>
      </w:r>
      <w:r w:rsidRPr="003F05A9">
        <w:rPr>
          <w:rFonts w:ascii="Times New Roman" w:hAnsi="Times New Roman" w:cs="Times New Roman"/>
          <w:i/>
          <w:sz w:val="24"/>
          <w:szCs w:val="24"/>
          <w:lang w:val="en-US"/>
        </w:rPr>
        <w:t>hierarchy method.</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567"/>
        <w:jc w:val="both"/>
        <w:rPr>
          <w:rFonts w:ascii="Times New Roman" w:hAnsi="Times New Roman" w:cs="Times New Roman"/>
          <w:sz w:val="24"/>
          <w:szCs w:val="24"/>
          <w:lang w:val="en-US"/>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b/>
          <w:sz w:val="24"/>
          <w:szCs w:val="24"/>
        </w:rPr>
        <w:t xml:space="preserve">Введение. </w:t>
      </w:r>
      <w:r w:rsidRPr="003F05A9">
        <w:rPr>
          <w:rFonts w:ascii="Times New Roman" w:hAnsi="Times New Roman" w:cs="Times New Roman"/>
          <w:sz w:val="24"/>
          <w:szCs w:val="24"/>
        </w:rPr>
        <w:t>В 1922 году социолог и мыслитель П. Сорокин писал: «Судьба любого общества зависит, прежде всего, от свойств его членов. Общество, состоящее из идиотов или бездарных людей, никогда не будет обществом преуспевающим. Общество, состоящее из талантливых и волевых лиц, неминуемо создаст и более совершенные формы общежития».</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Человеческий капитал является одним из ключевых аспектов национального богатства на сегодняшний день. Впервые этот термин был употреблён Теодором Шульцом в начале второй половины прошлого века, в то время и началось развитие идеи об эффективности вложений в человеческие ресурсы. Определений этого термина существует достаточно много. В целом, человеческий капитал – это совокупность знаний, умений, навыков; это интеллект, здоровье, качественный и производительный труд.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Среди исследований на схожую тематику можно отметить работы [1,2,3], в которых представлена характеристика человеческого потенциала, а также тенденция развития ЧК в России на основе показателя ИРЧП (индекс развития человеческого потенциала). В отличии от них наше исследование основано, во-первых, на оценке показателей человеческого капитала, а во-вторых, ЧК – понятие более широкое, чем человеческий потенциал.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Целью исследования является не только показать основные проблемы и достижения регионов в отношении качества населения, но и неравномерность развития человеческого капитала в России.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Для достижения цели были рассмотрены следующие задачи:</w:t>
      </w:r>
    </w:p>
    <w:p w:rsidR="003F05A9" w:rsidRPr="003F05A9" w:rsidRDefault="003F05A9" w:rsidP="003F05A9">
      <w:pPr>
        <w:numPr>
          <w:ilvl w:val="0"/>
          <w:numId w:val="113"/>
        </w:numPr>
        <w:pBdr>
          <w:top w:val="none" w:sz="0" w:space="0" w:color="auto"/>
          <w:left w:val="none" w:sz="0" w:space="0" w:color="auto"/>
          <w:bottom w:val="none" w:sz="0" w:space="0" w:color="auto"/>
          <w:right w:val="none" w:sz="0" w:space="0" w:color="auto"/>
          <w:between w:val="none" w:sz="0" w:space="0" w:color="auto"/>
        </w:pBdr>
        <w:spacing w:after="0" w:line="240" w:lineRule="auto"/>
        <w:contextualSpacing/>
        <w:jc w:val="both"/>
        <w:rPr>
          <w:rFonts w:ascii="Times New Roman" w:hAnsi="Times New Roman" w:cs="Times New Roman"/>
          <w:sz w:val="24"/>
          <w:szCs w:val="24"/>
        </w:rPr>
      </w:pPr>
      <w:r w:rsidRPr="003F05A9">
        <w:rPr>
          <w:rFonts w:ascii="Times New Roman" w:hAnsi="Times New Roman" w:cs="Times New Roman"/>
          <w:sz w:val="24"/>
          <w:szCs w:val="24"/>
        </w:rPr>
        <w:t>разработать систему показателей, наиболее полно характеризующая человеческий капитал;</w:t>
      </w:r>
    </w:p>
    <w:p w:rsidR="003F05A9" w:rsidRPr="003F05A9" w:rsidRDefault="003F05A9" w:rsidP="003F05A9">
      <w:pPr>
        <w:numPr>
          <w:ilvl w:val="0"/>
          <w:numId w:val="113"/>
        </w:numPr>
        <w:pBdr>
          <w:top w:val="none" w:sz="0" w:space="0" w:color="auto"/>
          <w:left w:val="none" w:sz="0" w:space="0" w:color="auto"/>
          <w:bottom w:val="none" w:sz="0" w:space="0" w:color="auto"/>
          <w:right w:val="none" w:sz="0" w:space="0" w:color="auto"/>
          <w:between w:val="none" w:sz="0" w:space="0" w:color="auto"/>
        </w:pBdr>
        <w:spacing w:after="0" w:line="240" w:lineRule="auto"/>
        <w:contextualSpacing/>
        <w:jc w:val="both"/>
        <w:rPr>
          <w:rFonts w:ascii="Times New Roman" w:hAnsi="Times New Roman" w:cs="Times New Roman"/>
          <w:sz w:val="24"/>
          <w:szCs w:val="24"/>
        </w:rPr>
      </w:pPr>
      <w:r w:rsidRPr="003F05A9">
        <w:rPr>
          <w:rFonts w:ascii="Times New Roman" w:hAnsi="Times New Roman" w:cs="Times New Roman"/>
          <w:sz w:val="24"/>
          <w:szCs w:val="24"/>
        </w:rPr>
        <w:t>найти данные по всем субъектам РФ за 2015 год по всем показателям;</w:t>
      </w:r>
    </w:p>
    <w:p w:rsidR="003F05A9" w:rsidRPr="003F05A9" w:rsidRDefault="003F05A9" w:rsidP="003F05A9">
      <w:pPr>
        <w:numPr>
          <w:ilvl w:val="0"/>
          <w:numId w:val="113"/>
        </w:numPr>
        <w:pBdr>
          <w:top w:val="none" w:sz="0" w:space="0" w:color="auto"/>
          <w:left w:val="none" w:sz="0" w:space="0" w:color="auto"/>
          <w:bottom w:val="none" w:sz="0" w:space="0" w:color="auto"/>
          <w:right w:val="none" w:sz="0" w:space="0" w:color="auto"/>
          <w:between w:val="none" w:sz="0" w:space="0" w:color="auto"/>
        </w:pBdr>
        <w:spacing w:after="0" w:line="240" w:lineRule="auto"/>
        <w:contextualSpacing/>
        <w:jc w:val="both"/>
        <w:rPr>
          <w:rFonts w:ascii="Times New Roman" w:hAnsi="Times New Roman" w:cs="Times New Roman"/>
          <w:sz w:val="24"/>
          <w:szCs w:val="24"/>
        </w:rPr>
      </w:pPr>
      <w:r w:rsidRPr="003F05A9">
        <w:rPr>
          <w:rFonts w:ascii="Times New Roman" w:hAnsi="Times New Roman" w:cs="Times New Roman"/>
          <w:sz w:val="24"/>
          <w:szCs w:val="24"/>
        </w:rPr>
        <w:t>разбить регионы на группы с помощью методов кластерного анализа;</w:t>
      </w:r>
    </w:p>
    <w:p w:rsidR="003F05A9" w:rsidRPr="003F05A9" w:rsidRDefault="003F05A9" w:rsidP="003F05A9">
      <w:pPr>
        <w:numPr>
          <w:ilvl w:val="0"/>
          <w:numId w:val="113"/>
        </w:numPr>
        <w:pBdr>
          <w:top w:val="none" w:sz="0" w:space="0" w:color="auto"/>
          <w:left w:val="none" w:sz="0" w:space="0" w:color="auto"/>
          <w:bottom w:val="none" w:sz="0" w:space="0" w:color="auto"/>
          <w:right w:val="none" w:sz="0" w:space="0" w:color="auto"/>
          <w:between w:val="none" w:sz="0" w:space="0" w:color="auto"/>
        </w:pBdr>
        <w:spacing w:after="0" w:line="240" w:lineRule="auto"/>
        <w:contextualSpacing/>
        <w:jc w:val="both"/>
        <w:rPr>
          <w:rFonts w:ascii="Times New Roman" w:hAnsi="Times New Roman" w:cs="Times New Roman"/>
          <w:sz w:val="24"/>
          <w:szCs w:val="24"/>
        </w:rPr>
      </w:pPr>
      <w:r w:rsidRPr="003F05A9">
        <w:rPr>
          <w:rFonts w:ascii="Times New Roman" w:hAnsi="Times New Roman" w:cs="Times New Roman"/>
          <w:sz w:val="24"/>
          <w:szCs w:val="24"/>
        </w:rPr>
        <w:t>выявить закономерности в выделении групп, проанализировать и охарактеризовать каждый кластер.</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szCs w:val="24"/>
        </w:rPr>
      </w:pPr>
      <w:r w:rsidRPr="003F05A9">
        <w:rPr>
          <w:rFonts w:ascii="Times New Roman" w:hAnsi="Times New Roman" w:cs="Times New Roman"/>
          <w:sz w:val="24"/>
          <w:szCs w:val="24"/>
        </w:rPr>
        <w:tab/>
        <w:t>Для проведения анализа данных использовалась R-studio – свободная среда для разработки программного обеспечения для языка R[4].</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szCs w:val="24"/>
        </w:rPr>
      </w:pPr>
      <w:r w:rsidRPr="003F05A9">
        <w:rPr>
          <w:rFonts w:ascii="Times New Roman" w:hAnsi="Times New Roman" w:cs="Times New Roman"/>
          <w:sz w:val="24"/>
          <w:szCs w:val="24"/>
        </w:rPr>
        <w:tab/>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b/>
          <w:sz w:val="24"/>
          <w:szCs w:val="24"/>
        </w:rPr>
        <w:t xml:space="preserve">Методы исследования и результаты. </w:t>
      </w:r>
      <w:r w:rsidRPr="003F05A9">
        <w:rPr>
          <w:rFonts w:ascii="Times New Roman" w:hAnsi="Times New Roman" w:cs="Times New Roman"/>
          <w:sz w:val="24"/>
          <w:szCs w:val="24"/>
        </w:rPr>
        <w:t>Для оценки уровня человеческого капитала было выделено 6 основных направлений: уровень профессионализма, образования, научного развития, инновационного развития, здравоохранения и культуры. В каждое направление входило от 1 до 5 показателей, таблица 1.</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right"/>
        <w:rPr>
          <w:rFonts w:ascii="Times New Roman" w:hAnsi="Times New Roman" w:cs="Times New Roman"/>
          <w:i/>
          <w:sz w:val="24"/>
          <w:szCs w:val="24"/>
        </w:rPr>
      </w:pPr>
      <w:r w:rsidRPr="003F05A9">
        <w:rPr>
          <w:rFonts w:ascii="Times New Roman" w:hAnsi="Times New Roman" w:cs="Times New Roman"/>
          <w:i/>
          <w:sz w:val="20"/>
          <w:szCs w:val="20"/>
        </w:rPr>
        <w:t>Таблица 1</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b/>
          <w:sz w:val="20"/>
          <w:szCs w:val="20"/>
        </w:rPr>
      </w:pPr>
      <w:r w:rsidRPr="003F05A9">
        <w:rPr>
          <w:rFonts w:ascii="Times New Roman" w:hAnsi="Times New Roman" w:cs="Times New Roman"/>
          <w:b/>
          <w:sz w:val="20"/>
          <w:szCs w:val="20"/>
        </w:rPr>
        <w:t xml:space="preserve"> Набор показателей по оценке уровня ЧК, объединённых в 6 укрупнённых групп</w:t>
      </w:r>
    </w:p>
    <w:tbl>
      <w:tblPr>
        <w:tblStyle w:val="24"/>
        <w:tblW w:w="0" w:type="auto"/>
        <w:tblLook w:val="04A0" w:firstRow="1" w:lastRow="0" w:firstColumn="1" w:lastColumn="0" w:noHBand="0" w:noVBand="1"/>
      </w:tblPr>
      <w:tblGrid>
        <w:gridCol w:w="534"/>
        <w:gridCol w:w="2835"/>
        <w:gridCol w:w="6485"/>
      </w:tblGrid>
      <w:tr w:rsidR="003F05A9" w:rsidRPr="003F05A9" w:rsidTr="003F05A9">
        <w:tc>
          <w:tcPr>
            <w:tcW w:w="534" w:type="dxa"/>
          </w:tcPr>
          <w:p w:rsidR="003F05A9" w:rsidRPr="003F05A9" w:rsidRDefault="003F05A9" w:rsidP="003F05A9">
            <w:pPr>
              <w:spacing w:after="0" w:line="240" w:lineRule="auto"/>
              <w:jc w:val="center"/>
              <w:rPr>
                <w:rFonts w:ascii="Times New Roman" w:hAnsi="Times New Roman" w:cs="Times New Roman"/>
                <w:sz w:val="20"/>
                <w:szCs w:val="20"/>
              </w:rPr>
            </w:pPr>
            <w:r w:rsidRPr="003F05A9">
              <w:rPr>
                <w:rFonts w:ascii="Times New Roman" w:hAnsi="Times New Roman" w:cs="Times New Roman"/>
                <w:sz w:val="20"/>
                <w:szCs w:val="20"/>
              </w:rPr>
              <w:t>№</w:t>
            </w:r>
          </w:p>
        </w:tc>
        <w:tc>
          <w:tcPr>
            <w:tcW w:w="2835" w:type="dxa"/>
          </w:tcPr>
          <w:p w:rsidR="003F05A9" w:rsidRPr="003F05A9" w:rsidRDefault="003F05A9" w:rsidP="003F05A9">
            <w:pPr>
              <w:spacing w:after="0" w:line="240" w:lineRule="auto"/>
              <w:jc w:val="center"/>
              <w:rPr>
                <w:rFonts w:ascii="Times New Roman" w:hAnsi="Times New Roman" w:cs="Times New Roman"/>
                <w:sz w:val="20"/>
                <w:szCs w:val="20"/>
              </w:rPr>
            </w:pPr>
            <w:r w:rsidRPr="003F05A9">
              <w:rPr>
                <w:rFonts w:ascii="Times New Roman" w:hAnsi="Times New Roman" w:cs="Times New Roman"/>
                <w:sz w:val="20"/>
                <w:szCs w:val="20"/>
              </w:rPr>
              <w:t>Основные направления</w:t>
            </w:r>
          </w:p>
        </w:tc>
        <w:tc>
          <w:tcPr>
            <w:tcW w:w="6485" w:type="dxa"/>
          </w:tcPr>
          <w:p w:rsidR="003F05A9" w:rsidRPr="003F05A9" w:rsidRDefault="003F05A9" w:rsidP="003F05A9">
            <w:pPr>
              <w:spacing w:after="0" w:line="240" w:lineRule="auto"/>
              <w:jc w:val="center"/>
              <w:rPr>
                <w:rFonts w:ascii="Times New Roman" w:hAnsi="Times New Roman" w:cs="Times New Roman"/>
                <w:sz w:val="20"/>
                <w:szCs w:val="20"/>
              </w:rPr>
            </w:pPr>
            <w:r w:rsidRPr="003F05A9">
              <w:rPr>
                <w:rFonts w:ascii="Times New Roman" w:hAnsi="Times New Roman" w:cs="Times New Roman"/>
                <w:sz w:val="20"/>
                <w:szCs w:val="20"/>
              </w:rPr>
              <w:t>Показатели</w:t>
            </w:r>
          </w:p>
        </w:tc>
      </w:tr>
      <w:tr w:rsidR="003F05A9" w:rsidRPr="003F05A9" w:rsidTr="003F05A9">
        <w:tc>
          <w:tcPr>
            <w:tcW w:w="534" w:type="dxa"/>
          </w:tcPr>
          <w:p w:rsidR="003F05A9" w:rsidRPr="003F05A9" w:rsidRDefault="003F05A9" w:rsidP="003F05A9">
            <w:pPr>
              <w:spacing w:after="0" w:line="240" w:lineRule="auto"/>
              <w:jc w:val="center"/>
              <w:rPr>
                <w:rFonts w:ascii="Times New Roman" w:hAnsi="Times New Roman" w:cs="Times New Roman"/>
                <w:sz w:val="20"/>
                <w:szCs w:val="20"/>
                <w:lang w:val="en-US"/>
              </w:rPr>
            </w:pPr>
            <w:r w:rsidRPr="003F05A9">
              <w:rPr>
                <w:rFonts w:ascii="Times New Roman" w:hAnsi="Times New Roman" w:cs="Times New Roman"/>
                <w:sz w:val="20"/>
                <w:szCs w:val="20"/>
                <w:lang w:val="en-US"/>
              </w:rPr>
              <w:t>1</w:t>
            </w:r>
          </w:p>
        </w:tc>
        <w:tc>
          <w:tcPr>
            <w:tcW w:w="2835" w:type="dxa"/>
          </w:tcPr>
          <w:p w:rsidR="003F05A9" w:rsidRPr="003F05A9" w:rsidRDefault="003F05A9" w:rsidP="003F05A9">
            <w:pPr>
              <w:spacing w:after="0" w:line="240" w:lineRule="auto"/>
              <w:rPr>
                <w:rFonts w:ascii="Times New Roman" w:hAnsi="Times New Roman" w:cs="Times New Roman"/>
                <w:sz w:val="20"/>
                <w:szCs w:val="20"/>
              </w:rPr>
            </w:pPr>
            <w:r w:rsidRPr="003F05A9">
              <w:rPr>
                <w:rFonts w:ascii="Times New Roman" w:hAnsi="Times New Roman" w:cs="Times New Roman"/>
                <w:sz w:val="20"/>
                <w:szCs w:val="20"/>
              </w:rPr>
              <w:t xml:space="preserve">Профессионализм </w:t>
            </w:r>
          </w:p>
        </w:tc>
        <w:tc>
          <w:tcPr>
            <w:tcW w:w="6485" w:type="dxa"/>
          </w:tcPr>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 xml:space="preserve">ВРП на одного работника; </w:t>
            </w:r>
          </w:p>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 xml:space="preserve">ВРП на одно предприятие; </w:t>
            </w:r>
          </w:p>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 xml:space="preserve">ВРП на 1 ед. инвестиций; </w:t>
            </w:r>
          </w:p>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Количество занятых на 1 безработного;</w:t>
            </w:r>
          </w:p>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 xml:space="preserve">Обновленных осн. фондов на 1 ед. инвестиций; </w:t>
            </w:r>
          </w:p>
        </w:tc>
      </w:tr>
      <w:tr w:rsidR="003F05A9" w:rsidRPr="003F05A9" w:rsidTr="003F05A9">
        <w:tc>
          <w:tcPr>
            <w:tcW w:w="534" w:type="dxa"/>
          </w:tcPr>
          <w:p w:rsidR="003F05A9" w:rsidRPr="003F05A9" w:rsidRDefault="003F05A9" w:rsidP="003F05A9">
            <w:pPr>
              <w:spacing w:after="0" w:line="240" w:lineRule="auto"/>
              <w:jc w:val="center"/>
              <w:rPr>
                <w:rFonts w:ascii="Times New Roman" w:hAnsi="Times New Roman" w:cs="Times New Roman"/>
                <w:sz w:val="20"/>
                <w:szCs w:val="20"/>
              </w:rPr>
            </w:pPr>
            <w:r w:rsidRPr="003F05A9">
              <w:rPr>
                <w:rFonts w:ascii="Times New Roman" w:hAnsi="Times New Roman" w:cs="Times New Roman"/>
                <w:sz w:val="20"/>
                <w:szCs w:val="20"/>
              </w:rPr>
              <w:t>2</w:t>
            </w:r>
          </w:p>
        </w:tc>
        <w:tc>
          <w:tcPr>
            <w:tcW w:w="2835" w:type="dxa"/>
          </w:tcPr>
          <w:p w:rsidR="003F05A9" w:rsidRPr="003F05A9" w:rsidRDefault="003F05A9" w:rsidP="003F05A9">
            <w:pPr>
              <w:spacing w:after="0" w:line="240" w:lineRule="auto"/>
              <w:rPr>
                <w:rFonts w:ascii="Times New Roman" w:hAnsi="Times New Roman" w:cs="Times New Roman"/>
                <w:sz w:val="20"/>
                <w:szCs w:val="20"/>
              </w:rPr>
            </w:pPr>
            <w:r w:rsidRPr="003F05A9">
              <w:rPr>
                <w:rFonts w:ascii="Times New Roman" w:hAnsi="Times New Roman" w:cs="Times New Roman"/>
                <w:sz w:val="20"/>
                <w:szCs w:val="20"/>
              </w:rPr>
              <w:t>Образование</w:t>
            </w:r>
          </w:p>
        </w:tc>
        <w:tc>
          <w:tcPr>
            <w:tcW w:w="6485" w:type="dxa"/>
          </w:tcPr>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 xml:space="preserve">Доля детей сирот в ЧПН (численность постоянного населения); </w:t>
            </w:r>
          </w:p>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 xml:space="preserve">Доля детей со средним общем образованием в ЧПН; </w:t>
            </w:r>
          </w:p>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 xml:space="preserve">Доля специалистов с высшим образованием в ЧПН; </w:t>
            </w:r>
          </w:p>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Доля аспирантов и докторантов в ЧПН;</w:t>
            </w:r>
          </w:p>
        </w:tc>
      </w:tr>
      <w:tr w:rsidR="003F05A9" w:rsidRPr="003F05A9" w:rsidTr="003F05A9">
        <w:tc>
          <w:tcPr>
            <w:tcW w:w="534" w:type="dxa"/>
          </w:tcPr>
          <w:p w:rsidR="003F05A9" w:rsidRPr="003F05A9" w:rsidRDefault="003F05A9" w:rsidP="003F05A9">
            <w:pPr>
              <w:spacing w:after="0" w:line="240" w:lineRule="auto"/>
              <w:jc w:val="center"/>
              <w:rPr>
                <w:rFonts w:ascii="Times New Roman" w:hAnsi="Times New Roman" w:cs="Times New Roman"/>
                <w:sz w:val="20"/>
                <w:szCs w:val="20"/>
              </w:rPr>
            </w:pPr>
            <w:r w:rsidRPr="003F05A9">
              <w:rPr>
                <w:rFonts w:ascii="Times New Roman" w:hAnsi="Times New Roman" w:cs="Times New Roman"/>
                <w:sz w:val="20"/>
                <w:szCs w:val="20"/>
              </w:rPr>
              <w:t>3</w:t>
            </w:r>
          </w:p>
        </w:tc>
        <w:tc>
          <w:tcPr>
            <w:tcW w:w="2835" w:type="dxa"/>
          </w:tcPr>
          <w:p w:rsidR="003F05A9" w:rsidRPr="003F05A9" w:rsidRDefault="003F05A9" w:rsidP="003F05A9">
            <w:pPr>
              <w:spacing w:after="0" w:line="240" w:lineRule="auto"/>
              <w:rPr>
                <w:rFonts w:ascii="Times New Roman" w:hAnsi="Times New Roman" w:cs="Times New Roman"/>
                <w:sz w:val="20"/>
                <w:szCs w:val="20"/>
              </w:rPr>
            </w:pPr>
            <w:r w:rsidRPr="003F05A9">
              <w:rPr>
                <w:rFonts w:ascii="Times New Roman" w:hAnsi="Times New Roman" w:cs="Times New Roman"/>
                <w:sz w:val="20"/>
                <w:szCs w:val="20"/>
              </w:rPr>
              <w:t>Научное развитие</w:t>
            </w:r>
          </w:p>
        </w:tc>
        <w:tc>
          <w:tcPr>
            <w:tcW w:w="6485" w:type="dxa"/>
          </w:tcPr>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 xml:space="preserve">Импакт – фактор журналов; </w:t>
            </w:r>
          </w:p>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Доля занятых научными исследованиями в численности занятых в экономике;</w:t>
            </w:r>
          </w:p>
        </w:tc>
      </w:tr>
      <w:tr w:rsidR="003F05A9" w:rsidRPr="003F05A9" w:rsidTr="003F05A9">
        <w:tc>
          <w:tcPr>
            <w:tcW w:w="534" w:type="dxa"/>
          </w:tcPr>
          <w:p w:rsidR="003F05A9" w:rsidRPr="003F05A9" w:rsidRDefault="003F05A9" w:rsidP="003F05A9">
            <w:pPr>
              <w:spacing w:after="0" w:line="240" w:lineRule="auto"/>
              <w:jc w:val="center"/>
              <w:rPr>
                <w:rFonts w:ascii="Times New Roman" w:hAnsi="Times New Roman" w:cs="Times New Roman"/>
                <w:sz w:val="20"/>
                <w:szCs w:val="20"/>
              </w:rPr>
            </w:pPr>
            <w:r w:rsidRPr="003F05A9">
              <w:rPr>
                <w:rFonts w:ascii="Times New Roman" w:hAnsi="Times New Roman" w:cs="Times New Roman"/>
                <w:sz w:val="20"/>
                <w:szCs w:val="20"/>
              </w:rPr>
              <w:t>4</w:t>
            </w:r>
          </w:p>
        </w:tc>
        <w:tc>
          <w:tcPr>
            <w:tcW w:w="2835" w:type="dxa"/>
          </w:tcPr>
          <w:p w:rsidR="003F05A9" w:rsidRPr="003F05A9" w:rsidRDefault="003F05A9" w:rsidP="003F05A9">
            <w:pPr>
              <w:spacing w:after="0" w:line="240" w:lineRule="auto"/>
              <w:rPr>
                <w:rFonts w:ascii="Times New Roman" w:hAnsi="Times New Roman" w:cs="Times New Roman"/>
                <w:sz w:val="20"/>
                <w:szCs w:val="20"/>
              </w:rPr>
            </w:pPr>
            <w:r w:rsidRPr="003F05A9">
              <w:rPr>
                <w:rFonts w:ascii="Times New Roman" w:hAnsi="Times New Roman" w:cs="Times New Roman"/>
                <w:sz w:val="20"/>
                <w:szCs w:val="20"/>
              </w:rPr>
              <w:t>Инновационное развития</w:t>
            </w:r>
          </w:p>
        </w:tc>
        <w:tc>
          <w:tcPr>
            <w:tcW w:w="6485" w:type="dxa"/>
          </w:tcPr>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 xml:space="preserve">Доля научно технических работ и услуг в ВРП; </w:t>
            </w:r>
          </w:p>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Доля инновационных товаров, работ и услуг в ВРП;</w:t>
            </w:r>
          </w:p>
        </w:tc>
      </w:tr>
      <w:tr w:rsidR="003F05A9" w:rsidRPr="003F05A9" w:rsidTr="003F05A9">
        <w:tc>
          <w:tcPr>
            <w:tcW w:w="534" w:type="dxa"/>
          </w:tcPr>
          <w:p w:rsidR="003F05A9" w:rsidRPr="003F05A9" w:rsidRDefault="003F05A9" w:rsidP="003F05A9">
            <w:pPr>
              <w:spacing w:after="0" w:line="240" w:lineRule="auto"/>
              <w:jc w:val="center"/>
              <w:rPr>
                <w:rFonts w:ascii="Times New Roman" w:hAnsi="Times New Roman" w:cs="Times New Roman"/>
                <w:sz w:val="20"/>
                <w:szCs w:val="20"/>
              </w:rPr>
            </w:pPr>
            <w:r w:rsidRPr="003F05A9">
              <w:rPr>
                <w:rFonts w:ascii="Times New Roman" w:hAnsi="Times New Roman" w:cs="Times New Roman"/>
                <w:sz w:val="20"/>
                <w:szCs w:val="20"/>
              </w:rPr>
              <w:t>5</w:t>
            </w:r>
          </w:p>
        </w:tc>
        <w:tc>
          <w:tcPr>
            <w:tcW w:w="2835" w:type="dxa"/>
          </w:tcPr>
          <w:p w:rsidR="003F05A9" w:rsidRPr="003F05A9" w:rsidRDefault="003F05A9" w:rsidP="003F05A9">
            <w:pPr>
              <w:spacing w:after="0" w:line="240" w:lineRule="auto"/>
              <w:rPr>
                <w:rFonts w:ascii="Times New Roman" w:hAnsi="Times New Roman" w:cs="Times New Roman"/>
                <w:sz w:val="20"/>
                <w:szCs w:val="20"/>
              </w:rPr>
            </w:pPr>
            <w:r w:rsidRPr="003F05A9">
              <w:rPr>
                <w:rFonts w:ascii="Times New Roman" w:hAnsi="Times New Roman" w:cs="Times New Roman"/>
                <w:sz w:val="20"/>
                <w:szCs w:val="20"/>
              </w:rPr>
              <w:t>Здравоохранение</w:t>
            </w:r>
          </w:p>
        </w:tc>
        <w:tc>
          <w:tcPr>
            <w:tcW w:w="6485" w:type="dxa"/>
          </w:tcPr>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 xml:space="preserve">Количество человек на одного заболевшего психическими расстройствами (уровень заболеваемости психики); </w:t>
            </w:r>
          </w:p>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 xml:space="preserve">Количество человек на одного заболевшего алкоголизмом (уровень алкоголизма); </w:t>
            </w:r>
          </w:p>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 xml:space="preserve">Продолжительность жизни; </w:t>
            </w:r>
          </w:p>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 xml:space="preserve">Количество человек на одного умершего (уровень смертности по внешним причинам); </w:t>
            </w:r>
          </w:p>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Количество браков на 1 развод (уровень разводов);</w:t>
            </w:r>
          </w:p>
        </w:tc>
      </w:tr>
      <w:tr w:rsidR="003F05A9" w:rsidRPr="003F05A9" w:rsidTr="003F05A9">
        <w:tc>
          <w:tcPr>
            <w:tcW w:w="534" w:type="dxa"/>
          </w:tcPr>
          <w:p w:rsidR="003F05A9" w:rsidRPr="003F05A9" w:rsidRDefault="003F05A9" w:rsidP="003F05A9">
            <w:pPr>
              <w:spacing w:after="0" w:line="240" w:lineRule="auto"/>
              <w:jc w:val="center"/>
              <w:rPr>
                <w:rFonts w:ascii="Times New Roman" w:hAnsi="Times New Roman" w:cs="Times New Roman"/>
                <w:sz w:val="20"/>
                <w:szCs w:val="20"/>
              </w:rPr>
            </w:pPr>
            <w:r w:rsidRPr="003F05A9">
              <w:rPr>
                <w:rFonts w:ascii="Times New Roman" w:hAnsi="Times New Roman" w:cs="Times New Roman"/>
                <w:sz w:val="20"/>
                <w:szCs w:val="20"/>
              </w:rPr>
              <w:t>6</w:t>
            </w:r>
          </w:p>
        </w:tc>
        <w:tc>
          <w:tcPr>
            <w:tcW w:w="2835" w:type="dxa"/>
          </w:tcPr>
          <w:p w:rsidR="003F05A9" w:rsidRPr="003F05A9" w:rsidRDefault="003F05A9" w:rsidP="003F05A9">
            <w:pPr>
              <w:spacing w:after="0" w:line="240" w:lineRule="auto"/>
              <w:rPr>
                <w:rFonts w:ascii="Times New Roman" w:hAnsi="Times New Roman" w:cs="Times New Roman"/>
                <w:sz w:val="20"/>
                <w:szCs w:val="20"/>
              </w:rPr>
            </w:pPr>
            <w:r w:rsidRPr="003F05A9">
              <w:rPr>
                <w:rFonts w:ascii="Times New Roman" w:hAnsi="Times New Roman" w:cs="Times New Roman"/>
                <w:sz w:val="20"/>
                <w:szCs w:val="20"/>
              </w:rPr>
              <w:t>Культура</w:t>
            </w:r>
          </w:p>
        </w:tc>
        <w:tc>
          <w:tcPr>
            <w:tcW w:w="6485" w:type="dxa"/>
          </w:tcPr>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Доля численности посещений театров и музеев;</w:t>
            </w:r>
          </w:p>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 xml:space="preserve">Уровень преступности; </w:t>
            </w:r>
          </w:p>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Объём выброшенных загрязняющих веществ на человека.</w:t>
            </w:r>
          </w:p>
        </w:tc>
      </w:tr>
    </w:tbl>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В таблице 1 приведён список показателей, наиболее полно отражающих ЧК по предложенным направлениям, показатели, в свою очередь, сформированы на основе 33 статистических показателей, взятых из официальной статистики за 2015 год. Исследование проводилось по 75 субъектам РФ. Некоторые регионы не были взяты в рассмотрения из-за отсутствия данных.</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cs="Times New Roman"/>
          <w:noProof/>
          <w:lang w:eastAsia="ru-RU"/>
        </w:rPr>
        <w:drawing>
          <wp:anchor distT="0" distB="0" distL="114300" distR="114300" simplePos="0" relativeHeight="251739136" behindDoc="0" locked="0" layoutInCell="1" allowOverlap="1" wp14:anchorId="522D1719" wp14:editId="26DBFC3D">
            <wp:simplePos x="0" y="0"/>
            <wp:positionH relativeFrom="margin">
              <wp:posOffset>353060</wp:posOffset>
            </wp:positionH>
            <wp:positionV relativeFrom="margin">
              <wp:posOffset>7548880</wp:posOffset>
            </wp:positionV>
            <wp:extent cx="5293995" cy="1343660"/>
            <wp:effectExtent l="0" t="0" r="0" b="0"/>
            <wp:wrapSquare wrapText="bothSides"/>
            <wp:docPr id="17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76">
                      <a:extLst>
                        <a:ext uri="{28A0092B-C50C-407E-A947-70E740481C1C}">
                          <a14:useLocalDpi xmlns:a14="http://schemas.microsoft.com/office/drawing/2010/main" val="0"/>
                        </a:ext>
                      </a:extLst>
                    </a:blip>
                    <a:srcRect l="2376" t="1295" r="957" b="18639"/>
                    <a:stretch>
                      <a:fillRect/>
                    </a:stretch>
                  </pic:blipFill>
                  <pic:spPr bwMode="auto">
                    <a:xfrm>
                      <a:off x="0" y="0"/>
                      <a:ext cx="5293995" cy="13436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rPr>
      </w:pPr>
      <w:r w:rsidRPr="003F05A9">
        <w:rPr>
          <w:rFonts w:ascii="Times New Roman" w:hAnsi="Times New Roman" w:cs="Times New Roman"/>
          <w:sz w:val="24"/>
          <w:szCs w:val="24"/>
        </w:rPr>
        <w:t xml:space="preserve">Рис.1 – дендрограмма 75 регионов РФ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Деление субъектов РФ происходило с помощью методов кластерного анализа в R-studio.</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На первом этапе иерархическим методом проведена кластеризация регионов, с помощью чего было определено, что дифференцировать регионы рационально на 4 или 6 групп. Стоит отметить, что на дендрограмме были очень чётко выделены кластеры (рис. 1).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На втором этапе методом к-средних построены разбиения на 4 и 6 кластеров. После сравнения результатов обоих методов, был решено делить регионы на 4 группы, т.к. совпадение результатов было на 90 – 95%.  Итак, были получены 4 кластера, таблица 2.</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right"/>
        <w:rPr>
          <w:rFonts w:ascii="Times New Roman" w:hAnsi="Times New Roman" w:cs="Times New Roman"/>
          <w:i/>
          <w:sz w:val="20"/>
          <w:szCs w:val="20"/>
        </w:rPr>
      </w:pPr>
      <w:r w:rsidRPr="003F05A9">
        <w:rPr>
          <w:rFonts w:ascii="Times New Roman" w:hAnsi="Times New Roman" w:cs="Times New Roman"/>
          <w:i/>
          <w:sz w:val="20"/>
          <w:szCs w:val="20"/>
        </w:rPr>
        <w:t>Таблица 2</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b/>
          <w:sz w:val="20"/>
          <w:szCs w:val="20"/>
        </w:rPr>
      </w:pPr>
      <w:r w:rsidRPr="003F05A9">
        <w:rPr>
          <w:rFonts w:ascii="Times New Roman" w:hAnsi="Times New Roman" w:cs="Times New Roman"/>
          <w:b/>
          <w:sz w:val="20"/>
          <w:szCs w:val="20"/>
        </w:rPr>
        <w:t xml:space="preserve"> Объединения регионов на основе кластеризации по показателям человеческого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b/>
          <w:sz w:val="20"/>
          <w:szCs w:val="20"/>
        </w:rPr>
      </w:pPr>
      <w:r w:rsidRPr="003F05A9">
        <w:rPr>
          <w:rFonts w:ascii="Times New Roman" w:hAnsi="Times New Roman" w:cs="Times New Roman"/>
          <w:b/>
          <w:sz w:val="20"/>
          <w:szCs w:val="20"/>
        </w:rPr>
        <w:t xml:space="preserve">капитала </w:t>
      </w:r>
    </w:p>
    <w:tbl>
      <w:tblPr>
        <w:tblStyle w:val="24"/>
        <w:tblW w:w="0" w:type="auto"/>
        <w:tblLayout w:type="fixed"/>
        <w:tblLook w:val="04A0" w:firstRow="1" w:lastRow="0" w:firstColumn="1" w:lastColumn="0" w:noHBand="0" w:noVBand="1"/>
      </w:tblPr>
      <w:tblGrid>
        <w:gridCol w:w="959"/>
        <w:gridCol w:w="1134"/>
        <w:gridCol w:w="7761"/>
      </w:tblGrid>
      <w:tr w:rsidR="003F05A9" w:rsidRPr="003F05A9" w:rsidTr="003F05A9">
        <w:tc>
          <w:tcPr>
            <w:tcW w:w="959" w:type="dxa"/>
          </w:tcPr>
          <w:p w:rsidR="003F05A9" w:rsidRPr="003F05A9" w:rsidRDefault="003F05A9" w:rsidP="003F05A9">
            <w:pPr>
              <w:spacing w:after="0" w:line="240" w:lineRule="auto"/>
              <w:jc w:val="center"/>
              <w:rPr>
                <w:rFonts w:ascii="Times New Roman" w:hAnsi="Times New Roman" w:cs="Times New Roman"/>
                <w:sz w:val="20"/>
                <w:szCs w:val="20"/>
              </w:rPr>
            </w:pPr>
            <w:r w:rsidRPr="003F05A9">
              <w:rPr>
                <w:rFonts w:ascii="Times New Roman" w:hAnsi="Times New Roman" w:cs="Times New Roman"/>
                <w:sz w:val="20"/>
                <w:szCs w:val="20"/>
                <w:lang w:val="en-US"/>
              </w:rPr>
              <w:t>№ кластера</w:t>
            </w:r>
          </w:p>
        </w:tc>
        <w:tc>
          <w:tcPr>
            <w:tcW w:w="1134" w:type="dxa"/>
          </w:tcPr>
          <w:p w:rsidR="003F05A9" w:rsidRPr="003F05A9" w:rsidRDefault="003F05A9" w:rsidP="003F05A9">
            <w:pPr>
              <w:spacing w:after="0" w:line="240" w:lineRule="auto"/>
              <w:jc w:val="center"/>
              <w:rPr>
                <w:rFonts w:ascii="Times New Roman" w:hAnsi="Times New Roman" w:cs="Times New Roman"/>
                <w:sz w:val="20"/>
                <w:szCs w:val="20"/>
              </w:rPr>
            </w:pPr>
            <w:r w:rsidRPr="003F05A9">
              <w:rPr>
                <w:rFonts w:ascii="Times New Roman" w:hAnsi="Times New Roman" w:cs="Times New Roman"/>
                <w:sz w:val="20"/>
                <w:szCs w:val="20"/>
              </w:rPr>
              <w:t>Число регионов</w:t>
            </w:r>
          </w:p>
        </w:tc>
        <w:tc>
          <w:tcPr>
            <w:tcW w:w="7761" w:type="dxa"/>
          </w:tcPr>
          <w:p w:rsidR="003F05A9" w:rsidRPr="003F05A9" w:rsidRDefault="003F05A9" w:rsidP="003F05A9">
            <w:pPr>
              <w:spacing w:after="0" w:line="240" w:lineRule="auto"/>
              <w:jc w:val="center"/>
              <w:rPr>
                <w:rFonts w:ascii="Times New Roman" w:hAnsi="Times New Roman" w:cs="Times New Roman"/>
                <w:sz w:val="20"/>
                <w:szCs w:val="20"/>
              </w:rPr>
            </w:pPr>
            <w:r w:rsidRPr="003F05A9">
              <w:rPr>
                <w:rFonts w:ascii="Times New Roman" w:hAnsi="Times New Roman" w:cs="Times New Roman"/>
                <w:sz w:val="20"/>
                <w:szCs w:val="20"/>
              </w:rPr>
              <w:t>Состав кластеров</w:t>
            </w:r>
          </w:p>
        </w:tc>
      </w:tr>
      <w:tr w:rsidR="003F05A9" w:rsidRPr="003F05A9" w:rsidTr="003F05A9">
        <w:tc>
          <w:tcPr>
            <w:tcW w:w="959" w:type="dxa"/>
          </w:tcPr>
          <w:p w:rsidR="003F05A9" w:rsidRPr="003F05A9" w:rsidRDefault="003F05A9" w:rsidP="003F05A9">
            <w:pPr>
              <w:spacing w:after="0" w:line="240" w:lineRule="auto"/>
              <w:jc w:val="center"/>
              <w:rPr>
                <w:rFonts w:ascii="Times New Roman" w:hAnsi="Times New Roman" w:cs="Times New Roman"/>
                <w:sz w:val="20"/>
                <w:szCs w:val="20"/>
              </w:rPr>
            </w:pPr>
            <w:r w:rsidRPr="003F05A9">
              <w:rPr>
                <w:rFonts w:ascii="Times New Roman" w:hAnsi="Times New Roman" w:cs="Times New Roman"/>
                <w:sz w:val="20"/>
                <w:szCs w:val="20"/>
              </w:rPr>
              <w:t>1</w:t>
            </w:r>
          </w:p>
        </w:tc>
        <w:tc>
          <w:tcPr>
            <w:tcW w:w="1134" w:type="dxa"/>
          </w:tcPr>
          <w:p w:rsidR="003F05A9" w:rsidRPr="003F05A9" w:rsidRDefault="003F05A9" w:rsidP="003F05A9">
            <w:pPr>
              <w:spacing w:after="0" w:line="240" w:lineRule="auto"/>
              <w:jc w:val="center"/>
              <w:rPr>
                <w:rFonts w:ascii="Times New Roman" w:hAnsi="Times New Roman" w:cs="Times New Roman"/>
                <w:sz w:val="20"/>
                <w:szCs w:val="20"/>
              </w:rPr>
            </w:pPr>
            <w:r w:rsidRPr="003F05A9">
              <w:rPr>
                <w:rFonts w:ascii="Times New Roman" w:hAnsi="Times New Roman" w:cs="Times New Roman"/>
                <w:sz w:val="20"/>
                <w:szCs w:val="20"/>
              </w:rPr>
              <w:t>33</w:t>
            </w:r>
          </w:p>
        </w:tc>
        <w:tc>
          <w:tcPr>
            <w:tcW w:w="7761" w:type="dxa"/>
          </w:tcPr>
          <w:p w:rsidR="003F05A9" w:rsidRPr="003F05A9" w:rsidRDefault="003F05A9" w:rsidP="003F05A9">
            <w:pPr>
              <w:spacing w:after="0" w:line="240" w:lineRule="auto"/>
              <w:jc w:val="both"/>
              <w:rPr>
                <w:rFonts w:ascii="Times New Roman" w:hAnsi="Times New Roman" w:cs="Times New Roman"/>
                <w:sz w:val="20"/>
                <w:szCs w:val="20"/>
              </w:rPr>
            </w:pPr>
            <w:r w:rsidRPr="003F05A9">
              <w:rPr>
                <w:rFonts w:ascii="Times New Roman" w:hAnsi="Times New Roman" w:cs="Times New Roman"/>
                <w:sz w:val="20"/>
                <w:szCs w:val="20"/>
              </w:rPr>
              <w:t>Алтайский край, Брянская область, Владимирская область, Воронежская область, Ивановская область, Калининградская область, Калужская область, Карачаево-черкесская республика, Кировская область, Костромская область, Курганская область, Нижегородская область, Новгородская область, Новосибирская область, Орловская область, Пензенская область, Приморский край, Псковская область, Республика Адыгея, Республика Карелия, Республика Марий Эл, республика Мордовия, Рязанская область, Самарская область, Саратовская область, Смоленская область, Ставропольский край, Тверская область, Тульская область, Удмуртская республика, Ульяновская область, Чувашская республика, Ярославская область</w:t>
            </w:r>
          </w:p>
        </w:tc>
      </w:tr>
      <w:tr w:rsidR="003F05A9" w:rsidRPr="003F05A9" w:rsidTr="003F05A9">
        <w:tc>
          <w:tcPr>
            <w:tcW w:w="959" w:type="dxa"/>
          </w:tcPr>
          <w:p w:rsidR="003F05A9" w:rsidRPr="003F05A9" w:rsidRDefault="003F05A9" w:rsidP="003F05A9">
            <w:pPr>
              <w:spacing w:after="0" w:line="240" w:lineRule="auto"/>
              <w:jc w:val="center"/>
              <w:rPr>
                <w:rFonts w:ascii="Times New Roman" w:hAnsi="Times New Roman" w:cs="Times New Roman"/>
                <w:sz w:val="20"/>
                <w:szCs w:val="20"/>
              </w:rPr>
            </w:pPr>
            <w:r w:rsidRPr="003F05A9">
              <w:rPr>
                <w:rFonts w:ascii="Times New Roman" w:hAnsi="Times New Roman" w:cs="Times New Roman"/>
                <w:sz w:val="20"/>
                <w:szCs w:val="20"/>
              </w:rPr>
              <w:t>2</w:t>
            </w:r>
          </w:p>
        </w:tc>
        <w:tc>
          <w:tcPr>
            <w:tcW w:w="1134" w:type="dxa"/>
          </w:tcPr>
          <w:p w:rsidR="003F05A9" w:rsidRPr="003F05A9" w:rsidRDefault="003F05A9" w:rsidP="003F05A9">
            <w:pPr>
              <w:spacing w:after="0" w:line="240" w:lineRule="auto"/>
              <w:jc w:val="center"/>
              <w:rPr>
                <w:rFonts w:ascii="Times New Roman" w:hAnsi="Times New Roman" w:cs="Times New Roman"/>
                <w:sz w:val="20"/>
                <w:szCs w:val="20"/>
              </w:rPr>
            </w:pPr>
            <w:r w:rsidRPr="003F05A9">
              <w:rPr>
                <w:rFonts w:ascii="Times New Roman" w:hAnsi="Times New Roman" w:cs="Times New Roman"/>
                <w:sz w:val="20"/>
                <w:szCs w:val="20"/>
              </w:rPr>
              <w:t>4</w:t>
            </w:r>
          </w:p>
        </w:tc>
        <w:tc>
          <w:tcPr>
            <w:tcW w:w="7761" w:type="dxa"/>
          </w:tcPr>
          <w:p w:rsidR="003F05A9" w:rsidRPr="003F05A9" w:rsidRDefault="003F05A9" w:rsidP="003F05A9">
            <w:pPr>
              <w:spacing w:after="0" w:line="240" w:lineRule="auto"/>
              <w:jc w:val="both"/>
              <w:rPr>
                <w:rFonts w:ascii="Times New Roman" w:hAnsi="Times New Roman" w:cs="Times New Roman"/>
                <w:sz w:val="20"/>
                <w:szCs w:val="20"/>
                <w:highlight w:val="yellow"/>
              </w:rPr>
            </w:pPr>
            <w:r w:rsidRPr="003F05A9">
              <w:rPr>
                <w:rFonts w:ascii="Times New Roman" w:hAnsi="Times New Roman" w:cs="Times New Roman"/>
                <w:sz w:val="20"/>
                <w:szCs w:val="20"/>
              </w:rPr>
              <w:t>Республика Дагестан, Республика Саха, Сахалинская область, Тюменская область</w:t>
            </w:r>
          </w:p>
        </w:tc>
      </w:tr>
      <w:tr w:rsidR="003F05A9" w:rsidRPr="003F05A9" w:rsidTr="003F05A9">
        <w:tc>
          <w:tcPr>
            <w:tcW w:w="959" w:type="dxa"/>
          </w:tcPr>
          <w:p w:rsidR="003F05A9" w:rsidRPr="003F05A9" w:rsidRDefault="003F05A9" w:rsidP="003F05A9">
            <w:pPr>
              <w:spacing w:after="0" w:line="240" w:lineRule="auto"/>
              <w:jc w:val="center"/>
              <w:rPr>
                <w:rFonts w:ascii="Times New Roman" w:hAnsi="Times New Roman" w:cs="Times New Roman"/>
                <w:sz w:val="20"/>
                <w:szCs w:val="20"/>
              </w:rPr>
            </w:pPr>
            <w:r w:rsidRPr="003F05A9">
              <w:rPr>
                <w:rFonts w:ascii="Times New Roman" w:hAnsi="Times New Roman" w:cs="Times New Roman"/>
                <w:sz w:val="20"/>
                <w:szCs w:val="20"/>
              </w:rPr>
              <w:t>3</w:t>
            </w:r>
          </w:p>
        </w:tc>
        <w:tc>
          <w:tcPr>
            <w:tcW w:w="1134" w:type="dxa"/>
          </w:tcPr>
          <w:p w:rsidR="003F05A9" w:rsidRPr="003F05A9" w:rsidRDefault="003F05A9" w:rsidP="003F05A9">
            <w:pPr>
              <w:spacing w:after="0" w:line="240" w:lineRule="auto"/>
              <w:jc w:val="center"/>
              <w:rPr>
                <w:rFonts w:ascii="Times New Roman" w:hAnsi="Times New Roman" w:cs="Times New Roman"/>
                <w:sz w:val="20"/>
                <w:szCs w:val="20"/>
              </w:rPr>
            </w:pPr>
            <w:r w:rsidRPr="003F05A9">
              <w:rPr>
                <w:rFonts w:ascii="Times New Roman" w:hAnsi="Times New Roman" w:cs="Times New Roman"/>
                <w:sz w:val="20"/>
                <w:szCs w:val="20"/>
              </w:rPr>
              <w:t>9</w:t>
            </w:r>
          </w:p>
        </w:tc>
        <w:tc>
          <w:tcPr>
            <w:tcW w:w="7761" w:type="dxa"/>
          </w:tcPr>
          <w:p w:rsidR="003F05A9" w:rsidRPr="003F05A9" w:rsidRDefault="003F05A9" w:rsidP="003F05A9">
            <w:pPr>
              <w:spacing w:after="0" w:line="240" w:lineRule="auto"/>
              <w:jc w:val="both"/>
              <w:rPr>
                <w:rFonts w:ascii="Times New Roman" w:hAnsi="Times New Roman" w:cs="Times New Roman"/>
                <w:sz w:val="20"/>
                <w:szCs w:val="20"/>
              </w:rPr>
            </w:pPr>
            <w:r w:rsidRPr="003F05A9">
              <w:rPr>
                <w:rFonts w:ascii="Times New Roman" w:hAnsi="Times New Roman" w:cs="Times New Roman"/>
                <w:sz w:val="20"/>
                <w:szCs w:val="20"/>
              </w:rPr>
              <w:t>Магаданская область, Ленинградская область, Красноярский край, Архангельская область, республика Коми, Мурманская область, Оренбургская область, республика Тыва</w:t>
            </w:r>
          </w:p>
        </w:tc>
      </w:tr>
      <w:tr w:rsidR="003F05A9" w:rsidRPr="003F05A9" w:rsidTr="003F05A9">
        <w:tc>
          <w:tcPr>
            <w:tcW w:w="959" w:type="dxa"/>
          </w:tcPr>
          <w:p w:rsidR="003F05A9" w:rsidRPr="003F05A9" w:rsidRDefault="003F05A9" w:rsidP="003F05A9">
            <w:pPr>
              <w:spacing w:after="0" w:line="240" w:lineRule="auto"/>
              <w:jc w:val="center"/>
              <w:rPr>
                <w:rFonts w:ascii="Times New Roman" w:hAnsi="Times New Roman" w:cs="Times New Roman"/>
                <w:sz w:val="20"/>
                <w:szCs w:val="20"/>
              </w:rPr>
            </w:pPr>
            <w:r w:rsidRPr="003F05A9">
              <w:rPr>
                <w:rFonts w:ascii="Times New Roman" w:hAnsi="Times New Roman" w:cs="Times New Roman"/>
                <w:sz w:val="20"/>
                <w:szCs w:val="20"/>
              </w:rPr>
              <w:t>4</w:t>
            </w:r>
          </w:p>
        </w:tc>
        <w:tc>
          <w:tcPr>
            <w:tcW w:w="1134" w:type="dxa"/>
          </w:tcPr>
          <w:p w:rsidR="003F05A9" w:rsidRPr="003F05A9" w:rsidRDefault="003F05A9" w:rsidP="003F05A9">
            <w:pPr>
              <w:spacing w:after="0" w:line="240" w:lineRule="auto"/>
              <w:jc w:val="center"/>
              <w:rPr>
                <w:rFonts w:ascii="Times New Roman" w:hAnsi="Times New Roman" w:cs="Times New Roman"/>
                <w:sz w:val="20"/>
                <w:szCs w:val="20"/>
              </w:rPr>
            </w:pPr>
            <w:r w:rsidRPr="003F05A9">
              <w:rPr>
                <w:rFonts w:ascii="Times New Roman" w:hAnsi="Times New Roman" w:cs="Times New Roman"/>
                <w:sz w:val="20"/>
                <w:szCs w:val="20"/>
              </w:rPr>
              <w:t>29</w:t>
            </w:r>
          </w:p>
        </w:tc>
        <w:tc>
          <w:tcPr>
            <w:tcW w:w="7761" w:type="dxa"/>
          </w:tcPr>
          <w:p w:rsidR="003F05A9" w:rsidRPr="003F05A9" w:rsidRDefault="003F05A9" w:rsidP="003F05A9">
            <w:pPr>
              <w:spacing w:after="0" w:line="240" w:lineRule="auto"/>
              <w:jc w:val="both"/>
              <w:rPr>
                <w:rFonts w:ascii="Times New Roman" w:hAnsi="Times New Roman" w:cs="Times New Roman"/>
                <w:sz w:val="20"/>
                <w:szCs w:val="20"/>
              </w:rPr>
            </w:pPr>
            <w:r w:rsidRPr="003F05A9">
              <w:rPr>
                <w:rFonts w:ascii="Times New Roman" w:hAnsi="Times New Roman" w:cs="Times New Roman"/>
                <w:sz w:val="20"/>
                <w:szCs w:val="20"/>
              </w:rPr>
              <w:t>Московская область, Томская область, Камчатский край, республика Татарстан, Белгородская область, Краснодарский край, Иркутская область, Пермский край, Астраханская область, Вологодская область, республика Хакасия, Свердловская область, Липецкая область, Тамбовская область, Волгоградская область, республика Башкортостан, Хабаровский край, Челябинская область, Ростовская область, Омская область, Курская область, Амурская область, Кемеровская область, республика Калмыкия, Республика Бурятия, Забайкальский край, республика Алтай, республика Северная Осетия Алания</w:t>
            </w:r>
          </w:p>
        </w:tc>
      </w:tr>
    </w:tbl>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В первый самый многочисленный кластер вошли 33 субъекта, самый малочисленный – второй, в нём всего 4 субъекта. Как видно из результатов, нет явной географической закономерности в выделении кластеров, в каждом из них присутствуют регионы из разных федеральных округов. Для оценки и выделения взаимосвязей регионов в группе по показателям, была использована описательная статистика. Рассчитывались медианы, средние значения, дисперсия, сигма, доверительные интервалы, показывающие, какой кластер и по каким показателям значимо отличается от других.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В таблице 3 представлено по каким показателям каждый кластер занимает лидирующие и отстающие позиции.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right"/>
        <w:rPr>
          <w:rFonts w:ascii="Times New Roman" w:hAnsi="Times New Roman" w:cs="Times New Roman"/>
          <w:i/>
          <w:sz w:val="20"/>
          <w:szCs w:val="20"/>
        </w:rPr>
      </w:pPr>
      <w:r w:rsidRPr="003F05A9">
        <w:rPr>
          <w:rFonts w:ascii="Times New Roman" w:hAnsi="Times New Roman" w:cs="Times New Roman"/>
          <w:i/>
          <w:sz w:val="20"/>
          <w:szCs w:val="20"/>
        </w:rPr>
        <w:t>Таблица 3</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b/>
          <w:sz w:val="20"/>
          <w:szCs w:val="20"/>
        </w:rPr>
      </w:pPr>
      <w:r w:rsidRPr="003F05A9">
        <w:rPr>
          <w:rFonts w:ascii="Times New Roman" w:hAnsi="Times New Roman" w:cs="Times New Roman"/>
          <w:b/>
          <w:sz w:val="20"/>
          <w:szCs w:val="20"/>
        </w:rPr>
        <w:t>Показатели, показывающие лидирующие и отстающие позиции кластеров</w:t>
      </w:r>
    </w:p>
    <w:tbl>
      <w:tblPr>
        <w:tblStyle w:val="24"/>
        <w:tblW w:w="0" w:type="auto"/>
        <w:tblLook w:val="04A0" w:firstRow="1" w:lastRow="0" w:firstColumn="1" w:lastColumn="0" w:noHBand="0" w:noVBand="1"/>
      </w:tblPr>
      <w:tblGrid>
        <w:gridCol w:w="1104"/>
        <w:gridCol w:w="4249"/>
        <w:gridCol w:w="4501"/>
      </w:tblGrid>
      <w:tr w:rsidR="003F05A9" w:rsidRPr="003F05A9" w:rsidTr="003F05A9">
        <w:tc>
          <w:tcPr>
            <w:tcW w:w="1104" w:type="dxa"/>
          </w:tcPr>
          <w:p w:rsidR="003F05A9" w:rsidRPr="003F05A9" w:rsidRDefault="003F05A9" w:rsidP="003F05A9">
            <w:pPr>
              <w:spacing w:after="0" w:line="240" w:lineRule="auto"/>
              <w:jc w:val="center"/>
              <w:rPr>
                <w:rFonts w:ascii="Times New Roman" w:hAnsi="Times New Roman" w:cs="Times New Roman"/>
                <w:sz w:val="20"/>
                <w:szCs w:val="24"/>
              </w:rPr>
            </w:pPr>
            <w:r w:rsidRPr="003F05A9">
              <w:rPr>
                <w:rFonts w:ascii="Times New Roman" w:hAnsi="Times New Roman" w:cs="Times New Roman"/>
                <w:sz w:val="20"/>
                <w:szCs w:val="24"/>
              </w:rPr>
              <w:t xml:space="preserve">№ </w:t>
            </w:r>
          </w:p>
          <w:p w:rsidR="003F05A9" w:rsidRPr="003F05A9" w:rsidRDefault="003F05A9" w:rsidP="003F05A9">
            <w:pPr>
              <w:spacing w:after="0" w:line="240" w:lineRule="auto"/>
              <w:jc w:val="center"/>
              <w:rPr>
                <w:rFonts w:ascii="Times New Roman" w:hAnsi="Times New Roman" w:cs="Times New Roman"/>
                <w:sz w:val="20"/>
                <w:szCs w:val="24"/>
              </w:rPr>
            </w:pPr>
            <w:r w:rsidRPr="003F05A9">
              <w:rPr>
                <w:rFonts w:ascii="Times New Roman" w:hAnsi="Times New Roman" w:cs="Times New Roman"/>
                <w:sz w:val="20"/>
                <w:szCs w:val="24"/>
              </w:rPr>
              <w:t>кластера</w:t>
            </w:r>
          </w:p>
        </w:tc>
        <w:tc>
          <w:tcPr>
            <w:tcW w:w="4249" w:type="dxa"/>
          </w:tcPr>
          <w:p w:rsidR="003F05A9" w:rsidRPr="003F05A9" w:rsidRDefault="003F05A9" w:rsidP="003F05A9">
            <w:pPr>
              <w:spacing w:after="0" w:line="240" w:lineRule="auto"/>
              <w:jc w:val="center"/>
              <w:rPr>
                <w:rFonts w:ascii="Times New Roman" w:hAnsi="Times New Roman" w:cs="Times New Roman"/>
                <w:sz w:val="20"/>
                <w:szCs w:val="24"/>
              </w:rPr>
            </w:pPr>
            <w:r w:rsidRPr="003F05A9">
              <w:rPr>
                <w:rFonts w:ascii="Times New Roman" w:hAnsi="Times New Roman" w:cs="Times New Roman"/>
                <w:sz w:val="20"/>
                <w:szCs w:val="24"/>
              </w:rPr>
              <w:t>№ показателя, по которому кластер лидирует</w:t>
            </w:r>
          </w:p>
        </w:tc>
        <w:tc>
          <w:tcPr>
            <w:tcW w:w="4501" w:type="dxa"/>
          </w:tcPr>
          <w:p w:rsidR="003F05A9" w:rsidRPr="003F05A9" w:rsidRDefault="003F05A9" w:rsidP="003F05A9">
            <w:pPr>
              <w:spacing w:after="0" w:line="240" w:lineRule="auto"/>
              <w:jc w:val="center"/>
              <w:rPr>
                <w:rFonts w:ascii="Times New Roman" w:hAnsi="Times New Roman" w:cs="Times New Roman"/>
                <w:sz w:val="20"/>
                <w:szCs w:val="24"/>
              </w:rPr>
            </w:pPr>
            <w:r w:rsidRPr="003F05A9">
              <w:rPr>
                <w:rFonts w:ascii="Times New Roman" w:hAnsi="Times New Roman" w:cs="Times New Roman"/>
                <w:sz w:val="20"/>
                <w:szCs w:val="24"/>
              </w:rPr>
              <w:t>№ показателя, по которому кластер</w:t>
            </w:r>
          </w:p>
          <w:p w:rsidR="003F05A9" w:rsidRPr="003F05A9" w:rsidRDefault="003F05A9" w:rsidP="003F05A9">
            <w:pPr>
              <w:spacing w:after="0" w:line="240" w:lineRule="auto"/>
              <w:jc w:val="center"/>
              <w:rPr>
                <w:rFonts w:ascii="Times New Roman" w:hAnsi="Times New Roman" w:cs="Times New Roman"/>
                <w:sz w:val="20"/>
                <w:szCs w:val="24"/>
              </w:rPr>
            </w:pPr>
            <w:r w:rsidRPr="003F05A9">
              <w:rPr>
                <w:rFonts w:ascii="Times New Roman" w:hAnsi="Times New Roman" w:cs="Times New Roman"/>
                <w:sz w:val="20"/>
                <w:szCs w:val="24"/>
              </w:rPr>
              <w:t>занимает последнее место</w:t>
            </w:r>
          </w:p>
        </w:tc>
      </w:tr>
      <w:tr w:rsidR="003F05A9" w:rsidRPr="003F05A9" w:rsidTr="003F05A9">
        <w:tc>
          <w:tcPr>
            <w:tcW w:w="1104" w:type="dxa"/>
          </w:tcPr>
          <w:p w:rsidR="003F05A9" w:rsidRPr="003F05A9" w:rsidRDefault="003F05A9" w:rsidP="003F05A9">
            <w:pPr>
              <w:spacing w:after="0" w:line="240" w:lineRule="auto"/>
              <w:jc w:val="center"/>
              <w:rPr>
                <w:rFonts w:ascii="Times New Roman" w:hAnsi="Times New Roman" w:cs="Times New Roman"/>
                <w:sz w:val="20"/>
                <w:szCs w:val="24"/>
              </w:rPr>
            </w:pPr>
            <w:r w:rsidRPr="003F05A9">
              <w:rPr>
                <w:rFonts w:ascii="Times New Roman" w:hAnsi="Times New Roman" w:cs="Times New Roman"/>
                <w:sz w:val="20"/>
                <w:szCs w:val="24"/>
              </w:rPr>
              <w:t>1</w:t>
            </w:r>
          </w:p>
        </w:tc>
        <w:tc>
          <w:tcPr>
            <w:tcW w:w="4249" w:type="dxa"/>
          </w:tcPr>
          <w:p w:rsidR="003F05A9" w:rsidRPr="003F05A9" w:rsidRDefault="003F05A9" w:rsidP="003F05A9">
            <w:pPr>
              <w:spacing w:after="0" w:line="240" w:lineRule="auto"/>
              <w:jc w:val="both"/>
              <w:rPr>
                <w:rFonts w:ascii="Times New Roman" w:hAnsi="Times New Roman" w:cs="Times New Roman"/>
                <w:sz w:val="20"/>
                <w:szCs w:val="24"/>
                <w:lang w:val="en-US"/>
              </w:rPr>
            </w:pPr>
            <w:r w:rsidRPr="003F05A9">
              <w:rPr>
                <w:rFonts w:ascii="Times New Roman" w:hAnsi="Times New Roman" w:cs="Times New Roman"/>
                <w:sz w:val="20"/>
                <w:szCs w:val="24"/>
              </w:rPr>
              <w:t xml:space="preserve">3, 4, </w:t>
            </w:r>
            <w:r w:rsidRPr="003F05A9">
              <w:rPr>
                <w:rFonts w:ascii="Times New Roman" w:hAnsi="Times New Roman" w:cs="Times New Roman"/>
                <w:sz w:val="20"/>
                <w:szCs w:val="24"/>
                <w:lang w:val="en-US"/>
              </w:rPr>
              <w:t>19</w:t>
            </w:r>
          </w:p>
        </w:tc>
        <w:tc>
          <w:tcPr>
            <w:tcW w:w="4501" w:type="dxa"/>
          </w:tcPr>
          <w:p w:rsidR="003F05A9" w:rsidRPr="003F05A9" w:rsidRDefault="003F05A9" w:rsidP="003F05A9">
            <w:pPr>
              <w:spacing w:after="0" w:line="240" w:lineRule="auto"/>
              <w:jc w:val="both"/>
              <w:rPr>
                <w:rFonts w:ascii="Times New Roman" w:hAnsi="Times New Roman" w:cs="Times New Roman"/>
                <w:sz w:val="20"/>
                <w:szCs w:val="24"/>
                <w:lang w:val="en-US"/>
              </w:rPr>
            </w:pPr>
            <w:r w:rsidRPr="003F05A9">
              <w:rPr>
                <w:rFonts w:ascii="Times New Roman" w:hAnsi="Times New Roman" w:cs="Times New Roman"/>
                <w:sz w:val="20"/>
                <w:szCs w:val="24"/>
                <w:lang w:val="en-US"/>
              </w:rPr>
              <w:t>1, 2, 7, 14, 21</w:t>
            </w:r>
          </w:p>
        </w:tc>
      </w:tr>
      <w:tr w:rsidR="003F05A9" w:rsidRPr="003F05A9" w:rsidTr="003F05A9">
        <w:tc>
          <w:tcPr>
            <w:tcW w:w="1104" w:type="dxa"/>
          </w:tcPr>
          <w:p w:rsidR="003F05A9" w:rsidRPr="003F05A9" w:rsidRDefault="003F05A9" w:rsidP="003F05A9">
            <w:pPr>
              <w:spacing w:after="0" w:line="240" w:lineRule="auto"/>
              <w:jc w:val="center"/>
              <w:rPr>
                <w:rFonts w:ascii="Times New Roman" w:hAnsi="Times New Roman" w:cs="Times New Roman"/>
                <w:sz w:val="20"/>
                <w:szCs w:val="24"/>
              </w:rPr>
            </w:pPr>
            <w:r w:rsidRPr="003F05A9">
              <w:rPr>
                <w:rFonts w:ascii="Times New Roman" w:hAnsi="Times New Roman" w:cs="Times New Roman"/>
                <w:sz w:val="20"/>
                <w:szCs w:val="24"/>
              </w:rPr>
              <w:t>2</w:t>
            </w:r>
          </w:p>
        </w:tc>
        <w:tc>
          <w:tcPr>
            <w:tcW w:w="4249" w:type="dxa"/>
          </w:tcPr>
          <w:p w:rsidR="003F05A9" w:rsidRPr="003F05A9" w:rsidRDefault="003F05A9" w:rsidP="003F05A9">
            <w:pPr>
              <w:spacing w:after="0" w:line="240" w:lineRule="auto"/>
              <w:jc w:val="both"/>
              <w:rPr>
                <w:rFonts w:ascii="Times New Roman" w:hAnsi="Times New Roman" w:cs="Times New Roman"/>
                <w:sz w:val="20"/>
                <w:szCs w:val="24"/>
              </w:rPr>
            </w:pPr>
            <w:r w:rsidRPr="003F05A9">
              <w:rPr>
                <w:rFonts w:ascii="Times New Roman" w:hAnsi="Times New Roman" w:cs="Times New Roman"/>
                <w:sz w:val="20"/>
                <w:szCs w:val="24"/>
              </w:rPr>
              <w:t>1, 2, 7, 9, 11, 16, 17, 21</w:t>
            </w:r>
          </w:p>
        </w:tc>
        <w:tc>
          <w:tcPr>
            <w:tcW w:w="4501" w:type="dxa"/>
          </w:tcPr>
          <w:p w:rsidR="003F05A9" w:rsidRPr="003F05A9" w:rsidRDefault="003F05A9" w:rsidP="003F05A9">
            <w:pPr>
              <w:spacing w:after="0" w:line="240" w:lineRule="auto"/>
              <w:jc w:val="both"/>
              <w:rPr>
                <w:rFonts w:ascii="Times New Roman" w:hAnsi="Times New Roman" w:cs="Times New Roman"/>
                <w:sz w:val="20"/>
                <w:szCs w:val="24"/>
              </w:rPr>
            </w:pPr>
            <w:r w:rsidRPr="003F05A9">
              <w:rPr>
                <w:rFonts w:ascii="Times New Roman" w:hAnsi="Times New Roman" w:cs="Times New Roman"/>
                <w:sz w:val="20"/>
                <w:szCs w:val="24"/>
              </w:rPr>
              <w:t>3, 5, 8, 9, 10, 11, 12, 13, 15, 19, 20</w:t>
            </w:r>
          </w:p>
        </w:tc>
      </w:tr>
      <w:tr w:rsidR="003F05A9" w:rsidRPr="003F05A9" w:rsidTr="003F05A9">
        <w:tc>
          <w:tcPr>
            <w:tcW w:w="1104" w:type="dxa"/>
          </w:tcPr>
          <w:p w:rsidR="003F05A9" w:rsidRPr="003F05A9" w:rsidRDefault="003F05A9" w:rsidP="003F05A9">
            <w:pPr>
              <w:spacing w:after="0" w:line="240" w:lineRule="auto"/>
              <w:jc w:val="center"/>
              <w:rPr>
                <w:rFonts w:ascii="Times New Roman" w:hAnsi="Times New Roman" w:cs="Times New Roman"/>
                <w:sz w:val="20"/>
                <w:szCs w:val="24"/>
              </w:rPr>
            </w:pPr>
            <w:r w:rsidRPr="003F05A9">
              <w:rPr>
                <w:rFonts w:ascii="Times New Roman" w:hAnsi="Times New Roman" w:cs="Times New Roman"/>
                <w:sz w:val="20"/>
                <w:szCs w:val="24"/>
              </w:rPr>
              <w:t>3</w:t>
            </w:r>
          </w:p>
        </w:tc>
        <w:tc>
          <w:tcPr>
            <w:tcW w:w="4249" w:type="dxa"/>
          </w:tcPr>
          <w:p w:rsidR="003F05A9" w:rsidRPr="003F05A9" w:rsidRDefault="003F05A9" w:rsidP="003F05A9">
            <w:pPr>
              <w:spacing w:after="0" w:line="240" w:lineRule="auto"/>
              <w:jc w:val="both"/>
              <w:rPr>
                <w:rFonts w:ascii="Times New Roman" w:hAnsi="Times New Roman" w:cs="Times New Roman"/>
                <w:sz w:val="20"/>
                <w:szCs w:val="24"/>
              </w:rPr>
            </w:pPr>
            <w:r w:rsidRPr="003F05A9">
              <w:rPr>
                <w:rFonts w:ascii="Times New Roman" w:hAnsi="Times New Roman" w:cs="Times New Roman"/>
                <w:sz w:val="20"/>
                <w:szCs w:val="24"/>
              </w:rPr>
              <w:t>5, 6, 10, 12, 14, 20</w:t>
            </w:r>
          </w:p>
        </w:tc>
        <w:tc>
          <w:tcPr>
            <w:tcW w:w="4501" w:type="dxa"/>
          </w:tcPr>
          <w:p w:rsidR="003F05A9" w:rsidRPr="003F05A9" w:rsidRDefault="003F05A9" w:rsidP="003F05A9">
            <w:pPr>
              <w:spacing w:after="0" w:line="240" w:lineRule="auto"/>
              <w:jc w:val="both"/>
              <w:rPr>
                <w:rFonts w:ascii="Times New Roman" w:hAnsi="Times New Roman" w:cs="Times New Roman"/>
                <w:sz w:val="20"/>
                <w:szCs w:val="24"/>
              </w:rPr>
            </w:pPr>
            <w:r w:rsidRPr="003F05A9">
              <w:rPr>
                <w:rFonts w:ascii="Times New Roman" w:hAnsi="Times New Roman" w:cs="Times New Roman"/>
                <w:sz w:val="20"/>
                <w:szCs w:val="24"/>
              </w:rPr>
              <w:t>16, 17, 18</w:t>
            </w:r>
          </w:p>
        </w:tc>
      </w:tr>
      <w:tr w:rsidR="003F05A9" w:rsidRPr="003F05A9" w:rsidTr="003F05A9">
        <w:tc>
          <w:tcPr>
            <w:tcW w:w="1104" w:type="dxa"/>
          </w:tcPr>
          <w:p w:rsidR="003F05A9" w:rsidRPr="003F05A9" w:rsidRDefault="003F05A9" w:rsidP="003F05A9">
            <w:pPr>
              <w:spacing w:after="0" w:line="240" w:lineRule="auto"/>
              <w:jc w:val="center"/>
              <w:rPr>
                <w:rFonts w:ascii="Times New Roman" w:hAnsi="Times New Roman" w:cs="Times New Roman"/>
                <w:sz w:val="20"/>
                <w:szCs w:val="24"/>
              </w:rPr>
            </w:pPr>
            <w:r w:rsidRPr="003F05A9">
              <w:rPr>
                <w:rFonts w:ascii="Times New Roman" w:hAnsi="Times New Roman" w:cs="Times New Roman"/>
                <w:sz w:val="20"/>
                <w:szCs w:val="24"/>
              </w:rPr>
              <w:t>4</w:t>
            </w:r>
          </w:p>
        </w:tc>
        <w:tc>
          <w:tcPr>
            <w:tcW w:w="4249" w:type="dxa"/>
          </w:tcPr>
          <w:p w:rsidR="003F05A9" w:rsidRPr="003F05A9" w:rsidRDefault="003F05A9" w:rsidP="003F05A9">
            <w:pPr>
              <w:spacing w:after="0" w:line="240" w:lineRule="auto"/>
              <w:jc w:val="both"/>
              <w:rPr>
                <w:rFonts w:ascii="Times New Roman" w:hAnsi="Times New Roman" w:cs="Times New Roman"/>
                <w:sz w:val="20"/>
                <w:szCs w:val="24"/>
              </w:rPr>
            </w:pPr>
            <w:r w:rsidRPr="003F05A9">
              <w:rPr>
                <w:rFonts w:ascii="Times New Roman" w:hAnsi="Times New Roman" w:cs="Times New Roman"/>
                <w:sz w:val="20"/>
                <w:szCs w:val="24"/>
              </w:rPr>
              <w:t>8, 13, 15, 18</w:t>
            </w:r>
          </w:p>
        </w:tc>
        <w:tc>
          <w:tcPr>
            <w:tcW w:w="4501" w:type="dxa"/>
          </w:tcPr>
          <w:p w:rsidR="003F05A9" w:rsidRPr="003F05A9" w:rsidRDefault="003F05A9" w:rsidP="003F05A9">
            <w:pPr>
              <w:spacing w:after="0" w:line="240" w:lineRule="auto"/>
              <w:jc w:val="both"/>
              <w:rPr>
                <w:rFonts w:ascii="Times New Roman" w:hAnsi="Times New Roman" w:cs="Times New Roman"/>
                <w:sz w:val="20"/>
                <w:szCs w:val="24"/>
              </w:rPr>
            </w:pPr>
            <w:r w:rsidRPr="003F05A9">
              <w:rPr>
                <w:rFonts w:ascii="Times New Roman" w:hAnsi="Times New Roman" w:cs="Times New Roman"/>
                <w:sz w:val="20"/>
                <w:szCs w:val="24"/>
              </w:rPr>
              <w:t>4, 6</w:t>
            </w:r>
          </w:p>
        </w:tc>
      </w:tr>
    </w:tbl>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I кластер. В этот кластер входит 33 региона. Регионы этого кластера имеют показатели человеческого капитала существенно выше средних значений по инвестиционной эффективности и уровню культурного развития. По уровню безработицы, производительности труда, мощности предприятий и уровню заболеваемости кластер занимает последнее место. Все остальные показатели — на уровне средних значений.</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I</w:t>
      </w:r>
      <w:r w:rsidRPr="003F05A9">
        <w:rPr>
          <w:rFonts w:ascii="Times New Roman" w:hAnsi="Times New Roman" w:cs="Times New Roman"/>
          <w:sz w:val="24"/>
          <w:szCs w:val="24"/>
          <w:lang w:val="en-US"/>
        </w:rPr>
        <w:t>I</w:t>
      </w:r>
      <w:r w:rsidRPr="003F05A9">
        <w:rPr>
          <w:rFonts w:ascii="Times New Roman" w:hAnsi="Times New Roman" w:cs="Times New Roman"/>
          <w:sz w:val="24"/>
          <w:szCs w:val="24"/>
        </w:rPr>
        <w:t xml:space="preserve"> кластер. Кластер самый малочисленный, состоящий из 4 регионов. Выделяется кластер самой высокой производительностью труда. Очень высокий уровень загрязнений, притом, что показатель продолжительности жизни имеет также самое высокое значение. Низкий уровень смертности по внешним причинам и уровень алкоголизма. По уровню культуры, инновационного и научного развития кластер занимает последнее место.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I</w:t>
      </w:r>
      <w:r w:rsidRPr="003F05A9">
        <w:rPr>
          <w:rFonts w:ascii="Times New Roman" w:hAnsi="Times New Roman" w:cs="Times New Roman"/>
          <w:sz w:val="24"/>
          <w:szCs w:val="24"/>
          <w:lang w:val="en-US"/>
        </w:rPr>
        <w:t>II</w:t>
      </w:r>
      <w:r w:rsidRPr="003F05A9">
        <w:rPr>
          <w:rFonts w:ascii="Times New Roman" w:hAnsi="Times New Roman" w:cs="Times New Roman"/>
          <w:sz w:val="24"/>
          <w:szCs w:val="24"/>
        </w:rPr>
        <w:t xml:space="preserve"> кластер. В него входят 9 регионов, включая город федерального значения – Москва. Кластер с самым высоким уровнем научного и инновационного развития, уровнем заболеваемости и смертности по внешним причинам. Здесь самый высокий уровень преступности, и самая низкая продолжительность жизни.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cs="Times New Roman"/>
        </w:rPr>
      </w:pPr>
      <w:r w:rsidRPr="003F05A9">
        <w:rPr>
          <w:rFonts w:ascii="Times New Roman" w:hAnsi="Times New Roman" w:cs="Times New Roman"/>
          <w:sz w:val="24"/>
          <w:szCs w:val="24"/>
        </w:rPr>
        <w:t xml:space="preserve">IV кластер. Второй по численности регионов. С самым высоким уровнем специалистов с высшим образованием и самым высоким уровнем безработицы. Уровень инновационного развития и алкоголизма выше среднего. Самый низкий уровень разводов.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 Итак, самым высоко – технологичным является I</w:t>
      </w:r>
      <w:r w:rsidRPr="003F05A9">
        <w:rPr>
          <w:rFonts w:ascii="Times New Roman" w:hAnsi="Times New Roman" w:cs="Times New Roman"/>
          <w:sz w:val="24"/>
          <w:szCs w:val="24"/>
          <w:lang w:val="en-US"/>
        </w:rPr>
        <w:t>II</w:t>
      </w:r>
      <w:r w:rsidRPr="003F05A9">
        <w:rPr>
          <w:rFonts w:ascii="Times New Roman" w:hAnsi="Times New Roman" w:cs="Times New Roman"/>
          <w:sz w:val="24"/>
          <w:szCs w:val="24"/>
        </w:rPr>
        <w:t xml:space="preserve"> кластер. Но по уровню здравоохранения он занимает последнее место.</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I</w:t>
      </w:r>
      <w:r w:rsidRPr="003F05A9">
        <w:rPr>
          <w:rFonts w:ascii="Times New Roman" w:hAnsi="Times New Roman" w:cs="Times New Roman"/>
          <w:sz w:val="24"/>
          <w:szCs w:val="24"/>
          <w:lang w:val="en-US"/>
        </w:rPr>
        <w:t>I</w:t>
      </w:r>
      <w:r w:rsidRPr="003F05A9">
        <w:rPr>
          <w:rFonts w:ascii="Times New Roman" w:hAnsi="Times New Roman" w:cs="Times New Roman"/>
          <w:sz w:val="24"/>
          <w:szCs w:val="24"/>
        </w:rPr>
        <w:t xml:space="preserve"> кластер – рабочий. Здесь сосредоточены месторождения полезных ископаемых, что обуславливает самый высокий уровень загрязнённости и высокую производительность труда, и низкий уровень культуры и инноваций.</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I кластер – культурный, по показателям культурного развития он занимает первое место, но уступает всем остальным по уровню профессионализма.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IV кластер – самый здоровый и образованный.</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Итак, в ходе исследования было выявлено, какие проблемы наиболее остры в каждом кластере. Именно на решение этих проблем и должны быть направлены основные действия в русле совершенствования социальной политики субъектов Федерации. Какие именно меры могут быть эффективными, можно определить, изучив стратегические направления развития регионов в кластере, наиболее благополучном в отношении исследуемой характеристики человеческого капитала.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shd w:val="clear" w:color="auto" w:fill="FFFFFF"/>
        </w:rPr>
      </w:pPr>
      <w:r w:rsidRPr="003F05A9">
        <w:rPr>
          <w:rFonts w:ascii="Times New Roman" w:hAnsi="Times New Roman" w:cs="Times New Roman"/>
          <w:b/>
          <w:sz w:val="24"/>
          <w:szCs w:val="24"/>
        </w:rPr>
        <w:t xml:space="preserve">Заключение. </w:t>
      </w:r>
      <w:r w:rsidRPr="003F05A9">
        <w:rPr>
          <w:rFonts w:ascii="Times New Roman" w:hAnsi="Times New Roman" w:cs="Times New Roman"/>
          <w:sz w:val="24"/>
          <w:szCs w:val="24"/>
        </w:rPr>
        <w:t xml:space="preserve">В рамках данной работы </w:t>
      </w:r>
      <w:r w:rsidRPr="003F05A9">
        <w:rPr>
          <w:rFonts w:ascii="Times New Roman" w:hAnsi="Times New Roman" w:cs="Times New Roman"/>
          <w:sz w:val="24"/>
          <w:szCs w:val="24"/>
          <w:shd w:val="clear" w:color="auto" w:fill="FFFFFF"/>
        </w:rPr>
        <w:t xml:space="preserve">проведено исследование развития человеческого капитала на примере Российской Федерации. Пройдены все этапы процесса типологизации регионов.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shd w:val="clear" w:color="auto" w:fill="FFFFFF"/>
        </w:rPr>
      </w:pPr>
      <w:r w:rsidRPr="003F05A9">
        <w:rPr>
          <w:rFonts w:ascii="Times New Roman" w:hAnsi="Times New Roman" w:cs="Times New Roman"/>
          <w:sz w:val="24"/>
          <w:szCs w:val="24"/>
          <w:shd w:val="clear" w:color="auto" w:fill="FFFFFF"/>
        </w:rPr>
        <w:t xml:space="preserve">Во-первых, сформирована система показателей, характеризующая наиболее полно ЧК, в которую вошли 6 основных групп, по несколько показателей в каждой.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shd w:val="clear" w:color="auto" w:fill="FFFFFF"/>
        </w:rPr>
      </w:pPr>
      <w:r w:rsidRPr="003F05A9">
        <w:rPr>
          <w:rFonts w:ascii="Times New Roman" w:hAnsi="Times New Roman" w:cs="Times New Roman"/>
          <w:sz w:val="24"/>
          <w:szCs w:val="24"/>
          <w:shd w:val="clear" w:color="auto" w:fill="FFFFFF"/>
        </w:rPr>
        <w:t xml:space="preserve">Во-вторых, проведён кластерный анализ, разбивший все регионы на четыре группы.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shd w:val="clear" w:color="auto" w:fill="FFFFFF"/>
        </w:rPr>
      </w:pPr>
      <w:r w:rsidRPr="003F05A9">
        <w:rPr>
          <w:rFonts w:ascii="Times New Roman" w:hAnsi="Times New Roman" w:cs="Times New Roman"/>
          <w:sz w:val="24"/>
          <w:szCs w:val="24"/>
          <w:shd w:val="clear" w:color="auto" w:fill="FFFFFF"/>
        </w:rPr>
        <w:t xml:space="preserve">В-третьих, дана содержательная характеристика полученных результатов. Развитие регионов страны происходит неравномерно. На основании результатов, можно говорить об основных проблемах и достижениях качества населения в России.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shd w:val="clear" w:color="auto" w:fill="FFFFFF"/>
        </w:rPr>
      </w:pPr>
      <w:r w:rsidRPr="003F05A9">
        <w:rPr>
          <w:rFonts w:ascii="Times New Roman" w:hAnsi="Times New Roman" w:cs="Times New Roman"/>
          <w:sz w:val="24"/>
          <w:szCs w:val="24"/>
          <w:shd w:val="clear" w:color="auto" w:fill="FFFFFF"/>
        </w:rPr>
        <w:t xml:space="preserve">В дальнейшем сделанные выводы и результаты исследования могут послужить сокращению дифференциации показателей человеческого капитала в РФ.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567"/>
        <w:jc w:val="both"/>
        <w:rPr>
          <w:rFonts w:ascii="Times New Roman" w:hAnsi="Times New Roman" w:cs="Times New Roman"/>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360" w:lineRule="auto"/>
        <w:ind w:firstLine="567"/>
        <w:jc w:val="both"/>
        <w:rPr>
          <w:rFonts w:ascii="Times New Roman" w:hAnsi="Times New Roman" w:cs="Times New Roman"/>
          <w:sz w:val="24"/>
          <w:szCs w:val="24"/>
        </w:rPr>
      </w:pPr>
      <w:r w:rsidRPr="003F05A9">
        <w:rPr>
          <w:rFonts w:ascii="Times New Roman" w:hAnsi="Times New Roman" w:cs="Times New Roman"/>
          <w:b/>
          <w:sz w:val="24"/>
          <w:szCs w:val="24"/>
        </w:rPr>
        <w:t>Список литературы</w:t>
      </w:r>
      <w:r w:rsidRPr="003F05A9">
        <w:rPr>
          <w:rFonts w:ascii="Times New Roman" w:hAnsi="Times New Roman" w:cs="Times New Roman"/>
          <w:sz w:val="24"/>
          <w:szCs w:val="24"/>
        </w:rPr>
        <w:t xml:space="preserve">. </w:t>
      </w:r>
    </w:p>
    <w:p w:rsidR="003F05A9" w:rsidRPr="003F05A9" w:rsidRDefault="003F05A9" w:rsidP="003F05A9">
      <w:pPr>
        <w:numPr>
          <w:ilvl w:val="0"/>
          <w:numId w:val="11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Локосов В. В., Рюмина Е. В., Ульянов В. В. Региональная дифференциация показателей человеческого потенциала. М.: Экономика региона. — 2015. — №4. — С. 185-196.</w:t>
      </w:r>
    </w:p>
    <w:p w:rsidR="003F05A9" w:rsidRPr="003F05A9" w:rsidRDefault="003F05A9" w:rsidP="003F05A9">
      <w:pPr>
        <w:numPr>
          <w:ilvl w:val="0"/>
          <w:numId w:val="11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 xml:space="preserve">Шатохин Н. В., Быстрицкая А. Ю. Региональные аспекты человеческого потенциала. М.: </w:t>
      </w:r>
      <w:hyperlink r:id="rId377" w:history="1">
        <w:r w:rsidRPr="003F05A9">
          <w:rPr>
            <w:rFonts w:ascii="Times New Roman" w:hAnsi="Times New Roman" w:cs="Times New Roman"/>
            <w:color w:val="000000"/>
            <w:sz w:val="24"/>
            <w:szCs w:val="24"/>
          </w:rPr>
          <w:t>Вестник Курской государственной сельскохозяйственной академии</w:t>
        </w:r>
      </w:hyperlink>
      <w:r w:rsidRPr="003F05A9">
        <w:rPr>
          <w:rFonts w:ascii="Times New Roman" w:hAnsi="Times New Roman" w:cs="Times New Roman"/>
          <w:color w:val="000000"/>
          <w:sz w:val="24"/>
          <w:szCs w:val="24"/>
        </w:rPr>
        <w:t>. — 2015. — №</w:t>
      </w:r>
      <w:r w:rsidRPr="003F05A9">
        <w:rPr>
          <w:rFonts w:ascii="Times New Roman" w:hAnsi="Times New Roman" w:cs="Times New Roman"/>
          <w:color w:val="000000"/>
          <w:sz w:val="24"/>
          <w:szCs w:val="24"/>
          <w:lang w:val="en-US"/>
        </w:rPr>
        <w:t>3</w:t>
      </w:r>
      <w:r w:rsidRPr="003F05A9">
        <w:rPr>
          <w:rFonts w:ascii="Times New Roman" w:hAnsi="Times New Roman" w:cs="Times New Roman"/>
          <w:color w:val="000000"/>
          <w:sz w:val="24"/>
          <w:szCs w:val="24"/>
        </w:rPr>
        <w:t>. — С. 94-98.</w:t>
      </w:r>
    </w:p>
    <w:p w:rsidR="003F05A9" w:rsidRPr="003F05A9" w:rsidRDefault="003F05A9" w:rsidP="003F05A9">
      <w:pPr>
        <w:numPr>
          <w:ilvl w:val="0"/>
          <w:numId w:val="11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 xml:space="preserve">Курганский С. А. Тенденции развития человеческого капитала в России. М.: </w:t>
      </w:r>
      <w:hyperlink r:id="rId378" w:history="1">
        <w:r w:rsidRPr="003F05A9">
          <w:rPr>
            <w:rFonts w:ascii="Times New Roman" w:hAnsi="Times New Roman" w:cs="Times New Roman"/>
            <w:sz w:val="24"/>
            <w:szCs w:val="24"/>
          </w:rPr>
          <w:t>Известия Байкальского государственного университета</w:t>
        </w:r>
      </w:hyperlink>
      <w:r w:rsidRPr="003F05A9">
        <w:rPr>
          <w:rFonts w:ascii="Times New Roman" w:hAnsi="Times New Roman" w:cs="Times New Roman"/>
          <w:sz w:val="24"/>
          <w:szCs w:val="24"/>
        </w:rPr>
        <w:t>. — 2015. — №4. — С. 1</w:t>
      </w:r>
      <w:r w:rsidRPr="003F05A9">
        <w:rPr>
          <w:rFonts w:ascii="Times New Roman" w:hAnsi="Times New Roman" w:cs="Times New Roman"/>
          <w:sz w:val="24"/>
          <w:szCs w:val="24"/>
          <w:lang w:val="en-US"/>
        </w:rPr>
        <w:t>52</w:t>
      </w:r>
      <w:r w:rsidRPr="003F05A9">
        <w:rPr>
          <w:rFonts w:ascii="Times New Roman" w:hAnsi="Times New Roman" w:cs="Times New Roman"/>
          <w:sz w:val="24"/>
          <w:szCs w:val="24"/>
        </w:rPr>
        <w:t>-1</w:t>
      </w:r>
      <w:r w:rsidRPr="003F05A9">
        <w:rPr>
          <w:rFonts w:ascii="Times New Roman" w:hAnsi="Times New Roman" w:cs="Times New Roman"/>
          <w:sz w:val="24"/>
          <w:szCs w:val="24"/>
          <w:lang w:val="en-US"/>
        </w:rPr>
        <w:t>5</w:t>
      </w:r>
      <w:r w:rsidRPr="003F05A9">
        <w:rPr>
          <w:rFonts w:ascii="Times New Roman" w:hAnsi="Times New Roman" w:cs="Times New Roman"/>
          <w:sz w:val="24"/>
          <w:szCs w:val="24"/>
        </w:rPr>
        <w:t>6.</w:t>
      </w:r>
    </w:p>
    <w:p w:rsidR="003F05A9" w:rsidRPr="003F05A9" w:rsidRDefault="003F05A9" w:rsidP="003F05A9">
      <w:pPr>
        <w:numPr>
          <w:ilvl w:val="0"/>
          <w:numId w:val="11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Кабаков Роберт И. R в действии. Анализ и визуализация данных на языке R / Роберт И.Кабаков пер. с англ. П.А.Волковой. – М.: ДМК Пресс, 2014. – 588 с.</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jc w:val="both"/>
        <w:rPr>
          <w:rFonts w:ascii="Times New Roman" w:hAnsi="Times New Roman" w:cs="Times New Roman"/>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УДК: 330.43</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before="120" w:after="120" w:line="240" w:lineRule="auto"/>
        <w:ind w:firstLine="709"/>
        <w:jc w:val="center"/>
        <w:rPr>
          <w:rFonts w:ascii="Times New Roman" w:hAnsi="Times New Roman" w:cs="Times New Roman"/>
          <w:b/>
          <w:bCs/>
          <w:sz w:val="24"/>
          <w:szCs w:val="24"/>
        </w:rPr>
      </w:pPr>
      <w:r w:rsidRPr="003F05A9">
        <w:rPr>
          <w:rFonts w:ascii="Times New Roman" w:hAnsi="Times New Roman" w:cs="Times New Roman"/>
          <w:b/>
          <w:bCs/>
          <w:sz w:val="24"/>
          <w:szCs w:val="24"/>
        </w:rPr>
        <w:t>Эконометрическое моделирование зависимости уровня правонарушений от социально-экономических показателей регионов РФ</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after="0" w:line="240" w:lineRule="auto"/>
        <w:ind w:firstLine="709"/>
        <w:jc w:val="center"/>
        <w:rPr>
          <w:rFonts w:ascii="Times New Roman" w:hAnsi="Times New Roman" w:cs="Times New Roman"/>
          <w:bCs/>
          <w:sz w:val="24"/>
          <w:szCs w:val="24"/>
        </w:rPr>
      </w:pPr>
      <w:r w:rsidRPr="003F05A9">
        <w:rPr>
          <w:rFonts w:ascii="Times New Roman" w:hAnsi="Times New Roman" w:cs="Times New Roman"/>
          <w:bCs/>
          <w:sz w:val="24"/>
          <w:szCs w:val="24"/>
        </w:rPr>
        <w:t>Карпова Дарья Константиновна,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after="0" w:line="240" w:lineRule="auto"/>
        <w:ind w:firstLine="709"/>
        <w:jc w:val="center"/>
        <w:rPr>
          <w:rFonts w:ascii="Times New Roman" w:hAnsi="Times New Roman" w:cs="Times New Roman"/>
          <w:bCs/>
          <w:sz w:val="24"/>
          <w:szCs w:val="24"/>
        </w:rPr>
      </w:pPr>
      <w:r w:rsidRPr="003F05A9">
        <w:rPr>
          <w:rFonts w:ascii="Times New Roman" w:hAnsi="Times New Roman" w:cs="Times New Roman"/>
          <w:bCs/>
          <w:sz w:val="24"/>
          <w:szCs w:val="24"/>
        </w:rPr>
        <w:t>магистрант</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after="0" w:line="240" w:lineRule="auto"/>
        <w:ind w:firstLine="709"/>
        <w:jc w:val="center"/>
        <w:rPr>
          <w:rFonts w:ascii="Times New Roman" w:hAnsi="Times New Roman" w:cs="Times New Roman"/>
          <w:bCs/>
          <w:sz w:val="24"/>
          <w:szCs w:val="24"/>
        </w:rPr>
      </w:pPr>
      <w:r w:rsidRPr="003F05A9">
        <w:rPr>
          <w:rFonts w:ascii="Times New Roman" w:hAnsi="Times New Roman" w:cs="Times New Roman"/>
          <w:bCs/>
          <w:sz w:val="24"/>
          <w:szCs w:val="24"/>
        </w:rPr>
        <w:t>Кучерова Светлана Викторовна,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after="0" w:line="240" w:lineRule="auto"/>
        <w:ind w:firstLine="709"/>
        <w:jc w:val="center"/>
        <w:rPr>
          <w:rFonts w:ascii="Times New Roman" w:hAnsi="Times New Roman" w:cs="Times New Roman"/>
          <w:sz w:val="24"/>
          <w:szCs w:val="24"/>
        </w:rPr>
      </w:pPr>
      <w:r w:rsidRPr="003F05A9">
        <w:rPr>
          <w:rFonts w:ascii="Times New Roman" w:hAnsi="Times New Roman" w:cs="Times New Roman"/>
          <w:sz w:val="24"/>
          <w:szCs w:val="24"/>
        </w:rPr>
        <w:t xml:space="preserve">преподаватель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after="0" w:line="240" w:lineRule="auto"/>
        <w:ind w:firstLine="709"/>
        <w:jc w:val="center"/>
        <w:rPr>
          <w:rFonts w:ascii="Times New Roman" w:hAnsi="Times New Roman" w:cs="Times New Roman"/>
          <w:sz w:val="24"/>
          <w:szCs w:val="24"/>
        </w:rPr>
      </w:pPr>
      <w:r w:rsidRPr="003F05A9">
        <w:rPr>
          <w:rFonts w:ascii="Times New Roman" w:hAnsi="Times New Roman" w:cs="Times New Roman"/>
          <w:sz w:val="24"/>
          <w:szCs w:val="24"/>
        </w:rPr>
        <w:t>Владивостокский государственный университет экономики и сервиса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after="0" w:line="240" w:lineRule="auto"/>
        <w:ind w:firstLine="709"/>
        <w:jc w:val="center"/>
        <w:rPr>
          <w:rFonts w:ascii="Times New Roman" w:hAnsi="Times New Roman" w:cs="Times New Roman"/>
          <w:sz w:val="24"/>
          <w:szCs w:val="24"/>
        </w:rPr>
      </w:pPr>
      <w:r w:rsidRPr="003F05A9">
        <w:rPr>
          <w:rFonts w:ascii="Times New Roman" w:hAnsi="Times New Roman" w:cs="Times New Roman"/>
          <w:sz w:val="24"/>
          <w:szCs w:val="24"/>
        </w:rPr>
        <w:t>Россия, Владивосток</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after="0" w:line="240" w:lineRule="auto"/>
        <w:ind w:firstLine="709"/>
        <w:jc w:val="center"/>
        <w:rPr>
          <w:rFonts w:ascii="Times New Roman" w:hAnsi="Times New Roman" w:cs="Times New Roman"/>
          <w:sz w:val="24"/>
          <w:szCs w:val="24"/>
        </w:rPr>
      </w:pPr>
      <w:r w:rsidRPr="003F05A9">
        <w:rPr>
          <w:rFonts w:ascii="Times New Roman" w:hAnsi="Times New Roman" w:cs="Times New Roman"/>
          <w:sz w:val="24"/>
          <w:szCs w:val="24"/>
          <w:lang w:val="en-US"/>
        </w:rPr>
        <w:t>E</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mail</w:t>
      </w:r>
      <w:r w:rsidRPr="003F05A9">
        <w:rPr>
          <w:rFonts w:ascii="Times New Roman" w:hAnsi="Times New Roman" w:cs="Times New Roman"/>
          <w:sz w:val="24"/>
          <w:szCs w:val="24"/>
        </w:rPr>
        <w:t xml:space="preserve">: </w:t>
      </w:r>
      <w:r w:rsidRPr="003F05A9">
        <w:rPr>
          <w:rFonts w:ascii="Times New Roman" w:hAnsi="Times New Roman" w:cs="Times New Roman"/>
          <w:sz w:val="24"/>
          <w:szCs w:val="24"/>
          <w:lang w:val="en-US"/>
        </w:rPr>
        <w:t>darya</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karpova</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vvsu</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ru</w:t>
      </w:r>
      <w:r w:rsidRPr="003F05A9">
        <w:rPr>
          <w:rFonts w:ascii="Times New Roman" w:hAnsi="Times New Roman" w:cs="Times New Roman"/>
          <w:sz w:val="24"/>
          <w:szCs w:val="24"/>
        </w:rPr>
        <w:t>; тел.: +79146882660</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after="0" w:line="240" w:lineRule="auto"/>
        <w:ind w:firstLine="709"/>
        <w:jc w:val="center"/>
        <w:rPr>
          <w:rFonts w:ascii="Times New Roman" w:hAnsi="Times New Roman" w:cs="Times New Roman"/>
          <w:sz w:val="24"/>
          <w:szCs w:val="24"/>
        </w:rPr>
      </w:pPr>
      <w:r w:rsidRPr="003F05A9">
        <w:rPr>
          <w:rFonts w:ascii="Times New Roman" w:hAnsi="Times New Roman" w:cs="Times New Roman"/>
          <w:sz w:val="24"/>
          <w:szCs w:val="24"/>
        </w:rPr>
        <w:t>ул. Гоголя, 41, г. Владивосток, Приморский край, Рос</w:t>
      </w:r>
      <w:r w:rsidRPr="003F05A9">
        <w:rPr>
          <w:rFonts w:ascii="Times New Roman" w:hAnsi="Times New Roman" w:cs="Times New Roman"/>
          <w:sz w:val="24"/>
          <w:szCs w:val="24"/>
          <w:lang w:val="en-US"/>
        </w:rPr>
        <w:t>c</w:t>
      </w:r>
      <w:r w:rsidRPr="003F05A9">
        <w:rPr>
          <w:rFonts w:ascii="Times New Roman" w:hAnsi="Times New Roman" w:cs="Times New Roman"/>
          <w:sz w:val="24"/>
          <w:szCs w:val="24"/>
        </w:rPr>
        <w:t>ия, 690014</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before="240" w:after="0" w:line="240" w:lineRule="auto"/>
        <w:ind w:firstLine="709"/>
        <w:jc w:val="both"/>
        <w:rPr>
          <w:rFonts w:ascii="Times New Roman" w:hAnsi="Times New Roman" w:cs="Times New Roman"/>
          <w:i/>
          <w:sz w:val="24"/>
          <w:szCs w:val="24"/>
        </w:rPr>
      </w:pPr>
      <w:r w:rsidRPr="003F05A9">
        <w:rPr>
          <w:rFonts w:ascii="Times New Roman" w:hAnsi="Times New Roman" w:cs="Times New Roman"/>
          <w:i/>
          <w:sz w:val="24"/>
          <w:szCs w:val="24"/>
        </w:rPr>
        <w:t>Преступность является одной из самых важных социальных проблем. Возросший уровень преступности в нашей стране требует проведения анализа причин этого явления с целью поиска мер, способных улучшить ситуацию в этой сфере. Неравномерность социально-экономического развития регионов России привела к существенным территориальным особенностям преступности, поэтому важно это учитывать для получения корректных результатов исследования.</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after="0" w:line="240" w:lineRule="auto"/>
        <w:ind w:firstLine="709"/>
        <w:jc w:val="both"/>
        <w:rPr>
          <w:rFonts w:ascii="Times New Roman" w:hAnsi="Times New Roman" w:cs="Times New Roman"/>
          <w:b/>
          <w:i/>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after="0" w:line="240" w:lineRule="auto"/>
        <w:ind w:firstLine="709"/>
        <w:jc w:val="both"/>
        <w:rPr>
          <w:rFonts w:ascii="Times New Roman" w:hAnsi="Times New Roman" w:cs="Times New Roman"/>
          <w:i/>
          <w:sz w:val="24"/>
          <w:szCs w:val="24"/>
        </w:rPr>
      </w:pPr>
      <w:r w:rsidRPr="003F05A9">
        <w:rPr>
          <w:rFonts w:ascii="Times New Roman" w:hAnsi="Times New Roman" w:cs="Times New Roman"/>
          <w:b/>
          <w:i/>
          <w:sz w:val="24"/>
          <w:szCs w:val="24"/>
        </w:rPr>
        <w:t>Ключевые слова и словосочетания:</w:t>
      </w:r>
      <w:r w:rsidRPr="003F05A9">
        <w:rPr>
          <w:rFonts w:ascii="Times New Roman" w:hAnsi="Times New Roman" w:cs="Times New Roman"/>
          <w:i/>
          <w:sz w:val="24"/>
          <w:szCs w:val="24"/>
        </w:rPr>
        <w:t xml:space="preserve"> эконометрическое моделирование, уровень преступности, дифференциация регионов, кластерный анализ, социально-экономические факторы.</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after="0" w:line="240" w:lineRule="auto"/>
        <w:ind w:firstLine="709"/>
        <w:jc w:val="both"/>
        <w:rPr>
          <w:rFonts w:ascii="Times New Roman" w:hAnsi="Times New Roman" w:cs="Times New Roman"/>
          <w:i/>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after="0" w:line="240" w:lineRule="auto"/>
        <w:ind w:firstLine="709"/>
        <w:jc w:val="center"/>
        <w:rPr>
          <w:rFonts w:ascii="Times New Roman" w:hAnsi="Times New Roman" w:cs="Times New Roman"/>
          <w:b/>
          <w:i/>
          <w:sz w:val="24"/>
          <w:szCs w:val="24"/>
          <w:lang w:val="en-US"/>
        </w:rPr>
      </w:pPr>
      <w:r w:rsidRPr="003F05A9">
        <w:rPr>
          <w:rFonts w:ascii="Times New Roman" w:hAnsi="Times New Roman" w:cs="Times New Roman"/>
          <w:b/>
          <w:i/>
          <w:sz w:val="24"/>
          <w:szCs w:val="24"/>
          <w:lang w:val="en-US"/>
        </w:rPr>
        <w:t>Econometric modeling of the dependence of the level of offenses on the social and economic indicators of the regions of the Russian Federation</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after="0" w:line="240" w:lineRule="auto"/>
        <w:ind w:firstLine="709"/>
        <w:jc w:val="center"/>
        <w:rPr>
          <w:rFonts w:ascii="Times New Roman" w:hAnsi="Times New Roman" w:cs="Times New Roman"/>
          <w:b/>
          <w:i/>
          <w:sz w:val="24"/>
          <w:szCs w:val="24"/>
          <w:lang w:val="en-US"/>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after="0" w:line="240" w:lineRule="auto"/>
        <w:ind w:firstLine="709"/>
        <w:jc w:val="both"/>
        <w:rPr>
          <w:rFonts w:ascii="Times New Roman" w:hAnsi="Times New Roman" w:cs="Times New Roman"/>
          <w:i/>
          <w:sz w:val="24"/>
          <w:szCs w:val="24"/>
          <w:lang w:val="en-US"/>
        </w:rPr>
      </w:pPr>
      <w:r w:rsidRPr="003F05A9">
        <w:rPr>
          <w:rFonts w:ascii="Times New Roman" w:hAnsi="Times New Roman" w:cs="Times New Roman"/>
          <w:i/>
          <w:sz w:val="24"/>
          <w:szCs w:val="24"/>
          <w:lang w:val="en-US"/>
        </w:rPr>
        <w:t>Crime is one of the most acute social problems. The increased level of crime in our country requires an analysis of the causes of this phenomenon in order to find measures that can improve the situation in this area. The unevenness of social and economic development of Russia's regions has led to significant territorial features of crime, so it is important to consider this in order to obtain correct research results.</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after="0" w:line="240" w:lineRule="auto"/>
        <w:ind w:firstLine="709"/>
        <w:jc w:val="both"/>
        <w:rPr>
          <w:rFonts w:ascii="Times New Roman" w:hAnsi="Times New Roman" w:cs="Times New Roman"/>
          <w:i/>
          <w:sz w:val="24"/>
          <w:szCs w:val="24"/>
          <w:lang w:val="en-US"/>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after="0" w:line="240" w:lineRule="auto"/>
        <w:ind w:firstLine="709"/>
        <w:jc w:val="both"/>
        <w:rPr>
          <w:rFonts w:ascii="Times New Roman" w:hAnsi="Times New Roman" w:cs="Times New Roman"/>
          <w:i/>
          <w:sz w:val="24"/>
          <w:szCs w:val="24"/>
          <w:lang w:val="en-US"/>
        </w:rPr>
      </w:pPr>
      <w:r w:rsidRPr="003F05A9">
        <w:rPr>
          <w:rFonts w:ascii="Times New Roman" w:hAnsi="Times New Roman" w:cs="Times New Roman"/>
          <w:b/>
          <w:i/>
          <w:sz w:val="24"/>
          <w:szCs w:val="24"/>
          <w:lang w:val="en-US"/>
        </w:rPr>
        <w:t>Keywords</w:t>
      </w:r>
      <w:r w:rsidRPr="003F05A9">
        <w:rPr>
          <w:rFonts w:ascii="Times New Roman" w:hAnsi="Times New Roman" w:cs="Times New Roman"/>
          <w:i/>
          <w:sz w:val="24"/>
          <w:szCs w:val="24"/>
          <w:lang w:val="en-US"/>
        </w:rPr>
        <w:t>: econometric modeling, the crime rate, differentiation of social and economic development of regions, cluster analysis, social and economic factors.</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after="0" w:line="240" w:lineRule="auto"/>
        <w:ind w:firstLine="709"/>
        <w:jc w:val="both"/>
        <w:rPr>
          <w:rFonts w:ascii="Times New Roman" w:hAnsi="Times New Roman" w:cs="Times New Roman"/>
          <w:i/>
          <w:sz w:val="24"/>
          <w:szCs w:val="24"/>
          <w:lang w:val="en-US"/>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Преступность является одним из основных показателей, характеризующих состояние общества, индикатором его социально-экономического благополучия. Без учета этого фактора невозможно разобраться в процессах, происходящих в обществе. Возросший уровень преступности в нашей стране требует проведения анализа причин этого явления, тенденций его дальнейшего развития с целью поиска мер, способных улучшить ситуацию в этой сфере. Будучи сложным и многогранным социальным явлением, зависящим от уровня жизни, развития законодательной базы, политической и экономической ситуации, преступность является проблемой, для решения которой требуется комплекс мер, направленных на изменение ситуации во многих сферах жизни общества. Уровень криминализации общества можно рассматривать наряду с другими показателями в качестве индикатора уровня жизни населения.</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В числе одних из основных условий правонарушений можно назвать следующие: низкий материальный уровень жизни населения; плохая обеспеченность жильем; вредные привычки (алкоголизм, наркомания); низкий уровень культуры и правовой культуры в частности; несовершенство законодательства; недостаточно эффективная работа правоохранительных органов и т. д.</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Исторически сложившаяся неоднородность социально-экономического развития регионов России оказывает значительное влияние на уровень преступности в субъектах РФ. В связи с этим необходим региональный подход к оценке преступности, что позволит дифференцировать борьбу с преступностью с учетом конкретных условий. При этом появляется возможность находить закономерности порождения и функционирования преступности в разных по своим социально-экономическим, социально-культурным и иным характеристикам регионах.</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lang w:eastAsia="ru-RU"/>
        </w:rPr>
      </w:pPr>
      <w:r w:rsidRPr="003F05A9">
        <w:rPr>
          <w:rFonts w:ascii="Times New Roman" w:hAnsi="Times New Roman" w:cs="Times New Roman"/>
          <w:bCs/>
          <w:sz w:val="24"/>
          <w:szCs w:val="24"/>
          <w:lang w:eastAsia="ru-RU"/>
        </w:rPr>
        <w:t>Целью работы является</w:t>
      </w:r>
      <w:r w:rsidRPr="003F05A9">
        <w:rPr>
          <w:rFonts w:ascii="Times New Roman" w:hAnsi="Times New Roman" w:cs="Times New Roman"/>
          <w:sz w:val="24"/>
          <w:szCs w:val="24"/>
          <w:lang w:eastAsia="ru-RU"/>
        </w:rPr>
        <w:t xml:space="preserve"> построение моделей, описывающих зависимость отдельных видов правонарушений от совокупности социально-экономических показателей регионов РФ</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lang w:eastAsia="ru-RU"/>
        </w:rPr>
      </w:pPr>
      <w:r w:rsidRPr="003F05A9">
        <w:rPr>
          <w:rFonts w:ascii="Times New Roman" w:hAnsi="Times New Roman" w:cs="Times New Roman"/>
          <w:sz w:val="24"/>
          <w:szCs w:val="24"/>
          <w:lang w:eastAsia="ru-RU"/>
        </w:rPr>
        <w:t xml:space="preserve">Для достижения поставленной цели были сформулированы следующие </w:t>
      </w:r>
      <w:r w:rsidRPr="003F05A9">
        <w:rPr>
          <w:rFonts w:ascii="Times New Roman" w:hAnsi="Times New Roman" w:cs="Times New Roman"/>
          <w:bCs/>
          <w:sz w:val="24"/>
          <w:szCs w:val="24"/>
          <w:lang w:eastAsia="ru-RU"/>
        </w:rPr>
        <w:t>задачи</w:t>
      </w:r>
      <w:r w:rsidRPr="003F05A9">
        <w:rPr>
          <w:rFonts w:ascii="Times New Roman" w:hAnsi="Times New Roman" w:cs="Times New Roman"/>
          <w:sz w:val="24"/>
          <w:szCs w:val="24"/>
          <w:lang w:eastAsia="ru-RU"/>
        </w:rPr>
        <w:t>:</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lang w:eastAsia="ru-RU"/>
        </w:rPr>
      </w:pPr>
      <w:r w:rsidRPr="003F05A9">
        <w:rPr>
          <w:rFonts w:ascii="Times New Roman" w:hAnsi="Times New Roman" w:cs="Times New Roman"/>
          <w:sz w:val="24"/>
          <w:szCs w:val="24"/>
          <w:lang w:eastAsia="ru-RU"/>
        </w:rPr>
        <w:t>− выбрать показатели для проводимого исследования;</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lang w:eastAsia="ru-RU"/>
        </w:rPr>
      </w:pPr>
      <w:r w:rsidRPr="003F05A9">
        <w:rPr>
          <w:rFonts w:ascii="Times New Roman" w:hAnsi="Times New Roman" w:cs="Times New Roman"/>
          <w:sz w:val="24"/>
          <w:szCs w:val="24"/>
          <w:lang w:eastAsia="ru-RU"/>
        </w:rPr>
        <w:t>− сформировать выборку значений рассматриваемых видов преступлений и социально-экономических показателей;</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lang w:eastAsia="ru-RU"/>
        </w:rPr>
      </w:pPr>
      <w:r w:rsidRPr="003F05A9">
        <w:rPr>
          <w:rFonts w:ascii="Times New Roman" w:hAnsi="Times New Roman" w:cs="Times New Roman"/>
          <w:sz w:val="24"/>
          <w:szCs w:val="24"/>
          <w:lang w:eastAsia="ru-RU"/>
        </w:rPr>
        <w:t>− выявить однородные группы регионов по основным видам совершенных преступлений;</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lang w:eastAsia="ru-RU"/>
        </w:rPr>
      </w:pPr>
      <w:r w:rsidRPr="003F05A9">
        <w:rPr>
          <w:rFonts w:ascii="Times New Roman" w:hAnsi="Times New Roman" w:cs="Times New Roman"/>
          <w:sz w:val="24"/>
          <w:szCs w:val="24"/>
          <w:lang w:eastAsia="ru-RU"/>
        </w:rPr>
        <w:t>− построить эконометрические модели для каждого кластера;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lang w:eastAsia="ru-RU"/>
        </w:rPr>
      </w:pPr>
      <w:r w:rsidRPr="003F05A9">
        <w:rPr>
          <w:rFonts w:ascii="Times New Roman" w:hAnsi="Times New Roman" w:cs="Times New Roman"/>
          <w:sz w:val="24"/>
          <w:szCs w:val="24"/>
          <w:lang w:eastAsia="ru-RU"/>
        </w:rPr>
        <w:t>− провести сравнительный анализ полученных моделей.</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lang w:eastAsia="ru-RU"/>
        </w:rPr>
      </w:pPr>
      <w:r w:rsidRPr="003F05A9">
        <w:rPr>
          <w:rFonts w:ascii="Times New Roman" w:hAnsi="Times New Roman" w:cs="Times New Roman"/>
          <w:sz w:val="24"/>
          <w:szCs w:val="24"/>
          <w:lang w:eastAsia="ru-RU"/>
        </w:rPr>
        <w:t>В оценке состояния преступности в регионах РФ следует учитывать неоднородность экономического пространства, д</w:t>
      </w:r>
      <w:r w:rsidRPr="003F05A9">
        <w:rPr>
          <w:rFonts w:ascii="Times New Roman" w:hAnsi="Times New Roman" w:cs="Times New Roman"/>
          <w:sz w:val="24"/>
          <w:szCs w:val="24"/>
          <w:shd w:val="clear" w:color="auto" w:fill="FFFFFF"/>
          <w:lang w:eastAsia="ru-RU"/>
        </w:rPr>
        <w:t xml:space="preserve">ифференциацию территорий. В связи с этим, для более достоверного подхода к объединению регионов по уровню преступности, необходимым условием является группировка регионов (субъектов) в однородные группы – кластеры [4]. Для каждого из сформированных кластеров целесообразно разработать общие цели и задачи совместного развития, что впоследствии приведет к улучшению стратегий борьбы с преступностью [8].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lang w:eastAsia="ru-RU"/>
        </w:rPr>
      </w:pPr>
      <w:r w:rsidRPr="003F05A9">
        <w:rPr>
          <w:rFonts w:ascii="Times New Roman" w:hAnsi="Times New Roman" w:cs="Times New Roman"/>
          <w:sz w:val="24"/>
          <w:szCs w:val="24"/>
          <w:lang w:eastAsia="ru-RU"/>
        </w:rPr>
        <w:t xml:space="preserve">В данной работе применялись два основных метода кластерного анализа – метод иерархической кластеризации и метод </w:t>
      </w:r>
      <w:r w:rsidRPr="003F05A9">
        <w:rPr>
          <w:rFonts w:ascii="Times New Roman" w:hAnsi="Times New Roman" w:cs="Times New Roman"/>
          <w:sz w:val="24"/>
          <w:szCs w:val="24"/>
          <w:lang w:val="en-US" w:eastAsia="ru-RU"/>
        </w:rPr>
        <w:t>k</w:t>
      </w:r>
      <w:r w:rsidRPr="003F05A9">
        <w:rPr>
          <w:rFonts w:ascii="Times New Roman" w:hAnsi="Times New Roman" w:cs="Times New Roman"/>
          <w:sz w:val="24"/>
          <w:szCs w:val="24"/>
          <w:lang w:eastAsia="ru-RU"/>
        </w:rPr>
        <w:t xml:space="preserve">-средних. Разделим все регионы на 4 кластера. Результаты кластеризации методом </w:t>
      </w:r>
      <w:r w:rsidRPr="003F05A9">
        <w:rPr>
          <w:rFonts w:ascii="Times New Roman" w:hAnsi="Times New Roman" w:cs="Times New Roman"/>
          <w:sz w:val="24"/>
          <w:szCs w:val="24"/>
          <w:lang w:val="en-US" w:eastAsia="ru-RU"/>
        </w:rPr>
        <w:t>k</w:t>
      </w:r>
      <w:r w:rsidRPr="003F05A9">
        <w:rPr>
          <w:rFonts w:ascii="Times New Roman" w:hAnsi="Times New Roman" w:cs="Times New Roman"/>
          <w:sz w:val="24"/>
          <w:szCs w:val="24"/>
          <w:lang w:eastAsia="ru-RU"/>
        </w:rPr>
        <w:t xml:space="preserve">-средних представлены в таблице 1.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i/>
          <w:sz w:val="24"/>
          <w:szCs w:val="24"/>
          <w:lang w:eastAsia="ru-RU"/>
        </w:rPr>
      </w:pPr>
      <w:r w:rsidRPr="003F05A9">
        <w:rPr>
          <w:rFonts w:ascii="Times New Roman" w:hAnsi="Times New Roman" w:cs="Times New Roman"/>
          <w:i/>
          <w:sz w:val="24"/>
          <w:szCs w:val="24"/>
          <w:lang w:eastAsia="ru-RU"/>
        </w:rPr>
        <w:t xml:space="preserve">Таблица 1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szCs w:val="24"/>
          <w:shd w:val="clear" w:color="auto" w:fill="FFFFFF"/>
          <w:lang w:eastAsia="ru-RU"/>
        </w:rPr>
      </w:pPr>
      <w:r w:rsidRPr="003F05A9">
        <w:rPr>
          <w:rFonts w:ascii="Times New Roman" w:hAnsi="Times New Roman" w:cs="Times New Roman"/>
          <w:b/>
          <w:sz w:val="24"/>
          <w:szCs w:val="24"/>
          <w:lang w:eastAsia="ru-RU"/>
        </w:rPr>
        <w:t xml:space="preserve">Результаты кластеризации методом </w:t>
      </w:r>
      <w:r w:rsidRPr="003F05A9">
        <w:rPr>
          <w:rFonts w:ascii="Times New Roman" w:hAnsi="Times New Roman" w:cs="Times New Roman"/>
          <w:b/>
          <w:sz w:val="24"/>
          <w:szCs w:val="24"/>
          <w:lang w:val="en-US" w:eastAsia="ru-RU"/>
        </w:rPr>
        <w:t>k</w:t>
      </w:r>
      <w:r w:rsidRPr="003F05A9">
        <w:rPr>
          <w:rFonts w:ascii="Times New Roman" w:hAnsi="Times New Roman" w:cs="Times New Roman"/>
          <w:b/>
          <w:sz w:val="24"/>
          <w:szCs w:val="24"/>
          <w:lang w:eastAsia="ru-RU"/>
        </w:rPr>
        <w:t>-средних</w:t>
      </w:r>
    </w:p>
    <w:tbl>
      <w:tblPr>
        <w:tblW w:w="6379" w:type="dxa"/>
        <w:jc w:val="center"/>
        <w:tblLook w:val="04A0" w:firstRow="1" w:lastRow="0" w:firstColumn="1" w:lastColumn="0" w:noHBand="0" w:noVBand="1"/>
      </w:tblPr>
      <w:tblGrid>
        <w:gridCol w:w="1770"/>
        <w:gridCol w:w="1401"/>
        <w:gridCol w:w="1196"/>
        <w:gridCol w:w="2012"/>
      </w:tblGrid>
      <w:tr w:rsidR="003F05A9" w:rsidRPr="003F05A9" w:rsidTr="003F05A9">
        <w:trPr>
          <w:trHeight w:val="315"/>
          <w:jc w:val="center"/>
        </w:trPr>
        <w:tc>
          <w:tcPr>
            <w:tcW w:w="1770" w:type="dxa"/>
            <w:tcBorders>
              <w:top w:val="single" w:sz="4" w:space="0" w:color="auto"/>
              <w:left w:val="single" w:sz="4" w:space="0" w:color="auto"/>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Y1</w:t>
            </w:r>
          </w:p>
        </w:tc>
        <w:tc>
          <w:tcPr>
            <w:tcW w:w="1401" w:type="dxa"/>
            <w:tcBorders>
              <w:top w:val="single" w:sz="4" w:space="0" w:color="auto"/>
              <w:left w:val="nil"/>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r w:rsidRPr="003F05A9">
              <w:rPr>
                <w:rFonts w:ascii="Times New Roman" w:hAnsi="Times New Roman" w:cs="Times New Roman"/>
                <w:sz w:val="24"/>
                <w:szCs w:val="24"/>
                <w:lang w:eastAsia="ru-RU"/>
              </w:rPr>
              <w:t>Y2</w:t>
            </w:r>
          </w:p>
        </w:tc>
        <w:tc>
          <w:tcPr>
            <w:tcW w:w="1196" w:type="dxa"/>
            <w:tcBorders>
              <w:top w:val="single" w:sz="4" w:space="0" w:color="auto"/>
              <w:left w:val="nil"/>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r w:rsidRPr="003F05A9">
              <w:rPr>
                <w:rFonts w:ascii="Times New Roman" w:hAnsi="Times New Roman" w:cs="Times New Roman"/>
                <w:sz w:val="24"/>
                <w:szCs w:val="24"/>
                <w:lang w:eastAsia="ru-RU"/>
              </w:rPr>
              <w:t>Y3</w:t>
            </w:r>
          </w:p>
        </w:tc>
        <w:tc>
          <w:tcPr>
            <w:tcW w:w="2012" w:type="dxa"/>
            <w:tcBorders>
              <w:top w:val="single" w:sz="4" w:space="0" w:color="auto"/>
              <w:left w:val="nil"/>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r w:rsidRPr="003F05A9">
              <w:rPr>
                <w:rFonts w:ascii="Times New Roman" w:hAnsi="Times New Roman" w:cs="Times New Roman"/>
                <w:sz w:val="24"/>
                <w:szCs w:val="24"/>
                <w:lang w:eastAsia="ru-RU"/>
              </w:rPr>
              <w:t>Y4</w:t>
            </w:r>
          </w:p>
        </w:tc>
      </w:tr>
      <w:tr w:rsidR="003F05A9" w:rsidRPr="003F05A9" w:rsidTr="003F05A9">
        <w:trPr>
          <w:trHeight w:val="305"/>
          <w:jc w:val="center"/>
        </w:trPr>
        <w:tc>
          <w:tcPr>
            <w:tcW w:w="6379" w:type="dxa"/>
            <w:gridSpan w:val="4"/>
            <w:tcBorders>
              <w:top w:val="single" w:sz="4" w:space="0" w:color="auto"/>
              <w:left w:val="single" w:sz="4" w:space="0" w:color="auto"/>
              <w:bottom w:val="single" w:sz="4" w:space="0" w:color="auto"/>
              <w:right w:val="single" w:sz="4" w:space="0" w:color="auto"/>
            </w:tcBorders>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Сумма квадратов расстояний до центров кластеров</w:t>
            </w:r>
          </w:p>
        </w:tc>
      </w:tr>
      <w:tr w:rsidR="003F05A9" w:rsidRPr="003F05A9" w:rsidTr="003F05A9">
        <w:trPr>
          <w:trHeight w:val="315"/>
          <w:jc w:val="center"/>
        </w:trPr>
        <w:tc>
          <w:tcPr>
            <w:tcW w:w="1770" w:type="dxa"/>
            <w:tcBorders>
              <w:top w:val="nil"/>
              <w:left w:val="single" w:sz="4" w:space="0" w:color="auto"/>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0,0146197</w:t>
            </w:r>
          </w:p>
        </w:tc>
        <w:tc>
          <w:tcPr>
            <w:tcW w:w="1401" w:type="dxa"/>
            <w:tcBorders>
              <w:top w:val="nil"/>
              <w:left w:val="nil"/>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0</w:t>
            </w:r>
          </w:p>
        </w:tc>
        <w:tc>
          <w:tcPr>
            <w:tcW w:w="1196" w:type="dxa"/>
            <w:tcBorders>
              <w:top w:val="nil"/>
              <w:left w:val="nil"/>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0,00868</w:t>
            </w:r>
          </w:p>
        </w:tc>
        <w:tc>
          <w:tcPr>
            <w:tcW w:w="2012" w:type="dxa"/>
            <w:tcBorders>
              <w:top w:val="nil"/>
              <w:left w:val="nil"/>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0</w:t>
            </w:r>
          </w:p>
        </w:tc>
      </w:tr>
      <w:tr w:rsidR="003F05A9" w:rsidRPr="003F05A9" w:rsidTr="003F05A9">
        <w:trPr>
          <w:trHeight w:val="315"/>
          <w:jc w:val="center"/>
        </w:trPr>
        <w:tc>
          <w:tcPr>
            <w:tcW w:w="1770" w:type="dxa"/>
            <w:tcBorders>
              <w:top w:val="nil"/>
              <w:left w:val="single" w:sz="4" w:space="0" w:color="auto"/>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0,027301</w:t>
            </w:r>
          </w:p>
        </w:tc>
        <w:tc>
          <w:tcPr>
            <w:tcW w:w="1401" w:type="dxa"/>
            <w:tcBorders>
              <w:top w:val="nil"/>
              <w:left w:val="nil"/>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0,00024</w:t>
            </w:r>
          </w:p>
        </w:tc>
        <w:tc>
          <w:tcPr>
            <w:tcW w:w="1196" w:type="dxa"/>
            <w:tcBorders>
              <w:top w:val="nil"/>
              <w:left w:val="nil"/>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0,00181</w:t>
            </w:r>
          </w:p>
        </w:tc>
        <w:tc>
          <w:tcPr>
            <w:tcW w:w="2012" w:type="dxa"/>
            <w:tcBorders>
              <w:top w:val="nil"/>
              <w:left w:val="nil"/>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0,45804</w:t>
            </w:r>
          </w:p>
        </w:tc>
      </w:tr>
      <w:tr w:rsidR="003F05A9" w:rsidRPr="003F05A9" w:rsidTr="003F05A9">
        <w:trPr>
          <w:trHeight w:val="315"/>
          <w:jc w:val="center"/>
        </w:trPr>
        <w:tc>
          <w:tcPr>
            <w:tcW w:w="1770" w:type="dxa"/>
            <w:tcBorders>
              <w:top w:val="nil"/>
              <w:left w:val="single" w:sz="4" w:space="0" w:color="auto"/>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0</w:t>
            </w:r>
          </w:p>
        </w:tc>
        <w:tc>
          <w:tcPr>
            <w:tcW w:w="1401" w:type="dxa"/>
            <w:tcBorders>
              <w:top w:val="nil"/>
              <w:left w:val="nil"/>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0,00021</w:t>
            </w:r>
          </w:p>
        </w:tc>
        <w:tc>
          <w:tcPr>
            <w:tcW w:w="1196" w:type="dxa"/>
            <w:tcBorders>
              <w:top w:val="nil"/>
              <w:left w:val="nil"/>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0,00763</w:t>
            </w:r>
          </w:p>
        </w:tc>
        <w:tc>
          <w:tcPr>
            <w:tcW w:w="2012" w:type="dxa"/>
            <w:tcBorders>
              <w:top w:val="nil"/>
              <w:left w:val="nil"/>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0,10549</w:t>
            </w:r>
          </w:p>
        </w:tc>
      </w:tr>
      <w:tr w:rsidR="003F05A9" w:rsidRPr="003F05A9" w:rsidTr="003F05A9">
        <w:trPr>
          <w:trHeight w:val="315"/>
          <w:jc w:val="center"/>
        </w:trPr>
        <w:tc>
          <w:tcPr>
            <w:tcW w:w="1770" w:type="dxa"/>
            <w:tcBorders>
              <w:top w:val="nil"/>
              <w:left w:val="single" w:sz="4" w:space="0" w:color="auto"/>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0,0364553</w:t>
            </w:r>
          </w:p>
        </w:tc>
        <w:tc>
          <w:tcPr>
            <w:tcW w:w="1401" w:type="dxa"/>
            <w:tcBorders>
              <w:top w:val="nil"/>
              <w:left w:val="nil"/>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0,00089</w:t>
            </w:r>
          </w:p>
        </w:tc>
        <w:tc>
          <w:tcPr>
            <w:tcW w:w="1196" w:type="dxa"/>
            <w:tcBorders>
              <w:top w:val="nil"/>
              <w:left w:val="nil"/>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0,00326</w:t>
            </w:r>
          </w:p>
        </w:tc>
        <w:tc>
          <w:tcPr>
            <w:tcW w:w="2012" w:type="dxa"/>
            <w:tcBorders>
              <w:top w:val="nil"/>
              <w:left w:val="nil"/>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0,12749</w:t>
            </w:r>
          </w:p>
        </w:tc>
      </w:tr>
      <w:tr w:rsidR="003F05A9" w:rsidRPr="003F05A9" w:rsidTr="003F05A9">
        <w:trPr>
          <w:trHeight w:val="315"/>
          <w:jc w:val="center"/>
        </w:trPr>
        <w:tc>
          <w:tcPr>
            <w:tcW w:w="6379" w:type="dxa"/>
            <w:gridSpan w:val="4"/>
            <w:tcBorders>
              <w:top w:val="single" w:sz="4" w:space="0" w:color="auto"/>
              <w:left w:val="single" w:sz="4" w:space="0" w:color="auto"/>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Cреднее межклассовое расстояние</w:t>
            </w:r>
          </w:p>
        </w:tc>
      </w:tr>
      <w:tr w:rsidR="003F05A9" w:rsidRPr="003F05A9" w:rsidTr="003F05A9">
        <w:trPr>
          <w:trHeight w:val="315"/>
          <w:jc w:val="center"/>
        </w:trPr>
        <w:tc>
          <w:tcPr>
            <w:tcW w:w="1770" w:type="dxa"/>
            <w:tcBorders>
              <w:top w:val="nil"/>
              <w:left w:val="single" w:sz="4" w:space="0" w:color="auto"/>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93,10%</w:t>
            </w:r>
          </w:p>
        </w:tc>
        <w:tc>
          <w:tcPr>
            <w:tcW w:w="1401" w:type="dxa"/>
            <w:tcBorders>
              <w:top w:val="nil"/>
              <w:left w:val="nil"/>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91,90%</w:t>
            </w:r>
          </w:p>
        </w:tc>
        <w:tc>
          <w:tcPr>
            <w:tcW w:w="1196" w:type="dxa"/>
            <w:tcBorders>
              <w:top w:val="nil"/>
              <w:left w:val="nil"/>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90,40%</w:t>
            </w:r>
          </w:p>
        </w:tc>
        <w:tc>
          <w:tcPr>
            <w:tcW w:w="2012" w:type="dxa"/>
            <w:tcBorders>
              <w:top w:val="nil"/>
              <w:left w:val="nil"/>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86,70%</w:t>
            </w:r>
          </w:p>
        </w:tc>
      </w:tr>
    </w:tbl>
    <w:p w:rsidR="003F05A9" w:rsidRPr="003F05A9" w:rsidRDefault="003F05A9" w:rsidP="003F05A9">
      <w:pPr>
        <w:widowControl w:val="0"/>
        <w:pBdr>
          <w:top w:val="none" w:sz="0" w:space="0" w:color="auto"/>
          <w:left w:val="none" w:sz="0" w:space="0" w:color="auto"/>
          <w:bottom w:val="none" w:sz="0" w:space="0" w:color="auto"/>
          <w:right w:val="none" w:sz="0" w:space="0" w:color="auto"/>
          <w:between w:val="none" w:sz="0" w:space="0" w:color="auto"/>
        </w:pBdr>
        <w:shd w:val="clear" w:color="auto" w:fill="FFFFFF"/>
        <w:spacing w:before="120" w:after="0" w:line="240" w:lineRule="auto"/>
        <w:ind w:firstLine="709"/>
        <w:jc w:val="both"/>
        <w:rPr>
          <w:rFonts w:ascii="Times New Roman" w:hAnsi="Times New Roman" w:cs="Times New Roman"/>
          <w:sz w:val="24"/>
          <w:szCs w:val="24"/>
          <w:lang w:eastAsia="ru-RU"/>
        </w:rPr>
      </w:pPr>
      <w:r w:rsidRPr="003F05A9">
        <w:rPr>
          <w:rFonts w:ascii="Times New Roman" w:hAnsi="Times New Roman" w:cs="Times New Roman"/>
          <w:sz w:val="24"/>
          <w:szCs w:val="24"/>
        </w:rPr>
        <w:t xml:space="preserve">В таблице приняты следующие обозначения: </w:t>
      </w:r>
      <w:r w:rsidRPr="003F05A9">
        <w:rPr>
          <w:rFonts w:ascii="Times New Roman" w:hAnsi="Times New Roman" w:cs="Times New Roman"/>
          <w:sz w:val="24"/>
          <w:szCs w:val="24"/>
          <w:lang w:val="en-US"/>
        </w:rPr>
        <w:t>Y</w:t>
      </w:r>
      <w:r w:rsidRPr="003F05A9">
        <w:rPr>
          <w:rFonts w:ascii="Times New Roman" w:hAnsi="Times New Roman" w:cs="Times New Roman"/>
          <w:sz w:val="24"/>
          <w:szCs w:val="24"/>
        </w:rPr>
        <w:t xml:space="preserve">1 – все виды преступности, </w:t>
      </w:r>
      <w:r w:rsidRPr="003F05A9">
        <w:rPr>
          <w:rFonts w:ascii="Times New Roman" w:hAnsi="Times New Roman" w:cs="Times New Roman"/>
          <w:sz w:val="24"/>
          <w:szCs w:val="24"/>
          <w:lang w:eastAsia="ru-RU"/>
        </w:rPr>
        <w:t xml:space="preserve">Y2 – </w:t>
      </w:r>
      <w:r w:rsidRPr="003F05A9">
        <w:rPr>
          <w:rFonts w:ascii="Times New Roman" w:hAnsi="Times New Roman" w:cs="Times New Roman"/>
          <w:sz w:val="24"/>
          <w:szCs w:val="24"/>
        </w:rPr>
        <w:t xml:space="preserve">количество преступлений, зарегистрированных в отчетном периоде (единица), Y3 – количество тяжких и особо тяжких преступлений, зарегистрированных в отчетном периоде (единица), Y4 – количество преступлений экономической направленности, зарегистрированных в отчетном периоде (единица). </w:t>
      </w:r>
      <w:r w:rsidRPr="003F05A9">
        <w:rPr>
          <w:rFonts w:ascii="Times New Roman" w:hAnsi="Times New Roman" w:cs="Times New Roman"/>
          <w:sz w:val="24"/>
          <w:szCs w:val="24"/>
          <w:lang w:eastAsia="ru-RU"/>
        </w:rPr>
        <w:t xml:space="preserve">Гипотеза о существовании выбранного количества кластеров подтверждается квадратом евклидового расстояния между кластерами и результатами дисперсионного анализа. Чем меньше значение расстояния до центра кластера и больше значение среднего межклассового расстояния, тем лучше признак характеризует принадлежность объектов к кластеру и тем качественнее кластеризация [2]. </w:t>
      </w:r>
      <w:r w:rsidRPr="003F05A9">
        <w:rPr>
          <w:rFonts w:ascii="Times New Roman" w:hAnsi="Times New Roman" w:cs="Times New Roman"/>
          <w:sz w:val="24"/>
          <w:szCs w:val="24"/>
          <w:shd w:val="clear" w:color="auto" w:fill="FFFFFF"/>
          <w:lang w:eastAsia="ru-RU"/>
        </w:rPr>
        <w:t xml:space="preserve">В данном случае можно говорить о хорошей кластеризации исходных данных при разбиении регионов РФ на 4 кластера. Далее для всех видов преступности был применен метод иерархической кластеризации, и гипотеза о разделении регионов России на 4 кластера подтвердилась. </w:t>
      </w:r>
      <w:r w:rsidRPr="003F05A9">
        <w:rPr>
          <w:rFonts w:ascii="Times New Roman" w:hAnsi="Times New Roman" w:cs="Times New Roman"/>
          <w:sz w:val="24"/>
          <w:szCs w:val="24"/>
          <w:lang w:eastAsia="ru-RU"/>
        </w:rPr>
        <w:t>В результате кластерного анализа были выявлены однородные группы субъектов со схожим уровнем преступности. В первый кластер вошли регионы с максимальным уровнем преступности, во второй – со средним уровнем преступности, в третий – с уровнем преступности выше среднего, четвертый кластер включает регионы с уровнем преступности ниже среднего. По показателю «количество преступлений, зарегистрированных в отчетном периоде» регионы разделились на следующие кластеры: в первый вошел г. Москва, во второй – Ленинградская область, Хабаровский край, Амурская область и др., в третий – Московская область, г. Санкт-Петербург, Приморский край и др. Кластер с уровнем преступности ниже среднего самой многочисленный, в него вошли Тульская и Смоленская области, республики Ингушетия, Калмыкия, Дагестан, Адыгея, Камчатский край и др.</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Arial" w:hAnsi="Arial" w:cs="Arial"/>
          <w:b/>
          <w:bCs/>
          <w:sz w:val="24"/>
          <w:szCs w:val="24"/>
          <w:lang w:eastAsia="ru-RU"/>
        </w:rPr>
      </w:pPr>
      <w:r w:rsidRPr="003F05A9">
        <w:rPr>
          <w:rFonts w:ascii="Times New Roman" w:hAnsi="Times New Roman" w:cs="Times New Roman"/>
          <w:sz w:val="24"/>
          <w:szCs w:val="24"/>
          <w:lang w:eastAsia="ru-RU"/>
        </w:rPr>
        <w:t>В дальнейшем, опираясь на результаты кластерного анализа, необходимо выполнить следующий этап моделирования, связанный с построением регрессионных моделей. Эти модели позволят более точно оценивать, какие социально-экономические факторы оказывают наибольшее влияние в каждой группе субъектов РФ [1,7].</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outlineLvl w:val="5"/>
        <w:rPr>
          <w:rFonts w:ascii="Times New Roman" w:hAnsi="Times New Roman" w:cs="Times New Roman"/>
          <w:bCs/>
          <w:sz w:val="24"/>
          <w:lang w:eastAsia="ru-RU"/>
        </w:rPr>
      </w:pPr>
      <w:r w:rsidRPr="003F05A9">
        <w:rPr>
          <w:rFonts w:ascii="Times New Roman" w:hAnsi="Times New Roman" w:cs="Times New Roman"/>
          <w:sz w:val="24"/>
          <w:szCs w:val="24"/>
          <w:lang w:eastAsia="ru-RU"/>
        </w:rPr>
        <w:t xml:space="preserve">Для исследования применялись три типа регрессии: </w:t>
      </w:r>
      <w:r w:rsidRPr="003F05A9">
        <w:rPr>
          <w:rFonts w:ascii="Times New Roman" w:hAnsi="Times New Roman" w:cs="Times New Roman"/>
          <w:bCs/>
          <w:sz w:val="24"/>
          <w:lang w:eastAsia="ru-RU"/>
        </w:rPr>
        <w:t>общая модель регрессии, модель с фиксированными эффектами, модель со случайными эффектами.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lang w:eastAsia="ru-RU"/>
        </w:rPr>
      </w:pPr>
      <w:r w:rsidRPr="003F05A9">
        <w:rPr>
          <w:rFonts w:ascii="Times New Roman" w:hAnsi="Times New Roman" w:cs="Times New Roman"/>
          <w:sz w:val="24"/>
          <w:szCs w:val="24"/>
          <w:lang w:eastAsia="ru-RU"/>
        </w:rPr>
        <w:t>До построения модели регрессии необходимо выявить те факторы, которые тесно связаны между собой. Для этого был проведен корреляционный анализ и были исключены мультиколлинеарные переменные. Далее проводится оценка значимости уравнения в целом с помощью критерия Фишера, для оценки значимости параметров регрессии используется критерий Стьюдента. Таким образом, незначимые факторы удаляются, и признается статистическая значимость и надежность уравнения регрессии [3,5]. После того как все модели регрессии были построены необходимо попарно сравнить их:</w:t>
      </w:r>
    </w:p>
    <w:p w:rsidR="003F05A9" w:rsidRPr="003F05A9" w:rsidRDefault="003F05A9" w:rsidP="003F05A9">
      <w:pPr>
        <w:numPr>
          <w:ilvl w:val="0"/>
          <w:numId w:val="115"/>
        </w:num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Cs w:val="24"/>
          <w:lang w:eastAsia="ru-RU"/>
        </w:rPr>
      </w:pPr>
      <w:r w:rsidRPr="003F05A9">
        <w:rPr>
          <w:rFonts w:ascii="Times New Roman" w:hAnsi="Times New Roman" w:cs="Times New Roman"/>
          <w:sz w:val="24"/>
          <w:szCs w:val="20"/>
          <w:lang w:eastAsia="ru-RU"/>
        </w:rPr>
        <w:t>выбор между моделью обычной регрессии и моделью регрессии с фиксированными эффектами проводится с помощью стандартного F –теста;</w:t>
      </w:r>
    </w:p>
    <w:p w:rsidR="003F05A9" w:rsidRPr="003F05A9" w:rsidRDefault="003F05A9" w:rsidP="003F05A9">
      <w:pPr>
        <w:numPr>
          <w:ilvl w:val="0"/>
          <w:numId w:val="115"/>
        </w:num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Cs w:val="24"/>
          <w:lang w:eastAsia="ru-RU"/>
        </w:rPr>
      </w:pPr>
      <w:r w:rsidRPr="003F05A9">
        <w:rPr>
          <w:rFonts w:ascii="Times New Roman" w:hAnsi="Times New Roman" w:cs="Times New Roman"/>
          <w:sz w:val="24"/>
          <w:szCs w:val="20"/>
          <w:lang w:eastAsia="ru-RU"/>
        </w:rPr>
        <w:t>выбор между моделью обычной регрессии и моделью регрессии со случайными эффектами проводится с помощью теста Бройша-Пагана;</w:t>
      </w:r>
    </w:p>
    <w:p w:rsidR="003F05A9" w:rsidRPr="003F05A9" w:rsidRDefault="003F05A9" w:rsidP="003F05A9">
      <w:pPr>
        <w:numPr>
          <w:ilvl w:val="0"/>
          <w:numId w:val="115"/>
        </w:num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Cs w:val="24"/>
          <w:lang w:eastAsia="ru-RU"/>
        </w:rPr>
      </w:pPr>
      <w:r w:rsidRPr="003F05A9">
        <w:rPr>
          <w:rFonts w:ascii="Times New Roman" w:hAnsi="Times New Roman" w:cs="Times New Roman"/>
          <w:sz w:val="24"/>
          <w:szCs w:val="20"/>
          <w:lang w:eastAsia="ru-RU"/>
        </w:rPr>
        <w:t>выбор между моделью со случайными эффектами и моделью с фиксированными эффектами проводится с помощью статистики Хаусмана путем сравнения оценок внутригрупповой регрессии и регрессии со случайными эффектами [6].</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lang w:eastAsia="ru-RU"/>
        </w:rPr>
      </w:pPr>
      <w:r w:rsidRPr="003F05A9">
        <w:rPr>
          <w:rFonts w:ascii="Times New Roman" w:hAnsi="Times New Roman" w:cs="Times New Roman"/>
          <w:sz w:val="24"/>
          <w:szCs w:val="24"/>
          <w:lang w:eastAsia="ru-RU"/>
        </w:rPr>
        <w:t>Таким образом, в первом кластере набольшее влияние на уровень преступности оказывают следующие факторы: общая площадь жилых помещений, приходящаяся в среднем на 1 жителя субъекта Российской Федерации; уровень безработицы в среднем за год; численность студентов в государственных и муниципальных образовательных учреждениях, реализующих программы среднего профессионального образования (на начало учебного года); продажа алкогольных напитков в натуральном выражении по субъектам Российской Федерации с 2010 г. (тысяча декалитров, пиво, кроме коктейлей пивных и напитка солодового). Количество преступлений увеличится на 0,09 единиц при увеличении общей площади жилых помещений, приходящейся в среднем на 1 жителя субъекта Российской Федерации, на 1 м</w:t>
      </w:r>
      <w:r w:rsidRPr="003F05A9">
        <w:rPr>
          <w:rFonts w:ascii="Times New Roman" w:hAnsi="Times New Roman" w:cs="Times New Roman"/>
          <w:sz w:val="24"/>
          <w:szCs w:val="24"/>
          <w:vertAlign w:val="superscript"/>
          <w:lang w:eastAsia="ru-RU"/>
        </w:rPr>
        <w:t>2</w:t>
      </w:r>
      <w:r w:rsidRPr="003F05A9">
        <w:rPr>
          <w:rFonts w:ascii="Times New Roman" w:hAnsi="Times New Roman" w:cs="Times New Roman"/>
          <w:sz w:val="24"/>
          <w:szCs w:val="24"/>
          <w:lang w:eastAsia="ru-RU"/>
        </w:rPr>
        <w:t>. При увеличении уровня безработицы на 1% количество преступлений вырастет на 0,1 единиц. При росте численности студентов в государственных и муниципальных образовательных учреждениях, реализующих программы среднего профессионального образования, на 1 человека количество преступлений увеличится на 0,09 единиц. При росте продажи алкогольных напитков в натуральном выражении на 1 тыс. декалитров количество преступлений вырастет на 0,07 единиц.</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lang w:eastAsia="ru-RU"/>
        </w:rPr>
      </w:pPr>
      <w:r w:rsidRPr="003F05A9">
        <w:rPr>
          <w:rFonts w:ascii="Times New Roman" w:hAnsi="Times New Roman" w:cs="Times New Roman"/>
          <w:sz w:val="24"/>
          <w:szCs w:val="24"/>
          <w:lang w:eastAsia="ru-RU"/>
        </w:rPr>
        <w:t>Во втором кластере наибольшее влияние на количество преступлений оказывают численность студентов в государственных и муниципальных образовательных учреждениях, реализующих программы высшего профессионального образования, число зарегистрированных больных с впервые в жизни установленным диагнозом алкоголизма и алкогольного психоза. При этом при увеличении первого фактора на 1 человека, количество преступлений вырастет на 0,6 единиц, при увеличении второго фактора на 1 человека – на 0,49 единиц.</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lang w:eastAsia="ru-RU"/>
        </w:rPr>
      </w:pPr>
      <w:r w:rsidRPr="003F05A9">
        <w:rPr>
          <w:rFonts w:ascii="Times New Roman" w:hAnsi="Times New Roman" w:cs="Times New Roman"/>
          <w:sz w:val="24"/>
          <w:szCs w:val="24"/>
          <w:lang w:eastAsia="ru-RU"/>
        </w:rPr>
        <w:t xml:space="preserve">В третьем кластере наибольшее влияние оказывают факторы: реальные располагаемые денежные доходы населения; доля населения с денежными доходами ниже величины прожиточного минимума в общей численности населения Российской Федерации; численность студентов в государственных и муниципальных образовательных учреждениях, реализующих программы высшего профессионального образования; ВРП на душу населения в ценах 2010 г.; коэффициент фондов (соотношение денежных доходов 10% наиболее и 10% наименее обеспеченного населения); продажа алкогольных напитков в натуральном выражении по субъектам Российской Федерации с 2010 г. (тысяча декалитров, водка).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lang w:eastAsia="ru-RU"/>
        </w:rPr>
      </w:pPr>
      <w:r w:rsidRPr="003F05A9">
        <w:rPr>
          <w:rFonts w:ascii="Times New Roman" w:hAnsi="Times New Roman" w:cs="Times New Roman"/>
          <w:sz w:val="24"/>
          <w:szCs w:val="24"/>
          <w:lang w:eastAsia="ru-RU"/>
        </w:rPr>
        <w:t>В четвертом кластере наибольшее влияние оказывают общая площадь жилых помещений, приходящаяся в среднем на 1 жителя субъекта Российской Федерации; обеспеченность населения врачами на 10000 населения; ВРП на душу населения в ценах 2010 г.; численность постоянного населения на 31 декабря; численность студентов в государственных и муниципальных образовательных учреждениях, реализующих программы среднего профессионального образования; продажа алкогольных напитков в натуральном выражении по субъектам Российской Федерации с 2010 г. (тысяча декалитров, водка). При снижении первого фактора на 1 м</w:t>
      </w:r>
      <w:r w:rsidRPr="003F05A9">
        <w:rPr>
          <w:rFonts w:ascii="Times New Roman" w:hAnsi="Times New Roman" w:cs="Times New Roman"/>
          <w:sz w:val="24"/>
          <w:szCs w:val="24"/>
          <w:vertAlign w:val="superscript"/>
          <w:lang w:eastAsia="ru-RU"/>
        </w:rPr>
        <w:t>2</w:t>
      </w:r>
      <w:r w:rsidRPr="003F05A9">
        <w:rPr>
          <w:rFonts w:ascii="Times New Roman" w:hAnsi="Times New Roman" w:cs="Times New Roman"/>
          <w:sz w:val="24"/>
          <w:szCs w:val="24"/>
          <w:lang w:eastAsia="ru-RU"/>
        </w:rPr>
        <w:t xml:space="preserve"> – количество преступлений вырастет на 0,53 единиц, при снижении второго фактора на 1человека – на 0,63 единиц, при росте третьего фактора на 1 рубль – на 0,17 единиц, при снижении четвертого фактора на 1 человека – на 0,29 единиц, при росте пятого фактора на 1 человека – на 0,14 единиц, при росте шестого фактора на 1 тыс. декалитров – на 0,33 единиц.</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lang w:eastAsia="ru-RU"/>
        </w:rPr>
      </w:pPr>
      <w:r w:rsidRPr="003F05A9">
        <w:rPr>
          <w:rFonts w:ascii="Times New Roman" w:hAnsi="Times New Roman" w:cs="Times New Roman"/>
          <w:sz w:val="24"/>
          <w:szCs w:val="24"/>
          <w:lang w:eastAsia="ru-RU"/>
        </w:rPr>
        <w:t>Согласно проведенному исследованию, основными факторами роста преступности являются уровень образования, продажа алкогольных напитков. Также сильное влияние оказывает доля населения с денежными доходами ниже величины прожиточного минимума в общей численности населения Российской Федерации. Также подтвердилась гипотеза, что каждый кластер отличается своими факторами, влияющими на преступность. Таким образом, понимание механизма детерминации преступности позволит выработать стратегические меры борьбы с преступностью в каждом конкретном кластере. Более глубокое исследование уровня правонарушений, требует дополнительных исследований, подробное описание которых предполагается изложить в следующих работах по предложенной теме.</w:t>
      </w:r>
    </w:p>
    <w:p w:rsidR="003F05A9" w:rsidRPr="003F05A9" w:rsidRDefault="000D1C8F"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pict>
          <v:rect id="_x0000_i1042" style="width:481.9pt;height:1.5pt" o:hralign="center" o:hrstd="t" o:hrnoshade="t" o:hr="t" fillcolor="black [3213]" stroked="f"/>
        </w:pict>
      </w:r>
    </w:p>
    <w:p w:rsidR="003F05A9" w:rsidRPr="003F05A9" w:rsidRDefault="003F05A9" w:rsidP="003F05A9">
      <w:pPr>
        <w:numPr>
          <w:ilvl w:val="0"/>
          <w:numId w:val="116"/>
        </w:numPr>
        <w:pBdr>
          <w:top w:val="none" w:sz="0" w:space="0" w:color="auto"/>
          <w:left w:val="none" w:sz="0" w:space="0" w:color="auto"/>
          <w:bottom w:val="none" w:sz="0" w:space="0" w:color="auto"/>
          <w:right w:val="none" w:sz="0" w:space="0" w:color="auto"/>
          <w:between w:val="none" w:sz="0" w:space="0" w:color="auto"/>
        </w:pBdr>
        <w:tabs>
          <w:tab w:val="left" w:pos="284"/>
        </w:tabs>
        <w:spacing w:after="0" w:line="240" w:lineRule="auto"/>
        <w:contextualSpacing/>
        <w:jc w:val="both"/>
        <w:rPr>
          <w:rFonts w:ascii="Times New Roman" w:hAnsi="Times New Roman" w:cs="Times New Roman"/>
          <w:sz w:val="24"/>
          <w:szCs w:val="24"/>
          <w:lang w:eastAsia="ru-RU"/>
        </w:rPr>
      </w:pPr>
      <w:r w:rsidRPr="003F05A9">
        <w:rPr>
          <w:rFonts w:ascii="Times New Roman" w:hAnsi="Times New Roman" w:cs="Times New Roman"/>
          <w:sz w:val="24"/>
          <w:szCs w:val="24"/>
          <w:lang w:eastAsia="ru-RU"/>
        </w:rPr>
        <w:t>Анализ временных рядов в исследовании показателя «Потребление рыбы и рыбопродуктов» по Приморскому краю Карпова Д.К., Кучерова С.В.// Экономика и управление: проблемы, анализ тенденций и перспектив развития. Сборник материалов I-й международной научно-практической конференции. 2017. С. 95-101</w:t>
      </w:r>
    </w:p>
    <w:p w:rsidR="003F05A9" w:rsidRPr="003F05A9" w:rsidRDefault="003F05A9" w:rsidP="003F05A9">
      <w:pPr>
        <w:numPr>
          <w:ilvl w:val="0"/>
          <w:numId w:val="116"/>
        </w:numPr>
        <w:pBdr>
          <w:top w:val="none" w:sz="0" w:space="0" w:color="auto"/>
          <w:left w:val="none" w:sz="0" w:space="0" w:color="auto"/>
          <w:bottom w:val="none" w:sz="0" w:space="0" w:color="auto"/>
          <w:right w:val="none" w:sz="0" w:space="0" w:color="auto"/>
          <w:between w:val="none" w:sz="0" w:space="0" w:color="auto"/>
        </w:pBdr>
        <w:shd w:val="clear" w:color="auto" w:fill="FFFFFF"/>
        <w:tabs>
          <w:tab w:val="left" w:pos="284"/>
        </w:tabs>
        <w:spacing w:after="0" w:line="240" w:lineRule="auto"/>
        <w:contextualSpacing/>
        <w:jc w:val="both"/>
        <w:rPr>
          <w:rFonts w:ascii="Times New Roman" w:hAnsi="Times New Roman" w:cs="Times New Roman"/>
          <w:sz w:val="24"/>
          <w:szCs w:val="24"/>
          <w:shd w:val="clear" w:color="auto" w:fill="FFFFFF"/>
          <w:lang w:eastAsia="ru-RU"/>
        </w:rPr>
      </w:pPr>
      <w:r w:rsidRPr="003F05A9">
        <w:rPr>
          <w:rFonts w:ascii="Times New Roman" w:hAnsi="Times New Roman" w:cs="Times New Roman"/>
          <w:sz w:val="24"/>
          <w:szCs w:val="24"/>
          <w:lang w:eastAsia="ru-RU"/>
        </w:rPr>
        <w:t xml:space="preserve">Громов В.В. </w:t>
      </w:r>
      <w:r w:rsidRPr="003F05A9">
        <w:rPr>
          <w:rFonts w:ascii="Times New Roman" w:hAnsi="Times New Roman" w:cs="Times New Roman"/>
          <w:sz w:val="24"/>
          <w:szCs w:val="24"/>
          <w:shd w:val="clear" w:color="auto" w:fill="FFFFFF"/>
          <w:lang w:eastAsia="ru-RU"/>
        </w:rPr>
        <w:t xml:space="preserve">Кластеризация и ее применение для анализа финансово-экономического состояния отрасли растениеводства в регионах РФ// Современные технологии управления. ISSN 2226-9339. – </w:t>
      </w:r>
      <w:hyperlink r:id="rId379" w:history="1">
        <w:r w:rsidRPr="003F05A9">
          <w:rPr>
            <w:rFonts w:ascii="Times New Roman" w:hAnsi="Times New Roman" w:cs="Times New Roman"/>
            <w:sz w:val="24"/>
            <w:szCs w:val="24"/>
            <w:shd w:val="clear" w:color="auto" w:fill="FFFFFF"/>
            <w:lang w:eastAsia="ru-RU"/>
          </w:rPr>
          <w:t>№8 (32)</w:t>
        </w:r>
      </w:hyperlink>
      <w:r w:rsidRPr="003F05A9">
        <w:rPr>
          <w:rFonts w:ascii="Times New Roman" w:hAnsi="Times New Roman" w:cs="Times New Roman"/>
          <w:sz w:val="24"/>
          <w:szCs w:val="24"/>
          <w:shd w:val="clear" w:color="auto" w:fill="FFFFFF"/>
          <w:lang w:eastAsia="ru-RU"/>
        </w:rPr>
        <w:t>. Номер статьи: 3202. Дата публикации: 2013-08-08 . [Электронный ресурс]. – Режим доступа: http://sovman.ru/article/3202/</w:t>
      </w:r>
    </w:p>
    <w:p w:rsidR="003F05A9" w:rsidRPr="003F05A9" w:rsidRDefault="003F05A9" w:rsidP="003F05A9">
      <w:pPr>
        <w:numPr>
          <w:ilvl w:val="0"/>
          <w:numId w:val="116"/>
        </w:numPr>
        <w:pBdr>
          <w:top w:val="none" w:sz="0" w:space="0" w:color="auto"/>
          <w:left w:val="none" w:sz="0" w:space="0" w:color="auto"/>
          <w:bottom w:val="none" w:sz="0" w:space="0" w:color="auto"/>
          <w:right w:val="none" w:sz="0" w:space="0" w:color="auto"/>
          <w:between w:val="none" w:sz="0" w:space="0" w:color="auto"/>
        </w:pBdr>
        <w:tabs>
          <w:tab w:val="left" w:pos="284"/>
        </w:tabs>
        <w:spacing w:after="0" w:line="240" w:lineRule="auto"/>
        <w:jc w:val="both"/>
        <w:rPr>
          <w:rFonts w:ascii="Times New Roman" w:hAnsi="Times New Roman" w:cs="Times New Roman"/>
          <w:color w:val="000000"/>
          <w:sz w:val="24"/>
          <w:szCs w:val="20"/>
          <w:lang w:eastAsia="ru-RU"/>
        </w:rPr>
      </w:pPr>
      <w:r w:rsidRPr="003F05A9">
        <w:rPr>
          <w:rFonts w:ascii="Times New Roman" w:hAnsi="Times New Roman" w:cs="Times New Roman"/>
          <w:sz w:val="24"/>
          <w:szCs w:val="20"/>
          <w:lang w:eastAsia="ru-RU"/>
        </w:rPr>
        <w:t>Елисеева И.И. Общая теория статистики: Учебник. – М.: Финансы и статистика, 2004. – 368 с.</w:t>
      </w:r>
    </w:p>
    <w:p w:rsidR="003F05A9" w:rsidRPr="003F05A9" w:rsidRDefault="003F05A9" w:rsidP="003F05A9">
      <w:pPr>
        <w:numPr>
          <w:ilvl w:val="0"/>
          <w:numId w:val="116"/>
        </w:numPr>
        <w:pBdr>
          <w:top w:val="none" w:sz="0" w:space="0" w:color="auto"/>
          <w:left w:val="none" w:sz="0" w:space="0" w:color="auto"/>
          <w:bottom w:val="none" w:sz="0" w:space="0" w:color="auto"/>
          <w:right w:val="none" w:sz="0" w:space="0" w:color="auto"/>
          <w:between w:val="none" w:sz="0" w:space="0" w:color="auto"/>
        </w:pBdr>
        <w:tabs>
          <w:tab w:val="left" w:pos="284"/>
        </w:tabs>
        <w:spacing w:after="0" w:line="240" w:lineRule="auto"/>
        <w:contextualSpacing/>
        <w:jc w:val="both"/>
        <w:rPr>
          <w:rFonts w:ascii="Times New Roman" w:hAnsi="Times New Roman" w:cs="Times New Roman"/>
          <w:sz w:val="24"/>
          <w:szCs w:val="24"/>
          <w:lang w:eastAsia="ru-RU"/>
        </w:rPr>
      </w:pPr>
      <w:r w:rsidRPr="003F05A9">
        <w:rPr>
          <w:rFonts w:ascii="Times New Roman" w:hAnsi="Times New Roman" w:cs="Times New Roman"/>
          <w:sz w:val="24"/>
          <w:szCs w:val="24"/>
          <w:lang w:eastAsia="ru-RU"/>
        </w:rPr>
        <w:t>Идентификация региональных кластеров в рамках исследования эпидемиологической обстановки по туберкулезу в РФ. Солдатов Д.А., Кучерова С.В. В книге: Интеллектуальный потенциал вузов – на развитие Дальневосточного региона России и стран АТР Материалы XIX Международной научно-практической конференции студентов, аспирантов и молодых ученых. 2017. С. 106-109.</w:t>
      </w:r>
    </w:p>
    <w:p w:rsidR="003F05A9" w:rsidRPr="003F05A9" w:rsidRDefault="003F05A9" w:rsidP="003F05A9">
      <w:pPr>
        <w:numPr>
          <w:ilvl w:val="0"/>
          <w:numId w:val="116"/>
        </w:numPr>
        <w:pBdr>
          <w:top w:val="none" w:sz="0" w:space="0" w:color="auto"/>
          <w:left w:val="none" w:sz="0" w:space="0" w:color="auto"/>
          <w:bottom w:val="none" w:sz="0" w:space="0" w:color="auto"/>
          <w:right w:val="none" w:sz="0" w:space="0" w:color="auto"/>
          <w:between w:val="none" w:sz="0" w:space="0" w:color="auto"/>
        </w:pBdr>
        <w:tabs>
          <w:tab w:val="left" w:pos="284"/>
        </w:tabs>
        <w:spacing w:after="0" w:line="240" w:lineRule="auto"/>
        <w:contextualSpacing/>
        <w:jc w:val="both"/>
        <w:rPr>
          <w:rFonts w:ascii="Times New Roman" w:hAnsi="Times New Roman" w:cs="Times New Roman"/>
          <w:sz w:val="24"/>
          <w:szCs w:val="24"/>
          <w:lang w:eastAsia="ru-RU"/>
        </w:rPr>
      </w:pPr>
      <w:r w:rsidRPr="003F05A9">
        <w:rPr>
          <w:rFonts w:ascii="Times New Roman" w:hAnsi="Times New Roman" w:cs="Times New Roman"/>
          <w:sz w:val="24"/>
          <w:szCs w:val="24"/>
          <w:lang w:eastAsia="ru-RU"/>
        </w:rPr>
        <w:t>Использование анализа временных рядов при исследовании уровня преступности. Кучерова С.В. Фундаментальные исследования. 2015. № 11-6. С. 1206-1209.</w:t>
      </w:r>
    </w:p>
    <w:p w:rsidR="003F05A9" w:rsidRPr="003F05A9" w:rsidRDefault="003F05A9" w:rsidP="003F05A9">
      <w:pPr>
        <w:numPr>
          <w:ilvl w:val="0"/>
          <w:numId w:val="116"/>
        </w:numPr>
        <w:pBdr>
          <w:top w:val="none" w:sz="0" w:space="0" w:color="auto"/>
          <w:left w:val="none" w:sz="0" w:space="0" w:color="auto"/>
          <w:bottom w:val="none" w:sz="0" w:space="0" w:color="auto"/>
          <w:right w:val="none" w:sz="0" w:space="0" w:color="auto"/>
          <w:between w:val="none" w:sz="0" w:space="0" w:color="auto"/>
        </w:pBdr>
        <w:tabs>
          <w:tab w:val="left" w:pos="284"/>
        </w:tabs>
        <w:spacing w:after="0" w:line="240" w:lineRule="auto"/>
        <w:jc w:val="both"/>
        <w:rPr>
          <w:rFonts w:ascii="Times New Roman" w:hAnsi="Times New Roman" w:cs="Times New Roman"/>
          <w:szCs w:val="24"/>
          <w:lang w:eastAsia="ru-RU"/>
        </w:rPr>
      </w:pPr>
      <w:r w:rsidRPr="003F05A9">
        <w:rPr>
          <w:rFonts w:ascii="Times New Roman" w:hAnsi="Times New Roman" w:cs="Times New Roman"/>
          <w:sz w:val="24"/>
          <w:szCs w:val="20"/>
          <w:lang w:eastAsia="ru-RU"/>
        </w:rPr>
        <w:t>Ратникова Т.А. Введение в анализ панельных данных, — М.: ГУ-ВШЭ, 2004.</w:t>
      </w:r>
    </w:p>
    <w:p w:rsidR="003F05A9" w:rsidRPr="003F05A9" w:rsidRDefault="003F05A9" w:rsidP="003F05A9">
      <w:pPr>
        <w:numPr>
          <w:ilvl w:val="0"/>
          <w:numId w:val="116"/>
        </w:numPr>
        <w:pBdr>
          <w:top w:val="none" w:sz="0" w:space="0" w:color="auto"/>
          <w:left w:val="none" w:sz="0" w:space="0" w:color="auto"/>
          <w:bottom w:val="none" w:sz="0" w:space="0" w:color="auto"/>
          <w:right w:val="none" w:sz="0" w:space="0" w:color="auto"/>
          <w:between w:val="none" w:sz="0" w:space="0" w:color="auto"/>
        </w:pBdr>
        <w:tabs>
          <w:tab w:val="left" w:pos="284"/>
        </w:tabs>
        <w:spacing w:after="0" w:line="240" w:lineRule="auto"/>
        <w:contextualSpacing/>
        <w:jc w:val="both"/>
        <w:rPr>
          <w:rFonts w:ascii="Times New Roman" w:hAnsi="Times New Roman" w:cs="Times New Roman"/>
          <w:sz w:val="24"/>
          <w:szCs w:val="24"/>
          <w:lang w:eastAsia="ru-RU"/>
        </w:rPr>
      </w:pPr>
      <w:r w:rsidRPr="003F05A9">
        <w:rPr>
          <w:rFonts w:ascii="Times New Roman" w:eastAsia="SimSun" w:hAnsi="Times New Roman" w:cs="Times New Roman"/>
          <w:sz w:val="24"/>
          <w:szCs w:val="24"/>
          <w:lang w:eastAsia="zh-CN"/>
        </w:rPr>
        <w:t>Региональные кластеры, как основа разработки стратегии экономического развития ДВФО</w:t>
      </w:r>
      <w:r w:rsidRPr="003F05A9">
        <w:rPr>
          <w:rFonts w:ascii="Times New Roman" w:hAnsi="Times New Roman" w:cs="Times New Roman"/>
          <w:sz w:val="24"/>
          <w:szCs w:val="24"/>
          <w:lang w:eastAsia="ru-RU"/>
        </w:rPr>
        <w:t>. 2016: Аналитический обзор/ Приморскстат, 2016. 18 с.</w:t>
      </w:r>
    </w:p>
    <w:p w:rsidR="003F05A9" w:rsidRPr="003F05A9" w:rsidRDefault="003F05A9" w:rsidP="003F05A9">
      <w:pPr>
        <w:numPr>
          <w:ilvl w:val="0"/>
          <w:numId w:val="116"/>
        </w:numPr>
        <w:pBdr>
          <w:top w:val="none" w:sz="0" w:space="0" w:color="auto"/>
          <w:left w:val="none" w:sz="0" w:space="0" w:color="auto"/>
          <w:bottom w:val="none" w:sz="0" w:space="0" w:color="auto"/>
          <w:right w:val="none" w:sz="0" w:space="0" w:color="auto"/>
          <w:between w:val="none" w:sz="0" w:space="0" w:color="auto"/>
        </w:pBdr>
        <w:tabs>
          <w:tab w:val="left" w:pos="284"/>
        </w:tabs>
        <w:spacing w:after="0" w:line="240" w:lineRule="auto"/>
        <w:contextualSpacing/>
        <w:jc w:val="both"/>
        <w:rPr>
          <w:rFonts w:ascii="Times New Roman" w:hAnsi="Times New Roman" w:cs="Times New Roman"/>
          <w:sz w:val="24"/>
          <w:szCs w:val="24"/>
          <w:lang w:eastAsia="ru-RU"/>
        </w:rPr>
      </w:pPr>
      <w:r w:rsidRPr="003F05A9">
        <w:rPr>
          <w:rFonts w:ascii="Times New Roman" w:hAnsi="Times New Roman" w:cs="Times New Roman"/>
          <w:sz w:val="24"/>
          <w:szCs w:val="24"/>
          <w:lang w:eastAsia="ru-RU"/>
        </w:rPr>
        <w:t>Шалдина А. В. Моделирование региональной преступности в России // Вестник ЮРГТУ (НПИ). 2012.№ 1</w:t>
      </w:r>
    </w:p>
    <w:p w:rsidR="00500AB2" w:rsidRDefault="00500AB2"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F05A9">
        <w:rPr>
          <w:rFonts w:ascii="Times New Roman" w:hAnsi="Times New Roman" w:cs="Times New Roman"/>
          <w:color w:val="000000"/>
          <w:sz w:val="24"/>
          <w:szCs w:val="24"/>
        </w:rPr>
        <w:t>Рубрика: Информационные технологии. Вычислительная техника. Обработка данных</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F05A9">
        <w:rPr>
          <w:rFonts w:ascii="Times New Roman" w:hAnsi="Times New Roman" w:cs="Times New Roman"/>
          <w:color w:val="000000"/>
          <w:sz w:val="24"/>
          <w:szCs w:val="24"/>
        </w:rPr>
        <w:t>УДК 004</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b/>
          <w:color w:val="000000"/>
          <w:sz w:val="24"/>
          <w:szCs w:val="24"/>
        </w:rPr>
      </w:pPr>
      <w:r w:rsidRPr="003F05A9">
        <w:rPr>
          <w:rFonts w:ascii="Times New Roman" w:hAnsi="Times New Roman" w:cs="Times New Roman"/>
          <w:b/>
          <w:color w:val="000000"/>
          <w:sz w:val="24"/>
          <w:szCs w:val="24"/>
        </w:rPr>
        <w:t>Моделирование применения технологии I</w:t>
      </w:r>
      <w:r w:rsidRPr="003F05A9">
        <w:rPr>
          <w:rFonts w:ascii="Times New Roman" w:hAnsi="Times New Roman" w:cs="Times New Roman"/>
          <w:b/>
          <w:color w:val="000000"/>
          <w:sz w:val="24"/>
          <w:szCs w:val="24"/>
          <w:lang w:val="en-US"/>
        </w:rPr>
        <w:t>o</w:t>
      </w:r>
      <w:r w:rsidRPr="003F05A9">
        <w:rPr>
          <w:rFonts w:ascii="Times New Roman" w:hAnsi="Times New Roman" w:cs="Times New Roman"/>
          <w:b/>
          <w:color w:val="000000"/>
          <w:sz w:val="24"/>
          <w:szCs w:val="24"/>
        </w:rPr>
        <w:t>T</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b/>
          <w:color w:val="000000"/>
          <w:sz w:val="24"/>
          <w:szCs w:val="24"/>
        </w:rPr>
      </w:pPr>
      <w:r w:rsidRPr="003F05A9">
        <w:rPr>
          <w:rFonts w:ascii="Times New Roman" w:hAnsi="Times New Roman" w:cs="Times New Roman"/>
          <w:b/>
          <w:color w:val="000000"/>
          <w:sz w:val="24"/>
          <w:szCs w:val="24"/>
        </w:rPr>
        <w:t>в работе средних общеобразовательных организаций.</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before="240" w:after="0" w:line="240" w:lineRule="auto"/>
        <w:ind w:firstLine="709"/>
        <w:jc w:val="center"/>
        <w:rPr>
          <w:rFonts w:ascii="Times New Roman" w:hAnsi="Times New Roman" w:cs="Times New Roman"/>
          <w:i/>
          <w:color w:val="000000"/>
          <w:sz w:val="24"/>
          <w:szCs w:val="24"/>
        </w:rPr>
      </w:pPr>
      <w:r w:rsidRPr="003F05A9">
        <w:rPr>
          <w:rFonts w:ascii="Times New Roman" w:hAnsi="Times New Roman" w:cs="Times New Roman"/>
          <w:color w:val="000000"/>
          <w:sz w:val="24"/>
          <w:szCs w:val="24"/>
        </w:rPr>
        <w:t xml:space="preserve">Руденко Евгений Олегович, </w:t>
      </w:r>
      <w:r w:rsidRPr="003F05A9">
        <w:rPr>
          <w:rFonts w:ascii="Times New Roman" w:hAnsi="Times New Roman" w:cs="Times New Roman"/>
          <w:i/>
          <w:color w:val="000000"/>
          <w:sz w:val="24"/>
          <w:szCs w:val="24"/>
        </w:rPr>
        <w:t>бакалавр</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i/>
          <w:color w:val="000000"/>
          <w:sz w:val="24"/>
          <w:szCs w:val="24"/>
        </w:rPr>
      </w:pPr>
      <w:r w:rsidRPr="003F05A9">
        <w:rPr>
          <w:rFonts w:ascii="Times New Roman" w:hAnsi="Times New Roman" w:cs="Times New Roman"/>
          <w:color w:val="000000"/>
          <w:sz w:val="24"/>
          <w:szCs w:val="24"/>
        </w:rPr>
        <w:t xml:space="preserve">Одияко Наталья Николаевна, </w:t>
      </w:r>
      <w:r w:rsidRPr="003F05A9">
        <w:rPr>
          <w:rFonts w:ascii="Times New Roman" w:hAnsi="Times New Roman" w:cs="Times New Roman"/>
          <w:i/>
          <w:color w:val="000000"/>
          <w:sz w:val="24"/>
          <w:szCs w:val="24"/>
        </w:rPr>
        <w:t>доцент</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i/>
          <w:color w:val="000000"/>
          <w:sz w:val="24"/>
          <w:szCs w:val="24"/>
        </w:rPr>
      </w:pPr>
      <w:r w:rsidRPr="003F05A9">
        <w:rPr>
          <w:rFonts w:ascii="Times New Roman" w:hAnsi="Times New Roman" w:cs="Times New Roman"/>
          <w:i/>
          <w:color w:val="000000"/>
          <w:sz w:val="24"/>
          <w:szCs w:val="24"/>
        </w:rPr>
        <w:t>Владивостокский государственный университет экономики и сервиса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i/>
          <w:color w:val="000000"/>
          <w:sz w:val="24"/>
          <w:szCs w:val="24"/>
        </w:rPr>
      </w:pPr>
      <w:r w:rsidRPr="003F05A9">
        <w:rPr>
          <w:rFonts w:ascii="Times New Roman" w:hAnsi="Times New Roman" w:cs="Times New Roman"/>
          <w:i/>
          <w:color w:val="000000"/>
          <w:sz w:val="24"/>
          <w:szCs w:val="24"/>
        </w:rPr>
        <w:t>Россия. Владивосток</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i/>
          <w:color w:val="000000"/>
          <w:sz w:val="24"/>
          <w:szCs w:val="24"/>
        </w:rPr>
      </w:pPr>
      <w:r w:rsidRPr="003F05A9">
        <w:rPr>
          <w:rFonts w:ascii="Times New Roman" w:hAnsi="Times New Roman" w:cs="Times New Roman"/>
          <w:i/>
          <w:color w:val="000000"/>
          <w:sz w:val="24"/>
          <w:szCs w:val="24"/>
          <w:lang w:val="en-US"/>
        </w:rPr>
        <w:t>E</w:t>
      </w:r>
      <w:r w:rsidRPr="003F05A9">
        <w:rPr>
          <w:rFonts w:ascii="Times New Roman" w:hAnsi="Times New Roman" w:cs="Times New Roman"/>
          <w:i/>
          <w:color w:val="000000"/>
          <w:sz w:val="24"/>
          <w:szCs w:val="24"/>
        </w:rPr>
        <w:t>-</w:t>
      </w:r>
      <w:r w:rsidRPr="003F05A9">
        <w:rPr>
          <w:rFonts w:ascii="Times New Roman" w:hAnsi="Times New Roman" w:cs="Times New Roman"/>
          <w:i/>
          <w:color w:val="000000"/>
          <w:sz w:val="24"/>
          <w:szCs w:val="24"/>
          <w:lang w:val="en-US"/>
        </w:rPr>
        <w:t>mail</w:t>
      </w:r>
      <w:r w:rsidRPr="003F05A9">
        <w:rPr>
          <w:rFonts w:ascii="Times New Roman" w:hAnsi="Times New Roman" w:cs="Times New Roman"/>
          <w:i/>
          <w:color w:val="000000"/>
          <w:sz w:val="24"/>
          <w:szCs w:val="24"/>
        </w:rPr>
        <w:t xml:space="preserve">: </w:t>
      </w:r>
      <w:r w:rsidRPr="003F05A9">
        <w:rPr>
          <w:rFonts w:ascii="Times New Roman" w:hAnsi="Times New Roman" w:cs="Times New Roman"/>
          <w:i/>
          <w:color w:val="000000"/>
          <w:sz w:val="24"/>
          <w:szCs w:val="24"/>
          <w:lang w:val="en-US"/>
        </w:rPr>
        <w:t>Evgeniy</w:t>
      </w:r>
      <w:r w:rsidRPr="003F05A9">
        <w:rPr>
          <w:rFonts w:ascii="Times New Roman" w:hAnsi="Times New Roman" w:cs="Times New Roman"/>
          <w:i/>
          <w:color w:val="000000"/>
          <w:sz w:val="24"/>
          <w:szCs w:val="24"/>
        </w:rPr>
        <w:t>.</w:t>
      </w:r>
      <w:r w:rsidRPr="003F05A9">
        <w:rPr>
          <w:rFonts w:ascii="Times New Roman" w:hAnsi="Times New Roman" w:cs="Times New Roman"/>
          <w:i/>
          <w:color w:val="000000"/>
          <w:sz w:val="24"/>
          <w:szCs w:val="24"/>
          <w:lang w:val="en-US"/>
        </w:rPr>
        <w:t>Rudenko</w:t>
      </w:r>
      <w:r w:rsidRPr="003F05A9">
        <w:rPr>
          <w:rFonts w:ascii="Times New Roman" w:hAnsi="Times New Roman" w:cs="Times New Roman"/>
          <w:i/>
          <w:color w:val="000000"/>
          <w:sz w:val="24"/>
          <w:szCs w:val="24"/>
        </w:rPr>
        <w:t>@</w:t>
      </w:r>
      <w:r w:rsidRPr="003F05A9">
        <w:rPr>
          <w:rFonts w:ascii="Times New Roman" w:hAnsi="Times New Roman" w:cs="Times New Roman"/>
          <w:i/>
          <w:color w:val="000000"/>
          <w:sz w:val="24"/>
          <w:szCs w:val="24"/>
          <w:lang w:val="en-US"/>
        </w:rPr>
        <w:t>vvsu</w:t>
      </w:r>
      <w:r w:rsidRPr="003F05A9">
        <w:rPr>
          <w:rFonts w:ascii="Times New Roman" w:hAnsi="Times New Roman" w:cs="Times New Roman"/>
          <w:i/>
          <w:color w:val="000000"/>
          <w:sz w:val="24"/>
          <w:szCs w:val="24"/>
        </w:rPr>
        <w:t>.</w:t>
      </w:r>
      <w:r w:rsidRPr="003F05A9">
        <w:rPr>
          <w:rFonts w:ascii="Times New Roman" w:hAnsi="Times New Roman" w:cs="Times New Roman"/>
          <w:i/>
          <w:color w:val="000000"/>
          <w:sz w:val="24"/>
          <w:szCs w:val="24"/>
          <w:lang w:val="en-US"/>
        </w:rPr>
        <w:t>ru</w:t>
      </w:r>
      <w:r w:rsidRPr="003F05A9">
        <w:rPr>
          <w:rFonts w:ascii="Times New Roman" w:hAnsi="Times New Roman" w:cs="Times New Roman"/>
          <w:i/>
          <w:color w:val="000000"/>
          <w:sz w:val="24"/>
          <w:szCs w:val="24"/>
        </w:rPr>
        <w:t>; тел.: +79146899396</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i/>
          <w:color w:val="000000"/>
          <w:sz w:val="24"/>
          <w:szCs w:val="24"/>
        </w:rPr>
      </w:pPr>
      <w:r w:rsidRPr="003F05A9">
        <w:rPr>
          <w:rFonts w:ascii="Times New Roman" w:hAnsi="Times New Roman" w:cs="Times New Roman"/>
          <w:i/>
          <w:color w:val="000000"/>
          <w:sz w:val="24"/>
          <w:szCs w:val="24"/>
        </w:rPr>
        <w:t>ул. Гоголя, 41, г. Владивосток, Приморский край, Россия, 690014.</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color w:val="000000"/>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color w:val="000000"/>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i/>
          <w:color w:val="000000"/>
          <w:sz w:val="24"/>
          <w:szCs w:val="24"/>
        </w:rPr>
      </w:pPr>
      <w:r w:rsidRPr="003F05A9">
        <w:rPr>
          <w:rFonts w:ascii="Times New Roman" w:hAnsi="Times New Roman" w:cs="Times New Roman"/>
          <w:i/>
          <w:color w:val="000000"/>
          <w:sz w:val="24"/>
          <w:szCs w:val="24"/>
        </w:rPr>
        <w:t>Актуальность совершенствования управления в российских школах растет в связи концептуальными изменениями, происходящими в системе образования. Школы ведут инновационный поиск для обеспечения вариативности инструментов управления и повышения их эффективности. Использование информационных технологий и сети Интернет в общеобразовательных школах пока еще ограничено и очень слабо связано с учебным процессом.</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i/>
          <w:color w:val="000000"/>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i/>
          <w:color w:val="000000"/>
          <w:sz w:val="24"/>
          <w:szCs w:val="24"/>
        </w:rPr>
      </w:pPr>
      <w:r w:rsidRPr="003F05A9">
        <w:rPr>
          <w:rFonts w:ascii="Times New Roman" w:hAnsi="Times New Roman" w:cs="Times New Roman"/>
          <w:b/>
          <w:i/>
          <w:color w:val="000000"/>
          <w:sz w:val="24"/>
          <w:szCs w:val="24"/>
        </w:rPr>
        <w:t xml:space="preserve">Ключевые слова и словосочетания: </w:t>
      </w:r>
      <w:r w:rsidRPr="003F05A9">
        <w:rPr>
          <w:rFonts w:ascii="Times New Roman" w:hAnsi="Times New Roman" w:cs="Times New Roman"/>
          <w:i/>
          <w:color w:val="000000"/>
          <w:sz w:val="24"/>
          <w:szCs w:val="24"/>
        </w:rPr>
        <w:t>образование, управление компьютерными системами, эффективность, информационные, системы.</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i/>
          <w:color w:val="000000"/>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b/>
          <w:color w:val="000000"/>
          <w:sz w:val="24"/>
          <w:szCs w:val="24"/>
          <w:lang w:val="en-US"/>
        </w:rPr>
      </w:pPr>
      <w:r w:rsidRPr="003F05A9">
        <w:rPr>
          <w:rFonts w:ascii="Times New Roman" w:hAnsi="Times New Roman" w:cs="Times New Roman"/>
          <w:b/>
          <w:color w:val="000000"/>
          <w:sz w:val="24"/>
          <w:szCs w:val="24"/>
          <w:lang w:val="en-US"/>
        </w:rPr>
        <w:t>Simulation of application of the IoT</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b/>
          <w:color w:val="000000"/>
          <w:sz w:val="24"/>
          <w:szCs w:val="24"/>
          <w:lang w:val="en-US"/>
        </w:rPr>
      </w:pPr>
      <w:r w:rsidRPr="003F05A9">
        <w:rPr>
          <w:rFonts w:ascii="Times New Roman" w:hAnsi="Times New Roman" w:cs="Times New Roman"/>
          <w:b/>
          <w:color w:val="000000"/>
          <w:sz w:val="24"/>
          <w:szCs w:val="24"/>
          <w:lang w:val="en-US"/>
        </w:rPr>
        <w:t>technology in the work of secondary educational institutions.</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i/>
          <w:color w:val="000000"/>
          <w:sz w:val="24"/>
          <w:szCs w:val="24"/>
          <w:lang w:val="en-US"/>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i/>
          <w:color w:val="000000"/>
          <w:sz w:val="24"/>
          <w:szCs w:val="24"/>
          <w:lang w:val="en-US"/>
        </w:rPr>
      </w:pPr>
      <w:r w:rsidRPr="003F05A9">
        <w:rPr>
          <w:rFonts w:ascii="Times New Roman" w:hAnsi="Times New Roman" w:cs="Times New Roman"/>
          <w:i/>
          <w:color w:val="000000"/>
          <w:sz w:val="24"/>
          <w:szCs w:val="24"/>
          <w:lang w:val="en-US"/>
        </w:rPr>
        <w:t>The relevance of management improvement in Russian schools is growing due to conceptual changes in the education system. Schools are conducting an innovative search to ensure the variability of management tools and improve their efficiency. The use of information technologies and the Internet in General education schools is still limited and very poorly connected with the educational process.</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i/>
          <w:color w:val="000000"/>
          <w:sz w:val="24"/>
          <w:szCs w:val="24"/>
          <w:lang w:val="en-US"/>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i/>
          <w:color w:val="000000"/>
          <w:sz w:val="24"/>
          <w:szCs w:val="24"/>
          <w:lang w:val="en-US"/>
        </w:rPr>
      </w:pPr>
      <w:r w:rsidRPr="003F05A9">
        <w:rPr>
          <w:rFonts w:ascii="Times New Roman" w:hAnsi="Times New Roman" w:cs="Times New Roman"/>
          <w:b/>
          <w:i/>
          <w:color w:val="000000"/>
          <w:sz w:val="24"/>
          <w:szCs w:val="24"/>
          <w:lang w:val="en-US"/>
        </w:rPr>
        <w:t>Keywords:</w:t>
      </w:r>
      <w:r w:rsidRPr="003F05A9">
        <w:rPr>
          <w:rFonts w:ascii="Times New Roman" w:hAnsi="Times New Roman" w:cs="Times New Roman"/>
          <w:i/>
          <w:color w:val="000000"/>
          <w:sz w:val="24"/>
          <w:szCs w:val="24"/>
          <w:lang w:val="en-US"/>
        </w:rPr>
        <w:t xml:space="preserve"> education, management of computer systems, efficiency, information systems.</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i/>
          <w:color w:val="000000"/>
          <w:sz w:val="24"/>
          <w:szCs w:val="24"/>
          <w:lang w:val="en-US"/>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Современное развитие средств вычислительной техники, средств связи и программных технологий, в совокупности с их постепенным удешевлением, позволяет массово применять их не только в образовательном процессе, но и в управлении этим процессом [1]. Компьютер стал неотъемлемой частью современной жизни. Соответственно, и образование должно отвечать современным требованиям.</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Режим управления школой можно представить, как целенаправленную деятельность по регулированию педагогического процесса в целях перевода его на более высокий уровень. Он состоит из трех этапов: сбора и анализа информации, принятии воздействующих решений. Руководители школы должны иметь обязательный минимум информации о состоянии и развитии тех процессов, за которые они отвечают и на которые призваны оказывать управляющее воздействие [2]. В связи с этим работу администрации школы можно и нужно организовать с помощью вычислительной техники.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Перевод процесса управления образовательным учреждением на безбумажную технологию позволяет избавиться от рутинного и отнимающего много времени труда в делопроизводстве, планировании учебного процесса и прочих процессах.</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Для более эффективного управления школой в ней должна быть создана единая информационная среда, которая бы отвечала следующим требованиям:</w:t>
      </w:r>
    </w:p>
    <w:p w:rsidR="003F05A9" w:rsidRPr="003F05A9" w:rsidRDefault="003F05A9" w:rsidP="003F05A9">
      <w:pPr>
        <w:numPr>
          <w:ilvl w:val="0"/>
          <w:numId w:val="117"/>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база данных системы должна содержать как можно более полную информацию обо всех элементах учебного процесса;</w:t>
      </w:r>
    </w:p>
    <w:p w:rsidR="003F05A9" w:rsidRPr="003F05A9" w:rsidRDefault="003F05A9" w:rsidP="003F05A9">
      <w:pPr>
        <w:numPr>
          <w:ilvl w:val="0"/>
          <w:numId w:val="117"/>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в системе должна быть предусмотрена возможность обмена сообщениями между всеми пользователями;</w:t>
      </w:r>
    </w:p>
    <w:p w:rsidR="003F05A9" w:rsidRPr="003F05A9" w:rsidRDefault="003F05A9" w:rsidP="003F05A9">
      <w:pPr>
        <w:numPr>
          <w:ilvl w:val="0"/>
          <w:numId w:val="117"/>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должна быть предусмотрена возможность взаимного обмена информацией с органами управления образованием;</w:t>
      </w:r>
    </w:p>
    <w:p w:rsidR="003F05A9" w:rsidRPr="003F05A9" w:rsidRDefault="003F05A9" w:rsidP="003F05A9">
      <w:pPr>
        <w:numPr>
          <w:ilvl w:val="0"/>
          <w:numId w:val="117"/>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в системе должна существовать возможность интегрирования электронных учебников.</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К сожалению, уровень использования новых информационных технологий в сфере управления школой отстает от общих темпов информатизации образования. Вопросы совершенствования, развития, модернизации внутри школьного управления редко становятся предметом экспериментальной работы, что явно не соответствует значимости этих вопросов для обеспечения развития образования и школы. Конкретные возможности и варианты использования новых информационных технологий в управлении массовой общеобразовательной школой нуждаются в исследовании, актуализации и экспериментальной проверке [3].</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Стандартная комплектация большинства подобных программ позволяет пользователю вводить базовые данные об учебном заведении, создавать базы данных по кадровому составу и контингенту учащихся, обрабатывать информацию для получения выходных документов, вести электронные варианты книг приказов. Конечно, на первых порах, требуется немало времени для создания баз данных, но при работе в многопользовательском режиме временные затраты существенно уменьшаются. При наличии соответствующих модулей система может быть использована в работе директора, секретаря, завучей, учителей-предметников и классных руководителей, школьного бухгалтера, библиотекаря, медперсонала [4].</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При решении главной задачи современной школы – наиболее полного удовлетворения познавательных потребностей школьников и их всестороннего развития – возникает необходимость постоянного диагностирования учащихся в ходе образовательного процесса.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Внедрение новых информационных технологий обусловливает получение необходимой управленческой информации, которая имеет не усредненный, а индивидуально-личностный характер, позволяет увидеть продвижение каждого ребенка в процессе обучения. С внедрением новых информационных технологий связано более широкое понимание управления обучением, осознаваемого не только как управление школой, но и управление процессом обучения каждого учащегося [5]. Информатизация образования является не только необходимым условием успешного развития системы образования, но и важным фактором достижения ее главных целей - повышения уровня образованности и воспитанности людей, формирования у них нового научного мировоззрения, которое должно соответствовать условиям и проблемам развития общества в XXI веке [6]. В Концепции информатизации сферы образования РФ дано следующее определение: «Информатизация образования понимается как процесс, направленный на реализацию замысла повышения качества содержания образования, проведение исследований и разработок, внедрение, сопровождение и развитие, замену традиционных информационных технологий на более эффективные во всех видах деятельности в национальной системе образования России». Информатизация образования на практике невозможна без применения специально разработанных компьютерных аппаратных и программных средств.</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 xml:space="preserve">Анализируя информационные потоки в сфере образования, можно констатировать явное несоответствие между постоянно увеличивающимся объемом информации и существующей на сегодняшний момент практикой ее обработки, анализа и структурирования. На сегодняшний день важна своевременная качественная и оперативная обработка информационных потоков, что возможно благодаря автоматизации. Новая экономическая энциклопедия дает следующее определение автоматизации: «автоматизация - это использование технических средств в системе управления без непосредственного участия человека в процессах получения, преобразования, передачи и использования энергии, материалов и информации».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Создание компьютерных сетей предоставило человечеству абсолютно новый способ общения. Новейшие достижения в технологии передачи данных с учетом последних изобретений в области мультимедиа открывают неограниченные возможности по обработке и передаче массива данных практически в любую точку земного шара [7]. Не вызывает сомнения предположение о том, что в обозримом будущем компьютер станет одним из главных средств общения между людьми.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 xml:space="preserve">Существенные изменения в российской системе образования последних лет вызывают потребность в решении задачи совершенствования управленческой деятельности в школьных организациях и повышения ее эффективности. В рамках научного анализа образовательных изменений исследуются также и практики управления на уровне школьных организаций. При этом инновации в управлении школьной организацией затрагивают структуру и средства управления, ориентированы на замену элементов системы управления с целью ускорения, облегчения или улучшения решения поставленных задач [8].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Поскольку применение компьютерных технологий становится одним из важнейших путей повышения эффективности управленческой деятельности, позволяет упростить, облегчить, интенсифицировать труд.</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Необходимо отметить и то, что в последнее время наблюдается тенденция использования Интернет разными категориями пользователей. Создание непосредственного сетевого онлайнового общения позволит обеспечить доступность процессов управления изменениями в образовании не только группе руководителей, но и всему педагогическому составу и родителям [9]. Организация конференций по актуальным проблемам образования, проведение сетевой дискуссии приобщит более широкий круг субъектов образования к обсуждению вопросов качества образования, воспитания и развития студентов. Руководители учебных заведений могут получить независимую информацию и разнообразные суждения по поводу улучшения качества образования или проблем, которые оказались вне поля зрения руководителей и педагогов.</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Использование новых информационных технологий и ресурсов Интернет требует от педагогов и других участников учебно-воспитательного процесса высокой степени профессиональной компетентности. Педагог сегодня должен обладать так называемой «двойной компетенцией», т.е. помимо сугубо традиционных профессиональных знаний иметь современные знания и навыки работы с информационными технологиями, высокую информационную культуру.</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В настоящее время в системе образования сложились основные направления применения в учебно-воспитательном процессе новых информационных технологий, среди которых использование автоматизированных систем управления; использование экспертных систем и систем поддержки принятия решений; освоение информационных технологий с ориентацией на дальнейшее применение в профессиональной деятельности.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Информатизация образования - комплексная многоплановая деятельность, в которой задействована практически вся система образования. Для того чтобы такая деятельность протекала согласованно, необходимо четко представлять все ее составные части, или направления.</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Разработка и применение новых образовательных информационных технологий расширяет сферу взаимодействия средних образовательных учреждений и позволяет значительно повысить качество подготовки учащихся. Данный вид взаимодействия позволяет в большей мере использовать возможности образовательных учреждений и обеспечивает доступ к обширным информационно-справочным материалам, электронным учебникам, структурированным базам данных, включая и новейшие данные, опережающие печатные издания. Кроме того, информационное взаимодействие средних и высших образовательных учреждений позволяет наладить контакт учащихся школ с преподавателями вузов, учесть интересы учащихся и уровень их подготовки, проводить интерактивный контроль и самоконтроль усвоения учащимися учебного материала, участвовать в совместных научно-исследовательских работах.</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Необходимо обеспечить формирование информационной культуры у всех участников образовательного процесса: сотрудников, учеников, их родителей (в части информационного взаимодействия со школой). Для сотрудников данная задача решается в первую очередь комплексом мероприятий в рамках системы повышения квалификации педагогических кадров. Для учеников - в рамках школьного курса "Информатика и информационные технологии", концепцию и назначение которого постоянно пересматривают и уточняют.</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Важным этапом является создание системы сопровождения и обслуживания средств информационных технологий в учреждениях образования и органах управления. Если не будет квалифицированных специалистов, способных обеспечить функционирование достаточно сложных информационных систем, образование так и останется на уровне использования отдельных компьютеров и компьютерных классов.</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Последняя масштабная задача, которая почти никогда не попадает в официальные программы информатизации образования - вовлечение в образовательный процесс домашних компьютеров учащихся и учителей. Решение этой задачи позволит, в конце концов, в полном объеме добиться заявленных целей.</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Pr>
          <w:rFonts w:cs="Times New Roman"/>
          <w:noProof/>
          <w:lang w:eastAsia="ru-RU"/>
        </w:rPr>
        <mc:AlternateContent>
          <mc:Choice Requires="wps">
            <w:drawing>
              <wp:anchor distT="0" distB="0" distL="114300" distR="114300" simplePos="0" relativeHeight="251741184" behindDoc="0" locked="0" layoutInCell="1" allowOverlap="1">
                <wp:simplePos x="0" y="0"/>
                <wp:positionH relativeFrom="column">
                  <wp:posOffset>-139065</wp:posOffset>
                </wp:positionH>
                <wp:positionV relativeFrom="paragraph">
                  <wp:posOffset>80010</wp:posOffset>
                </wp:positionV>
                <wp:extent cx="2924175" cy="0"/>
                <wp:effectExtent l="9525" t="11430" r="9525" b="7620"/>
                <wp:wrapNone/>
                <wp:docPr id="173" name="Прямая со стрелкой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24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5B7548" id="Прямая со стрелкой 173" o:spid="_x0000_s1026" type="#_x0000_t32" style="position:absolute;margin-left:-10.95pt;margin-top:6.3pt;width:230.25pt;height:0;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"/>
            </w:pict>
          </mc:Fallback>
        </mc:AlternateContent>
      </w:r>
    </w:p>
    <w:p w:rsidR="003F05A9" w:rsidRPr="003F05A9" w:rsidRDefault="003F05A9" w:rsidP="003F05A9">
      <w:pPr>
        <w:numPr>
          <w:ilvl w:val="0"/>
          <w:numId w:val="118"/>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Автоматизация учебного процесса в школе / Allbest [Электронный ресурс] / </w:t>
      </w:r>
      <w:r w:rsidRPr="003F05A9">
        <w:rPr>
          <w:rFonts w:ascii="Times New Roman" w:hAnsi="Times New Roman" w:cs="Times New Roman"/>
          <w:sz w:val="24"/>
          <w:szCs w:val="24"/>
          <w:lang w:val="en-US"/>
        </w:rPr>
        <w:t>Allbest</w:t>
      </w:r>
      <w:r w:rsidRPr="003F05A9">
        <w:rPr>
          <w:rFonts w:ascii="Times New Roman" w:hAnsi="Times New Roman" w:cs="Times New Roman"/>
          <w:sz w:val="24"/>
          <w:szCs w:val="24"/>
        </w:rPr>
        <w:t xml:space="preserve">, 2015 – Режим доступа: </w:t>
      </w:r>
      <w:r w:rsidRPr="003F05A9">
        <w:rPr>
          <w:rFonts w:ascii="Times New Roman" w:hAnsi="Times New Roman" w:cs="Times New Roman"/>
          <w:sz w:val="24"/>
          <w:szCs w:val="24"/>
          <w:lang w:val="en-US"/>
        </w:rPr>
        <w:t>https</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revolution</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allbest</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ru</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pedagogics</w:t>
      </w:r>
      <w:r w:rsidRPr="003F05A9">
        <w:rPr>
          <w:rFonts w:ascii="Times New Roman" w:hAnsi="Times New Roman" w:cs="Times New Roman"/>
          <w:sz w:val="24"/>
          <w:szCs w:val="24"/>
        </w:rPr>
        <w:t>/00565883_0.</w:t>
      </w:r>
      <w:r w:rsidRPr="003F05A9">
        <w:rPr>
          <w:rFonts w:ascii="Times New Roman" w:hAnsi="Times New Roman" w:cs="Times New Roman"/>
          <w:sz w:val="24"/>
          <w:szCs w:val="24"/>
          <w:lang w:val="en-US"/>
        </w:rPr>
        <w:t>html</w:t>
      </w:r>
    </w:p>
    <w:p w:rsidR="003F05A9" w:rsidRPr="003F05A9" w:rsidRDefault="003F05A9" w:rsidP="003F05A9">
      <w:pPr>
        <w:numPr>
          <w:ilvl w:val="0"/>
          <w:numId w:val="118"/>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Одияко Н.Н. Оптимизация работы информационной системы предприятия малого бизнеса по оказанию консультационных услуг / Одияко Н.Н., Голодная Н.Ю., Реуцкий Р.С. // Фундаментальные исследования. </w:t>
      </w:r>
      <w:r w:rsidRPr="003F05A9">
        <w:rPr>
          <w:rFonts w:ascii="Times New Roman" w:hAnsi="Times New Roman" w:cs="Times New Roman"/>
          <w:sz w:val="24"/>
          <w:szCs w:val="24"/>
        </w:rPr>
        <w:sym w:font="Symbol" w:char="F02D"/>
      </w:r>
      <w:r w:rsidRPr="003F05A9">
        <w:rPr>
          <w:rFonts w:ascii="Times New Roman" w:hAnsi="Times New Roman" w:cs="Times New Roman"/>
          <w:sz w:val="24"/>
          <w:szCs w:val="24"/>
        </w:rPr>
        <w:t xml:space="preserve"> 2016. № 12-5.</w:t>
      </w:r>
    </w:p>
    <w:p w:rsidR="003F05A9" w:rsidRPr="003F05A9" w:rsidRDefault="003F05A9" w:rsidP="003F05A9">
      <w:pPr>
        <w:numPr>
          <w:ilvl w:val="0"/>
          <w:numId w:val="118"/>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Одияко Н.Н. Бизнес-планирование как переход к новому качеству экономического развития в рыночных условиях / Одияко Н.Н., Гусев Е.Г., Голодная Н.Ю. // Экономика и предпринимательство. </w:t>
      </w:r>
      <w:r w:rsidRPr="003F05A9">
        <w:rPr>
          <w:rFonts w:ascii="Times New Roman" w:hAnsi="Times New Roman" w:cs="Times New Roman"/>
          <w:sz w:val="24"/>
          <w:szCs w:val="24"/>
        </w:rPr>
        <w:sym w:font="Symbol" w:char="F02D"/>
      </w:r>
      <w:r w:rsidRPr="003F05A9">
        <w:rPr>
          <w:rFonts w:ascii="Times New Roman" w:hAnsi="Times New Roman" w:cs="Times New Roman"/>
          <w:sz w:val="24"/>
          <w:szCs w:val="24"/>
        </w:rPr>
        <w:t xml:space="preserve"> 2015. № 5-1 (58-1). </w:t>
      </w:r>
    </w:p>
    <w:p w:rsidR="003F05A9" w:rsidRPr="003F05A9" w:rsidRDefault="003F05A9" w:rsidP="003F05A9">
      <w:pPr>
        <w:numPr>
          <w:ilvl w:val="0"/>
          <w:numId w:val="118"/>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Анализ ПО для автоматизации работы школы/ Поддубных Е.Н. [Электронный ресурс] / </w:t>
      </w:r>
      <w:r w:rsidRPr="003F05A9">
        <w:rPr>
          <w:rFonts w:ascii="Times New Roman" w:hAnsi="Times New Roman" w:cs="Times New Roman"/>
          <w:sz w:val="24"/>
          <w:szCs w:val="24"/>
          <w:lang w:val="en-US"/>
        </w:rPr>
        <w:t>Nsportal</w:t>
      </w:r>
      <w:r w:rsidRPr="003F05A9">
        <w:rPr>
          <w:rFonts w:ascii="Times New Roman" w:hAnsi="Times New Roman" w:cs="Times New Roman"/>
          <w:sz w:val="24"/>
          <w:szCs w:val="24"/>
        </w:rPr>
        <w:t xml:space="preserve">, 2015 – Режим доступа: </w:t>
      </w:r>
      <w:r w:rsidRPr="003F05A9">
        <w:rPr>
          <w:rFonts w:ascii="Times New Roman" w:hAnsi="Times New Roman" w:cs="Times New Roman"/>
          <w:sz w:val="24"/>
          <w:szCs w:val="24"/>
          <w:lang w:val="en-US"/>
        </w:rPr>
        <w:t>https</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nsportal</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ru</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shkola</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raznoe</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library</w:t>
      </w:r>
      <w:r w:rsidRPr="003F05A9">
        <w:rPr>
          <w:rFonts w:ascii="Times New Roman" w:hAnsi="Times New Roman" w:cs="Times New Roman"/>
          <w:sz w:val="24"/>
          <w:szCs w:val="24"/>
        </w:rPr>
        <w:t>/2013/ 07/24/</w:t>
      </w:r>
      <w:r w:rsidRPr="003F05A9">
        <w:rPr>
          <w:rFonts w:ascii="Times New Roman" w:hAnsi="Times New Roman" w:cs="Times New Roman"/>
          <w:sz w:val="24"/>
          <w:szCs w:val="24"/>
          <w:lang w:val="en-US"/>
        </w:rPr>
        <w:t>analiz</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po</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dlya</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avtomatizatsii</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raboty</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shkoly</w:t>
      </w:r>
    </w:p>
    <w:p w:rsidR="003F05A9" w:rsidRPr="003F05A9" w:rsidRDefault="003F05A9" w:rsidP="003F05A9">
      <w:pPr>
        <w:numPr>
          <w:ilvl w:val="0"/>
          <w:numId w:val="118"/>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Одияко Н.Н. Оптимизация деятельности предприятий малого бизнеса как основа повышения качества обслуживания населения / Одияко Н.Н., Голодная Н.Ю., Гузенко А.Г., Гусев Е.Г. // Экономика и предпринимательство. </w:t>
      </w:r>
      <w:r w:rsidRPr="003F05A9">
        <w:rPr>
          <w:rFonts w:ascii="Times New Roman" w:hAnsi="Times New Roman" w:cs="Times New Roman"/>
          <w:sz w:val="24"/>
          <w:szCs w:val="24"/>
        </w:rPr>
        <w:sym w:font="Symbol" w:char="F02D"/>
      </w:r>
      <w:r w:rsidRPr="003F05A9">
        <w:rPr>
          <w:rFonts w:ascii="Times New Roman" w:hAnsi="Times New Roman" w:cs="Times New Roman"/>
          <w:sz w:val="24"/>
          <w:szCs w:val="24"/>
        </w:rPr>
        <w:t xml:space="preserve"> 2016. № 6 (71).</w:t>
      </w:r>
    </w:p>
    <w:p w:rsidR="003F05A9" w:rsidRPr="003F05A9" w:rsidRDefault="003F05A9" w:rsidP="003F05A9">
      <w:pPr>
        <w:numPr>
          <w:ilvl w:val="0"/>
          <w:numId w:val="118"/>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Автоматизация процесса управления средней общеобразовательной школой №16 / Поддубных Е.Н. [Электронный ресурс] / Библиофонд, 2015 – Режим доступа: </w:t>
      </w:r>
      <w:r w:rsidRPr="003F05A9">
        <w:rPr>
          <w:rFonts w:ascii="Times New Roman" w:hAnsi="Times New Roman" w:cs="Times New Roman"/>
          <w:sz w:val="24"/>
          <w:szCs w:val="24"/>
          <w:lang w:val="en-US"/>
        </w:rPr>
        <w:t>https</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www</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bibliofond</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ru</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view</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aspx</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id</w:t>
      </w:r>
      <w:r w:rsidRPr="003F05A9">
        <w:rPr>
          <w:rFonts w:ascii="Times New Roman" w:hAnsi="Times New Roman" w:cs="Times New Roman"/>
          <w:sz w:val="24"/>
          <w:szCs w:val="24"/>
        </w:rPr>
        <w:t>=514045</w:t>
      </w:r>
    </w:p>
    <w:p w:rsidR="003F05A9" w:rsidRPr="003F05A9" w:rsidRDefault="003F05A9" w:rsidP="003F05A9">
      <w:pPr>
        <w:numPr>
          <w:ilvl w:val="0"/>
          <w:numId w:val="118"/>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jc w:val="both"/>
        <w:rPr>
          <w:rFonts w:ascii="Times New Roman" w:hAnsi="Times New Roman" w:cs="Times New Roman"/>
          <w:sz w:val="24"/>
          <w:szCs w:val="24"/>
        </w:rPr>
      </w:pPr>
      <w:r w:rsidRPr="003F05A9">
        <w:rPr>
          <w:rFonts w:ascii="Times New Roman" w:hAnsi="Times New Roman" w:cs="Times New Roman"/>
          <w:sz w:val="24"/>
          <w:szCs w:val="24"/>
        </w:rPr>
        <w:t>Одияко Н.Н. Создание интерфейса взаимодействия пользователя с базой данных предприятия / Одияко Н.Н., Ермак И.В. // Интеллектуальный потенциал вузов - на развитие дальневосточного региона России и стран АТР Материалы Х</w:t>
      </w:r>
      <w:r w:rsidRPr="003F05A9">
        <w:rPr>
          <w:rFonts w:ascii="Times New Roman" w:hAnsi="Times New Roman" w:cs="Times New Roman"/>
          <w:sz w:val="24"/>
          <w:szCs w:val="24"/>
          <w:lang w:val="en-US"/>
        </w:rPr>
        <w:t>VIII</w:t>
      </w:r>
      <w:r w:rsidRPr="003F05A9">
        <w:rPr>
          <w:rFonts w:ascii="Times New Roman" w:hAnsi="Times New Roman" w:cs="Times New Roman"/>
          <w:sz w:val="24"/>
          <w:szCs w:val="24"/>
        </w:rPr>
        <w:t xml:space="preserve"> Международной конференции студентов, аспирантов и молодых ученых. </w:t>
      </w:r>
      <w:r w:rsidRPr="003F05A9">
        <w:rPr>
          <w:rFonts w:ascii="Times New Roman" w:hAnsi="Times New Roman" w:cs="Times New Roman"/>
          <w:sz w:val="24"/>
          <w:szCs w:val="24"/>
        </w:rPr>
        <w:sym w:font="Symbol" w:char="F02D"/>
      </w:r>
      <w:r w:rsidRPr="003F05A9">
        <w:rPr>
          <w:rFonts w:ascii="Times New Roman" w:hAnsi="Times New Roman" w:cs="Times New Roman"/>
          <w:sz w:val="24"/>
          <w:szCs w:val="24"/>
        </w:rPr>
        <w:t xml:space="preserve"> 2016. </w:t>
      </w:r>
    </w:p>
    <w:p w:rsidR="003F05A9" w:rsidRPr="003F05A9" w:rsidRDefault="003F05A9" w:rsidP="003F05A9">
      <w:pPr>
        <w:numPr>
          <w:ilvl w:val="0"/>
          <w:numId w:val="118"/>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Одияко Н.Н. Применение аддитивной и мультипликативной моделей прогнозирования / Одияко Н.Н., Голодная Н.Ю. // Экономика и предпринимательство. </w:t>
      </w:r>
      <w:r w:rsidRPr="003F05A9">
        <w:rPr>
          <w:rFonts w:ascii="Times New Roman" w:hAnsi="Times New Roman" w:cs="Times New Roman"/>
          <w:sz w:val="24"/>
          <w:szCs w:val="24"/>
        </w:rPr>
        <w:sym w:font="Symbol" w:char="F02D"/>
      </w:r>
      <w:r w:rsidRPr="003F05A9">
        <w:rPr>
          <w:rFonts w:ascii="Times New Roman" w:hAnsi="Times New Roman" w:cs="Times New Roman"/>
          <w:sz w:val="24"/>
          <w:szCs w:val="24"/>
        </w:rPr>
        <w:t xml:space="preserve"> 2013. № 12-1 (41-1). </w:t>
      </w:r>
    </w:p>
    <w:p w:rsidR="003F05A9" w:rsidRPr="003F05A9" w:rsidRDefault="003F05A9" w:rsidP="003F05A9">
      <w:pPr>
        <w:numPr>
          <w:ilvl w:val="0"/>
          <w:numId w:val="118"/>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Гузенко А.Г. МОДЕЛИРОВАНИЕ ПОТРЕБИТЕЛЬСКОГО РЫНКА ТОРГОВОЙ МАРКИ / Гузенко А.Г., Одияко Н.Н., Лавренюк К.И. // Экономика и предпринимательство. </w:t>
      </w:r>
      <w:r w:rsidRPr="003F05A9">
        <w:rPr>
          <w:rFonts w:ascii="Times New Roman" w:hAnsi="Times New Roman" w:cs="Times New Roman"/>
          <w:sz w:val="24"/>
          <w:szCs w:val="24"/>
        </w:rPr>
        <w:sym w:font="Symbol" w:char="F02D"/>
      </w:r>
      <w:r w:rsidRPr="003F05A9">
        <w:rPr>
          <w:rFonts w:ascii="Times New Roman" w:hAnsi="Times New Roman" w:cs="Times New Roman"/>
          <w:sz w:val="24"/>
          <w:szCs w:val="24"/>
        </w:rPr>
        <w:t xml:space="preserve"> 2013. № 5 (34). </w:t>
      </w:r>
    </w:p>
    <w:p w:rsidR="003F05A9" w:rsidRPr="003F05A9" w:rsidRDefault="003F05A9" w:rsidP="003F05A9">
      <w:pPr>
        <w:numPr>
          <w:ilvl w:val="0"/>
          <w:numId w:val="118"/>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Одияко Н.Н. Имитационное моделирование в анализе инвестиционного проекта / Одияко Н.Н., Гриванова С.М., Гузенко А.Г. // Экономика и предпринимательство. </w:t>
      </w:r>
      <w:r w:rsidRPr="003F05A9">
        <w:rPr>
          <w:rFonts w:ascii="Times New Roman" w:hAnsi="Times New Roman" w:cs="Times New Roman"/>
          <w:sz w:val="24"/>
          <w:szCs w:val="24"/>
        </w:rPr>
        <w:sym w:font="Symbol" w:char="F02D"/>
      </w:r>
      <w:r w:rsidRPr="003F05A9">
        <w:rPr>
          <w:rFonts w:ascii="Times New Roman" w:hAnsi="Times New Roman" w:cs="Times New Roman"/>
          <w:sz w:val="24"/>
          <w:szCs w:val="24"/>
        </w:rPr>
        <w:t xml:space="preserve"> 2014. № 12-3 (53-3).</w:t>
      </w:r>
    </w:p>
    <w:p w:rsidR="003F05A9" w:rsidRPr="003F05A9" w:rsidRDefault="003F05A9" w:rsidP="003F05A9">
      <w:pPr>
        <w:numPr>
          <w:ilvl w:val="0"/>
          <w:numId w:val="118"/>
        </w:numPr>
        <w:pBdr>
          <w:top w:val="none" w:sz="0" w:space="0" w:color="auto"/>
          <w:left w:val="none" w:sz="0" w:space="0" w:color="auto"/>
          <w:bottom w:val="none" w:sz="0" w:space="0" w:color="auto"/>
          <w:right w:val="none" w:sz="0" w:space="0" w:color="auto"/>
          <w:between w:val="none" w:sz="0" w:space="0" w:color="auto"/>
        </w:pBdr>
        <w:ind w:left="0"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Информационные системы для школы / Якушина Е.В. [Электронный ресурс] / Anngeorg, 2015 – Режим доступа: http://anngeorg.ru/teach/school</w:t>
      </w: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Рубрика: Автоматизация и управление технологическими процессами и производствами (по отраслям)</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УДК 004.5</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center"/>
        <w:rPr>
          <w:rFonts w:ascii="Times New Roman" w:hAnsi="Times New Roman" w:cs="Times New Roman"/>
          <w:b/>
          <w:sz w:val="24"/>
          <w:szCs w:val="24"/>
        </w:rPr>
      </w:pPr>
      <w:r w:rsidRPr="003F05A9">
        <w:rPr>
          <w:rFonts w:ascii="Times New Roman" w:hAnsi="Times New Roman" w:cs="Times New Roman"/>
          <w:b/>
          <w:sz w:val="24"/>
          <w:szCs w:val="24"/>
        </w:rPr>
        <w:t>Программная реализация имитационной модели формирования экономических кластеров на микроуровне</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center"/>
        <w:rPr>
          <w:rFonts w:ascii="Times New Roman" w:hAnsi="Times New Roman" w:cs="Times New Roman"/>
          <w:sz w:val="24"/>
          <w:szCs w:val="24"/>
        </w:rPr>
      </w:pPr>
      <w:r w:rsidRPr="003F05A9">
        <w:rPr>
          <w:rFonts w:ascii="Times New Roman" w:hAnsi="Times New Roman" w:cs="Times New Roman"/>
          <w:sz w:val="24"/>
          <w:szCs w:val="24"/>
        </w:rPr>
        <w:t>В.В. Рунец,</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center"/>
        <w:rPr>
          <w:rFonts w:ascii="Times New Roman" w:hAnsi="Times New Roman" w:cs="Times New Roman"/>
          <w:sz w:val="24"/>
          <w:szCs w:val="24"/>
        </w:rPr>
      </w:pPr>
      <w:r w:rsidRPr="003F05A9">
        <w:rPr>
          <w:rFonts w:ascii="Times New Roman" w:hAnsi="Times New Roman" w:cs="Times New Roman"/>
          <w:sz w:val="24"/>
          <w:szCs w:val="24"/>
        </w:rPr>
        <w:t>бакалавр, 4 курс</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center"/>
        <w:rPr>
          <w:rFonts w:ascii="Times New Roman" w:hAnsi="Times New Roman" w:cs="Times New Roman"/>
          <w:sz w:val="24"/>
          <w:szCs w:val="24"/>
        </w:rPr>
      </w:pPr>
      <w:r w:rsidRPr="003F05A9">
        <w:rPr>
          <w:rFonts w:ascii="Times New Roman" w:hAnsi="Times New Roman" w:cs="Times New Roman"/>
          <w:sz w:val="24"/>
          <w:szCs w:val="24"/>
        </w:rPr>
        <w:t>М.А. Первухин,</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center"/>
        <w:rPr>
          <w:rFonts w:ascii="Times New Roman" w:hAnsi="Times New Roman" w:cs="Times New Roman"/>
          <w:sz w:val="24"/>
          <w:szCs w:val="24"/>
        </w:rPr>
      </w:pPr>
      <w:r w:rsidRPr="003F05A9">
        <w:rPr>
          <w:rFonts w:ascii="Times New Roman" w:hAnsi="Times New Roman" w:cs="Times New Roman"/>
          <w:sz w:val="24"/>
          <w:szCs w:val="24"/>
        </w:rPr>
        <w:t>доцент кафедры математики и моделирования</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center"/>
        <w:rPr>
          <w:rFonts w:ascii="Times New Roman" w:hAnsi="Times New Roman" w:cs="Times New Roman"/>
          <w:i/>
          <w:sz w:val="24"/>
          <w:szCs w:val="24"/>
        </w:rPr>
      </w:pPr>
      <w:r w:rsidRPr="003F05A9">
        <w:rPr>
          <w:rFonts w:ascii="Times New Roman" w:hAnsi="Times New Roman" w:cs="Times New Roman"/>
          <w:i/>
          <w:sz w:val="24"/>
          <w:szCs w:val="24"/>
        </w:rPr>
        <w:t>Владивостокский государственный университет экономики и сервиса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center"/>
        <w:rPr>
          <w:rFonts w:ascii="Times New Roman" w:hAnsi="Times New Roman" w:cs="Times New Roman"/>
          <w:i/>
          <w:sz w:val="24"/>
          <w:szCs w:val="24"/>
        </w:rPr>
      </w:pPr>
      <w:r w:rsidRPr="003F05A9">
        <w:rPr>
          <w:rFonts w:ascii="Times New Roman" w:hAnsi="Times New Roman" w:cs="Times New Roman"/>
          <w:i/>
          <w:sz w:val="24"/>
          <w:szCs w:val="24"/>
        </w:rPr>
        <w:t>Россия. Владивосток</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center"/>
        <w:rPr>
          <w:rFonts w:ascii="Times New Roman" w:hAnsi="Times New Roman" w:cs="Times New Roman"/>
          <w:sz w:val="24"/>
          <w:szCs w:val="24"/>
        </w:rPr>
      </w:pPr>
      <w:r w:rsidRPr="003F05A9">
        <w:rPr>
          <w:rFonts w:ascii="Times New Roman" w:hAnsi="Times New Roman" w:cs="Times New Roman"/>
          <w:sz w:val="24"/>
          <w:szCs w:val="24"/>
          <w:lang w:val="en-US"/>
        </w:rPr>
        <w:t>E</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mail</w:t>
      </w:r>
      <w:r w:rsidRPr="003F05A9">
        <w:rPr>
          <w:rFonts w:ascii="Times New Roman" w:hAnsi="Times New Roman" w:cs="Times New Roman"/>
          <w:sz w:val="24"/>
          <w:szCs w:val="24"/>
        </w:rPr>
        <w:t xml:space="preserve">: </w:t>
      </w:r>
      <w:hyperlink r:id="rId380" w:history="1">
        <w:r w:rsidRPr="003F05A9">
          <w:rPr>
            <w:rFonts w:ascii="Times New Roman" w:hAnsi="Times New Roman" w:cs="Times New Roman"/>
            <w:color w:val="0563C1"/>
            <w:sz w:val="24"/>
            <w:szCs w:val="24"/>
            <w:u w:val="single"/>
            <w:lang w:val="en-US"/>
          </w:rPr>
          <w:t>vvrunets</w:t>
        </w:r>
        <w:r w:rsidRPr="003F05A9">
          <w:rPr>
            <w:rFonts w:ascii="Times New Roman" w:hAnsi="Times New Roman" w:cs="Times New Roman"/>
            <w:color w:val="0563C1"/>
            <w:sz w:val="24"/>
            <w:szCs w:val="24"/>
            <w:u w:val="single"/>
          </w:rPr>
          <w:t>@</w:t>
        </w:r>
        <w:r w:rsidRPr="003F05A9">
          <w:rPr>
            <w:rFonts w:ascii="Times New Roman" w:hAnsi="Times New Roman" w:cs="Times New Roman"/>
            <w:color w:val="0563C1"/>
            <w:sz w:val="24"/>
            <w:szCs w:val="24"/>
            <w:u w:val="single"/>
            <w:lang w:val="en-US"/>
          </w:rPr>
          <w:t>gmail</w:t>
        </w:r>
        <w:r w:rsidRPr="003F05A9">
          <w:rPr>
            <w:rFonts w:ascii="Times New Roman" w:hAnsi="Times New Roman" w:cs="Times New Roman"/>
            <w:color w:val="0563C1"/>
            <w:sz w:val="24"/>
            <w:szCs w:val="24"/>
            <w:u w:val="single"/>
          </w:rPr>
          <w:t>.</w:t>
        </w:r>
        <w:r w:rsidRPr="003F05A9">
          <w:rPr>
            <w:rFonts w:ascii="Times New Roman" w:hAnsi="Times New Roman" w:cs="Times New Roman"/>
            <w:color w:val="0563C1"/>
            <w:sz w:val="24"/>
            <w:szCs w:val="24"/>
            <w:u w:val="single"/>
            <w:lang w:val="en-US"/>
          </w:rPr>
          <w:t>com</w:t>
        </w:r>
      </w:hyperlink>
      <w:r w:rsidRPr="003F05A9">
        <w:rPr>
          <w:rFonts w:ascii="Times New Roman" w:hAnsi="Times New Roman" w:cs="Times New Roman"/>
          <w:sz w:val="24"/>
          <w:szCs w:val="24"/>
        </w:rPr>
        <w:t xml:space="preserve">, </w:t>
      </w:r>
      <w:r w:rsidRPr="003F05A9">
        <w:rPr>
          <w:rFonts w:ascii="Times New Roman" w:hAnsi="Times New Roman" w:cs="Times New Roman"/>
          <w:sz w:val="24"/>
          <w:szCs w:val="24"/>
          <w:lang w:val="en-US"/>
        </w:rPr>
        <w:t>pervukhinma</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yandex</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ru</w:t>
      </w:r>
      <w:r w:rsidRPr="003F05A9">
        <w:rPr>
          <w:rFonts w:ascii="Times New Roman" w:hAnsi="Times New Roman" w:cs="Times New Roman"/>
          <w:sz w:val="24"/>
          <w:szCs w:val="24"/>
        </w:rPr>
        <w:t>; тел.: +79146766659</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center"/>
        <w:rPr>
          <w:rFonts w:ascii="Times New Roman" w:hAnsi="Times New Roman" w:cs="Times New Roman"/>
          <w:sz w:val="24"/>
          <w:szCs w:val="24"/>
        </w:rPr>
      </w:pPr>
      <w:r w:rsidRPr="003F05A9">
        <w:rPr>
          <w:rFonts w:ascii="Times New Roman" w:hAnsi="Times New Roman" w:cs="Times New Roman"/>
          <w:sz w:val="24"/>
          <w:szCs w:val="24"/>
        </w:rPr>
        <w:t>ул. Гоголя, 41, г. Владивосток, Приморский край, Россия, 690014</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i/>
          <w:sz w:val="24"/>
          <w:szCs w:val="24"/>
        </w:rPr>
      </w:pPr>
      <w:r w:rsidRPr="003F05A9">
        <w:rPr>
          <w:rFonts w:ascii="Times New Roman" w:hAnsi="Times New Roman" w:cs="Times New Roman"/>
          <w:i/>
          <w:sz w:val="24"/>
          <w:szCs w:val="24"/>
        </w:rPr>
        <w:t>При разработке имитационной модели формирования экономических кластеров в рамках выполнения гранта РФФИ, возникла потребность в проведении большого числа однотипных расчетов, выполнение которых вручную отнимало очень много времени. Таким образом, появилась задача создания программного продукта для автоматизации данных расчетов.</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i/>
          <w:sz w:val="24"/>
          <w:szCs w:val="24"/>
        </w:rPr>
      </w:pPr>
      <w:r w:rsidRPr="003F05A9">
        <w:rPr>
          <w:rFonts w:ascii="Times New Roman" w:hAnsi="Times New Roman" w:cs="Times New Roman"/>
          <w:b/>
          <w:i/>
          <w:sz w:val="24"/>
          <w:szCs w:val="24"/>
        </w:rPr>
        <w:t>Ключевые слова и словосочетания:</w:t>
      </w:r>
      <w:r w:rsidRPr="003F05A9">
        <w:rPr>
          <w:rFonts w:ascii="Times New Roman" w:hAnsi="Times New Roman" w:cs="Times New Roman"/>
          <w:i/>
          <w:sz w:val="24"/>
          <w:szCs w:val="24"/>
        </w:rPr>
        <w:t xml:space="preserve"> автоматизация, кластеризация, обработка данных, разработка, программное обеспечение, таблицы, идентификация.</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b/>
          <w:sz w:val="24"/>
          <w:szCs w:val="24"/>
          <w:lang w:val="en-US"/>
        </w:rPr>
      </w:pPr>
      <w:r w:rsidRPr="003F05A9">
        <w:rPr>
          <w:rFonts w:ascii="Times New Roman" w:hAnsi="Times New Roman" w:cs="Times New Roman"/>
          <w:b/>
          <w:sz w:val="24"/>
          <w:szCs w:val="24"/>
          <w:lang w:val="en-US"/>
        </w:rPr>
        <w:t>Program implementation of the simulation model for the formation of economic clusters at the micro level</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i/>
          <w:sz w:val="24"/>
          <w:szCs w:val="24"/>
          <w:lang w:val="en-US"/>
        </w:rPr>
      </w:pPr>
      <w:r w:rsidRPr="003F05A9">
        <w:rPr>
          <w:rFonts w:ascii="Times New Roman" w:hAnsi="Times New Roman" w:cs="Times New Roman"/>
          <w:i/>
          <w:sz w:val="24"/>
          <w:szCs w:val="24"/>
          <w:lang w:val="en-US"/>
        </w:rPr>
        <w:t>The development of a model for the formation of economic clusters within the framework of the RFBR grant, revealed the need for a large number of similar calculations, the implementation of which took a very long time. Thus, there appeared the task of creating a software product for the automation of these calculations.</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i/>
          <w:sz w:val="24"/>
          <w:szCs w:val="24"/>
          <w:lang w:val="en-US"/>
        </w:rPr>
      </w:pPr>
      <w:r w:rsidRPr="003F05A9">
        <w:rPr>
          <w:rFonts w:ascii="Times New Roman" w:hAnsi="Times New Roman" w:cs="Times New Roman"/>
          <w:b/>
          <w:i/>
          <w:sz w:val="24"/>
          <w:szCs w:val="24"/>
          <w:lang w:val="en-US"/>
        </w:rPr>
        <w:t>Keywords</w:t>
      </w:r>
      <w:r w:rsidRPr="003F05A9">
        <w:rPr>
          <w:rFonts w:ascii="Times New Roman" w:hAnsi="Times New Roman" w:cs="Times New Roman"/>
          <w:i/>
          <w:sz w:val="24"/>
          <w:szCs w:val="24"/>
          <w:lang w:val="en-US"/>
        </w:rPr>
        <w:t>: automation, clustering, data processing, development, software, tables, identification.</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Экономические кластеры – важная часть рыночных отношений. Они способствуют увеличению продуктивности, эффективности, инновативности и конкурентоспособности экономических субъектов, разных сфер хозяйственной деятельности регионов или страны в целом. Значение кластерных механизмов растет вместе с развитием рыночной структуры. Появляется все больше способов их выявления, но, к сожалению, количество программ, позволяющих делать это быстро, увеличивается крайне медленно.</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Целью данной работы является разработка программного средства моделирования взаимодействия экономических агентов на примере моделей из работ [1,2]. Программа разрабатывалась в рамках гранта РФФИ.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Для реализации было выделено три основные задачи: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1. Изучение модели. Подразумевает под собой разбор используемой математической модели, а также ее предшественников. Выделение необходимых формул и порядка их использования.</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2. Разработка структуры исходных данных. Исходными данными является файл, информация из которого будет использоваться для дальнейших вычислений, а его структурой будет его внутренний порядок.</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3. Разработка архитектуры приложения. Архитектура приложения – разработка непосредственно приложения, его классов и методов, последовательности действий во время работы и прочих вещей, связанных с функционированием программы.</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Модель имеет двух участников процесса кластерообразования:</w:t>
      </w:r>
    </w:p>
    <w:p w:rsidR="003F05A9" w:rsidRPr="003F05A9" w:rsidRDefault="003F05A9" w:rsidP="003F05A9">
      <w:pPr>
        <w:numPr>
          <w:ilvl w:val="0"/>
          <w:numId w:val="119"/>
        </w:numPr>
        <w:pBdr>
          <w:top w:val="none" w:sz="0" w:space="0" w:color="auto"/>
          <w:left w:val="none" w:sz="0" w:space="0" w:color="auto"/>
          <w:bottom w:val="none" w:sz="0" w:space="0" w:color="auto"/>
          <w:right w:val="none" w:sz="0" w:space="0" w:color="auto"/>
          <w:between w:val="none" w:sz="0" w:space="0" w:color="auto"/>
        </w:pBdr>
        <w:contextualSpacing/>
        <w:jc w:val="both"/>
        <w:rPr>
          <w:rFonts w:ascii="Times New Roman" w:hAnsi="Times New Roman" w:cs="Times New Roman"/>
          <w:sz w:val="24"/>
          <w:szCs w:val="24"/>
        </w:rPr>
      </w:pPr>
      <w:r w:rsidRPr="003F05A9">
        <w:rPr>
          <w:rFonts w:ascii="Times New Roman" w:hAnsi="Times New Roman" w:cs="Times New Roman"/>
          <w:sz w:val="24"/>
          <w:szCs w:val="24"/>
        </w:rPr>
        <w:t>Агент-потребитель.</w:t>
      </w:r>
    </w:p>
    <w:p w:rsidR="003F05A9" w:rsidRPr="003F05A9" w:rsidRDefault="003F05A9" w:rsidP="003F05A9">
      <w:pPr>
        <w:numPr>
          <w:ilvl w:val="0"/>
          <w:numId w:val="119"/>
        </w:numPr>
        <w:pBdr>
          <w:top w:val="none" w:sz="0" w:space="0" w:color="auto"/>
          <w:left w:val="none" w:sz="0" w:space="0" w:color="auto"/>
          <w:bottom w:val="none" w:sz="0" w:space="0" w:color="auto"/>
          <w:right w:val="none" w:sz="0" w:space="0" w:color="auto"/>
          <w:between w:val="none" w:sz="0" w:space="0" w:color="auto"/>
        </w:pBdr>
        <w:contextualSpacing/>
        <w:jc w:val="both"/>
        <w:rPr>
          <w:rFonts w:ascii="Times New Roman" w:hAnsi="Times New Roman" w:cs="Times New Roman"/>
          <w:sz w:val="24"/>
          <w:szCs w:val="24"/>
        </w:rPr>
      </w:pPr>
      <w:r w:rsidRPr="003F05A9">
        <w:rPr>
          <w:rFonts w:ascii="Times New Roman" w:hAnsi="Times New Roman" w:cs="Times New Roman"/>
          <w:sz w:val="24"/>
          <w:szCs w:val="24"/>
        </w:rPr>
        <w:t>Агент-производитель.</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Моделью предусмотрено, что агент-производитель производит товар или предоставляет услугу, которую приобретает агент-потребитель, а весь процесс происходит во времени, состоящем из нескольких циклов.</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В начальный промежуток времени, все агенты-производители имеют, отличающиеся друг от друга, средства, представленные в виде денежных единиц. Предоставляемая продукция в целом, а также цены на изготовление одной единицы продукции, имеют разные стоимости. Модель использует показатели: «Технологичность», «Качество» и «Цена единицы продукции», в качестве описания характеристик, выпускаемой продукции. Следует отметить, что показатели «Качество» и «Технологичность», выраженные шкалой от 1 до 100, отличаются у каждого агента-производителя, а также зависят от пяти других показателей: «Инновационная компетентность», «Инновационная восприимчивость агентов-производителей», «Качество организации», «Человеческий капитал» и «Обладание интеллектуальной собственностью», которые также выражены шкалой от 1 до 100.</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Данная модель предоставляет возможность производителю, менять показатели технологичности и качества производимой продукции каждые четыре такта, начиная с третьего, за счет улучшения качества организации, инновационной восприимчивости агентов-производителей, инновационной компетентности, человеческого капитала и обладания интеллектуальной собственностью. Этот процесс называется «Реструктуризация».</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Во время реструктуризации, все агенты-производители решают, изменять ли один из параметров – качество или технологичность, или отказаться от внесения каких-либо изменений, основываясь на возможном увеличении прибыли или величине финансового обеспечения.</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Если прирост прибыли одинаковый, агент-производитель выбирает тот вариант, который затратил меньше всего денежных единиц. Стоимость улучшений напрямую зависит от стоимости получения необходимого вектора из пяти компонент: «Инновационная восприимчивость агентов-производителей», «Качество организации», «Инновационная компетентность», «Человеческий капитал» и «Обладание интеллектуальной собственностью». Она представлена в виде матрицы, в которой каждому из пяти показателей соответствует вектор-столбец, в ячейках которого указаны стоимости улучшения того или иного показателя.</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Агенты-потребители также имеют начальные параметры: «финансовые средства, планируемые для приобретения продукции», запросы к продукции «цена за единицу», «качество» и «технологичность», и крайние значения расстояний между векторами производителей и потребителей.</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Агент-потребитель покупает товар или услугу у производителя при условии, если расстояние покупки между вектором производителя, меньше порогового значения приобретения продукта. Но в случае равенства расстояний между производителями и потребителем, агент-потребитель совершит покупку у производителя с наименьшим показателем стоимости за единицу продукции.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В модели подразумевается, что агент-производитель выпускает продукцию, при условии, что весь спрос будет удовлетворен. Спрос каждого потребителя является отношением денежных средств потребителя, которые он планирует потратить на приобретение продукции, к цене продажи одной единицы продукции конкретным производителем, округленным в меньшую сторону.</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Модель также предлагает возможность агентам-потребителям изменять свои предпочтения. Это может происходить по разным причинам, например научно-технический прогресс или ответная реакция агентов-потребителей на появление улучшенного товара от производителей на рынке. Это происходит каждые четыре такта, начиная с пятого.</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В некоторых случаях, модель предусматривает изменение ожидаемых качества, технологичности, а также цены покупки единицы продукции, так как параметры потребителей не только растут, но и падают.</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 xml:space="preserve">После изучения модели, были рассмотрены несколько систем управления базами данных типа </w:t>
      </w:r>
      <w:r w:rsidRPr="003F05A9">
        <w:rPr>
          <w:rFonts w:ascii="Times New Roman" w:hAnsi="Times New Roman" w:cs="Times New Roman"/>
          <w:sz w:val="24"/>
          <w:szCs w:val="24"/>
          <w:lang w:val="en-US"/>
        </w:rPr>
        <w:t>Microsoft</w:t>
      </w:r>
      <w:r w:rsidRPr="003F05A9">
        <w:rPr>
          <w:rFonts w:ascii="Times New Roman" w:hAnsi="Times New Roman" w:cs="Times New Roman"/>
          <w:sz w:val="24"/>
          <w:szCs w:val="24"/>
        </w:rPr>
        <w:t xml:space="preserve"> </w:t>
      </w:r>
      <w:r w:rsidRPr="003F05A9">
        <w:rPr>
          <w:rFonts w:ascii="Times New Roman" w:hAnsi="Times New Roman" w:cs="Times New Roman"/>
          <w:sz w:val="24"/>
          <w:szCs w:val="24"/>
          <w:lang w:val="en-US"/>
        </w:rPr>
        <w:t>Office</w:t>
      </w:r>
      <w:r w:rsidRPr="003F05A9">
        <w:rPr>
          <w:rFonts w:ascii="Times New Roman" w:hAnsi="Times New Roman" w:cs="Times New Roman"/>
          <w:sz w:val="24"/>
          <w:szCs w:val="24"/>
        </w:rPr>
        <w:t xml:space="preserve"> </w:t>
      </w:r>
      <w:r w:rsidRPr="003F05A9">
        <w:rPr>
          <w:rFonts w:ascii="Times New Roman" w:hAnsi="Times New Roman" w:cs="Times New Roman"/>
          <w:sz w:val="24"/>
          <w:szCs w:val="24"/>
          <w:lang w:val="en-US"/>
        </w:rPr>
        <w:t>Access</w:t>
      </w:r>
      <w:r w:rsidRPr="003F05A9">
        <w:rPr>
          <w:rFonts w:ascii="Times New Roman" w:hAnsi="Times New Roman" w:cs="Times New Roman"/>
          <w:sz w:val="24"/>
          <w:szCs w:val="24"/>
        </w:rPr>
        <w:t xml:space="preserve"> и </w:t>
      </w:r>
      <w:r w:rsidRPr="003F05A9">
        <w:rPr>
          <w:rFonts w:ascii="Times New Roman" w:hAnsi="Times New Roman" w:cs="Times New Roman"/>
          <w:sz w:val="24"/>
          <w:szCs w:val="24"/>
          <w:lang w:val="en-US"/>
        </w:rPr>
        <w:t>MySQL</w:t>
      </w:r>
      <w:r w:rsidRPr="003F05A9">
        <w:rPr>
          <w:rFonts w:ascii="Times New Roman" w:hAnsi="Times New Roman" w:cs="Times New Roman"/>
          <w:sz w:val="24"/>
          <w:szCs w:val="24"/>
        </w:rPr>
        <w:t xml:space="preserve">, но окончательное решение осталось за </w:t>
      </w:r>
      <w:r w:rsidRPr="003F05A9">
        <w:rPr>
          <w:rFonts w:ascii="Times New Roman" w:hAnsi="Times New Roman" w:cs="Times New Roman"/>
          <w:sz w:val="24"/>
          <w:szCs w:val="24"/>
          <w:lang w:val="en-US"/>
        </w:rPr>
        <w:t>Microsoft</w:t>
      </w:r>
      <w:r w:rsidRPr="003F05A9">
        <w:rPr>
          <w:rFonts w:ascii="Times New Roman" w:hAnsi="Times New Roman" w:cs="Times New Roman"/>
          <w:sz w:val="24"/>
          <w:szCs w:val="24"/>
        </w:rPr>
        <w:t xml:space="preserve"> </w:t>
      </w:r>
      <w:r w:rsidRPr="003F05A9">
        <w:rPr>
          <w:rFonts w:ascii="Times New Roman" w:hAnsi="Times New Roman" w:cs="Times New Roman"/>
          <w:sz w:val="24"/>
          <w:szCs w:val="24"/>
          <w:lang w:val="en-US"/>
        </w:rPr>
        <w:t>Office</w:t>
      </w:r>
      <w:r w:rsidRPr="003F05A9">
        <w:rPr>
          <w:rFonts w:ascii="Times New Roman" w:hAnsi="Times New Roman" w:cs="Times New Roman"/>
          <w:sz w:val="24"/>
          <w:szCs w:val="24"/>
        </w:rPr>
        <w:t xml:space="preserve"> </w:t>
      </w:r>
      <w:r w:rsidRPr="003F05A9">
        <w:rPr>
          <w:rFonts w:ascii="Times New Roman" w:hAnsi="Times New Roman" w:cs="Times New Roman"/>
          <w:sz w:val="24"/>
          <w:szCs w:val="24"/>
          <w:lang w:val="en-US"/>
        </w:rPr>
        <w:t>Excel</w:t>
      </w:r>
      <w:r w:rsidRPr="003F05A9">
        <w:rPr>
          <w:rFonts w:ascii="Times New Roman" w:hAnsi="Times New Roman" w:cs="Times New Roman"/>
          <w:sz w:val="24"/>
          <w:szCs w:val="24"/>
        </w:rPr>
        <w:t>, не относящемуся к СУБД. Данный продукт был выбран по нескольким причинам:</w:t>
      </w:r>
    </w:p>
    <w:p w:rsidR="003F05A9" w:rsidRPr="003F05A9" w:rsidRDefault="003F05A9" w:rsidP="003F05A9">
      <w:pPr>
        <w:numPr>
          <w:ilvl w:val="0"/>
          <w:numId w:val="120"/>
        </w:numPr>
        <w:pBdr>
          <w:top w:val="none" w:sz="0" w:space="0" w:color="auto"/>
          <w:left w:val="none" w:sz="0" w:space="0" w:color="auto"/>
          <w:bottom w:val="none" w:sz="0" w:space="0" w:color="auto"/>
          <w:right w:val="none" w:sz="0" w:space="0" w:color="auto"/>
          <w:between w:val="none" w:sz="0" w:space="0" w:color="auto"/>
        </w:pBdr>
        <w:contextualSpacing/>
        <w:jc w:val="both"/>
        <w:rPr>
          <w:rFonts w:ascii="Times New Roman" w:hAnsi="Times New Roman" w:cs="Times New Roman"/>
          <w:sz w:val="24"/>
          <w:szCs w:val="24"/>
        </w:rPr>
      </w:pPr>
      <w:r w:rsidRPr="003F05A9">
        <w:rPr>
          <w:rFonts w:ascii="Times New Roman" w:hAnsi="Times New Roman" w:cs="Times New Roman"/>
          <w:sz w:val="24"/>
          <w:szCs w:val="24"/>
        </w:rPr>
        <w:t>возможность быстрого редактирования данных</w:t>
      </w:r>
      <w:r w:rsidRPr="003F05A9">
        <w:rPr>
          <w:rFonts w:ascii="Times New Roman" w:hAnsi="Times New Roman" w:cs="Times New Roman"/>
          <w:sz w:val="24"/>
          <w:szCs w:val="24"/>
          <w:lang w:val="en-US"/>
        </w:rPr>
        <w:t>;</w:t>
      </w:r>
    </w:p>
    <w:p w:rsidR="003F05A9" w:rsidRPr="003F05A9" w:rsidRDefault="003F05A9" w:rsidP="003F05A9">
      <w:pPr>
        <w:numPr>
          <w:ilvl w:val="0"/>
          <w:numId w:val="120"/>
        </w:numPr>
        <w:pBdr>
          <w:top w:val="none" w:sz="0" w:space="0" w:color="auto"/>
          <w:left w:val="none" w:sz="0" w:space="0" w:color="auto"/>
          <w:bottom w:val="none" w:sz="0" w:space="0" w:color="auto"/>
          <w:right w:val="none" w:sz="0" w:space="0" w:color="auto"/>
          <w:between w:val="none" w:sz="0" w:space="0" w:color="auto"/>
        </w:pBdr>
        <w:contextualSpacing/>
        <w:jc w:val="both"/>
        <w:rPr>
          <w:rFonts w:ascii="Times New Roman" w:hAnsi="Times New Roman" w:cs="Times New Roman"/>
          <w:sz w:val="24"/>
          <w:szCs w:val="24"/>
        </w:rPr>
      </w:pPr>
      <w:r w:rsidRPr="003F05A9">
        <w:rPr>
          <w:rFonts w:ascii="Times New Roman" w:hAnsi="Times New Roman" w:cs="Times New Roman"/>
          <w:sz w:val="24"/>
          <w:szCs w:val="24"/>
        </w:rPr>
        <w:t>простота использования обычными пользователями;</w:t>
      </w:r>
    </w:p>
    <w:p w:rsidR="003F05A9" w:rsidRPr="003F05A9" w:rsidRDefault="003F05A9" w:rsidP="003F05A9">
      <w:pPr>
        <w:numPr>
          <w:ilvl w:val="0"/>
          <w:numId w:val="120"/>
        </w:numPr>
        <w:pBdr>
          <w:top w:val="none" w:sz="0" w:space="0" w:color="auto"/>
          <w:left w:val="none" w:sz="0" w:space="0" w:color="auto"/>
          <w:bottom w:val="none" w:sz="0" w:space="0" w:color="auto"/>
          <w:right w:val="none" w:sz="0" w:space="0" w:color="auto"/>
          <w:between w:val="none" w:sz="0" w:space="0" w:color="auto"/>
        </w:pBdr>
        <w:contextualSpacing/>
        <w:jc w:val="both"/>
        <w:rPr>
          <w:rFonts w:ascii="Times New Roman" w:hAnsi="Times New Roman" w:cs="Times New Roman"/>
          <w:sz w:val="24"/>
          <w:szCs w:val="24"/>
        </w:rPr>
      </w:pPr>
      <w:r w:rsidRPr="003F05A9">
        <w:rPr>
          <w:rFonts w:ascii="Times New Roman" w:hAnsi="Times New Roman" w:cs="Times New Roman"/>
          <w:sz w:val="24"/>
          <w:szCs w:val="24"/>
        </w:rPr>
        <w:t>удобный вывод информации в необходимой форме.</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Входной файл включает в себя три таблицы. Первые две таблицы содержат информацию об агентах-потребителях и агентах-производителях. Каждая из них может быть заполнена неограниченным количеством участников процесса. Выходной имеет место для каждого из них на новом листе.</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Первая из них содержит всю информацию о производителях. В первой колонке указаны показатели цены, качества, технологичности, их образующие, а также такие параметры как «Ресурсное обеспечение» и «Финансовое обеспечение». Все последующие колонки содержат непосредственно числовые значения, каждого из производителей. Таблица представлена на рис. 1.</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left="567"/>
        <w:jc w:val="center"/>
        <w:rPr>
          <w:rFonts w:ascii="Times New Roman" w:hAnsi="Times New Roman" w:cs="Times New Roman"/>
          <w:sz w:val="24"/>
          <w:szCs w:val="24"/>
        </w:rPr>
      </w:pPr>
      <w:r w:rsidRPr="003F05A9">
        <w:rPr>
          <w:rFonts w:ascii="Times New Roman" w:hAnsi="Times New Roman" w:cs="Times New Roman"/>
          <w:noProof/>
          <w:sz w:val="24"/>
          <w:szCs w:val="24"/>
          <w:lang w:eastAsia="ru-RU"/>
        </w:rPr>
        <w:drawing>
          <wp:inline distT="0" distB="0" distL="0" distR="0" wp14:anchorId="6151C1D6" wp14:editId="18861FA9">
            <wp:extent cx="5257800" cy="3876675"/>
            <wp:effectExtent l="0" t="0" r="0" b="0"/>
            <wp:docPr id="17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381">
                      <a:grayscl/>
                      <a:extLst>
                        <a:ext uri="{28A0092B-C50C-407E-A947-70E740481C1C}">
                          <a14:useLocalDpi xmlns:a14="http://schemas.microsoft.com/office/drawing/2010/main" val="0"/>
                        </a:ext>
                      </a:extLst>
                    </a:blip>
                    <a:srcRect r="3087"/>
                    <a:stretch>
                      <a:fillRect/>
                    </a:stretch>
                  </pic:blipFill>
                  <pic:spPr bwMode="auto">
                    <a:xfrm>
                      <a:off x="0" y="0"/>
                      <a:ext cx="5257800" cy="3876675"/>
                    </a:xfrm>
                    <a:prstGeom prst="rect">
                      <a:avLst/>
                    </a:prstGeom>
                    <a:noFill/>
                    <a:ln>
                      <a:noFill/>
                    </a:ln>
                  </pic:spPr>
                </pic:pic>
              </a:graphicData>
            </a:graphic>
          </wp:inline>
        </w:drawing>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left="567"/>
        <w:jc w:val="center"/>
        <w:rPr>
          <w:rFonts w:ascii="Times New Roman" w:hAnsi="Times New Roman" w:cs="Times New Roman"/>
          <w:sz w:val="24"/>
          <w:szCs w:val="24"/>
        </w:rPr>
      </w:pPr>
      <w:r w:rsidRPr="003F05A9">
        <w:rPr>
          <w:rFonts w:ascii="Times New Roman" w:hAnsi="Times New Roman" w:cs="Times New Roman"/>
          <w:sz w:val="24"/>
          <w:szCs w:val="24"/>
        </w:rPr>
        <w:t>Рис. 1. Исходные данные, таблица «Производители»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ab/>
        <w:t>Вторая таблица содержит всю информацию о потребителях. В первой колонке указаны показатели желаемой цены, качества и технологичности, их пороговые значения, а также некоторые другие данные, которые используются в основном для удобства написания программного кода. Таблица представлена на рис. 2.</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center"/>
        <w:rPr>
          <w:rFonts w:ascii="Times New Roman" w:hAnsi="Times New Roman" w:cs="Times New Roman"/>
          <w:sz w:val="24"/>
          <w:szCs w:val="24"/>
        </w:rPr>
      </w:pPr>
      <w:r w:rsidRPr="003F05A9">
        <w:rPr>
          <w:rFonts w:ascii="Times New Roman" w:hAnsi="Times New Roman" w:cs="Times New Roman"/>
          <w:noProof/>
          <w:sz w:val="24"/>
          <w:szCs w:val="24"/>
          <w:lang w:eastAsia="ru-RU"/>
        </w:rPr>
        <w:drawing>
          <wp:inline distT="0" distB="0" distL="0" distR="0" wp14:anchorId="6C7965F7" wp14:editId="0849B131">
            <wp:extent cx="3638550" cy="3362325"/>
            <wp:effectExtent l="0" t="0" r="0" b="0"/>
            <wp:docPr id="175" name="Объект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Объект 5"/>
                    <pic:cNvPicPr>
                      <a:picLocks noGrp="1" noChangeAspect="1" noChangeArrowheads="1"/>
                    </pic:cNvPicPr>
                  </pic:nvPicPr>
                  <pic:blipFill>
                    <a:blip r:embed="rId382">
                      <a:grayscl/>
                      <a:extLst>
                        <a:ext uri="{28A0092B-C50C-407E-A947-70E740481C1C}">
                          <a14:useLocalDpi xmlns:a14="http://schemas.microsoft.com/office/drawing/2010/main" val="0"/>
                        </a:ext>
                      </a:extLst>
                    </a:blip>
                    <a:srcRect r="5217"/>
                    <a:stretch>
                      <a:fillRect/>
                    </a:stretch>
                  </pic:blipFill>
                  <pic:spPr bwMode="auto">
                    <a:xfrm>
                      <a:off x="0" y="0"/>
                      <a:ext cx="3638550" cy="3362325"/>
                    </a:xfrm>
                    <a:prstGeom prst="rect">
                      <a:avLst/>
                    </a:prstGeom>
                    <a:noFill/>
                    <a:ln>
                      <a:noFill/>
                    </a:ln>
                  </pic:spPr>
                </pic:pic>
              </a:graphicData>
            </a:graphic>
          </wp:inline>
        </w:drawing>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center"/>
        <w:rPr>
          <w:rFonts w:ascii="Times New Roman" w:hAnsi="Times New Roman" w:cs="Times New Roman"/>
          <w:sz w:val="24"/>
          <w:szCs w:val="24"/>
        </w:rPr>
      </w:pPr>
      <w:r w:rsidRPr="003F05A9">
        <w:rPr>
          <w:rFonts w:ascii="Times New Roman" w:hAnsi="Times New Roman" w:cs="Times New Roman"/>
          <w:sz w:val="24"/>
          <w:szCs w:val="24"/>
        </w:rPr>
        <w:t>Рис. 2. Исходные данные, таблица «Потребители»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center"/>
        <w:rPr>
          <w:rFonts w:ascii="Times New Roman" w:hAnsi="Times New Roman" w:cs="Times New Roman"/>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Третья таблица содержит информацию по всем образующим показателям для агентов-производителей. В первом столбце указаны уровни показателей. Следующие – сами показатели и стоимости перехода на новый уровень в денежных единицах. Таблица представлена на рис. 3.</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center"/>
        <w:rPr>
          <w:rFonts w:ascii="Times New Roman" w:hAnsi="Times New Roman" w:cs="Times New Roman"/>
          <w:sz w:val="24"/>
          <w:szCs w:val="24"/>
        </w:rPr>
      </w:pPr>
      <w:r w:rsidRPr="003F05A9">
        <w:rPr>
          <w:rFonts w:ascii="Times New Roman" w:hAnsi="Times New Roman" w:cs="Times New Roman"/>
          <w:noProof/>
          <w:sz w:val="24"/>
          <w:szCs w:val="24"/>
          <w:lang w:eastAsia="ru-RU"/>
        </w:rPr>
        <w:drawing>
          <wp:inline distT="0" distB="0" distL="0" distR="0" wp14:anchorId="0E1F4D0A" wp14:editId="61DB40DD">
            <wp:extent cx="3171825" cy="1562100"/>
            <wp:effectExtent l="0" t="0" r="0" b="0"/>
            <wp:docPr id="17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383">
                      <a:grayscl/>
                      <a:extLst>
                        <a:ext uri="{28A0092B-C50C-407E-A947-70E740481C1C}">
                          <a14:useLocalDpi xmlns:a14="http://schemas.microsoft.com/office/drawing/2010/main" val="0"/>
                        </a:ext>
                      </a:extLst>
                    </a:blip>
                    <a:srcRect b="59819"/>
                    <a:stretch>
                      <a:fillRect/>
                    </a:stretch>
                  </pic:blipFill>
                  <pic:spPr bwMode="auto">
                    <a:xfrm>
                      <a:off x="0" y="0"/>
                      <a:ext cx="3171825" cy="1562100"/>
                    </a:xfrm>
                    <a:prstGeom prst="rect">
                      <a:avLst/>
                    </a:prstGeom>
                    <a:noFill/>
                    <a:ln>
                      <a:noFill/>
                    </a:ln>
                  </pic:spPr>
                </pic:pic>
              </a:graphicData>
            </a:graphic>
          </wp:inline>
        </w:drawing>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center"/>
        <w:rPr>
          <w:rFonts w:ascii="Times New Roman" w:hAnsi="Times New Roman" w:cs="Times New Roman"/>
          <w:sz w:val="24"/>
          <w:szCs w:val="24"/>
        </w:rPr>
      </w:pPr>
      <w:r w:rsidRPr="003F05A9">
        <w:rPr>
          <w:rFonts w:ascii="Times New Roman" w:hAnsi="Times New Roman" w:cs="Times New Roman"/>
          <w:sz w:val="24"/>
          <w:szCs w:val="24"/>
        </w:rPr>
        <w:t>Рис. 3. Исходные данные, таблица «Стоимостные показатели»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 xml:space="preserve">Заключающим этапом стала разработка приложения, способного обработать данные, представленные в указанной форме. Для написания программы использовалась среда разработки </w:t>
      </w:r>
      <w:r w:rsidRPr="003F05A9">
        <w:rPr>
          <w:rFonts w:ascii="Times New Roman" w:hAnsi="Times New Roman" w:cs="Times New Roman"/>
          <w:sz w:val="24"/>
          <w:szCs w:val="24"/>
          <w:lang w:val="en-US"/>
        </w:rPr>
        <w:t>Visual</w:t>
      </w:r>
      <w:r w:rsidRPr="003F05A9">
        <w:rPr>
          <w:rFonts w:ascii="Times New Roman" w:hAnsi="Times New Roman" w:cs="Times New Roman"/>
          <w:sz w:val="24"/>
          <w:szCs w:val="24"/>
        </w:rPr>
        <w:t xml:space="preserve"> </w:t>
      </w:r>
      <w:r w:rsidRPr="003F05A9">
        <w:rPr>
          <w:rFonts w:ascii="Times New Roman" w:hAnsi="Times New Roman" w:cs="Times New Roman"/>
          <w:sz w:val="24"/>
          <w:szCs w:val="24"/>
          <w:lang w:val="en-US"/>
        </w:rPr>
        <w:t>Studio</w:t>
      </w:r>
      <w:r w:rsidRPr="003F05A9">
        <w:rPr>
          <w:rFonts w:ascii="Times New Roman" w:hAnsi="Times New Roman" w:cs="Times New Roman"/>
          <w:sz w:val="24"/>
          <w:szCs w:val="24"/>
        </w:rPr>
        <w:t xml:space="preserve"> и язык программирования </w:t>
      </w:r>
      <w:r w:rsidRPr="003F05A9">
        <w:rPr>
          <w:rFonts w:ascii="Times New Roman" w:hAnsi="Times New Roman" w:cs="Times New Roman"/>
          <w:sz w:val="24"/>
          <w:szCs w:val="24"/>
          <w:lang w:val="en-US"/>
        </w:rPr>
        <w:t>C</w:t>
      </w:r>
      <w:r w:rsidRPr="003F05A9">
        <w:rPr>
          <w:rFonts w:ascii="Times New Roman" w:hAnsi="Times New Roman" w:cs="Times New Roman"/>
          <w:sz w:val="24"/>
          <w:szCs w:val="24"/>
        </w:rPr>
        <w:t>#. На рис. 4. представлен интерфейс приложения. Он содержит в себе кнопку «Обзор» для загрузки исходных данных, шкалу состояния, которая показывает процессы расчетов и формирований страниц, окно для ввода числа тактов – времени жизни модели, а также кнопки «Посчитать», которая производит все вычисления.</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center"/>
        <w:rPr>
          <w:rFonts w:ascii="Times New Roman" w:hAnsi="Times New Roman" w:cs="Times New Roman"/>
          <w:sz w:val="24"/>
          <w:szCs w:val="24"/>
        </w:rPr>
      </w:pPr>
      <w:r w:rsidRPr="003F05A9">
        <w:rPr>
          <w:rFonts w:ascii="Times New Roman" w:hAnsi="Times New Roman" w:cs="Times New Roman"/>
          <w:noProof/>
          <w:sz w:val="24"/>
          <w:szCs w:val="24"/>
          <w:lang w:eastAsia="ru-RU"/>
        </w:rPr>
        <w:drawing>
          <wp:inline distT="0" distB="0" distL="0" distR="0" wp14:anchorId="33543C06" wp14:editId="418F6E92">
            <wp:extent cx="2657475" cy="2181225"/>
            <wp:effectExtent l="0" t="0" r="0" b="0"/>
            <wp:docPr id="17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384">
                      <a:grayscl/>
                      <a:extLst>
                        <a:ext uri="{28A0092B-C50C-407E-A947-70E740481C1C}">
                          <a14:useLocalDpi xmlns:a14="http://schemas.microsoft.com/office/drawing/2010/main" val="0"/>
                        </a:ext>
                      </a:extLst>
                    </a:blip>
                    <a:srcRect/>
                    <a:stretch>
                      <a:fillRect/>
                    </a:stretch>
                  </pic:blipFill>
                  <pic:spPr bwMode="auto">
                    <a:xfrm>
                      <a:off x="0" y="0"/>
                      <a:ext cx="2657475" cy="2181225"/>
                    </a:xfrm>
                    <a:prstGeom prst="rect">
                      <a:avLst/>
                    </a:prstGeom>
                    <a:noFill/>
                    <a:ln>
                      <a:noFill/>
                    </a:ln>
                  </pic:spPr>
                </pic:pic>
              </a:graphicData>
            </a:graphic>
          </wp:inline>
        </w:drawing>
      </w:r>
      <w:r w:rsidRPr="003F05A9">
        <w:rPr>
          <w:rFonts w:ascii="Times New Roman" w:hAnsi="Times New Roman" w:cs="Times New Roman"/>
          <w:noProof/>
          <w:sz w:val="24"/>
          <w:szCs w:val="24"/>
          <w:lang w:eastAsia="ru-RU"/>
        </w:rPr>
        <w:drawing>
          <wp:inline distT="0" distB="0" distL="0" distR="0" wp14:anchorId="3691C050" wp14:editId="108B9EC6">
            <wp:extent cx="2695575" cy="2190750"/>
            <wp:effectExtent l="0" t="0" r="0" b="0"/>
            <wp:docPr id="17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385">
                      <a:grayscl/>
                      <a:extLst>
                        <a:ext uri="{28A0092B-C50C-407E-A947-70E740481C1C}">
                          <a14:useLocalDpi xmlns:a14="http://schemas.microsoft.com/office/drawing/2010/main" val="0"/>
                        </a:ext>
                      </a:extLst>
                    </a:blip>
                    <a:srcRect t="407" b="340"/>
                    <a:stretch>
                      <a:fillRect/>
                    </a:stretch>
                  </pic:blipFill>
                  <pic:spPr bwMode="auto">
                    <a:xfrm>
                      <a:off x="0" y="0"/>
                      <a:ext cx="2695575" cy="2190750"/>
                    </a:xfrm>
                    <a:prstGeom prst="rect">
                      <a:avLst/>
                    </a:prstGeom>
                    <a:noFill/>
                    <a:ln>
                      <a:noFill/>
                    </a:ln>
                  </pic:spPr>
                </pic:pic>
              </a:graphicData>
            </a:graphic>
          </wp:inline>
        </w:drawing>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center"/>
        <w:rPr>
          <w:rFonts w:ascii="Times New Roman" w:hAnsi="Times New Roman" w:cs="Times New Roman"/>
          <w:sz w:val="24"/>
          <w:szCs w:val="24"/>
        </w:rPr>
      </w:pPr>
      <w:r w:rsidRPr="003F05A9">
        <w:rPr>
          <w:rFonts w:ascii="Times New Roman" w:hAnsi="Times New Roman" w:cs="Times New Roman"/>
          <w:sz w:val="24"/>
          <w:szCs w:val="24"/>
        </w:rPr>
        <w:t>Рис. 4. Интерфейс готового приложения</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 xml:space="preserve">После работы программы мы получаем еще один </w:t>
      </w:r>
      <w:r w:rsidRPr="003F05A9">
        <w:rPr>
          <w:rFonts w:ascii="Times New Roman" w:hAnsi="Times New Roman" w:cs="Times New Roman"/>
          <w:sz w:val="24"/>
          <w:szCs w:val="24"/>
          <w:lang w:val="en-US"/>
        </w:rPr>
        <w:t>Excel</w:t>
      </w:r>
      <w:r w:rsidRPr="003F05A9">
        <w:rPr>
          <w:rFonts w:ascii="Times New Roman" w:hAnsi="Times New Roman" w:cs="Times New Roman"/>
          <w:sz w:val="24"/>
          <w:szCs w:val="24"/>
        </w:rPr>
        <w:t>-документ, содержащий следующие данные: выделенные агенты-потребители с учетом порогового значения расстояния приобретения продукции; объем произведенной продукции; объем финансовых средств; затраты на производство; затраты на маркетинговые исследования; затраты на реструктуризацию; прибыль от реализации продукции; остаток финансовых средств; пересчитанные таблицы производителя и потребителя. В зависимости от количества тактов генерируется несколько листов с таким содержанием. Выходной файл представлен на рис. 5.</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center"/>
        <w:rPr>
          <w:rFonts w:ascii="Times New Roman" w:hAnsi="Times New Roman" w:cs="Times New Roman"/>
          <w:sz w:val="24"/>
          <w:szCs w:val="24"/>
        </w:rPr>
      </w:pPr>
      <w:r w:rsidRPr="003F05A9">
        <w:rPr>
          <w:rFonts w:ascii="Times New Roman" w:hAnsi="Times New Roman" w:cs="Times New Roman"/>
          <w:noProof/>
          <w:sz w:val="24"/>
          <w:szCs w:val="24"/>
          <w:lang w:eastAsia="ru-RU"/>
        </w:rPr>
        <w:drawing>
          <wp:inline distT="0" distB="0" distL="0" distR="0" wp14:anchorId="5756C002" wp14:editId="361101C4">
            <wp:extent cx="5629275" cy="3581400"/>
            <wp:effectExtent l="0" t="0" r="0" b="0"/>
            <wp:docPr id="17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386" cstate="print">
                      <a:grayscl/>
                      <a:extLst>
                        <a:ext uri="{28A0092B-C50C-407E-A947-70E740481C1C}">
                          <a14:useLocalDpi xmlns:a14="http://schemas.microsoft.com/office/drawing/2010/main" val="0"/>
                        </a:ext>
                      </a:extLst>
                    </a:blip>
                    <a:srcRect r="28410" b="16017"/>
                    <a:stretch>
                      <a:fillRect/>
                    </a:stretch>
                  </pic:blipFill>
                  <pic:spPr bwMode="auto">
                    <a:xfrm>
                      <a:off x="0" y="0"/>
                      <a:ext cx="5629275" cy="3581400"/>
                    </a:xfrm>
                    <a:prstGeom prst="rect">
                      <a:avLst/>
                    </a:prstGeom>
                    <a:noFill/>
                    <a:ln>
                      <a:noFill/>
                    </a:ln>
                  </pic:spPr>
                </pic:pic>
              </a:graphicData>
            </a:graphic>
          </wp:inline>
        </w:drawing>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center"/>
        <w:rPr>
          <w:rFonts w:ascii="Times New Roman" w:hAnsi="Times New Roman" w:cs="Times New Roman"/>
          <w:sz w:val="24"/>
          <w:szCs w:val="24"/>
        </w:rPr>
      </w:pPr>
      <w:r w:rsidRPr="003F05A9">
        <w:rPr>
          <w:rFonts w:ascii="Times New Roman" w:hAnsi="Times New Roman" w:cs="Times New Roman"/>
          <w:sz w:val="24"/>
          <w:szCs w:val="24"/>
        </w:rPr>
        <w:t>Рис. 5. Выходной файл</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 xml:space="preserve">В результате всех действий, была получена программа, способная обработать указанные в модели данные. Так как она может работать сразу с большим количеством участников процесса, была увеличена база исходных данных, что позволило собирать более достоверную статистику. Также увеличилась скорость работы над научным проектом, из-за того, что большую часть обработки данных, которая раньше выполнялась человеком, стала обрабатывать программа, а человек получил возможность работать сразу с готовыми результатами.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_________________________</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color w:val="000000"/>
          <w:sz w:val="24"/>
          <w:szCs w:val="24"/>
          <w:lang w:eastAsia="ru-RU"/>
        </w:rPr>
      </w:pPr>
      <w:r w:rsidRPr="003F05A9">
        <w:rPr>
          <w:rFonts w:ascii="Times New Roman" w:hAnsi="Times New Roman" w:cs="Times New Roman"/>
          <w:sz w:val="24"/>
          <w:szCs w:val="24"/>
        </w:rPr>
        <w:t xml:space="preserve">1. </w:t>
      </w:r>
      <w:r w:rsidRPr="003F05A9">
        <w:rPr>
          <w:rFonts w:ascii="Times New Roman" w:hAnsi="Times New Roman" w:cs="Times New Roman"/>
          <w:color w:val="000000"/>
          <w:sz w:val="24"/>
          <w:szCs w:val="24"/>
          <w:lang w:eastAsia="ru-RU"/>
        </w:rPr>
        <w:t>Боуш Г.Д, Куликова О.М., Шелков И.К., Агентное моделирование процессов кластерообразования в региональных экономических системах // Экономика региона. 2016. Т.12. C. 64–77.</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color w:val="000000"/>
          <w:sz w:val="24"/>
          <w:szCs w:val="24"/>
          <w:lang w:eastAsia="ru-RU"/>
        </w:rPr>
        <w:t xml:space="preserve">2. Батурин Г.Г., Первухин М.А., Титова Н.Ю. Агент-моделирование процессов формирования кластера стейкхолдерами на микроуровне // Научное обозрение: теория и практика. </w:t>
      </w:r>
      <w:r w:rsidRPr="003658B5">
        <w:rPr>
          <w:rFonts w:ascii="Times New Roman" w:hAnsi="Times New Roman" w:cs="Times New Roman"/>
          <w:color w:val="000000"/>
          <w:sz w:val="24"/>
          <w:szCs w:val="24"/>
          <w:lang w:eastAsia="ru-RU"/>
        </w:rPr>
        <w:t xml:space="preserve">2017. </w:t>
      </w:r>
      <w:r w:rsidRPr="003F05A9">
        <w:rPr>
          <w:rFonts w:ascii="Times New Roman" w:hAnsi="Times New Roman" w:cs="Times New Roman"/>
          <w:color w:val="000000"/>
          <w:sz w:val="24"/>
          <w:szCs w:val="24"/>
          <w:lang w:eastAsia="ru-RU"/>
        </w:rPr>
        <w:t>Т. 12. С. 78-87.</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rPr>
          <w:rFonts w:ascii="Times New Roman" w:hAnsi="Times New Roman" w:cs="Times New Roman"/>
          <w:b/>
          <w:bCs/>
          <w:sz w:val="24"/>
          <w:szCs w:val="24"/>
        </w:rPr>
      </w:pPr>
      <w:r w:rsidRPr="003F05A9">
        <w:rPr>
          <w:rFonts w:ascii="Times New Roman" w:hAnsi="Times New Roman" w:cs="Times New Roman"/>
          <w:b/>
          <w:bCs/>
          <w:sz w:val="24"/>
          <w:szCs w:val="24"/>
        </w:rPr>
        <w:t>Рубрика: Эконометрия</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76" w:lineRule="auto"/>
        <w:jc w:val="both"/>
        <w:rPr>
          <w:rFonts w:ascii="Times New Roman" w:hAnsi="Times New Roman" w:cs="Times New Roman"/>
          <w:sz w:val="24"/>
          <w:szCs w:val="24"/>
        </w:rPr>
      </w:pPr>
      <w:r w:rsidRPr="003F05A9">
        <w:rPr>
          <w:rFonts w:ascii="Times New Roman" w:hAnsi="Times New Roman" w:cs="Times New Roman"/>
          <w:sz w:val="24"/>
          <w:szCs w:val="24"/>
        </w:rPr>
        <w:t>УДК 330.43</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76" w:lineRule="auto"/>
        <w:jc w:val="both"/>
        <w:rPr>
          <w:rFonts w:ascii="Times New Roman" w:hAnsi="Times New Roman" w:cs="Times New Roman"/>
          <w:b/>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76" w:lineRule="auto"/>
        <w:jc w:val="center"/>
        <w:rPr>
          <w:rFonts w:ascii="Times New Roman" w:hAnsi="Times New Roman" w:cs="Times New Roman"/>
          <w:b/>
          <w:sz w:val="24"/>
          <w:szCs w:val="24"/>
        </w:rPr>
      </w:pPr>
      <w:r w:rsidRPr="003F05A9">
        <w:rPr>
          <w:rFonts w:ascii="Times New Roman" w:hAnsi="Times New Roman" w:cs="Times New Roman"/>
          <w:b/>
          <w:sz w:val="24"/>
          <w:szCs w:val="24"/>
        </w:rPr>
        <w:t>ИЗУЧЕНИЕ СОЦИАЛЬНО-ЭКОНОМИЧЕСКИХ ФАКТОРОВ, ВЛИЯЮЩИХ НА ЗАБОЛЕВАЕМОСТЬ ВИЧ</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76" w:lineRule="auto"/>
        <w:jc w:val="center"/>
        <w:rPr>
          <w:rFonts w:ascii="Times New Roman" w:hAnsi="Times New Roman" w:cs="Times New Roman"/>
          <w:b/>
          <w:sz w:val="24"/>
          <w:szCs w:val="24"/>
        </w:rPr>
      </w:pPr>
      <w:r w:rsidRPr="003F05A9">
        <w:rPr>
          <w:rFonts w:ascii="Times New Roman" w:hAnsi="Times New Roman" w:cs="Times New Roman"/>
          <w:b/>
          <w:sz w:val="24"/>
          <w:szCs w:val="24"/>
        </w:rPr>
        <w:t>Ю. Д. Чердонова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76" w:lineRule="auto"/>
        <w:jc w:val="center"/>
        <w:rPr>
          <w:rFonts w:ascii="Times New Roman" w:hAnsi="Times New Roman" w:cs="Times New Roman"/>
          <w:i/>
          <w:sz w:val="24"/>
          <w:szCs w:val="24"/>
        </w:rPr>
      </w:pPr>
      <w:r w:rsidRPr="003F05A9">
        <w:rPr>
          <w:rFonts w:ascii="Times New Roman" w:hAnsi="Times New Roman" w:cs="Times New Roman"/>
          <w:i/>
          <w:sz w:val="24"/>
          <w:szCs w:val="24"/>
        </w:rPr>
        <w:t>бакалавр, 1 курс</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76" w:lineRule="auto"/>
        <w:jc w:val="center"/>
        <w:rPr>
          <w:rFonts w:ascii="Times New Roman" w:hAnsi="Times New Roman" w:cs="Times New Roman"/>
          <w:b/>
          <w:sz w:val="24"/>
          <w:szCs w:val="24"/>
        </w:rPr>
      </w:pPr>
      <w:r w:rsidRPr="003F05A9">
        <w:rPr>
          <w:rFonts w:ascii="Times New Roman" w:hAnsi="Times New Roman" w:cs="Times New Roman"/>
          <w:b/>
          <w:sz w:val="24"/>
          <w:szCs w:val="24"/>
        </w:rPr>
        <w:t>К.Л. Шаркова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76" w:lineRule="auto"/>
        <w:jc w:val="center"/>
        <w:rPr>
          <w:rFonts w:ascii="Times New Roman" w:hAnsi="Times New Roman" w:cs="Times New Roman"/>
          <w:i/>
          <w:sz w:val="24"/>
          <w:szCs w:val="24"/>
        </w:rPr>
      </w:pPr>
      <w:r w:rsidRPr="003F05A9">
        <w:rPr>
          <w:rFonts w:ascii="Times New Roman" w:hAnsi="Times New Roman" w:cs="Times New Roman"/>
          <w:i/>
          <w:sz w:val="24"/>
          <w:szCs w:val="24"/>
        </w:rPr>
        <w:t>бакалавр, 1 курс</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76" w:lineRule="auto"/>
        <w:jc w:val="center"/>
        <w:rPr>
          <w:rFonts w:ascii="Times New Roman" w:hAnsi="Times New Roman" w:cs="Times New Roman"/>
          <w:b/>
          <w:sz w:val="24"/>
          <w:szCs w:val="24"/>
        </w:rPr>
      </w:pPr>
      <w:r w:rsidRPr="003F05A9">
        <w:rPr>
          <w:rFonts w:ascii="Times New Roman" w:hAnsi="Times New Roman" w:cs="Times New Roman"/>
          <w:b/>
          <w:sz w:val="24"/>
          <w:szCs w:val="24"/>
        </w:rPr>
        <w:t>Е.Д. Емцева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76" w:lineRule="auto"/>
        <w:jc w:val="center"/>
        <w:rPr>
          <w:rFonts w:ascii="Times New Roman" w:hAnsi="Times New Roman" w:cs="Times New Roman"/>
          <w:i/>
          <w:sz w:val="24"/>
          <w:szCs w:val="24"/>
        </w:rPr>
      </w:pPr>
      <w:r w:rsidRPr="003F05A9">
        <w:rPr>
          <w:rFonts w:ascii="Times New Roman" w:hAnsi="Times New Roman" w:cs="Times New Roman"/>
          <w:i/>
          <w:sz w:val="24"/>
          <w:szCs w:val="24"/>
        </w:rPr>
        <w:t xml:space="preserve">к. ф.-м.н., доцент кафедры математики и моделирования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76" w:lineRule="auto"/>
        <w:jc w:val="center"/>
        <w:rPr>
          <w:rFonts w:ascii="Times New Roman" w:hAnsi="Times New Roman" w:cs="Times New Roman"/>
          <w:i/>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jc w:val="center"/>
        <w:rPr>
          <w:rFonts w:ascii="Times New Roman" w:eastAsia="TimesNewRoman,Italic" w:hAnsi="Times New Roman" w:cs="Times New Roman"/>
          <w:i/>
          <w:iCs/>
          <w:sz w:val="24"/>
          <w:szCs w:val="24"/>
        </w:rPr>
      </w:pPr>
      <w:r w:rsidRPr="003F05A9">
        <w:rPr>
          <w:rFonts w:ascii="Times New Roman" w:eastAsia="TimesNewRoman,Italic" w:hAnsi="Times New Roman" w:cs="Times New Roman"/>
          <w:i/>
          <w:iCs/>
          <w:sz w:val="24"/>
          <w:szCs w:val="24"/>
        </w:rPr>
        <w:t>Владивостокский государственный университет экономики и сервиса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76" w:lineRule="auto"/>
        <w:jc w:val="center"/>
        <w:rPr>
          <w:rFonts w:ascii="Times New Roman" w:hAnsi="Times New Roman" w:cs="Times New Roman"/>
          <w:i/>
          <w:sz w:val="24"/>
          <w:szCs w:val="24"/>
        </w:rPr>
      </w:pPr>
      <w:r w:rsidRPr="003F05A9">
        <w:rPr>
          <w:rFonts w:ascii="Times New Roman" w:eastAsia="TimesNewRoman,Italic" w:hAnsi="Times New Roman" w:cs="Times New Roman"/>
          <w:i/>
          <w:iCs/>
          <w:sz w:val="24"/>
          <w:szCs w:val="24"/>
        </w:rPr>
        <w:t>Россия. Владивосток</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76" w:lineRule="auto"/>
        <w:jc w:val="both"/>
        <w:rPr>
          <w:rFonts w:ascii="Times New Roman" w:hAnsi="Times New Roman" w:cs="Times New Roman"/>
          <w:i/>
          <w:sz w:val="24"/>
          <w:szCs w:val="24"/>
          <w:shd w:val="clear" w:color="auto" w:fill="FFFFFF"/>
        </w:rPr>
      </w:pPr>
      <w:r w:rsidRPr="003F05A9">
        <w:rPr>
          <w:rFonts w:ascii="Times New Roman" w:hAnsi="Times New Roman" w:cs="Times New Roman"/>
          <w:sz w:val="24"/>
          <w:szCs w:val="24"/>
        </w:rPr>
        <w:tab/>
      </w:r>
      <w:r w:rsidRPr="003F05A9">
        <w:rPr>
          <w:rFonts w:ascii="Times New Roman" w:hAnsi="Times New Roman" w:cs="Times New Roman"/>
          <w:i/>
          <w:sz w:val="24"/>
          <w:szCs w:val="24"/>
        </w:rPr>
        <w:t>В работе представлены результаты оценки закономерности динамики показателя заболеваемости ВИЧ в регионах России с использованием методов эконометрического моделирования. В работе рассмотрен временной период с 2005-го по 2015 год. В качестве объекта взяты 78 регионов РФ. Все исследования и расчеты проведены с использованием программы Rstudio</w:t>
      </w:r>
      <w:r w:rsidRPr="003F05A9">
        <w:rPr>
          <w:rFonts w:ascii="Times New Roman" w:hAnsi="Times New Roman" w:cs="Times New Roman"/>
          <w:i/>
          <w:sz w:val="24"/>
          <w:szCs w:val="24"/>
          <w:shd w:val="clear" w:color="auto" w:fill="FFFFFF"/>
        </w:rPr>
        <w:t xml:space="preserve">.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200" w:line="276" w:lineRule="auto"/>
        <w:jc w:val="both"/>
        <w:rPr>
          <w:rFonts w:ascii="Times New Roman" w:hAnsi="Times New Roman" w:cs="Times New Roman"/>
          <w:i/>
          <w:sz w:val="24"/>
          <w:szCs w:val="24"/>
        </w:rPr>
      </w:pPr>
      <w:r w:rsidRPr="003F05A9">
        <w:rPr>
          <w:rFonts w:ascii="Times New Roman" w:hAnsi="Times New Roman" w:cs="Times New Roman"/>
          <w:b/>
          <w:i/>
          <w:sz w:val="24"/>
          <w:szCs w:val="24"/>
        </w:rPr>
        <w:t xml:space="preserve">Ключевые слова и словосочетания: </w:t>
      </w:r>
      <w:r w:rsidRPr="003F05A9">
        <w:rPr>
          <w:rFonts w:ascii="Times New Roman" w:hAnsi="Times New Roman" w:cs="Times New Roman"/>
          <w:i/>
          <w:sz w:val="24"/>
          <w:szCs w:val="24"/>
        </w:rPr>
        <w:t xml:space="preserve">ВИЧ, регионы РФ, панельные данные, метод главных компонент, </w:t>
      </w:r>
      <w:r w:rsidRPr="003F05A9">
        <w:rPr>
          <w:rFonts w:ascii="Times New Roman" w:hAnsi="Times New Roman" w:cs="Times New Roman"/>
          <w:i/>
          <w:sz w:val="24"/>
          <w:szCs w:val="24"/>
          <w:lang w:val="en-US"/>
        </w:rPr>
        <w:t>PCA</w:t>
      </w:r>
      <w:r w:rsidRPr="003F05A9">
        <w:rPr>
          <w:rFonts w:ascii="Times New Roman" w:hAnsi="Times New Roman" w:cs="Times New Roman"/>
          <w:i/>
          <w:sz w:val="24"/>
          <w:szCs w:val="24"/>
        </w:rPr>
        <w:t>.</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200" w:line="276" w:lineRule="auto"/>
        <w:jc w:val="both"/>
        <w:rPr>
          <w:rFonts w:ascii="Times New Roman" w:hAnsi="Times New Roman" w:cs="Times New Roman"/>
          <w:b/>
          <w:sz w:val="24"/>
          <w:szCs w:val="24"/>
          <w:shd w:val="clear" w:color="auto" w:fill="FFFFFF"/>
          <w:lang w:val="en-US"/>
        </w:rPr>
      </w:pPr>
      <w:r w:rsidRPr="003F05A9">
        <w:rPr>
          <w:rFonts w:ascii="Times New Roman" w:hAnsi="Times New Roman" w:cs="Times New Roman"/>
          <w:b/>
          <w:sz w:val="24"/>
          <w:szCs w:val="24"/>
          <w:shd w:val="clear" w:color="auto" w:fill="FFFFFF"/>
          <w:lang w:val="en-US"/>
        </w:rPr>
        <w:t>STUDY OF SOCIO-ECONOMIC FACTORS INFLUENCING THE MORBIDITY OF HIV</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851"/>
          <w:tab w:val="left" w:pos="993"/>
        </w:tabs>
        <w:spacing w:after="0" w:line="240" w:lineRule="auto"/>
        <w:ind w:firstLine="709"/>
        <w:contextualSpacing/>
        <w:jc w:val="center"/>
        <w:rPr>
          <w:rFonts w:ascii="Times New Roman" w:hAnsi="Times New Roman" w:cs="Times New Roman"/>
          <w:b/>
          <w:sz w:val="24"/>
          <w:szCs w:val="24"/>
          <w:lang w:val="en-US"/>
        </w:rPr>
      </w:pPr>
      <w:r w:rsidRPr="003F05A9">
        <w:rPr>
          <w:rFonts w:ascii="Times New Roman" w:hAnsi="Times New Roman" w:cs="Times New Roman"/>
          <w:b/>
          <w:sz w:val="24"/>
          <w:szCs w:val="24"/>
          <w:lang w:val="en-US"/>
        </w:rPr>
        <w:t>Yu. D. Cherdonova</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851"/>
          <w:tab w:val="left" w:pos="993"/>
        </w:tabs>
        <w:spacing w:after="0" w:line="240" w:lineRule="auto"/>
        <w:ind w:firstLine="709"/>
        <w:contextualSpacing/>
        <w:jc w:val="center"/>
        <w:rPr>
          <w:rFonts w:ascii="Times New Roman" w:hAnsi="Times New Roman" w:cs="Times New Roman"/>
          <w:i/>
          <w:sz w:val="24"/>
          <w:szCs w:val="24"/>
          <w:lang w:val="en-US"/>
        </w:rPr>
      </w:pPr>
      <w:r w:rsidRPr="003F05A9">
        <w:rPr>
          <w:rFonts w:ascii="Times New Roman" w:hAnsi="Times New Roman" w:cs="Times New Roman"/>
          <w:i/>
          <w:sz w:val="24"/>
          <w:szCs w:val="24"/>
          <w:lang w:val="en-US"/>
        </w:rPr>
        <w:t>bachelor, 1 year</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851"/>
          <w:tab w:val="left" w:pos="993"/>
        </w:tabs>
        <w:spacing w:after="0" w:line="240" w:lineRule="auto"/>
        <w:ind w:firstLine="709"/>
        <w:contextualSpacing/>
        <w:jc w:val="center"/>
        <w:rPr>
          <w:rFonts w:ascii="Times New Roman" w:hAnsi="Times New Roman" w:cs="Times New Roman"/>
          <w:bCs/>
          <w:i/>
          <w:iCs/>
          <w:sz w:val="24"/>
          <w:szCs w:val="24"/>
          <w:lang w:val="en-US"/>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851"/>
          <w:tab w:val="left" w:pos="993"/>
        </w:tabs>
        <w:spacing w:after="0" w:line="240" w:lineRule="auto"/>
        <w:ind w:firstLine="709"/>
        <w:contextualSpacing/>
        <w:jc w:val="center"/>
        <w:rPr>
          <w:rFonts w:ascii="Times New Roman" w:hAnsi="Times New Roman" w:cs="Times New Roman"/>
          <w:b/>
          <w:bCs/>
          <w:iCs/>
          <w:sz w:val="24"/>
          <w:szCs w:val="24"/>
          <w:lang w:val="en-US"/>
        </w:rPr>
      </w:pPr>
      <w:r w:rsidRPr="003F05A9">
        <w:rPr>
          <w:rFonts w:ascii="Times New Roman" w:hAnsi="Times New Roman" w:cs="Times New Roman"/>
          <w:b/>
          <w:bCs/>
          <w:iCs/>
          <w:sz w:val="24"/>
          <w:szCs w:val="24"/>
          <w:lang w:val="en-US"/>
        </w:rPr>
        <w:t>K. L. Sharkova</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851"/>
          <w:tab w:val="left" w:pos="993"/>
        </w:tabs>
        <w:spacing w:after="0" w:line="240" w:lineRule="auto"/>
        <w:ind w:firstLine="709"/>
        <w:contextualSpacing/>
        <w:jc w:val="center"/>
        <w:rPr>
          <w:rFonts w:ascii="Times New Roman" w:hAnsi="Times New Roman" w:cs="Times New Roman"/>
          <w:bCs/>
          <w:i/>
          <w:iCs/>
          <w:sz w:val="24"/>
          <w:szCs w:val="24"/>
          <w:lang w:val="en-US"/>
        </w:rPr>
      </w:pPr>
      <w:r w:rsidRPr="003F05A9">
        <w:rPr>
          <w:rFonts w:ascii="Times New Roman" w:hAnsi="Times New Roman" w:cs="Times New Roman"/>
          <w:i/>
          <w:sz w:val="24"/>
          <w:szCs w:val="24"/>
          <w:lang w:val="en-US"/>
        </w:rPr>
        <w:t>bachelor, 1 year</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851"/>
          <w:tab w:val="left" w:pos="993"/>
        </w:tabs>
        <w:spacing w:after="0" w:line="240" w:lineRule="auto"/>
        <w:ind w:firstLine="709"/>
        <w:contextualSpacing/>
        <w:jc w:val="center"/>
        <w:rPr>
          <w:rFonts w:ascii="Times New Roman" w:hAnsi="Times New Roman" w:cs="Times New Roman"/>
          <w:b/>
          <w:bCs/>
          <w:i/>
          <w:iCs/>
          <w:sz w:val="24"/>
          <w:szCs w:val="24"/>
          <w:lang w:val="en-US"/>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851"/>
          <w:tab w:val="left" w:pos="993"/>
        </w:tabs>
        <w:spacing w:after="0" w:line="240" w:lineRule="auto"/>
        <w:ind w:firstLine="709"/>
        <w:contextualSpacing/>
        <w:jc w:val="center"/>
        <w:rPr>
          <w:rFonts w:ascii="Times New Roman" w:hAnsi="Times New Roman" w:cs="Times New Roman"/>
          <w:b/>
          <w:bCs/>
          <w:i/>
          <w:iCs/>
          <w:sz w:val="24"/>
          <w:szCs w:val="24"/>
          <w:lang w:val="en-US"/>
        </w:rPr>
      </w:pPr>
      <w:r w:rsidRPr="003F05A9">
        <w:rPr>
          <w:rFonts w:ascii="Times New Roman" w:hAnsi="Times New Roman" w:cs="Times New Roman"/>
          <w:b/>
          <w:bCs/>
          <w:i/>
          <w:iCs/>
          <w:sz w:val="24"/>
          <w:szCs w:val="24"/>
          <w:lang w:val="en-US"/>
        </w:rPr>
        <w:t>E.D. Emtseva</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jc w:val="center"/>
        <w:rPr>
          <w:rFonts w:ascii="Times New Roman" w:hAnsi="Times New Roman" w:cs="Times New Roman"/>
          <w:i/>
          <w:sz w:val="24"/>
          <w:szCs w:val="24"/>
          <w:lang w:val="en-US"/>
        </w:rPr>
      </w:pPr>
      <w:r w:rsidRPr="003F05A9">
        <w:rPr>
          <w:rFonts w:ascii="Times New Roman" w:hAnsi="Times New Roman" w:cs="Times New Roman"/>
          <w:i/>
          <w:sz w:val="24"/>
          <w:szCs w:val="24"/>
          <w:lang w:val="en-US"/>
        </w:rPr>
        <w:t>Associate Professor of the Department of Mathematics and Modeling</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jc w:val="center"/>
        <w:rPr>
          <w:rFonts w:ascii="Times New Roman" w:hAnsi="Times New Roman" w:cs="Times New Roman"/>
          <w:i/>
          <w:iCs/>
          <w:sz w:val="24"/>
          <w:szCs w:val="24"/>
          <w:lang w:val="en-US"/>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jc w:val="center"/>
        <w:rPr>
          <w:rFonts w:ascii="Times New Roman" w:hAnsi="Times New Roman" w:cs="Times New Roman"/>
          <w:i/>
          <w:iCs/>
          <w:sz w:val="24"/>
          <w:szCs w:val="24"/>
          <w:lang w:val="en-US"/>
        </w:rPr>
      </w:pPr>
      <w:r w:rsidRPr="003F05A9">
        <w:rPr>
          <w:rFonts w:ascii="Times New Roman" w:hAnsi="Times New Roman" w:cs="Times New Roman"/>
          <w:i/>
          <w:iCs/>
          <w:sz w:val="24"/>
          <w:szCs w:val="24"/>
          <w:lang w:val="en-US"/>
        </w:rPr>
        <w:t>Vladivostok State University of Economics and Service</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851"/>
          <w:tab w:val="left" w:pos="993"/>
        </w:tabs>
        <w:spacing w:after="0" w:line="240" w:lineRule="auto"/>
        <w:ind w:firstLine="709"/>
        <w:contextualSpacing/>
        <w:jc w:val="center"/>
        <w:rPr>
          <w:rFonts w:ascii="Times New Roman" w:hAnsi="Times New Roman" w:cs="Times New Roman"/>
          <w:bCs/>
          <w:i/>
          <w:iCs/>
          <w:sz w:val="24"/>
          <w:szCs w:val="24"/>
          <w:lang w:val="en-US"/>
        </w:rPr>
      </w:pPr>
      <w:r w:rsidRPr="003F05A9">
        <w:rPr>
          <w:rFonts w:ascii="Times New Roman" w:hAnsi="Times New Roman" w:cs="Times New Roman"/>
          <w:i/>
          <w:iCs/>
          <w:sz w:val="24"/>
          <w:szCs w:val="24"/>
          <w:lang w:val="en-US"/>
        </w:rPr>
        <w:t>Russia. Vladivostok</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851"/>
          <w:tab w:val="left" w:pos="993"/>
        </w:tabs>
        <w:spacing w:after="0" w:line="240" w:lineRule="auto"/>
        <w:ind w:firstLine="709"/>
        <w:contextualSpacing/>
        <w:jc w:val="both"/>
        <w:rPr>
          <w:rFonts w:ascii="Times New Roman" w:hAnsi="Times New Roman" w:cs="Times New Roman"/>
          <w:i/>
          <w:sz w:val="24"/>
          <w:szCs w:val="24"/>
          <w:lang w:val="en-US"/>
        </w:rPr>
      </w:pPr>
      <w:r w:rsidRPr="003F05A9">
        <w:rPr>
          <w:rFonts w:ascii="Times New Roman" w:hAnsi="Times New Roman" w:cs="Times New Roman"/>
          <w:i/>
          <w:sz w:val="24"/>
          <w:szCs w:val="24"/>
          <w:lang w:val="en-US"/>
        </w:rPr>
        <w:t>The article describes the results of the evaluation of the pattern of the incidence rate of HIV in the regions of Russia using methods of econometric modeling.The period of our study from 2005 to 2015. The 78 regions of Russia are considered. For statistical processing of data and working with graphics we used Rstudio.</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851"/>
          <w:tab w:val="left" w:pos="993"/>
        </w:tabs>
        <w:spacing w:after="0" w:line="240" w:lineRule="auto"/>
        <w:ind w:firstLine="709"/>
        <w:contextualSpacing/>
        <w:jc w:val="both"/>
        <w:rPr>
          <w:rFonts w:ascii="Times New Roman" w:hAnsi="Times New Roman" w:cs="Times New Roman"/>
          <w:bCs/>
          <w:i/>
          <w:iCs/>
          <w:sz w:val="24"/>
          <w:szCs w:val="24"/>
          <w:lang w:val="en-US"/>
        </w:rPr>
      </w:pPr>
      <w:r w:rsidRPr="003F05A9">
        <w:rPr>
          <w:rFonts w:ascii="Times New Roman" w:hAnsi="Times New Roman" w:cs="Times New Roman"/>
          <w:b/>
          <w:bCs/>
          <w:i/>
          <w:iCs/>
          <w:sz w:val="24"/>
          <w:szCs w:val="24"/>
          <w:lang w:val="en-US"/>
        </w:rPr>
        <w:t xml:space="preserve">Keywords and phrases: </w:t>
      </w:r>
      <w:r w:rsidRPr="003F05A9">
        <w:rPr>
          <w:rFonts w:ascii="Times New Roman" w:hAnsi="Times New Roman" w:cs="Times New Roman"/>
          <w:bCs/>
          <w:i/>
          <w:iCs/>
          <w:sz w:val="24"/>
          <w:szCs w:val="24"/>
          <w:lang w:val="en-US"/>
        </w:rPr>
        <w:t xml:space="preserve">HIV, regions of the Russian Federation, panel data, </w:t>
      </w:r>
      <w:r w:rsidRPr="003F05A9">
        <w:rPr>
          <w:rFonts w:ascii="Times New Roman" w:hAnsi="Times New Roman" w:cs="Times New Roman"/>
          <w:i/>
          <w:color w:val="000000"/>
          <w:sz w:val="24"/>
          <w:szCs w:val="24"/>
          <w:lang w:val="en-US"/>
        </w:rPr>
        <w:t>principal component analysis</w:t>
      </w:r>
      <w:r w:rsidRPr="003F05A9">
        <w:rPr>
          <w:rFonts w:ascii="Times New Roman" w:hAnsi="Times New Roman" w:cs="Times New Roman"/>
          <w:bCs/>
          <w:i/>
          <w:iCs/>
          <w:sz w:val="24"/>
          <w:szCs w:val="24"/>
          <w:lang w:val="en-US"/>
        </w:rPr>
        <w:t>, PCA.</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szCs w:val="24"/>
        </w:rPr>
      </w:pPr>
      <w:r w:rsidRPr="003F05A9">
        <w:rPr>
          <w:rFonts w:ascii="Times New Roman" w:hAnsi="Times New Roman" w:cs="Times New Roman"/>
          <w:sz w:val="24"/>
          <w:szCs w:val="24"/>
          <w:lang w:val="en-US"/>
        </w:rPr>
        <w:tab/>
      </w:r>
      <w:r w:rsidRPr="003F05A9">
        <w:rPr>
          <w:rFonts w:ascii="Times New Roman" w:hAnsi="Times New Roman" w:cs="Times New Roman"/>
          <w:sz w:val="24"/>
          <w:szCs w:val="24"/>
        </w:rPr>
        <w:t xml:space="preserve">На сегодняшний день проблема заболеваемости ВИЧ инфекцией относиться к глобальным проблемам. На начало 2017 года общее количество случаев заболеваемости ВИЧ инфекцией среди граждан России достигло 1 114 815 человек (в мире — 36,7 миллионов ВИЧ-инфицированных, в том числе 2,1 млн. детей). На конец прошлого года </w:t>
      </w:r>
      <w:r w:rsidRPr="003F05A9">
        <w:rPr>
          <w:rFonts w:ascii="Times New Roman" w:hAnsi="Times New Roman" w:cs="Times New Roman"/>
          <w:color w:val="111111"/>
          <w:sz w:val="24"/>
          <w:szCs w:val="24"/>
          <w:shd w:val="clear" w:color="auto" w:fill="FFFFFF"/>
        </w:rPr>
        <w:t>Россия уже являлась третьей страной в мире по числу новых случаев ВИЧ-инфекции после ЮАР и Нигерии.</w:t>
      </w:r>
      <w:r w:rsidRPr="003F05A9">
        <w:rPr>
          <w:rFonts w:ascii="Times New Roman" w:hAnsi="Times New Roman" w:cs="Times New Roman"/>
          <w:sz w:val="24"/>
          <w:szCs w:val="24"/>
        </w:rPr>
        <w:t xml:space="preserve">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contextualSpacing/>
        <w:jc w:val="both"/>
        <w:rPr>
          <w:rFonts w:ascii="Times New Roman" w:hAnsi="Times New Roman" w:cs="Times New Roman"/>
          <w:sz w:val="24"/>
          <w:szCs w:val="24"/>
        </w:rPr>
      </w:pPr>
      <w:r w:rsidRPr="003F05A9">
        <w:rPr>
          <w:rFonts w:ascii="Times New Roman" w:hAnsi="Times New Roman" w:cs="Times New Roman"/>
          <w:sz w:val="24"/>
          <w:szCs w:val="24"/>
        </w:rPr>
        <w:tab/>
        <w:t xml:space="preserve">Целью нашего исследования является изучение влияния различных социально-экономических факторов на динамику показателя заболеваемость ВИЧ- инфекцией по регионам РФ. Наиболее существенный рост (скорость, темп роста появления новых случаев ВИЧ в единицу времени) заболеваемости в 2016 г. наблюдался в Республике Крым, Карачаево-Черкесской Республике, Чукотском АО, Камчатском крае, Белгородской, Ярославской, Архангельской областях, г. Севастополь, Чувашской, Кабардино-Балкарской Республиках, Ставропольском крае, Астраханской области, Ненецком АО, Самарской области и Еврейской АО. При проведении исследования мы использовали показатель </w:t>
      </w:r>
      <w:r w:rsidRPr="003F05A9">
        <w:rPr>
          <w:rFonts w:cs="Times New Roman"/>
          <w:position w:val="-10"/>
        </w:rPr>
        <w:object w:dxaOrig="220" w:dyaOrig="260">
          <v:shape id="_x0000_i1043" type="#_x0000_t75" style="width:10.5pt;height:13.5pt" o:ole="">
            <v:imagedata r:id="rId387" o:title=""/>
          </v:shape>
          <o:OLEObject Type="Embed" ProgID="Equation.3" ShapeID="_x0000_i1043" DrawAspect="Content" ObjectID="_1603718616" r:id="rId388"/>
        </w:object>
      </w:r>
      <w:r w:rsidRPr="003F05A9">
        <w:rPr>
          <w:rFonts w:cs="Times New Roman"/>
        </w:rPr>
        <w:t xml:space="preserve">- </w:t>
      </w:r>
      <w:r w:rsidRPr="003F05A9">
        <w:rPr>
          <w:rFonts w:ascii="Times New Roman" w:hAnsi="Times New Roman" w:cs="Times New Roman"/>
          <w:color w:val="000000"/>
          <w:sz w:val="24"/>
          <w:szCs w:val="24"/>
        </w:rPr>
        <w:t xml:space="preserve">количество </w:t>
      </w:r>
      <w:r w:rsidRPr="003F05A9">
        <w:rPr>
          <w:rFonts w:ascii="Times New Roman" w:hAnsi="Times New Roman" w:cs="Times New Roman"/>
          <w:sz w:val="24"/>
          <w:szCs w:val="24"/>
        </w:rPr>
        <w:t xml:space="preserve">больных ВИЧ на 1000 человек,  и такие факторы, как: </w:t>
      </w:r>
      <w:r w:rsidRPr="003F05A9">
        <w:rPr>
          <w:rFonts w:ascii="Times New Roman" w:hAnsi="Times New Roman" w:cs="Times New Roman"/>
          <w:position w:val="-10"/>
          <w:sz w:val="24"/>
          <w:szCs w:val="24"/>
        </w:rPr>
        <w:object w:dxaOrig="240" w:dyaOrig="340">
          <v:shape id="_x0000_i1044" type="#_x0000_t75" style="width:12pt;height:17.25pt" o:ole="">
            <v:imagedata r:id="rId389" o:title=""/>
          </v:shape>
          <o:OLEObject Type="Embed" ProgID="Equation.3" ShapeID="_x0000_i1044" DrawAspect="Content" ObjectID="_1603718617" r:id="rId390"/>
        </w:object>
      </w:r>
      <w:r w:rsidRPr="003F05A9">
        <w:rPr>
          <w:rFonts w:ascii="Times New Roman" w:hAnsi="Times New Roman" w:cs="Times New Roman"/>
          <w:sz w:val="24"/>
          <w:szCs w:val="24"/>
        </w:rPr>
        <w:t xml:space="preserve"> - доля занятого населения (отношение  численности занятого населения определенной возрастной группы к общей численности населения соответствующей возрастной группы), </w:t>
      </w:r>
      <w:r w:rsidRPr="003F05A9">
        <w:rPr>
          <w:rFonts w:ascii="Times New Roman" w:hAnsi="Times New Roman" w:cs="Times New Roman"/>
          <w:position w:val="-12"/>
          <w:sz w:val="24"/>
          <w:szCs w:val="24"/>
        </w:rPr>
        <w:object w:dxaOrig="260" w:dyaOrig="360">
          <v:shape id="_x0000_i1045" type="#_x0000_t75" style="width:13.5pt;height:18pt" o:ole="">
            <v:imagedata r:id="rId391" o:title=""/>
          </v:shape>
          <o:OLEObject Type="Embed" ProgID="Equation.DSMT4" ShapeID="_x0000_i1045" DrawAspect="Content" ObjectID="_1603718618" r:id="rId392"/>
        </w:object>
      </w:r>
      <w:r w:rsidRPr="003F05A9">
        <w:rPr>
          <w:rFonts w:ascii="Times New Roman" w:hAnsi="Times New Roman" w:cs="Times New Roman"/>
          <w:sz w:val="24"/>
          <w:szCs w:val="24"/>
        </w:rPr>
        <w:t xml:space="preserve"> - доля городского населения, </w:t>
      </w:r>
      <w:r w:rsidRPr="003F05A9">
        <w:rPr>
          <w:rFonts w:ascii="Times New Roman" w:hAnsi="Times New Roman" w:cs="Times New Roman"/>
          <w:position w:val="-12"/>
          <w:sz w:val="24"/>
          <w:szCs w:val="24"/>
        </w:rPr>
        <w:object w:dxaOrig="260" w:dyaOrig="360">
          <v:shape id="_x0000_i1046" type="#_x0000_t75" style="width:13.5pt;height:18pt" o:ole="">
            <v:imagedata r:id="rId393" o:title=""/>
          </v:shape>
          <o:OLEObject Type="Embed" ProgID="Equation.DSMT4" ShapeID="_x0000_i1046" DrawAspect="Content" ObjectID="_1603718619" r:id="rId394"/>
        </w:object>
      </w:r>
      <w:r w:rsidRPr="003F05A9">
        <w:rPr>
          <w:rFonts w:ascii="Times New Roman" w:hAnsi="Times New Roman" w:cs="Times New Roman"/>
          <w:sz w:val="24"/>
          <w:szCs w:val="24"/>
        </w:rPr>
        <w:t xml:space="preserve">- коэффициент дифференциации доходов (характеризует степень социального расслоения и определяется как соотношение между средними уровнями денежных доходов 10% населения с самыми высокими доходами и 10% населения с самыми низкими доходами), </w:t>
      </w:r>
      <w:r w:rsidRPr="003F05A9">
        <w:rPr>
          <w:rFonts w:ascii="Times New Roman" w:hAnsi="Times New Roman" w:cs="Times New Roman"/>
          <w:position w:val="-12"/>
          <w:sz w:val="24"/>
          <w:szCs w:val="24"/>
        </w:rPr>
        <w:object w:dxaOrig="260" w:dyaOrig="360">
          <v:shape id="_x0000_i1047" type="#_x0000_t75" style="width:13.5pt;height:18pt" o:ole="">
            <v:imagedata r:id="rId395" o:title=""/>
          </v:shape>
          <o:OLEObject Type="Embed" ProgID="Equation.DSMT4" ShapeID="_x0000_i1047" DrawAspect="Content" ObjectID="_1603718620" r:id="rId396"/>
        </w:object>
      </w:r>
      <w:r w:rsidRPr="003F05A9">
        <w:rPr>
          <w:rFonts w:ascii="Times New Roman" w:hAnsi="Times New Roman" w:cs="Times New Roman"/>
          <w:sz w:val="24"/>
          <w:szCs w:val="24"/>
        </w:rPr>
        <w:t xml:space="preserve">- число мигрантов на 1000 человек населения, </w:t>
      </w:r>
      <w:r w:rsidRPr="003F05A9">
        <w:rPr>
          <w:rFonts w:ascii="Times New Roman" w:hAnsi="Times New Roman" w:cs="Times New Roman"/>
          <w:position w:val="-12"/>
          <w:sz w:val="24"/>
          <w:szCs w:val="24"/>
        </w:rPr>
        <w:object w:dxaOrig="260" w:dyaOrig="360">
          <v:shape id="_x0000_i1048" type="#_x0000_t75" style="width:13.5pt;height:18pt" o:ole="">
            <v:imagedata r:id="rId397" o:title=""/>
          </v:shape>
          <o:OLEObject Type="Embed" ProgID="Equation.DSMT4" ShapeID="_x0000_i1048" DrawAspect="Content" ObjectID="_1603718621" r:id="rId398"/>
        </w:object>
      </w:r>
      <w:r w:rsidRPr="003F05A9">
        <w:rPr>
          <w:rFonts w:ascii="Times New Roman" w:hAnsi="Times New Roman" w:cs="Times New Roman"/>
          <w:sz w:val="24"/>
          <w:szCs w:val="24"/>
        </w:rPr>
        <w:t xml:space="preserve"> - число безработных на 1000 человек населения, </w:t>
      </w:r>
      <w:r w:rsidRPr="003F05A9">
        <w:rPr>
          <w:rFonts w:ascii="Times New Roman" w:hAnsi="Times New Roman" w:cs="Times New Roman"/>
          <w:position w:val="-12"/>
          <w:sz w:val="24"/>
          <w:szCs w:val="24"/>
        </w:rPr>
        <w:object w:dxaOrig="260" w:dyaOrig="360">
          <v:shape id="_x0000_i1049" type="#_x0000_t75" style="width:13.5pt;height:18pt" o:ole="">
            <v:imagedata r:id="rId399" o:title=""/>
          </v:shape>
          <o:OLEObject Type="Embed" ProgID="Equation.DSMT4" ShapeID="_x0000_i1049" DrawAspect="Content" ObjectID="_1603718622" r:id="rId400"/>
        </w:object>
      </w:r>
      <w:r w:rsidRPr="003F05A9">
        <w:rPr>
          <w:rFonts w:ascii="Times New Roman" w:hAnsi="Times New Roman" w:cs="Times New Roman"/>
          <w:sz w:val="24"/>
          <w:szCs w:val="24"/>
        </w:rPr>
        <w:t xml:space="preserve"> - денежные доходы в среднем на душу населения, </w:t>
      </w:r>
      <w:r w:rsidRPr="003F05A9">
        <w:rPr>
          <w:rFonts w:ascii="Times New Roman" w:hAnsi="Times New Roman" w:cs="Times New Roman"/>
          <w:position w:val="-12"/>
          <w:sz w:val="24"/>
          <w:szCs w:val="24"/>
        </w:rPr>
        <w:object w:dxaOrig="260" w:dyaOrig="360">
          <v:shape id="_x0000_i1050" type="#_x0000_t75" style="width:13.5pt;height:18pt" o:ole="">
            <v:imagedata r:id="rId401" o:title=""/>
          </v:shape>
          <o:OLEObject Type="Embed" ProgID="Equation.DSMT4" ShapeID="_x0000_i1050" DrawAspect="Content" ObjectID="_1603718623" r:id="rId402"/>
        </w:object>
      </w:r>
      <w:r w:rsidRPr="003F05A9">
        <w:rPr>
          <w:rFonts w:ascii="Times New Roman" w:hAnsi="Times New Roman" w:cs="Times New Roman"/>
          <w:sz w:val="24"/>
          <w:szCs w:val="24"/>
        </w:rPr>
        <w:t xml:space="preserve">- ВРП на душу населения в ценах 2001 года, </w:t>
      </w:r>
      <w:r w:rsidRPr="003F05A9">
        <w:rPr>
          <w:rFonts w:ascii="Times New Roman" w:hAnsi="Times New Roman" w:cs="Times New Roman"/>
          <w:position w:val="-12"/>
          <w:sz w:val="24"/>
          <w:szCs w:val="24"/>
        </w:rPr>
        <w:object w:dxaOrig="260" w:dyaOrig="360">
          <v:shape id="_x0000_i1051" type="#_x0000_t75" style="width:13.5pt;height:18pt" o:ole="">
            <v:imagedata r:id="rId403" o:title=""/>
          </v:shape>
          <o:OLEObject Type="Embed" ProgID="Equation.DSMT4" ShapeID="_x0000_i1051" DrawAspect="Content" ObjectID="_1603718624" r:id="rId404"/>
        </w:object>
      </w:r>
      <w:r w:rsidRPr="003F05A9">
        <w:rPr>
          <w:rFonts w:ascii="Times New Roman" w:hAnsi="Times New Roman" w:cs="Times New Roman"/>
          <w:sz w:val="24"/>
          <w:szCs w:val="24"/>
        </w:rPr>
        <w:t xml:space="preserve">- доля населения в процентах, с уровнем доходов ниже прожиточного минимума, </w:t>
      </w:r>
      <w:r w:rsidRPr="003F05A9">
        <w:rPr>
          <w:rFonts w:ascii="Times New Roman" w:hAnsi="Times New Roman" w:cs="Times New Roman"/>
          <w:position w:val="-12"/>
          <w:sz w:val="24"/>
          <w:szCs w:val="24"/>
        </w:rPr>
        <w:object w:dxaOrig="260" w:dyaOrig="360">
          <v:shape id="_x0000_i1052" type="#_x0000_t75" style="width:13.5pt;height:18pt" o:ole="">
            <v:imagedata r:id="rId405" o:title=""/>
          </v:shape>
          <o:OLEObject Type="Embed" ProgID="Equation.DSMT4" ShapeID="_x0000_i1052" DrawAspect="Content" ObjectID="_1603718625" r:id="rId406"/>
        </w:object>
      </w:r>
      <w:r w:rsidRPr="003F05A9">
        <w:rPr>
          <w:rFonts w:ascii="Times New Roman" w:hAnsi="Times New Roman" w:cs="Times New Roman"/>
          <w:sz w:val="24"/>
          <w:szCs w:val="24"/>
        </w:rPr>
        <w:t xml:space="preserve">- продажа пива литров на душу населения, </w:t>
      </w:r>
      <w:r w:rsidRPr="003F05A9">
        <w:rPr>
          <w:rFonts w:ascii="Times New Roman" w:hAnsi="Times New Roman" w:cs="Times New Roman"/>
          <w:position w:val="-12"/>
          <w:sz w:val="24"/>
          <w:szCs w:val="24"/>
        </w:rPr>
        <w:object w:dxaOrig="320" w:dyaOrig="360">
          <v:shape id="_x0000_i1053" type="#_x0000_t75" style="width:16.5pt;height:18pt" o:ole="">
            <v:imagedata r:id="rId407" o:title=""/>
          </v:shape>
          <o:OLEObject Type="Embed" ProgID="Equation.DSMT4" ShapeID="_x0000_i1053" DrawAspect="Content" ObjectID="_1603718626" r:id="rId408"/>
        </w:object>
      </w:r>
      <w:r w:rsidRPr="003F05A9">
        <w:rPr>
          <w:rFonts w:ascii="Times New Roman" w:hAnsi="Times New Roman" w:cs="Times New Roman"/>
          <w:sz w:val="24"/>
          <w:szCs w:val="24"/>
        </w:rPr>
        <w:t xml:space="preserve"> - продажа водки литров на душу населения, </w:t>
      </w:r>
      <w:r w:rsidRPr="003F05A9">
        <w:rPr>
          <w:rFonts w:ascii="Times New Roman" w:hAnsi="Times New Roman" w:cs="Times New Roman"/>
          <w:position w:val="-12"/>
          <w:sz w:val="24"/>
          <w:szCs w:val="24"/>
        </w:rPr>
        <w:object w:dxaOrig="320" w:dyaOrig="360">
          <v:shape id="_x0000_i1054" type="#_x0000_t75" style="width:16.5pt;height:18pt" o:ole="">
            <v:imagedata r:id="rId409" o:title=""/>
          </v:shape>
          <o:OLEObject Type="Embed" ProgID="Equation.DSMT4" ShapeID="_x0000_i1054" DrawAspect="Content" ObjectID="_1603718627" r:id="rId410"/>
        </w:object>
      </w:r>
      <w:r w:rsidRPr="003F05A9">
        <w:rPr>
          <w:rFonts w:ascii="Times New Roman" w:hAnsi="Times New Roman" w:cs="Times New Roman"/>
          <w:sz w:val="24"/>
          <w:szCs w:val="24"/>
        </w:rPr>
        <w:t xml:space="preserve"> - продажа вина, игристых вин литров на душу населения, </w:t>
      </w:r>
      <w:r w:rsidRPr="003F05A9">
        <w:rPr>
          <w:rFonts w:ascii="Times New Roman" w:hAnsi="Times New Roman" w:cs="Times New Roman"/>
          <w:position w:val="-12"/>
          <w:sz w:val="24"/>
          <w:szCs w:val="24"/>
        </w:rPr>
        <w:object w:dxaOrig="320" w:dyaOrig="360">
          <v:shape id="_x0000_i1055" type="#_x0000_t75" style="width:16.5pt;height:18pt" o:ole="">
            <v:imagedata r:id="rId411" o:title=""/>
          </v:shape>
          <o:OLEObject Type="Embed" ProgID="Equation.DSMT4" ShapeID="_x0000_i1055" DrawAspect="Content" ObjectID="_1603718628" r:id="rId412"/>
        </w:object>
      </w:r>
      <w:r w:rsidRPr="003F05A9">
        <w:rPr>
          <w:rFonts w:ascii="Times New Roman" w:hAnsi="Times New Roman" w:cs="Times New Roman"/>
          <w:sz w:val="24"/>
          <w:szCs w:val="24"/>
        </w:rPr>
        <w:t xml:space="preserve">- нагрузка на одного врача (измеряется в численности населения на одного врача), </w:t>
      </w:r>
      <w:r w:rsidRPr="003F05A9">
        <w:rPr>
          <w:rFonts w:ascii="Times New Roman" w:hAnsi="Times New Roman" w:cs="Times New Roman"/>
          <w:position w:val="-12"/>
          <w:sz w:val="24"/>
          <w:szCs w:val="24"/>
        </w:rPr>
        <w:object w:dxaOrig="320" w:dyaOrig="360">
          <v:shape id="_x0000_i1056" type="#_x0000_t75" style="width:16.5pt;height:18pt" o:ole="">
            <v:imagedata r:id="rId413" o:title=""/>
          </v:shape>
          <o:OLEObject Type="Embed" ProgID="Equation.DSMT4" ShapeID="_x0000_i1056" DrawAspect="Content" ObjectID="_1603718629" r:id="rId414"/>
        </w:object>
      </w:r>
      <w:r w:rsidRPr="003F05A9">
        <w:rPr>
          <w:rFonts w:ascii="Times New Roman" w:hAnsi="Times New Roman" w:cs="Times New Roman"/>
          <w:sz w:val="24"/>
          <w:szCs w:val="24"/>
        </w:rPr>
        <w:t xml:space="preserve">- мощность амбулаторно-политехнических учреждений (измеряется в количестве посещений в смену в тысячах), </w:t>
      </w:r>
      <w:r w:rsidRPr="003F05A9">
        <w:rPr>
          <w:rFonts w:ascii="Times New Roman" w:hAnsi="Times New Roman" w:cs="Times New Roman"/>
          <w:position w:val="-12"/>
          <w:sz w:val="24"/>
          <w:szCs w:val="24"/>
        </w:rPr>
        <w:object w:dxaOrig="320" w:dyaOrig="360">
          <v:shape id="_x0000_i1057" type="#_x0000_t75" style="width:16.5pt;height:18pt" o:ole="">
            <v:imagedata r:id="rId415" o:title=""/>
          </v:shape>
          <o:OLEObject Type="Embed" ProgID="Equation.DSMT4" ShapeID="_x0000_i1057" DrawAspect="Content" ObjectID="_1603718630" r:id="rId416"/>
        </w:object>
      </w:r>
      <w:r w:rsidRPr="003F05A9">
        <w:rPr>
          <w:rFonts w:ascii="Times New Roman" w:hAnsi="Times New Roman" w:cs="Times New Roman"/>
          <w:sz w:val="24"/>
          <w:szCs w:val="24"/>
        </w:rPr>
        <w:t xml:space="preserve">- количество прерываний беременности (измеряется на 1000 женщин 15-49 лет), </w:t>
      </w:r>
      <w:r w:rsidRPr="003F05A9">
        <w:rPr>
          <w:rFonts w:ascii="Times New Roman" w:hAnsi="Times New Roman" w:cs="Times New Roman"/>
          <w:position w:val="-12"/>
          <w:sz w:val="24"/>
          <w:szCs w:val="24"/>
        </w:rPr>
        <w:object w:dxaOrig="320" w:dyaOrig="360">
          <v:shape id="_x0000_i1058" type="#_x0000_t75" style="width:16.5pt;height:18pt" o:ole="">
            <v:imagedata r:id="rId417" o:title=""/>
          </v:shape>
          <o:OLEObject Type="Embed" ProgID="Equation.DSMT4" ShapeID="_x0000_i1058" DrawAspect="Content" ObjectID="_1603718631" r:id="rId418"/>
        </w:object>
      </w:r>
      <w:r w:rsidRPr="003F05A9">
        <w:rPr>
          <w:rFonts w:ascii="Times New Roman" w:hAnsi="Times New Roman" w:cs="Times New Roman"/>
          <w:sz w:val="24"/>
          <w:szCs w:val="24"/>
        </w:rPr>
        <w:t>- число зарегистрированных преступлений на 100 тысяч человек.</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szCs w:val="24"/>
        </w:rPr>
      </w:pPr>
      <w:r w:rsidRPr="003F05A9">
        <w:rPr>
          <w:rFonts w:ascii="Times New Roman" w:hAnsi="Times New Roman" w:cs="Times New Roman"/>
          <w:sz w:val="24"/>
          <w:szCs w:val="24"/>
        </w:rPr>
        <w:tab/>
        <w:t xml:space="preserve">Все эти данные были собраны на сайтах государственной статистики [1,2] по 78 регионам с 2002 года по 2015 год, а моделирование производилось </w:t>
      </w:r>
      <w:r w:rsidRPr="003F05A9">
        <w:rPr>
          <w:rFonts w:ascii="Times New Roman" w:hAnsi="Times New Roman" w:cs="Times New Roman"/>
          <w:color w:val="000000"/>
          <w:sz w:val="24"/>
          <w:szCs w:val="24"/>
        </w:rPr>
        <w:t>с использованием программы Rstudio [3,4].</w:t>
      </w:r>
      <w:r w:rsidRPr="003F05A9">
        <w:rPr>
          <w:rFonts w:cs="Times New Roman"/>
        </w:rPr>
        <w:t xml:space="preserve"> </w:t>
      </w:r>
      <w:r w:rsidRPr="003F05A9">
        <w:rPr>
          <w:rFonts w:ascii="Times New Roman" w:hAnsi="Times New Roman" w:cs="Times New Roman"/>
          <w:sz w:val="24"/>
          <w:szCs w:val="24"/>
        </w:rPr>
        <w:t xml:space="preserve">В качестве эконометрического инструмента исследования взята модель с учетом панельных структурных данных [5]. Общая специфика, которой имеет вид: </w:t>
      </w:r>
    </w:p>
    <w:tbl>
      <w:tblPr>
        <w:tblStyle w:val="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3F05A9" w:rsidRPr="003F05A9" w:rsidTr="003F05A9">
        <w:tc>
          <w:tcPr>
            <w:tcW w:w="4927" w:type="dxa"/>
            <w:hideMark/>
          </w:tcPr>
          <w:p w:rsidR="003F05A9" w:rsidRPr="003F05A9" w:rsidRDefault="003F05A9" w:rsidP="003F05A9">
            <w:pPr>
              <w:spacing w:after="0" w:line="360" w:lineRule="auto"/>
              <w:ind w:firstLine="284"/>
              <w:jc w:val="center"/>
              <w:rPr>
                <w:rFonts w:ascii="Times New Roman" w:hAnsi="Times New Roman"/>
                <w:sz w:val="28"/>
                <w:szCs w:val="28"/>
              </w:rPr>
            </w:pPr>
            <w:r w:rsidRPr="003F05A9">
              <w:rPr>
                <w:rFonts w:ascii="Times New Roman" w:hAnsi="Times New Roman" w:cs="Calibri"/>
                <w:position w:val="-14"/>
                <w:sz w:val="28"/>
                <w:szCs w:val="28"/>
              </w:rPr>
              <w:object w:dxaOrig="1700" w:dyaOrig="380">
                <v:shape id="_x0000_i1059" type="#_x0000_t75" style="width:84.75pt;height:19.5pt" o:ole="">
                  <v:imagedata r:id="rId419" o:title=""/>
                </v:shape>
                <o:OLEObject Type="Embed" ProgID="Equation.DSMT4" ShapeID="_x0000_i1059" DrawAspect="Content" ObjectID="_1603718632" r:id="rId420"/>
              </w:object>
            </w:r>
            <w:r w:rsidRPr="003F05A9">
              <w:rPr>
                <w:rFonts w:ascii="Times New Roman" w:hAnsi="Times New Roman"/>
                <w:sz w:val="28"/>
                <w:szCs w:val="28"/>
              </w:rPr>
              <w:t xml:space="preserve"> </w:t>
            </w:r>
            <w:r w:rsidRPr="003F05A9">
              <w:rPr>
                <w:rFonts w:ascii="Times New Roman" w:hAnsi="Times New Roman" w:cs="Calibri"/>
                <w:position w:val="-8"/>
                <w:sz w:val="28"/>
                <w:szCs w:val="28"/>
              </w:rPr>
              <w:object w:dxaOrig="1260" w:dyaOrig="320">
                <v:shape id="_x0000_i1060" type="#_x0000_t75" style="width:63pt;height:16.5pt" o:ole="">
                  <v:imagedata r:id="rId421" o:title=""/>
                </v:shape>
                <o:OLEObject Type="Embed" ProgID="Equation.3" ShapeID="_x0000_i1060" DrawAspect="Content" ObjectID="_1603718633" r:id="rId422"/>
              </w:object>
            </w:r>
            <w:r w:rsidRPr="003F05A9">
              <w:rPr>
                <w:rFonts w:ascii="Times New Roman" w:hAnsi="Times New Roman"/>
                <w:sz w:val="28"/>
                <w:szCs w:val="28"/>
              </w:rPr>
              <w:t>,</w:t>
            </w:r>
          </w:p>
        </w:tc>
        <w:tc>
          <w:tcPr>
            <w:tcW w:w="4927" w:type="dxa"/>
            <w:hideMark/>
          </w:tcPr>
          <w:p w:rsidR="003F05A9" w:rsidRPr="003F05A9" w:rsidRDefault="003F05A9" w:rsidP="003F05A9">
            <w:pPr>
              <w:spacing w:after="0" w:line="360" w:lineRule="auto"/>
              <w:ind w:firstLine="284"/>
              <w:jc w:val="right"/>
              <w:rPr>
                <w:rFonts w:ascii="Times New Roman" w:hAnsi="Times New Roman"/>
                <w:sz w:val="24"/>
                <w:szCs w:val="24"/>
              </w:rPr>
            </w:pPr>
            <w:r w:rsidRPr="003F05A9">
              <w:rPr>
                <w:rFonts w:ascii="Times New Roman" w:hAnsi="Times New Roman"/>
                <w:sz w:val="24"/>
                <w:szCs w:val="24"/>
              </w:rPr>
              <w:t>(1)</w:t>
            </w:r>
          </w:p>
        </w:tc>
      </w:tr>
    </w:tbl>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szCs w:val="24"/>
        </w:rPr>
      </w:pPr>
      <w:r w:rsidRPr="003F05A9">
        <w:rPr>
          <w:rFonts w:ascii="Times New Roman" w:hAnsi="Times New Roman" w:cs="Times New Roman"/>
          <w:sz w:val="24"/>
          <w:szCs w:val="24"/>
        </w:rPr>
        <w:t xml:space="preserve">где </w:t>
      </w:r>
      <w:r w:rsidRPr="003F05A9">
        <w:rPr>
          <w:rFonts w:ascii="Times New Roman" w:hAnsi="Times New Roman" w:cs="Times New Roman"/>
          <w:i/>
          <w:sz w:val="24"/>
          <w:szCs w:val="24"/>
          <w:lang w:val="en-US"/>
        </w:rPr>
        <w:t>i</w:t>
      </w:r>
      <w:r w:rsidRPr="003F05A9">
        <w:rPr>
          <w:rFonts w:ascii="Times New Roman" w:hAnsi="Times New Roman" w:cs="Times New Roman"/>
          <w:sz w:val="24"/>
          <w:szCs w:val="24"/>
        </w:rPr>
        <w:t xml:space="preserve"> – номер объекта, </w:t>
      </w:r>
      <w:r w:rsidRPr="003F05A9">
        <w:rPr>
          <w:rFonts w:ascii="Times New Roman" w:hAnsi="Times New Roman" w:cs="Times New Roman"/>
          <w:i/>
          <w:sz w:val="24"/>
          <w:szCs w:val="24"/>
          <w:lang w:val="en-US"/>
        </w:rPr>
        <w:t>t</w:t>
      </w:r>
      <w:r w:rsidRPr="003F05A9">
        <w:rPr>
          <w:rFonts w:ascii="Times New Roman" w:hAnsi="Times New Roman" w:cs="Times New Roman"/>
          <w:i/>
          <w:sz w:val="24"/>
          <w:szCs w:val="24"/>
        </w:rPr>
        <w:t xml:space="preserve"> –</w:t>
      </w:r>
      <w:r w:rsidRPr="003F05A9">
        <w:rPr>
          <w:rFonts w:ascii="Times New Roman" w:hAnsi="Times New Roman" w:cs="Times New Roman"/>
          <w:sz w:val="24"/>
          <w:szCs w:val="24"/>
        </w:rPr>
        <w:t xml:space="preserve"> время, α – свободный член, β – вектор-столбец  коэффициентов размерности </w:t>
      </w:r>
      <w:r w:rsidRPr="003F05A9">
        <w:rPr>
          <w:rFonts w:ascii="Times New Roman" w:hAnsi="Times New Roman" w:cs="Times New Roman"/>
          <w:i/>
          <w:sz w:val="24"/>
          <w:szCs w:val="24"/>
          <w:lang w:val="en-US"/>
        </w:rPr>
        <w:t>k</w:t>
      </w:r>
      <w:r w:rsidRPr="003F05A9">
        <w:rPr>
          <w:rFonts w:ascii="Times New Roman" w:hAnsi="Times New Roman" w:cs="Times New Roman"/>
          <w:i/>
          <w:sz w:val="24"/>
          <w:szCs w:val="24"/>
        </w:rPr>
        <w:t>×1</w:t>
      </w:r>
      <w:r w:rsidRPr="003F05A9">
        <w:rPr>
          <w:rFonts w:ascii="Times New Roman" w:hAnsi="Times New Roman" w:cs="Times New Roman"/>
          <w:sz w:val="24"/>
          <w:szCs w:val="24"/>
        </w:rPr>
        <w:t>,</w:t>
      </w:r>
      <w:r w:rsidRPr="003F05A9">
        <w:rPr>
          <w:rFonts w:ascii="Times New Roman" w:hAnsi="Times New Roman" w:cs="Times New Roman"/>
          <w:i/>
          <w:sz w:val="24"/>
          <w:szCs w:val="24"/>
        </w:rPr>
        <w:t xml:space="preserve"> </w:t>
      </w:r>
      <w:r w:rsidRPr="003F05A9">
        <w:rPr>
          <w:rFonts w:ascii="Times New Roman" w:hAnsi="Times New Roman" w:cs="Times New Roman"/>
          <w:i/>
          <w:sz w:val="24"/>
          <w:szCs w:val="24"/>
          <w:lang w:val="en-US"/>
        </w:rPr>
        <w:t>X</w:t>
      </w:r>
      <w:r w:rsidRPr="003F05A9">
        <w:rPr>
          <w:rFonts w:ascii="Times New Roman" w:hAnsi="Times New Roman" w:cs="Times New Roman"/>
          <w:i/>
          <w:sz w:val="24"/>
          <w:szCs w:val="24"/>
          <w:vertAlign w:val="subscript"/>
          <w:lang w:val="en-US"/>
        </w:rPr>
        <w:t>it</w:t>
      </w:r>
      <w:r w:rsidRPr="003F05A9">
        <w:rPr>
          <w:rFonts w:ascii="Times New Roman" w:hAnsi="Times New Roman" w:cs="Times New Roman"/>
          <w:i/>
          <w:sz w:val="24"/>
          <w:szCs w:val="24"/>
          <w:vertAlign w:val="superscript"/>
        </w:rPr>
        <w:t>’</w:t>
      </w:r>
      <w:r w:rsidRPr="003F05A9">
        <w:rPr>
          <w:rFonts w:ascii="Times New Roman" w:hAnsi="Times New Roman" w:cs="Times New Roman"/>
          <w:i/>
          <w:sz w:val="24"/>
          <w:szCs w:val="24"/>
        </w:rPr>
        <w:t>=(</w:t>
      </w:r>
      <w:r w:rsidRPr="003F05A9">
        <w:rPr>
          <w:rFonts w:ascii="Times New Roman" w:hAnsi="Times New Roman" w:cs="Times New Roman"/>
          <w:i/>
          <w:sz w:val="24"/>
          <w:szCs w:val="24"/>
          <w:lang w:val="en-US"/>
        </w:rPr>
        <w:t>X</w:t>
      </w:r>
      <w:r w:rsidRPr="003F05A9">
        <w:rPr>
          <w:rFonts w:ascii="Times New Roman" w:hAnsi="Times New Roman" w:cs="Times New Roman"/>
          <w:i/>
          <w:sz w:val="24"/>
          <w:szCs w:val="24"/>
          <w:vertAlign w:val="subscript"/>
        </w:rPr>
        <w:t>1,</w:t>
      </w:r>
      <w:r w:rsidRPr="003F05A9">
        <w:rPr>
          <w:rFonts w:ascii="Times New Roman" w:hAnsi="Times New Roman" w:cs="Times New Roman"/>
          <w:i/>
          <w:sz w:val="24"/>
          <w:szCs w:val="24"/>
          <w:vertAlign w:val="subscript"/>
          <w:lang w:val="en-US"/>
        </w:rPr>
        <w:t>it</w:t>
      </w:r>
      <w:r w:rsidRPr="003F05A9">
        <w:rPr>
          <w:rFonts w:ascii="Times New Roman" w:hAnsi="Times New Roman" w:cs="Times New Roman"/>
          <w:i/>
          <w:sz w:val="24"/>
          <w:szCs w:val="24"/>
        </w:rPr>
        <w:t>;</w:t>
      </w:r>
      <w:r w:rsidRPr="003F05A9">
        <w:rPr>
          <w:rFonts w:ascii="Times New Roman" w:hAnsi="Times New Roman" w:cs="Times New Roman"/>
          <w:i/>
          <w:sz w:val="24"/>
          <w:szCs w:val="24"/>
          <w:lang w:val="en-US"/>
        </w:rPr>
        <w:t>X</w:t>
      </w:r>
      <w:r w:rsidRPr="003F05A9">
        <w:rPr>
          <w:rFonts w:ascii="Times New Roman" w:hAnsi="Times New Roman" w:cs="Times New Roman"/>
          <w:i/>
          <w:sz w:val="24"/>
          <w:szCs w:val="24"/>
          <w:vertAlign w:val="subscript"/>
        </w:rPr>
        <w:t>2,</w:t>
      </w:r>
      <w:r w:rsidRPr="003F05A9">
        <w:rPr>
          <w:rFonts w:ascii="Times New Roman" w:hAnsi="Times New Roman" w:cs="Times New Roman"/>
          <w:i/>
          <w:sz w:val="24"/>
          <w:szCs w:val="24"/>
          <w:vertAlign w:val="subscript"/>
          <w:lang w:val="en-US"/>
        </w:rPr>
        <w:t>it</w:t>
      </w:r>
      <w:r w:rsidRPr="003F05A9">
        <w:rPr>
          <w:rFonts w:ascii="Times New Roman" w:hAnsi="Times New Roman" w:cs="Times New Roman"/>
          <w:i/>
          <w:sz w:val="24"/>
          <w:szCs w:val="24"/>
        </w:rPr>
        <w:t xml:space="preserve">;…; </w:t>
      </w:r>
      <w:r w:rsidRPr="003F05A9">
        <w:rPr>
          <w:rFonts w:ascii="Times New Roman" w:hAnsi="Times New Roman" w:cs="Times New Roman"/>
          <w:i/>
          <w:sz w:val="24"/>
          <w:szCs w:val="24"/>
          <w:lang w:val="en-US"/>
        </w:rPr>
        <w:t>X</w:t>
      </w:r>
      <w:r w:rsidRPr="003F05A9">
        <w:rPr>
          <w:rFonts w:ascii="Times New Roman" w:hAnsi="Times New Roman" w:cs="Times New Roman"/>
          <w:i/>
          <w:sz w:val="24"/>
          <w:szCs w:val="24"/>
          <w:vertAlign w:val="subscript"/>
          <w:lang w:val="en-US"/>
        </w:rPr>
        <w:t>k</w:t>
      </w:r>
      <w:r w:rsidRPr="003F05A9">
        <w:rPr>
          <w:rFonts w:ascii="Times New Roman" w:hAnsi="Times New Roman" w:cs="Times New Roman"/>
          <w:i/>
          <w:sz w:val="24"/>
          <w:szCs w:val="24"/>
          <w:vertAlign w:val="subscript"/>
        </w:rPr>
        <w:t>,</w:t>
      </w:r>
      <w:r w:rsidRPr="003F05A9">
        <w:rPr>
          <w:rFonts w:ascii="Times New Roman" w:hAnsi="Times New Roman" w:cs="Times New Roman"/>
          <w:i/>
          <w:sz w:val="24"/>
          <w:szCs w:val="24"/>
          <w:vertAlign w:val="subscript"/>
          <w:lang w:val="en-US"/>
        </w:rPr>
        <w:t>it</w:t>
      </w:r>
      <w:r w:rsidRPr="003F05A9">
        <w:rPr>
          <w:rFonts w:ascii="Times New Roman" w:hAnsi="Times New Roman" w:cs="Times New Roman"/>
          <w:i/>
          <w:sz w:val="24"/>
          <w:szCs w:val="24"/>
        </w:rPr>
        <w:t>)</w:t>
      </w:r>
      <w:r w:rsidRPr="003F05A9">
        <w:rPr>
          <w:rFonts w:ascii="Times New Roman" w:hAnsi="Times New Roman" w:cs="Times New Roman"/>
          <w:sz w:val="24"/>
          <w:szCs w:val="24"/>
        </w:rPr>
        <w:t xml:space="preserve"> – вектор-строка матрицы </w:t>
      </w:r>
      <w:r w:rsidRPr="003F05A9">
        <w:rPr>
          <w:rFonts w:ascii="Times New Roman" w:hAnsi="Times New Roman" w:cs="Times New Roman"/>
          <w:i/>
          <w:sz w:val="24"/>
          <w:szCs w:val="24"/>
          <w:lang w:val="en-US"/>
        </w:rPr>
        <w:t>k</w:t>
      </w:r>
      <w:r w:rsidRPr="003F05A9">
        <w:rPr>
          <w:rFonts w:ascii="Times New Roman" w:hAnsi="Times New Roman" w:cs="Times New Roman"/>
          <w:sz w:val="24"/>
          <w:szCs w:val="24"/>
        </w:rPr>
        <w:t xml:space="preserve"> объясняющих переменных, </w:t>
      </w:r>
      <w:r w:rsidRPr="003F05A9">
        <w:rPr>
          <w:rFonts w:ascii="Times New Roman" w:hAnsi="Times New Roman" w:cs="Times New Roman"/>
          <w:i/>
          <w:sz w:val="24"/>
          <w:szCs w:val="24"/>
          <w:lang w:val="en-US"/>
        </w:rPr>
        <w:t>v</w:t>
      </w:r>
      <w:r w:rsidRPr="003F05A9">
        <w:rPr>
          <w:rFonts w:ascii="Times New Roman" w:hAnsi="Times New Roman" w:cs="Times New Roman"/>
          <w:i/>
          <w:sz w:val="24"/>
          <w:szCs w:val="24"/>
          <w:vertAlign w:val="subscript"/>
          <w:lang w:val="en-US"/>
        </w:rPr>
        <w:t>it</w:t>
      </w:r>
      <w:r w:rsidRPr="003F05A9">
        <w:rPr>
          <w:rFonts w:ascii="Times New Roman" w:hAnsi="Times New Roman" w:cs="Times New Roman"/>
          <w:i/>
          <w:sz w:val="24"/>
          <w:szCs w:val="24"/>
        </w:rPr>
        <w:t>=</w:t>
      </w:r>
      <w:r w:rsidRPr="003F05A9">
        <w:rPr>
          <w:rFonts w:ascii="Times New Roman" w:hAnsi="Times New Roman" w:cs="Times New Roman"/>
          <w:i/>
          <w:sz w:val="24"/>
          <w:szCs w:val="24"/>
          <w:lang w:val="en-US"/>
        </w:rPr>
        <w:t>u</w:t>
      </w:r>
      <w:r w:rsidRPr="003F05A9">
        <w:rPr>
          <w:rFonts w:ascii="Times New Roman" w:hAnsi="Times New Roman" w:cs="Times New Roman"/>
          <w:i/>
          <w:sz w:val="24"/>
          <w:szCs w:val="24"/>
          <w:vertAlign w:val="subscript"/>
          <w:lang w:val="en-US"/>
        </w:rPr>
        <w:t>i</w:t>
      </w:r>
      <w:r w:rsidRPr="003F05A9">
        <w:rPr>
          <w:rFonts w:ascii="Times New Roman" w:hAnsi="Times New Roman" w:cs="Times New Roman"/>
          <w:i/>
          <w:sz w:val="24"/>
          <w:szCs w:val="24"/>
        </w:rPr>
        <w:t>+ε</w:t>
      </w:r>
      <w:r w:rsidRPr="003F05A9">
        <w:rPr>
          <w:rFonts w:ascii="Times New Roman" w:hAnsi="Times New Roman" w:cs="Times New Roman"/>
          <w:i/>
          <w:sz w:val="24"/>
          <w:szCs w:val="24"/>
          <w:vertAlign w:val="subscript"/>
          <w:lang w:val="en-US"/>
        </w:rPr>
        <w:t>it</w:t>
      </w:r>
      <w:r w:rsidRPr="003F05A9">
        <w:rPr>
          <w:rFonts w:ascii="Times New Roman" w:hAnsi="Times New Roman" w:cs="Times New Roman"/>
          <w:sz w:val="24"/>
          <w:szCs w:val="24"/>
        </w:rPr>
        <w:t xml:space="preserve"> – случайная ошибка с ненаблюдаемыми индивидуальными эффектами </w:t>
      </w:r>
      <w:r w:rsidRPr="003F05A9">
        <w:rPr>
          <w:rFonts w:ascii="Times New Roman" w:hAnsi="Times New Roman" w:cs="Times New Roman"/>
          <w:i/>
          <w:sz w:val="24"/>
          <w:szCs w:val="24"/>
          <w:lang w:val="en-US"/>
        </w:rPr>
        <w:t>u</w:t>
      </w:r>
      <w:r w:rsidRPr="003F05A9">
        <w:rPr>
          <w:rFonts w:ascii="Times New Roman" w:hAnsi="Times New Roman" w:cs="Times New Roman"/>
          <w:i/>
          <w:sz w:val="24"/>
          <w:szCs w:val="24"/>
          <w:vertAlign w:val="subscript"/>
          <w:lang w:val="en-US"/>
        </w:rPr>
        <w:t>i</w:t>
      </w:r>
      <w:r w:rsidRPr="003F05A9">
        <w:rPr>
          <w:rFonts w:ascii="Times New Roman" w:hAnsi="Times New Roman" w:cs="Times New Roman"/>
          <w:sz w:val="24"/>
          <w:szCs w:val="24"/>
        </w:rPr>
        <w:t xml:space="preserve"> и остаточным возмущением </w:t>
      </w:r>
      <w:r w:rsidRPr="003F05A9">
        <w:rPr>
          <w:rFonts w:ascii="Times New Roman" w:hAnsi="Times New Roman" w:cs="Times New Roman"/>
          <w:i/>
          <w:sz w:val="24"/>
          <w:szCs w:val="24"/>
        </w:rPr>
        <w:t>ε</w:t>
      </w:r>
      <w:r w:rsidRPr="003F05A9">
        <w:rPr>
          <w:rFonts w:ascii="Times New Roman" w:hAnsi="Times New Roman" w:cs="Times New Roman"/>
          <w:i/>
          <w:sz w:val="24"/>
          <w:szCs w:val="24"/>
          <w:vertAlign w:val="subscript"/>
          <w:lang w:val="en-US"/>
        </w:rPr>
        <w:t>it</w:t>
      </w:r>
      <w:r w:rsidRPr="003F05A9">
        <w:rPr>
          <w:rFonts w:ascii="Times New Roman" w:hAnsi="Times New Roman" w:cs="Times New Roman"/>
          <w:sz w:val="24"/>
          <w:szCs w:val="24"/>
        </w:rPr>
        <w:t>.</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szCs w:val="24"/>
        </w:rPr>
      </w:pPr>
      <w:r w:rsidRPr="003F05A9">
        <w:rPr>
          <w:rFonts w:ascii="Times New Roman" w:hAnsi="Times New Roman" w:cs="Times New Roman"/>
          <w:sz w:val="24"/>
          <w:szCs w:val="24"/>
        </w:rPr>
        <w:tab/>
        <w:t xml:space="preserve">Данные используемые, для построения данного типа модели подверглись предварительной стандартизации.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szCs w:val="24"/>
        </w:rPr>
      </w:pPr>
      <w:r w:rsidRPr="003F05A9">
        <w:rPr>
          <w:rFonts w:cs="Times New Roman"/>
        </w:rPr>
        <w:tab/>
      </w:r>
      <w:r w:rsidRPr="003F05A9">
        <w:rPr>
          <w:rFonts w:ascii="Times New Roman" w:hAnsi="Times New Roman" w:cs="Times New Roman"/>
          <w:sz w:val="24"/>
          <w:szCs w:val="24"/>
        </w:rPr>
        <w:t xml:space="preserve">Методом </w:t>
      </w:r>
      <w:r w:rsidRPr="003F05A9">
        <w:rPr>
          <w:rFonts w:ascii="Times New Roman" w:hAnsi="Times New Roman" w:cs="Times New Roman"/>
          <w:color w:val="000000"/>
          <w:sz w:val="24"/>
          <w:szCs w:val="24"/>
          <w:shd w:val="clear" w:color="auto" w:fill="FFFFFF"/>
        </w:rPr>
        <w:t>Best Subsets</w:t>
      </w:r>
      <w:r w:rsidRPr="003F05A9">
        <w:rPr>
          <w:rFonts w:ascii="Times New Roman" w:hAnsi="Times New Roman" w:cs="Times New Roman"/>
          <w:sz w:val="24"/>
          <w:szCs w:val="24"/>
        </w:rPr>
        <w:t xml:space="preserve"> </w:t>
      </w:r>
      <w:r w:rsidRPr="003F05A9">
        <w:rPr>
          <w:rFonts w:ascii="Times New Roman" w:hAnsi="Times New Roman" w:cs="Times New Roman"/>
          <w:color w:val="000000"/>
          <w:sz w:val="24"/>
          <w:szCs w:val="24"/>
        </w:rPr>
        <w:t>построена м</w:t>
      </w:r>
      <w:r w:rsidRPr="003F05A9">
        <w:rPr>
          <w:rFonts w:ascii="Times New Roman" w:hAnsi="Times New Roman" w:cs="Times New Roman"/>
          <w:sz w:val="24"/>
          <w:szCs w:val="24"/>
        </w:rPr>
        <w:t xml:space="preserve">одель панельных данных с детерминированными эффектами зависимости показателя заболеваемости от экологических факторов для  78 регионов, которая получилась значимой, со значимыми коэффициентами при переменных </w:t>
      </w:r>
      <w:r w:rsidRPr="003F05A9">
        <w:rPr>
          <w:rFonts w:ascii="Times New Roman" w:hAnsi="Times New Roman" w:cs="Times New Roman"/>
          <w:position w:val="-12"/>
          <w:sz w:val="24"/>
          <w:szCs w:val="24"/>
        </w:rPr>
        <w:object w:dxaOrig="2260" w:dyaOrig="360">
          <v:shape id="_x0000_i1061" type="#_x0000_t75" style="width:111.75pt;height:18.75pt" o:ole="">
            <v:imagedata r:id="rId423" o:title=""/>
          </v:shape>
          <o:OLEObject Type="Embed" ProgID="Equation.DSMT4" ShapeID="_x0000_i1061" DrawAspect="Content" ObjectID="_1603718634" r:id="rId424"/>
        </w:object>
      </w:r>
      <w:r w:rsidRPr="003F05A9">
        <w:rPr>
          <w:rFonts w:ascii="Times New Roman" w:hAnsi="Times New Roman" w:cs="Times New Roman"/>
          <w:sz w:val="24"/>
          <w:szCs w:val="24"/>
        </w:rPr>
        <w:t>, результаты моделирования представлены на рисунке 1.</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szCs w:val="24"/>
        </w:rPr>
      </w:pPr>
      <w:r w:rsidRPr="003F05A9">
        <w:rPr>
          <w:rFonts w:ascii="Times New Roman" w:hAnsi="Times New Roman" w:cs="Times New Roman"/>
          <w:sz w:val="24"/>
          <w:szCs w:val="24"/>
        </w:rPr>
        <w:tab/>
        <w:t xml:space="preserve">При увеличении, например, доли городского населения значение (фактор </w:t>
      </w:r>
      <w:r w:rsidRPr="003F05A9">
        <w:rPr>
          <w:rFonts w:ascii="Times New Roman" w:hAnsi="Times New Roman" w:cs="Times New Roman"/>
          <w:position w:val="-12"/>
          <w:sz w:val="24"/>
          <w:szCs w:val="24"/>
        </w:rPr>
        <w:object w:dxaOrig="260" w:dyaOrig="360">
          <v:shape id="_x0000_i1062" type="#_x0000_t75" style="width:13.5pt;height:18pt" o:ole="">
            <v:imagedata r:id="rId391" o:title=""/>
          </v:shape>
          <o:OLEObject Type="Embed" ProgID="Equation.DSMT4" ShapeID="_x0000_i1062" DrawAspect="Content" ObjectID="_1603718635" r:id="rId425"/>
        </w:object>
      </w:r>
      <w:r w:rsidRPr="003F05A9">
        <w:rPr>
          <w:rFonts w:ascii="Times New Roman" w:hAnsi="Times New Roman" w:cs="Times New Roman"/>
          <w:sz w:val="24"/>
          <w:szCs w:val="24"/>
        </w:rPr>
        <w:t xml:space="preserve">) показатель заболеваемости ВИЧ увеличивается, возможно,  в сельской  местности меньше заболевших ВИЧ или существует проблема диагностики данного заболевания. Так же положительное воздействие на рост заболеваемости оказывают факторы </w:t>
      </w:r>
      <w:r w:rsidRPr="003F05A9">
        <w:rPr>
          <w:rFonts w:ascii="Times New Roman" w:hAnsi="Times New Roman" w:cs="Times New Roman"/>
          <w:position w:val="-12"/>
          <w:sz w:val="24"/>
          <w:szCs w:val="24"/>
        </w:rPr>
        <w:object w:dxaOrig="260" w:dyaOrig="360">
          <v:shape id="_x0000_i1063" type="#_x0000_t75" style="width:13.5pt;height:18pt" o:ole="">
            <v:imagedata r:id="rId401" o:title=""/>
          </v:shape>
          <o:OLEObject Type="Embed" ProgID="Equation.DSMT4" ShapeID="_x0000_i1063" DrawAspect="Content" ObjectID="_1603718636" r:id="rId426"/>
        </w:object>
      </w:r>
      <w:r w:rsidRPr="003F05A9">
        <w:rPr>
          <w:rFonts w:ascii="Times New Roman" w:hAnsi="Times New Roman" w:cs="Times New Roman"/>
          <w:sz w:val="24"/>
          <w:szCs w:val="24"/>
        </w:rPr>
        <w:t xml:space="preserve">, </w:t>
      </w:r>
      <w:r w:rsidRPr="003F05A9">
        <w:rPr>
          <w:rFonts w:ascii="Times New Roman" w:hAnsi="Times New Roman" w:cs="Times New Roman"/>
          <w:position w:val="-12"/>
          <w:sz w:val="24"/>
          <w:szCs w:val="24"/>
        </w:rPr>
        <w:object w:dxaOrig="320" w:dyaOrig="360">
          <v:shape id="_x0000_i1064" type="#_x0000_t75" style="width:16.5pt;height:18pt" o:ole="">
            <v:imagedata r:id="rId427" o:title=""/>
          </v:shape>
          <o:OLEObject Type="Embed" ProgID="Equation.DSMT4" ShapeID="_x0000_i1064" DrawAspect="Content" ObjectID="_1603718637" r:id="rId428"/>
        </w:object>
      </w:r>
      <w:r w:rsidRPr="003F05A9">
        <w:rPr>
          <w:rFonts w:ascii="Times New Roman" w:hAnsi="Times New Roman" w:cs="Times New Roman"/>
          <w:sz w:val="24"/>
          <w:szCs w:val="24"/>
        </w:rPr>
        <w:t xml:space="preserve">, </w:t>
      </w:r>
      <w:r w:rsidRPr="003F05A9">
        <w:rPr>
          <w:rFonts w:ascii="Times New Roman" w:hAnsi="Times New Roman" w:cs="Times New Roman"/>
          <w:position w:val="-12"/>
          <w:sz w:val="24"/>
          <w:szCs w:val="24"/>
        </w:rPr>
        <w:object w:dxaOrig="320" w:dyaOrig="360">
          <v:shape id="_x0000_i1065" type="#_x0000_t75" style="width:16.5pt;height:18pt" o:ole="">
            <v:imagedata r:id="rId429" o:title=""/>
          </v:shape>
          <o:OLEObject Type="Embed" ProgID="Equation.DSMT4" ShapeID="_x0000_i1065" DrawAspect="Content" ObjectID="_1603718638" r:id="rId430"/>
        </w:object>
      </w:r>
      <w:r w:rsidRPr="003F05A9">
        <w:rPr>
          <w:rFonts w:ascii="Times New Roman" w:hAnsi="Times New Roman" w:cs="Times New Roman"/>
          <w:sz w:val="24"/>
          <w:szCs w:val="24"/>
        </w:rPr>
        <w:t xml:space="preserve">, </w:t>
      </w:r>
      <w:r w:rsidRPr="003F05A9">
        <w:rPr>
          <w:rFonts w:ascii="Times New Roman" w:hAnsi="Times New Roman" w:cs="Times New Roman"/>
          <w:position w:val="-12"/>
          <w:sz w:val="24"/>
          <w:szCs w:val="24"/>
        </w:rPr>
        <w:object w:dxaOrig="320" w:dyaOrig="360">
          <v:shape id="_x0000_i1066" type="#_x0000_t75" style="width:16.5pt;height:18pt" o:ole="">
            <v:imagedata r:id="rId431" o:title=""/>
          </v:shape>
          <o:OLEObject Type="Embed" ProgID="Equation.DSMT4" ShapeID="_x0000_i1066" DrawAspect="Content" ObjectID="_1603718639" r:id="rId432"/>
        </w:object>
      </w:r>
      <w:r w:rsidRPr="003F05A9">
        <w:rPr>
          <w:rFonts w:ascii="Times New Roman" w:hAnsi="Times New Roman" w:cs="Times New Roman"/>
          <w:sz w:val="24"/>
          <w:szCs w:val="24"/>
        </w:rPr>
        <w:t xml:space="preserve"> и отрицательное </w:t>
      </w:r>
      <w:r w:rsidRPr="003F05A9">
        <w:rPr>
          <w:rFonts w:ascii="Times New Roman" w:hAnsi="Times New Roman" w:cs="Times New Roman"/>
          <w:position w:val="-12"/>
          <w:sz w:val="24"/>
          <w:szCs w:val="24"/>
        </w:rPr>
        <w:object w:dxaOrig="260" w:dyaOrig="360">
          <v:shape id="_x0000_i1067" type="#_x0000_t75" style="width:13.5pt;height:18pt" o:ole="">
            <v:imagedata r:id="rId433" o:title=""/>
          </v:shape>
          <o:OLEObject Type="Embed" ProgID="Equation.DSMT4" ShapeID="_x0000_i1067" DrawAspect="Content" ObjectID="_1603718640" r:id="rId434"/>
        </w:object>
      </w:r>
      <w:r w:rsidRPr="003F05A9">
        <w:rPr>
          <w:rFonts w:ascii="Times New Roman" w:hAnsi="Times New Roman" w:cs="Times New Roman"/>
          <w:sz w:val="24"/>
          <w:szCs w:val="24"/>
        </w:rPr>
        <w:t xml:space="preserve">, </w:t>
      </w:r>
      <w:r w:rsidRPr="003F05A9">
        <w:rPr>
          <w:rFonts w:ascii="Times New Roman" w:hAnsi="Times New Roman" w:cs="Times New Roman"/>
          <w:position w:val="-12"/>
          <w:sz w:val="24"/>
          <w:szCs w:val="24"/>
        </w:rPr>
        <w:object w:dxaOrig="320" w:dyaOrig="360">
          <v:shape id="_x0000_i1068" type="#_x0000_t75" style="width:16.5pt;height:18pt" o:ole="">
            <v:imagedata r:id="rId435" o:title=""/>
          </v:shape>
          <o:OLEObject Type="Embed" ProgID="Equation.DSMT4" ShapeID="_x0000_i1068" DrawAspect="Content" ObjectID="_1603718641" r:id="rId436"/>
        </w:object>
      </w:r>
      <w:r w:rsidRPr="003F05A9">
        <w:rPr>
          <w:rFonts w:ascii="Times New Roman" w:hAnsi="Times New Roman" w:cs="Times New Roman"/>
          <w:sz w:val="24"/>
          <w:szCs w:val="24"/>
        </w:rPr>
        <w:t>. Влияние некоторых факторов вполне поддаются интерпретации с точки зрения здравого смысла, иные требуют более вдумчивого и доказательного осмысления. Так, например, кажется вполне логичным прямая связь (положительный коэффициент) заболеваемости с ростом потребления вина, большой нагрузке на врачей и мощность амбулаторно-политехнических учреждений. Но положительная связь заболеваемости с показателем ВРП, а также отрицательная с показателем доли населения с уровнем доходов ниже прожиточного минимума и потреблением водки, хотя и кажется нам небезосновательным, но, тем не менее, требует более серьезного обоснования.</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rPr>
      </w:pPr>
      <w:r w:rsidRPr="003F05A9">
        <w:rPr>
          <w:rFonts w:ascii="Times New Roman" w:hAnsi="Times New Roman" w:cs="Times New Roman"/>
          <w:noProof/>
          <w:sz w:val="24"/>
          <w:szCs w:val="24"/>
          <w:lang w:eastAsia="ru-RU"/>
        </w:rPr>
        <w:drawing>
          <wp:inline distT="0" distB="0" distL="0" distR="0" wp14:anchorId="450670EF" wp14:editId="23275DE3">
            <wp:extent cx="3295650" cy="2457450"/>
            <wp:effectExtent l="0" t="0" r="0" b="0"/>
            <wp:docPr id="180"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437">
                      <a:extLst>
                        <a:ext uri="{28A0092B-C50C-407E-A947-70E740481C1C}">
                          <a14:useLocalDpi xmlns:a14="http://schemas.microsoft.com/office/drawing/2010/main" val="0"/>
                        </a:ext>
                      </a:extLst>
                    </a:blip>
                    <a:srcRect l="684" t="53320" r="69826" b="6857"/>
                    <a:stretch>
                      <a:fillRect/>
                    </a:stretch>
                  </pic:blipFill>
                  <pic:spPr bwMode="auto">
                    <a:xfrm>
                      <a:off x="0" y="0"/>
                      <a:ext cx="3295650" cy="2457450"/>
                    </a:xfrm>
                    <a:prstGeom prst="rect">
                      <a:avLst/>
                    </a:prstGeom>
                    <a:noFill/>
                    <a:ln>
                      <a:noFill/>
                    </a:ln>
                  </pic:spPr>
                </pic:pic>
              </a:graphicData>
            </a:graphic>
          </wp:inline>
        </w:drawing>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rPr>
      </w:pPr>
      <w:r w:rsidRPr="003F05A9">
        <w:rPr>
          <w:rFonts w:ascii="Times New Roman" w:hAnsi="Times New Roman" w:cs="Times New Roman"/>
          <w:color w:val="000000"/>
          <w:sz w:val="24"/>
          <w:szCs w:val="24"/>
        </w:rPr>
        <w:t>Рис.1. Модель с детерминированными эффектами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szCs w:val="24"/>
        </w:rPr>
      </w:pPr>
      <w:r w:rsidRPr="003F05A9">
        <w:rPr>
          <w:rFonts w:ascii="Times New Roman" w:hAnsi="Times New Roman" w:cs="Times New Roman"/>
          <w:sz w:val="24"/>
          <w:szCs w:val="24"/>
        </w:rPr>
        <w:tab/>
        <w:t>Следующий этап анализа данных, который мы выполнили - это использование «Метода главных компонент» (PCA-principal components analysis)[5].</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Этот метод нередко позволяет построить более адекватные модели со всеми факторами, при этом преобразовать большое число скоррелированных переменных в гораздо меньший набор нескоррелированных переменных, называемых главными компонентами. Главные компоненты сохраняют максимально возможную часть информации, которая содержалась в исходном наборе переменных.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Согласно критерию Кайзера определено число главных компонент, равное трем и четырем - для компонент с вращением.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lang w:val="en-US"/>
        </w:rPr>
      </w:pPr>
      <w:r w:rsidRPr="003F05A9">
        <w:rPr>
          <w:rFonts w:ascii="Times New Roman" w:hAnsi="Times New Roman" w:cs="Times New Roman"/>
          <w:noProof/>
          <w:sz w:val="24"/>
          <w:szCs w:val="24"/>
          <w:lang w:eastAsia="ru-RU"/>
        </w:rPr>
        <w:drawing>
          <wp:inline distT="0" distB="0" distL="0" distR="0" wp14:anchorId="4169B361" wp14:editId="0F136F40">
            <wp:extent cx="3638550" cy="2276475"/>
            <wp:effectExtent l="0" t="0" r="0" b="0"/>
            <wp:docPr id="181"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pic:cNvPicPr>
                      <a:picLocks noChangeAspect="1" noChangeArrowheads="1"/>
                    </pic:cNvPicPr>
                  </pic:nvPicPr>
                  <pic:blipFill>
                    <a:blip r:embed="rId438">
                      <a:extLst>
                        <a:ext uri="{28A0092B-C50C-407E-A947-70E740481C1C}">
                          <a14:useLocalDpi xmlns:a14="http://schemas.microsoft.com/office/drawing/2010/main" val="0"/>
                        </a:ext>
                      </a:extLst>
                    </a:blip>
                    <a:srcRect l="684" t="60617" r="69199" b="7303"/>
                    <a:stretch>
                      <a:fillRect/>
                    </a:stretch>
                  </pic:blipFill>
                  <pic:spPr bwMode="auto">
                    <a:xfrm>
                      <a:off x="0" y="0"/>
                      <a:ext cx="3638550" cy="2276475"/>
                    </a:xfrm>
                    <a:prstGeom prst="rect">
                      <a:avLst/>
                    </a:prstGeom>
                    <a:noFill/>
                    <a:ln>
                      <a:noFill/>
                    </a:ln>
                  </pic:spPr>
                </pic:pic>
              </a:graphicData>
            </a:graphic>
          </wp:inline>
        </w:drawing>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F05A9">
        <w:rPr>
          <w:rFonts w:ascii="Times New Roman" w:hAnsi="Times New Roman" w:cs="Times New Roman"/>
          <w:color w:val="000000"/>
          <w:sz w:val="24"/>
          <w:szCs w:val="24"/>
        </w:rPr>
        <w:t>Рис.2. Модель с детерминированными эффектами главным компонентам без вращения</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rPr>
      </w:pPr>
      <w:r w:rsidRPr="003F05A9">
        <w:rPr>
          <w:rFonts w:ascii="Times New Roman" w:hAnsi="Times New Roman" w:cs="Times New Roman"/>
          <w:noProof/>
          <w:sz w:val="24"/>
          <w:szCs w:val="24"/>
          <w:lang w:eastAsia="ru-RU"/>
        </w:rPr>
        <w:drawing>
          <wp:inline distT="0" distB="0" distL="0" distR="0" wp14:anchorId="0E7B8BFC" wp14:editId="34B6017D">
            <wp:extent cx="3676650" cy="2257425"/>
            <wp:effectExtent l="0" t="0" r="0" b="0"/>
            <wp:docPr id="182"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439">
                      <a:extLst>
                        <a:ext uri="{28A0092B-C50C-407E-A947-70E740481C1C}">
                          <a14:useLocalDpi xmlns:a14="http://schemas.microsoft.com/office/drawing/2010/main" val="0"/>
                        </a:ext>
                      </a:extLst>
                    </a:blip>
                    <a:srcRect l="684" t="59735" r="68451" b="7080"/>
                    <a:stretch>
                      <a:fillRect/>
                    </a:stretch>
                  </pic:blipFill>
                  <pic:spPr bwMode="auto">
                    <a:xfrm>
                      <a:off x="0" y="0"/>
                      <a:ext cx="3676650" cy="2257425"/>
                    </a:xfrm>
                    <a:prstGeom prst="rect">
                      <a:avLst/>
                    </a:prstGeom>
                    <a:noFill/>
                    <a:ln>
                      <a:noFill/>
                    </a:ln>
                  </pic:spPr>
                </pic:pic>
              </a:graphicData>
            </a:graphic>
          </wp:inline>
        </w:drawing>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rPr>
      </w:pPr>
      <w:r w:rsidRPr="003F05A9">
        <w:rPr>
          <w:rFonts w:ascii="Times New Roman" w:hAnsi="Times New Roman" w:cs="Times New Roman"/>
          <w:color w:val="000000"/>
          <w:sz w:val="24"/>
          <w:szCs w:val="24"/>
        </w:rPr>
        <w:t>Рис.3. Модель с детерминированными эффектами главным компонентам с вращением</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Построенные модели с детерминированными эффектами по главным компонентам получились статистически значимые, со значимыми коэффициентами при главных компонентах, с коэффициентом детерминации, близким к 0.5.</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Но главные компоненты и нагрузки на них факторов зачастую нелегко интерпретировать, поэтому на следующем этапе исследования факторы предварительно разбили на группы с учетом межфакторной корреляции и аналитических соображений. В первую группу, названную нами «социальные факторы», вошли показатели: </w:t>
      </w:r>
      <w:r w:rsidRPr="003F05A9">
        <w:rPr>
          <w:rFonts w:ascii="Times New Roman" w:hAnsi="Times New Roman" w:cs="Times New Roman"/>
          <w:position w:val="-10"/>
          <w:sz w:val="24"/>
          <w:szCs w:val="24"/>
        </w:rPr>
        <w:object w:dxaOrig="240" w:dyaOrig="340">
          <v:shape id="_x0000_i1069" type="#_x0000_t75" style="width:12pt;height:17.25pt" o:ole="">
            <v:imagedata r:id="rId389" o:title=""/>
          </v:shape>
          <o:OLEObject Type="Embed" ProgID="Equation.3" ShapeID="_x0000_i1069" DrawAspect="Content" ObjectID="_1603718642" r:id="rId440"/>
        </w:object>
      </w:r>
      <w:r w:rsidRPr="003F05A9">
        <w:rPr>
          <w:rFonts w:ascii="Times New Roman" w:hAnsi="Times New Roman" w:cs="Times New Roman"/>
          <w:sz w:val="24"/>
          <w:szCs w:val="24"/>
        </w:rPr>
        <w:t xml:space="preserve">, </w:t>
      </w:r>
      <w:r w:rsidRPr="003F05A9">
        <w:rPr>
          <w:rFonts w:ascii="Times New Roman" w:hAnsi="Times New Roman" w:cs="Times New Roman"/>
          <w:position w:val="-12"/>
          <w:sz w:val="24"/>
          <w:szCs w:val="24"/>
        </w:rPr>
        <w:object w:dxaOrig="260" w:dyaOrig="360">
          <v:shape id="_x0000_i1070" type="#_x0000_t75" style="width:13.5pt;height:18.75pt" o:ole="">
            <v:imagedata r:id="rId441" o:title=""/>
          </v:shape>
          <o:OLEObject Type="Embed" ProgID="Equation.DSMT4" ShapeID="_x0000_i1070" DrawAspect="Content" ObjectID="_1603718643" r:id="rId442"/>
        </w:object>
      </w:r>
      <w:r w:rsidRPr="003F05A9">
        <w:rPr>
          <w:rFonts w:ascii="Times New Roman" w:hAnsi="Times New Roman" w:cs="Times New Roman"/>
          <w:sz w:val="24"/>
          <w:szCs w:val="24"/>
        </w:rPr>
        <w:t xml:space="preserve">, </w:t>
      </w:r>
      <w:r w:rsidRPr="003F05A9">
        <w:rPr>
          <w:rFonts w:ascii="Times New Roman" w:hAnsi="Times New Roman" w:cs="Times New Roman"/>
          <w:position w:val="-12"/>
          <w:sz w:val="24"/>
          <w:szCs w:val="24"/>
        </w:rPr>
        <w:object w:dxaOrig="260" w:dyaOrig="360">
          <v:shape id="_x0000_i1071" type="#_x0000_t75" style="width:13.5pt;height:18.75pt" o:ole="">
            <v:imagedata r:id="rId443" o:title=""/>
          </v:shape>
          <o:OLEObject Type="Embed" ProgID="Equation.DSMT4" ShapeID="_x0000_i1071" DrawAspect="Content" ObjectID="_1603718644" r:id="rId444"/>
        </w:object>
      </w:r>
      <w:r w:rsidRPr="003F05A9">
        <w:rPr>
          <w:rFonts w:ascii="Times New Roman" w:hAnsi="Times New Roman" w:cs="Times New Roman"/>
          <w:sz w:val="24"/>
          <w:szCs w:val="24"/>
        </w:rPr>
        <w:t xml:space="preserve">, </w:t>
      </w:r>
      <w:r w:rsidRPr="003F05A9">
        <w:rPr>
          <w:rFonts w:ascii="Times New Roman" w:hAnsi="Times New Roman" w:cs="Times New Roman"/>
          <w:position w:val="-12"/>
          <w:sz w:val="24"/>
          <w:szCs w:val="24"/>
        </w:rPr>
        <w:object w:dxaOrig="260" w:dyaOrig="360">
          <v:shape id="_x0000_i1072" type="#_x0000_t75" style="width:13.5pt;height:18.75pt" o:ole="">
            <v:imagedata r:id="rId445" o:title=""/>
          </v:shape>
          <o:OLEObject Type="Embed" ProgID="Equation.DSMT4" ShapeID="_x0000_i1072" DrawAspect="Content" ObjectID="_1603718645" r:id="rId446"/>
        </w:object>
      </w:r>
      <w:r w:rsidRPr="003F05A9">
        <w:rPr>
          <w:rFonts w:ascii="Times New Roman" w:hAnsi="Times New Roman" w:cs="Times New Roman"/>
          <w:sz w:val="24"/>
          <w:szCs w:val="24"/>
        </w:rPr>
        <w:t>,</w:t>
      </w:r>
      <w:r w:rsidRPr="003F05A9">
        <w:rPr>
          <w:rFonts w:ascii="Times New Roman" w:hAnsi="Times New Roman" w:cs="Times New Roman"/>
          <w:position w:val="-12"/>
          <w:sz w:val="24"/>
          <w:szCs w:val="24"/>
        </w:rPr>
        <w:object w:dxaOrig="320" w:dyaOrig="360">
          <v:shape id="_x0000_i1073" type="#_x0000_t75" style="width:16.5pt;height:18.75pt" o:ole="">
            <v:imagedata r:id="rId447" o:title=""/>
          </v:shape>
          <o:OLEObject Type="Embed" ProgID="Equation.DSMT4" ShapeID="_x0000_i1073" DrawAspect="Content" ObjectID="_1603718646" r:id="rId448"/>
        </w:object>
      </w:r>
      <w:r w:rsidRPr="003F05A9">
        <w:rPr>
          <w:rFonts w:ascii="Times New Roman" w:hAnsi="Times New Roman" w:cs="Times New Roman"/>
          <w:sz w:val="24"/>
          <w:szCs w:val="24"/>
        </w:rPr>
        <w:t xml:space="preserve">; вторую группу («факторы материального состояния») составили показатели </w:t>
      </w:r>
      <w:r w:rsidRPr="003F05A9">
        <w:rPr>
          <w:rFonts w:ascii="Times New Roman" w:hAnsi="Times New Roman" w:cs="Times New Roman"/>
          <w:position w:val="-12"/>
          <w:sz w:val="24"/>
          <w:szCs w:val="24"/>
        </w:rPr>
        <w:object w:dxaOrig="260" w:dyaOrig="360">
          <v:shape id="_x0000_i1074" type="#_x0000_t75" style="width:13.5pt;height:18.75pt" o:ole="">
            <v:imagedata r:id="rId449" o:title=""/>
          </v:shape>
          <o:OLEObject Type="Embed" ProgID="Equation.DSMT4" ShapeID="_x0000_i1074" DrawAspect="Content" ObjectID="_1603718647" r:id="rId450"/>
        </w:object>
      </w:r>
      <w:r w:rsidRPr="003F05A9">
        <w:rPr>
          <w:rFonts w:ascii="Times New Roman" w:hAnsi="Times New Roman" w:cs="Times New Roman"/>
          <w:sz w:val="24"/>
          <w:szCs w:val="24"/>
        </w:rPr>
        <w:t xml:space="preserve">, </w:t>
      </w:r>
      <w:r w:rsidRPr="003F05A9">
        <w:rPr>
          <w:rFonts w:ascii="Times New Roman" w:hAnsi="Times New Roman" w:cs="Times New Roman"/>
          <w:position w:val="-12"/>
          <w:sz w:val="24"/>
          <w:szCs w:val="24"/>
        </w:rPr>
        <w:object w:dxaOrig="260" w:dyaOrig="360">
          <v:shape id="_x0000_i1075" type="#_x0000_t75" style="width:13.5pt;height:18.75pt" o:ole="">
            <v:imagedata r:id="rId451" o:title=""/>
          </v:shape>
          <o:OLEObject Type="Embed" ProgID="Equation.DSMT4" ShapeID="_x0000_i1075" DrawAspect="Content" ObjectID="_1603718648" r:id="rId452"/>
        </w:object>
      </w:r>
      <w:r w:rsidRPr="003F05A9">
        <w:rPr>
          <w:rFonts w:ascii="Times New Roman" w:hAnsi="Times New Roman" w:cs="Times New Roman"/>
          <w:sz w:val="24"/>
          <w:szCs w:val="24"/>
        </w:rPr>
        <w:t xml:space="preserve">, </w:t>
      </w:r>
      <w:r w:rsidRPr="003F05A9">
        <w:rPr>
          <w:rFonts w:ascii="Times New Roman" w:hAnsi="Times New Roman" w:cs="Times New Roman"/>
          <w:position w:val="-12"/>
          <w:sz w:val="24"/>
          <w:szCs w:val="24"/>
        </w:rPr>
        <w:object w:dxaOrig="260" w:dyaOrig="360">
          <v:shape id="_x0000_i1076" type="#_x0000_t75" style="width:13.5pt;height:18.75pt" o:ole="">
            <v:imagedata r:id="rId453" o:title=""/>
          </v:shape>
          <o:OLEObject Type="Embed" ProgID="Equation.DSMT4" ShapeID="_x0000_i1076" DrawAspect="Content" ObjectID="_1603718649" r:id="rId454"/>
        </w:object>
      </w:r>
      <w:r w:rsidRPr="003F05A9">
        <w:rPr>
          <w:rFonts w:ascii="Times New Roman" w:hAnsi="Times New Roman" w:cs="Times New Roman"/>
          <w:sz w:val="24"/>
          <w:szCs w:val="24"/>
        </w:rPr>
        <w:t xml:space="preserve">, </w:t>
      </w:r>
      <w:r w:rsidRPr="003F05A9">
        <w:rPr>
          <w:rFonts w:ascii="Times New Roman" w:hAnsi="Times New Roman" w:cs="Times New Roman"/>
          <w:position w:val="-12"/>
          <w:sz w:val="24"/>
          <w:szCs w:val="24"/>
        </w:rPr>
        <w:object w:dxaOrig="260" w:dyaOrig="360">
          <v:shape id="_x0000_i1077" type="#_x0000_t75" style="width:13.5pt;height:18.75pt" o:ole="">
            <v:imagedata r:id="rId455" o:title=""/>
          </v:shape>
          <o:OLEObject Type="Embed" ProgID="Equation.DSMT4" ShapeID="_x0000_i1077" DrawAspect="Content" ObjectID="_1603718650" r:id="rId456"/>
        </w:object>
      </w:r>
      <w:r w:rsidRPr="003F05A9">
        <w:rPr>
          <w:rFonts w:ascii="Times New Roman" w:hAnsi="Times New Roman" w:cs="Times New Roman"/>
          <w:sz w:val="24"/>
          <w:szCs w:val="24"/>
        </w:rPr>
        <w:t xml:space="preserve">; в третью группу («факторы, отражающие потребление алкоголя и качество медицинского обслуживания») вошли показатели </w:t>
      </w:r>
      <w:r w:rsidRPr="003F05A9">
        <w:rPr>
          <w:rFonts w:ascii="Times New Roman" w:hAnsi="Times New Roman" w:cs="Times New Roman"/>
          <w:position w:val="-12"/>
          <w:sz w:val="24"/>
          <w:szCs w:val="24"/>
        </w:rPr>
        <w:object w:dxaOrig="260" w:dyaOrig="360">
          <v:shape id="_x0000_i1078" type="#_x0000_t75" style="width:13.5pt;height:18.75pt" o:ole="">
            <v:imagedata r:id="rId457" o:title=""/>
          </v:shape>
          <o:OLEObject Type="Embed" ProgID="Equation.DSMT4" ShapeID="_x0000_i1078" DrawAspect="Content" ObjectID="_1603718651" r:id="rId458"/>
        </w:object>
      </w:r>
      <w:r w:rsidRPr="003F05A9">
        <w:rPr>
          <w:rFonts w:ascii="Times New Roman" w:hAnsi="Times New Roman" w:cs="Times New Roman"/>
          <w:sz w:val="24"/>
          <w:szCs w:val="24"/>
        </w:rPr>
        <w:t xml:space="preserve">, </w:t>
      </w:r>
      <w:r w:rsidRPr="003F05A9">
        <w:rPr>
          <w:rFonts w:ascii="Times New Roman" w:hAnsi="Times New Roman" w:cs="Times New Roman"/>
          <w:position w:val="-12"/>
          <w:sz w:val="24"/>
          <w:szCs w:val="24"/>
        </w:rPr>
        <w:object w:dxaOrig="320" w:dyaOrig="360">
          <v:shape id="_x0000_i1079" type="#_x0000_t75" style="width:16.5pt;height:18.75pt" o:ole="">
            <v:imagedata r:id="rId459" o:title=""/>
          </v:shape>
          <o:OLEObject Type="Embed" ProgID="Equation.DSMT4" ShapeID="_x0000_i1079" DrawAspect="Content" ObjectID="_1603718652" r:id="rId460"/>
        </w:object>
      </w:r>
      <w:r w:rsidRPr="003F05A9">
        <w:rPr>
          <w:rFonts w:ascii="Times New Roman" w:hAnsi="Times New Roman" w:cs="Times New Roman"/>
          <w:sz w:val="24"/>
          <w:szCs w:val="24"/>
        </w:rPr>
        <w:t xml:space="preserve">, </w:t>
      </w:r>
      <w:r w:rsidRPr="003F05A9">
        <w:rPr>
          <w:rFonts w:ascii="Times New Roman" w:hAnsi="Times New Roman" w:cs="Times New Roman"/>
          <w:position w:val="-12"/>
          <w:sz w:val="24"/>
          <w:szCs w:val="24"/>
        </w:rPr>
        <w:object w:dxaOrig="320" w:dyaOrig="360">
          <v:shape id="_x0000_i1080" type="#_x0000_t75" style="width:16.5pt;height:18.75pt" o:ole="">
            <v:imagedata r:id="rId461" o:title=""/>
          </v:shape>
          <o:OLEObject Type="Embed" ProgID="Equation.DSMT4" ShapeID="_x0000_i1080" DrawAspect="Content" ObjectID="_1603718653" r:id="rId462"/>
        </w:object>
      </w:r>
      <w:r w:rsidRPr="003F05A9">
        <w:rPr>
          <w:rFonts w:ascii="Times New Roman" w:hAnsi="Times New Roman" w:cs="Times New Roman"/>
          <w:sz w:val="24"/>
          <w:szCs w:val="24"/>
        </w:rPr>
        <w:t xml:space="preserve">, </w:t>
      </w:r>
      <w:r w:rsidRPr="003F05A9">
        <w:rPr>
          <w:rFonts w:ascii="Times New Roman" w:hAnsi="Times New Roman" w:cs="Times New Roman"/>
          <w:position w:val="-12"/>
          <w:sz w:val="24"/>
          <w:szCs w:val="24"/>
        </w:rPr>
        <w:object w:dxaOrig="320" w:dyaOrig="360">
          <v:shape id="_x0000_i1081" type="#_x0000_t75" style="width:16.5pt;height:18.75pt" o:ole="">
            <v:imagedata r:id="rId463" o:title=""/>
          </v:shape>
          <o:OLEObject Type="Embed" ProgID="Equation.DSMT4" ShapeID="_x0000_i1081" DrawAspect="Content" ObjectID="_1603718654" r:id="rId464"/>
        </w:object>
      </w:r>
      <w:r w:rsidRPr="003F05A9">
        <w:rPr>
          <w:rFonts w:ascii="Times New Roman" w:hAnsi="Times New Roman" w:cs="Times New Roman"/>
          <w:sz w:val="24"/>
          <w:szCs w:val="24"/>
        </w:rPr>
        <w:t xml:space="preserve">, </w:t>
      </w:r>
      <w:r w:rsidRPr="003F05A9">
        <w:rPr>
          <w:rFonts w:ascii="Times New Roman" w:hAnsi="Times New Roman" w:cs="Times New Roman"/>
          <w:position w:val="-12"/>
          <w:sz w:val="24"/>
          <w:szCs w:val="24"/>
        </w:rPr>
        <w:object w:dxaOrig="320" w:dyaOrig="360">
          <v:shape id="_x0000_i1082" type="#_x0000_t75" style="width:16.5pt;height:18.75pt" o:ole="">
            <v:imagedata r:id="rId465" o:title=""/>
          </v:shape>
          <o:OLEObject Type="Embed" ProgID="Equation.DSMT4" ShapeID="_x0000_i1082" DrawAspect="Content" ObjectID="_1603718655" r:id="rId466"/>
        </w:object>
      </w:r>
      <w:r w:rsidRPr="003F05A9">
        <w:rPr>
          <w:rFonts w:ascii="Times New Roman" w:hAnsi="Times New Roman" w:cs="Times New Roman"/>
          <w:sz w:val="24"/>
          <w:szCs w:val="24"/>
        </w:rPr>
        <w:t xml:space="preserve">, </w:t>
      </w:r>
      <w:r w:rsidRPr="003F05A9">
        <w:rPr>
          <w:rFonts w:ascii="Times New Roman" w:hAnsi="Times New Roman" w:cs="Times New Roman"/>
          <w:position w:val="-12"/>
          <w:sz w:val="24"/>
          <w:szCs w:val="24"/>
        </w:rPr>
        <w:object w:dxaOrig="320" w:dyaOrig="360">
          <v:shape id="_x0000_i1083" type="#_x0000_t75" style="width:16.5pt;height:18.75pt" o:ole="">
            <v:imagedata r:id="rId467" o:title=""/>
          </v:shape>
          <o:OLEObject Type="Embed" ProgID="Equation.DSMT4" ShapeID="_x0000_i1083" DrawAspect="Content" ObjectID="_1603718656" r:id="rId468"/>
        </w:object>
      </w:r>
      <w:r w:rsidRPr="003F05A9">
        <w:rPr>
          <w:rFonts w:ascii="Times New Roman" w:hAnsi="Times New Roman" w:cs="Times New Roman"/>
          <w:sz w:val="24"/>
          <w:szCs w:val="24"/>
        </w:rPr>
        <w:t>. Последнюю группу мы сформировали, объединив в одну предварительно исследованные две группы факторов – потребление алкоголя и факторов медицинского характера, руководствуясь результатами поэтапных построений моделей и поиска наиболее адекватных.</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rPr>
      </w:pPr>
      <w:r w:rsidRPr="003F05A9">
        <w:rPr>
          <w:rFonts w:ascii="Times New Roman" w:hAnsi="Times New Roman" w:cs="Times New Roman"/>
          <w:noProof/>
          <w:sz w:val="24"/>
          <w:szCs w:val="24"/>
          <w:lang w:eastAsia="ru-RU"/>
        </w:rPr>
        <w:drawing>
          <wp:inline distT="0" distB="0" distL="0" distR="0" wp14:anchorId="4DAF1D3F" wp14:editId="5201C676">
            <wp:extent cx="3857625" cy="1943100"/>
            <wp:effectExtent l="0" t="0" r="0" b="0"/>
            <wp:docPr id="18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469">
                      <a:extLst>
                        <a:ext uri="{28A0092B-C50C-407E-A947-70E740481C1C}">
                          <a14:useLocalDpi xmlns:a14="http://schemas.microsoft.com/office/drawing/2010/main" val="0"/>
                        </a:ext>
                      </a:extLst>
                    </a:blip>
                    <a:srcRect l="681" t="54648" r="65837" b="14821"/>
                    <a:stretch>
                      <a:fillRect/>
                    </a:stretch>
                  </pic:blipFill>
                  <pic:spPr bwMode="auto">
                    <a:xfrm>
                      <a:off x="0" y="0"/>
                      <a:ext cx="3857625" cy="1943100"/>
                    </a:xfrm>
                    <a:prstGeom prst="rect">
                      <a:avLst/>
                    </a:prstGeom>
                    <a:noFill/>
                    <a:ln>
                      <a:noFill/>
                    </a:ln>
                  </pic:spPr>
                </pic:pic>
              </a:graphicData>
            </a:graphic>
          </wp:inline>
        </w:drawing>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F05A9">
        <w:rPr>
          <w:rFonts w:ascii="Times New Roman" w:hAnsi="Times New Roman" w:cs="Times New Roman"/>
          <w:color w:val="000000"/>
          <w:sz w:val="24"/>
          <w:szCs w:val="24"/>
        </w:rPr>
        <w:t>Рис.4. Модель с детерминированными эффектами по групповым главным компонентам</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Таким образом, результаты моделирования зависимости заболеваемости ВИЧ от групповых главных компонент представлены на рисунке 4. Модель статистически значима, со всеми значимыми коэффициентами при компонентах, с коэффициентом детерминации 0.4.</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Предполагаются дальнейшие исследования  в данном направлении, с надеждой, что использование методов статистического анализа помогут разрешить, прояснить и, возможно, регулировать заболеваемость населения ВИЧ-инфекцией.</w:t>
      </w:r>
    </w:p>
    <w:p w:rsidR="003F05A9" w:rsidRPr="003F05A9" w:rsidRDefault="003F05A9" w:rsidP="003F05A9">
      <w:pPr>
        <w:widowControl w:val="0"/>
        <w:pBdr>
          <w:top w:val="none" w:sz="0" w:space="0" w:color="auto"/>
          <w:left w:val="none" w:sz="0" w:space="0" w:color="auto"/>
          <w:bottom w:val="none" w:sz="0" w:space="0" w:color="auto"/>
          <w:right w:val="none" w:sz="0" w:space="0" w:color="auto"/>
          <w:between w:val="none" w:sz="0" w:space="0" w:color="auto"/>
        </w:pBdr>
        <w:spacing w:after="0" w:line="240" w:lineRule="auto"/>
        <w:ind w:firstLine="284"/>
        <w:jc w:val="center"/>
        <w:rPr>
          <w:rFonts w:cs="Times New Roman"/>
          <w:sz w:val="24"/>
          <w:szCs w:val="24"/>
          <w:shd w:val="clear" w:color="auto" w:fill="FFFFFF"/>
        </w:rPr>
      </w:pPr>
      <w:r w:rsidRPr="003F05A9">
        <w:rPr>
          <w:rFonts w:ascii="Times New Roman" w:hAnsi="Times New Roman" w:cs="Times New Roman"/>
          <w:b/>
          <w:sz w:val="24"/>
          <w:szCs w:val="24"/>
        </w:rPr>
        <w:t>СПИСОК ЛИТЕРАТУРЫ</w:t>
      </w:r>
    </w:p>
    <w:p w:rsidR="003F05A9" w:rsidRPr="003F05A9" w:rsidRDefault="003F05A9" w:rsidP="003F05A9">
      <w:pPr>
        <w:numPr>
          <w:ilvl w:val="0"/>
          <w:numId w:val="121"/>
        </w:numPr>
        <w:pBdr>
          <w:top w:val="none" w:sz="0" w:space="0" w:color="auto"/>
          <w:left w:val="none" w:sz="0" w:space="0" w:color="auto"/>
          <w:bottom w:val="none" w:sz="0" w:space="0" w:color="auto"/>
          <w:right w:val="none" w:sz="0" w:space="0" w:color="auto"/>
          <w:between w:val="none" w:sz="0" w:space="0" w:color="auto"/>
        </w:pBdr>
        <w:tabs>
          <w:tab w:val="left" w:pos="0"/>
          <w:tab w:val="left" w:pos="426"/>
        </w:tabs>
        <w:suppressAutoHyphens/>
        <w:spacing w:after="0" w:line="240" w:lineRule="auto"/>
        <w:ind w:left="641" w:hanging="357"/>
        <w:jc w:val="both"/>
        <w:rPr>
          <w:rFonts w:ascii="Times New Roman" w:hAnsi="Times New Roman" w:cs="Times New Roman"/>
          <w:color w:val="000000"/>
          <w:sz w:val="24"/>
          <w:szCs w:val="24"/>
        </w:rPr>
      </w:pPr>
      <w:r w:rsidRPr="003F05A9">
        <w:rPr>
          <w:rFonts w:ascii="Times New Roman" w:hAnsi="Times New Roman" w:cs="Times New Roman"/>
          <w:color w:val="000000"/>
          <w:sz w:val="24"/>
          <w:szCs w:val="24"/>
        </w:rPr>
        <w:t xml:space="preserve">Официальный сайт Министерства Здравоохранения Российской Федерации. [Электронный ресурс]: Режим доступа: </w:t>
      </w:r>
      <w:hyperlink r:id="rId470" w:history="1">
        <w:r w:rsidRPr="003F05A9">
          <w:rPr>
            <w:rFonts w:ascii="Times New Roman" w:hAnsi="Times New Roman" w:cs="Times New Roman"/>
            <w:color w:val="000000"/>
            <w:sz w:val="24"/>
            <w:szCs w:val="24"/>
          </w:rPr>
          <w:t>http://</w:t>
        </w:r>
        <w:r w:rsidRPr="003F05A9">
          <w:rPr>
            <w:rFonts w:ascii="Times New Roman" w:hAnsi="Times New Roman" w:cs="Times New Roman"/>
            <w:color w:val="000000"/>
            <w:sz w:val="24"/>
            <w:szCs w:val="24"/>
            <w:lang w:val="en-US"/>
          </w:rPr>
          <w:t>www</w:t>
        </w:r>
        <w:r w:rsidRPr="003F05A9">
          <w:rPr>
            <w:rFonts w:ascii="Times New Roman" w:hAnsi="Times New Roman" w:cs="Times New Roman"/>
            <w:color w:val="000000"/>
            <w:sz w:val="24"/>
            <w:szCs w:val="24"/>
          </w:rPr>
          <w:t>.</w:t>
        </w:r>
        <w:r w:rsidRPr="003F05A9">
          <w:rPr>
            <w:rFonts w:ascii="Times New Roman" w:hAnsi="Times New Roman" w:cs="Times New Roman"/>
            <w:color w:val="000000"/>
            <w:sz w:val="24"/>
            <w:szCs w:val="24"/>
            <w:lang w:val="en-US"/>
          </w:rPr>
          <w:t>rosminzdrav</w:t>
        </w:r>
        <w:r w:rsidRPr="003F05A9">
          <w:rPr>
            <w:rFonts w:ascii="Times New Roman" w:hAnsi="Times New Roman" w:cs="Times New Roman"/>
            <w:color w:val="000000"/>
            <w:sz w:val="24"/>
            <w:szCs w:val="24"/>
          </w:rPr>
          <w:t>.</w:t>
        </w:r>
        <w:r w:rsidRPr="003F05A9">
          <w:rPr>
            <w:rFonts w:ascii="Times New Roman" w:hAnsi="Times New Roman" w:cs="Times New Roman"/>
            <w:color w:val="000000"/>
            <w:sz w:val="24"/>
            <w:szCs w:val="24"/>
            <w:lang w:val="en-US"/>
          </w:rPr>
          <w:t>ru</w:t>
        </w:r>
      </w:hyperlink>
      <w:r w:rsidRPr="003F05A9">
        <w:rPr>
          <w:rFonts w:ascii="Times New Roman" w:hAnsi="Times New Roman" w:cs="Times New Roman"/>
          <w:color w:val="000000"/>
          <w:sz w:val="24"/>
          <w:szCs w:val="24"/>
        </w:rPr>
        <w:t>.</w:t>
      </w:r>
    </w:p>
    <w:p w:rsidR="003F05A9" w:rsidRPr="003F05A9" w:rsidRDefault="003F05A9" w:rsidP="003F05A9">
      <w:pPr>
        <w:numPr>
          <w:ilvl w:val="0"/>
          <w:numId w:val="121"/>
        </w:numPr>
        <w:pBdr>
          <w:top w:val="none" w:sz="0" w:space="0" w:color="auto"/>
          <w:left w:val="none" w:sz="0" w:space="0" w:color="auto"/>
          <w:bottom w:val="none" w:sz="0" w:space="0" w:color="auto"/>
          <w:right w:val="none" w:sz="0" w:space="0" w:color="auto"/>
          <w:between w:val="none" w:sz="0" w:space="0" w:color="auto"/>
        </w:pBdr>
        <w:tabs>
          <w:tab w:val="left" w:pos="0"/>
          <w:tab w:val="left" w:pos="426"/>
        </w:tabs>
        <w:suppressAutoHyphens/>
        <w:spacing w:after="0" w:line="240" w:lineRule="auto"/>
        <w:ind w:left="641" w:hanging="357"/>
        <w:jc w:val="both"/>
        <w:rPr>
          <w:rFonts w:ascii="Times New Roman" w:hAnsi="Times New Roman" w:cs="Times New Roman"/>
          <w:color w:val="000000"/>
          <w:sz w:val="24"/>
          <w:szCs w:val="24"/>
        </w:rPr>
      </w:pPr>
      <w:r w:rsidRPr="003F05A9">
        <w:rPr>
          <w:rFonts w:ascii="Times New Roman" w:hAnsi="Times New Roman" w:cs="Times New Roman"/>
          <w:color w:val="000000"/>
          <w:sz w:val="24"/>
          <w:szCs w:val="24"/>
        </w:rPr>
        <w:t xml:space="preserve">Официальный сайт Федеральной службы государственной статистики. [Электронный ресурс]: Режим доступа: </w:t>
      </w:r>
      <w:hyperlink r:id="rId471" w:history="1">
        <w:r w:rsidRPr="003F05A9">
          <w:rPr>
            <w:rFonts w:ascii="Times New Roman" w:hAnsi="Times New Roman" w:cs="Times New Roman"/>
            <w:color w:val="000000"/>
            <w:sz w:val="24"/>
            <w:szCs w:val="24"/>
          </w:rPr>
          <w:t>http://www.gks.ru</w:t>
        </w:r>
      </w:hyperlink>
      <w:r w:rsidRPr="003F05A9">
        <w:rPr>
          <w:rFonts w:ascii="Times New Roman" w:hAnsi="Times New Roman" w:cs="Times New Roman"/>
          <w:color w:val="000000"/>
          <w:sz w:val="24"/>
          <w:szCs w:val="24"/>
        </w:rPr>
        <w:t>.</w:t>
      </w:r>
    </w:p>
    <w:p w:rsidR="003F05A9" w:rsidRPr="003F05A9" w:rsidRDefault="003F05A9" w:rsidP="003F05A9">
      <w:pPr>
        <w:numPr>
          <w:ilvl w:val="0"/>
          <w:numId w:val="121"/>
        </w:numPr>
        <w:pBdr>
          <w:top w:val="none" w:sz="0" w:space="0" w:color="auto"/>
          <w:left w:val="none" w:sz="0" w:space="0" w:color="auto"/>
          <w:bottom w:val="none" w:sz="0" w:space="0" w:color="auto"/>
          <w:right w:val="none" w:sz="0" w:space="0" w:color="auto"/>
          <w:between w:val="none" w:sz="0" w:space="0" w:color="auto"/>
        </w:pBdr>
        <w:tabs>
          <w:tab w:val="left" w:pos="0"/>
          <w:tab w:val="left" w:pos="426"/>
        </w:tabs>
        <w:suppressAutoHyphens/>
        <w:spacing w:after="0" w:line="240" w:lineRule="auto"/>
        <w:ind w:left="641" w:hanging="357"/>
        <w:jc w:val="both"/>
        <w:rPr>
          <w:rFonts w:ascii="Times New Roman" w:hAnsi="Times New Roman" w:cs="Times New Roman"/>
          <w:color w:val="000000"/>
          <w:sz w:val="24"/>
          <w:szCs w:val="24"/>
        </w:rPr>
      </w:pPr>
      <w:r w:rsidRPr="003F05A9">
        <w:rPr>
          <w:rFonts w:ascii="Times New Roman" w:hAnsi="Times New Roman" w:cs="Times New Roman"/>
          <w:color w:val="000000"/>
          <w:sz w:val="24"/>
          <w:szCs w:val="24"/>
        </w:rPr>
        <w:t xml:space="preserve">Официальный сайт проекта </w:t>
      </w:r>
      <w:r w:rsidRPr="003F05A9">
        <w:rPr>
          <w:rFonts w:ascii="Times New Roman" w:hAnsi="Times New Roman" w:cs="Times New Roman"/>
          <w:color w:val="000000"/>
          <w:sz w:val="24"/>
          <w:szCs w:val="24"/>
          <w:lang w:val="en-US"/>
        </w:rPr>
        <w:t>R</w:t>
      </w:r>
      <w:r w:rsidRPr="003F05A9">
        <w:rPr>
          <w:rFonts w:ascii="Times New Roman" w:hAnsi="Times New Roman" w:cs="Times New Roman"/>
          <w:color w:val="000000"/>
          <w:sz w:val="24"/>
          <w:szCs w:val="24"/>
        </w:rPr>
        <w:t xml:space="preserve">. [Электронный ресурс]: Режим доступа: </w:t>
      </w:r>
      <w:hyperlink r:id="rId472" w:history="1">
        <w:r w:rsidRPr="003F05A9">
          <w:rPr>
            <w:rFonts w:ascii="Times New Roman" w:hAnsi="Times New Roman" w:cs="Times New Roman"/>
            <w:color w:val="0000FF"/>
            <w:sz w:val="24"/>
            <w:szCs w:val="24"/>
            <w:lang w:val="en-US"/>
          </w:rPr>
          <w:t>https</w:t>
        </w:r>
        <w:r w:rsidRPr="003F05A9">
          <w:rPr>
            <w:rFonts w:ascii="Times New Roman" w:hAnsi="Times New Roman" w:cs="Times New Roman"/>
            <w:color w:val="0000FF"/>
            <w:sz w:val="24"/>
            <w:szCs w:val="24"/>
          </w:rPr>
          <w:t>://</w:t>
        </w:r>
        <w:r w:rsidRPr="003F05A9">
          <w:rPr>
            <w:rFonts w:ascii="Times New Roman" w:hAnsi="Times New Roman" w:cs="Times New Roman"/>
            <w:color w:val="0000FF"/>
            <w:sz w:val="24"/>
            <w:szCs w:val="24"/>
            <w:lang w:val="en-US"/>
          </w:rPr>
          <w:t>cran</w:t>
        </w:r>
        <w:r w:rsidRPr="003F05A9">
          <w:rPr>
            <w:rFonts w:ascii="Times New Roman" w:hAnsi="Times New Roman" w:cs="Times New Roman"/>
            <w:color w:val="0000FF"/>
            <w:sz w:val="24"/>
            <w:szCs w:val="24"/>
          </w:rPr>
          <w:t>.</w:t>
        </w:r>
        <w:r w:rsidRPr="003F05A9">
          <w:rPr>
            <w:rFonts w:ascii="Times New Roman" w:hAnsi="Times New Roman" w:cs="Times New Roman"/>
            <w:color w:val="0000FF"/>
            <w:sz w:val="24"/>
            <w:szCs w:val="24"/>
            <w:lang w:val="en-US"/>
          </w:rPr>
          <w:t>r</w:t>
        </w:r>
        <w:r w:rsidRPr="003F05A9">
          <w:rPr>
            <w:rFonts w:ascii="Times New Roman" w:hAnsi="Times New Roman" w:cs="Times New Roman"/>
            <w:color w:val="0000FF"/>
            <w:sz w:val="24"/>
            <w:szCs w:val="24"/>
          </w:rPr>
          <w:t>-</w:t>
        </w:r>
        <w:r w:rsidRPr="003F05A9">
          <w:rPr>
            <w:rFonts w:ascii="Times New Roman" w:hAnsi="Times New Roman" w:cs="Times New Roman"/>
            <w:color w:val="0000FF"/>
            <w:sz w:val="24"/>
            <w:szCs w:val="24"/>
            <w:lang w:val="en-US"/>
          </w:rPr>
          <w:t>project</w:t>
        </w:r>
        <w:r w:rsidRPr="003F05A9">
          <w:rPr>
            <w:rFonts w:ascii="Times New Roman" w:hAnsi="Times New Roman" w:cs="Times New Roman"/>
            <w:color w:val="0000FF"/>
            <w:sz w:val="24"/>
            <w:szCs w:val="24"/>
          </w:rPr>
          <w:t>.</w:t>
        </w:r>
        <w:r w:rsidRPr="003F05A9">
          <w:rPr>
            <w:rFonts w:ascii="Times New Roman" w:hAnsi="Times New Roman" w:cs="Times New Roman"/>
            <w:color w:val="0000FF"/>
            <w:sz w:val="24"/>
            <w:szCs w:val="24"/>
            <w:lang w:val="en-US"/>
          </w:rPr>
          <w:t>org</w:t>
        </w:r>
        <w:r w:rsidRPr="003F05A9">
          <w:rPr>
            <w:rFonts w:ascii="Times New Roman" w:hAnsi="Times New Roman" w:cs="Times New Roman"/>
            <w:color w:val="0000FF"/>
            <w:sz w:val="24"/>
            <w:szCs w:val="24"/>
          </w:rPr>
          <w:t>/</w:t>
        </w:r>
      </w:hyperlink>
      <w:r w:rsidRPr="003F05A9">
        <w:rPr>
          <w:rFonts w:ascii="Times New Roman" w:hAnsi="Times New Roman" w:cs="Times New Roman"/>
          <w:color w:val="000000"/>
          <w:sz w:val="24"/>
          <w:szCs w:val="24"/>
        </w:rPr>
        <w:t>.</w:t>
      </w:r>
    </w:p>
    <w:p w:rsidR="003F05A9" w:rsidRPr="003F05A9" w:rsidRDefault="003F05A9" w:rsidP="003F05A9">
      <w:pPr>
        <w:numPr>
          <w:ilvl w:val="0"/>
          <w:numId w:val="121"/>
        </w:numPr>
        <w:pBdr>
          <w:top w:val="none" w:sz="0" w:space="0" w:color="auto"/>
          <w:left w:val="none" w:sz="0" w:space="0" w:color="auto"/>
          <w:bottom w:val="none" w:sz="0" w:space="0" w:color="auto"/>
          <w:right w:val="none" w:sz="0" w:space="0" w:color="auto"/>
          <w:between w:val="none" w:sz="0" w:space="0" w:color="auto"/>
        </w:pBdr>
        <w:spacing w:after="0" w:line="240" w:lineRule="auto"/>
        <w:jc w:val="both"/>
        <w:outlineLvl w:val="2"/>
        <w:rPr>
          <w:rFonts w:ascii="Times New Roman" w:hAnsi="Times New Roman" w:cs="Times New Roman"/>
          <w:sz w:val="24"/>
          <w:szCs w:val="24"/>
          <w:shd w:val="clear" w:color="auto" w:fill="FFFFFF"/>
        </w:rPr>
      </w:pPr>
      <w:r w:rsidRPr="003F05A9">
        <w:rPr>
          <w:rFonts w:ascii="Times New Roman" w:hAnsi="Times New Roman" w:cs="Times New Roman"/>
          <w:color w:val="000000"/>
          <w:sz w:val="24"/>
          <w:szCs w:val="24"/>
          <w:lang w:val="en-US"/>
        </w:rPr>
        <w:t>Kabacoff R.I. R in Action: Data Analysis and Graphics with R. Manning Publications, 2011. 447 p.</w:t>
      </w:r>
    </w:p>
    <w:p w:rsidR="003F05A9" w:rsidRPr="003F05A9" w:rsidRDefault="003F05A9" w:rsidP="003F05A9">
      <w:pPr>
        <w:numPr>
          <w:ilvl w:val="0"/>
          <w:numId w:val="121"/>
        </w:numPr>
        <w:pBdr>
          <w:top w:val="none" w:sz="0" w:space="0" w:color="auto"/>
          <w:left w:val="none" w:sz="0" w:space="0" w:color="auto"/>
          <w:bottom w:val="none" w:sz="0" w:space="0" w:color="auto"/>
          <w:right w:val="none" w:sz="0" w:space="0" w:color="auto"/>
          <w:between w:val="none" w:sz="0" w:space="0" w:color="auto"/>
        </w:pBdr>
        <w:spacing w:after="0" w:line="240" w:lineRule="auto"/>
        <w:jc w:val="both"/>
        <w:outlineLvl w:val="2"/>
        <w:rPr>
          <w:rFonts w:ascii="Times New Roman" w:hAnsi="Times New Roman" w:cs="Times New Roman"/>
          <w:sz w:val="24"/>
          <w:szCs w:val="24"/>
          <w:shd w:val="clear" w:color="auto" w:fill="FFFFFF"/>
        </w:rPr>
      </w:pPr>
      <w:r w:rsidRPr="003F05A9">
        <w:rPr>
          <w:rFonts w:ascii="Times New Roman" w:hAnsi="Times New Roman" w:cs="Times New Roman"/>
          <w:sz w:val="24"/>
          <w:szCs w:val="24"/>
          <w:shd w:val="clear" w:color="auto" w:fill="FFFFFF"/>
        </w:rPr>
        <w:t>Елисеева И.И., Курышева С.В., Костеева Т.В., Пантина И.В., Михайлов Б.А., Нерадовская Ю.В., Штрое Г.Г., Бартелс К., Рыбкина Л.Р. Эконометрика: учебник. М.: Финансы и статистика, 2007. 576 с.</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rPr>
          <w:rFonts w:ascii="Times New Roman" w:hAnsi="Times New Roman" w:cs="Times New Roman"/>
          <w:color w:val="333333"/>
          <w:sz w:val="24"/>
          <w:szCs w:val="24"/>
          <w:lang w:eastAsia="ru-RU"/>
        </w:rPr>
      </w:pPr>
      <w:r w:rsidRPr="003F05A9">
        <w:rPr>
          <w:rFonts w:ascii="Times New Roman" w:hAnsi="Times New Roman" w:cs="Times New Roman"/>
          <w:color w:val="333333"/>
          <w:sz w:val="24"/>
          <w:szCs w:val="24"/>
          <w:lang w:eastAsia="ru-RU"/>
        </w:rPr>
        <w:t>Рубрика: Валюта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rPr>
          <w:rFonts w:ascii="Times New Roman" w:hAnsi="Times New Roman" w:cs="Times New Roman"/>
          <w:sz w:val="24"/>
          <w:szCs w:val="24"/>
          <w:lang w:eastAsia="ru-RU"/>
        </w:rPr>
      </w:pPr>
      <w:r w:rsidRPr="003F05A9">
        <w:rPr>
          <w:rFonts w:ascii="Times New Roman" w:hAnsi="Times New Roman" w:cs="Times New Roman"/>
          <w:color w:val="333333"/>
          <w:sz w:val="24"/>
          <w:szCs w:val="24"/>
          <w:lang w:eastAsia="ru-RU"/>
        </w:rPr>
        <w:t xml:space="preserve">УДК: </w:t>
      </w:r>
      <w:r w:rsidRPr="003F05A9">
        <w:rPr>
          <w:rFonts w:ascii="Times New Roman" w:hAnsi="Times New Roman" w:cs="Times New Roman"/>
          <w:sz w:val="24"/>
          <w:szCs w:val="24"/>
          <w:lang w:eastAsia="ru-RU"/>
        </w:rPr>
        <w:t>336.741.242.1</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center"/>
        <w:rPr>
          <w:rFonts w:ascii="Times New Roman" w:hAnsi="Times New Roman" w:cs="Times New Roman"/>
          <w:b/>
          <w:bCs/>
          <w:sz w:val="24"/>
          <w:szCs w:val="24"/>
          <w:lang w:eastAsia="ru-RU"/>
        </w:rPr>
      </w:pPr>
      <w:r w:rsidRPr="003F05A9">
        <w:rPr>
          <w:rFonts w:ascii="Times New Roman" w:hAnsi="Times New Roman" w:cs="Times New Roman"/>
          <w:b/>
          <w:bCs/>
          <w:sz w:val="24"/>
          <w:szCs w:val="24"/>
          <w:lang w:eastAsia="ru-RU"/>
        </w:rPr>
        <w:t>Биткоин – валюта будущего или валютная пирамида?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center"/>
        <w:rPr>
          <w:rFonts w:ascii="Times New Roman" w:hAnsi="Times New Roman" w:cs="Times New Roman"/>
          <w:b/>
          <w:bCs/>
          <w:sz w:val="24"/>
          <w:szCs w:val="24"/>
          <w:lang w:eastAsia="ru-RU"/>
        </w:rPr>
      </w:pPr>
      <w:r w:rsidRPr="003F05A9">
        <w:rPr>
          <w:rFonts w:ascii="Times New Roman" w:hAnsi="Times New Roman" w:cs="Times New Roman"/>
          <w:b/>
          <w:bCs/>
          <w:sz w:val="24"/>
          <w:szCs w:val="24"/>
          <w:lang w:eastAsia="ru-RU"/>
        </w:rPr>
        <w:t>Борисов Роман Павлович, бакалавр</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center"/>
        <w:rPr>
          <w:rFonts w:ascii="Times New Roman" w:hAnsi="Times New Roman" w:cs="Times New Roman"/>
          <w:bCs/>
          <w:sz w:val="24"/>
          <w:szCs w:val="24"/>
          <w:lang w:eastAsia="ru-RU"/>
        </w:rPr>
      </w:pPr>
      <w:r w:rsidRPr="003F05A9">
        <w:rPr>
          <w:rFonts w:ascii="Times New Roman" w:hAnsi="Times New Roman" w:cs="Times New Roman"/>
          <w:b/>
          <w:bCs/>
          <w:sz w:val="24"/>
          <w:szCs w:val="24"/>
          <w:lang w:eastAsia="ru-RU"/>
        </w:rPr>
        <w:t>Гончар Владимир Анатольевич, бакалавр</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center"/>
        <w:rPr>
          <w:rFonts w:ascii="Times New Roman" w:hAnsi="Times New Roman" w:cs="Times New Roman"/>
          <w:bCs/>
          <w:sz w:val="24"/>
          <w:szCs w:val="24"/>
          <w:lang w:eastAsia="ru-RU"/>
        </w:rPr>
      </w:pPr>
      <w:r w:rsidRPr="003F05A9">
        <w:rPr>
          <w:rFonts w:ascii="Times New Roman" w:hAnsi="Times New Roman" w:cs="Times New Roman"/>
          <w:b/>
          <w:bCs/>
          <w:sz w:val="24"/>
          <w:szCs w:val="24"/>
          <w:lang w:eastAsia="ru-RU"/>
        </w:rPr>
        <w:t>Одияко Наталья Николаевна, преподаватель</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center"/>
        <w:rPr>
          <w:rFonts w:ascii="Times New Roman" w:hAnsi="Times New Roman" w:cs="Times New Roman"/>
          <w:i/>
          <w:sz w:val="24"/>
          <w:szCs w:val="24"/>
          <w:lang w:eastAsia="ru-RU"/>
        </w:rPr>
      </w:pPr>
      <w:r w:rsidRPr="003F05A9">
        <w:rPr>
          <w:rFonts w:ascii="Times New Roman" w:hAnsi="Times New Roman" w:cs="Times New Roman"/>
          <w:i/>
          <w:sz w:val="24"/>
          <w:szCs w:val="24"/>
          <w:lang w:eastAsia="ru-RU"/>
        </w:rPr>
        <w:t>Владивостокский государственный университет экономики и сервиса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center"/>
        <w:rPr>
          <w:rFonts w:ascii="Times New Roman" w:hAnsi="Times New Roman" w:cs="Times New Roman"/>
          <w:i/>
          <w:sz w:val="24"/>
          <w:szCs w:val="24"/>
          <w:lang w:eastAsia="ru-RU"/>
        </w:rPr>
      </w:pPr>
      <w:r w:rsidRPr="003F05A9">
        <w:rPr>
          <w:rFonts w:ascii="Times New Roman" w:hAnsi="Times New Roman" w:cs="Times New Roman"/>
          <w:i/>
          <w:sz w:val="24"/>
          <w:szCs w:val="24"/>
          <w:lang w:eastAsia="ru-RU"/>
        </w:rPr>
        <w:t>Россия, Владивосток</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center"/>
        <w:rPr>
          <w:rFonts w:ascii="Times New Roman" w:hAnsi="Times New Roman" w:cs="Times New Roman"/>
          <w:sz w:val="24"/>
          <w:szCs w:val="24"/>
          <w:lang w:eastAsia="ru-RU"/>
        </w:rPr>
      </w:pPr>
      <w:r w:rsidRPr="003F05A9">
        <w:rPr>
          <w:rFonts w:ascii="Times New Roman" w:hAnsi="Times New Roman" w:cs="Times New Roman"/>
          <w:sz w:val="24"/>
          <w:szCs w:val="24"/>
          <w:lang w:val="en-US" w:eastAsia="ru-RU"/>
        </w:rPr>
        <w:t>E</w:t>
      </w:r>
      <w:r w:rsidRPr="003F05A9">
        <w:rPr>
          <w:rFonts w:ascii="Times New Roman" w:hAnsi="Times New Roman" w:cs="Times New Roman"/>
          <w:sz w:val="24"/>
          <w:szCs w:val="24"/>
          <w:lang w:eastAsia="ru-RU"/>
        </w:rPr>
        <w:t>-</w:t>
      </w:r>
      <w:r w:rsidRPr="003F05A9">
        <w:rPr>
          <w:rFonts w:ascii="Times New Roman" w:hAnsi="Times New Roman" w:cs="Times New Roman"/>
          <w:sz w:val="24"/>
          <w:szCs w:val="24"/>
          <w:lang w:val="en-US" w:eastAsia="ru-RU"/>
        </w:rPr>
        <w:t>mail</w:t>
      </w:r>
      <w:r w:rsidRPr="003F05A9">
        <w:rPr>
          <w:rFonts w:ascii="Times New Roman" w:hAnsi="Times New Roman" w:cs="Times New Roman"/>
          <w:sz w:val="24"/>
          <w:szCs w:val="24"/>
          <w:lang w:eastAsia="ru-RU"/>
        </w:rPr>
        <w:t xml:space="preserve">: </w:t>
      </w:r>
      <w:hyperlink r:id="rId473" w:history="1">
        <w:r w:rsidRPr="003F05A9">
          <w:rPr>
            <w:rFonts w:ascii="Times New Roman" w:hAnsi="Times New Roman" w:cs="Times New Roman"/>
            <w:color w:val="0563C1"/>
            <w:sz w:val="24"/>
            <w:szCs w:val="24"/>
            <w:u w:val="single"/>
            <w:lang w:val="en-US" w:eastAsia="ru-RU"/>
          </w:rPr>
          <w:t>Vladimir</w:t>
        </w:r>
        <w:r w:rsidRPr="003F05A9">
          <w:rPr>
            <w:rFonts w:ascii="Times New Roman" w:hAnsi="Times New Roman" w:cs="Times New Roman"/>
            <w:color w:val="0563C1"/>
            <w:sz w:val="24"/>
            <w:szCs w:val="24"/>
            <w:u w:val="single"/>
            <w:lang w:eastAsia="ru-RU"/>
          </w:rPr>
          <w:t>.</w:t>
        </w:r>
        <w:r w:rsidRPr="003F05A9">
          <w:rPr>
            <w:rFonts w:ascii="Times New Roman" w:hAnsi="Times New Roman" w:cs="Times New Roman"/>
            <w:color w:val="0563C1"/>
            <w:sz w:val="24"/>
            <w:szCs w:val="24"/>
            <w:u w:val="single"/>
            <w:lang w:val="en-US" w:eastAsia="ru-RU"/>
          </w:rPr>
          <w:t>Gonchar</w:t>
        </w:r>
        <w:r w:rsidRPr="003F05A9">
          <w:rPr>
            <w:rFonts w:ascii="Times New Roman" w:hAnsi="Times New Roman" w:cs="Times New Roman"/>
            <w:color w:val="0563C1"/>
            <w:sz w:val="24"/>
            <w:szCs w:val="24"/>
            <w:u w:val="single"/>
            <w:lang w:eastAsia="ru-RU"/>
          </w:rPr>
          <w:t>@</w:t>
        </w:r>
        <w:r w:rsidRPr="003F05A9">
          <w:rPr>
            <w:rFonts w:ascii="Times New Roman" w:hAnsi="Times New Roman" w:cs="Times New Roman"/>
            <w:color w:val="0563C1"/>
            <w:sz w:val="24"/>
            <w:szCs w:val="24"/>
            <w:u w:val="single"/>
            <w:lang w:val="en-US" w:eastAsia="ru-RU"/>
          </w:rPr>
          <w:t>vvsu</w:t>
        </w:r>
        <w:r w:rsidRPr="003F05A9">
          <w:rPr>
            <w:rFonts w:ascii="Times New Roman" w:hAnsi="Times New Roman" w:cs="Times New Roman"/>
            <w:color w:val="0563C1"/>
            <w:sz w:val="24"/>
            <w:szCs w:val="24"/>
            <w:u w:val="single"/>
            <w:lang w:eastAsia="ru-RU"/>
          </w:rPr>
          <w:t>.</w:t>
        </w:r>
        <w:r w:rsidRPr="003F05A9">
          <w:rPr>
            <w:rFonts w:ascii="Times New Roman" w:hAnsi="Times New Roman" w:cs="Times New Roman"/>
            <w:color w:val="0563C1"/>
            <w:sz w:val="24"/>
            <w:szCs w:val="24"/>
            <w:u w:val="single"/>
            <w:lang w:val="en-US" w:eastAsia="ru-RU"/>
          </w:rPr>
          <w:t>ru</w:t>
        </w:r>
      </w:hyperlink>
      <w:r w:rsidRPr="003F05A9">
        <w:rPr>
          <w:rFonts w:ascii="Times New Roman" w:hAnsi="Times New Roman" w:cs="Times New Roman"/>
          <w:sz w:val="24"/>
          <w:szCs w:val="24"/>
          <w:lang w:eastAsia="ru-RU"/>
        </w:rPr>
        <w:t xml:space="preserve">, </w:t>
      </w:r>
      <w:hyperlink r:id="rId474" w:history="1">
        <w:r w:rsidRPr="003F05A9">
          <w:rPr>
            <w:rFonts w:ascii="Times New Roman" w:hAnsi="Times New Roman" w:cs="Times New Roman"/>
            <w:color w:val="0563C1"/>
            <w:sz w:val="24"/>
            <w:szCs w:val="24"/>
            <w:u w:val="single"/>
            <w:lang w:val="en-US" w:eastAsia="ru-RU"/>
          </w:rPr>
          <w:t>roman</w:t>
        </w:r>
        <w:r w:rsidRPr="003F05A9">
          <w:rPr>
            <w:rFonts w:ascii="Times New Roman" w:hAnsi="Times New Roman" w:cs="Times New Roman"/>
            <w:color w:val="0563C1"/>
            <w:sz w:val="24"/>
            <w:szCs w:val="24"/>
            <w:u w:val="single"/>
            <w:lang w:eastAsia="ru-RU"/>
          </w:rPr>
          <w:t>.</w:t>
        </w:r>
        <w:r w:rsidRPr="003F05A9">
          <w:rPr>
            <w:rFonts w:ascii="Times New Roman" w:hAnsi="Times New Roman" w:cs="Times New Roman"/>
            <w:color w:val="0563C1"/>
            <w:sz w:val="24"/>
            <w:szCs w:val="24"/>
            <w:u w:val="single"/>
            <w:lang w:val="en-US" w:eastAsia="ru-RU"/>
          </w:rPr>
          <w:t>borisov</w:t>
        </w:r>
        <w:r w:rsidRPr="003F05A9">
          <w:rPr>
            <w:rFonts w:ascii="Times New Roman" w:hAnsi="Times New Roman" w:cs="Times New Roman"/>
            <w:color w:val="0563C1"/>
            <w:sz w:val="24"/>
            <w:szCs w:val="24"/>
            <w:u w:val="single"/>
            <w:lang w:eastAsia="ru-RU"/>
          </w:rPr>
          <w:t>@</w:t>
        </w:r>
        <w:r w:rsidRPr="003F05A9">
          <w:rPr>
            <w:rFonts w:ascii="Times New Roman" w:hAnsi="Times New Roman" w:cs="Times New Roman"/>
            <w:color w:val="0563C1"/>
            <w:sz w:val="24"/>
            <w:szCs w:val="24"/>
            <w:u w:val="single"/>
            <w:lang w:val="en-US" w:eastAsia="ru-RU"/>
          </w:rPr>
          <w:t>vvsu</w:t>
        </w:r>
        <w:r w:rsidRPr="003F05A9">
          <w:rPr>
            <w:rFonts w:ascii="Times New Roman" w:hAnsi="Times New Roman" w:cs="Times New Roman"/>
            <w:color w:val="0563C1"/>
            <w:sz w:val="24"/>
            <w:szCs w:val="24"/>
            <w:u w:val="single"/>
            <w:lang w:eastAsia="ru-RU"/>
          </w:rPr>
          <w:t>.</w:t>
        </w:r>
        <w:r w:rsidRPr="003F05A9">
          <w:rPr>
            <w:rFonts w:ascii="Times New Roman" w:hAnsi="Times New Roman" w:cs="Times New Roman"/>
            <w:color w:val="0563C1"/>
            <w:sz w:val="24"/>
            <w:szCs w:val="24"/>
            <w:u w:val="single"/>
            <w:lang w:val="en-US" w:eastAsia="ru-RU"/>
          </w:rPr>
          <w:t>ru</w:t>
        </w:r>
      </w:hyperlink>
      <w:r w:rsidRPr="003F05A9">
        <w:rPr>
          <w:rFonts w:ascii="Times New Roman" w:hAnsi="Times New Roman" w:cs="Times New Roman"/>
          <w:sz w:val="24"/>
          <w:szCs w:val="24"/>
          <w:lang w:eastAsia="ru-RU"/>
        </w:rPr>
        <w:t xml:space="preserve">, </w:t>
      </w:r>
      <w:hyperlink r:id="rId475" w:history="1">
        <w:r w:rsidRPr="003F05A9">
          <w:rPr>
            <w:rFonts w:ascii="Times New Roman" w:hAnsi="Times New Roman" w:cs="Times New Roman"/>
            <w:color w:val="0563C1"/>
            <w:sz w:val="24"/>
            <w:szCs w:val="24"/>
            <w:u w:val="single"/>
            <w:lang w:val="en-US" w:eastAsia="ru-RU"/>
          </w:rPr>
          <w:t>natalya</w:t>
        </w:r>
        <w:r w:rsidRPr="003F05A9">
          <w:rPr>
            <w:rFonts w:ascii="Times New Roman" w:hAnsi="Times New Roman" w:cs="Times New Roman"/>
            <w:color w:val="0563C1"/>
            <w:sz w:val="24"/>
            <w:szCs w:val="24"/>
            <w:u w:val="single"/>
            <w:lang w:eastAsia="ru-RU"/>
          </w:rPr>
          <w:t>.</w:t>
        </w:r>
        <w:r w:rsidRPr="003F05A9">
          <w:rPr>
            <w:rFonts w:ascii="Times New Roman" w:hAnsi="Times New Roman" w:cs="Times New Roman"/>
            <w:color w:val="0563C1"/>
            <w:sz w:val="24"/>
            <w:szCs w:val="24"/>
            <w:u w:val="single"/>
            <w:lang w:val="en-US" w:eastAsia="ru-RU"/>
          </w:rPr>
          <w:t>odiyako</w:t>
        </w:r>
        <w:r w:rsidRPr="003F05A9">
          <w:rPr>
            <w:rFonts w:ascii="Times New Roman" w:hAnsi="Times New Roman" w:cs="Times New Roman"/>
            <w:color w:val="0563C1"/>
            <w:sz w:val="24"/>
            <w:szCs w:val="24"/>
            <w:u w:val="single"/>
            <w:lang w:eastAsia="ru-RU"/>
          </w:rPr>
          <w:t>@</w:t>
        </w:r>
        <w:r w:rsidRPr="003F05A9">
          <w:rPr>
            <w:rFonts w:ascii="Times New Roman" w:hAnsi="Times New Roman" w:cs="Times New Roman"/>
            <w:color w:val="0563C1"/>
            <w:sz w:val="24"/>
            <w:szCs w:val="24"/>
            <w:u w:val="single"/>
            <w:lang w:val="en-US" w:eastAsia="ru-RU"/>
          </w:rPr>
          <w:t>vvsu</w:t>
        </w:r>
        <w:r w:rsidRPr="003F05A9">
          <w:rPr>
            <w:rFonts w:ascii="Times New Roman" w:hAnsi="Times New Roman" w:cs="Times New Roman"/>
            <w:color w:val="0563C1"/>
            <w:sz w:val="24"/>
            <w:szCs w:val="24"/>
            <w:u w:val="single"/>
            <w:lang w:eastAsia="ru-RU"/>
          </w:rPr>
          <w:t>.</w:t>
        </w:r>
        <w:r w:rsidRPr="003F05A9">
          <w:rPr>
            <w:rFonts w:ascii="Times New Roman" w:hAnsi="Times New Roman" w:cs="Times New Roman"/>
            <w:color w:val="0563C1"/>
            <w:sz w:val="24"/>
            <w:szCs w:val="24"/>
            <w:u w:val="single"/>
            <w:lang w:val="en-US" w:eastAsia="ru-RU"/>
          </w:rPr>
          <w:t>ru</w:t>
        </w:r>
      </w:hyperlink>
      <w:r w:rsidRPr="003F05A9">
        <w:rPr>
          <w:rFonts w:ascii="Times New Roman" w:hAnsi="Times New Roman" w:cs="Times New Roman"/>
          <w:sz w:val="24"/>
          <w:szCs w:val="24"/>
          <w:lang w:eastAsia="ru-RU"/>
        </w:rPr>
        <w:t xml:space="preserve">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center"/>
        <w:rPr>
          <w:rFonts w:ascii="Times New Roman" w:hAnsi="Times New Roman" w:cs="Times New Roman"/>
          <w:sz w:val="24"/>
          <w:szCs w:val="24"/>
          <w:lang w:eastAsia="ru-RU"/>
        </w:rPr>
      </w:pPr>
      <w:r w:rsidRPr="003F05A9">
        <w:rPr>
          <w:rFonts w:ascii="Times New Roman" w:hAnsi="Times New Roman" w:cs="Times New Roman"/>
          <w:sz w:val="24"/>
          <w:szCs w:val="24"/>
          <w:lang w:eastAsia="ru-RU"/>
        </w:rPr>
        <w:t>ул. Гоголя, 41, г. Владивосток, Приморский край, Россия, 690014</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center"/>
        <w:rPr>
          <w:rFonts w:ascii="Times New Roman" w:hAnsi="Times New Roman" w:cs="Times New Roman"/>
          <w:sz w:val="24"/>
          <w:szCs w:val="24"/>
          <w:lang w:eastAsia="ru-RU"/>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b/>
          <w:bCs/>
          <w:i/>
          <w:sz w:val="24"/>
          <w:szCs w:val="24"/>
          <w:lang w:eastAsia="ru-RU"/>
        </w:rPr>
      </w:pPr>
      <w:r w:rsidRPr="003F05A9">
        <w:rPr>
          <w:rFonts w:ascii="Times New Roman" w:hAnsi="Times New Roman" w:cs="Times New Roman"/>
          <w:b/>
          <w:bCs/>
          <w:i/>
          <w:sz w:val="24"/>
          <w:szCs w:val="24"/>
          <w:lang w:eastAsia="ru-RU"/>
        </w:rPr>
        <w:t>В статье рассматривается актуальность биткоина, сравнение достоинств и недостатков криптовалюты, показываются способы заработка с помощью биткоина, сравнивается прибыль, полученная от вклада в банк с прибылью от майнинга.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sz w:val="24"/>
          <w:szCs w:val="24"/>
          <w:lang w:eastAsia="ru-RU"/>
        </w:rPr>
      </w:pPr>
      <w:r w:rsidRPr="003F05A9">
        <w:rPr>
          <w:rFonts w:ascii="Times New Roman" w:hAnsi="Times New Roman" w:cs="Times New Roman"/>
          <w:b/>
          <w:bCs/>
          <w:i/>
          <w:sz w:val="24"/>
          <w:szCs w:val="24"/>
          <w:lang w:eastAsia="ru-RU"/>
        </w:rPr>
        <w:t>Ключевые слова и словосочетания</w:t>
      </w:r>
      <w:r w:rsidRPr="003F05A9">
        <w:rPr>
          <w:rFonts w:ascii="Times New Roman" w:hAnsi="Times New Roman" w:cs="Times New Roman"/>
          <w:i/>
          <w:sz w:val="24"/>
          <w:szCs w:val="24"/>
          <w:lang w:eastAsia="ru-RU"/>
        </w:rPr>
        <w:t>: криптовалюта, биткоин, блокчейн, транзакция, майнинг, заработок на криптовалюте.</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sz w:val="24"/>
          <w:szCs w:val="24"/>
          <w:lang w:eastAsia="ru-RU"/>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center"/>
        <w:rPr>
          <w:rFonts w:ascii="Times New Roman" w:hAnsi="Times New Roman" w:cs="Times New Roman"/>
          <w:b/>
          <w:bCs/>
          <w:sz w:val="24"/>
          <w:szCs w:val="24"/>
          <w:lang w:val="en-US" w:eastAsia="ru-RU"/>
        </w:rPr>
      </w:pPr>
      <w:r w:rsidRPr="003F05A9">
        <w:rPr>
          <w:rFonts w:ascii="Times New Roman" w:hAnsi="Times New Roman" w:cs="Times New Roman"/>
          <w:b/>
          <w:bCs/>
          <w:sz w:val="24"/>
          <w:szCs w:val="24"/>
          <w:lang w:val="en-US" w:eastAsia="ru-RU"/>
        </w:rPr>
        <w:t>Bitcoin is the currency of the future or a currency pyramid?</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b/>
          <w:bCs/>
          <w:i/>
          <w:sz w:val="24"/>
          <w:szCs w:val="24"/>
          <w:lang w:val="en-US" w:eastAsia="ru-RU"/>
        </w:rPr>
      </w:pPr>
      <w:r w:rsidRPr="003F05A9">
        <w:rPr>
          <w:rFonts w:ascii="Times New Roman" w:hAnsi="Times New Roman" w:cs="Times New Roman"/>
          <w:b/>
          <w:i/>
          <w:sz w:val="24"/>
          <w:szCs w:val="24"/>
          <w:lang w:val="en-US" w:eastAsia="ru-RU"/>
        </w:rPr>
        <w:t>The article examines the relevance of bitcoin, compares the merits and demerits of the crypto currency, shows the ways of earning with bitcoin, compares the profit received from the deposit to the bank with the profit from the mining.</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i/>
          <w:sz w:val="24"/>
          <w:szCs w:val="24"/>
          <w:lang w:val="en-US" w:eastAsia="ru-RU"/>
        </w:rPr>
      </w:pPr>
      <w:r w:rsidRPr="003F05A9">
        <w:rPr>
          <w:rFonts w:ascii="Times New Roman" w:hAnsi="Times New Roman" w:cs="Times New Roman"/>
          <w:b/>
          <w:bCs/>
          <w:i/>
          <w:sz w:val="24"/>
          <w:szCs w:val="24"/>
          <w:lang w:val="en-US" w:eastAsia="ru-RU"/>
        </w:rPr>
        <w:t>Keywords</w:t>
      </w:r>
      <w:r w:rsidRPr="003F05A9">
        <w:rPr>
          <w:rFonts w:ascii="Times New Roman" w:hAnsi="Times New Roman" w:cs="Times New Roman"/>
          <w:i/>
          <w:sz w:val="24"/>
          <w:szCs w:val="24"/>
          <w:lang w:val="en-US" w:eastAsia="ru-RU"/>
        </w:rPr>
        <w:t>: Crypto currency, bitcoin, blockchain, transaction, earnings on crypto currency.</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sz w:val="24"/>
          <w:szCs w:val="24"/>
          <w:lang w:val="en-US" w:eastAsia="ru-RU"/>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Криптовалюта и биткоин представляют собой новое изобретение в экономической сфере. Биткоин - одна из наиболее популярных криптовалют, представляющая из себя аналог фиатных денег, работающая за счёт технологии блокчейн. Блокчейн представляет из себя распределенную базу данных, хранящую информацию о всех транзакциях. Создание новых биткоинов возможно за счёт майнинга. Майнинг </w:t>
      </w:r>
      <w:r w:rsidRPr="003F05A9">
        <w:rPr>
          <w:rFonts w:ascii="Times New Roman" w:hAnsi="Times New Roman" w:cs="Times New Roman"/>
          <w:color w:val="000000"/>
          <w:sz w:val="24"/>
          <w:szCs w:val="28"/>
        </w:rPr>
        <w:t xml:space="preserve">«посредник» </w:t>
      </w:r>
      <w:r w:rsidRPr="003F05A9">
        <w:rPr>
          <w:rFonts w:ascii="Times New Roman" w:hAnsi="Times New Roman" w:cs="Times New Roman"/>
          <w:sz w:val="24"/>
          <w:szCs w:val="24"/>
        </w:rPr>
        <w:t>обеспечивает подтверждение транзакций посредством угадывания хеша. [3,2]</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В цифровом веке актуальность криптовалюты является ключевой, биткоин представляет из себя будущее. В Японии, например, использование криптовалюты популярно за счёт безопасности использования. Однако сейчас у этой валюты существуют существенные недостатки: </w:t>
      </w:r>
    </w:p>
    <w:p w:rsidR="003F05A9" w:rsidRPr="003F05A9" w:rsidRDefault="003F05A9" w:rsidP="003F05A9">
      <w:pPr>
        <w:numPr>
          <w:ilvl w:val="0"/>
          <w:numId w:val="123"/>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огромное потребление электроэнергии: для обеспечения работы криптовалюты биткоина, требуется 9636 ГВ/ч, примерно столько же потребляет вся республика Конго; [1]</w:t>
      </w:r>
    </w:p>
    <w:p w:rsidR="003F05A9" w:rsidRPr="003F05A9" w:rsidRDefault="003F05A9" w:rsidP="003F05A9">
      <w:pPr>
        <w:numPr>
          <w:ilvl w:val="0"/>
          <w:numId w:val="123"/>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 xml:space="preserve">рост сложности сети: сложность сети – это показатель </w:t>
      </w:r>
      <w:r w:rsidRPr="003F05A9">
        <w:rPr>
          <w:rFonts w:ascii="Times New Roman" w:hAnsi="Times New Roman" w:cs="Times New Roman"/>
          <w:color w:val="000000"/>
          <w:sz w:val="24"/>
          <w:szCs w:val="28"/>
        </w:rPr>
        <w:t xml:space="preserve">«лёгкости» нахождения блока, в котором содержатся данные об «ожидающих транзакциях», так как вся сеть биткоина настроена так, чтобы блок находился один раз в десять минут, и так как вычислительная мощность растёт в результате майнинга, то есть такой параметр, который ограничивает вычислительную мощность, этот параметр и есть сложность сети, скорость роста сложности представлена в таблице 1. </w:t>
      </w:r>
      <w:r w:rsidRPr="003F05A9">
        <w:rPr>
          <w:rFonts w:ascii="Times New Roman" w:hAnsi="Times New Roman" w:cs="Times New Roman"/>
          <w:sz w:val="24"/>
          <w:szCs w:val="28"/>
        </w:rPr>
        <w:t>[3, 5]</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i/>
          <w:sz w:val="24"/>
          <w:szCs w:val="24"/>
        </w:rPr>
      </w:pPr>
      <w:r w:rsidRPr="003F05A9">
        <w:rPr>
          <w:rFonts w:ascii="Times New Roman" w:hAnsi="Times New Roman" w:cs="Times New Roman"/>
          <w:i/>
          <w:sz w:val="24"/>
          <w:szCs w:val="24"/>
        </w:rPr>
        <w:t>Таблица 1</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b/>
          <w:sz w:val="24"/>
          <w:szCs w:val="24"/>
        </w:rPr>
      </w:pPr>
      <w:r w:rsidRPr="003F05A9">
        <w:rPr>
          <w:rFonts w:ascii="Times New Roman" w:hAnsi="Times New Roman" w:cs="Times New Roman"/>
          <w:i/>
          <w:sz w:val="24"/>
          <w:szCs w:val="24"/>
        </w:rPr>
        <w:tab/>
      </w:r>
      <w:r w:rsidRPr="003F05A9">
        <w:rPr>
          <w:rFonts w:ascii="Times New Roman" w:hAnsi="Times New Roman" w:cs="Times New Roman"/>
          <w:b/>
          <w:sz w:val="24"/>
          <w:szCs w:val="24"/>
        </w:rPr>
        <w:t>Рост показателя сложности биткоина.</w:t>
      </w:r>
    </w:p>
    <w:tbl>
      <w:tblPr>
        <w:tblStyle w:val="42"/>
        <w:tblW w:w="0" w:type="auto"/>
        <w:tblLook w:val="04A0" w:firstRow="1" w:lastRow="0" w:firstColumn="1" w:lastColumn="0" w:noHBand="0" w:noVBand="1"/>
      </w:tblPr>
      <w:tblGrid>
        <w:gridCol w:w="3115"/>
        <w:gridCol w:w="3115"/>
        <w:gridCol w:w="3115"/>
      </w:tblGrid>
      <w:tr w:rsidR="003F05A9" w:rsidRPr="003F05A9" w:rsidTr="003F05A9">
        <w:tc>
          <w:tcPr>
            <w:tcW w:w="3115" w:type="dxa"/>
          </w:tcPr>
          <w:p w:rsidR="003F05A9" w:rsidRPr="003F05A9" w:rsidRDefault="003F05A9" w:rsidP="003F05A9">
            <w:pPr>
              <w:spacing w:after="0" w:line="256" w:lineRule="auto"/>
              <w:ind w:firstLine="1134"/>
              <w:jc w:val="both"/>
              <w:rPr>
                <w:rFonts w:ascii="Times New Roman" w:hAnsi="Times New Roman"/>
                <w:sz w:val="24"/>
              </w:rPr>
            </w:pPr>
            <w:r w:rsidRPr="003F05A9">
              <w:rPr>
                <w:rFonts w:ascii="Times New Roman" w:hAnsi="Times New Roman"/>
                <w:sz w:val="24"/>
              </w:rPr>
              <w:t>Дата</w:t>
            </w:r>
          </w:p>
        </w:tc>
        <w:tc>
          <w:tcPr>
            <w:tcW w:w="3115" w:type="dxa"/>
          </w:tcPr>
          <w:p w:rsidR="003F05A9" w:rsidRPr="003F05A9" w:rsidRDefault="003F05A9" w:rsidP="003F05A9">
            <w:pPr>
              <w:spacing w:after="0" w:line="256" w:lineRule="auto"/>
              <w:ind w:firstLine="850"/>
              <w:jc w:val="both"/>
              <w:rPr>
                <w:rFonts w:ascii="Times New Roman" w:hAnsi="Times New Roman"/>
                <w:sz w:val="24"/>
              </w:rPr>
            </w:pPr>
            <w:r w:rsidRPr="003F05A9">
              <w:rPr>
                <w:rFonts w:ascii="Times New Roman" w:hAnsi="Times New Roman"/>
                <w:sz w:val="24"/>
              </w:rPr>
              <w:t xml:space="preserve">Сложность </w:t>
            </w:r>
          </w:p>
        </w:tc>
        <w:tc>
          <w:tcPr>
            <w:tcW w:w="3115" w:type="dxa"/>
          </w:tcPr>
          <w:p w:rsidR="003F05A9" w:rsidRPr="003F05A9" w:rsidRDefault="003F05A9" w:rsidP="003F05A9">
            <w:pPr>
              <w:spacing w:after="0" w:line="256" w:lineRule="auto"/>
              <w:ind w:firstLine="864"/>
              <w:jc w:val="both"/>
              <w:rPr>
                <w:rFonts w:ascii="Times New Roman" w:hAnsi="Times New Roman"/>
                <w:sz w:val="24"/>
              </w:rPr>
            </w:pPr>
            <w:r w:rsidRPr="003F05A9">
              <w:rPr>
                <w:rFonts w:ascii="Times New Roman" w:hAnsi="Times New Roman"/>
                <w:sz w:val="24"/>
              </w:rPr>
              <w:t>Хешей/сек</w:t>
            </w:r>
          </w:p>
        </w:tc>
      </w:tr>
      <w:tr w:rsidR="003F05A9" w:rsidRPr="003F05A9" w:rsidTr="003F05A9">
        <w:tc>
          <w:tcPr>
            <w:tcW w:w="3115" w:type="dxa"/>
          </w:tcPr>
          <w:p w:rsidR="003F05A9" w:rsidRPr="003F05A9" w:rsidRDefault="003F05A9" w:rsidP="003F05A9">
            <w:pPr>
              <w:spacing w:after="0" w:line="256" w:lineRule="auto"/>
              <w:ind w:firstLine="708"/>
              <w:jc w:val="both"/>
              <w:rPr>
                <w:rFonts w:ascii="Times New Roman" w:hAnsi="Times New Roman"/>
                <w:sz w:val="24"/>
              </w:rPr>
            </w:pPr>
            <w:r w:rsidRPr="003F05A9">
              <w:rPr>
                <w:rFonts w:ascii="Times New Roman" w:hAnsi="Times New Roman"/>
                <w:sz w:val="24"/>
              </w:rPr>
              <w:t>4 февр. 2012</w:t>
            </w:r>
          </w:p>
        </w:tc>
        <w:tc>
          <w:tcPr>
            <w:tcW w:w="3115" w:type="dxa"/>
          </w:tcPr>
          <w:p w:rsidR="003F05A9" w:rsidRPr="003F05A9" w:rsidRDefault="003F05A9" w:rsidP="003F05A9">
            <w:pPr>
              <w:spacing w:after="0" w:line="256" w:lineRule="auto"/>
              <w:ind w:firstLine="708"/>
              <w:jc w:val="both"/>
              <w:rPr>
                <w:rFonts w:ascii="Times New Roman" w:hAnsi="Times New Roman"/>
                <w:sz w:val="24"/>
              </w:rPr>
            </w:pPr>
            <w:r w:rsidRPr="003F05A9">
              <w:rPr>
                <w:rFonts w:ascii="Times New Roman" w:hAnsi="Times New Roman"/>
                <w:sz w:val="24"/>
              </w:rPr>
              <w:t>1,379,647</w:t>
            </w:r>
          </w:p>
        </w:tc>
        <w:tc>
          <w:tcPr>
            <w:tcW w:w="3115" w:type="dxa"/>
          </w:tcPr>
          <w:p w:rsidR="003F05A9" w:rsidRPr="003F05A9" w:rsidRDefault="003F05A9" w:rsidP="003F05A9">
            <w:pPr>
              <w:spacing w:after="0" w:line="256" w:lineRule="auto"/>
              <w:jc w:val="both"/>
              <w:rPr>
                <w:rFonts w:ascii="Times New Roman" w:hAnsi="Times New Roman"/>
                <w:sz w:val="24"/>
              </w:rPr>
            </w:pPr>
            <w:r w:rsidRPr="003F05A9">
              <w:rPr>
                <w:rFonts w:ascii="Times New Roman" w:hAnsi="Times New Roman"/>
                <w:sz w:val="24"/>
              </w:rPr>
              <w:t>9,876 GH/s</w:t>
            </w:r>
          </w:p>
        </w:tc>
      </w:tr>
      <w:tr w:rsidR="003F05A9" w:rsidRPr="003F05A9" w:rsidTr="003F05A9">
        <w:tc>
          <w:tcPr>
            <w:tcW w:w="3115" w:type="dxa"/>
          </w:tcPr>
          <w:p w:rsidR="003F05A9" w:rsidRPr="003F05A9" w:rsidRDefault="003F05A9" w:rsidP="003F05A9">
            <w:pPr>
              <w:spacing w:after="0" w:line="256" w:lineRule="auto"/>
              <w:ind w:firstLine="708"/>
              <w:jc w:val="both"/>
              <w:rPr>
                <w:rFonts w:ascii="Times New Roman" w:hAnsi="Times New Roman"/>
                <w:sz w:val="24"/>
              </w:rPr>
            </w:pPr>
            <w:r w:rsidRPr="003F05A9">
              <w:rPr>
                <w:rFonts w:ascii="Times New Roman" w:hAnsi="Times New Roman"/>
                <w:sz w:val="24"/>
              </w:rPr>
              <w:t>5 февр. 2014</w:t>
            </w:r>
          </w:p>
        </w:tc>
        <w:tc>
          <w:tcPr>
            <w:tcW w:w="3115" w:type="dxa"/>
          </w:tcPr>
          <w:p w:rsidR="003F05A9" w:rsidRPr="003F05A9" w:rsidRDefault="003F05A9" w:rsidP="003F05A9">
            <w:pPr>
              <w:ind w:firstLine="708"/>
              <w:jc w:val="both"/>
              <w:rPr>
                <w:rFonts w:ascii="Times New Roman" w:hAnsi="Times New Roman"/>
                <w:sz w:val="24"/>
              </w:rPr>
            </w:pPr>
            <w:r w:rsidRPr="003F05A9">
              <w:rPr>
                <w:rFonts w:ascii="Times New Roman" w:hAnsi="Times New Roman"/>
                <w:sz w:val="24"/>
              </w:rPr>
              <w:t>2,621,404,453</w:t>
            </w:r>
          </w:p>
        </w:tc>
        <w:tc>
          <w:tcPr>
            <w:tcW w:w="3115" w:type="dxa"/>
          </w:tcPr>
          <w:p w:rsidR="003F05A9" w:rsidRPr="003F05A9" w:rsidRDefault="003F05A9" w:rsidP="003F05A9">
            <w:pPr>
              <w:jc w:val="both"/>
              <w:rPr>
                <w:rFonts w:ascii="Times New Roman" w:hAnsi="Times New Roman"/>
                <w:sz w:val="24"/>
              </w:rPr>
            </w:pPr>
            <w:r w:rsidRPr="003F05A9">
              <w:rPr>
                <w:rFonts w:ascii="Times New Roman" w:hAnsi="Times New Roman"/>
                <w:sz w:val="24"/>
              </w:rPr>
              <w:t>18,764,744 GH/s</w:t>
            </w:r>
          </w:p>
        </w:tc>
      </w:tr>
      <w:tr w:rsidR="003F05A9" w:rsidRPr="003F05A9" w:rsidTr="003F05A9">
        <w:tc>
          <w:tcPr>
            <w:tcW w:w="3115" w:type="dxa"/>
          </w:tcPr>
          <w:p w:rsidR="003F05A9" w:rsidRPr="003F05A9" w:rsidRDefault="003F05A9" w:rsidP="003F05A9">
            <w:pPr>
              <w:spacing w:after="0" w:line="256" w:lineRule="auto"/>
              <w:ind w:firstLine="708"/>
              <w:jc w:val="both"/>
              <w:rPr>
                <w:rFonts w:ascii="Times New Roman" w:hAnsi="Times New Roman"/>
                <w:sz w:val="24"/>
              </w:rPr>
            </w:pPr>
            <w:r w:rsidRPr="003F05A9">
              <w:rPr>
                <w:rFonts w:ascii="Times New Roman" w:hAnsi="Times New Roman"/>
                <w:sz w:val="24"/>
              </w:rPr>
              <w:t>13 апр. 2018</w:t>
            </w:r>
          </w:p>
        </w:tc>
        <w:tc>
          <w:tcPr>
            <w:tcW w:w="3115" w:type="dxa"/>
          </w:tcPr>
          <w:p w:rsidR="003F05A9" w:rsidRPr="003F05A9" w:rsidRDefault="003F05A9" w:rsidP="003F05A9">
            <w:pPr>
              <w:ind w:firstLine="708"/>
              <w:jc w:val="both"/>
              <w:rPr>
                <w:rFonts w:ascii="Times New Roman" w:hAnsi="Times New Roman"/>
                <w:sz w:val="24"/>
              </w:rPr>
            </w:pPr>
            <w:r w:rsidRPr="003F05A9">
              <w:rPr>
                <w:rFonts w:ascii="Times New Roman" w:hAnsi="Times New Roman"/>
                <w:sz w:val="24"/>
              </w:rPr>
              <w:t>3,839,316,899,029</w:t>
            </w:r>
          </w:p>
        </w:tc>
        <w:tc>
          <w:tcPr>
            <w:tcW w:w="3115" w:type="dxa"/>
          </w:tcPr>
          <w:p w:rsidR="003F05A9" w:rsidRPr="003F05A9" w:rsidRDefault="003F05A9" w:rsidP="003F05A9">
            <w:pPr>
              <w:jc w:val="both"/>
              <w:rPr>
                <w:rFonts w:ascii="Times New Roman" w:hAnsi="Times New Roman"/>
                <w:sz w:val="24"/>
              </w:rPr>
            </w:pPr>
            <w:r w:rsidRPr="003F05A9">
              <w:rPr>
                <w:rFonts w:ascii="Times New Roman" w:hAnsi="Times New Roman"/>
                <w:sz w:val="24"/>
              </w:rPr>
              <w:t>27,482,900,867 GH/s</w:t>
            </w:r>
          </w:p>
        </w:tc>
      </w:tr>
    </w:tbl>
    <w:p w:rsidR="003F05A9" w:rsidRPr="003F05A9" w:rsidRDefault="003F05A9" w:rsidP="003F05A9">
      <w:pPr>
        <w:numPr>
          <w:ilvl w:val="0"/>
          <w:numId w:val="123"/>
        </w:numPr>
        <w:pBdr>
          <w:top w:val="none" w:sz="0" w:space="0" w:color="auto"/>
          <w:left w:val="none" w:sz="0" w:space="0" w:color="auto"/>
          <w:bottom w:val="none" w:sz="0" w:space="0" w:color="auto"/>
          <w:right w:val="none" w:sz="0" w:space="0" w:color="auto"/>
          <w:between w:val="none" w:sz="0" w:space="0" w:color="auto"/>
        </w:pBdr>
        <w:tabs>
          <w:tab w:val="left" w:pos="349"/>
        </w:tabs>
        <w:spacing w:after="0" w:line="240" w:lineRule="auto"/>
        <w:ind w:left="0" w:firstLine="851"/>
        <w:contextualSpacing/>
        <w:jc w:val="both"/>
        <w:rPr>
          <w:rFonts w:ascii="Times New Roman" w:hAnsi="Times New Roman" w:cs="Times New Roman"/>
          <w:sz w:val="24"/>
          <w:szCs w:val="24"/>
        </w:rPr>
      </w:pPr>
      <w:r w:rsidRPr="003F05A9">
        <w:rPr>
          <w:rFonts w:ascii="Times New Roman" w:hAnsi="Times New Roman" w:cs="Times New Roman"/>
          <w:sz w:val="24"/>
          <w:szCs w:val="24"/>
        </w:rPr>
        <w:t>долгое ожидания транзакций появляется в результате несовершенного алгоритма - в один блок можно поместить семь транзакций, блок открывается один раз в десять минут, а количество переводов растёт;</w:t>
      </w:r>
    </w:p>
    <w:p w:rsidR="003F05A9" w:rsidRPr="003F05A9" w:rsidRDefault="003F05A9" w:rsidP="003F05A9">
      <w:pPr>
        <w:numPr>
          <w:ilvl w:val="0"/>
          <w:numId w:val="123"/>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851"/>
        <w:contextualSpacing/>
        <w:jc w:val="both"/>
        <w:rPr>
          <w:rFonts w:ascii="Times New Roman" w:hAnsi="Times New Roman" w:cs="Times New Roman"/>
          <w:sz w:val="24"/>
          <w:szCs w:val="24"/>
        </w:rPr>
      </w:pPr>
      <w:r w:rsidRPr="003F05A9">
        <w:rPr>
          <w:rFonts w:ascii="Times New Roman" w:hAnsi="Times New Roman" w:cs="Times New Roman"/>
          <w:sz w:val="24"/>
          <w:szCs w:val="24"/>
        </w:rPr>
        <w:t xml:space="preserve">использование криптовалюты в незаконных целях является одной из ключевых проблем биткоина и некоторых других криптовалют; </w:t>
      </w:r>
    </w:p>
    <w:p w:rsidR="003F05A9" w:rsidRPr="003F05A9" w:rsidRDefault="003F05A9" w:rsidP="003F05A9">
      <w:pPr>
        <w:numPr>
          <w:ilvl w:val="0"/>
          <w:numId w:val="123"/>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851"/>
        <w:contextualSpacing/>
        <w:jc w:val="both"/>
        <w:rPr>
          <w:rFonts w:ascii="Times New Roman" w:hAnsi="Times New Roman" w:cs="Times New Roman"/>
          <w:sz w:val="24"/>
          <w:szCs w:val="24"/>
        </w:rPr>
      </w:pPr>
      <w:r w:rsidRPr="003F05A9">
        <w:rPr>
          <w:rFonts w:ascii="Times New Roman" w:hAnsi="Times New Roman" w:cs="Times New Roman"/>
          <w:sz w:val="24"/>
          <w:szCs w:val="24"/>
        </w:rPr>
        <w:t>резкие скачки: курс биткоина, достигнув 17 000$ за монету, начал падать в следствии заявления Китая о запрете для юридических лиц операций с биткоином, курс упал также из-за того, что китайские майнеры стали выводить биткоины в юани. На рисунке 1 представлен пример скачков курса -  биткоин нельзя назвать стабильной валютой; [5,6]</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left="349"/>
        <w:contextualSpacing/>
        <w:rPr>
          <w:rFonts w:ascii="Times New Roman" w:hAnsi="Times New Roman" w:cs="Times New Roman"/>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sz w:val="24"/>
          <w:szCs w:val="24"/>
        </w:rPr>
      </w:pPr>
      <w:r w:rsidRPr="003F05A9">
        <w:rPr>
          <w:rFonts w:cs="Times New Roman"/>
          <w:noProof/>
          <w:lang w:eastAsia="ru-RU"/>
        </w:rPr>
        <w:drawing>
          <wp:inline distT="0" distB="0" distL="0" distR="0" wp14:anchorId="1B9382E0" wp14:editId="0510903D">
            <wp:extent cx="5705475" cy="3305175"/>
            <wp:effectExtent l="0" t="0" r="0" b="0"/>
            <wp:docPr id="184" name="Рисунок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76">
                      <a:extLst>
                        <a:ext uri="{28A0092B-C50C-407E-A947-70E740481C1C}">
                          <a14:useLocalDpi xmlns:a14="http://schemas.microsoft.com/office/drawing/2010/main" val="0"/>
                        </a:ext>
                      </a:extLst>
                    </a:blip>
                    <a:srcRect/>
                    <a:stretch>
                      <a:fillRect/>
                    </a:stretch>
                  </pic:blipFill>
                  <pic:spPr bwMode="auto">
                    <a:xfrm>
                      <a:off x="0" y="0"/>
                      <a:ext cx="5705475" cy="3305175"/>
                    </a:xfrm>
                    <a:prstGeom prst="rect">
                      <a:avLst/>
                    </a:prstGeom>
                    <a:noFill/>
                    <a:ln>
                      <a:noFill/>
                    </a:ln>
                  </pic:spPr>
                </pic:pic>
              </a:graphicData>
            </a:graphic>
          </wp:inline>
        </w:drawing>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rPr>
      </w:pPr>
      <w:r w:rsidRPr="003F05A9">
        <w:rPr>
          <w:rFonts w:ascii="Times New Roman" w:hAnsi="Times New Roman" w:cs="Times New Roman"/>
          <w:sz w:val="24"/>
          <w:szCs w:val="24"/>
        </w:rPr>
        <w:t>Рисунок 1 – График курса биткоина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rPr>
      </w:pPr>
    </w:p>
    <w:p w:rsidR="003F05A9" w:rsidRPr="003F05A9" w:rsidRDefault="003F05A9" w:rsidP="003F05A9">
      <w:pPr>
        <w:numPr>
          <w:ilvl w:val="0"/>
          <w:numId w:val="123"/>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851"/>
        <w:contextualSpacing/>
        <w:jc w:val="both"/>
        <w:rPr>
          <w:rFonts w:ascii="Times New Roman" w:hAnsi="Times New Roman" w:cs="Times New Roman"/>
          <w:sz w:val="24"/>
          <w:szCs w:val="24"/>
        </w:rPr>
      </w:pPr>
      <w:r w:rsidRPr="003F05A9">
        <w:rPr>
          <w:rFonts w:ascii="Times New Roman" w:hAnsi="Times New Roman" w:cs="Times New Roman"/>
          <w:sz w:val="24"/>
          <w:szCs w:val="24"/>
        </w:rPr>
        <w:t>правовой статус биткоина в большинстве стран не определен: например, биткоин разрешён в Японии, и все операции с ним легальны, а в Китае запрещены операции для юридических лиц. На данный момент в Российской Федерации был подготовлен законопроект о регулировании использования цифровых денег. В тексте законопроекта криптовалюта считается цифровым товаром, а майнинг определяется как предпринимательская деятельность;</w:t>
      </w:r>
    </w:p>
    <w:p w:rsidR="003F05A9" w:rsidRPr="003F05A9" w:rsidRDefault="003F05A9" w:rsidP="003F05A9">
      <w:pPr>
        <w:numPr>
          <w:ilvl w:val="0"/>
          <w:numId w:val="123"/>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851"/>
        <w:contextualSpacing/>
        <w:jc w:val="both"/>
        <w:rPr>
          <w:rFonts w:ascii="Times New Roman" w:hAnsi="Times New Roman" w:cs="Times New Roman"/>
          <w:sz w:val="24"/>
          <w:szCs w:val="24"/>
        </w:rPr>
      </w:pPr>
      <w:r w:rsidRPr="003F05A9">
        <w:rPr>
          <w:rFonts w:ascii="Times New Roman" w:hAnsi="Times New Roman" w:cs="Times New Roman"/>
          <w:sz w:val="24"/>
          <w:szCs w:val="24"/>
        </w:rPr>
        <w:t>конечность биткоинов: алгоритм построен таким образом, что максимальное количество монеток составляет 21 000 000, и абсолютно все биткоины будут «добыты» в 2140 году; [7]</w:t>
      </w:r>
    </w:p>
    <w:p w:rsidR="003F05A9" w:rsidRPr="003F05A9" w:rsidRDefault="003F05A9" w:rsidP="003F05A9">
      <w:pPr>
        <w:numPr>
          <w:ilvl w:val="0"/>
          <w:numId w:val="123"/>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851"/>
        <w:contextualSpacing/>
        <w:jc w:val="both"/>
        <w:rPr>
          <w:rFonts w:ascii="Times New Roman" w:hAnsi="Times New Roman" w:cs="Times New Roman"/>
          <w:sz w:val="24"/>
          <w:szCs w:val="24"/>
        </w:rPr>
      </w:pPr>
      <w:r w:rsidRPr="003F05A9">
        <w:rPr>
          <w:rFonts w:ascii="Times New Roman" w:hAnsi="Times New Roman" w:cs="Times New Roman"/>
          <w:sz w:val="24"/>
          <w:szCs w:val="24"/>
        </w:rPr>
        <w:t>отсутствие гарантий: владельцы биткоинов не имеют никаких гарантий в том, что они хотя бы смогут вернуть свои деньги, которые вложили.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szCs w:val="24"/>
        </w:rPr>
      </w:pPr>
      <w:r w:rsidRPr="003F05A9">
        <w:rPr>
          <w:rFonts w:ascii="Times New Roman" w:hAnsi="Times New Roman" w:cs="Times New Roman"/>
          <w:sz w:val="24"/>
          <w:szCs w:val="24"/>
        </w:rPr>
        <w:t>Наряду с проблемами биткоин имеет и огромные преимущества:</w:t>
      </w:r>
    </w:p>
    <w:p w:rsidR="003F05A9" w:rsidRPr="003F05A9" w:rsidRDefault="003F05A9" w:rsidP="003F05A9">
      <w:pPr>
        <w:numPr>
          <w:ilvl w:val="0"/>
          <w:numId w:val="124"/>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851"/>
        <w:contextualSpacing/>
        <w:jc w:val="both"/>
        <w:rPr>
          <w:rFonts w:ascii="Times New Roman" w:hAnsi="Times New Roman" w:cs="Times New Roman"/>
          <w:sz w:val="24"/>
          <w:szCs w:val="24"/>
        </w:rPr>
      </w:pPr>
      <w:r w:rsidRPr="003F05A9">
        <w:rPr>
          <w:rFonts w:ascii="Times New Roman" w:hAnsi="Times New Roman" w:cs="Times New Roman"/>
          <w:sz w:val="24"/>
          <w:szCs w:val="24"/>
        </w:rPr>
        <w:t xml:space="preserve">безопасность: биткоин построен на гениальной технологии </w:t>
      </w:r>
      <w:r w:rsidRPr="003F05A9">
        <w:rPr>
          <w:rFonts w:ascii="Times New Roman" w:hAnsi="Times New Roman" w:cs="Times New Roman"/>
          <w:sz w:val="24"/>
          <w:szCs w:val="24"/>
          <w:lang w:val="en-US"/>
        </w:rPr>
        <w:t>Blockchain</w:t>
      </w:r>
      <w:r w:rsidRPr="003F05A9">
        <w:rPr>
          <w:rFonts w:ascii="Times New Roman" w:hAnsi="Times New Roman" w:cs="Times New Roman"/>
          <w:sz w:val="24"/>
          <w:szCs w:val="24"/>
        </w:rPr>
        <w:t xml:space="preserve">, которая является огромной распределенной базой данных, хранящая 3 строчки </w:t>
      </w:r>
      <w:r w:rsidRPr="003F05A9">
        <w:rPr>
          <w:rFonts w:ascii="Times New Roman" w:hAnsi="Times New Roman" w:cs="Times New Roman"/>
          <w:color w:val="000000"/>
          <w:sz w:val="24"/>
          <w:szCs w:val="28"/>
        </w:rPr>
        <w:t xml:space="preserve">«Адрес отправителя, адрес получателя, сумма перевода». Эта технология представляет такие возможности как возможность перевода монет без посредников, перевод при минимальных комиссиях или вовсе без комиссии, а также, сохранение любой информации о транзакции, попавшей в блокчейн. Эта информация не сможет быть удалена или редактирована; </w:t>
      </w:r>
      <w:r w:rsidRPr="003F05A9">
        <w:rPr>
          <w:rFonts w:ascii="Times New Roman" w:hAnsi="Times New Roman" w:cs="Times New Roman"/>
          <w:sz w:val="24"/>
          <w:szCs w:val="28"/>
        </w:rPr>
        <w:t>[3]</w:t>
      </w:r>
    </w:p>
    <w:p w:rsidR="003F05A9" w:rsidRPr="003F05A9" w:rsidRDefault="003F05A9" w:rsidP="003F05A9">
      <w:pPr>
        <w:numPr>
          <w:ilvl w:val="0"/>
          <w:numId w:val="124"/>
        </w:numPr>
        <w:pBdr>
          <w:top w:val="none" w:sz="0" w:space="0" w:color="auto"/>
          <w:left w:val="none" w:sz="0" w:space="0" w:color="auto"/>
          <w:bottom w:val="none" w:sz="0" w:space="0" w:color="auto"/>
          <w:right w:val="none" w:sz="0" w:space="0" w:color="auto"/>
          <w:between w:val="none" w:sz="0" w:space="0" w:color="auto"/>
        </w:pBdr>
        <w:tabs>
          <w:tab w:val="left" w:pos="0"/>
          <w:tab w:val="left" w:pos="142"/>
        </w:tabs>
        <w:spacing w:after="0" w:line="240" w:lineRule="auto"/>
        <w:ind w:left="0" w:firstLine="993"/>
        <w:contextualSpacing/>
        <w:jc w:val="both"/>
        <w:rPr>
          <w:rFonts w:ascii="Times New Roman" w:hAnsi="Times New Roman" w:cs="Times New Roman"/>
          <w:sz w:val="24"/>
          <w:szCs w:val="24"/>
        </w:rPr>
      </w:pPr>
      <w:r w:rsidRPr="003F05A9">
        <w:rPr>
          <w:rFonts w:ascii="Times New Roman" w:hAnsi="Times New Roman" w:cs="Times New Roman"/>
          <w:sz w:val="24"/>
          <w:szCs w:val="24"/>
        </w:rPr>
        <w:t>возможность обойтись без банков: например, проект крипторубль был заморожен в связи с заявлением ЦБ РФ о том, что функция Центрального банка утрачивается, и контроль за монетами будет вести само государство. Этот пример показывает, как криптовалюты конкурируют с официальными банками;</w:t>
      </w:r>
    </w:p>
    <w:p w:rsidR="003F05A9" w:rsidRPr="003F05A9" w:rsidRDefault="003F05A9" w:rsidP="003F05A9">
      <w:pPr>
        <w:numPr>
          <w:ilvl w:val="0"/>
          <w:numId w:val="124"/>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993"/>
        <w:contextualSpacing/>
        <w:jc w:val="both"/>
        <w:rPr>
          <w:rFonts w:ascii="Times New Roman" w:hAnsi="Times New Roman" w:cs="Times New Roman"/>
          <w:sz w:val="24"/>
          <w:szCs w:val="24"/>
        </w:rPr>
      </w:pPr>
      <w:r w:rsidRPr="003F05A9">
        <w:rPr>
          <w:rFonts w:ascii="Times New Roman" w:hAnsi="Times New Roman" w:cs="Times New Roman"/>
          <w:sz w:val="24"/>
          <w:szCs w:val="24"/>
        </w:rPr>
        <w:t>неприкосновенность частной жизни: при использовании криптовалюты «монеты», которые хранятся в вашем «кошельке», принадлежат только вам и не контролируются третьими лицами;</w:t>
      </w:r>
    </w:p>
    <w:p w:rsidR="003F05A9" w:rsidRPr="003F05A9" w:rsidRDefault="003F05A9" w:rsidP="003F05A9">
      <w:pPr>
        <w:numPr>
          <w:ilvl w:val="0"/>
          <w:numId w:val="124"/>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993"/>
        <w:contextualSpacing/>
        <w:jc w:val="both"/>
        <w:rPr>
          <w:rFonts w:ascii="Times New Roman" w:hAnsi="Times New Roman" w:cs="Times New Roman"/>
          <w:sz w:val="24"/>
          <w:szCs w:val="24"/>
        </w:rPr>
      </w:pPr>
      <w:r w:rsidRPr="003F05A9">
        <w:rPr>
          <w:rFonts w:ascii="Times New Roman" w:hAnsi="Times New Roman" w:cs="Times New Roman"/>
          <w:sz w:val="24"/>
          <w:szCs w:val="24"/>
        </w:rPr>
        <w:t>новые способы возможности заработка: майнинг и облачный майнинг представляют собой инновационные способы заработка, доступные уже сейчас;</w:t>
      </w:r>
    </w:p>
    <w:p w:rsidR="003F05A9" w:rsidRPr="003F05A9" w:rsidRDefault="003F05A9" w:rsidP="003F05A9">
      <w:pPr>
        <w:numPr>
          <w:ilvl w:val="0"/>
          <w:numId w:val="124"/>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993"/>
        <w:contextualSpacing/>
        <w:jc w:val="both"/>
        <w:rPr>
          <w:rFonts w:ascii="Times New Roman" w:hAnsi="Times New Roman" w:cs="Times New Roman"/>
          <w:sz w:val="24"/>
          <w:szCs w:val="24"/>
        </w:rPr>
      </w:pPr>
      <w:r w:rsidRPr="003F05A9">
        <w:rPr>
          <w:rFonts w:ascii="Times New Roman" w:hAnsi="Times New Roman" w:cs="Times New Roman"/>
          <w:sz w:val="24"/>
          <w:szCs w:val="24"/>
        </w:rPr>
        <w:t>нет принадлежности к государству: сейчас мировая валюта – доллар, а в будущем криптовалюты могут стать отличным заменителем текущей мировой валюты;</w:t>
      </w:r>
    </w:p>
    <w:p w:rsidR="003F05A9" w:rsidRPr="003F05A9" w:rsidRDefault="003F05A9" w:rsidP="003F05A9">
      <w:pPr>
        <w:numPr>
          <w:ilvl w:val="0"/>
          <w:numId w:val="127"/>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993"/>
        <w:contextualSpacing/>
        <w:jc w:val="both"/>
        <w:rPr>
          <w:rFonts w:ascii="Times New Roman" w:hAnsi="Times New Roman" w:cs="Times New Roman"/>
          <w:sz w:val="24"/>
          <w:szCs w:val="24"/>
        </w:rPr>
      </w:pPr>
      <w:r w:rsidRPr="003F05A9">
        <w:rPr>
          <w:rFonts w:ascii="Times New Roman" w:hAnsi="Times New Roman" w:cs="Times New Roman"/>
          <w:sz w:val="24"/>
          <w:szCs w:val="24"/>
        </w:rPr>
        <w:t>победа над инфляцией: количество биткоинов ограничено, поэтому ни одна монетка не будет обесценена. Но колебания курса будут влиять на вклад в биткоин;</w:t>
      </w:r>
    </w:p>
    <w:p w:rsidR="003F05A9" w:rsidRPr="003F05A9" w:rsidRDefault="003F05A9" w:rsidP="003F05A9">
      <w:pPr>
        <w:numPr>
          <w:ilvl w:val="0"/>
          <w:numId w:val="127"/>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993"/>
        <w:contextualSpacing/>
        <w:jc w:val="both"/>
        <w:rPr>
          <w:rFonts w:ascii="Times New Roman" w:hAnsi="Times New Roman" w:cs="Times New Roman"/>
          <w:sz w:val="24"/>
          <w:szCs w:val="24"/>
        </w:rPr>
      </w:pPr>
      <w:r w:rsidRPr="003F05A9">
        <w:rPr>
          <w:rFonts w:ascii="Times New Roman" w:hAnsi="Times New Roman" w:cs="Times New Roman"/>
          <w:sz w:val="24"/>
          <w:szCs w:val="24"/>
        </w:rPr>
        <w:t xml:space="preserve">возможность покупки любых товаров, в интернет-магазинах, а также в офлайн-магазинах. Существует специальная карта </w:t>
      </w:r>
      <w:r w:rsidRPr="003F05A9">
        <w:rPr>
          <w:rFonts w:ascii="Times New Roman" w:hAnsi="Times New Roman" w:cs="Times New Roman"/>
          <w:sz w:val="24"/>
          <w:szCs w:val="24"/>
          <w:lang w:val="en-US"/>
        </w:rPr>
        <w:t>Coinmap</w:t>
      </w:r>
      <w:r w:rsidRPr="003F05A9">
        <w:rPr>
          <w:rFonts w:ascii="Times New Roman" w:hAnsi="Times New Roman" w:cs="Times New Roman"/>
          <w:sz w:val="24"/>
          <w:szCs w:val="24"/>
        </w:rPr>
        <w:t xml:space="preserve"> –  карта, на которой каждый, кто работает с криптовалютой, может оставить информацию;</w:t>
      </w:r>
    </w:p>
    <w:p w:rsidR="003F05A9" w:rsidRPr="003F05A9" w:rsidRDefault="003F05A9" w:rsidP="003F05A9">
      <w:pPr>
        <w:numPr>
          <w:ilvl w:val="0"/>
          <w:numId w:val="127"/>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993"/>
        <w:contextualSpacing/>
        <w:jc w:val="both"/>
        <w:rPr>
          <w:rFonts w:ascii="Times New Roman" w:hAnsi="Times New Roman" w:cs="Times New Roman"/>
          <w:sz w:val="24"/>
          <w:szCs w:val="24"/>
        </w:rPr>
      </w:pPr>
      <w:r w:rsidRPr="003F05A9">
        <w:rPr>
          <w:rFonts w:ascii="Times New Roman" w:hAnsi="Times New Roman" w:cs="Times New Roman"/>
          <w:sz w:val="24"/>
          <w:szCs w:val="24"/>
        </w:rPr>
        <w:t xml:space="preserve">обход санкционного режима: биткоин и другие криптовалюты могут помочь банковской системе страны обойти западные санкции; </w:t>
      </w:r>
    </w:p>
    <w:p w:rsidR="003F05A9" w:rsidRPr="003F05A9" w:rsidRDefault="003F05A9" w:rsidP="003F05A9">
      <w:pPr>
        <w:numPr>
          <w:ilvl w:val="0"/>
          <w:numId w:val="127"/>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993"/>
        <w:contextualSpacing/>
        <w:jc w:val="both"/>
        <w:rPr>
          <w:rFonts w:ascii="Times New Roman" w:hAnsi="Times New Roman" w:cs="Times New Roman"/>
          <w:sz w:val="24"/>
          <w:szCs w:val="24"/>
        </w:rPr>
      </w:pPr>
      <w:r w:rsidRPr="003F05A9">
        <w:rPr>
          <w:rFonts w:ascii="Times New Roman" w:hAnsi="Times New Roman" w:cs="Times New Roman"/>
          <w:sz w:val="24"/>
          <w:szCs w:val="24"/>
        </w:rPr>
        <w:t xml:space="preserve">обход банковской блокады: с помощью биткоина продолжает поддерживаться ресурс </w:t>
      </w:r>
      <w:r w:rsidRPr="003F05A9">
        <w:rPr>
          <w:rFonts w:ascii="Times New Roman" w:hAnsi="Times New Roman" w:cs="Times New Roman"/>
          <w:sz w:val="24"/>
          <w:szCs w:val="24"/>
          <w:lang w:val="en-US"/>
        </w:rPr>
        <w:t>WikiLeaks</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993"/>
        <w:jc w:val="both"/>
        <w:rPr>
          <w:rFonts w:ascii="Times New Roman" w:hAnsi="Times New Roman" w:cs="Times New Roman"/>
          <w:sz w:val="24"/>
          <w:szCs w:val="24"/>
        </w:rPr>
      </w:pPr>
      <w:r w:rsidRPr="003F05A9">
        <w:rPr>
          <w:rFonts w:ascii="Times New Roman" w:hAnsi="Times New Roman" w:cs="Times New Roman"/>
          <w:sz w:val="24"/>
          <w:szCs w:val="24"/>
        </w:rPr>
        <w:t xml:space="preserve">Существует 2 основных способа заработка на биткоине - это майнинг и облачный майнинг. Майнинг представляет из себя программу, которая подбирает хэш блока, чтобы разгадать его первым и получить награду в виде создания новых биткоинов. Основные преимущества заработка с помощью майнинга: </w:t>
      </w:r>
    </w:p>
    <w:p w:rsidR="003F05A9" w:rsidRPr="003F05A9" w:rsidRDefault="003F05A9" w:rsidP="003F05A9">
      <w:pPr>
        <w:numPr>
          <w:ilvl w:val="0"/>
          <w:numId w:val="125"/>
        </w:numPr>
        <w:pBdr>
          <w:top w:val="none" w:sz="0" w:space="0" w:color="auto"/>
          <w:left w:val="none" w:sz="0" w:space="0" w:color="auto"/>
          <w:bottom w:val="none" w:sz="0" w:space="0" w:color="auto"/>
          <w:right w:val="none" w:sz="0" w:space="0" w:color="auto"/>
          <w:between w:val="none" w:sz="0" w:space="0" w:color="auto"/>
        </w:pBdr>
        <w:spacing w:after="0" w:line="240" w:lineRule="auto"/>
        <w:ind w:left="709" w:firstLine="284"/>
        <w:contextualSpacing/>
        <w:jc w:val="both"/>
        <w:rPr>
          <w:rFonts w:ascii="Times New Roman" w:hAnsi="Times New Roman" w:cs="Times New Roman"/>
          <w:sz w:val="24"/>
          <w:szCs w:val="24"/>
        </w:rPr>
      </w:pPr>
      <w:r w:rsidRPr="003F05A9">
        <w:rPr>
          <w:rFonts w:ascii="Times New Roman" w:hAnsi="Times New Roman" w:cs="Times New Roman"/>
          <w:sz w:val="24"/>
          <w:szCs w:val="24"/>
        </w:rPr>
        <w:t>надёжность заработка</w:t>
      </w:r>
      <w:r w:rsidRPr="003F05A9">
        <w:rPr>
          <w:rFonts w:ascii="Times New Roman" w:hAnsi="Times New Roman" w:cs="Times New Roman"/>
          <w:sz w:val="24"/>
          <w:szCs w:val="24"/>
          <w:lang w:val="en-US"/>
        </w:rPr>
        <w:t>;</w:t>
      </w:r>
    </w:p>
    <w:p w:rsidR="003F05A9" w:rsidRPr="003F05A9" w:rsidRDefault="003F05A9" w:rsidP="003F05A9">
      <w:pPr>
        <w:numPr>
          <w:ilvl w:val="0"/>
          <w:numId w:val="125"/>
        </w:numPr>
        <w:pBdr>
          <w:top w:val="none" w:sz="0" w:space="0" w:color="auto"/>
          <w:left w:val="none" w:sz="0" w:space="0" w:color="auto"/>
          <w:bottom w:val="none" w:sz="0" w:space="0" w:color="auto"/>
          <w:right w:val="none" w:sz="0" w:space="0" w:color="auto"/>
          <w:between w:val="none" w:sz="0" w:space="0" w:color="auto"/>
        </w:pBdr>
        <w:spacing w:after="0" w:line="240" w:lineRule="auto"/>
        <w:ind w:left="709" w:firstLine="284"/>
        <w:contextualSpacing/>
        <w:jc w:val="both"/>
        <w:rPr>
          <w:rFonts w:ascii="Times New Roman" w:hAnsi="Times New Roman" w:cs="Times New Roman"/>
          <w:sz w:val="24"/>
          <w:szCs w:val="24"/>
        </w:rPr>
      </w:pPr>
      <w:r w:rsidRPr="003F05A9">
        <w:rPr>
          <w:rFonts w:ascii="Times New Roman" w:hAnsi="Times New Roman" w:cs="Times New Roman"/>
          <w:sz w:val="24"/>
          <w:szCs w:val="24"/>
        </w:rPr>
        <w:t>возможности продажи оборудования в любой момент.</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left="709"/>
        <w:jc w:val="both"/>
        <w:rPr>
          <w:rFonts w:ascii="Times New Roman" w:hAnsi="Times New Roman" w:cs="Times New Roman"/>
          <w:sz w:val="24"/>
          <w:szCs w:val="24"/>
        </w:rPr>
      </w:pPr>
      <w:r w:rsidRPr="003F05A9">
        <w:rPr>
          <w:rFonts w:ascii="Times New Roman" w:hAnsi="Times New Roman" w:cs="Times New Roman"/>
          <w:sz w:val="24"/>
          <w:szCs w:val="24"/>
        </w:rPr>
        <w:t>Но, наряду с этим, заработок имеет ряд недостатков:</w:t>
      </w:r>
    </w:p>
    <w:p w:rsidR="003F05A9" w:rsidRPr="003F05A9" w:rsidRDefault="003F05A9" w:rsidP="003F05A9">
      <w:pPr>
        <w:numPr>
          <w:ilvl w:val="0"/>
          <w:numId w:val="126"/>
        </w:numPr>
        <w:pBdr>
          <w:top w:val="none" w:sz="0" w:space="0" w:color="auto"/>
          <w:left w:val="none" w:sz="0" w:space="0" w:color="auto"/>
          <w:bottom w:val="none" w:sz="0" w:space="0" w:color="auto"/>
          <w:right w:val="none" w:sz="0" w:space="0" w:color="auto"/>
          <w:between w:val="none" w:sz="0" w:space="0" w:color="auto"/>
        </w:pBdr>
        <w:spacing w:after="0" w:line="240" w:lineRule="auto"/>
        <w:ind w:left="709" w:firstLine="284"/>
        <w:contextualSpacing/>
        <w:jc w:val="both"/>
        <w:rPr>
          <w:rFonts w:ascii="Times New Roman" w:hAnsi="Times New Roman" w:cs="Times New Roman"/>
          <w:sz w:val="24"/>
          <w:szCs w:val="24"/>
        </w:rPr>
      </w:pPr>
      <w:r w:rsidRPr="003F05A9">
        <w:rPr>
          <w:rFonts w:ascii="Times New Roman" w:hAnsi="Times New Roman" w:cs="Times New Roman"/>
          <w:sz w:val="24"/>
          <w:szCs w:val="24"/>
        </w:rPr>
        <w:t>требует огромных вложений</w:t>
      </w:r>
      <w:r w:rsidRPr="003F05A9">
        <w:rPr>
          <w:rFonts w:ascii="Times New Roman" w:hAnsi="Times New Roman" w:cs="Times New Roman"/>
          <w:sz w:val="24"/>
          <w:szCs w:val="24"/>
          <w:lang w:val="en-US"/>
        </w:rPr>
        <w:t>;</w:t>
      </w:r>
    </w:p>
    <w:p w:rsidR="003F05A9" w:rsidRPr="003F05A9" w:rsidRDefault="003F05A9" w:rsidP="003F05A9">
      <w:pPr>
        <w:numPr>
          <w:ilvl w:val="0"/>
          <w:numId w:val="126"/>
        </w:numPr>
        <w:pBdr>
          <w:top w:val="none" w:sz="0" w:space="0" w:color="auto"/>
          <w:left w:val="none" w:sz="0" w:space="0" w:color="auto"/>
          <w:bottom w:val="none" w:sz="0" w:space="0" w:color="auto"/>
          <w:right w:val="none" w:sz="0" w:space="0" w:color="auto"/>
          <w:between w:val="none" w:sz="0" w:space="0" w:color="auto"/>
        </w:pBdr>
        <w:spacing w:after="0" w:line="240" w:lineRule="auto"/>
        <w:ind w:left="709" w:firstLine="284"/>
        <w:contextualSpacing/>
        <w:jc w:val="both"/>
        <w:rPr>
          <w:rFonts w:ascii="Times New Roman" w:hAnsi="Times New Roman" w:cs="Times New Roman"/>
          <w:sz w:val="24"/>
          <w:szCs w:val="24"/>
        </w:rPr>
      </w:pPr>
      <w:r w:rsidRPr="003F05A9">
        <w:rPr>
          <w:rFonts w:ascii="Times New Roman" w:hAnsi="Times New Roman" w:cs="Times New Roman"/>
          <w:sz w:val="24"/>
          <w:szCs w:val="24"/>
        </w:rPr>
        <w:t>происходит быстрый износ оборудования</w:t>
      </w:r>
      <w:r w:rsidRPr="003F05A9">
        <w:rPr>
          <w:rFonts w:ascii="Times New Roman" w:hAnsi="Times New Roman" w:cs="Times New Roman"/>
          <w:sz w:val="24"/>
          <w:szCs w:val="24"/>
          <w:lang w:val="en-US"/>
        </w:rPr>
        <w:t>;</w:t>
      </w:r>
    </w:p>
    <w:p w:rsidR="003F05A9" w:rsidRPr="003F05A9" w:rsidRDefault="003F05A9" w:rsidP="003F05A9">
      <w:pPr>
        <w:numPr>
          <w:ilvl w:val="0"/>
          <w:numId w:val="126"/>
        </w:numPr>
        <w:pBdr>
          <w:top w:val="none" w:sz="0" w:space="0" w:color="auto"/>
          <w:left w:val="none" w:sz="0" w:space="0" w:color="auto"/>
          <w:bottom w:val="none" w:sz="0" w:space="0" w:color="auto"/>
          <w:right w:val="none" w:sz="0" w:space="0" w:color="auto"/>
          <w:between w:val="none" w:sz="0" w:space="0" w:color="auto"/>
        </w:pBdr>
        <w:spacing w:after="0" w:line="240" w:lineRule="auto"/>
        <w:ind w:left="709" w:firstLine="284"/>
        <w:contextualSpacing/>
        <w:jc w:val="both"/>
        <w:rPr>
          <w:rFonts w:ascii="Times New Roman" w:hAnsi="Times New Roman" w:cs="Times New Roman"/>
          <w:sz w:val="24"/>
          <w:szCs w:val="24"/>
        </w:rPr>
      </w:pPr>
      <w:r w:rsidRPr="003F05A9">
        <w:rPr>
          <w:rFonts w:ascii="Times New Roman" w:hAnsi="Times New Roman" w:cs="Times New Roman"/>
          <w:sz w:val="24"/>
          <w:szCs w:val="24"/>
        </w:rPr>
        <w:t>требуется постоянное обновление мощности</w:t>
      </w:r>
      <w:r w:rsidRPr="003F05A9">
        <w:rPr>
          <w:rFonts w:ascii="Times New Roman" w:hAnsi="Times New Roman" w:cs="Times New Roman"/>
          <w:sz w:val="24"/>
          <w:szCs w:val="24"/>
          <w:lang w:val="en-US"/>
        </w:rPr>
        <w:t>;</w:t>
      </w:r>
    </w:p>
    <w:p w:rsidR="003F05A9" w:rsidRPr="003F05A9" w:rsidRDefault="003F05A9" w:rsidP="003F05A9">
      <w:pPr>
        <w:numPr>
          <w:ilvl w:val="0"/>
          <w:numId w:val="126"/>
        </w:numPr>
        <w:pBdr>
          <w:top w:val="none" w:sz="0" w:space="0" w:color="auto"/>
          <w:left w:val="none" w:sz="0" w:space="0" w:color="auto"/>
          <w:bottom w:val="none" w:sz="0" w:space="0" w:color="auto"/>
          <w:right w:val="none" w:sz="0" w:space="0" w:color="auto"/>
          <w:between w:val="none" w:sz="0" w:space="0" w:color="auto"/>
        </w:pBdr>
        <w:spacing w:after="0" w:line="240" w:lineRule="auto"/>
        <w:ind w:left="709" w:firstLine="284"/>
        <w:contextualSpacing/>
        <w:jc w:val="both"/>
        <w:rPr>
          <w:rFonts w:ascii="Times New Roman" w:hAnsi="Times New Roman" w:cs="Times New Roman"/>
          <w:sz w:val="24"/>
          <w:szCs w:val="24"/>
        </w:rPr>
      </w:pPr>
      <w:r w:rsidRPr="003F05A9">
        <w:rPr>
          <w:rFonts w:ascii="Times New Roman" w:hAnsi="Times New Roman" w:cs="Times New Roman"/>
          <w:sz w:val="24"/>
          <w:szCs w:val="24"/>
        </w:rPr>
        <w:t>требуется огромный объем электроэнергии</w:t>
      </w:r>
      <w:r w:rsidRPr="003F05A9">
        <w:rPr>
          <w:rFonts w:ascii="Times New Roman" w:hAnsi="Times New Roman" w:cs="Times New Roman"/>
          <w:sz w:val="24"/>
          <w:szCs w:val="24"/>
          <w:lang w:val="en-US"/>
        </w:rPr>
        <w:t>;</w:t>
      </w:r>
    </w:p>
    <w:p w:rsidR="003F05A9" w:rsidRPr="003F05A9" w:rsidRDefault="003F05A9" w:rsidP="003F05A9">
      <w:pPr>
        <w:numPr>
          <w:ilvl w:val="0"/>
          <w:numId w:val="126"/>
        </w:numPr>
        <w:pBdr>
          <w:top w:val="none" w:sz="0" w:space="0" w:color="auto"/>
          <w:left w:val="none" w:sz="0" w:space="0" w:color="auto"/>
          <w:bottom w:val="none" w:sz="0" w:space="0" w:color="auto"/>
          <w:right w:val="none" w:sz="0" w:space="0" w:color="auto"/>
          <w:between w:val="none" w:sz="0" w:space="0" w:color="auto"/>
        </w:pBdr>
        <w:spacing w:after="0" w:line="240" w:lineRule="auto"/>
        <w:ind w:left="709" w:firstLine="284"/>
        <w:contextualSpacing/>
        <w:jc w:val="both"/>
        <w:rPr>
          <w:rFonts w:ascii="Times New Roman" w:hAnsi="Times New Roman" w:cs="Times New Roman"/>
          <w:sz w:val="24"/>
          <w:szCs w:val="24"/>
        </w:rPr>
      </w:pPr>
      <w:r w:rsidRPr="003F05A9">
        <w:rPr>
          <w:rFonts w:ascii="Times New Roman" w:hAnsi="Times New Roman" w:cs="Times New Roman"/>
          <w:sz w:val="24"/>
          <w:szCs w:val="24"/>
        </w:rPr>
        <w:t>оборудование создает постоянный шум;</w:t>
      </w:r>
    </w:p>
    <w:p w:rsidR="003F05A9" w:rsidRPr="003F05A9" w:rsidRDefault="003F05A9" w:rsidP="003F05A9">
      <w:pPr>
        <w:numPr>
          <w:ilvl w:val="0"/>
          <w:numId w:val="126"/>
        </w:numPr>
        <w:pBdr>
          <w:top w:val="none" w:sz="0" w:space="0" w:color="auto"/>
          <w:left w:val="none" w:sz="0" w:space="0" w:color="auto"/>
          <w:bottom w:val="none" w:sz="0" w:space="0" w:color="auto"/>
          <w:right w:val="none" w:sz="0" w:space="0" w:color="auto"/>
          <w:between w:val="none" w:sz="0" w:space="0" w:color="auto"/>
        </w:pBdr>
        <w:spacing w:after="0" w:line="240" w:lineRule="auto"/>
        <w:ind w:left="1418" w:hanging="425"/>
        <w:contextualSpacing/>
        <w:jc w:val="both"/>
        <w:rPr>
          <w:rFonts w:ascii="Times New Roman" w:hAnsi="Times New Roman" w:cs="Times New Roman"/>
          <w:sz w:val="24"/>
          <w:szCs w:val="24"/>
        </w:rPr>
      </w:pPr>
      <w:r w:rsidRPr="003F05A9">
        <w:rPr>
          <w:rFonts w:ascii="Times New Roman" w:hAnsi="Times New Roman" w:cs="Times New Roman"/>
          <w:sz w:val="24"/>
          <w:szCs w:val="24"/>
        </w:rPr>
        <w:t>относительно небольшая прибыль, т.к. сложность сети на данный момент очень большая.</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3F05A9">
        <w:rPr>
          <w:rFonts w:ascii="Times New Roman" w:hAnsi="Times New Roman" w:cs="Times New Roman"/>
          <w:sz w:val="24"/>
          <w:szCs w:val="24"/>
        </w:rPr>
        <w:t xml:space="preserve">Облачный майнинг является совокупностью оборудования для добычи блока, то есть некоторое количество майнеров объединяют свои компьютеры, чтобы добыть блок и получить награду в виде создания новых монет. Основное преимуществ: облачный майнинг </w:t>
      </w:r>
      <w:r w:rsidRPr="003F05A9">
        <w:rPr>
          <w:rFonts w:ascii="Times New Roman" w:hAnsi="Times New Roman" w:cs="Times New Roman"/>
          <w:sz w:val="24"/>
        </w:rPr>
        <w:t>не требует больших затрат, нет необходимости покупать оборудование. Недостатком является развитие мошенничества в этой сфере. [11]</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line="256" w:lineRule="auto"/>
        <w:ind w:firstLine="708"/>
        <w:jc w:val="both"/>
        <w:rPr>
          <w:rFonts w:ascii="Times New Roman" w:hAnsi="Times New Roman" w:cs="Times New Roman"/>
          <w:sz w:val="24"/>
        </w:rPr>
      </w:pPr>
      <w:r w:rsidRPr="003F05A9">
        <w:rPr>
          <w:rFonts w:ascii="Times New Roman" w:hAnsi="Times New Roman" w:cs="Times New Roman"/>
          <w:sz w:val="24"/>
          <w:szCs w:val="24"/>
        </w:rPr>
        <w:t xml:space="preserve">Мы сравнили банковский вклад и майнинг криптовалюты. Мы «оформили» на срок три года вклад </w:t>
      </w:r>
      <w:r w:rsidRPr="003F05A9">
        <w:rPr>
          <w:rFonts w:ascii="Times New Roman" w:hAnsi="Times New Roman" w:cs="Times New Roman"/>
          <w:color w:val="000000"/>
          <w:sz w:val="24"/>
          <w:szCs w:val="28"/>
        </w:rPr>
        <w:t xml:space="preserve">«Сохраняй» под 4,45% годовых. «Вклад» составлял триста тысяч рублей. В качестве </w:t>
      </w:r>
      <w:r w:rsidRPr="003F05A9">
        <w:rPr>
          <w:rFonts w:ascii="Times New Roman" w:hAnsi="Times New Roman" w:cs="Times New Roman"/>
          <w:sz w:val="24"/>
        </w:rPr>
        <w:t>инвестиций в криптовалюту мы «собрали» майнинг - ферму с четырьмя видеокартами GTX 1080Ti и процессором intel Celeron, оперативной памятью в два гб и жестким диском объемом 128 гб и рассчитали прибыль. Был учтен наиболее прибыльный алгоритм расчёта. Затраты на электроэнергию составили бы 3,54 Р/КВч. Результаты представлены в таблице 2. [10]</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i/>
          <w:sz w:val="24"/>
          <w:szCs w:val="24"/>
        </w:rPr>
      </w:pPr>
      <w:r w:rsidRPr="003F05A9">
        <w:rPr>
          <w:rFonts w:ascii="Times New Roman" w:hAnsi="Times New Roman" w:cs="Times New Roman"/>
          <w:i/>
          <w:sz w:val="24"/>
          <w:szCs w:val="24"/>
        </w:rPr>
        <w:t>Таблица 2</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b/>
          <w:sz w:val="24"/>
          <w:szCs w:val="24"/>
        </w:rPr>
      </w:pPr>
      <w:r w:rsidRPr="003F05A9">
        <w:rPr>
          <w:rFonts w:ascii="Times New Roman" w:hAnsi="Times New Roman" w:cs="Times New Roman"/>
          <w:sz w:val="24"/>
          <w:szCs w:val="24"/>
        </w:rPr>
        <w:tab/>
      </w:r>
      <w:r w:rsidRPr="003F05A9">
        <w:rPr>
          <w:rFonts w:ascii="Times New Roman" w:hAnsi="Times New Roman" w:cs="Times New Roman"/>
          <w:b/>
          <w:sz w:val="24"/>
          <w:szCs w:val="24"/>
        </w:rPr>
        <w:t xml:space="preserve">Вклад в криптовалюту и банк </w:t>
      </w:r>
    </w:p>
    <w:tbl>
      <w:tblPr>
        <w:tblStyle w:val="42"/>
        <w:tblW w:w="0" w:type="auto"/>
        <w:tblLook w:val="04A0" w:firstRow="1" w:lastRow="0" w:firstColumn="1" w:lastColumn="0" w:noHBand="0" w:noVBand="1"/>
      </w:tblPr>
      <w:tblGrid>
        <w:gridCol w:w="3115"/>
        <w:gridCol w:w="3115"/>
      </w:tblGrid>
      <w:tr w:rsidR="003F05A9" w:rsidRPr="003F05A9" w:rsidTr="003F05A9">
        <w:tc>
          <w:tcPr>
            <w:tcW w:w="3115" w:type="dxa"/>
          </w:tcPr>
          <w:p w:rsidR="003F05A9" w:rsidRPr="003F05A9" w:rsidRDefault="003F05A9" w:rsidP="003F05A9">
            <w:pPr>
              <w:spacing w:after="0" w:line="240" w:lineRule="auto"/>
              <w:rPr>
                <w:rFonts w:ascii="Times New Roman" w:hAnsi="Times New Roman"/>
                <w:sz w:val="24"/>
                <w:szCs w:val="24"/>
              </w:rPr>
            </w:pPr>
            <w:r w:rsidRPr="003F05A9">
              <w:rPr>
                <w:rFonts w:ascii="Times New Roman" w:hAnsi="Times New Roman"/>
                <w:sz w:val="24"/>
                <w:szCs w:val="24"/>
              </w:rPr>
              <w:t>Вклад в банк</w:t>
            </w:r>
          </w:p>
        </w:tc>
        <w:tc>
          <w:tcPr>
            <w:tcW w:w="3115" w:type="dxa"/>
          </w:tcPr>
          <w:p w:rsidR="003F05A9" w:rsidRPr="003F05A9" w:rsidRDefault="003F05A9" w:rsidP="003F05A9">
            <w:pPr>
              <w:spacing w:after="0" w:line="240" w:lineRule="auto"/>
              <w:rPr>
                <w:rFonts w:ascii="Times New Roman" w:hAnsi="Times New Roman"/>
                <w:sz w:val="24"/>
                <w:szCs w:val="24"/>
              </w:rPr>
            </w:pPr>
            <w:r w:rsidRPr="003F05A9">
              <w:rPr>
                <w:rFonts w:ascii="Times New Roman" w:hAnsi="Times New Roman"/>
                <w:sz w:val="24"/>
                <w:szCs w:val="24"/>
              </w:rPr>
              <w:t>Вклад в майнинг</w:t>
            </w:r>
          </w:p>
        </w:tc>
      </w:tr>
      <w:tr w:rsidR="003F05A9" w:rsidRPr="003F05A9" w:rsidTr="003F05A9">
        <w:tc>
          <w:tcPr>
            <w:tcW w:w="3115" w:type="dxa"/>
          </w:tcPr>
          <w:p w:rsidR="003F05A9" w:rsidRPr="003F05A9" w:rsidRDefault="003F05A9" w:rsidP="003F05A9">
            <w:pPr>
              <w:spacing w:after="0" w:line="240" w:lineRule="auto"/>
              <w:rPr>
                <w:rFonts w:ascii="Times New Roman" w:hAnsi="Times New Roman"/>
                <w:sz w:val="24"/>
                <w:szCs w:val="24"/>
              </w:rPr>
            </w:pPr>
            <w:r w:rsidRPr="003F05A9">
              <w:rPr>
                <w:rFonts w:ascii="Times New Roman" w:hAnsi="Times New Roman"/>
                <w:sz w:val="24"/>
                <w:szCs w:val="24"/>
              </w:rPr>
              <w:t>Вложено 300 000 руб.</w:t>
            </w:r>
          </w:p>
        </w:tc>
        <w:tc>
          <w:tcPr>
            <w:tcW w:w="3115" w:type="dxa"/>
          </w:tcPr>
          <w:p w:rsidR="003F05A9" w:rsidRPr="003F05A9" w:rsidRDefault="003F05A9" w:rsidP="003F05A9">
            <w:pPr>
              <w:spacing w:after="0" w:line="240" w:lineRule="auto"/>
              <w:rPr>
                <w:rFonts w:ascii="Times New Roman" w:hAnsi="Times New Roman"/>
                <w:sz w:val="24"/>
                <w:szCs w:val="24"/>
              </w:rPr>
            </w:pPr>
            <w:r w:rsidRPr="003F05A9">
              <w:rPr>
                <w:rFonts w:ascii="Times New Roman" w:hAnsi="Times New Roman"/>
                <w:sz w:val="24"/>
                <w:szCs w:val="24"/>
              </w:rPr>
              <w:t>Вложено 300 000 руб.</w:t>
            </w:r>
          </w:p>
        </w:tc>
      </w:tr>
      <w:tr w:rsidR="003F05A9" w:rsidRPr="003F05A9" w:rsidTr="003F05A9">
        <w:tc>
          <w:tcPr>
            <w:tcW w:w="3115" w:type="dxa"/>
          </w:tcPr>
          <w:p w:rsidR="003F05A9" w:rsidRPr="003F05A9" w:rsidRDefault="003F05A9" w:rsidP="003F05A9">
            <w:pPr>
              <w:spacing w:after="0" w:line="240" w:lineRule="auto"/>
              <w:rPr>
                <w:rFonts w:ascii="Times New Roman" w:hAnsi="Times New Roman"/>
                <w:sz w:val="24"/>
                <w:szCs w:val="24"/>
              </w:rPr>
            </w:pPr>
            <w:r w:rsidRPr="003F05A9">
              <w:rPr>
                <w:rFonts w:ascii="Times New Roman" w:hAnsi="Times New Roman"/>
                <w:sz w:val="24"/>
                <w:szCs w:val="24"/>
              </w:rPr>
              <w:t>Получено 343 274 руб.</w:t>
            </w:r>
          </w:p>
        </w:tc>
        <w:tc>
          <w:tcPr>
            <w:tcW w:w="3115" w:type="dxa"/>
          </w:tcPr>
          <w:p w:rsidR="003F05A9" w:rsidRPr="003F05A9" w:rsidRDefault="003F05A9" w:rsidP="003F05A9">
            <w:pPr>
              <w:spacing w:after="0" w:line="240" w:lineRule="auto"/>
              <w:rPr>
                <w:rFonts w:ascii="Times New Roman" w:hAnsi="Times New Roman"/>
                <w:sz w:val="24"/>
                <w:szCs w:val="24"/>
              </w:rPr>
            </w:pPr>
            <w:r w:rsidRPr="003F05A9">
              <w:rPr>
                <w:rFonts w:ascii="Times New Roman" w:hAnsi="Times New Roman"/>
                <w:sz w:val="24"/>
                <w:szCs w:val="24"/>
              </w:rPr>
              <w:t>Получено 399 713 руб.</w:t>
            </w:r>
          </w:p>
        </w:tc>
      </w:tr>
      <w:tr w:rsidR="003F05A9" w:rsidRPr="003F05A9" w:rsidTr="003F05A9">
        <w:tc>
          <w:tcPr>
            <w:tcW w:w="3115" w:type="dxa"/>
          </w:tcPr>
          <w:p w:rsidR="003F05A9" w:rsidRPr="003F05A9" w:rsidRDefault="003F05A9" w:rsidP="003F05A9">
            <w:pPr>
              <w:spacing w:after="0" w:line="240" w:lineRule="auto"/>
              <w:rPr>
                <w:rFonts w:ascii="Times New Roman" w:hAnsi="Times New Roman"/>
                <w:sz w:val="24"/>
                <w:szCs w:val="24"/>
              </w:rPr>
            </w:pPr>
            <w:r w:rsidRPr="003F05A9">
              <w:rPr>
                <w:rFonts w:ascii="Times New Roman" w:hAnsi="Times New Roman"/>
                <w:sz w:val="24"/>
                <w:szCs w:val="24"/>
              </w:rPr>
              <w:t>Чистая прибыль 45 508 руб.</w:t>
            </w:r>
          </w:p>
        </w:tc>
        <w:tc>
          <w:tcPr>
            <w:tcW w:w="3115" w:type="dxa"/>
          </w:tcPr>
          <w:p w:rsidR="003F05A9" w:rsidRPr="003F05A9" w:rsidRDefault="003F05A9" w:rsidP="003F05A9">
            <w:pPr>
              <w:spacing w:after="0" w:line="240" w:lineRule="auto"/>
              <w:rPr>
                <w:rFonts w:ascii="Times New Roman" w:hAnsi="Times New Roman"/>
                <w:sz w:val="24"/>
                <w:szCs w:val="24"/>
              </w:rPr>
            </w:pPr>
            <w:r w:rsidRPr="003F05A9">
              <w:rPr>
                <w:rFonts w:ascii="Times New Roman" w:hAnsi="Times New Roman"/>
                <w:sz w:val="24"/>
                <w:szCs w:val="24"/>
              </w:rPr>
              <w:t>Чистая прибыль 99 713 руб.</w:t>
            </w:r>
          </w:p>
        </w:tc>
      </w:tr>
    </w:tbl>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line="256" w:lineRule="auto"/>
        <w:ind w:firstLine="708"/>
        <w:jc w:val="both"/>
        <w:rPr>
          <w:rFonts w:ascii="Times New Roman" w:hAnsi="Times New Roman" w:cs="Times New Roman"/>
          <w:sz w:val="24"/>
        </w:rPr>
      </w:pPr>
      <w:r w:rsidRPr="003F05A9">
        <w:rPr>
          <w:rFonts w:ascii="Times New Roman" w:hAnsi="Times New Roman" w:cs="Times New Roman"/>
          <w:sz w:val="24"/>
        </w:rPr>
        <w:t>В связи со скачками стоимости, растущей сложностью и увеличением потребления энергии приобретение биткоина считается достаточно затратным проектом, и его будущее точно определить невозможно, однако, это не значит, что на нём невозможно заработать в данный момент. Также, можно заметить, что биткоин уже внедрился в нашу жизнь, блокчейн в будущем будет встроен в государственное управление, а также с помощью Интернета, нам станут доступны такие вещи как продажи домов, машин и т.п. без помощи юристов. Мир становится всё более технологичным и инновационным - исходя только из этого биткоин будет существовать, возможно не в таком виде, каков он есть сейчас, но право на жизнь у него есть. [13]</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cs="Times New Roman"/>
          <w:sz w:val="24"/>
          <w:szCs w:val="24"/>
        </w:rPr>
      </w:pPr>
      <w:r w:rsidRPr="003F05A9">
        <w:rPr>
          <w:rFonts w:cs="Times New Roman"/>
          <w:color w:val="333333"/>
        </w:rPr>
        <w:t>__________________________</w:t>
      </w:r>
    </w:p>
    <w:p w:rsidR="003F05A9" w:rsidRPr="003F05A9" w:rsidRDefault="003F05A9" w:rsidP="003F05A9">
      <w:pPr>
        <w:numPr>
          <w:ilvl w:val="0"/>
          <w:numId w:val="122"/>
        </w:numPr>
        <w:pBdr>
          <w:top w:val="none" w:sz="0" w:space="0" w:color="auto"/>
          <w:left w:val="none" w:sz="0" w:space="0" w:color="auto"/>
          <w:bottom w:val="none" w:sz="0" w:space="0" w:color="auto"/>
          <w:right w:val="none" w:sz="0" w:space="0" w:color="auto"/>
          <w:between w:val="none" w:sz="0" w:space="0" w:color="auto"/>
        </w:pBdr>
        <w:spacing w:line="240" w:lineRule="auto"/>
        <w:contextualSpacing/>
        <w:rPr>
          <w:rFonts w:ascii="Times New Roman" w:hAnsi="Times New Roman" w:cs="Times New Roman"/>
          <w:sz w:val="24"/>
          <w:szCs w:val="24"/>
        </w:rPr>
      </w:pPr>
      <w:r w:rsidRPr="003F05A9">
        <w:rPr>
          <w:rFonts w:ascii="Times New Roman" w:hAnsi="Times New Roman" w:cs="Times New Roman"/>
          <w:sz w:val="24"/>
          <w:szCs w:val="24"/>
        </w:rPr>
        <w:t xml:space="preserve">Биткоин майнинг и потребление энергии </w:t>
      </w:r>
      <w:r w:rsidRPr="003F05A9">
        <w:rPr>
          <w:rFonts w:ascii="Times New Roman" w:hAnsi="Times New Roman" w:cs="Times New Roman"/>
          <w:sz w:val="24"/>
          <w:szCs w:val="24"/>
          <w:shd w:val="clear" w:color="auto" w:fill="FFFFFF"/>
        </w:rPr>
        <w:t xml:space="preserve">[Электронный ресурс]. – Режим доступа: </w:t>
      </w:r>
      <w:hyperlink r:id="rId477" w:history="1">
        <w:r w:rsidRPr="003F05A9">
          <w:rPr>
            <w:rFonts w:ascii="Times New Roman" w:hAnsi="Times New Roman" w:cs="Times New Roman"/>
            <w:color w:val="0563C1"/>
            <w:sz w:val="24"/>
            <w:u w:val="single"/>
          </w:rPr>
          <w:t>https://vc.ru/30588-bitkoin-mayning-i-potreblenie-energii</w:t>
        </w:r>
      </w:hyperlink>
    </w:p>
    <w:p w:rsidR="003F05A9" w:rsidRPr="003F05A9" w:rsidRDefault="003F05A9" w:rsidP="003F05A9">
      <w:pPr>
        <w:numPr>
          <w:ilvl w:val="0"/>
          <w:numId w:val="122"/>
        </w:numPr>
        <w:pBdr>
          <w:top w:val="none" w:sz="0" w:space="0" w:color="auto"/>
          <w:left w:val="none" w:sz="0" w:space="0" w:color="auto"/>
          <w:bottom w:val="none" w:sz="0" w:space="0" w:color="auto"/>
          <w:right w:val="none" w:sz="0" w:space="0" w:color="auto"/>
          <w:between w:val="none" w:sz="0" w:space="0" w:color="auto"/>
        </w:pBdr>
        <w:spacing w:line="240" w:lineRule="auto"/>
        <w:contextualSpacing/>
        <w:rPr>
          <w:rFonts w:ascii="Times New Roman" w:hAnsi="Times New Roman" w:cs="Times New Roman"/>
          <w:szCs w:val="24"/>
        </w:rPr>
      </w:pPr>
      <w:r w:rsidRPr="003F05A9">
        <w:rPr>
          <w:rFonts w:ascii="Times New Roman" w:hAnsi="Times New Roman" w:cs="Times New Roman"/>
          <w:color w:val="000000"/>
          <w:sz w:val="24"/>
          <w:szCs w:val="27"/>
          <w:shd w:val="clear" w:color="auto" w:fill="FFFFFF"/>
        </w:rPr>
        <w:t xml:space="preserve">Одияко Н.Н., Гриванова С.М., Гузенко А.Г. Имитационное моделирование в анализе инвестиционного проекта. Экономика и предпринимательство. 2014. № 12-3 (53-3). </w:t>
      </w:r>
    </w:p>
    <w:p w:rsidR="003F05A9" w:rsidRPr="003F05A9" w:rsidRDefault="003F05A9" w:rsidP="003F05A9">
      <w:pPr>
        <w:numPr>
          <w:ilvl w:val="0"/>
          <w:numId w:val="122"/>
        </w:numPr>
        <w:pBdr>
          <w:top w:val="none" w:sz="0" w:space="0" w:color="auto"/>
          <w:left w:val="none" w:sz="0" w:space="0" w:color="auto"/>
          <w:bottom w:val="none" w:sz="0" w:space="0" w:color="auto"/>
          <w:right w:val="none" w:sz="0" w:space="0" w:color="auto"/>
          <w:between w:val="none" w:sz="0" w:space="0" w:color="auto"/>
        </w:pBdr>
        <w:spacing w:line="240" w:lineRule="auto"/>
        <w:contextualSpacing/>
        <w:rPr>
          <w:rFonts w:ascii="Times New Roman" w:hAnsi="Times New Roman" w:cs="Times New Roman"/>
          <w:sz w:val="28"/>
          <w:szCs w:val="24"/>
        </w:rPr>
      </w:pPr>
      <w:r w:rsidRPr="003F05A9">
        <w:rPr>
          <w:rFonts w:ascii="Times New Roman" w:hAnsi="Times New Roman" w:cs="Times New Roman"/>
          <w:sz w:val="24"/>
          <w:szCs w:val="24"/>
        </w:rPr>
        <w:t xml:space="preserve">Биткоин [Электронный ресурс]. </w:t>
      </w:r>
      <w:r w:rsidRPr="003F05A9">
        <w:rPr>
          <w:rFonts w:ascii="Times New Roman" w:hAnsi="Times New Roman" w:cs="Times New Roman"/>
          <w:sz w:val="24"/>
          <w:szCs w:val="24"/>
          <w:shd w:val="clear" w:color="auto" w:fill="FFFFFF"/>
        </w:rPr>
        <w:t xml:space="preserve">– Режим доступа: </w:t>
      </w:r>
      <w:hyperlink r:id="rId478" w:history="1">
        <w:r w:rsidRPr="003F05A9">
          <w:rPr>
            <w:rFonts w:ascii="Times New Roman" w:hAnsi="Times New Roman" w:cs="Times New Roman"/>
            <w:color w:val="0563C1"/>
            <w:sz w:val="24"/>
            <w:u w:val="single"/>
          </w:rPr>
          <w:t>http://bitcoin-evolution.com/bitcoin-network-complexity-history/</w:t>
        </w:r>
      </w:hyperlink>
    </w:p>
    <w:p w:rsidR="003F05A9" w:rsidRPr="003F05A9" w:rsidRDefault="003F05A9" w:rsidP="003F05A9">
      <w:pPr>
        <w:numPr>
          <w:ilvl w:val="0"/>
          <w:numId w:val="122"/>
        </w:numPr>
        <w:pBdr>
          <w:top w:val="none" w:sz="0" w:space="0" w:color="auto"/>
          <w:left w:val="none" w:sz="0" w:space="0" w:color="auto"/>
          <w:bottom w:val="none" w:sz="0" w:space="0" w:color="auto"/>
          <w:right w:val="none" w:sz="0" w:space="0" w:color="auto"/>
          <w:between w:val="none" w:sz="0" w:space="0" w:color="auto"/>
        </w:pBdr>
        <w:spacing w:line="240" w:lineRule="auto"/>
        <w:contextualSpacing/>
        <w:rPr>
          <w:rFonts w:ascii="Times New Roman" w:hAnsi="Times New Roman" w:cs="Times New Roman"/>
          <w:sz w:val="24"/>
          <w:szCs w:val="24"/>
        </w:rPr>
      </w:pPr>
      <w:r w:rsidRPr="003F05A9">
        <w:rPr>
          <w:rFonts w:ascii="Times New Roman" w:hAnsi="Times New Roman" w:cs="Times New Roman"/>
          <w:color w:val="000000"/>
          <w:sz w:val="24"/>
          <w:szCs w:val="24"/>
          <w:shd w:val="clear" w:color="auto" w:fill="FFFFFF"/>
        </w:rPr>
        <w:t xml:space="preserve">Одияко Н.Н., Голодная Н.Ю., Реуцкий Р.С. Оптимизация работы информационной системы предприятия малого бизнеса по оказанию консультационных услуг. Фундаментальные исследования. 2016. № 12-5. </w:t>
      </w:r>
    </w:p>
    <w:p w:rsidR="003F05A9" w:rsidRPr="003F05A9" w:rsidRDefault="003F05A9" w:rsidP="003F05A9">
      <w:pPr>
        <w:numPr>
          <w:ilvl w:val="0"/>
          <w:numId w:val="122"/>
        </w:numPr>
        <w:pBdr>
          <w:top w:val="none" w:sz="0" w:space="0" w:color="auto"/>
          <w:left w:val="none" w:sz="0" w:space="0" w:color="auto"/>
          <w:bottom w:val="none" w:sz="0" w:space="0" w:color="auto"/>
          <w:right w:val="none" w:sz="0" w:space="0" w:color="auto"/>
          <w:between w:val="none" w:sz="0" w:space="0" w:color="auto"/>
        </w:pBdr>
        <w:spacing w:line="240" w:lineRule="auto"/>
        <w:contextualSpacing/>
        <w:rPr>
          <w:rFonts w:ascii="Times New Roman" w:hAnsi="Times New Roman" w:cs="Times New Roman"/>
          <w:sz w:val="24"/>
          <w:szCs w:val="24"/>
        </w:rPr>
      </w:pPr>
      <w:r w:rsidRPr="003F05A9">
        <w:rPr>
          <w:rFonts w:ascii="Times New Roman" w:hAnsi="Times New Roman" w:cs="Times New Roman"/>
          <w:sz w:val="24"/>
          <w:szCs w:val="24"/>
        </w:rPr>
        <w:t xml:space="preserve">Динамика курса </w:t>
      </w:r>
      <w:r w:rsidRPr="003F05A9">
        <w:rPr>
          <w:rFonts w:ascii="Times New Roman" w:hAnsi="Times New Roman" w:cs="Times New Roman"/>
          <w:sz w:val="24"/>
          <w:szCs w:val="24"/>
          <w:lang w:val="en-US"/>
        </w:rPr>
        <w:t>Bitcoin</w:t>
      </w:r>
      <w:r w:rsidRPr="003F05A9">
        <w:rPr>
          <w:rFonts w:ascii="Times New Roman" w:hAnsi="Times New Roman" w:cs="Times New Roman"/>
          <w:sz w:val="24"/>
          <w:szCs w:val="24"/>
        </w:rPr>
        <w:t xml:space="preserve"> к доллару США (</w:t>
      </w:r>
      <w:r w:rsidRPr="003F05A9">
        <w:rPr>
          <w:rFonts w:ascii="Times New Roman" w:hAnsi="Times New Roman" w:cs="Times New Roman"/>
          <w:sz w:val="24"/>
          <w:szCs w:val="24"/>
          <w:lang w:val="en-US"/>
        </w:rPr>
        <w:t>BTC</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USD</w:t>
      </w:r>
      <w:r w:rsidRPr="003F05A9">
        <w:rPr>
          <w:rFonts w:ascii="Times New Roman" w:hAnsi="Times New Roman" w:cs="Times New Roman"/>
          <w:sz w:val="24"/>
          <w:szCs w:val="24"/>
        </w:rPr>
        <w:t xml:space="preserve">) [Электронный ресурс]. – Режим доступа: </w:t>
      </w:r>
      <w:hyperlink r:id="rId479" w:history="1">
        <w:r w:rsidRPr="003F05A9">
          <w:rPr>
            <w:rFonts w:ascii="Times New Roman" w:hAnsi="Times New Roman" w:cs="Times New Roman"/>
            <w:color w:val="0563C1"/>
            <w:sz w:val="24"/>
            <w:szCs w:val="24"/>
            <w:u w:val="single"/>
          </w:rPr>
          <w:t>https://news.yandex.ru/quotes/60000.html</w:t>
        </w:r>
      </w:hyperlink>
      <w:r w:rsidRPr="003F05A9">
        <w:rPr>
          <w:rFonts w:ascii="Times New Roman" w:hAnsi="Times New Roman" w:cs="Times New Roman"/>
          <w:sz w:val="24"/>
          <w:szCs w:val="24"/>
        </w:rPr>
        <w:t xml:space="preserve"> </w:t>
      </w:r>
    </w:p>
    <w:p w:rsidR="003F05A9" w:rsidRPr="003F05A9" w:rsidRDefault="003F05A9" w:rsidP="003F05A9">
      <w:pPr>
        <w:numPr>
          <w:ilvl w:val="0"/>
          <w:numId w:val="122"/>
        </w:numPr>
        <w:pBdr>
          <w:top w:val="none" w:sz="0" w:space="0" w:color="auto"/>
          <w:left w:val="none" w:sz="0" w:space="0" w:color="auto"/>
          <w:bottom w:val="none" w:sz="0" w:space="0" w:color="auto"/>
          <w:right w:val="none" w:sz="0" w:space="0" w:color="auto"/>
          <w:between w:val="none" w:sz="0" w:space="0" w:color="auto"/>
        </w:pBdr>
        <w:spacing w:line="240" w:lineRule="auto"/>
        <w:contextualSpacing/>
        <w:rPr>
          <w:rFonts w:ascii="Times New Roman" w:hAnsi="Times New Roman" w:cs="Times New Roman"/>
          <w:sz w:val="24"/>
          <w:szCs w:val="24"/>
        </w:rPr>
      </w:pPr>
      <w:r w:rsidRPr="003F05A9">
        <w:rPr>
          <w:rFonts w:ascii="Times New Roman" w:hAnsi="Times New Roman" w:cs="Times New Roman"/>
          <w:color w:val="000000"/>
          <w:sz w:val="24"/>
          <w:szCs w:val="24"/>
          <w:shd w:val="clear" w:color="auto" w:fill="FFFFFF"/>
        </w:rPr>
        <w:t xml:space="preserve">Одияко Н.Н., Голодная Н.Ю. Применение аддитивной и мультипликативной моделей прогнозирования. Экономика и предпринимательство. 2013. № 12-1 (41-1). </w:t>
      </w:r>
    </w:p>
    <w:p w:rsidR="003F05A9" w:rsidRPr="003F05A9" w:rsidRDefault="003F05A9" w:rsidP="003F05A9">
      <w:pPr>
        <w:numPr>
          <w:ilvl w:val="0"/>
          <w:numId w:val="122"/>
        </w:numPr>
        <w:pBdr>
          <w:top w:val="none" w:sz="0" w:space="0" w:color="auto"/>
          <w:left w:val="none" w:sz="0" w:space="0" w:color="auto"/>
          <w:bottom w:val="none" w:sz="0" w:space="0" w:color="auto"/>
          <w:right w:val="none" w:sz="0" w:space="0" w:color="auto"/>
          <w:between w:val="none" w:sz="0" w:space="0" w:color="auto"/>
        </w:pBdr>
        <w:spacing w:line="240" w:lineRule="auto"/>
        <w:contextualSpacing/>
        <w:rPr>
          <w:rFonts w:ascii="Times New Roman" w:hAnsi="Times New Roman" w:cs="Times New Roman"/>
          <w:sz w:val="24"/>
          <w:szCs w:val="24"/>
        </w:rPr>
      </w:pPr>
      <w:r w:rsidRPr="003F05A9">
        <w:rPr>
          <w:rFonts w:ascii="Times New Roman" w:hAnsi="Times New Roman" w:cs="Times New Roman"/>
          <w:sz w:val="24"/>
          <w:szCs w:val="24"/>
        </w:rPr>
        <w:t xml:space="preserve">Сколько в мире биткоинов? [Электронный ресурс]. – Режим доступа: </w:t>
      </w:r>
      <w:hyperlink r:id="rId480" w:history="1">
        <w:r w:rsidRPr="003F05A9">
          <w:rPr>
            <w:rFonts w:ascii="Times New Roman" w:hAnsi="Times New Roman" w:cs="Times New Roman"/>
            <w:color w:val="0563C1"/>
            <w:sz w:val="24"/>
            <w:szCs w:val="24"/>
            <w:u w:val="single"/>
          </w:rPr>
          <w:t>https://www.vshu.ru/skolko-v-mire-bitkoinov/</w:t>
        </w:r>
      </w:hyperlink>
    </w:p>
    <w:p w:rsidR="003F05A9" w:rsidRPr="003F05A9" w:rsidRDefault="003F05A9" w:rsidP="003F05A9">
      <w:pPr>
        <w:numPr>
          <w:ilvl w:val="0"/>
          <w:numId w:val="122"/>
        </w:numPr>
        <w:pBdr>
          <w:top w:val="none" w:sz="0" w:space="0" w:color="auto"/>
          <w:left w:val="none" w:sz="0" w:space="0" w:color="auto"/>
          <w:bottom w:val="none" w:sz="0" w:space="0" w:color="auto"/>
          <w:right w:val="none" w:sz="0" w:space="0" w:color="auto"/>
          <w:between w:val="none" w:sz="0" w:space="0" w:color="auto"/>
        </w:pBdr>
        <w:spacing w:line="240" w:lineRule="auto"/>
        <w:contextualSpacing/>
        <w:rPr>
          <w:rFonts w:ascii="Times New Roman" w:hAnsi="Times New Roman" w:cs="Times New Roman"/>
          <w:sz w:val="24"/>
          <w:szCs w:val="24"/>
        </w:rPr>
      </w:pPr>
      <w:r w:rsidRPr="003F05A9">
        <w:rPr>
          <w:rFonts w:ascii="Times New Roman" w:hAnsi="Times New Roman" w:cs="Times New Roman"/>
          <w:color w:val="000000"/>
          <w:sz w:val="24"/>
          <w:szCs w:val="24"/>
          <w:shd w:val="clear" w:color="auto" w:fill="FFFFFF"/>
        </w:rPr>
        <w:t xml:space="preserve">Одияко Н.Н., Ермак И.В.  Создание интерфейса взаимодействия пользователя с базой данных предприятия. В сборнике: Интеллектуальный потенциал вузов - на развитие Дальневосточного региона России и стран АТР.  Материалы ХVIII Международной конференции студентов, аспирантов и молодых ученых. 2016. </w:t>
      </w:r>
    </w:p>
    <w:p w:rsidR="003F05A9" w:rsidRPr="003F05A9" w:rsidRDefault="003F05A9" w:rsidP="003F05A9">
      <w:pPr>
        <w:numPr>
          <w:ilvl w:val="0"/>
          <w:numId w:val="122"/>
        </w:numPr>
        <w:pBdr>
          <w:top w:val="none" w:sz="0" w:space="0" w:color="auto"/>
          <w:left w:val="none" w:sz="0" w:space="0" w:color="auto"/>
          <w:bottom w:val="none" w:sz="0" w:space="0" w:color="auto"/>
          <w:right w:val="none" w:sz="0" w:space="0" w:color="auto"/>
          <w:between w:val="none" w:sz="0" w:space="0" w:color="auto"/>
        </w:pBdr>
        <w:spacing w:line="240" w:lineRule="auto"/>
        <w:contextualSpacing/>
        <w:rPr>
          <w:rFonts w:ascii="Times New Roman" w:hAnsi="Times New Roman" w:cs="Times New Roman"/>
          <w:sz w:val="24"/>
          <w:szCs w:val="24"/>
        </w:rPr>
      </w:pPr>
      <w:r w:rsidRPr="003F05A9">
        <w:rPr>
          <w:rFonts w:ascii="Times New Roman" w:hAnsi="Times New Roman" w:cs="Times New Roman"/>
          <w:sz w:val="24"/>
          <w:szCs w:val="24"/>
        </w:rPr>
        <w:t xml:space="preserve">Что такое блокчейн? [Электронный ресурс]. – Режим доступа: </w:t>
      </w:r>
      <w:hyperlink r:id="rId481" w:history="1">
        <w:r w:rsidRPr="003F05A9">
          <w:rPr>
            <w:rFonts w:ascii="Times New Roman" w:hAnsi="Times New Roman" w:cs="Times New Roman"/>
            <w:color w:val="0563C1"/>
            <w:sz w:val="24"/>
            <w:szCs w:val="24"/>
            <w:u w:val="single"/>
          </w:rPr>
          <w:t>https://mining-cryptocurrency.ru/blockchain/</w:t>
        </w:r>
      </w:hyperlink>
    </w:p>
    <w:p w:rsidR="003F05A9" w:rsidRPr="003F05A9" w:rsidRDefault="003F05A9" w:rsidP="003F05A9">
      <w:pPr>
        <w:numPr>
          <w:ilvl w:val="0"/>
          <w:numId w:val="122"/>
        </w:numPr>
        <w:pBdr>
          <w:top w:val="none" w:sz="0" w:space="0" w:color="auto"/>
          <w:left w:val="none" w:sz="0" w:space="0" w:color="auto"/>
          <w:bottom w:val="none" w:sz="0" w:space="0" w:color="auto"/>
          <w:right w:val="none" w:sz="0" w:space="0" w:color="auto"/>
          <w:between w:val="none" w:sz="0" w:space="0" w:color="auto"/>
        </w:pBdr>
        <w:spacing w:line="240" w:lineRule="auto"/>
        <w:contextualSpacing/>
        <w:rPr>
          <w:rFonts w:ascii="Times New Roman" w:hAnsi="Times New Roman" w:cs="Times New Roman"/>
          <w:sz w:val="24"/>
          <w:szCs w:val="24"/>
        </w:rPr>
      </w:pPr>
      <w:r w:rsidRPr="003F05A9">
        <w:rPr>
          <w:rFonts w:ascii="Times New Roman" w:hAnsi="Times New Roman" w:cs="Times New Roman"/>
          <w:color w:val="000000"/>
          <w:sz w:val="24"/>
          <w:szCs w:val="24"/>
          <w:shd w:val="clear" w:color="auto" w:fill="FFFFFF"/>
        </w:rPr>
        <w:t xml:space="preserve">Гузенко А.Г., Одияко Н.Н., Лавренюк К.И. Моделирование потребительского рынка торговой марки. Экономика и предпринимательство. 2013. № 5 (34). </w:t>
      </w:r>
    </w:p>
    <w:p w:rsidR="003F05A9" w:rsidRPr="003F05A9" w:rsidRDefault="003F05A9" w:rsidP="003F05A9">
      <w:pPr>
        <w:numPr>
          <w:ilvl w:val="0"/>
          <w:numId w:val="122"/>
        </w:num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outlineLvl w:val="0"/>
        <w:rPr>
          <w:rFonts w:ascii="Times New Roman" w:hAnsi="Times New Roman" w:cs="Times New Roman"/>
          <w:bCs/>
          <w:color w:val="000000"/>
          <w:kern w:val="36"/>
          <w:sz w:val="24"/>
          <w:szCs w:val="24"/>
          <w:lang w:eastAsia="ru-RU"/>
        </w:rPr>
      </w:pPr>
      <w:r w:rsidRPr="003F05A9">
        <w:rPr>
          <w:rFonts w:ascii="Times New Roman" w:hAnsi="Times New Roman" w:cs="Times New Roman"/>
          <w:bCs/>
          <w:color w:val="000000"/>
          <w:kern w:val="36"/>
          <w:sz w:val="24"/>
          <w:szCs w:val="24"/>
          <w:lang w:eastAsia="ru-RU"/>
        </w:rPr>
        <w:t>Криптовалютные пирамиды – как не стать жертвой онлайн-мошенников</w:t>
      </w:r>
      <w:r w:rsidRPr="003F05A9">
        <w:rPr>
          <w:rFonts w:ascii="Times New Roman" w:hAnsi="Times New Roman" w:cs="Times New Roman"/>
          <w:b/>
          <w:bCs/>
          <w:kern w:val="36"/>
          <w:sz w:val="24"/>
          <w:szCs w:val="24"/>
          <w:lang w:eastAsia="ru-RU"/>
        </w:rPr>
        <w:t xml:space="preserve"> </w:t>
      </w:r>
      <w:r w:rsidRPr="003F05A9">
        <w:rPr>
          <w:rFonts w:ascii="Times New Roman" w:hAnsi="Times New Roman" w:cs="Times New Roman"/>
          <w:bCs/>
          <w:kern w:val="36"/>
          <w:sz w:val="24"/>
          <w:szCs w:val="24"/>
          <w:lang w:eastAsia="ru-RU"/>
        </w:rPr>
        <w:t xml:space="preserve">[Электронный ресурс]. </w:t>
      </w:r>
      <w:r w:rsidRPr="003F05A9">
        <w:rPr>
          <w:rFonts w:ascii="Times New Roman" w:hAnsi="Times New Roman" w:cs="Times New Roman"/>
          <w:bCs/>
          <w:kern w:val="36"/>
          <w:sz w:val="24"/>
          <w:szCs w:val="24"/>
          <w:shd w:val="clear" w:color="auto" w:fill="FFFFFF"/>
          <w:lang w:eastAsia="ru-RU"/>
        </w:rPr>
        <w:t xml:space="preserve">– Режим доступа: </w:t>
      </w:r>
      <w:hyperlink r:id="rId482" w:history="1">
        <w:r w:rsidRPr="003F05A9">
          <w:rPr>
            <w:rFonts w:ascii="Times New Roman" w:hAnsi="Times New Roman" w:cs="Times New Roman"/>
            <w:bCs/>
            <w:color w:val="0563C1"/>
            <w:kern w:val="36"/>
            <w:sz w:val="24"/>
            <w:szCs w:val="48"/>
            <w:u w:val="single"/>
            <w:lang w:eastAsia="ru-RU"/>
          </w:rPr>
          <w:t>https://forklog.com/cryptoscams-alert/</w:t>
        </w:r>
      </w:hyperlink>
    </w:p>
    <w:tbl>
      <w:tblPr>
        <w:tblW w:w="7590" w:type="dxa"/>
        <w:tblCellSpacing w:w="0" w:type="dxa"/>
        <w:tblCellMar>
          <w:left w:w="0" w:type="dxa"/>
          <w:right w:w="0" w:type="dxa"/>
        </w:tblCellMar>
        <w:tblLook w:val="04A0" w:firstRow="1" w:lastRow="0" w:firstColumn="1" w:lastColumn="0" w:noHBand="0" w:noVBand="1"/>
      </w:tblPr>
      <w:tblGrid>
        <w:gridCol w:w="7512"/>
        <w:gridCol w:w="78"/>
      </w:tblGrid>
      <w:tr w:rsidR="003F05A9" w:rsidRPr="003F05A9" w:rsidTr="003F05A9">
        <w:trPr>
          <w:tblCellSpacing w:w="0" w:type="dxa"/>
        </w:trPr>
        <w:tc>
          <w:tcPr>
            <w:tcW w:w="0" w:type="auto"/>
            <w:shd w:val="clear" w:color="auto" w:fill="FFFFFF"/>
            <w:tcMar>
              <w:top w:w="36" w:type="dxa"/>
              <w:left w:w="36" w:type="dxa"/>
              <w:bottom w:w="36" w:type="dxa"/>
              <w:right w:w="36" w:type="dxa"/>
            </w:tcMar>
            <w:hideMark/>
          </w:tcPr>
          <w:p w:rsidR="003F05A9" w:rsidRPr="003F05A9" w:rsidRDefault="003F05A9" w:rsidP="003F05A9">
            <w:pPr>
              <w:numPr>
                <w:ilvl w:val="0"/>
                <w:numId w:val="122"/>
              </w:numPr>
              <w:pBdr>
                <w:top w:val="none" w:sz="0" w:space="0" w:color="auto"/>
                <w:left w:val="none" w:sz="0" w:space="0" w:color="auto"/>
                <w:bottom w:val="none" w:sz="0" w:space="0" w:color="auto"/>
                <w:right w:val="none" w:sz="0" w:space="0" w:color="auto"/>
                <w:between w:val="none" w:sz="0" w:space="0" w:color="auto"/>
              </w:pBdr>
              <w:spacing w:line="254" w:lineRule="auto"/>
              <w:contextualSpacing/>
              <w:rPr>
                <w:rFonts w:cs="Times New Roman"/>
              </w:rPr>
            </w:pPr>
            <w:r w:rsidRPr="003F05A9">
              <w:rPr>
                <w:rFonts w:ascii="Times New Roman" w:hAnsi="Times New Roman" w:cs="Times New Roman"/>
                <w:sz w:val="24"/>
              </w:rPr>
              <w:t xml:space="preserve">Одияко Н.Н., Голодная Н.Ю., Реуцкий Р.С. бизнес-планирование как переход к новому качеству экономического развития в рыночных условиях. </w:t>
            </w:r>
            <w:r w:rsidRPr="003F05A9">
              <w:rPr>
                <w:rFonts w:ascii="Times New Roman" w:hAnsi="Times New Roman" w:cs="Times New Roman"/>
                <w:sz w:val="24"/>
                <w:szCs w:val="27"/>
                <w:shd w:val="clear" w:color="auto" w:fill="FFFFFF"/>
              </w:rPr>
              <w:t>Экономика и предпринимательство</w:t>
            </w:r>
            <w:r w:rsidRPr="003F05A9">
              <w:rPr>
                <w:rFonts w:ascii="Times New Roman" w:hAnsi="Times New Roman" w:cs="Times New Roman"/>
                <w:color w:val="00008F"/>
                <w:sz w:val="24"/>
                <w:szCs w:val="27"/>
                <w:shd w:val="clear" w:color="auto" w:fill="FFFFFF"/>
              </w:rPr>
              <w:t xml:space="preserve">. </w:t>
            </w:r>
            <w:r w:rsidRPr="003F05A9">
              <w:rPr>
                <w:rFonts w:ascii="Times New Roman" w:hAnsi="Times New Roman" w:cs="Times New Roman"/>
                <w:sz w:val="24"/>
              </w:rPr>
              <w:t>2015</w:t>
            </w:r>
            <w:r w:rsidRPr="003F05A9">
              <w:rPr>
                <w:rFonts w:ascii="Times New Roman" w:hAnsi="Times New Roman" w:cs="Times New Roman"/>
                <w:color w:val="00008F"/>
                <w:sz w:val="24"/>
                <w:szCs w:val="27"/>
                <w:shd w:val="clear" w:color="auto" w:fill="FFFFFF"/>
              </w:rPr>
              <w:t>. </w:t>
            </w:r>
            <w:r w:rsidRPr="003F05A9">
              <w:rPr>
                <w:rFonts w:ascii="Times New Roman" w:hAnsi="Times New Roman" w:cs="Times New Roman"/>
                <w:sz w:val="24"/>
                <w:szCs w:val="27"/>
                <w:shd w:val="clear" w:color="auto" w:fill="FFFFFF"/>
              </w:rPr>
              <w:t>№ 5-1 (58-1)</w:t>
            </w:r>
            <w:r w:rsidRPr="003F05A9">
              <w:rPr>
                <w:rFonts w:ascii="Times New Roman" w:hAnsi="Times New Roman" w:cs="Times New Roman"/>
                <w:color w:val="00008F"/>
                <w:sz w:val="24"/>
                <w:szCs w:val="27"/>
                <w:shd w:val="clear" w:color="auto" w:fill="FFFFFF"/>
              </w:rPr>
              <w:t>.</w:t>
            </w:r>
          </w:p>
        </w:tc>
        <w:tc>
          <w:tcPr>
            <w:tcW w:w="0" w:type="auto"/>
            <w:shd w:val="clear" w:color="auto" w:fill="FFFFFF"/>
            <w:tcMar>
              <w:top w:w="36" w:type="dxa"/>
              <w:left w:w="36" w:type="dxa"/>
              <w:bottom w:w="36" w:type="dxa"/>
              <w:right w:w="36" w:type="dxa"/>
            </w:tcMar>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line="256" w:lineRule="auto"/>
              <w:rPr>
                <w:rFonts w:ascii="Times New Roman" w:hAnsi="Times New Roman" w:cs="Times New Roman"/>
              </w:rPr>
            </w:pPr>
          </w:p>
        </w:tc>
      </w:tr>
    </w:tbl>
    <w:p w:rsidR="003F05A9" w:rsidRPr="003F05A9" w:rsidRDefault="003F05A9" w:rsidP="003F05A9">
      <w:pPr>
        <w:numPr>
          <w:ilvl w:val="0"/>
          <w:numId w:val="122"/>
        </w:numPr>
        <w:pBdr>
          <w:top w:val="none" w:sz="0" w:space="0" w:color="auto"/>
          <w:left w:val="none" w:sz="0" w:space="0" w:color="auto"/>
          <w:bottom w:val="none" w:sz="0" w:space="0" w:color="auto"/>
          <w:right w:val="none" w:sz="0" w:space="0" w:color="auto"/>
          <w:between w:val="none" w:sz="0" w:space="0" w:color="auto"/>
        </w:pBdr>
        <w:shd w:val="clear" w:color="auto" w:fill="FFFFFF"/>
        <w:spacing w:before="180" w:after="300" w:line="240" w:lineRule="auto"/>
        <w:outlineLvl w:val="0"/>
        <w:rPr>
          <w:rFonts w:ascii="Times New Roman" w:hAnsi="Times New Roman" w:cs="Times New Roman"/>
          <w:bCs/>
          <w:color w:val="000000"/>
          <w:kern w:val="36"/>
          <w:sz w:val="24"/>
          <w:szCs w:val="24"/>
          <w:lang w:eastAsia="ru-RU"/>
        </w:rPr>
      </w:pPr>
      <w:r w:rsidRPr="003F05A9">
        <w:rPr>
          <w:rFonts w:ascii="Times New Roman" w:hAnsi="Times New Roman" w:cs="Times New Roman"/>
          <w:bCs/>
          <w:color w:val="000000"/>
          <w:kern w:val="36"/>
          <w:sz w:val="24"/>
          <w:szCs w:val="24"/>
          <w:lang w:eastAsia="ru-RU"/>
        </w:rPr>
        <w:t xml:space="preserve">Будущее Криптовалют через 20 Лет [Электронный ресурс]. – Режим доступа: </w:t>
      </w:r>
      <w:hyperlink r:id="rId483" w:history="1">
        <w:r w:rsidRPr="003F05A9">
          <w:rPr>
            <w:rFonts w:ascii="Times New Roman" w:hAnsi="Times New Roman" w:cs="Times New Roman"/>
            <w:bCs/>
            <w:color w:val="0563C1"/>
            <w:kern w:val="36"/>
            <w:sz w:val="24"/>
            <w:szCs w:val="24"/>
            <w:u w:val="single"/>
            <w:lang w:eastAsia="ru-RU"/>
          </w:rPr>
          <w:t>http://cryptonovosti.com/budushhee-kriptovalyut-cherez-20-let</w:t>
        </w:r>
      </w:hyperlink>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line="256" w:lineRule="auto"/>
        <w:rPr>
          <w:rFonts w:cs="Times New Roman"/>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 xml:space="preserve">Рубрика: </w:t>
      </w:r>
      <w:r w:rsidRPr="003F05A9">
        <w:rPr>
          <w:rFonts w:ascii="Times New Roman" w:eastAsia="Malgun Gothic" w:hAnsi="Times New Roman" w:cs="Times New Roman"/>
          <w:iCs/>
          <w:sz w:val="24"/>
          <w:szCs w:val="24"/>
          <w:lang w:eastAsia="ko-KR"/>
        </w:rPr>
        <w:t>Туристско-рекреационный комплекс Дальнего Востока как перспективная модель развития территории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УДК 379.85</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Malgun Gothic" w:hAnsi="Times New Roman" w:cs="Times New Roman"/>
          <w:b/>
          <w:iCs/>
          <w:color w:val="000000"/>
          <w:sz w:val="24"/>
          <w:szCs w:val="24"/>
          <w:lang w:eastAsia="ko-KR"/>
        </w:rPr>
      </w:pPr>
      <w:r w:rsidRPr="003F05A9">
        <w:rPr>
          <w:rFonts w:ascii="Times New Roman" w:eastAsia="Malgun Gothic" w:hAnsi="Times New Roman" w:cs="Times New Roman"/>
          <w:b/>
          <w:iCs/>
          <w:color w:val="000000"/>
          <w:sz w:val="24"/>
          <w:szCs w:val="24"/>
          <w:lang w:eastAsia="ko-KR"/>
        </w:rPr>
        <w:t>Анализ развития SUP-туризма в городе Владивостоке</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 xml:space="preserve">Шубина Юлия Андреевна,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 xml:space="preserve">бакалавр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 xml:space="preserve">Кононов Артем Юрьевич,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 xml:space="preserve">Кандидат экономических наук, ассистент кафедры туризма и экологии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Malgun Gothic" w:hAnsi="Times New Roman" w:cs="Times New Roman"/>
          <w:i/>
          <w:iCs/>
          <w:color w:val="000000"/>
          <w:sz w:val="24"/>
          <w:szCs w:val="24"/>
          <w:lang w:eastAsia="ko-KR"/>
        </w:rPr>
      </w:pPr>
      <w:r w:rsidRPr="003F05A9">
        <w:rPr>
          <w:rFonts w:ascii="Times New Roman" w:eastAsia="Malgun Gothic" w:hAnsi="Times New Roman" w:cs="Times New Roman"/>
          <w:i/>
          <w:iCs/>
          <w:color w:val="000000"/>
          <w:sz w:val="24"/>
          <w:szCs w:val="24"/>
          <w:lang w:eastAsia="ko-KR"/>
        </w:rPr>
        <w:t>Владивостокский государственный университет экономики и сервиса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Malgun Gothic" w:hAnsi="Times New Roman" w:cs="Times New Roman"/>
          <w:i/>
          <w:iCs/>
          <w:color w:val="000000"/>
          <w:sz w:val="24"/>
          <w:szCs w:val="24"/>
          <w:lang w:eastAsia="ko-KR"/>
        </w:rPr>
      </w:pPr>
      <w:r w:rsidRPr="003F05A9">
        <w:rPr>
          <w:rFonts w:ascii="Times New Roman" w:eastAsia="Malgun Gothic" w:hAnsi="Times New Roman" w:cs="Times New Roman"/>
          <w:i/>
          <w:iCs/>
          <w:color w:val="000000"/>
          <w:sz w:val="24"/>
          <w:szCs w:val="24"/>
          <w:lang w:eastAsia="ko-KR"/>
        </w:rPr>
        <w:t>Россия. Владивосток</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val="en-US" w:eastAsia="ko-KR"/>
        </w:rPr>
        <w:t>E</w:t>
      </w:r>
      <w:r w:rsidRPr="003F05A9">
        <w:rPr>
          <w:rFonts w:ascii="Times New Roman" w:eastAsia="Malgun Gothic" w:hAnsi="Times New Roman" w:cs="Times New Roman"/>
          <w:iCs/>
          <w:color w:val="000000"/>
          <w:sz w:val="24"/>
          <w:szCs w:val="24"/>
          <w:lang w:eastAsia="ko-KR"/>
        </w:rPr>
        <w:t>-</w:t>
      </w:r>
      <w:r w:rsidRPr="003F05A9">
        <w:rPr>
          <w:rFonts w:ascii="Times New Roman" w:eastAsia="Malgun Gothic" w:hAnsi="Times New Roman" w:cs="Times New Roman"/>
          <w:iCs/>
          <w:color w:val="000000"/>
          <w:sz w:val="24"/>
          <w:szCs w:val="24"/>
          <w:lang w:val="en-US" w:eastAsia="ko-KR"/>
        </w:rPr>
        <w:t>mail</w:t>
      </w:r>
      <w:r w:rsidRPr="003F05A9">
        <w:rPr>
          <w:rFonts w:ascii="Times New Roman" w:eastAsia="Malgun Gothic" w:hAnsi="Times New Roman" w:cs="Times New Roman"/>
          <w:iCs/>
          <w:color w:val="000000"/>
          <w:sz w:val="24"/>
          <w:szCs w:val="24"/>
          <w:lang w:eastAsia="ko-KR"/>
        </w:rPr>
        <w:t xml:space="preserve">: </w:t>
      </w:r>
      <w:r w:rsidRPr="003F05A9">
        <w:rPr>
          <w:rFonts w:ascii="Times New Roman" w:eastAsia="Malgun Gothic" w:hAnsi="Times New Roman" w:cs="Times New Roman"/>
          <w:iCs/>
          <w:color w:val="000000"/>
          <w:sz w:val="24"/>
          <w:szCs w:val="24"/>
          <w:lang w:val="en-US" w:eastAsia="ko-KR"/>
        </w:rPr>
        <w:t>Yuliya</w:t>
      </w:r>
      <w:r w:rsidRPr="003F05A9">
        <w:rPr>
          <w:rFonts w:ascii="Times New Roman" w:eastAsia="Malgun Gothic" w:hAnsi="Times New Roman" w:cs="Times New Roman"/>
          <w:iCs/>
          <w:color w:val="000000"/>
          <w:sz w:val="24"/>
          <w:szCs w:val="24"/>
          <w:lang w:eastAsia="ko-KR"/>
        </w:rPr>
        <w:t>.</w:t>
      </w:r>
      <w:r w:rsidRPr="003F05A9">
        <w:rPr>
          <w:rFonts w:ascii="Times New Roman" w:eastAsia="Malgun Gothic" w:hAnsi="Times New Roman" w:cs="Times New Roman"/>
          <w:iCs/>
          <w:color w:val="000000"/>
          <w:sz w:val="24"/>
          <w:szCs w:val="24"/>
          <w:lang w:val="en-US" w:eastAsia="ko-KR"/>
        </w:rPr>
        <w:t>Shubina</w:t>
      </w:r>
      <w:r w:rsidRPr="003F05A9">
        <w:rPr>
          <w:rFonts w:ascii="Times New Roman" w:eastAsia="Malgun Gothic" w:hAnsi="Times New Roman" w:cs="Times New Roman"/>
          <w:iCs/>
          <w:color w:val="000000"/>
          <w:sz w:val="24"/>
          <w:szCs w:val="24"/>
          <w:lang w:eastAsia="ko-KR"/>
        </w:rPr>
        <w:t>@</w:t>
      </w:r>
      <w:r w:rsidRPr="003F05A9">
        <w:rPr>
          <w:rFonts w:ascii="Times New Roman" w:eastAsia="Malgun Gothic" w:hAnsi="Times New Roman" w:cs="Times New Roman"/>
          <w:iCs/>
          <w:color w:val="000000"/>
          <w:sz w:val="24"/>
          <w:szCs w:val="24"/>
          <w:lang w:val="en-US" w:eastAsia="ko-KR"/>
        </w:rPr>
        <w:t>vvsu</w:t>
      </w:r>
      <w:r w:rsidRPr="003F05A9">
        <w:rPr>
          <w:rFonts w:ascii="Times New Roman" w:eastAsia="Malgun Gothic" w:hAnsi="Times New Roman" w:cs="Times New Roman"/>
          <w:iCs/>
          <w:color w:val="000000"/>
          <w:sz w:val="24"/>
          <w:szCs w:val="24"/>
          <w:lang w:eastAsia="ko-KR"/>
        </w:rPr>
        <w:t>.</w:t>
      </w:r>
      <w:r w:rsidRPr="003F05A9">
        <w:rPr>
          <w:rFonts w:ascii="Times New Roman" w:eastAsia="Malgun Gothic" w:hAnsi="Times New Roman" w:cs="Times New Roman"/>
          <w:iCs/>
          <w:color w:val="000000"/>
          <w:sz w:val="24"/>
          <w:szCs w:val="24"/>
          <w:lang w:val="en-US" w:eastAsia="ko-KR"/>
        </w:rPr>
        <w:t>ru</w:t>
      </w:r>
      <w:r w:rsidRPr="003F05A9">
        <w:rPr>
          <w:rFonts w:ascii="Times New Roman" w:eastAsia="Malgun Gothic" w:hAnsi="Times New Roman" w:cs="Times New Roman"/>
          <w:iCs/>
          <w:color w:val="000000"/>
          <w:sz w:val="24"/>
          <w:szCs w:val="24"/>
          <w:lang w:eastAsia="ko-KR"/>
        </w:rPr>
        <w:t>; тел.: +74232404164</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ул. Гоголя, 41, г. Владивосток, Приморский край, Россия, 690014</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Malgun Gothic" w:hAnsi="Times New Roman" w:cs="Times New Roman"/>
          <w:iCs/>
          <w:color w:val="000000"/>
          <w:sz w:val="24"/>
          <w:szCs w:val="24"/>
          <w:lang w:eastAsia="ko-KR"/>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before="120" w:after="120" w:line="240" w:lineRule="auto"/>
        <w:ind w:left="-17" w:right="215" w:firstLine="697"/>
        <w:jc w:val="both"/>
        <w:rPr>
          <w:rFonts w:ascii="Times New Roman" w:eastAsia="SimSun" w:hAnsi="Times New Roman" w:cs="Times New Roman"/>
          <w:sz w:val="24"/>
          <w:lang w:eastAsia="zh-CN"/>
        </w:rPr>
      </w:pPr>
      <w:r w:rsidRPr="003F05A9">
        <w:rPr>
          <w:rFonts w:ascii="Times New Roman" w:eastAsia="Malgun Gothic" w:hAnsi="Times New Roman" w:cs="Times New Roman"/>
          <w:i/>
          <w:iCs/>
          <w:sz w:val="24"/>
          <w:szCs w:val="24"/>
          <w:lang w:eastAsia="ko-KR"/>
        </w:rPr>
        <w:t xml:space="preserve">Спортивный туризм является одним из наиболее перспективных направлений развития мировой индустрии туризма, ввиду существенных темпов роста спроса на здоровый образ жизни. В условиях Приморского края особое место занимает водный туризм и </w:t>
      </w:r>
      <w:r w:rsidRPr="003F05A9">
        <w:rPr>
          <w:rFonts w:ascii="Times New Roman" w:eastAsia="Malgun Gothic" w:hAnsi="Times New Roman" w:cs="Times New Roman"/>
          <w:i/>
          <w:iCs/>
          <w:sz w:val="24"/>
          <w:szCs w:val="24"/>
          <w:lang w:val="en-US" w:eastAsia="ko-KR"/>
        </w:rPr>
        <w:t>SUP</w:t>
      </w:r>
      <w:r w:rsidRPr="003F05A9">
        <w:rPr>
          <w:rFonts w:ascii="Times New Roman" w:eastAsia="Malgun Gothic" w:hAnsi="Times New Roman" w:cs="Times New Roman"/>
          <w:i/>
          <w:iCs/>
          <w:sz w:val="24"/>
          <w:szCs w:val="24"/>
          <w:lang w:eastAsia="ko-KR"/>
        </w:rPr>
        <w:t>-туризм.</w:t>
      </w:r>
      <w:r w:rsidRPr="003F05A9">
        <w:rPr>
          <w:rFonts w:ascii="Times New Roman" w:eastAsia="Malgun Gothic" w:hAnsi="Times New Roman" w:cs="Times New Roman"/>
          <w:sz w:val="24"/>
          <w:lang w:eastAsia="ko-KR"/>
        </w:rPr>
        <w:t xml:space="preserve"> </w:t>
      </w:r>
      <w:r w:rsidRPr="003F05A9">
        <w:rPr>
          <w:rFonts w:ascii="Times New Roman" w:eastAsia="Malgun Gothic" w:hAnsi="Times New Roman" w:cs="Times New Roman"/>
          <w:i/>
          <w:sz w:val="24"/>
          <w:lang w:eastAsia="ko-KR"/>
        </w:rPr>
        <w:t xml:space="preserve">Проведенное исследование с использованием </w:t>
      </w:r>
      <w:r w:rsidRPr="003F05A9">
        <w:rPr>
          <w:rFonts w:ascii="Times New Roman" w:eastAsia="SimSun" w:hAnsi="Times New Roman" w:cs="Times New Roman"/>
          <w:i/>
          <w:sz w:val="24"/>
          <w:lang w:val="en-US" w:eastAsia="zh-CN"/>
        </w:rPr>
        <w:t>SWOT</w:t>
      </w:r>
      <w:r w:rsidRPr="003F05A9">
        <w:rPr>
          <w:rFonts w:ascii="Times New Roman" w:eastAsia="SimSun" w:hAnsi="Times New Roman" w:cs="Times New Roman"/>
          <w:i/>
          <w:sz w:val="24"/>
          <w:lang w:eastAsia="zh-CN"/>
        </w:rPr>
        <w:t xml:space="preserve">-анализа позволяет сделать вывод, что </w:t>
      </w:r>
      <w:r w:rsidRPr="003F05A9">
        <w:rPr>
          <w:rFonts w:ascii="Times New Roman" w:eastAsia="SimSun" w:hAnsi="Times New Roman" w:cs="Times New Roman"/>
          <w:i/>
          <w:sz w:val="24"/>
          <w:lang w:val="en-US" w:eastAsia="zh-CN"/>
        </w:rPr>
        <w:t>SUP</w:t>
      </w:r>
      <w:r w:rsidRPr="003F05A9">
        <w:rPr>
          <w:rFonts w:ascii="Times New Roman" w:eastAsia="SimSun" w:hAnsi="Times New Roman" w:cs="Times New Roman"/>
          <w:i/>
          <w:sz w:val="24"/>
          <w:lang w:eastAsia="zh-CN"/>
        </w:rPr>
        <w:t>-туризм является конкурентоспособным и интересным для туристов нашего региона.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before="120" w:after="120" w:line="240" w:lineRule="auto"/>
        <w:ind w:left="-17" w:right="215" w:firstLine="697"/>
        <w:jc w:val="both"/>
        <w:rPr>
          <w:rFonts w:ascii="Times New Roman" w:eastAsia="Malgun Gothic" w:hAnsi="Times New Roman" w:cs="Times New Roman"/>
          <w:i/>
          <w:iCs/>
          <w:sz w:val="24"/>
          <w:szCs w:val="24"/>
          <w:lang w:eastAsia="ko-KR"/>
        </w:rPr>
      </w:pPr>
      <w:r w:rsidRPr="003F05A9">
        <w:rPr>
          <w:rFonts w:ascii="Times New Roman" w:eastAsia="Malgun Gothic" w:hAnsi="Times New Roman" w:cs="Times New Roman"/>
          <w:b/>
          <w:i/>
          <w:iCs/>
          <w:sz w:val="24"/>
          <w:szCs w:val="24"/>
          <w:lang w:eastAsia="ko-KR"/>
        </w:rPr>
        <w:t>Ключевые слова и словосочетания</w:t>
      </w:r>
      <w:r w:rsidRPr="003F05A9">
        <w:rPr>
          <w:rFonts w:ascii="Times New Roman" w:eastAsia="Malgun Gothic" w:hAnsi="Times New Roman" w:cs="Times New Roman"/>
          <w:i/>
          <w:iCs/>
          <w:sz w:val="24"/>
          <w:szCs w:val="24"/>
          <w:lang w:eastAsia="ko-KR"/>
        </w:rPr>
        <w:t xml:space="preserve">: спортивный туризм, водный туризм, </w:t>
      </w:r>
      <w:r w:rsidRPr="003F05A9">
        <w:rPr>
          <w:rFonts w:ascii="Times New Roman" w:eastAsia="Malgun Gothic" w:hAnsi="Times New Roman" w:cs="Times New Roman"/>
          <w:i/>
          <w:iCs/>
          <w:sz w:val="24"/>
          <w:szCs w:val="24"/>
          <w:lang w:val="en-US" w:eastAsia="ko-KR"/>
        </w:rPr>
        <w:t>SUP</w:t>
      </w:r>
      <w:r w:rsidRPr="003F05A9">
        <w:rPr>
          <w:rFonts w:ascii="Times New Roman" w:eastAsia="Malgun Gothic" w:hAnsi="Times New Roman" w:cs="Times New Roman"/>
          <w:i/>
          <w:iCs/>
          <w:sz w:val="24"/>
          <w:szCs w:val="24"/>
          <w:lang w:eastAsia="ko-KR"/>
        </w:rPr>
        <w:t>-туризм, Россия, российский Дальний Восток.</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before="120" w:after="120" w:line="240" w:lineRule="auto"/>
        <w:ind w:left="-17" w:right="215" w:firstLine="697"/>
        <w:jc w:val="center"/>
        <w:rPr>
          <w:rFonts w:ascii="Times New Roman" w:eastAsia="Malgun Gothic" w:hAnsi="Times New Roman" w:cs="Times New Roman"/>
          <w:b/>
          <w:iCs/>
          <w:sz w:val="24"/>
          <w:szCs w:val="24"/>
          <w:lang w:val="en-US" w:eastAsia="ko-KR"/>
        </w:rPr>
      </w:pPr>
      <w:r w:rsidRPr="003F05A9">
        <w:rPr>
          <w:rFonts w:ascii="Times New Roman" w:eastAsia="Malgun Gothic" w:hAnsi="Times New Roman" w:cs="Times New Roman"/>
          <w:b/>
          <w:iCs/>
          <w:sz w:val="24"/>
          <w:szCs w:val="24"/>
          <w:lang w:val="en-US" w:eastAsia="ko-KR"/>
        </w:rPr>
        <w:t>Analysis of Sup-tourism development in Vladivostok</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before="120" w:after="120" w:line="240" w:lineRule="auto"/>
        <w:ind w:left="-17" w:right="215" w:firstLine="697"/>
        <w:jc w:val="both"/>
        <w:rPr>
          <w:rFonts w:ascii="Times New Roman" w:eastAsia="Malgun Gothic" w:hAnsi="Times New Roman" w:cs="Times New Roman"/>
          <w:i/>
          <w:iCs/>
          <w:sz w:val="24"/>
          <w:szCs w:val="24"/>
          <w:lang w:val="en-US" w:eastAsia="ko-KR"/>
        </w:rPr>
      </w:pPr>
      <w:r w:rsidRPr="003F05A9">
        <w:rPr>
          <w:rFonts w:ascii="Times New Roman" w:eastAsia="Malgun Gothic" w:hAnsi="Times New Roman" w:cs="Times New Roman"/>
          <w:i/>
          <w:iCs/>
          <w:sz w:val="24"/>
          <w:szCs w:val="24"/>
          <w:lang w:val="en-US" w:eastAsia="ko-KR"/>
        </w:rPr>
        <w:t xml:space="preserve">Sport tourism is one of the most </w:t>
      </w:r>
      <w:r w:rsidRPr="003F05A9">
        <w:rPr>
          <w:rFonts w:ascii="Times New Roman" w:eastAsia="SimSun" w:hAnsi="Times New Roman" w:cs="Times New Roman"/>
          <w:i/>
          <w:iCs/>
          <w:sz w:val="24"/>
          <w:szCs w:val="24"/>
          <w:lang w:val="en-US" w:eastAsia="zh-CN"/>
        </w:rPr>
        <w:t>promising directions for the further development of the world tourism industry, due to the significant growth of demand for healthy living. Water tourism and SUP-tourism take the special place in Primorsky Krai. Undertaken study with the help of SWOT analysis</w:t>
      </w:r>
      <w:r w:rsidRPr="003F05A9">
        <w:rPr>
          <w:rFonts w:ascii="Times New Roman" w:eastAsia="Malgun Gothic" w:hAnsi="Times New Roman" w:cs="Times New Roman"/>
          <w:i/>
          <w:iCs/>
          <w:sz w:val="24"/>
          <w:szCs w:val="24"/>
          <w:lang w:val="en-US" w:eastAsia="ko-KR"/>
        </w:rPr>
        <w:t xml:space="preserve"> suggests, that </w:t>
      </w:r>
      <w:r w:rsidRPr="003F05A9">
        <w:rPr>
          <w:rFonts w:ascii="Times New Roman" w:eastAsia="SimSun" w:hAnsi="Times New Roman" w:cs="Times New Roman"/>
          <w:i/>
          <w:iCs/>
          <w:sz w:val="24"/>
          <w:szCs w:val="24"/>
          <w:lang w:val="en-US" w:eastAsia="zh-CN"/>
        </w:rPr>
        <w:t>SUP-tourism is competitive and attractive to the tourists of our region.</w:t>
      </w:r>
      <w:r w:rsidRPr="003F05A9">
        <w:rPr>
          <w:rFonts w:ascii="Times New Roman" w:eastAsia="Malgun Gothic" w:hAnsi="Times New Roman" w:cs="Times New Roman"/>
          <w:i/>
          <w:iCs/>
          <w:sz w:val="24"/>
          <w:szCs w:val="24"/>
          <w:lang w:val="en-US" w:eastAsia="ko-KR"/>
        </w:rPr>
        <w:t xml:space="preserve">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before="120" w:after="120" w:line="240" w:lineRule="auto"/>
        <w:ind w:left="-17" w:right="215" w:firstLine="697"/>
        <w:jc w:val="both"/>
        <w:rPr>
          <w:rFonts w:ascii="Times New Roman" w:eastAsia="Malgun Gothic" w:hAnsi="Times New Roman" w:cs="Times New Roman"/>
          <w:i/>
          <w:iCs/>
          <w:sz w:val="24"/>
          <w:szCs w:val="24"/>
          <w:lang w:val="en-US" w:eastAsia="ko-KR"/>
        </w:rPr>
      </w:pPr>
      <w:r w:rsidRPr="003F05A9">
        <w:rPr>
          <w:rFonts w:ascii="Times New Roman" w:eastAsia="Malgun Gothic" w:hAnsi="Times New Roman" w:cs="Times New Roman"/>
          <w:b/>
          <w:i/>
          <w:iCs/>
          <w:sz w:val="24"/>
          <w:szCs w:val="24"/>
          <w:lang w:val="en-US" w:eastAsia="ko-KR"/>
        </w:rPr>
        <w:t>Keywords</w:t>
      </w:r>
      <w:r w:rsidRPr="003F05A9">
        <w:rPr>
          <w:rFonts w:ascii="Times New Roman" w:eastAsia="Malgun Gothic" w:hAnsi="Times New Roman" w:cs="Times New Roman"/>
          <w:i/>
          <w:iCs/>
          <w:sz w:val="24"/>
          <w:szCs w:val="24"/>
          <w:lang w:val="en-US" w:eastAsia="ko-KR"/>
        </w:rPr>
        <w:t xml:space="preserve">: sport tourism, </w:t>
      </w:r>
      <w:r w:rsidRPr="003F05A9">
        <w:rPr>
          <w:rFonts w:ascii="Times New Roman" w:eastAsia="SimSun" w:hAnsi="Times New Roman" w:cs="Times New Roman"/>
          <w:i/>
          <w:iCs/>
          <w:sz w:val="24"/>
          <w:szCs w:val="24"/>
          <w:lang w:val="en-US" w:eastAsia="zh-CN"/>
        </w:rPr>
        <w:t>water tourism, SUP-tourism, Russia, Russian Far East</w:t>
      </w:r>
      <w:r w:rsidRPr="003F05A9">
        <w:rPr>
          <w:rFonts w:ascii="Times New Roman" w:eastAsia="Malgun Gothic" w:hAnsi="Times New Roman" w:cs="Times New Roman"/>
          <w:i/>
          <w:iCs/>
          <w:sz w:val="24"/>
          <w:szCs w:val="24"/>
          <w:lang w:val="en-US" w:eastAsia="ko-KR"/>
        </w:rPr>
        <w:t>.</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1" w:firstLine="6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iCs/>
          <w:color w:val="000000"/>
          <w:sz w:val="24"/>
          <w:szCs w:val="24"/>
          <w:lang w:eastAsia="ko-KR"/>
        </w:rPr>
        <w:t xml:space="preserve">Приморское положение Владивостока и его значительный туристский потенциал играют важную роль в развитии инфраструктуры города, повышении качества жизни его жителей и создании имиджа Владивостока, как города на стыке двух культур – азиатской и европейской. Естественно, эти факторы не остались неучтенными при разработке нового активно развиваемого межрегионального туристического маршрута «Восточное кольцо России», включающего 12 регионов страны. Приморье в проекте позиционируется как туристский хаб. </w:t>
      </w:r>
      <w:r w:rsidRPr="003F05A9">
        <w:rPr>
          <w:rFonts w:ascii="Times New Roman" w:eastAsia="Malgun Gothic" w:hAnsi="Times New Roman" w:cs="Times New Roman"/>
          <w:color w:val="000000"/>
          <w:sz w:val="24"/>
          <w:szCs w:val="24"/>
          <w:lang w:eastAsia="ko-KR"/>
        </w:rPr>
        <w:t xml:space="preserve">Вместе с тем при брендинге территорий в рамках проекта </w:t>
      </w:r>
      <w:r w:rsidRPr="003F05A9">
        <w:rPr>
          <w:rFonts w:ascii="Times New Roman" w:eastAsia="Malgun Gothic" w:hAnsi="Times New Roman" w:cs="Times New Roman"/>
          <w:iCs/>
          <w:color w:val="000000"/>
          <w:sz w:val="24"/>
          <w:szCs w:val="24"/>
          <w:lang w:eastAsia="ko-KR"/>
        </w:rPr>
        <w:t xml:space="preserve">Приморский край имеет широкий спектр прочих направленностей: конгрессно-выставочный, культурно-познавательный, экологический, пляжный, круизный, а также спортивный туризм.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1" w:firstLine="6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 xml:space="preserve">В действительности можно отметить, что в представленном Администрацией Приморского края календаре событийных мероприятий на 2018 год [2] именно спортивный туризм занимает важное место. Это неудивительно - спортивные мероприятия - один из популярнейших и крупнейших сегментов международной туристской индустрии, имеющий огромный инвестиционный потенциал ввиду перманентно растущего спроса на здоровый образ жизни во всем мире [1],[6].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9355"/>
        </w:tabs>
        <w:spacing w:after="11" w:line="240" w:lineRule="auto"/>
        <w:ind w:left="-15" w:right="-1" w:firstLine="6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На спортивный туризм приходится более 40 мероприятий (около 20% от общего числа мероприятий в календаре, проводимых Администрацией Приморского края), включая Международный Владивостокский марафон, ледовый международный полумарафон «Vladivostok Ice Run», Asia Pacific D1PrimRingGP — 2018. Также можно отметить такие мероприятия, как Международные соревнования по бадминтону «Russian Open Grand Prix» - этап Кубка мира, Международные соревнования по дзюдо имени Дзигоро Кано, Международный, юношеский турнир стран Северо-Востока Азии (СВА) (бадминтон/настольный теннис), Международные соревнования по самбо «Мемориал Юрия Потапова», Международные соревнования среди спортсменов с ограниченными возможностями здоровья «Инваспорт» [3].</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9355"/>
        </w:tabs>
        <w:spacing w:after="11" w:line="240" w:lineRule="auto"/>
        <w:ind w:left="-15" w:right="-1" w:firstLine="6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Несомненно, особое место здесь занимают водные виды спорта. Не случайно Приморский край и Владивосток, как его административный центр, символизируют стихию воды в рамках направления «Пять элементов к познанию России». Среди наиболее значимых мероприятий в данной связи можно выделить Кубок адмирала Г. И. Невельского», Всероссийские соревнования по парусному спорту «Кубок залива Петра Великого, Всероссийские соревнования по парусному спорту «Кубок Семь футов», Первенство ДВФО «Дальневосточная регата», Фестиваль «Лето на Русском», Vladivostok Boat Show.</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9355"/>
        </w:tabs>
        <w:spacing w:after="11" w:line="240" w:lineRule="auto"/>
        <w:ind w:left="-15" w:right="-1" w:firstLine="6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Отдельно стоит отметить, что программа подобных мероприятий с каждым годом совершенствуется, и в рамках Vladivostok Boat Show в 2018 г. планируется проведение любительских соревнований на sup-досках. Мастер-классы на сап-досках проводились в рамках ТТФ-2017 на фестивале «День путешественника». Так же во Владивостоке проводился первый в России Кубок Quiksilver по SUP серфингу. Таким образом, SUP-серфинг — это одно из наиболее перспективных направлений, развиваемых в контексте водных видов спорта.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9355"/>
        </w:tabs>
        <w:spacing w:after="11" w:line="240" w:lineRule="auto"/>
        <w:ind w:left="-15" w:right="-1" w:firstLine="6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 xml:space="preserve">С точки зрения терминологии, по классификации мин спорта SUP-серфинг или «Гребля стоя» - это дисциплина вида спорта «серфинг». </w:t>
      </w:r>
      <w:r w:rsidRPr="003F05A9">
        <w:rPr>
          <w:rFonts w:ascii="Times New Roman" w:eastAsia="SimSun" w:hAnsi="Times New Roman" w:cs="Times New Roman"/>
          <w:color w:val="000000"/>
          <w:sz w:val="24"/>
          <w:szCs w:val="24"/>
          <w:lang w:eastAsia="zh-CN"/>
        </w:rPr>
        <w:t xml:space="preserve">[5] </w:t>
      </w:r>
      <w:r w:rsidRPr="003F05A9">
        <w:rPr>
          <w:rFonts w:ascii="Times New Roman" w:eastAsia="Malgun Gothic" w:hAnsi="Times New Roman" w:cs="Times New Roman"/>
          <w:color w:val="000000"/>
          <w:sz w:val="24"/>
          <w:szCs w:val="24"/>
          <w:lang w:eastAsia="ko-KR"/>
        </w:rPr>
        <w:t xml:space="preserve">Главное преимущество SUP-серфинга в его доступности. Для него не потребуется никакого дополнительного снаряжения. Всё, что нужно - SUP-доска и весло. Доски для </w:t>
      </w:r>
      <w:r w:rsidRPr="003F05A9">
        <w:rPr>
          <w:rFonts w:ascii="Times New Roman" w:eastAsia="Malgun Gothic" w:hAnsi="Times New Roman" w:cs="Times New Roman"/>
          <w:color w:val="000000"/>
          <w:sz w:val="24"/>
          <w:szCs w:val="24"/>
          <w:lang w:val="en-US" w:eastAsia="ko-KR"/>
        </w:rPr>
        <w:t>SUP</w:t>
      </w:r>
      <w:r w:rsidRPr="003F05A9">
        <w:rPr>
          <w:rFonts w:ascii="Times New Roman" w:eastAsia="Malgun Gothic" w:hAnsi="Times New Roman" w:cs="Times New Roman"/>
          <w:color w:val="000000"/>
          <w:sz w:val="24"/>
          <w:szCs w:val="24"/>
          <w:lang w:eastAsia="ko-KR"/>
        </w:rPr>
        <w:t xml:space="preserve">-сёрфинга похожи на обычные доски для сёрфинга, однако превышают их по длине и ширине, что упрощает для спортсмена поддерживание равновесия на доске.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9355"/>
        </w:tabs>
        <w:spacing w:after="11" w:line="240" w:lineRule="auto"/>
        <w:ind w:left="-15" w:right="-1" w:firstLine="6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 xml:space="preserve">Примерно 10 лет существования Stand Up Paddling как вида спорта уже развилось несколько его направлений, таких как: </w:t>
      </w:r>
    </w:p>
    <w:p w:rsidR="003F05A9" w:rsidRPr="003F05A9" w:rsidRDefault="003F05A9" w:rsidP="003F05A9">
      <w:pPr>
        <w:numPr>
          <w:ilvl w:val="0"/>
          <w:numId w:val="128"/>
        </w:numPr>
        <w:pBdr>
          <w:top w:val="none" w:sz="0" w:space="0" w:color="auto"/>
          <w:left w:val="none" w:sz="0" w:space="0" w:color="auto"/>
          <w:bottom w:val="none" w:sz="0" w:space="0" w:color="auto"/>
          <w:right w:val="none" w:sz="0" w:space="0" w:color="auto"/>
          <w:between w:val="none" w:sz="0" w:space="0" w:color="auto"/>
        </w:pBdr>
        <w:spacing w:after="0" w:line="240" w:lineRule="auto"/>
        <w:ind w:left="993" w:right="590" w:hanging="284"/>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 xml:space="preserve">рейсинг или гонки на досках SUP;  </w:t>
      </w:r>
    </w:p>
    <w:p w:rsidR="003F05A9" w:rsidRPr="003F05A9" w:rsidRDefault="003F05A9" w:rsidP="003F05A9">
      <w:pPr>
        <w:numPr>
          <w:ilvl w:val="0"/>
          <w:numId w:val="128"/>
        </w:numPr>
        <w:pBdr>
          <w:top w:val="none" w:sz="0" w:space="0" w:color="auto"/>
          <w:left w:val="none" w:sz="0" w:space="0" w:color="auto"/>
          <w:bottom w:val="none" w:sz="0" w:space="0" w:color="auto"/>
          <w:right w:val="none" w:sz="0" w:space="0" w:color="auto"/>
          <w:between w:val="none" w:sz="0" w:space="0" w:color="auto"/>
        </w:pBdr>
        <w:spacing w:after="0" w:line="240" w:lineRule="auto"/>
        <w:ind w:left="993" w:right="590" w:hanging="284"/>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 xml:space="preserve">рекреационный SUP;  </w:t>
      </w:r>
    </w:p>
    <w:p w:rsidR="003F05A9" w:rsidRPr="003F05A9" w:rsidRDefault="003F05A9" w:rsidP="003F05A9">
      <w:pPr>
        <w:numPr>
          <w:ilvl w:val="0"/>
          <w:numId w:val="128"/>
        </w:numPr>
        <w:pBdr>
          <w:top w:val="none" w:sz="0" w:space="0" w:color="auto"/>
          <w:left w:val="none" w:sz="0" w:space="0" w:color="auto"/>
          <w:bottom w:val="none" w:sz="0" w:space="0" w:color="auto"/>
          <w:right w:val="none" w:sz="0" w:space="0" w:color="auto"/>
          <w:between w:val="none" w:sz="0" w:space="0" w:color="auto"/>
        </w:pBdr>
        <w:spacing w:after="0" w:line="240" w:lineRule="auto"/>
        <w:ind w:left="993" w:right="590" w:hanging="284"/>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 xml:space="preserve">серфинг на досках с применением весла для SUP;  </w:t>
      </w:r>
    </w:p>
    <w:p w:rsidR="003F05A9" w:rsidRPr="003F05A9" w:rsidRDefault="003F05A9" w:rsidP="003F05A9">
      <w:pPr>
        <w:numPr>
          <w:ilvl w:val="0"/>
          <w:numId w:val="128"/>
        </w:numPr>
        <w:pBdr>
          <w:top w:val="none" w:sz="0" w:space="0" w:color="auto"/>
          <w:left w:val="none" w:sz="0" w:space="0" w:color="auto"/>
          <w:bottom w:val="none" w:sz="0" w:space="0" w:color="auto"/>
          <w:right w:val="none" w:sz="0" w:space="0" w:color="auto"/>
          <w:between w:val="none" w:sz="0" w:space="0" w:color="auto"/>
        </w:pBdr>
        <w:spacing w:after="0" w:line="240" w:lineRule="auto"/>
        <w:ind w:left="993" w:right="590" w:hanging="284"/>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 xml:space="preserve">White-Water SUP - сплавы и серфинг по горным рекам на досках для SUP; </w:t>
      </w:r>
    </w:p>
    <w:p w:rsidR="003F05A9" w:rsidRPr="003F05A9" w:rsidRDefault="003F05A9" w:rsidP="003F05A9">
      <w:pPr>
        <w:numPr>
          <w:ilvl w:val="0"/>
          <w:numId w:val="128"/>
        </w:numPr>
        <w:pBdr>
          <w:top w:val="none" w:sz="0" w:space="0" w:color="auto"/>
          <w:left w:val="none" w:sz="0" w:space="0" w:color="auto"/>
          <w:bottom w:val="none" w:sz="0" w:space="0" w:color="auto"/>
          <w:right w:val="none" w:sz="0" w:space="0" w:color="auto"/>
          <w:between w:val="none" w:sz="0" w:space="0" w:color="auto"/>
        </w:pBdr>
        <w:tabs>
          <w:tab w:val="left" w:pos="9355"/>
        </w:tabs>
        <w:spacing w:after="0" w:line="240" w:lineRule="auto"/>
        <w:ind w:left="993" w:right="-1" w:hanging="284"/>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 xml:space="preserve">Йога на досках SUP.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9355"/>
        </w:tabs>
        <w:spacing w:after="11" w:line="240" w:lineRule="auto"/>
        <w:ind w:left="-15" w:right="-1" w:firstLine="6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 xml:space="preserve">Таким образом, такой серфинг подойдёт и тем, кто желает расслабленно, не спеша, изучать окрестности, и тем, кто стремится к более активному времяпровождению. При этом достоинство этого вида серфинга состоит в том, что SUP серфинг с веслом подойдет и для катания на реке, на море или в океане, его райдерам не критичен ветер или волны.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9355"/>
        </w:tabs>
        <w:spacing w:after="0" w:line="240" w:lineRule="auto"/>
        <w:ind w:right="-1" w:firstLine="709"/>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 xml:space="preserve">О росте популярности </w:t>
      </w:r>
      <w:r w:rsidRPr="003F05A9">
        <w:rPr>
          <w:rFonts w:ascii="Times New Roman" w:eastAsia="Malgun Gothic" w:hAnsi="Times New Roman" w:cs="Times New Roman"/>
          <w:color w:val="000000"/>
          <w:sz w:val="24"/>
          <w:szCs w:val="24"/>
          <w:lang w:val="en-US" w:eastAsia="ko-KR"/>
        </w:rPr>
        <w:t>SUP</w:t>
      </w:r>
      <w:r w:rsidRPr="003F05A9">
        <w:rPr>
          <w:rFonts w:ascii="Times New Roman" w:eastAsia="Malgun Gothic" w:hAnsi="Times New Roman" w:cs="Times New Roman"/>
          <w:color w:val="000000"/>
          <w:sz w:val="24"/>
          <w:szCs w:val="24"/>
          <w:lang w:eastAsia="ko-KR"/>
        </w:rPr>
        <w:t>-серфинга в нашем городе говорит также то, что Российская федерация серфинга организовала курсы ISA SUP Flat во Владивостоке для тех, кто желает связать свою профессиональную деятельность с преподаванием серфинга с веслом. Это первые курсы ISA на Дальнем Востоке России. Курс вел президент SUP ассоциации Гонконга. В спортивных комплексах города также появились обучающие занятия для новичков, а также ведется набор секции по SUP-йоге. Во Владивостоке можно взять SUP-доску в прокат на сутки и более, получить краткое руководство по технике катания и безопасности, и отправиться покорять приморские бухты самостоятельно или вместе с друзьями. Другой вариант — записаться на SUP-прогулку. В городе появляется все больше компаний, предлагающих прогулки на сапах.</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i/>
          <w:color w:val="000000"/>
          <w:sz w:val="24"/>
          <w:szCs w:val="24"/>
          <w:lang w:eastAsia="ko-KR"/>
        </w:rPr>
        <w:t>Таблица 1</w:t>
      </w:r>
      <w:r w:rsidRPr="003F05A9">
        <w:rPr>
          <w:rFonts w:ascii="Times New Roman" w:eastAsia="Malgun Gothic" w:hAnsi="Times New Roman" w:cs="Times New Roman"/>
          <w:color w:val="000000"/>
          <w:sz w:val="24"/>
          <w:szCs w:val="24"/>
          <w:lang w:eastAsia="ko-KR"/>
        </w:rPr>
        <w:t xml:space="preserve"> – компании и магазины </w:t>
      </w:r>
      <w:r w:rsidRPr="003F05A9">
        <w:rPr>
          <w:rFonts w:ascii="Times New Roman" w:eastAsia="Malgun Gothic" w:hAnsi="Times New Roman" w:cs="Times New Roman"/>
          <w:color w:val="000000"/>
          <w:sz w:val="24"/>
          <w:szCs w:val="24"/>
          <w:lang w:val="en-US" w:eastAsia="ko-KR"/>
        </w:rPr>
        <w:t>SUP</w:t>
      </w:r>
      <w:r w:rsidRPr="003F05A9">
        <w:rPr>
          <w:rFonts w:ascii="Times New Roman" w:eastAsia="Malgun Gothic" w:hAnsi="Times New Roman" w:cs="Times New Roman"/>
          <w:color w:val="000000"/>
          <w:sz w:val="24"/>
          <w:szCs w:val="24"/>
          <w:lang w:eastAsia="ko-KR"/>
        </w:rPr>
        <w:t xml:space="preserve"> – туризма во Владивостоке (составлено автором)</w:t>
      </w: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3"/>
        <w:gridCol w:w="7094"/>
      </w:tblGrid>
      <w:tr w:rsidR="003F05A9" w:rsidRPr="003F05A9" w:rsidTr="003F05A9">
        <w:trPr>
          <w:trHeight w:val="270"/>
        </w:trPr>
        <w:tc>
          <w:tcPr>
            <w:tcW w:w="1916" w:type="dxa"/>
            <w:tcMar>
              <w:left w:w="108" w:type="dxa"/>
            </w:tcMar>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left="398" w:firstLine="6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Фирма</w:t>
            </w:r>
          </w:p>
        </w:tc>
        <w:tc>
          <w:tcPr>
            <w:tcW w:w="7111" w:type="dxa"/>
            <w:tcMar>
              <w:left w:w="108" w:type="dxa"/>
            </w:tcMar>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left="398" w:firstLine="6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Услуги</w:t>
            </w:r>
          </w:p>
        </w:tc>
      </w:tr>
      <w:tr w:rsidR="003F05A9" w:rsidRPr="003F05A9" w:rsidTr="003F05A9">
        <w:trPr>
          <w:trHeight w:val="270"/>
        </w:trPr>
        <w:tc>
          <w:tcPr>
            <w:tcW w:w="1916" w:type="dxa"/>
            <w:tcMar>
              <w:left w:w="108" w:type="dxa"/>
            </w:tcMar>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left="3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Luckysup</w:t>
            </w:r>
          </w:p>
        </w:tc>
        <w:tc>
          <w:tcPr>
            <w:tcW w:w="7111" w:type="dxa"/>
            <w:tcMar>
              <w:left w:w="108" w:type="dxa"/>
            </w:tcMar>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left="398" w:firstLine="6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Сап прогулки, обучение гребле на SUP, продажа SUP</w:t>
            </w:r>
          </w:p>
        </w:tc>
      </w:tr>
      <w:tr w:rsidR="003F05A9" w:rsidRPr="003F05A9" w:rsidTr="003F05A9">
        <w:trPr>
          <w:trHeight w:val="285"/>
        </w:trPr>
        <w:tc>
          <w:tcPr>
            <w:tcW w:w="1916" w:type="dxa"/>
            <w:tcMar>
              <w:left w:w="108" w:type="dxa"/>
            </w:tcMar>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left="3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Третья волна</w:t>
            </w:r>
          </w:p>
        </w:tc>
        <w:tc>
          <w:tcPr>
            <w:tcW w:w="7111" w:type="dxa"/>
            <w:tcMar>
              <w:left w:w="108" w:type="dxa"/>
            </w:tcMar>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left="398" w:firstLine="6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SUP-доски и снаряжение, SUP-прогулки и обучение</w:t>
            </w:r>
          </w:p>
        </w:tc>
      </w:tr>
      <w:tr w:rsidR="003F05A9" w:rsidRPr="003F05A9" w:rsidTr="003F05A9">
        <w:trPr>
          <w:trHeight w:val="270"/>
        </w:trPr>
        <w:tc>
          <w:tcPr>
            <w:tcW w:w="1916" w:type="dxa"/>
            <w:tcMar>
              <w:left w:w="108" w:type="dxa"/>
            </w:tcMar>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left="3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SUP_VL</w:t>
            </w:r>
          </w:p>
        </w:tc>
        <w:tc>
          <w:tcPr>
            <w:tcW w:w="7111" w:type="dxa"/>
            <w:tcMar>
              <w:left w:w="108" w:type="dxa"/>
            </w:tcMar>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left="398" w:firstLine="6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SUP-прогулки</w:t>
            </w:r>
          </w:p>
        </w:tc>
      </w:tr>
      <w:tr w:rsidR="003F05A9" w:rsidRPr="003F05A9" w:rsidTr="003F05A9">
        <w:trPr>
          <w:trHeight w:val="270"/>
        </w:trPr>
        <w:tc>
          <w:tcPr>
            <w:tcW w:w="1916" w:type="dxa"/>
            <w:tcMar>
              <w:left w:w="108" w:type="dxa"/>
            </w:tcMar>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left="3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Sunny sup</w:t>
            </w:r>
          </w:p>
        </w:tc>
        <w:tc>
          <w:tcPr>
            <w:tcW w:w="7111" w:type="dxa"/>
            <w:tcMar>
              <w:left w:w="108" w:type="dxa"/>
            </w:tcMar>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left="398" w:firstLine="6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SUP-прогулки</w:t>
            </w:r>
          </w:p>
        </w:tc>
      </w:tr>
      <w:tr w:rsidR="003F05A9" w:rsidRPr="003F05A9" w:rsidTr="003F05A9">
        <w:trPr>
          <w:trHeight w:val="270"/>
        </w:trPr>
        <w:tc>
          <w:tcPr>
            <w:tcW w:w="1916" w:type="dxa"/>
            <w:tcMar>
              <w:left w:w="108" w:type="dxa"/>
            </w:tcMar>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left="3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val="en-US" w:eastAsia="ko-KR"/>
              </w:rPr>
              <w:t>SURF bro</w:t>
            </w:r>
          </w:p>
        </w:tc>
        <w:tc>
          <w:tcPr>
            <w:tcW w:w="7111" w:type="dxa"/>
            <w:tcMar>
              <w:left w:w="108" w:type="dxa"/>
            </w:tcMar>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left="398" w:firstLine="6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Обучение и продажа</w:t>
            </w:r>
          </w:p>
        </w:tc>
      </w:tr>
      <w:tr w:rsidR="003F05A9" w:rsidRPr="003F05A9" w:rsidTr="003F05A9">
        <w:trPr>
          <w:trHeight w:val="541"/>
        </w:trPr>
        <w:tc>
          <w:tcPr>
            <w:tcW w:w="1916" w:type="dxa"/>
            <w:tcMar>
              <w:left w:w="108" w:type="dxa"/>
            </w:tcMar>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left="3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val="en-US" w:eastAsia="ko-KR"/>
              </w:rPr>
              <w:t>SUP</w:t>
            </w:r>
            <w:r w:rsidRPr="003F05A9">
              <w:rPr>
                <w:rFonts w:ascii="Times New Roman" w:eastAsia="Malgun Gothic" w:hAnsi="Times New Roman" w:cs="Times New Roman"/>
                <w:color w:val="000000"/>
                <w:sz w:val="24"/>
                <w:szCs w:val="24"/>
                <w:lang w:eastAsia="ko-KR"/>
              </w:rPr>
              <w:t xml:space="preserve"> Владивосток</w:t>
            </w:r>
          </w:p>
        </w:tc>
        <w:tc>
          <w:tcPr>
            <w:tcW w:w="7111" w:type="dxa"/>
            <w:tcMar>
              <w:left w:w="108" w:type="dxa"/>
            </w:tcMar>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left="398" w:firstLine="6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Прокат, обучение, прогулки</w:t>
            </w:r>
          </w:p>
        </w:tc>
      </w:tr>
      <w:tr w:rsidR="003F05A9" w:rsidRPr="003F05A9" w:rsidTr="003F05A9">
        <w:trPr>
          <w:trHeight w:val="285"/>
        </w:trPr>
        <w:tc>
          <w:tcPr>
            <w:tcW w:w="1916" w:type="dxa"/>
            <w:tcMar>
              <w:left w:w="108" w:type="dxa"/>
            </w:tcMar>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left="3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val="en-US" w:eastAsia="ko-KR"/>
              </w:rPr>
              <w:t>SUP GID</w:t>
            </w:r>
          </w:p>
        </w:tc>
        <w:tc>
          <w:tcPr>
            <w:tcW w:w="7111" w:type="dxa"/>
            <w:tcMar>
              <w:left w:w="108" w:type="dxa"/>
            </w:tcMar>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left="398" w:firstLine="6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Обучение, прогулки, продажа</w:t>
            </w:r>
          </w:p>
        </w:tc>
      </w:tr>
    </w:tbl>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left="-15" w:right="-1" w:firstLine="6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 xml:space="preserve">Средняя стоимость такой прогулки – 1500 рублей, в цену входит оборудование, гидрокостюм и водонепроницаемый мешок для вещей.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1" w:firstLine="6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 xml:space="preserve">Внутренние и внешние факторы, влияющие на развитие </w:t>
      </w:r>
      <w:r w:rsidRPr="003F05A9">
        <w:rPr>
          <w:rFonts w:ascii="Times New Roman" w:eastAsia="SimSun" w:hAnsi="Times New Roman" w:cs="Times New Roman"/>
          <w:color w:val="000000"/>
          <w:sz w:val="24"/>
          <w:szCs w:val="24"/>
          <w:lang w:val="en-US" w:eastAsia="zh-CN"/>
        </w:rPr>
        <w:t>SUP</w:t>
      </w:r>
      <w:r w:rsidRPr="003F05A9">
        <w:rPr>
          <w:rFonts w:ascii="Times New Roman" w:eastAsia="SimSun" w:hAnsi="Times New Roman" w:cs="Times New Roman"/>
          <w:color w:val="000000"/>
          <w:sz w:val="24"/>
          <w:szCs w:val="24"/>
          <w:lang w:eastAsia="zh-CN"/>
        </w:rPr>
        <w:t xml:space="preserve">-туризма во Владивостоке можно представить в виде </w:t>
      </w:r>
      <w:r w:rsidRPr="003F05A9">
        <w:rPr>
          <w:rFonts w:ascii="Times New Roman" w:eastAsia="SimSun" w:hAnsi="Times New Roman" w:cs="Times New Roman"/>
          <w:color w:val="000000"/>
          <w:sz w:val="24"/>
          <w:szCs w:val="24"/>
          <w:lang w:val="en-US" w:eastAsia="zh-CN"/>
        </w:rPr>
        <w:t>SWOT</w:t>
      </w:r>
      <w:r w:rsidRPr="003F05A9">
        <w:rPr>
          <w:rFonts w:ascii="Times New Roman" w:eastAsia="SimSun" w:hAnsi="Times New Roman" w:cs="Times New Roman"/>
          <w:color w:val="000000"/>
          <w:sz w:val="24"/>
          <w:szCs w:val="24"/>
          <w:lang w:eastAsia="zh-CN"/>
        </w:rPr>
        <w:t>-анализа.</w:t>
      </w:r>
      <w:r w:rsidRPr="003F05A9">
        <w:rPr>
          <w:rFonts w:ascii="Times New Roman" w:eastAsia="Malgun Gothic" w:hAnsi="Times New Roman" w:cs="Times New Roman"/>
          <w:color w:val="000000"/>
          <w:sz w:val="24"/>
          <w:szCs w:val="24"/>
          <w:lang w:eastAsia="ko-KR"/>
        </w:rPr>
        <w:t xml:space="preserve">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right="-1"/>
        <w:jc w:val="center"/>
        <w:rPr>
          <w:rFonts w:ascii="Times New Roman" w:eastAsia="SimSun" w:hAnsi="Times New Roman" w:cs="Times New Roman"/>
          <w:color w:val="000000"/>
          <w:sz w:val="24"/>
          <w:szCs w:val="24"/>
          <w:lang w:eastAsia="zh-CN"/>
        </w:rPr>
      </w:pPr>
      <w:r w:rsidRPr="003F05A9">
        <w:rPr>
          <w:rFonts w:ascii="Times New Roman" w:eastAsia="Malgun Gothic" w:hAnsi="Times New Roman" w:cs="Times New Roman"/>
          <w:i/>
          <w:color w:val="000000"/>
          <w:sz w:val="24"/>
          <w:szCs w:val="24"/>
          <w:lang w:eastAsia="ko-KR"/>
        </w:rPr>
        <w:t>Таблица 2</w:t>
      </w:r>
      <w:r w:rsidRPr="003F05A9">
        <w:rPr>
          <w:rFonts w:ascii="Times New Roman" w:eastAsia="Malgun Gothic" w:hAnsi="Times New Roman" w:cs="Times New Roman"/>
          <w:color w:val="000000"/>
          <w:sz w:val="24"/>
          <w:szCs w:val="24"/>
          <w:lang w:eastAsia="ko-KR"/>
        </w:rPr>
        <w:t xml:space="preserve"> – </w:t>
      </w:r>
      <w:r w:rsidRPr="003F05A9">
        <w:rPr>
          <w:rFonts w:ascii="Times New Roman" w:eastAsia="SimSun" w:hAnsi="Times New Roman" w:cs="Times New Roman"/>
          <w:color w:val="000000"/>
          <w:sz w:val="24"/>
          <w:szCs w:val="24"/>
          <w:lang w:val="en-US" w:eastAsia="zh-CN"/>
        </w:rPr>
        <w:t>SWOT</w:t>
      </w:r>
      <w:r w:rsidRPr="003F05A9">
        <w:rPr>
          <w:rFonts w:ascii="Times New Roman" w:eastAsia="SimSun" w:hAnsi="Times New Roman" w:cs="Times New Roman"/>
          <w:color w:val="000000"/>
          <w:sz w:val="24"/>
          <w:szCs w:val="24"/>
          <w:lang w:eastAsia="zh-CN"/>
        </w:rPr>
        <w:t xml:space="preserve">-анализ факторов, влияющих на развитие </w:t>
      </w:r>
      <w:r w:rsidRPr="003F05A9">
        <w:rPr>
          <w:rFonts w:ascii="Times New Roman" w:eastAsia="SimSun" w:hAnsi="Times New Roman" w:cs="Times New Roman"/>
          <w:color w:val="000000"/>
          <w:sz w:val="24"/>
          <w:szCs w:val="24"/>
          <w:lang w:val="en-US" w:eastAsia="zh-CN"/>
        </w:rPr>
        <w:t>SUP</w:t>
      </w:r>
      <w:r w:rsidRPr="003F05A9">
        <w:rPr>
          <w:rFonts w:ascii="Times New Roman" w:eastAsia="SimSun" w:hAnsi="Times New Roman" w:cs="Times New Roman"/>
          <w:color w:val="000000"/>
          <w:sz w:val="24"/>
          <w:szCs w:val="24"/>
          <w:lang w:eastAsia="zh-CN"/>
        </w:rPr>
        <w:t>-туризма</w:t>
      </w:r>
    </w:p>
    <w:tbl>
      <w:tblPr>
        <w:tblStyle w:val="53"/>
        <w:tblW w:w="0" w:type="auto"/>
        <w:tblLook w:val="04A0" w:firstRow="1" w:lastRow="0" w:firstColumn="1" w:lastColumn="0" w:noHBand="0" w:noVBand="1"/>
      </w:tblPr>
      <w:tblGrid>
        <w:gridCol w:w="4477"/>
        <w:gridCol w:w="4478"/>
      </w:tblGrid>
      <w:tr w:rsidR="003F05A9" w:rsidRPr="003F05A9" w:rsidTr="003F05A9">
        <w:trPr>
          <w:trHeight w:val="2627"/>
        </w:trPr>
        <w:tc>
          <w:tcPr>
            <w:tcW w:w="4477" w:type="dxa"/>
          </w:tcPr>
          <w:p w:rsidR="003F05A9" w:rsidRPr="003F05A9" w:rsidRDefault="003F05A9" w:rsidP="003F05A9">
            <w:pPr>
              <w:spacing w:after="11" w:line="240" w:lineRule="auto"/>
              <w:ind w:left="398"/>
              <w:jc w:val="both"/>
              <w:rPr>
                <w:rFonts w:ascii="Times New Roman" w:eastAsia="Malgun Gothic" w:hAnsi="Times New Roman"/>
                <w:color w:val="000000"/>
                <w:szCs w:val="24"/>
              </w:rPr>
            </w:pPr>
            <w:r w:rsidRPr="003F05A9">
              <w:rPr>
                <w:rFonts w:ascii="Times New Roman" w:eastAsia="Malgun Gothic" w:hAnsi="Times New Roman"/>
                <w:color w:val="000000"/>
                <w:szCs w:val="24"/>
              </w:rPr>
              <w:t xml:space="preserve">Сильные стороны </w:t>
            </w:r>
            <w:r w:rsidRPr="003F05A9">
              <w:rPr>
                <w:rFonts w:ascii="Times New Roman" w:eastAsia="Malgun Gothic" w:hAnsi="Times New Roman"/>
                <w:color w:val="000000"/>
                <w:szCs w:val="24"/>
                <w:lang w:val="en-US"/>
              </w:rPr>
              <w:t>SUP</w:t>
            </w:r>
            <w:r w:rsidRPr="003F05A9">
              <w:rPr>
                <w:rFonts w:ascii="Times New Roman" w:eastAsia="Malgun Gothic" w:hAnsi="Times New Roman"/>
                <w:color w:val="000000"/>
                <w:szCs w:val="24"/>
              </w:rPr>
              <w:t>-туризма во Владивостоке:</w:t>
            </w:r>
          </w:p>
          <w:p w:rsidR="003F05A9" w:rsidRPr="003F05A9" w:rsidRDefault="003F05A9" w:rsidP="003F05A9">
            <w:pPr>
              <w:numPr>
                <w:ilvl w:val="0"/>
                <w:numId w:val="129"/>
              </w:numPr>
              <w:spacing w:after="11" w:line="240" w:lineRule="auto"/>
              <w:ind w:left="0" w:firstLine="93"/>
              <w:contextualSpacing/>
              <w:jc w:val="both"/>
              <w:rPr>
                <w:rFonts w:ascii="Times New Roman" w:eastAsia="Malgun Gothic" w:hAnsi="Times New Roman"/>
                <w:color w:val="000000"/>
                <w:szCs w:val="24"/>
              </w:rPr>
            </w:pPr>
            <w:r w:rsidRPr="003F05A9">
              <w:rPr>
                <w:rFonts w:ascii="Times New Roman" w:eastAsia="Malgun Gothic" w:hAnsi="Times New Roman"/>
                <w:color w:val="000000"/>
                <w:szCs w:val="24"/>
              </w:rPr>
              <w:t>Наличие инфраструктуры.</w:t>
            </w:r>
          </w:p>
          <w:p w:rsidR="003F05A9" w:rsidRPr="003F05A9" w:rsidRDefault="003F05A9" w:rsidP="003F05A9">
            <w:pPr>
              <w:numPr>
                <w:ilvl w:val="0"/>
                <w:numId w:val="129"/>
              </w:numPr>
              <w:spacing w:after="11" w:line="240" w:lineRule="auto"/>
              <w:ind w:left="0" w:firstLine="93"/>
              <w:contextualSpacing/>
              <w:jc w:val="both"/>
              <w:rPr>
                <w:rFonts w:ascii="Times New Roman" w:eastAsia="Malgun Gothic" w:hAnsi="Times New Roman"/>
                <w:color w:val="000000"/>
                <w:szCs w:val="24"/>
              </w:rPr>
            </w:pPr>
            <w:r w:rsidRPr="003F05A9">
              <w:rPr>
                <w:rFonts w:ascii="Times New Roman" w:eastAsia="Malgun Gothic" w:hAnsi="Times New Roman"/>
                <w:color w:val="000000"/>
                <w:szCs w:val="24"/>
              </w:rPr>
              <w:t xml:space="preserve">Наличие большого количества заливов и бухт, в акваториях которых можно заниматься </w:t>
            </w:r>
            <w:r w:rsidRPr="003F05A9">
              <w:rPr>
                <w:rFonts w:ascii="Times New Roman" w:eastAsia="Malgun Gothic" w:hAnsi="Times New Roman"/>
                <w:color w:val="000000"/>
                <w:szCs w:val="24"/>
                <w:lang w:val="en-US"/>
              </w:rPr>
              <w:t>SUP</w:t>
            </w:r>
            <w:r w:rsidRPr="003F05A9">
              <w:rPr>
                <w:rFonts w:ascii="Times New Roman" w:eastAsia="Malgun Gothic" w:hAnsi="Times New Roman"/>
                <w:color w:val="000000"/>
                <w:szCs w:val="24"/>
              </w:rPr>
              <w:t>-туризмом.</w:t>
            </w:r>
          </w:p>
          <w:p w:rsidR="003F05A9" w:rsidRPr="003F05A9" w:rsidRDefault="003F05A9" w:rsidP="003F05A9">
            <w:pPr>
              <w:spacing w:after="11" w:line="240" w:lineRule="auto"/>
              <w:ind w:firstLine="93"/>
              <w:jc w:val="both"/>
              <w:rPr>
                <w:rFonts w:ascii="Times New Roman" w:eastAsia="Malgun Gothic" w:hAnsi="Times New Roman"/>
                <w:color w:val="000000"/>
                <w:szCs w:val="24"/>
              </w:rPr>
            </w:pPr>
            <w:r w:rsidRPr="003F05A9">
              <w:rPr>
                <w:rFonts w:ascii="Times New Roman" w:eastAsia="Malgun Gothic" w:hAnsi="Times New Roman"/>
                <w:color w:val="000000"/>
                <w:szCs w:val="24"/>
              </w:rPr>
              <w:t>3) Возможность насладиться пейзажами Владивостока с другого ракурса.</w:t>
            </w:r>
          </w:p>
          <w:p w:rsidR="003F05A9" w:rsidRPr="003F05A9" w:rsidRDefault="003F05A9" w:rsidP="003F05A9">
            <w:pPr>
              <w:spacing w:after="11" w:line="240" w:lineRule="auto"/>
              <w:jc w:val="both"/>
              <w:rPr>
                <w:rFonts w:ascii="Times New Roman" w:eastAsia="Malgun Gothic" w:hAnsi="Times New Roman"/>
                <w:color w:val="000000"/>
                <w:szCs w:val="24"/>
              </w:rPr>
            </w:pPr>
            <w:r w:rsidRPr="003F05A9">
              <w:rPr>
                <w:rFonts w:ascii="Times New Roman" w:eastAsia="Malgun Gothic" w:hAnsi="Times New Roman"/>
                <w:color w:val="000000"/>
                <w:szCs w:val="24"/>
              </w:rPr>
              <w:t xml:space="preserve"> 4) Одновременное изучение уникальной флоры и фауны Владивостока</w:t>
            </w:r>
          </w:p>
        </w:tc>
        <w:tc>
          <w:tcPr>
            <w:tcW w:w="4478" w:type="dxa"/>
          </w:tcPr>
          <w:p w:rsidR="003F05A9" w:rsidRPr="003F05A9" w:rsidRDefault="003F05A9" w:rsidP="003F05A9">
            <w:pPr>
              <w:spacing w:after="11" w:line="240" w:lineRule="auto"/>
              <w:ind w:left="398"/>
              <w:jc w:val="both"/>
              <w:rPr>
                <w:rFonts w:ascii="Times New Roman" w:eastAsia="Malgun Gothic" w:hAnsi="Times New Roman"/>
                <w:color w:val="000000"/>
                <w:szCs w:val="24"/>
              </w:rPr>
            </w:pPr>
            <w:r w:rsidRPr="003F05A9">
              <w:rPr>
                <w:rFonts w:ascii="Times New Roman" w:eastAsia="Malgun Gothic" w:hAnsi="Times New Roman"/>
                <w:color w:val="000000"/>
                <w:szCs w:val="24"/>
              </w:rPr>
              <w:t xml:space="preserve">Слабые стороны </w:t>
            </w:r>
            <w:r w:rsidRPr="003F05A9">
              <w:rPr>
                <w:rFonts w:ascii="Times New Roman" w:eastAsia="Malgun Gothic" w:hAnsi="Times New Roman"/>
                <w:color w:val="000000"/>
                <w:szCs w:val="24"/>
                <w:lang w:val="en-US"/>
              </w:rPr>
              <w:t>SUP</w:t>
            </w:r>
            <w:r w:rsidRPr="003F05A9">
              <w:rPr>
                <w:rFonts w:ascii="Times New Roman" w:eastAsia="Malgun Gothic" w:hAnsi="Times New Roman"/>
                <w:color w:val="000000"/>
                <w:szCs w:val="24"/>
              </w:rPr>
              <w:t>-туризма во Владивостоке:</w:t>
            </w:r>
          </w:p>
          <w:p w:rsidR="003F05A9" w:rsidRPr="003F05A9" w:rsidRDefault="003F05A9" w:rsidP="003F05A9">
            <w:pPr>
              <w:spacing w:after="11" w:line="240" w:lineRule="auto"/>
              <w:ind w:left="148" w:firstLine="142"/>
              <w:jc w:val="both"/>
              <w:rPr>
                <w:rFonts w:ascii="Times New Roman" w:eastAsia="Malgun Gothic" w:hAnsi="Times New Roman"/>
                <w:color w:val="000000"/>
                <w:szCs w:val="24"/>
              </w:rPr>
            </w:pPr>
            <w:r w:rsidRPr="003F05A9">
              <w:rPr>
                <w:rFonts w:ascii="Times New Roman" w:eastAsia="Malgun Gothic" w:hAnsi="Times New Roman"/>
                <w:color w:val="000000"/>
                <w:szCs w:val="24"/>
              </w:rPr>
              <w:t>1) Недостаточно благополучная экологическая обстановка.</w:t>
            </w:r>
          </w:p>
          <w:p w:rsidR="003F05A9" w:rsidRPr="003F05A9" w:rsidRDefault="003F05A9" w:rsidP="003F05A9">
            <w:pPr>
              <w:spacing w:after="11" w:line="240" w:lineRule="auto"/>
              <w:ind w:left="148" w:firstLine="142"/>
              <w:jc w:val="both"/>
              <w:rPr>
                <w:rFonts w:ascii="Times New Roman" w:eastAsia="Malgun Gothic" w:hAnsi="Times New Roman"/>
                <w:color w:val="000000"/>
                <w:szCs w:val="24"/>
              </w:rPr>
            </w:pPr>
            <w:r w:rsidRPr="003F05A9">
              <w:rPr>
                <w:rFonts w:ascii="Times New Roman" w:eastAsia="Malgun Gothic" w:hAnsi="Times New Roman"/>
                <w:color w:val="000000"/>
                <w:szCs w:val="24"/>
              </w:rPr>
              <w:t>2) Прямая зависимость от погодных условий</w:t>
            </w:r>
          </w:p>
          <w:p w:rsidR="003F05A9" w:rsidRPr="003F05A9" w:rsidRDefault="003F05A9" w:rsidP="003F05A9">
            <w:pPr>
              <w:spacing w:after="11" w:line="240" w:lineRule="auto"/>
              <w:ind w:left="148" w:firstLine="142"/>
              <w:jc w:val="both"/>
              <w:rPr>
                <w:rFonts w:ascii="Times New Roman" w:eastAsia="Malgun Gothic" w:hAnsi="Times New Roman"/>
                <w:color w:val="000000"/>
                <w:szCs w:val="24"/>
              </w:rPr>
            </w:pPr>
            <w:r w:rsidRPr="003F05A9">
              <w:rPr>
                <w:rFonts w:ascii="Times New Roman" w:eastAsia="Malgun Gothic" w:hAnsi="Times New Roman"/>
                <w:color w:val="000000"/>
                <w:szCs w:val="24"/>
              </w:rPr>
              <w:t xml:space="preserve">3) Нехватка квалифицированных инструкторов. </w:t>
            </w:r>
          </w:p>
          <w:p w:rsidR="003F05A9" w:rsidRPr="003F05A9" w:rsidRDefault="003F05A9" w:rsidP="003F05A9">
            <w:pPr>
              <w:spacing w:after="11" w:line="240" w:lineRule="auto"/>
              <w:ind w:left="148" w:firstLine="142"/>
              <w:jc w:val="both"/>
              <w:rPr>
                <w:rFonts w:ascii="Times New Roman" w:eastAsia="Malgun Gothic" w:hAnsi="Times New Roman"/>
                <w:color w:val="000000"/>
                <w:szCs w:val="24"/>
              </w:rPr>
            </w:pPr>
            <w:r w:rsidRPr="003F05A9">
              <w:rPr>
                <w:rFonts w:ascii="Times New Roman" w:eastAsia="Malgun Gothic" w:hAnsi="Times New Roman"/>
                <w:color w:val="000000"/>
                <w:szCs w:val="24"/>
              </w:rPr>
              <w:t xml:space="preserve">4) Непродолжительность купального сезона. </w:t>
            </w:r>
          </w:p>
        </w:tc>
      </w:tr>
      <w:tr w:rsidR="003F05A9" w:rsidRPr="003F05A9" w:rsidTr="003F05A9">
        <w:trPr>
          <w:trHeight w:val="2398"/>
        </w:trPr>
        <w:tc>
          <w:tcPr>
            <w:tcW w:w="4477" w:type="dxa"/>
          </w:tcPr>
          <w:p w:rsidR="003F05A9" w:rsidRPr="003F05A9" w:rsidRDefault="003F05A9" w:rsidP="003F05A9">
            <w:pPr>
              <w:spacing w:after="11" w:line="240" w:lineRule="auto"/>
              <w:ind w:left="398"/>
              <w:jc w:val="both"/>
              <w:rPr>
                <w:rFonts w:ascii="Times New Roman" w:eastAsia="Malgun Gothic" w:hAnsi="Times New Roman"/>
                <w:color w:val="000000"/>
                <w:szCs w:val="24"/>
              </w:rPr>
            </w:pPr>
            <w:r w:rsidRPr="003F05A9">
              <w:rPr>
                <w:rFonts w:ascii="Times New Roman" w:eastAsia="Malgun Gothic" w:hAnsi="Times New Roman"/>
                <w:color w:val="000000"/>
                <w:szCs w:val="24"/>
              </w:rPr>
              <w:t xml:space="preserve">Возможности для развития </w:t>
            </w:r>
            <w:r w:rsidRPr="003F05A9">
              <w:rPr>
                <w:rFonts w:ascii="Times New Roman" w:eastAsia="Malgun Gothic" w:hAnsi="Times New Roman"/>
                <w:color w:val="000000"/>
                <w:szCs w:val="24"/>
                <w:lang w:val="en-US"/>
              </w:rPr>
              <w:t>SUP</w:t>
            </w:r>
            <w:r w:rsidRPr="003F05A9">
              <w:rPr>
                <w:rFonts w:ascii="Times New Roman" w:eastAsia="Malgun Gothic" w:hAnsi="Times New Roman"/>
                <w:color w:val="000000"/>
                <w:szCs w:val="24"/>
              </w:rPr>
              <w:t>-туризма во Владивостоке:</w:t>
            </w:r>
          </w:p>
          <w:p w:rsidR="003F05A9" w:rsidRPr="003F05A9" w:rsidRDefault="003F05A9" w:rsidP="003F05A9">
            <w:pPr>
              <w:spacing w:after="11" w:line="240" w:lineRule="auto"/>
              <w:ind w:firstLine="142"/>
              <w:jc w:val="both"/>
              <w:rPr>
                <w:rFonts w:ascii="Times New Roman" w:eastAsia="Malgun Gothic" w:hAnsi="Times New Roman"/>
                <w:color w:val="000000"/>
                <w:szCs w:val="24"/>
              </w:rPr>
            </w:pPr>
            <w:r w:rsidRPr="003F05A9">
              <w:rPr>
                <w:rFonts w:ascii="Times New Roman" w:eastAsia="Malgun Gothic" w:hAnsi="Times New Roman"/>
                <w:color w:val="000000"/>
                <w:szCs w:val="24"/>
              </w:rPr>
              <w:t xml:space="preserve">1) Проведение фестивалей и турниров по </w:t>
            </w:r>
            <w:r w:rsidRPr="003F05A9">
              <w:rPr>
                <w:rFonts w:ascii="Times New Roman" w:eastAsia="Malgun Gothic" w:hAnsi="Times New Roman"/>
                <w:color w:val="000000"/>
                <w:szCs w:val="24"/>
                <w:lang w:val="en-US"/>
              </w:rPr>
              <w:t>SUP</w:t>
            </w:r>
            <w:r w:rsidRPr="003F05A9">
              <w:rPr>
                <w:rFonts w:ascii="Times New Roman" w:eastAsia="Malgun Gothic" w:hAnsi="Times New Roman"/>
                <w:color w:val="000000"/>
                <w:szCs w:val="24"/>
              </w:rPr>
              <w:t>-серфингу.</w:t>
            </w:r>
          </w:p>
          <w:p w:rsidR="003F05A9" w:rsidRPr="003F05A9" w:rsidRDefault="003F05A9" w:rsidP="003F05A9">
            <w:pPr>
              <w:spacing w:after="11" w:line="240" w:lineRule="auto"/>
              <w:ind w:firstLine="142"/>
              <w:jc w:val="both"/>
              <w:rPr>
                <w:rFonts w:ascii="Times New Roman" w:eastAsia="Malgun Gothic" w:hAnsi="Times New Roman"/>
                <w:color w:val="000000"/>
                <w:szCs w:val="24"/>
              </w:rPr>
            </w:pPr>
            <w:r w:rsidRPr="003F05A9">
              <w:rPr>
                <w:rFonts w:ascii="Times New Roman" w:eastAsia="Malgun Gothic" w:hAnsi="Times New Roman"/>
                <w:color w:val="000000"/>
                <w:szCs w:val="24"/>
              </w:rPr>
              <w:t>2) Создание принципиально новых маршрутов по достопримечательностям Владивостока.</w:t>
            </w:r>
          </w:p>
          <w:p w:rsidR="003F05A9" w:rsidRPr="003F05A9" w:rsidRDefault="003F05A9" w:rsidP="003F05A9">
            <w:pPr>
              <w:spacing w:after="11" w:line="240" w:lineRule="auto"/>
              <w:ind w:firstLine="142"/>
              <w:jc w:val="both"/>
              <w:rPr>
                <w:rFonts w:ascii="Times New Roman" w:eastAsia="Malgun Gothic" w:hAnsi="Times New Roman"/>
                <w:color w:val="000000"/>
                <w:szCs w:val="24"/>
              </w:rPr>
            </w:pPr>
            <w:r w:rsidRPr="003F05A9">
              <w:rPr>
                <w:rFonts w:ascii="Times New Roman" w:eastAsia="Malgun Gothic" w:hAnsi="Times New Roman"/>
                <w:color w:val="000000"/>
                <w:szCs w:val="24"/>
              </w:rPr>
              <w:t>3) Возможность улучшения водной экологической среды.</w:t>
            </w:r>
          </w:p>
        </w:tc>
        <w:tc>
          <w:tcPr>
            <w:tcW w:w="4478" w:type="dxa"/>
          </w:tcPr>
          <w:p w:rsidR="003F05A9" w:rsidRPr="003F05A9" w:rsidRDefault="003F05A9" w:rsidP="003F05A9">
            <w:pPr>
              <w:spacing w:after="11" w:line="240" w:lineRule="auto"/>
              <w:ind w:left="398"/>
              <w:jc w:val="both"/>
              <w:rPr>
                <w:rFonts w:ascii="Times New Roman" w:eastAsia="Malgun Gothic" w:hAnsi="Times New Roman"/>
                <w:color w:val="000000"/>
                <w:szCs w:val="24"/>
              </w:rPr>
            </w:pPr>
            <w:r w:rsidRPr="003F05A9">
              <w:rPr>
                <w:rFonts w:ascii="Times New Roman" w:eastAsia="Malgun Gothic" w:hAnsi="Times New Roman"/>
                <w:color w:val="000000"/>
                <w:szCs w:val="24"/>
              </w:rPr>
              <w:t xml:space="preserve">Угрозы для развития </w:t>
            </w:r>
            <w:r w:rsidRPr="003F05A9">
              <w:rPr>
                <w:rFonts w:ascii="Times New Roman" w:eastAsia="Malgun Gothic" w:hAnsi="Times New Roman"/>
                <w:color w:val="000000"/>
                <w:szCs w:val="24"/>
                <w:lang w:val="en-US"/>
              </w:rPr>
              <w:t>SUP</w:t>
            </w:r>
            <w:r w:rsidRPr="003F05A9">
              <w:rPr>
                <w:rFonts w:ascii="Times New Roman" w:eastAsia="Malgun Gothic" w:hAnsi="Times New Roman"/>
                <w:color w:val="000000"/>
                <w:szCs w:val="24"/>
              </w:rPr>
              <w:t>-туризма во Владивостоке:</w:t>
            </w:r>
          </w:p>
          <w:p w:rsidR="003F05A9" w:rsidRPr="003F05A9" w:rsidRDefault="003F05A9" w:rsidP="003F05A9">
            <w:pPr>
              <w:spacing w:after="11" w:line="240" w:lineRule="auto"/>
              <w:ind w:left="148" w:firstLine="142"/>
              <w:jc w:val="both"/>
              <w:rPr>
                <w:rFonts w:ascii="Times New Roman" w:eastAsia="Malgun Gothic" w:hAnsi="Times New Roman"/>
                <w:color w:val="000000"/>
                <w:szCs w:val="24"/>
              </w:rPr>
            </w:pPr>
            <w:r w:rsidRPr="003F05A9">
              <w:rPr>
                <w:rFonts w:ascii="Times New Roman" w:eastAsia="Malgun Gothic" w:hAnsi="Times New Roman"/>
                <w:color w:val="000000"/>
                <w:szCs w:val="24"/>
              </w:rPr>
              <w:t>1) Агрессивная стратегия развития со стороны иностранных конкурентов.</w:t>
            </w:r>
          </w:p>
          <w:p w:rsidR="003F05A9" w:rsidRPr="003F05A9" w:rsidRDefault="003F05A9" w:rsidP="003F05A9">
            <w:pPr>
              <w:spacing w:after="11" w:line="240" w:lineRule="auto"/>
              <w:ind w:left="148" w:firstLine="142"/>
              <w:jc w:val="both"/>
              <w:rPr>
                <w:rFonts w:ascii="Times New Roman" w:eastAsia="Malgun Gothic" w:hAnsi="Times New Roman"/>
                <w:color w:val="000000"/>
                <w:szCs w:val="24"/>
              </w:rPr>
            </w:pPr>
            <w:r w:rsidRPr="003F05A9">
              <w:rPr>
                <w:rFonts w:ascii="Times New Roman" w:eastAsia="Malgun Gothic" w:hAnsi="Times New Roman"/>
                <w:color w:val="000000"/>
                <w:szCs w:val="24"/>
              </w:rPr>
              <w:t>2) «Зарегулированность» со стороны контрольно-надзорных органов.</w:t>
            </w:r>
          </w:p>
          <w:p w:rsidR="003F05A9" w:rsidRPr="003F05A9" w:rsidRDefault="003F05A9" w:rsidP="003F05A9">
            <w:pPr>
              <w:spacing w:after="11" w:line="240" w:lineRule="auto"/>
              <w:ind w:left="148" w:firstLine="142"/>
              <w:jc w:val="both"/>
              <w:rPr>
                <w:rFonts w:ascii="Times New Roman" w:eastAsia="Malgun Gothic" w:hAnsi="Times New Roman"/>
                <w:color w:val="000000"/>
                <w:szCs w:val="24"/>
              </w:rPr>
            </w:pPr>
            <w:r w:rsidRPr="003F05A9">
              <w:rPr>
                <w:rFonts w:ascii="Times New Roman" w:eastAsia="Malgun Gothic" w:hAnsi="Times New Roman"/>
                <w:color w:val="000000"/>
                <w:szCs w:val="24"/>
              </w:rPr>
              <w:t>3) Высокие налоговые ставки.</w:t>
            </w:r>
          </w:p>
          <w:p w:rsidR="003F05A9" w:rsidRPr="003F05A9" w:rsidRDefault="003F05A9" w:rsidP="003F05A9">
            <w:pPr>
              <w:spacing w:after="11" w:line="240" w:lineRule="auto"/>
              <w:ind w:left="148" w:firstLine="142"/>
              <w:jc w:val="both"/>
              <w:rPr>
                <w:rFonts w:ascii="Times New Roman" w:eastAsia="Malgun Gothic" w:hAnsi="Times New Roman"/>
                <w:color w:val="000000"/>
                <w:szCs w:val="24"/>
              </w:rPr>
            </w:pPr>
            <w:r w:rsidRPr="003F05A9">
              <w:rPr>
                <w:rFonts w:ascii="Times New Roman" w:eastAsia="Malgun Gothic" w:hAnsi="Times New Roman"/>
                <w:color w:val="000000"/>
                <w:szCs w:val="24"/>
              </w:rPr>
              <w:t>4) Отток населения.</w:t>
            </w:r>
          </w:p>
          <w:p w:rsidR="003F05A9" w:rsidRPr="003F05A9" w:rsidRDefault="003F05A9" w:rsidP="003F05A9">
            <w:pPr>
              <w:spacing w:after="11" w:line="240" w:lineRule="auto"/>
              <w:ind w:left="148" w:firstLine="142"/>
              <w:jc w:val="both"/>
              <w:rPr>
                <w:rFonts w:ascii="Times New Roman" w:eastAsia="Malgun Gothic" w:hAnsi="Times New Roman"/>
                <w:color w:val="000000"/>
                <w:szCs w:val="24"/>
              </w:rPr>
            </w:pPr>
          </w:p>
        </w:tc>
      </w:tr>
    </w:tbl>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Отдельно остановимся на каждом пункте. Сильные стороны:</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1) В Приморском крае достаточно большое количество пляжей, оснащенных различными удобствами (душевые кабинки и кабинки для переодевания, парковки, туалеты, кафе). Также стоит отметить наличие коммуникационных сетей, обеспечивающих нормальный доступ туристов к ресурсам и их надлежащее использование в целях туризма.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2) Акватория Владивостока богата и разнообразна, есть возможность выбора маршрута и его сложности.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3) Туристы смогут взглянуть на памятники природы Владивостока с совершенно иного ракурса, насладиться великолепными пейзажами, оценить красоту и необычность ландшафтов.</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4) Флора и фауна Приморского края разнообразна и необычна, туристы получат уникальную возможность насладиться красотами подводного мира, близко познакомиться и изучить всё разнообразие богатой природы Владивостока.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Слабые стороны:</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1) Некоторые бухты и заливы Владивостока загрязнены, что делает отдых в его акваториях нежелательным и даже опасным.</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 xml:space="preserve">2) Для занятия </w:t>
      </w:r>
      <w:r w:rsidRPr="003F05A9">
        <w:rPr>
          <w:rFonts w:ascii="Times New Roman" w:eastAsia="Malgun Gothic" w:hAnsi="Times New Roman" w:cs="Times New Roman"/>
          <w:iCs/>
          <w:color w:val="000000"/>
          <w:sz w:val="24"/>
          <w:szCs w:val="24"/>
          <w:lang w:val="en-US" w:eastAsia="ko-KR"/>
        </w:rPr>
        <w:t>SUP</w:t>
      </w:r>
      <w:r w:rsidRPr="003F05A9">
        <w:rPr>
          <w:rFonts w:ascii="Times New Roman" w:eastAsia="Malgun Gothic" w:hAnsi="Times New Roman" w:cs="Times New Roman"/>
          <w:iCs/>
          <w:color w:val="000000"/>
          <w:sz w:val="24"/>
          <w:szCs w:val="24"/>
          <w:lang w:eastAsia="ko-KR"/>
        </w:rPr>
        <w:t>-серфингом желательна спокойная вода, что, с учетом приморских ветров, не всегда возможно.</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3) SUP-серфинг - достаточно молодой вид туризма в Приморском крае, поэтому все еще ощущается нехватка специализированных курсов по подготовке инструкторов. Отсутствие достаточной квалификации у некоторых инструкторов по SUP-серфингу делает экскурсии в их сопровождении небезопасными.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4) Учитывая особенности климата, пляжный отдых возможен на протяжении 3 месяцев, в течение которых Приморье переживает наплыв медуз, во время которого нежелательно заплывать далеко от берега.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Возможности: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 xml:space="preserve">1) Проведение фестивалей и турниров по </w:t>
      </w:r>
      <w:r w:rsidRPr="003F05A9">
        <w:rPr>
          <w:rFonts w:ascii="Times New Roman" w:eastAsia="Malgun Gothic" w:hAnsi="Times New Roman" w:cs="Times New Roman"/>
          <w:iCs/>
          <w:color w:val="000000"/>
          <w:sz w:val="24"/>
          <w:szCs w:val="24"/>
          <w:lang w:val="en-US" w:eastAsia="ko-KR"/>
        </w:rPr>
        <w:t>S</w:t>
      </w:r>
      <w:r w:rsidRPr="003F05A9">
        <w:rPr>
          <w:rFonts w:ascii="Times New Roman" w:eastAsia="SimSun" w:hAnsi="Times New Roman" w:cs="Times New Roman"/>
          <w:iCs/>
          <w:color w:val="000000"/>
          <w:sz w:val="24"/>
          <w:szCs w:val="24"/>
          <w:lang w:val="en-US" w:eastAsia="zh-CN"/>
        </w:rPr>
        <w:t>UP</w:t>
      </w:r>
      <w:r w:rsidRPr="003F05A9">
        <w:rPr>
          <w:rFonts w:ascii="Times New Roman" w:eastAsia="Malgun Gothic" w:hAnsi="Times New Roman" w:cs="Times New Roman"/>
          <w:iCs/>
          <w:color w:val="000000"/>
          <w:sz w:val="24"/>
          <w:szCs w:val="24"/>
          <w:lang w:eastAsia="ko-KR"/>
        </w:rPr>
        <w:t>-серфингу привлечет больше туристов.</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2) Наличие множества неиспользуемых в туристских целях удаленных труднодоступных объектов, которые можно включить в экскурсии на сапах.</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3) Для привлечения большего числа туристов, необходимо очистить акватории и побережья Владивостока от мусора, что позволит улучшить экологическую обстановку, и экскурсии на сапах станут еще более приятными и безопасными.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Угрозы:</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 xml:space="preserve">1) Близлежащие страны АТР также развивают направление </w:t>
      </w:r>
      <w:r w:rsidRPr="003F05A9">
        <w:rPr>
          <w:rFonts w:ascii="Times New Roman" w:eastAsia="Malgun Gothic" w:hAnsi="Times New Roman" w:cs="Times New Roman"/>
          <w:iCs/>
          <w:color w:val="000000"/>
          <w:sz w:val="24"/>
          <w:szCs w:val="24"/>
          <w:lang w:val="en-US" w:eastAsia="ko-KR"/>
        </w:rPr>
        <w:t>SUP</w:t>
      </w:r>
      <w:r w:rsidRPr="003F05A9">
        <w:rPr>
          <w:rFonts w:ascii="Times New Roman" w:eastAsia="Malgun Gothic" w:hAnsi="Times New Roman" w:cs="Times New Roman"/>
          <w:iCs/>
          <w:color w:val="000000"/>
          <w:sz w:val="24"/>
          <w:szCs w:val="24"/>
          <w:lang w:eastAsia="ko-KR"/>
        </w:rPr>
        <w:t xml:space="preserve">-туризма, некоторые из них, особенно южные, располагают лучшими рекреационными ресурсами, нежели Приморский край и Владивосток. Это может в будущем негативно сказаться на развитии </w:t>
      </w:r>
      <w:r w:rsidRPr="003F05A9">
        <w:rPr>
          <w:rFonts w:ascii="Times New Roman" w:eastAsia="Malgun Gothic" w:hAnsi="Times New Roman" w:cs="Times New Roman"/>
          <w:iCs/>
          <w:color w:val="000000"/>
          <w:sz w:val="24"/>
          <w:szCs w:val="24"/>
          <w:lang w:val="en-US" w:eastAsia="ko-KR"/>
        </w:rPr>
        <w:t>SUP</w:t>
      </w:r>
      <w:r w:rsidRPr="003F05A9">
        <w:rPr>
          <w:rFonts w:ascii="Times New Roman" w:eastAsia="Malgun Gothic" w:hAnsi="Times New Roman" w:cs="Times New Roman"/>
          <w:iCs/>
          <w:color w:val="000000"/>
          <w:sz w:val="24"/>
          <w:szCs w:val="24"/>
          <w:lang w:eastAsia="ko-KR"/>
        </w:rPr>
        <w:t xml:space="preserve">-туризма и переманить потенциальных потребителей за рубеж.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2) Слишком большой объем требуемой для проведения экскурсии на сап-бордах документации может «напугать» потенциальных предпринимателей в этой сфере. Необходимо соблюсти слишком много формальностей.</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 xml:space="preserve">3) «Налоговая ловушка» для развития предпринимательства в России, введение все больших налоговых формальностей могут также негативно сказаться на развитии </w:t>
      </w:r>
      <w:r w:rsidRPr="003F05A9">
        <w:rPr>
          <w:rFonts w:ascii="Times New Roman" w:eastAsia="Malgun Gothic" w:hAnsi="Times New Roman" w:cs="Times New Roman"/>
          <w:iCs/>
          <w:color w:val="000000"/>
          <w:sz w:val="24"/>
          <w:szCs w:val="24"/>
          <w:lang w:val="en-US" w:eastAsia="ko-KR"/>
        </w:rPr>
        <w:t>SUP</w:t>
      </w:r>
      <w:r w:rsidRPr="003F05A9">
        <w:rPr>
          <w:rFonts w:ascii="Times New Roman" w:eastAsia="Malgun Gothic" w:hAnsi="Times New Roman" w:cs="Times New Roman"/>
          <w:iCs/>
          <w:color w:val="000000"/>
          <w:sz w:val="24"/>
          <w:szCs w:val="24"/>
          <w:lang w:eastAsia="ko-KR"/>
        </w:rPr>
        <w:t>-турима во Владивостоке и во всей России.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 xml:space="preserve">4) Отток населения (в частности молодежи) с территории Владивостока и ДВФО в целом негативно сказывается на развитии </w:t>
      </w:r>
      <w:r w:rsidRPr="003F05A9">
        <w:rPr>
          <w:rFonts w:ascii="Times New Roman" w:eastAsia="Malgun Gothic" w:hAnsi="Times New Roman" w:cs="Times New Roman"/>
          <w:iCs/>
          <w:color w:val="000000"/>
          <w:sz w:val="24"/>
          <w:szCs w:val="24"/>
          <w:lang w:val="en-US" w:eastAsia="ko-KR"/>
        </w:rPr>
        <w:t>SUP</w:t>
      </w:r>
      <w:r w:rsidRPr="003F05A9">
        <w:rPr>
          <w:rFonts w:ascii="Times New Roman" w:eastAsia="Malgun Gothic" w:hAnsi="Times New Roman" w:cs="Times New Roman"/>
          <w:iCs/>
          <w:color w:val="000000"/>
          <w:sz w:val="24"/>
          <w:szCs w:val="24"/>
          <w:lang w:eastAsia="ko-KR"/>
        </w:rPr>
        <w:t>-серфинга, так как компании теряют большую часть потенциальных потребителей своих услуг [1].</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color w:val="000000"/>
          <w:sz w:val="24"/>
          <w:lang w:eastAsia="ko-KR"/>
        </w:rPr>
      </w:pPr>
      <w:r w:rsidRPr="003F05A9">
        <w:rPr>
          <w:rFonts w:ascii="Times New Roman" w:eastAsia="Malgun Gothic" w:hAnsi="Times New Roman" w:cs="Times New Roman"/>
          <w:iCs/>
          <w:color w:val="000000"/>
          <w:sz w:val="24"/>
          <w:szCs w:val="24"/>
          <w:lang w:eastAsia="ko-KR"/>
        </w:rPr>
        <w:t xml:space="preserve">Рассмотрев все аспекты, положительные и негативные стороны </w:t>
      </w:r>
      <w:r w:rsidRPr="003F05A9">
        <w:rPr>
          <w:rFonts w:ascii="Times New Roman" w:eastAsia="Malgun Gothic" w:hAnsi="Times New Roman" w:cs="Times New Roman"/>
          <w:iCs/>
          <w:color w:val="000000"/>
          <w:sz w:val="24"/>
          <w:szCs w:val="24"/>
          <w:lang w:val="en-US" w:eastAsia="ko-KR"/>
        </w:rPr>
        <w:t>SUP</w:t>
      </w:r>
      <w:r w:rsidRPr="003F05A9">
        <w:rPr>
          <w:rFonts w:ascii="Times New Roman" w:eastAsia="Malgun Gothic" w:hAnsi="Times New Roman" w:cs="Times New Roman"/>
          <w:iCs/>
          <w:color w:val="000000"/>
          <w:sz w:val="24"/>
          <w:szCs w:val="24"/>
          <w:lang w:eastAsia="ko-KR"/>
        </w:rPr>
        <w:t xml:space="preserve">-серфинга во Владивостоке, был сделан вывод: этот вид туризма является конкурентоспособным, достаточно новым и интересным для Владивостоксих туристов и потенциальных туристов из регионов. При правильной организации такой вид туризма и спорта как сап-серфинг может стать популярнее и получить большее развитие, а значит способен принести большую выгоду и пользу городу. Большая часть угроз и слабых сторон достаточно легко устранима, как видно из анализа. Это значит, что, если уделить больше внимания спортивному туризму во Владивостоке в целом и </w:t>
      </w:r>
      <w:r w:rsidRPr="003F05A9">
        <w:rPr>
          <w:rFonts w:ascii="Times New Roman" w:eastAsia="Malgun Gothic" w:hAnsi="Times New Roman" w:cs="Times New Roman"/>
          <w:iCs/>
          <w:color w:val="000000"/>
          <w:sz w:val="24"/>
          <w:szCs w:val="24"/>
          <w:lang w:val="en-US" w:eastAsia="ko-KR"/>
        </w:rPr>
        <w:t>SUP</w:t>
      </w:r>
      <w:r w:rsidRPr="003F05A9">
        <w:rPr>
          <w:rFonts w:ascii="Times New Roman" w:eastAsia="Malgun Gothic" w:hAnsi="Times New Roman" w:cs="Times New Roman"/>
          <w:iCs/>
          <w:color w:val="000000"/>
          <w:sz w:val="24"/>
          <w:szCs w:val="24"/>
          <w:lang w:eastAsia="ko-KR"/>
        </w:rPr>
        <w:t>-туризму в частности, он может стать одной из ключевых аттракций в бренде Владивостока.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384" w:lineRule="auto"/>
        <w:ind w:left="398" w:firstLine="698"/>
        <w:jc w:val="both"/>
        <w:rPr>
          <w:rFonts w:ascii="Times New Roman" w:eastAsia="Malgun Gothic" w:hAnsi="Times New Roman" w:cs="Times New Roman"/>
          <w:color w:val="000000"/>
          <w:sz w:val="24"/>
          <w:lang w:eastAsia="ko-KR"/>
        </w:rPr>
      </w:pPr>
      <w:r>
        <w:rPr>
          <w:rFonts w:ascii="Times New Roman" w:eastAsia="Malgun Gothic" w:hAnsi="Times New Roman" w:cs="Times New Roman"/>
          <w:noProof/>
          <w:color w:val="000000"/>
          <w:sz w:val="24"/>
          <w:lang w:eastAsia="ru-RU"/>
        </w:rPr>
        <mc:AlternateContent>
          <mc:Choice Requires="wps">
            <w:drawing>
              <wp:anchor distT="4294967295" distB="4294967295" distL="114300" distR="114300" simplePos="0" relativeHeight="251743232" behindDoc="0" locked="0" layoutInCell="0" allowOverlap="1">
                <wp:simplePos x="0" y="0"/>
                <wp:positionH relativeFrom="character">
                  <wp:posOffset>438150</wp:posOffset>
                </wp:positionH>
                <wp:positionV relativeFrom="paragraph">
                  <wp:posOffset>65404</wp:posOffset>
                </wp:positionV>
                <wp:extent cx="2567305" cy="0"/>
                <wp:effectExtent l="0" t="0" r="23495" b="19050"/>
                <wp:wrapNone/>
                <wp:docPr id="185" name="Прямая соединительная линия 1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6730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 uri="{53640926-AAD7-44D8-BBD7-CCE9431645EC}">
                            <a14:shadowObscured xmlns:a14="http://schemas.microsoft.com/office/drawing/2010/main" val="1"/>
                          </a:ext>
                        </a:extLst>
                      </wps:spPr>
                      <wps:bodyPr/>
                    </wps:wsp>
                  </a:graphicData>
                </a:graphic>
                <wp14:sizeRelH relativeFrom="page">
                  <wp14:pctWidth>0</wp14:pctWidth>
                </wp14:sizeRelH>
                <wp14:sizeRelV relativeFrom="page">
                  <wp14:pctHeight>0</wp14:pctHeight>
                </wp14:sizeRelV>
              </wp:anchor>
            </w:drawing>
          </mc:Choice>
          <mc:Fallback>
            <w:pict>
              <v:line w14:anchorId="3853D782" id="Прямая соединительная линия 185" o:spid="_x0000_s1026" style="position:absolute;z-index:251743232;visibility:visible;mso-wrap-style:square;mso-width-percent:0;mso-height-percent:0;mso-wrap-distance-left:9pt;mso-wrap-distance-top:-3e-5mm;mso-wrap-distance-right:9pt;mso-wrap-distance-bottom:-3e-5mm;mso-position-horizontal:absolute;mso-position-horizontal-relative:char;mso-position-vertical:absolute;mso-position-vertical-relative:text;mso-width-percent:0;mso-height-percent:0;mso-width-relative:page;mso-height-relative:page" from="34.5pt,5.15pt" to="236.65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" o:allowincell="f">
                <v:shadow obscured="t"/>
              </v:line>
            </w:pict>
          </mc:Fallback>
        </mc:AlternateContent>
      </w:r>
    </w:p>
    <w:p w:rsidR="003F05A9" w:rsidRPr="003F05A9" w:rsidRDefault="003F05A9" w:rsidP="003F05A9">
      <w:pPr>
        <w:widowControl w:val="0"/>
        <w:numPr>
          <w:ilvl w:val="0"/>
          <w:numId w:val="130"/>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spacing w:after="0" w:line="240" w:lineRule="auto"/>
        <w:ind w:left="0" w:firstLine="709"/>
        <w:contextualSpacing/>
        <w:jc w:val="both"/>
        <w:rPr>
          <w:rFonts w:ascii="Times New Roman" w:eastAsia="Malgun Gothic" w:hAnsi="Times New Roman" w:cs="Times New Roman"/>
          <w:color w:val="000000"/>
          <w:sz w:val="24"/>
          <w:lang w:eastAsia="ko-KR"/>
        </w:rPr>
      </w:pPr>
      <w:r w:rsidRPr="003F05A9">
        <w:rPr>
          <w:rFonts w:ascii="Times New Roman" w:eastAsia="Malgun Gothic" w:hAnsi="Times New Roman" w:cs="Times New Roman"/>
          <w:color w:val="000000"/>
          <w:sz w:val="24"/>
          <w:lang w:eastAsia="ko-KR"/>
        </w:rPr>
        <w:t xml:space="preserve">Губернатор Приморья: Ожидаем серьезный прорыв в инвестициях из Китая [Электронный ресурс]. – Режим доступа:  </w:t>
      </w:r>
      <w:hyperlink r:id="rId484" w:history="1">
        <w:r w:rsidRPr="003F05A9">
          <w:rPr>
            <w:rFonts w:ascii="Times New Roman" w:eastAsia="Malgun Gothic" w:hAnsi="Times New Roman" w:cs="Times New Roman"/>
            <w:color w:val="000000"/>
            <w:sz w:val="24"/>
            <w:lang w:eastAsia="ko-KR"/>
          </w:rPr>
          <w:t>http://www.primorsky.ru/news/125439/</w:t>
        </w:r>
      </w:hyperlink>
    </w:p>
    <w:p w:rsidR="003F05A9" w:rsidRPr="003F05A9" w:rsidRDefault="003F05A9" w:rsidP="003F05A9">
      <w:pPr>
        <w:widowControl w:val="0"/>
        <w:numPr>
          <w:ilvl w:val="0"/>
          <w:numId w:val="130"/>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spacing w:after="0" w:line="240" w:lineRule="auto"/>
        <w:ind w:left="0" w:firstLine="709"/>
        <w:contextualSpacing/>
        <w:jc w:val="both"/>
        <w:rPr>
          <w:rFonts w:ascii="Times New Roman" w:eastAsia="Malgun Gothic" w:hAnsi="Times New Roman" w:cs="Times New Roman"/>
          <w:color w:val="000000"/>
          <w:sz w:val="24"/>
          <w:lang w:eastAsia="ko-KR"/>
        </w:rPr>
      </w:pPr>
      <w:r w:rsidRPr="003F05A9">
        <w:rPr>
          <w:rFonts w:ascii="Times New Roman" w:eastAsia="Malgun Gothic" w:hAnsi="Times New Roman" w:cs="Times New Roman"/>
          <w:color w:val="000000"/>
          <w:sz w:val="24"/>
          <w:lang w:eastAsia="ko-KR"/>
        </w:rPr>
        <w:t xml:space="preserve">Информация о планируемых на территории Приморского края крупных событийных мероприятиях в области туризма, культуры и международной деятельности [Электронный ресурс]. – Режим доступа:  </w:t>
      </w:r>
      <w:hyperlink r:id="rId485" w:history="1">
        <w:r w:rsidRPr="003F05A9">
          <w:rPr>
            <w:rFonts w:ascii="Times New Roman" w:eastAsia="Malgun Gothic" w:hAnsi="Times New Roman" w:cs="Times New Roman"/>
            <w:color w:val="000000"/>
            <w:sz w:val="24"/>
            <w:lang w:eastAsia="ko-KR"/>
          </w:rPr>
          <w:t>http://mitg.vvsu.ru/files/9C77C29F-A592-4420-BF37-D01760DA1016.docx</w:t>
        </w:r>
      </w:hyperlink>
    </w:p>
    <w:p w:rsidR="003F05A9" w:rsidRPr="003F05A9" w:rsidRDefault="003F05A9" w:rsidP="003F05A9">
      <w:pPr>
        <w:widowControl w:val="0"/>
        <w:numPr>
          <w:ilvl w:val="0"/>
          <w:numId w:val="130"/>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spacing w:after="0" w:line="240" w:lineRule="auto"/>
        <w:ind w:left="0" w:firstLine="709"/>
        <w:contextualSpacing/>
        <w:jc w:val="both"/>
        <w:rPr>
          <w:rFonts w:ascii="Times New Roman" w:eastAsia="Malgun Gothic" w:hAnsi="Times New Roman" w:cs="Times New Roman"/>
          <w:color w:val="000000"/>
          <w:sz w:val="24"/>
          <w:lang w:eastAsia="ko-KR"/>
        </w:rPr>
      </w:pPr>
      <w:r w:rsidRPr="003F05A9">
        <w:rPr>
          <w:rFonts w:ascii="Times New Roman" w:eastAsia="Malgun Gothic" w:hAnsi="Times New Roman" w:cs="Times New Roman"/>
          <w:color w:val="000000"/>
          <w:sz w:val="24"/>
          <w:lang w:eastAsia="ko-KR"/>
        </w:rPr>
        <w:t xml:space="preserve">Календарный план официальных физкультурных и спортивных мероприятий Приморского края на 2018 год [Электронный ресурс]. – Режим доступа:  </w:t>
      </w:r>
      <w:hyperlink r:id="rId486" w:history="1">
        <w:r w:rsidRPr="003F05A9">
          <w:rPr>
            <w:rFonts w:ascii="Times New Roman" w:eastAsia="Malgun Gothic" w:hAnsi="Times New Roman" w:cs="Times New Roman"/>
            <w:color w:val="000000"/>
            <w:sz w:val="24"/>
            <w:lang w:eastAsia="ko-KR"/>
          </w:rPr>
          <w:t>http://sportprimorsky.ru/engine/download.php?id=1610</w:t>
        </w:r>
      </w:hyperlink>
    </w:p>
    <w:p w:rsidR="003F05A9" w:rsidRPr="003F05A9" w:rsidRDefault="003F05A9" w:rsidP="003F05A9">
      <w:pPr>
        <w:widowControl w:val="0"/>
        <w:numPr>
          <w:ilvl w:val="0"/>
          <w:numId w:val="130"/>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spacing w:after="0" w:line="240" w:lineRule="auto"/>
        <w:ind w:left="0" w:firstLine="709"/>
        <w:contextualSpacing/>
        <w:jc w:val="both"/>
        <w:rPr>
          <w:rFonts w:ascii="Times New Roman" w:eastAsia="Malgun Gothic" w:hAnsi="Times New Roman" w:cs="Times New Roman"/>
          <w:color w:val="000000"/>
          <w:sz w:val="24"/>
          <w:lang w:eastAsia="ko-KR"/>
        </w:rPr>
      </w:pPr>
      <w:r w:rsidRPr="003F05A9">
        <w:rPr>
          <w:rFonts w:ascii="Times New Roman" w:eastAsia="Malgun Gothic" w:hAnsi="Times New Roman" w:cs="Times New Roman"/>
          <w:color w:val="000000"/>
          <w:sz w:val="24"/>
          <w:lang w:eastAsia="ko-KR"/>
        </w:rPr>
        <w:t xml:space="preserve">Основы туризма [Электронный ресурс]. – Режим доступа: </w:t>
      </w:r>
      <w:hyperlink r:id="rId487" w:history="1">
        <w:r w:rsidRPr="003F05A9">
          <w:rPr>
            <w:rFonts w:ascii="Times New Roman" w:eastAsia="Malgun Gothic" w:hAnsi="Times New Roman" w:cs="Times New Roman"/>
            <w:color w:val="000000"/>
            <w:sz w:val="24"/>
            <w:lang w:eastAsia="ko-KR"/>
          </w:rPr>
          <w:t>https://www.russiatourism.ru/data/File/news_file/2014/PISAREVSKIY_Osnovi%20turizma.pdf</w:t>
        </w:r>
      </w:hyperlink>
    </w:p>
    <w:p w:rsidR="003F05A9" w:rsidRPr="003F05A9" w:rsidRDefault="003F05A9" w:rsidP="003F05A9">
      <w:pPr>
        <w:widowControl w:val="0"/>
        <w:numPr>
          <w:ilvl w:val="0"/>
          <w:numId w:val="130"/>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spacing w:after="0" w:line="240" w:lineRule="auto"/>
        <w:ind w:left="0" w:firstLine="709"/>
        <w:contextualSpacing/>
        <w:jc w:val="both"/>
        <w:rPr>
          <w:rFonts w:ascii="Times New Roman" w:eastAsia="Malgun Gothic" w:hAnsi="Times New Roman" w:cs="Times New Roman"/>
          <w:color w:val="000000"/>
          <w:sz w:val="24"/>
          <w:lang w:eastAsia="ko-KR"/>
        </w:rPr>
      </w:pPr>
      <w:r w:rsidRPr="003F05A9">
        <w:rPr>
          <w:rFonts w:ascii="Times New Roman" w:eastAsia="Malgun Gothic" w:hAnsi="Times New Roman" w:cs="Times New Roman"/>
          <w:color w:val="000000"/>
          <w:sz w:val="24"/>
          <w:lang w:eastAsia="ko-KR"/>
        </w:rPr>
        <w:t>Правила видов спорта [Электронный ресурс]. – Режим доступа: http://minsport.gov.ru/2017/doc/Serfing-pravila.docx</w:t>
      </w:r>
    </w:p>
    <w:p w:rsidR="003F05A9" w:rsidRPr="003F05A9" w:rsidRDefault="003F05A9" w:rsidP="003F05A9">
      <w:pPr>
        <w:widowControl w:val="0"/>
        <w:numPr>
          <w:ilvl w:val="0"/>
          <w:numId w:val="130"/>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spacing w:after="0" w:line="240" w:lineRule="auto"/>
        <w:ind w:left="0" w:firstLine="709"/>
        <w:contextualSpacing/>
        <w:jc w:val="both"/>
        <w:rPr>
          <w:rFonts w:ascii="Times New Roman" w:eastAsia="Malgun Gothic" w:hAnsi="Times New Roman" w:cs="Times New Roman"/>
          <w:color w:val="000000"/>
          <w:sz w:val="24"/>
          <w:lang w:val="en-US" w:eastAsia="ko-KR"/>
        </w:rPr>
      </w:pPr>
      <w:r w:rsidRPr="003F05A9">
        <w:rPr>
          <w:rFonts w:ascii="Times New Roman" w:eastAsia="Malgun Gothic" w:hAnsi="Times New Roman" w:cs="Times New Roman"/>
          <w:color w:val="000000"/>
          <w:sz w:val="24"/>
          <w:lang w:val="en-US" w:eastAsia="ko-KR"/>
        </w:rPr>
        <w:t xml:space="preserve">UNWTO international conference on tourism and sports </w:t>
      </w:r>
      <w:r w:rsidRPr="003F05A9">
        <w:rPr>
          <w:rFonts w:ascii="Times New Roman" w:eastAsia="SimSun" w:hAnsi="Times New Roman" w:cs="Times New Roman"/>
          <w:color w:val="000000"/>
          <w:sz w:val="24"/>
          <w:lang w:val="en-US" w:eastAsia="zh-CN"/>
        </w:rPr>
        <w:t>Da</w:t>
      </w:r>
      <w:r w:rsidRPr="003F05A9">
        <w:rPr>
          <w:rFonts w:ascii="Times New Roman" w:eastAsia="Malgun Gothic" w:hAnsi="Times New Roman" w:cs="Times New Roman"/>
          <w:color w:val="000000"/>
          <w:sz w:val="24"/>
          <w:lang w:val="en-US" w:eastAsia="ko-KR"/>
        </w:rPr>
        <w:t xml:space="preserve"> Nang, Vietnam, 24th september 2016 technical note [</w:t>
      </w:r>
      <w:r w:rsidRPr="003F05A9">
        <w:rPr>
          <w:rFonts w:ascii="Times New Roman" w:eastAsia="Malgun Gothic" w:hAnsi="Times New Roman" w:cs="Times New Roman"/>
          <w:color w:val="000000"/>
          <w:sz w:val="24"/>
          <w:lang w:eastAsia="ko-KR"/>
        </w:rPr>
        <w:t>Электронный</w:t>
      </w:r>
      <w:r w:rsidRPr="003F05A9">
        <w:rPr>
          <w:rFonts w:ascii="Times New Roman" w:eastAsia="Malgun Gothic" w:hAnsi="Times New Roman" w:cs="Times New Roman"/>
          <w:color w:val="000000"/>
          <w:sz w:val="24"/>
          <w:lang w:val="en-US" w:eastAsia="ko-KR"/>
        </w:rPr>
        <w:t xml:space="preserve"> </w:t>
      </w:r>
      <w:r w:rsidRPr="003F05A9">
        <w:rPr>
          <w:rFonts w:ascii="Times New Roman" w:eastAsia="Malgun Gothic" w:hAnsi="Times New Roman" w:cs="Times New Roman"/>
          <w:color w:val="000000"/>
          <w:sz w:val="24"/>
          <w:lang w:eastAsia="ko-KR"/>
        </w:rPr>
        <w:t>ресурс</w:t>
      </w:r>
      <w:r w:rsidRPr="003F05A9">
        <w:rPr>
          <w:rFonts w:ascii="Times New Roman" w:eastAsia="Malgun Gothic" w:hAnsi="Times New Roman" w:cs="Times New Roman"/>
          <w:color w:val="000000"/>
          <w:sz w:val="24"/>
          <w:lang w:val="en-US" w:eastAsia="ko-KR"/>
        </w:rPr>
        <w:t xml:space="preserve">]. – </w:t>
      </w:r>
      <w:r w:rsidRPr="003F05A9">
        <w:rPr>
          <w:rFonts w:ascii="Times New Roman" w:eastAsia="Malgun Gothic" w:hAnsi="Times New Roman" w:cs="Times New Roman"/>
          <w:color w:val="000000"/>
          <w:sz w:val="24"/>
          <w:lang w:eastAsia="ko-KR"/>
        </w:rPr>
        <w:t>Режим</w:t>
      </w:r>
      <w:r w:rsidRPr="003F05A9">
        <w:rPr>
          <w:rFonts w:ascii="Times New Roman" w:eastAsia="Malgun Gothic" w:hAnsi="Times New Roman" w:cs="Times New Roman"/>
          <w:color w:val="000000"/>
          <w:sz w:val="24"/>
          <w:lang w:val="en-US" w:eastAsia="ko-KR"/>
        </w:rPr>
        <w:t xml:space="preserve"> </w:t>
      </w:r>
      <w:r w:rsidRPr="003F05A9">
        <w:rPr>
          <w:rFonts w:ascii="Times New Roman" w:eastAsia="Malgun Gothic" w:hAnsi="Times New Roman" w:cs="Times New Roman"/>
          <w:color w:val="000000"/>
          <w:sz w:val="24"/>
          <w:lang w:eastAsia="ko-KR"/>
        </w:rPr>
        <w:t>доступа</w:t>
      </w:r>
      <w:r w:rsidRPr="003F05A9">
        <w:rPr>
          <w:rFonts w:ascii="Times New Roman" w:eastAsia="Malgun Gothic" w:hAnsi="Times New Roman" w:cs="Times New Roman"/>
          <w:color w:val="000000"/>
          <w:sz w:val="24"/>
          <w:lang w:val="en-US" w:eastAsia="ko-KR"/>
        </w:rPr>
        <w:t xml:space="preserve">: http://cf.cdn.unwto.org/sites/all/files/pdf/technical_note_8.pdf  </w:t>
      </w:r>
    </w:p>
    <w:p w:rsidR="00C20E35" w:rsidRPr="00BB7413" w:rsidRDefault="00C20E35" w:rsidP="00C20E35">
      <w:pPr>
        <w:pStyle w:val="ab"/>
        <w:spacing w:line="360" w:lineRule="auto"/>
      </w:pPr>
      <w:r w:rsidRPr="003658B5">
        <w:rPr>
          <w:rFonts w:eastAsia="Calibri"/>
          <w:b/>
          <w:color w:val="000000"/>
          <w:sz w:val="20"/>
          <w:szCs w:val="20"/>
          <w:lang w:val="en-US"/>
        </w:rPr>
        <w:t xml:space="preserve"> </w:t>
      </w:r>
      <w:r>
        <w:t>Рубрика: Туристско-рекреационный комплекс Дальнего Востока как перспективная модель развития территории.</w:t>
      </w:r>
    </w:p>
    <w:p w:rsidR="00C20E35" w:rsidRPr="00BB7413" w:rsidRDefault="00C20E35" w:rsidP="00C20E35">
      <w:pPr>
        <w:pStyle w:val="ab"/>
        <w:spacing w:line="360" w:lineRule="auto"/>
      </w:pPr>
      <w:r w:rsidRPr="00BB7413">
        <w:t>УДК 338.48</w:t>
      </w:r>
    </w:p>
    <w:p w:rsidR="00C20E35" w:rsidRPr="00B5727E" w:rsidRDefault="00C20E35" w:rsidP="00C20E35">
      <w:pPr>
        <w:spacing w:after="0" w:line="240" w:lineRule="auto"/>
        <w:ind w:firstLine="709"/>
        <w:jc w:val="center"/>
        <w:rPr>
          <w:rFonts w:ascii="Times New Roman" w:hAnsi="Times New Roman" w:cs="Times New Roman"/>
          <w:sz w:val="24"/>
          <w:szCs w:val="24"/>
        </w:rPr>
      </w:pPr>
      <w:r w:rsidRPr="00BB7413">
        <w:rPr>
          <w:rFonts w:ascii="Times New Roman" w:hAnsi="Times New Roman" w:cs="Times New Roman"/>
          <w:b/>
          <w:sz w:val="24"/>
          <w:szCs w:val="24"/>
        </w:rPr>
        <w:t>Анализ туристских предпочтений для японских</w:t>
      </w:r>
      <w:r>
        <w:rPr>
          <w:rFonts w:ascii="Times New Roman" w:hAnsi="Times New Roman" w:cs="Times New Roman"/>
          <w:b/>
          <w:sz w:val="24"/>
          <w:szCs w:val="24"/>
        </w:rPr>
        <w:t xml:space="preserve"> т</w:t>
      </w:r>
      <w:r w:rsidRPr="00BB7413">
        <w:rPr>
          <w:rFonts w:ascii="Times New Roman" w:hAnsi="Times New Roman" w:cs="Times New Roman"/>
          <w:b/>
          <w:sz w:val="24"/>
          <w:szCs w:val="24"/>
        </w:rPr>
        <w:t>уристов (на примере г. Владивостока)</w:t>
      </w:r>
    </w:p>
    <w:p w:rsidR="00C20E35" w:rsidRPr="00B5727E" w:rsidRDefault="00C20E35" w:rsidP="00C20E35">
      <w:pPr>
        <w:spacing w:after="0" w:line="240" w:lineRule="auto"/>
        <w:ind w:firstLine="709"/>
        <w:jc w:val="center"/>
        <w:rPr>
          <w:rFonts w:ascii="Times New Roman" w:hAnsi="Times New Roman" w:cs="Times New Roman"/>
          <w:sz w:val="24"/>
          <w:szCs w:val="24"/>
        </w:rPr>
      </w:pPr>
      <w:r w:rsidRPr="00B5727E">
        <w:rPr>
          <w:rFonts w:ascii="Times New Roman" w:hAnsi="Times New Roman" w:cs="Times New Roman"/>
          <w:sz w:val="24"/>
          <w:szCs w:val="24"/>
        </w:rPr>
        <w:t>Артеменко</w:t>
      </w:r>
      <w:r>
        <w:rPr>
          <w:rFonts w:ascii="Times New Roman" w:hAnsi="Times New Roman" w:cs="Times New Roman"/>
          <w:sz w:val="24"/>
          <w:szCs w:val="24"/>
        </w:rPr>
        <w:t xml:space="preserve"> Александра Андреевна,</w:t>
      </w:r>
    </w:p>
    <w:p w:rsidR="00C20E35" w:rsidRPr="00B5727E" w:rsidRDefault="00C20E35" w:rsidP="00C20E35">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t>бакалавр</w:t>
      </w:r>
    </w:p>
    <w:p w:rsidR="00C20E35" w:rsidRPr="00B5727E" w:rsidRDefault="00C20E35" w:rsidP="00C20E35">
      <w:pPr>
        <w:spacing w:after="0" w:line="240" w:lineRule="auto"/>
        <w:ind w:firstLine="709"/>
        <w:jc w:val="center"/>
        <w:rPr>
          <w:rFonts w:ascii="Times New Roman" w:hAnsi="Times New Roman" w:cs="Times New Roman"/>
          <w:sz w:val="24"/>
          <w:szCs w:val="24"/>
        </w:rPr>
      </w:pPr>
      <w:r w:rsidRPr="00B5727E">
        <w:rPr>
          <w:rFonts w:ascii="Times New Roman" w:hAnsi="Times New Roman" w:cs="Times New Roman"/>
          <w:sz w:val="24"/>
          <w:szCs w:val="24"/>
        </w:rPr>
        <w:t>Толстых</w:t>
      </w:r>
      <w:r>
        <w:rPr>
          <w:rFonts w:ascii="Times New Roman" w:hAnsi="Times New Roman" w:cs="Times New Roman"/>
          <w:sz w:val="24"/>
          <w:szCs w:val="24"/>
        </w:rPr>
        <w:t xml:space="preserve"> Ирина Николаевна</w:t>
      </w:r>
    </w:p>
    <w:p w:rsidR="00C20E35" w:rsidRPr="00B5727E" w:rsidRDefault="00C20E35" w:rsidP="00C20E35">
      <w:pPr>
        <w:spacing w:line="240" w:lineRule="auto"/>
        <w:ind w:firstLine="709"/>
        <w:jc w:val="center"/>
        <w:rPr>
          <w:rFonts w:ascii="Times New Roman" w:hAnsi="Times New Roman" w:cs="Times New Roman"/>
          <w:sz w:val="24"/>
          <w:szCs w:val="24"/>
        </w:rPr>
      </w:pPr>
      <w:r w:rsidRPr="00B5727E">
        <w:rPr>
          <w:rFonts w:ascii="Times New Roman" w:hAnsi="Times New Roman" w:cs="Times New Roman"/>
          <w:sz w:val="24"/>
          <w:szCs w:val="24"/>
        </w:rPr>
        <w:t>кандидат ист. наук, доцент кафедры туризма и экологии</w:t>
      </w:r>
    </w:p>
    <w:p w:rsidR="00C20E35" w:rsidRPr="00BB7413" w:rsidRDefault="00C20E35" w:rsidP="00C20E35">
      <w:pPr>
        <w:spacing w:after="0" w:line="240" w:lineRule="auto"/>
        <w:ind w:firstLine="709"/>
        <w:jc w:val="center"/>
        <w:rPr>
          <w:rFonts w:ascii="Times New Roman" w:hAnsi="Times New Roman" w:cs="Times New Roman"/>
          <w:i/>
          <w:sz w:val="24"/>
          <w:szCs w:val="24"/>
        </w:rPr>
      </w:pPr>
      <w:r w:rsidRPr="00BB7413">
        <w:rPr>
          <w:rFonts w:ascii="Times New Roman" w:hAnsi="Times New Roman" w:cs="Times New Roman"/>
          <w:i/>
          <w:sz w:val="24"/>
          <w:szCs w:val="24"/>
        </w:rPr>
        <w:t xml:space="preserve">Владивостокский государственный университет экономики и сервиса </w:t>
      </w:r>
    </w:p>
    <w:p w:rsidR="00C20E35" w:rsidRDefault="00C20E35" w:rsidP="00C20E35">
      <w:pPr>
        <w:spacing w:after="0" w:line="240" w:lineRule="auto"/>
        <w:ind w:firstLine="709"/>
        <w:jc w:val="center"/>
        <w:rPr>
          <w:rFonts w:ascii="Times New Roman" w:hAnsi="Times New Roman" w:cs="Times New Roman"/>
          <w:i/>
          <w:sz w:val="24"/>
          <w:szCs w:val="24"/>
        </w:rPr>
      </w:pPr>
      <w:r w:rsidRPr="00BB7413">
        <w:rPr>
          <w:rFonts w:ascii="Times New Roman" w:hAnsi="Times New Roman" w:cs="Times New Roman"/>
          <w:i/>
          <w:sz w:val="24"/>
          <w:szCs w:val="24"/>
        </w:rPr>
        <w:t>Россия. Владивосток</w:t>
      </w:r>
    </w:p>
    <w:p w:rsidR="00C20E35" w:rsidRPr="00C20E35" w:rsidRDefault="00C20E35" w:rsidP="00C20E35">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lang w:val="en-US"/>
        </w:rPr>
        <w:t>E</w:t>
      </w:r>
      <w:r w:rsidRPr="00C20E35">
        <w:rPr>
          <w:rFonts w:ascii="Times New Roman" w:hAnsi="Times New Roman" w:cs="Times New Roman"/>
          <w:sz w:val="24"/>
          <w:szCs w:val="24"/>
        </w:rPr>
        <w:t>-</w:t>
      </w:r>
      <w:r>
        <w:rPr>
          <w:rFonts w:ascii="Times New Roman" w:hAnsi="Times New Roman" w:cs="Times New Roman"/>
          <w:sz w:val="24"/>
          <w:szCs w:val="24"/>
          <w:lang w:val="en-US"/>
        </w:rPr>
        <w:t>mail</w:t>
      </w:r>
      <w:r w:rsidRPr="00C20E35">
        <w:rPr>
          <w:rFonts w:ascii="Times New Roman" w:hAnsi="Times New Roman" w:cs="Times New Roman"/>
          <w:sz w:val="24"/>
          <w:szCs w:val="24"/>
        </w:rPr>
        <w:t xml:space="preserve">: </w:t>
      </w:r>
      <w:hyperlink r:id="rId488" w:history="1">
        <w:r>
          <w:rPr>
            <w:rStyle w:val="aa"/>
            <w:rFonts w:ascii="Times New Roman" w:hAnsi="Times New Roman" w:cs="Times New Roman"/>
            <w:sz w:val="24"/>
            <w:szCs w:val="24"/>
            <w:lang w:val="en-US"/>
          </w:rPr>
          <w:t>i</w:t>
        </w:r>
        <w:r w:rsidRPr="00621FE6">
          <w:rPr>
            <w:rStyle w:val="aa"/>
            <w:rFonts w:ascii="Times New Roman" w:hAnsi="Times New Roman" w:cs="Times New Roman"/>
            <w:sz w:val="24"/>
            <w:szCs w:val="24"/>
            <w:lang w:val="en-US"/>
          </w:rPr>
          <w:t>rina</w:t>
        </w:r>
        <w:r w:rsidRPr="00C20E35">
          <w:rPr>
            <w:rStyle w:val="aa"/>
            <w:rFonts w:ascii="Times New Roman" w:hAnsi="Times New Roman" w:cs="Times New Roman"/>
            <w:sz w:val="24"/>
            <w:szCs w:val="24"/>
          </w:rPr>
          <w:t>.</w:t>
        </w:r>
        <w:r>
          <w:rPr>
            <w:rStyle w:val="aa"/>
            <w:rFonts w:ascii="Times New Roman" w:hAnsi="Times New Roman" w:cs="Times New Roman"/>
            <w:sz w:val="24"/>
            <w:szCs w:val="24"/>
            <w:lang w:val="en-US"/>
          </w:rPr>
          <w:t>t</w:t>
        </w:r>
        <w:r w:rsidRPr="00621FE6">
          <w:rPr>
            <w:rStyle w:val="aa"/>
            <w:rFonts w:ascii="Times New Roman" w:hAnsi="Times New Roman" w:cs="Times New Roman"/>
            <w:sz w:val="24"/>
            <w:szCs w:val="24"/>
            <w:lang w:val="en-US"/>
          </w:rPr>
          <w:t>olstykh</w:t>
        </w:r>
        <w:r w:rsidRPr="00C20E35">
          <w:rPr>
            <w:rStyle w:val="aa"/>
            <w:rFonts w:ascii="Times New Roman" w:hAnsi="Times New Roman" w:cs="Times New Roman"/>
            <w:sz w:val="24"/>
            <w:szCs w:val="24"/>
          </w:rPr>
          <w:t>85@</w:t>
        </w:r>
        <w:r>
          <w:rPr>
            <w:rStyle w:val="aa"/>
            <w:rFonts w:ascii="Times New Roman" w:hAnsi="Times New Roman" w:cs="Times New Roman"/>
            <w:sz w:val="24"/>
            <w:szCs w:val="24"/>
            <w:lang w:val="en-US"/>
          </w:rPr>
          <w:t>mail</w:t>
        </w:r>
        <w:r w:rsidRPr="00C20E35">
          <w:rPr>
            <w:rStyle w:val="aa"/>
            <w:rFonts w:ascii="Times New Roman" w:hAnsi="Times New Roman" w:cs="Times New Roman"/>
            <w:sz w:val="24"/>
            <w:szCs w:val="24"/>
          </w:rPr>
          <w:t>.</w:t>
        </w:r>
        <w:r w:rsidRPr="00621FE6">
          <w:rPr>
            <w:rStyle w:val="aa"/>
            <w:rFonts w:ascii="Times New Roman" w:hAnsi="Times New Roman" w:cs="Times New Roman"/>
            <w:sz w:val="24"/>
            <w:szCs w:val="24"/>
            <w:lang w:val="en-US"/>
          </w:rPr>
          <w:t>ru</w:t>
        </w:r>
      </w:hyperlink>
      <w:r w:rsidRPr="00C20E35">
        <w:rPr>
          <w:rFonts w:ascii="Times New Roman" w:hAnsi="Times New Roman" w:cs="Times New Roman"/>
          <w:sz w:val="24"/>
          <w:szCs w:val="24"/>
        </w:rPr>
        <w:t xml:space="preserve">; </w:t>
      </w:r>
      <w:r>
        <w:rPr>
          <w:rFonts w:ascii="Times New Roman" w:hAnsi="Times New Roman" w:cs="Times New Roman"/>
          <w:sz w:val="24"/>
          <w:szCs w:val="24"/>
        </w:rPr>
        <w:t>тел</w:t>
      </w:r>
      <w:r w:rsidRPr="00C20E35">
        <w:rPr>
          <w:rFonts w:ascii="Times New Roman" w:hAnsi="Times New Roman" w:cs="Times New Roman"/>
          <w:sz w:val="24"/>
          <w:szCs w:val="24"/>
        </w:rPr>
        <w:t>.: 8(423)2404360</w:t>
      </w:r>
    </w:p>
    <w:p w:rsidR="00C20E35" w:rsidRPr="00C20E35" w:rsidRDefault="00C20E35" w:rsidP="00C20E35">
      <w:pPr>
        <w:spacing w:after="0" w:line="240" w:lineRule="auto"/>
        <w:ind w:firstLine="709"/>
        <w:jc w:val="center"/>
        <w:rPr>
          <w:rFonts w:ascii="Times New Roman" w:hAnsi="Times New Roman" w:cs="Times New Roman"/>
          <w:sz w:val="24"/>
          <w:szCs w:val="24"/>
        </w:rPr>
      </w:pPr>
    </w:p>
    <w:p w:rsidR="00C20E35" w:rsidRPr="00C20E35" w:rsidRDefault="00C20E35" w:rsidP="00C20E35">
      <w:pPr>
        <w:spacing w:after="0" w:line="240" w:lineRule="auto"/>
        <w:jc w:val="both"/>
        <w:rPr>
          <w:rFonts w:ascii="Times New Roman" w:hAnsi="Times New Roman" w:cs="Times New Roman"/>
          <w:sz w:val="24"/>
          <w:szCs w:val="24"/>
        </w:rPr>
      </w:pPr>
    </w:p>
    <w:p w:rsidR="00C20E35" w:rsidRPr="00F45A17" w:rsidRDefault="00C20E35" w:rsidP="00C20E35">
      <w:pPr>
        <w:spacing w:line="240" w:lineRule="auto"/>
        <w:ind w:firstLine="709"/>
        <w:jc w:val="both"/>
        <w:rPr>
          <w:rFonts w:ascii="Times New Roman" w:hAnsi="Times New Roman" w:cs="Times New Roman"/>
          <w:i/>
          <w:sz w:val="24"/>
          <w:szCs w:val="24"/>
        </w:rPr>
      </w:pPr>
      <w:r w:rsidRPr="00F45A17">
        <w:rPr>
          <w:rFonts w:ascii="Times New Roman" w:hAnsi="Times New Roman" w:cs="Times New Roman"/>
          <w:i/>
          <w:sz w:val="24"/>
          <w:szCs w:val="24"/>
        </w:rPr>
        <w:t>В данной статье анализируются современные тенденции в сфере туристских услуг для иностранных туристов</w:t>
      </w:r>
      <w:r w:rsidRPr="00843E36">
        <w:rPr>
          <w:rFonts w:ascii="Times New Roman" w:hAnsi="Times New Roman" w:cs="Times New Roman"/>
          <w:i/>
          <w:sz w:val="24"/>
          <w:szCs w:val="24"/>
        </w:rPr>
        <w:t xml:space="preserve"> </w:t>
      </w:r>
      <w:r>
        <w:rPr>
          <w:rFonts w:ascii="Times New Roman" w:hAnsi="Times New Roman" w:cs="Times New Roman"/>
          <w:i/>
          <w:sz w:val="24"/>
          <w:szCs w:val="24"/>
        </w:rPr>
        <w:t>в г. Владивостоке</w:t>
      </w:r>
      <w:r w:rsidRPr="00F45A17">
        <w:rPr>
          <w:rFonts w:ascii="Times New Roman" w:hAnsi="Times New Roman" w:cs="Times New Roman"/>
          <w:i/>
          <w:sz w:val="24"/>
          <w:szCs w:val="24"/>
        </w:rPr>
        <w:t xml:space="preserve">. </w:t>
      </w:r>
      <w:r>
        <w:rPr>
          <w:rFonts w:ascii="Times New Roman" w:hAnsi="Times New Roman" w:cs="Times New Roman"/>
          <w:i/>
          <w:sz w:val="24"/>
          <w:szCs w:val="24"/>
        </w:rPr>
        <w:t xml:space="preserve">Выявляются потребительские предпочтения японских туристов на рынке туристских услуг и определяются основные модели выбора потребительских или иных услуг туристской отрасли. </w:t>
      </w:r>
    </w:p>
    <w:p w:rsidR="00C20E35" w:rsidRPr="00F45A17" w:rsidRDefault="00C20E35" w:rsidP="00C20E35">
      <w:pPr>
        <w:spacing w:after="0" w:line="240" w:lineRule="auto"/>
        <w:ind w:firstLine="709"/>
        <w:jc w:val="both"/>
        <w:rPr>
          <w:rFonts w:ascii="Times New Roman" w:hAnsi="Times New Roman" w:cs="Times New Roman"/>
          <w:i/>
          <w:sz w:val="24"/>
          <w:szCs w:val="24"/>
        </w:rPr>
      </w:pPr>
      <w:r w:rsidRPr="00F45A17">
        <w:rPr>
          <w:rFonts w:ascii="Times New Roman" w:hAnsi="Times New Roman" w:cs="Times New Roman"/>
          <w:b/>
          <w:i/>
          <w:sz w:val="24"/>
          <w:szCs w:val="24"/>
        </w:rPr>
        <w:t>Ключевые слова и словосочетания</w:t>
      </w:r>
      <w:r w:rsidRPr="00F45A17">
        <w:rPr>
          <w:rFonts w:ascii="Times New Roman" w:hAnsi="Times New Roman" w:cs="Times New Roman"/>
          <w:i/>
          <w:sz w:val="24"/>
          <w:szCs w:val="24"/>
        </w:rPr>
        <w:t xml:space="preserve">: </w:t>
      </w:r>
      <w:r>
        <w:rPr>
          <w:rFonts w:ascii="Times New Roman" w:hAnsi="Times New Roman" w:cs="Times New Roman"/>
          <w:i/>
          <w:sz w:val="24"/>
          <w:szCs w:val="24"/>
        </w:rPr>
        <w:t xml:space="preserve">туризм, въездной туризм, </w:t>
      </w:r>
      <w:r w:rsidRPr="00F45A17">
        <w:rPr>
          <w:rFonts w:ascii="Times New Roman" w:hAnsi="Times New Roman" w:cs="Times New Roman"/>
          <w:i/>
          <w:sz w:val="24"/>
          <w:szCs w:val="24"/>
        </w:rPr>
        <w:t>потребительские предпочтения, туристские предпочтения, модели поведения потребителя, анкетирование.</w:t>
      </w:r>
    </w:p>
    <w:p w:rsidR="00C20E35" w:rsidRPr="00B5727E" w:rsidRDefault="00C20E35" w:rsidP="00C20E35">
      <w:pPr>
        <w:spacing w:after="0" w:line="240" w:lineRule="auto"/>
        <w:ind w:firstLine="709"/>
        <w:jc w:val="both"/>
        <w:rPr>
          <w:rFonts w:ascii="Times New Roman" w:hAnsi="Times New Roman" w:cs="Times New Roman"/>
          <w:sz w:val="24"/>
          <w:szCs w:val="24"/>
        </w:rPr>
      </w:pPr>
    </w:p>
    <w:p w:rsidR="00C20E35" w:rsidRDefault="00C20E35" w:rsidP="00C20E35">
      <w:pPr>
        <w:spacing w:after="0" w:line="240" w:lineRule="auto"/>
        <w:ind w:firstLine="709"/>
        <w:jc w:val="center"/>
        <w:rPr>
          <w:rFonts w:ascii="Times New Roman" w:hAnsi="Times New Roman" w:cs="Times New Roman"/>
          <w:b/>
          <w:sz w:val="24"/>
          <w:szCs w:val="24"/>
          <w:lang w:val="en-US"/>
        </w:rPr>
      </w:pPr>
      <w:r w:rsidRPr="00F45A17">
        <w:rPr>
          <w:rFonts w:ascii="Times New Roman" w:hAnsi="Times New Roman" w:cs="Times New Roman"/>
          <w:b/>
          <w:sz w:val="24"/>
          <w:szCs w:val="24"/>
          <w:lang w:val="en-US"/>
        </w:rPr>
        <w:t>The analy</w:t>
      </w:r>
      <w:r>
        <w:rPr>
          <w:rFonts w:ascii="Times New Roman" w:hAnsi="Times New Roman" w:cs="Times New Roman"/>
          <w:b/>
          <w:sz w:val="24"/>
          <w:szCs w:val="24"/>
          <w:lang w:val="en-US"/>
        </w:rPr>
        <w:t>sis of tourist preferences for J</w:t>
      </w:r>
      <w:r w:rsidRPr="00F45A17">
        <w:rPr>
          <w:rFonts w:ascii="Times New Roman" w:hAnsi="Times New Roman" w:cs="Times New Roman"/>
          <w:b/>
          <w:sz w:val="24"/>
          <w:szCs w:val="24"/>
          <w:lang w:val="en-US"/>
        </w:rPr>
        <w:t xml:space="preserve">apanese </w:t>
      </w:r>
      <w:r>
        <w:rPr>
          <w:rFonts w:ascii="Times New Roman" w:hAnsi="Times New Roman" w:cs="Times New Roman"/>
          <w:b/>
          <w:sz w:val="24"/>
          <w:szCs w:val="24"/>
          <w:lang w:val="en-US"/>
        </w:rPr>
        <w:t>tourists (on example of V</w:t>
      </w:r>
      <w:r w:rsidRPr="00F45A17">
        <w:rPr>
          <w:rFonts w:ascii="Times New Roman" w:hAnsi="Times New Roman" w:cs="Times New Roman"/>
          <w:b/>
          <w:sz w:val="24"/>
          <w:szCs w:val="24"/>
          <w:lang w:val="en-US"/>
        </w:rPr>
        <w:t>ladivostok)</w:t>
      </w:r>
    </w:p>
    <w:p w:rsidR="00C20E35" w:rsidRPr="00F45A17" w:rsidRDefault="00C20E35" w:rsidP="00C20E35">
      <w:pPr>
        <w:spacing w:after="0" w:line="240" w:lineRule="auto"/>
        <w:ind w:firstLine="709"/>
        <w:jc w:val="center"/>
        <w:rPr>
          <w:rFonts w:ascii="Times New Roman" w:hAnsi="Times New Roman" w:cs="Times New Roman"/>
          <w:b/>
          <w:sz w:val="24"/>
          <w:szCs w:val="24"/>
          <w:lang w:val="en-US"/>
        </w:rPr>
      </w:pPr>
    </w:p>
    <w:p w:rsidR="00C20E35" w:rsidRDefault="00C20E35" w:rsidP="00C20E35">
      <w:pPr>
        <w:spacing w:line="240" w:lineRule="auto"/>
        <w:ind w:firstLine="709"/>
        <w:jc w:val="both"/>
        <w:rPr>
          <w:rFonts w:ascii="Times New Roman" w:hAnsi="Times New Roman" w:cs="Times New Roman"/>
          <w:i/>
          <w:sz w:val="24"/>
          <w:szCs w:val="24"/>
          <w:lang w:val="en-US"/>
        </w:rPr>
      </w:pPr>
      <w:r w:rsidRPr="00495796">
        <w:rPr>
          <w:rFonts w:ascii="Times New Roman" w:hAnsi="Times New Roman" w:cs="Times New Roman"/>
          <w:i/>
          <w:sz w:val="24"/>
          <w:szCs w:val="24"/>
          <w:lang w:val="en-US"/>
        </w:rPr>
        <w:t>This article analyzes the current trends in the field of tourist services for foreign tourists in Vladivostok. Consumer preferences of Japanese tourists in the market of tourist services are revealed and the basic models of choice of consumer or other services of tourist branch are defined.</w:t>
      </w:r>
    </w:p>
    <w:p w:rsidR="00C20E35" w:rsidRPr="00F45A17" w:rsidRDefault="00C20E35" w:rsidP="00C20E35">
      <w:pPr>
        <w:spacing w:line="240" w:lineRule="auto"/>
        <w:ind w:firstLine="709"/>
        <w:jc w:val="both"/>
        <w:rPr>
          <w:rFonts w:ascii="Times New Roman" w:hAnsi="Times New Roman" w:cs="Times New Roman"/>
          <w:i/>
          <w:sz w:val="24"/>
          <w:szCs w:val="24"/>
          <w:lang w:val="en-US"/>
        </w:rPr>
      </w:pPr>
      <w:r w:rsidRPr="00F45A17">
        <w:rPr>
          <w:rFonts w:ascii="Times New Roman" w:hAnsi="Times New Roman" w:cs="Times New Roman"/>
          <w:b/>
          <w:i/>
          <w:sz w:val="24"/>
          <w:szCs w:val="24"/>
          <w:lang w:val="en-US"/>
        </w:rPr>
        <w:t>Key words and phrases:</w:t>
      </w:r>
      <w:r w:rsidRPr="00F45A17">
        <w:rPr>
          <w:rFonts w:ascii="Times New Roman" w:hAnsi="Times New Roman" w:cs="Times New Roman"/>
          <w:i/>
          <w:sz w:val="24"/>
          <w:szCs w:val="24"/>
          <w:lang w:val="en-US"/>
        </w:rPr>
        <w:t xml:space="preserve"> </w:t>
      </w:r>
      <w:r w:rsidRPr="00495796">
        <w:rPr>
          <w:rFonts w:ascii="Times New Roman" w:hAnsi="Times New Roman" w:cs="Times New Roman"/>
          <w:i/>
          <w:sz w:val="24"/>
          <w:szCs w:val="24"/>
          <w:lang w:val="en-US"/>
        </w:rPr>
        <w:t>tourism, inbound tourism, consumer preferences, tourist preferences, consumer behavior models, survey</w:t>
      </w:r>
      <w:r w:rsidRPr="00F45A17">
        <w:rPr>
          <w:rFonts w:ascii="Times New Roman" w:hAnsi="Times New Roman" w:cs="Times New Roman"/>
          <w:i/>
          <w:sz w:val="24"/>
          <w:szCs w:val="24"/>
          <w:lang w:val="en-US"/>
        </w:rPr>
        <w:t>.</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Исторически исследования потребительских предпочтений стали проводится на фоне развития теории маркетинга, которая возникла еще в 1901 году в США. В периоды активного развития производства исследования потребителей давали возможность формировать конкурентное преимущество для производителей. Затем, данное направление стало самостоятельной теорией [1].</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 xml:space="preserve">В современной экономике выделяют три основных элемента. Это производитель, потребитель и государство, каждый из которых имеет свои цели. На основе этих целей каждый элемент строит свою деятельность. И для того чтобы грамотно воплощать их в жизнь в условиях рыночных отношений, необходимы глубокие знания рынка и способность правильно применять инструменты воздействия на различные складывающиеся на нем ситуации. Совокупность именно таких знаний и инструментов представляет собой маркетинг. В настоящее время проблема маркетинговых исследований встает наиболее остро. Она является актуальной для всех фирм и предприятий. Главное средство достижения конкурентного преимущества любого предприятия состоит в удовлетворении ожидаемых требований потребителя. Одной из немаловажных частей исследования является определение потребительских предпочтений, которое состоит из нескольких методов. Они дают производителю полную и достоверную информацию о том, насколько востребован продукт или услуга на рынке и намного уменьшает риск неодобрения [2]. </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 xml:space="preserve">В настоящее время г. Владивосток </w:t>
      </w:r>
      <w:r>
        <w:rPr>
          <w:rFonts w:ascii="Times New Roman" w:eastAsiaTheme="minorEastAsia" w:hAnsi="Times New Roman" w:cs="Times New Roman"/>
          <w:sz w:val="24"/>
          <w:szCs w:val="24"/>
          <w:lang w:eastAsia="zh-CN"/>
        </w:rPr>
        <w:t>является промышленным, культурно-историческим и туристским центром Дальневосточного региона, который привлекает все большее количество</w:t>
      </w:r>
      <w:r w:rsidRPr="00B5727E">
        <w:rPr>
          <w:rFonts w:ascii="Times New Roman" w:eastAsiaTheme="minorEastAsia" w:hAnsi="Times New Roman" w:cs="Times New Roman"/>
          <w:sz w:val="24"/>
          <w:szCs w:val="24"/>
          <w:lang w:eastAsia="zh-CN"/>
        </w:rPr>
        <w:t xml:space="preserve"> иностранны</w:t>
      </w:r>
      <w:r>
        <w:rPr>
          <w:rFonts w:ascii="Times New Roman" w:eastAsiaTheme="minorEastAsia" w:hAnsi="Times New Roman" w:cs="Times New Roman"/>
          <w:sz w:val="24"/>
          <w:szCs w:val="24"/>
          <w:lang w:eastAsia="zh-CN"/>
        </w:rPr>
        <w:t>х</w:t>
      </w:r>
      <w:r w:rsidRPr="00B5727E">
        <w:rPr>
          <w:rFonts w:ascii="Times New Roman" w:eastAsiaTheme="minorEastAsia" w:hAnsi="Times New Roman" w:cs="Times New Roman"/>
          <w:sz w:val="24"/>
          <w:szCs w:val="24"/>
          <w:lang w:eastAsia="zh-CN"/>
        </w:rPr>
        <w:t xml:space="preserve"> турист</w:t>
      </w:r>
      <w:r>
        <w:rPr>
          <w:rFonts w:ascii="Times New Roman" w:eastAsiaTheme="minorEastAsia" w:hAnsi="Times New Roman" w:cs="Times New Roman"/>
          <w:sz w:val="24"/>
          <w:szCs w:val="24"/>
          <w:lang w:eastAsia="zh-CN"/>
        </w:rPr>
        <w:t>ов</w:t>
      </w:r>
      <w:r w:rsidRPr="00B5727E">
        <w:rPr>
          <w:rFonts w:ascii="Times New Roman" w:eastAsiaTheme="minorEastAsia" w:hAnsi="Times New Roman" w:cs="Times New Roman"/>
          <w:sz w:val="24"/>
          <w:szCs w:val="24"/>
          <w:lang w:eastAsia="zh-CN"/>
        </w:rPr>
        <w:t>, особенно из стран</w:t>
      </w:r>
      <w:r>
        <w:rPr>
          <w:rFonts w:ascii="Times New Roman" w:eastAsiaTheme="minorEastAsia" w:hAnsi="Times New Roman" w:cs="Times New Roman"/>
          <w:sz w:val="24"/>
          <w:szCs w:val="24"/>
          <w:lang w:eastAsia="zh-CN"/>
        </w:rPr>
        <w:t xml:space="preserve"> Азиатско-тихоокеанского региона</w:t>
      </w:r>
      <w:r w:rsidRPr="00B5727E">
        <w:rPr>
          <w:rFonts w:ascii="Times New Roman" w:eastAsiaTheme="minorEastAsia" w:hAnsi="Times New Roman" w:cs="Times New Roman"/>
          <w:sz w:val="24"/>
          <w:szCs w:val="24"/>
          <w:lang w:eastAsia="zh-CN"/>
        </w:rPr>
        <w:t>. Город предлагает широкий выбор развлечений, наполнен смешанной культурой, имеет большое количество достопримечательностей, проводит значительное число мероприятий, в том числе и с привлечением иностранцев. В августе 2017 года было также значительно упрощено оформление виз и их стоимость в рамках «Свободного порта Владивосток», что также играет значительную роль в привлечении иностранных туристов в город.</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Японских туристов за 2017 год в город прибыло 10 752,66 человек, что на 18% больше по сравнению с 2016 годом, когда в город прибыло 8742 человека. Что указывает на возрастающий интерес японских туристов к городу.</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На данный момент г. Владивосток и Приморский край в целом пользуются все большей популярностью у туристов из Японии. Поддержку развитию въездного туризма оказывает Федеральное агентство по туризму</w:t>
      </w:r>
      <w:r>
        <w:rPr>
          <w:rFonts w:ascii="Times New Roman" w:eastAsiaTheme="minorEastAsia" w:hAnsi="Times New Roman" w:cs="Times New Roman"/>
          <w:sz w:val="24"/>
          <w:szCs w:val="24"/>
          <w:lang w:eastAsia="zh-CN"/>
        </w:rPr>
        <w:t xml:space="preserve"> Российской Федерации</w:t>
      </w:r>
      <w:r w:rsidRPr="00B5727E">
        <w:rPr>
          <w:rFonts w:ascii="Times New Roman" w:eastAsiaTheme="minorEastAsia" w:hAnsi="Times New Roman" w:cs="Times New Roman"/>
          <w:sz w:val="24"/>
          <w:szCs w:val="24"/>
          <w:lang w:eastAsia="zh-CN"/>
        </w:rPr>
        <w:t>. Проводятся выставки</w:t>
      </w:r>
      <w:r>
        <w:rPr>
          <w:rFonts w:ascii="Times New Roman" w:eastAsiaTheme="minorEastAsia" w:hAnsi="Times New Roman" w:cs="Times New Roman"/>
          <w:sz w:val="24"/>
          <w:szCs w:val="24"/>
          <w:lang w:eastAsia="zh-CN"/>
        </w:rPr>
        <w:t>,</w:t>
      </w:r>
      <w:r w:rsidRPr="00B5727E">
        <w:rPr>
          <w:rFonts w:ascii="Times New Roman" w:eastAsiaTheme="minorEastAsia" w:hAnsi="Times New Roman" w:cs="Times New Roman"/>
          <w:sz w:val="24"/>
          <w:szCs w:val="24"/>
          <w:lang w:eastAsia="zh-CN"/>
        </w:rPr>
        <w:t xml:space="preserve"> семинары </w:t>
      </w:r>
      <w:r>
        <w:rPr>
          <w:rFonts w:ascii="Times New Roman" w:eastAsiaTheme="minorEastAsia" w:hAnsi="Times New Roman" w:cs="Times New Roman"/>
          <w:sz w:val="24"/>
          <w:szCs w:val="24"/>
          <w:lang w:eastAsia="zh-CN"/>
        </w:rPr>
        <w:t xml:space="preserve"> и форумы </w:t>
      </w:r>
      <w:r w:rsidRPr="00B5727E">
        <w:rPr>
          <w:rFonts w:ascii="Times New Roman" w:eastAsiaTheme="minorEastAsia" w:hAnsi="Times New Roman" w:cs="Times New Roman"/>
          <w:sz w:val="24"/>
          <w:szCs w:val="24"/>
          <w:lang w:eastAsia="zh-CN"/>
        </w:rPr>
        <w:t>для представителей турбизнеса. Развивается инфраструктура города: появляются вывески на иностранных языках, указатели достопримечательностей, создаются специальные карты с популярными туристическими маршрутами [3].</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 xml:space="preserve">Цель исследования </w:t>
      </w:r>
      <w:r>
        <w:rPr>
          <w:rFonts w:ascii="Times New Roman" w:eastAsiaTheme="minorEastAsia" w:hAnsi="Times New Roman" w:cs="Times New Roman"/>
          <w:sz w:val="24"/>
          <w:szCs w:val="24"/>
          <w:lang w:eastAsia="zh-CN"/>
        </w:rPr>
        <w:t xml:space="preserve">- </w:t>
      </w:r>
      <w:r w:rsidRPr="00B5727E">
        <w:rPr>
          <w:rFonts w:ascii="Times New Roman" w:eastAsiaTheme="minorEastAsia" w:hAnsi="Times New Roman" w:cs="Times New Roman"/>
          <w:sz w:val="24"/>
          <w:szCs w:val="24"/>
          <w:lang w:eastAsia="zh-CN"/>
        </w:rPr>
        <w:t>провести анализ туристских предпочтений японских туристов на примере г. Владивостока.</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В теоретической части работы были исследованы сущность потребительских предпочтений, а также особенности определения предпочтений на рынке туризма. Определены основные модели выбора потребителями тех или иных услуг туристской отрасли [</w:t>
      </w:r>
      <w:r>
        <w:rPr>
          <w:rFonts w:ascii="Times New Roman" w:eastAsiaTheme="minorEastAsia" w:hAnsi="Times New Roman" w:cs="Times New Roman"/>
          <w:sz w:val="24"/>
          <w:szCs w:val="24"/>
          <w:lang w:eastAsia="zh-CN"/>
        </w:rPr>
        <w:t>7</w:t>
      </w:r>
      <w:r w:rsidRPr="00B5727E">
        <w:rPr>
          <w:rFonts w:ascii="Times New Roman" w:eastAsiaTheme="minorEastAsia" w:hAnsi="Times New Roman" w:cs="Times New Roman"/>
          <w:sz w:val="24"/>
          <w:szCs w:val="24"/>
          <w:lang w:eastAsia="zh-CN"/>
        </w:rPr>
        <w:t>].</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Главное средство достижения конкурентного преимущества любого предприятия состоит в удовлетворении ожидаемых требований потребителя.</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Важный фактор увеличения прибыльности и престижа любого предприятия – клиен-тоориентированность. От того, насколько эффективно выстроено взаимодействие с клиентами, в конечном итоге зависят имидж и репутация предприятия. Каждый клиент при взаимодействии с предприятиями туротрасли сталкивался с необходимостью выбора, который может зависеть от личных предпочтений, пожеланий, погоды, настроения, мировоззрения, религии и др. факторов [</w:t>
      </w:r>
      <w:r>
        <w:rPr>
          <w:rFonts w:ascii="Times New Roman" w:eastAsiaTheme="minorEastAsia" w:hAnsi="Times New Roman" w:cs="Times New Roman"/>
          <w:sz w:val="24"/>
          <w:szCs w:val="24"/>
          <w:lang w:eastAsia="zh-CN"/>
        </w:rPr>
        <w:t>4</w:t>
      </w:r>
      <w:r w:rsidRPr="00B5727E">
        <w:rPr>
          <w:rFonts w:ascii="Times New Roman" w:eastAsiaTheme="minorEastAsia" w:hAnsi="Times New Roman" w:cs="Times New Roman"/>
          <w:sz w:val="24"/>
          <w:szCs w:val="24"/>
          <w:lang w:eastAsia="zh-CN"/>
        </w:rPr>
        <w:t xml:space="preserve">]. </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Покупатель в условиях информационной свободы начинает уделять внимание цене услуг, что провоцирует продавцов на демпинг и попытки оптимизации издержек – именно это и является основным преимуществом при переходе бизнеса в онлайн: меньшие издержки, обусловленные рядом факторов, а именно: «снижается потребность в персонале, уменьшается потребность в арендуемых площадях и их стоимость, снижается себестоимость сделки».</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Отдельно проведено исследование методов определения потребительских предпочтений, в том числе и на рынке туризма. Исследования показали, что наиболее достоверным способом являются методы опроса [</w:t>
      </w:r>
      <w:r>
        <w:rPr>
          <w:rFonts w:ascii="Times New Roman" w:eastAsiaTheme="minorEastAsia" w:hAnsi="Times New Roman" w:cs="Times New Roman"/>
          <w:sz w:val="24"/>
          <w:szCs w:val="24"/>
          <w:lang w:eastAsia="zh-CN"/>
        </w:rPr>
        <w:t>5</w:t>
      </w:r>
      <w:r w:rsidRPr="00B5727E">
        <w:rPr>
          <w:rFonts w:ascii="Times New Roman" w:eastAsiaTheme="minorEastAsia" w:hAnsi="Times New Roman" w:cs="Times New Roman"/>
          <w:sz w:val="24"/>
          <w:szCs w:val="24"/>
          <w:lang w:eastAsia="zh-CN"/>
        </w:rPr>
        <w:t xml:space="preserve">]. </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Также было выявлено, что как показывает практика без маркетингового исследования не обойтись ни одной фирме или предприятию. Причиной большинства неудач фирм является неправильное, неточное исследование рынка, потребителей, выбор неподходящей методики исследования. Ведь важно не просто провести исследование, а получить нужную, верную, информацию, которая поможет направить производство товаров или оказание услуг в нужное русло.</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Для исследования потребительских предпочтений туристов из Японии в первую очередь были проанализированы тенденции в</w:t>
      </w:r>
      <w:r>
        <w:rPr>
          <w:rFonts w:ascii="Times New Roman" w:eastAsiaTheme="minorEastAsia" w:hAnsi="Times New Roman" w:cs="Times New Roman"/>
          <w:sz w:val="24"/>
          <w:szCs w:val="24"/>
          <w:lang w:eastAsia="zh-CN"/>
        </w:rPr>
        <w:t>ы</w:t>
      </w:r>
      <w:r w:rsidRPr="00B5727E">
        <w:rPr>
          <w:rFonts w:ascii="Times New Roman" w:eastAsiaTheme="minorEastAsia" w:hAnsi="Times New Roman" w:cs="Times New Roman"/>
          <w:sz w:val="24"/>
          <w:szCs w:val="24"/>
          <w:lang w:eastAsia="zh-CN"/>
        </w:rPr>
        <w:t xml:space="preserve">ездного японского туризма в мире и отдельно в Россию и Приморский край. Было выявлено, что количество туристов в последние несколько лет значительно выросло, однако в 2016 году наблюдается небольшой спад туристов из Японии в Россию. </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hAnsi="Times New Roman" w:cs="Times New Roman"/>
          <w:noProof/>
          <w:color w:val="000000"/>
          <w:sz w:val="24"/>
          <w:szCs w:val="24"/>
          <w:shd w:val="clear" w:color="auto" w:fill="FFFFFF"/>
          <w:lang w:eastAsia="ru-RU"/>
        </w:rPr>
        <w:drawing>
          <wp:inline distT="0" distB="0" distL="0" distR="0" wp14:anchorId="067937AE" wp14:editId="7359D0BF">
            <wp:extent cx="5486400" cy="1362075"/>
            <wp:effectExtent l="0" t="0" r="0" b="0"/>
            <wp:docPr id="192" name="Диаграмма 192"/>
            <wp:cNvGraphicFramePr/>
            <a:graphic xmlns:a="http://schemas.openxmlformats.org/drawingml/2006/main">
              <a:graphicData uri="http://schemas.openxmlformats.org/drawingml/2006/chart">
                <c:chart xmlns:c="http://schemas.openxmlformats.org/drawingml/2006/chart" xmlns:r="http://schemas.openxmlformats.org/officeDocument/2006/relationships" r:id="rId489"/>
              </a:graphicData>
            </a:graphic>
          </wp:inline>
        </w:drawing>
      </w:r>
    </w:p>
    <w:p w:rsidR="00C20E35" w:rsidRPr="00B5727E" w:rsidRDefault="00C20E35" w:rsidP="00C20E35">
      <w:pPr>
        <w:spacing w:before="240" w:line="240" w:lineRule="auto"/>
        <w:jc w:val="center"/>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Рис</w:t>
      </w:r>
      <w:r>
        <w:rPr>
          <w:rFonts w:ascii="Times New Roman" w:eastAsiaTheme="minorEastAsia" w:hAnsi="Times New Roman" w:cs="Times New Roman"/>
          <w:sz w:val="24"/>
          <w:szCs w:val="24"/>
          <w:lang w:eastAsia="zh-CN"/>
        </w:rPr>
        <w:t>.</w:t>
      </w:r>
      <w:r w:rsidRPr="00B5727E">
        <w:rPr>
          <w:rFonts w:ascii="Times New Roman" w:eastAsiaTheme="minorEastAsia" w:hAnsi="Times New Roman" w:cs="Times New Roman"/>
          <w:sz w:val="24"/>
          <w:szCs w:val="24"/>
          <w:lang w:eastAsia="zh-CN"/>
        </w:rPr>
        <w:t>1</w:t>
      </w:r>
      <w:r>
        <w:rPr>
          <w:rFonts w:ascii="Times New Roman" w:eastAsiaTheme="minorEastAsia" w:hAnsi="Times New Roman" w:cs="Times New Roman"/>
          <w:sz w:val="24"/>
          <w:szCs w:val="24"/>
          <w:lang w:eastAsia="zh-CN"/>
        </w:rPr>
        <w:t>.</w:t>
      </w:r>
      <w:r w:rsidRPr="00B5727E">
        <w:rPr>
          <w:rFonts w:ascii="Times New Roman" w:eastAsiaTheme="minorEastAsia" w:hAnsi="Times New Roman" w:cs="Times New Roman"/>
          <w:sz w:val="24"/>
          <w:szCs w:val="24"/>
          <w:lang w:eastAsia="zh-CN"/>
        </w:rPr>
        <w:t xml:space="preserve"> Динамика туристов из Японии в России, 2010-2016 гг.</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В Приморском крае наоборот наблюдается постоянное увеличение въездного потока туристов из Японии, что связано с регулярным проведением мероприятий в г. Владивостоке международного уровня [</w:t>
      </w:r>
      <w:r>
        <w:rPr>
          <w:rFonts w:ascii="Times New Roman" w:eastAsiaTheme="minorEastAsia" w:hAnsi="Times New Roman" w:cs="Times New Roman"/>
          <w:sz w:val="24"/>
          <w:szCs w:val="24"/>
          <w:lang w:eastAsia="zh-CN"/>
        </w:rPr>
        <w:t>6</w:t>
      </w:r>
      <w:r w:rsidRPr="00B5727E">
        <w:rPr>
          <w:rFonts w:ascii="Times New Roman" w:eastAsiaTheme="minorEastAsia" w:hAnsi="Times New Roman" w:cs="Times New Roman"/>
          <w:sz w:val="24"/>
          <w:szCs w:val="24"/>
          <w:lang w:eastAsia="zh-CN"/>
        </w:rPr>
        <w:t>].</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hAnsi="Times New Roman" w:cs="Times New Roman"/>
          <w:noProof/>
          <w:color w:val="000000"/>
          <w:sz w:val="24"/>
          <w:szCs w:val="24"/>
          <w:shd w:val="clear" w:color="auto" w:fill="FFFFFF"/>
          <w:lang w:eastAsia="ru-RU"/>
        </w:rPr>
        <w:drawing>
          <wp:inline distT="0" distB="0" distL="0" distR="0" wp14:anchorId="57AA149D" wp14:editId="32E5B429">
            <wp:extent cx="5486400" cy="1400175"/>
            <wp:effectExtent l="0" t="0" r="0" b="0"/>
            <wp:docPr id="193" name="Диаграмма 193"/>
            <wp:cNvGraphicFramePr/>
            <a:graphic xmlns:a="http://schemas.openxmlformats.org/drawingml/2006/main">
              <a:graphicData uri="http://schemas.openxmlformats.org/drawingml/2006/chart">
                <c:chart xmlns:c="http://schemas.openxmlformats.org/drawingml/2006/chart" xmlns:r="http://schemas.openxmlformats.org/officeDocument/2006/relationships" r:id="rId490"/>
              </a:graphicData>
            </a:graphic>
          </wp:inline>
        </w:drawing>
      </w:r>
    </w:p>
    <w:p w:rsidR="00C20E35" w:rsidRPr="00B5727E" w:rsidRDefault="00C20E35" w:rsidP="00C20E35">
      <w:pPr>
        <w:spacing w:before="240" w:line="240" w:lineRule="auto"/>
        <w:jc w:val="center"/>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bCs/>
          <w:sz w:val="24"/>
          <w:szCs w:val="24"/>
          <w:lang w:eastAsia="zh-CN"/>
        </w:rPr>
        <w:t>Рис</w:t>
      </w:r>
      <w:r>
        <w:rPr>
          <w:rFonts w:ascii="Times New Roman" w:eastAsiaTheme="minorEastAsia" w:hAnsi="Times New Roman" w:cs="Times New Roman"/>
          <w:bCs/>
          <w:sz w:val="24"/>
          <w:szCs w:val="24"/>
          <w:lang w:eastAsia="zh-CN"/>
        </w:rPr>
        <w:t>.</w:t>
      </w:r>
      <w:r w:rsidRPr="00B5727E">
        <w:rPr>
          <w:rFonts w:ascii="Times New Roman" w:eastAsiaTheme="minorEastAsia" w:hAnsi="Times New Roman" w:cs="Times New Roman"/>
          <w:bCs/>
          <w:sz w:val="24"/>
          <w:szCs w:val="24"/>
          <w:lang w:eastAsia="zh-CN"/>
        </w:rPr>
        <w:t>2</w:t>
      </w:r>
      <w:r>
        <w:rPr>
          <w:rFonts w:ascii="Times New Roman" w:eastAsiaTheme="minorEastAsia" w:hAnsi="Times New Roman" w:cs="Times New Roman"/>
          <w:bCs/>
          <w:sz w:val="24"/>
          <w:szCs w:val="24"/>
          <w:lang w:eastAsia="zh-CN"/>
        </w:rPr>
        <w:t>.</w:t>
      </w:r>
      <w:r w:rsidRPr="00B5727E">
        <w:rPr>
          <w:rFonts w:ascii="Times New Roman" w:eastAsiaTheme="minorEastAsia" w:hAnsi="Times New Roman" w:cs="Times New Roman"/>
          <w:bCs/>
          <w:sz w:val="24"/>
          <w:szCs w:val="24"/>
          <w:lang w:eastAsia="zh-CN"/>
        </w:rPr>
        <w:t xml:space="preserve"> Динамика туристов из Японии на территорию Приморского края</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Для изучения потребительских предпочтений в первую очередь был проведен опрос в трех группах японских туристов, посещавших г. Владивосток через ООО «ТК «Статус Клуб».</w:t>
      </w:r>
    </w:p>
    <w:p w:rsidR="00C20E35"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 xml:space="preserve">Исследование показало, что предпочтения японских туристов во время путешествия в г. Владивостоке определяются в первую очередь их возрастом (36% респондентов – люди старше 56 лет). </w:t>
      </w:r>
    </w:p>
    <w:p w:rsidR="00C20E35" w:rsidRDefault="00C20E35" w:rsidP="00C20E35">
      <w:pPr>
        <w:spacing w:after="0" w:line="240" w:lineRule="auto"/>
        <w:ind w:firstLine="709"/>
        <w:jc w:val="both"/>
        <w:rPr>
          <w:rFonts w:ascii="Times New Roman" w:eastAsiaTheme="minorEastAsia" w:hAnsi="Times New Roman" w:cs="Times New Roman"/>
          <w:sz w:val="24"/>
          <w:szCs w:val="24"/>
          <w:lang w:eastAsia="zh-CN"/>
        </w:rPr>
      </w:pPr>
      <w:r>
        <w:rPr>
          <w:rFonts w:ascii="Times New Roman" w:hAnsi="Times New Roman" w:cs="Times New Roman"/>
          <w:bCs/>
          <w:noProof/>
          <w:color w:val="000000"/>
          <w:sz w:val="24"/>
          <w:szCs w:val="24"/>
          <w:shd w:val="clear" w:color="auto" w:fill="FFFFFF"/>
          <w:lang w:eastAsia="ru-RU"/>
        </w:rPr>
        <w:drawing>
          <wp:inline distT="0" distB="0" distL="0" distR="0" wp14:anchorId="313D5CAA" wp14:editId="1A18C272">
            <wp:extent cx="5547360" cy="1590675"/>
            <wp:effectExtent l="0" t="0" r="0" b="0"/>
            <wp:docPr id="194" name="Диаграмма 194"/>
            <wp:cNvGraphicFramePr/>
            <a:graphic xmlns:a="http://schemas.openxmlformats.org/drawingml/2006/main">
              <a:graphicData uri="http://schemas.openxmlformats.org/drawingml/2006/chart">
                <c:chart xmlns:c="http://schemas.openxmlformats.org/drawingml/2006/chart" xmlns:r="http://schemas.openxmlformats.org/officeDocument/2006/relationships" r:id="rId491"/>
              </a:graphicData>
            </a:graphic>
          </wp:inline>
        </w:drawing>
      </w:r>
    </w:p>
    <w:p w:rsidR="00C20E35" w:rsidRPr="00F45A17" w:rsidRDefault="00C20E35" w:rsidP="00C20E35">
      <w:pPr>
        <w:spacing w:line="240" w:lineRule="auto"/>
        <w:jc w:val="center"/>
        <w:rPr>
          <w:rFonts w:ascii="Times New Roman" w:eastAsiaTheme="minorEastAsia" w:hAnsi="Times New Roman" w:cs="Times New Roman"/>
          <w:sz w:val="24"/>
          <w:szCs w:val="24"/>
          <w:lang w:eastAsia="zh-CN"/>
        </w:rPr>
      </w:pPr>
      <w:r>
        <w:rPr>
          <w:rFonts w:ascii="Times New Roman" w:eastAsiaTheme="minorEastAsia" w:hAnsi="Times New Roman" w:cs="Times New Roman"/>
          <w:sz w:val="24"/>
          <w:szCs w:val="24"/>
          <w:lang w:eastAsia="zh-CN"/>
        </w:rPr>
        <w:t xml:space="preserve">Рис.3. </w:t>
      </w:r>
      <w:r w:rsidRPr="00F45A17">
        <w:rPr>
          <w:rFonts w:ascii="Times New Roman" w:eastAsiaTheme="minorEastAsia" w:hAnsi="Times New Roman" w:cs="Times New Roman"/>
          <w:sz w:val="24"/>
          <w:szCs w:val="24"/>
          <w:lang w:eastAsia="zh-CN"/>
        </w:rPr>
        <w:t>Структура респондентов, участвовавших в опросе по возрасту, ноябрь 2017 г.</w:t>
      </w:r>
    </w:p>
    <w:p w:rsidR="00C20E35"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 xml:space="preserve">В основном туристы предпочитают посещать Владивосток осенью (52% опрошенных). </w:t>
      </w:r>
    </w:p>
    <w:p w:rsidR="00C20E35" w:rsidRDefault="00C20E35" w:rsidP="00C20E35">
      <w:pPr>
        <w:spacing w:after="0" w:line="240" w:lineRule="auto"/>
        <w:ind w:firstLine="709"/>
        <w:jc w:val="both"/>
        <w:rPr>
          <w:rFonts w:ascii="Times New Roman" w:eastAsiaTheme="minorEastAsia" w:hAnsi="Times New Roman" w:cs="Times New Roman"/>
          <w:sz w:val="24"/>
          <w:szCs w:val="24"/>
          <w:lang w:eastAsia="zh-CN"/>
        </w:rPr>
      </w:pPr>
      <w:r>
        <w:rPr>
          <w:rFonts w:ascii="Times New Roman" w:hAnsi="Times New Roman" w:cs="Times New Roman"/>
          <w:bCs/>
          <w:noProof/>
          <w:color w:val="000000"/>
          <w:sz w:val="24"/>
          <w:szCs w:val="24"/>
          <w:shd w:val="clear" w:color="auto" w:fill="FFFFFF"/>
          <w:lang w:eastAsia="ru-RU"/>
        </w:rPr>
        <w:drawing>
          <wp:inline distT="0" distB="0" distL="0" distR="0" wp14:anchorId="42E85D57" wp14:editId="6751A8D9">
            <wp:extent cx="5547360" cy="1571625"/>
            <wp:effectExtent l="0" t="0" r="0" b="0"/>
            <wp:docPr id="195" name="Диаграмма 195"/>
            <wp:cNvGraphicFramePr/>
            <a:graphic xmlns:a="http://schemas.openxmlformats.org/drawingml/2006/main">
              <a:graphicData uri="http://schemas.openxmlformats.org/drawingml/2006/chart">
                <c:chart xmlns:c="http://schemas.openxmlformats.org/drawingml/2006/chart" xmlns:r="http://schemas.openxmlformats.org/officeDocument/2006/relationships" r:id="rId492"/>
              </a:graphicData>
            </a:graphic>
          </wp:inline>
        </w:drawing>
      </w:r>
    </w:p>
    <w:p w:rsidR="00C20E35" w:rsidRDefault="00C20E35" w:rsidP="00C20E35">
      <w:pPr>
        <w:spacing w:after="0" w:line="240" w:lineRule="auto"/>
        <w:jc w:val="center"/>
        <w:rPr>
          <w:rFonts w:ascii="Times New Roman" w:eastAsiaTheme="minorEastAsia" w:hAnsi="Times New Roman" w:cs="Times New Roman"/>
          <w:sz w:val="24"/>
          <w:szCs w:val="24"/>
          <w:lang w:eastAsia="zh-CN"/>
        </w:rPr>
      </w:pPr>
      <w:r>
        <w:rPr>
          <w:rFonts w:ascii="Times New Roman" w:eastAsiaTheme="minorEastAsia" w:hAnsi="Times New Roman" w:cs="Times New Roman"/>
          <w:sz w:val="24"/>
          <w:szCs w:val="24"/>
          <w:lang w:eastAsia="zh-CN"/>
        </w:rPr>
        <w:t xml:space="preserve">Рис.4. </w:t>
      </w:r>
      <w:r w:rsidRPr="0029167C">
        <w:rPr>
          <w:rFonts w:ascii="Times New Roman" w:eastAsiaTheme="minorEastAsia" w:hAnsi="Times New Roman" w:cs="Times New Roman"/>
          <w:sz w:val="24"/>
          <w:szCs w:val="24"/>
          <w:lang w:eastAsia="zh-CN"/>
        </w:rPr>
        <w:t>Распределение респондентов по комфортным сезонам го</w:t>
      </w:r>
      <w:r>
        <w:rPr>
          <w:rFonts w:ascii="Times New Roman" w:eastAsiaTheme="minorEastAsia" w:hAnsi="Times New Roman" w:cs="Times New Roman"/>
          <w:sz w:val="24"/>
          <w:szCs w:val="24"/>
          <w:lang w:eastAsia="zh-CN"/>
        </w:rPr>
        <w:t>да для путешествия в г. Владиво</w:t>
      </w:r>
      <w:r w:rsidRPr="0029167C">
        <w:rPr>
          <w:rFonts w:ascii="Times New Roman" w:eastAsiaTheme="minorEastAsia" w:hAnsi="Times New Roman" w:cs="Times New Roman"/>
          <w:sz w:val="24"/>
          <w:szCs w:val="24"/>
          <w:lang w:eastAsia="zh-CN"/>
        </w:rPr>
        <w:t>сток, ноябрь 2017 г.</w:t>
      </w:r>
    </w:p>
    <w:p w:rsidR="00C20E35"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 xml:space="preserve">Большинству туристов нравится проживать в 3-х звёздочных гостиницах в силу комфортной стоимости гостиничного номера (71% респондентов). </w:t>
      </w:r>
    </w:p>
    <w:p w:rsidR="00C20E35" w:rsidRDefault="00C20E35" w:rsidP="00C20E35">
      <w:pPr>
        <w:spacing w:after="0" w:line="240" w:lineRule="auto"/>
        <w:ind w:firstLine="709"/>
        <w:jc w:val="both"/>
        <w:rPr>
          <w:rFonts w:ascii="Times New Roman" w:eastAsiaTheme="minorEastAsia" w:hAnsi="Times New Roman" w:cs="Times New Roman"/>
          <w:sz w:val="24"/>
          <w:szCs w:val="24"/>
          <w:lang w:eastAsia="zh-CN"/>
        </w:rPr>
      </w:pPr>
      <w:r>
        <w:rPr>
          <w:rFonts w:ascii="Times New Roman" w:hAnsi="Times New Roman" w:cs="Times New Roman"/>
          <w:bCs/>
          <w:noProof/>
          <w:color w:val="000000"/>
          <w:sz w:val="24"/>
          <w:szCs w:val="24"/>
          <w:shd w:val="clear" w:color="auto" w:fill="FFFFFF"/>
          <w:lang w:eastAsia="ru-RU"/>
        </w:rPr>
        <w:drawing>
          <wp:inline distT="0" distB="0" distL="0" distR="0" wp14:anchorId="42C7694B" wp14:editId="771F41A0">
            <wp:extent cx="5547360" cy="1647825"/>
            <wp:effectExtent l="0" t="0" r="0" b="0"/>
            <wp:docPr id="196" name="Диаграмма 196"/>
            <wp:cNvGraphicFramePr/>
            <a:graphic xmlns:a="http://schemas.openxmlformats.org/drawingml/2006/main">
              <a:graphicData uri="http://schemas.openxmlformats.org/drawingml/2006/chart">
                <c:chart xmlns:c="http://schemas.openxmlformats.org/drawingml/2006/chart" xmlns:r="http://schemas.openxmlformats.org/officeDocument/2006/relationships" r:id="rId493"/>
              </a:graphicData>
            </a:graphic>
          </wp:inline>
        </w:drawing>
      </w:r>
    </w:p>
    <w:p w:rsidR="00C20E35" w:rsidRDefault="00C20E35" w:rsidP="00C20E35">
      <w:pPr>
        <w:spacing w:line="240" w:lineRule="auto"/>
        <w:jc w:val="center"/>
        <w:rPr>
          <w:rFonts w:ascii="Times New Roman" w:eastAsiaTheme="minorEastAsia" w:hAnsi="Times New Roman" w:cs="Times New Roman"/>
          <w:sz w:val="24"/>
          <w:szCs w:val="24"/>
          <w:lang w:eastAsia="zh-CN"/>
        </w:rPr>
      </w:pPr>
      <w:r>
        <w:rPr>
          <w:rFonts w:ascii="Times New Roman" w:eastAsiaTheme="minorEastAsia" w:hAnsi="Times New Roman" w:cs="Times New Roman"/>
          <w:sz w:val="24"/>
          <w:szCs w:val="24"/>
          <w:lang w:eastAsia="zh-CN"/>
        </w:rPr>
        <w:t xml:space="preserve">Рис.5. </w:t>
      </w:r>
      <w:r w:rsidRPr="0029167C">
        <w:rPr>
          <w:rFonts w:ascii="Times New Roman" w:eastAsiaTheme="minorEastAsia" w:hAnsi="Times New Roman" w:cs="Times New Roman"/>
          <w:sz w:val="24"/>
          <w:szCs w:val="24"/>
          <w:lang w:eastAsia="zh-CN"/>
        </w:rPr>
        <w:t>Распределение респондентов по предпочитаемому уровню</w:t>
      </w:r>
      <w:r>
        <w:rPr>
          <w:rFonts w:ascii="Times New Roman" w:eastAsiaTheme="minorEastAsia" w:hAnsi="Times New Roman" w:cs="Times New Roman"/>
          <w:sz w:val="24"/>
          <w:szCs w:val="24"/>
          <w:lang w:eastAsia="zh-CN"/>
        </w:rPr>
        <w:t xml:space="preserve"> гостиницы в г. Владивосток, но</w:t>
      </w:r>
      <w:r w:rsidRPr="0029167C">
        <w:rPr>
          <w:rFonts w:ascii="Times New Roman" w:eastAsiaTheme="minorEastAsia" w:hAnsi="Times New Roman" w:cs="Times New Roman"/>
          <w:sz w:val="24"/>
          <w:szCs w:val="24"/>
          <w:lang w:eastAsia="zh-CN"/>
        </w:rPr>
        <w:t>ябрь 2017 г.</w:t>
      </w:r>
    </w:p>
    <w:p w:rsidR="00C20E35"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 xml:space="preserve">Также исследование показало, что для японских туристов важны цены и качество предлагаемых туров – это является базой при выборе специализированных турфирм в Японии. </w:t>
      </w:r>
    </w:p>
    <w:p w:rsidR="00C20E35" w:rsidRDefault="00C20E35" w:rsidP="00C20E35">
      <w:pPr>
        <w:spacing w:after="0" w:line="240" w:lineRule="auto"/>
        <w:ind w:firstLine="709"/>
        <w:jc w:val="both"/>
        <w:rPr>
          <w:rFonts w:ascii="Times New Roman" w:eastAsiaTheme="minorEastAsia" w:hAnsi="Times New Roman" w:cs="Times New Roman"/>
          <w:sz w:val="24"/>
          <w:szCs w:val="24"/>
          <w:lang w:eastAsia="zh-CN"/>
        </w:rPr>
      </w:pPr>
      <w:r>
        <w:rPr>
          <w:rFonts w:ascii="Times New Roman" w:hAnsi="Times New Roman" w:cs="Times New Roman"/>
          <w:bCs/>
          <w:noProof/>
          <w:color w:val="000000"/>
          <w:sz w:val="24"/>
          <w:szCs w:val="24"/>
          <w:shd w:val="clear" w:color="auto" w:fill="FFFFFF"/>
          <w:lang w:eastAsia="ru-RU"/>
        </w:rPr>
        <w:drawing>
          <wp:inline distT="0" distB="0" distL="0" distR="0" wp14:anchorId="0525A019" wp14:editId="0F7B940F">
            <wp:extent cx="5547360" cy="1600200"/>
            <wp:effectExtent l="0" t="0" r="0" b="0"/>
            <wp:docPr id="197" name="Диаграмма 197"/>
            <wp:cNvGraphicFramePr/>
            <a:graphic xmlns:a="http://schemas.openxmlformats.org/drawingml/2006/main">
              <a:graphicData uri="http://schemas.openxmlformats.org/drawingml/2006/chart">
                <c:chart xmlns:c="http://schemas.openxmlformats.org/drawingml/2006/chart" xmlns:r="http://schemas.openxmlformats.org/officeDocument/2006/relationships" r:id="rId494"/>
              </a:graphicData>
            </a:graphic>
          </wp:inline>
        </w:drawing>
      </w:r>
    </w:p>
    <w:p w:rsidR="00C20E35" w:rsidRDefault="00C20E35" w:rsidP="00C20E35">
      <w:pPr>
        <w:spacing w:line="240" w:lineRule="auto"/>
        <w:jc w:val="center"/>
        <w:rPr>
          <w:rFonts w:ascii="Times New Roman" w:eastAsiaTheme="minorEastAsia" w:hAnsi="Times New Roman" w:cs="Times New Roman"/>
          <w:sz w:val="24"/>
          <w:szCs w:val="24"/>
          <w:lang w:eastAsia="zh-CN"/>
        </w:rPr>
      </w:pPr>
      <w:r>
        <w:rPr>
          <w:rFonts w:ascii="Times New Roman" w:eastAsiaTheme="minorEastAsia" w:hAnsi="Times New Roman" w:cs="Times New Roman"/>
          <w:sz w:val="24"/>
          <w:szCs w:val="24"/>
          <w:lang w:eastAsia="zh-CN"/>
        </w:rPr>
        <w:t xml:space="preserve">Рис.6. </w:t>
      </w:r>
      <w:r w:rsidRPr="0029167C">
        <w:rPr>
          <w:rFonts w:ascii="Times New Roman" w:eastAsiaTheme="minorEastAsia" w:hAnsi="Times New Roman" w:cs="Times New Roman"/>
          <w:sz w:val="24"/>
          <w:szCs w:val="24"/>
          <w:lang w:eastAsia="zh-CN"/>
        </w:rPr>
        <w:t>Распределение респондентов по затратам в день во время</w:t>
      </w:r>
      <w:r>
        <w:rPr>
          <w:rFonts w:ascii="Times New Roman" w:eastAsiaTheme="minorEastAsia" w:hAnsi="Times New Roman" w:cs="Times New Roman"/>
          <w:sz w:val="24"/>
          <w:szCs w:val="24"/>
          <w:lang w:eastAsia="zh-CN"/>
        </w:rPr>
        <w:t xml:space="preserve"> путешествия во Владивосток, но</w:t>
      </w:r>
      <w:r w:rsidRPr="0029167C">
        <w:rPr>
          <w:rFonts w:ascii="Times New Roman" w:eastAsiaTheme="minorEastAsia" w:hAnsi="Times New Roman" w:cs="Times New Roman"/>
          <w:sz w:val="24"/>
          <w:szCs w:val="24"/>
          <w:lang w:eastAsia="zh-CN"/>
        </w:rPr>
        <w:t>ябрь 2017 г.</w:t>
      </w:r>
    </w:p>
    <w:p w:rsidR="00C20E35"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Для японских туристов интересны туры короткого пребывания в городе экскурсионной и пляжной направленности. Также интересны шопинг-туры.</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Отдельно было проведено исследование среди представителей гостинично-туристской отрасли г. Владивостока. В исследовании участвовало 6 предприятий, которые проходили телефонный опрос.</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Исследование, проведенное среди предприятий гостинично-туристской отрасли г. Владивостока по выявлению предпочтений японских туристов, показало, что по мнению представителей гостинично-туристской отрасли в первую очередь туристы из Японии предпочитают приезжать во Владивосток самолетом в групповых турах (78%). Среди направлений интересов японских туристов стоит выделить концерты, магазины, рестораны с национальной кухней и экскурсии по городу.</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В связи с тем, что автор статьи работает в сфере туризма и непосредственно оказывает услуги по приему японских туристов в городе Владивостоке результатом проведенного исследования стало формирование новых пакетов услуг и комплексных туров для продажи их через специализированные агентства в Японии. Также были выявлены предпочтения японских туристов, что должно помочь в формировании услуг для японских туристов.</w:t>
      </w:r>
    </w:p>
    <w:p w:rsidR="00C20E35" w:rsidRPr="00B5727E" w:rsidRDefault="00C20E35" w:rsidP="00C20E35">
      <w:pPr>
        <w:spacing w:after="0" w:line="240" w:lineRule="auto"/>
        <w:jc w:val="both"/>
        <w:rPr>
          <w:rFonts w:ascii="Times New Roman" w:eastAsiaTheme="minorEastAsia" w:hAnsi="Times New Roman" w:cs="Times New Roman"/>
          <w:color w:val="FFFFFF" w:themeColor="background1"/>
          <w:sz w:val="24"/>
          <w:szCs w:val="24"/>
          <w:lang w:eastAsia="zh-CN"/>
        </w:rPr>
      </w:pPr>
      <w:r w:rsidRPr="00B5727E">
        <w:rPr>
          <w:rStyle w:val="afd"/>
          <w:rFonts w:ascii="Times New Roman" w:eastAsiaTheme="minorEastAsia" w:hAnsi="Times New Roman" w:cs="Times New Roman"/>
          <w:color w:val="FFFFFF" w:themeColor="background1"/>
          <w:sz w:val="24"/>
          <w:szCs w:val="24"/>
          <w:lang w:eastAsia="zh-CN"/>
        </w:rPr>
        <w:endnoteReference w:id="1"/>
      </w:r>
    </w:p>
    <w:p w:rsidR="003F05A9" w:rsidRPr="00C20E35" w:rsidRDefault="003F05A9" w:rsidP="005E1201">
      <w:pPr>
        <w:pStyle w:val="af4"/>
        <w:spacing w:after="0" w:line="240" w:lineRule="auto"/>
        <w:ind w:left="0"/>
        <w:jc w:val="both"/>
        <w:rPr>
          <w:rFonts w:ascii="Times New Roman" w:eastAsia="Calibri" w:hAnsi="Times New Roman"/>
          <w:b/>
          <w:color w:val="000000"/>
          <w:sz w:val="20"/>
          <w:szCs w:val="20"/>
        </w:rPr>
      </w:pPr>
    </w:p>
    <w:sectPr w:rsidR="003F05A9" w:rsidRPr="00C20E35">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6ED2" w:rsidRDefault="00306ED2">
      <w:pPr>
        <w:spacing w:after="0" w:line="240" w:lineRule="auto"/>
      </w:pPr>
      <w:r>
        <w:separator/>
      </w:r>
    </w:p>
  </w:endnote>
  <w:endnote w:type="continuationSeparator" w:id="0">
    <w:p w:rsidR="00306ED2" w:rsidRDefault="00306ED2">
      <w:pPr>
        <w:spacing w:after="0" w:line="240" w:lineRule="auto"/>
      </w:pPr>
      <w:r>
        <w:continuationSeparator/>
      </w:r>
    </w:p>
  </w:endnote>
  <w:endnote w:id="1">
    <w:p w:rsidR="00306ED2" w:rsidRDefault="00306ED2" w:rsidP="00C20E35">
      <w:pPr>
        <w:pStyle w:val="aff2"/>
        <w:spacing w:line="360" w:lineRule="auto"/>
        <w:ind w:firstLine="709"/>
        <w:jc w:val="both"/>
        <w:rPr>
          <w:rFonts w:ascii="Times New Roman" w:hAnsi="Times New Roman"/>
          <w:sz w:val="24"/>
        </w:rPr>
      </w:pPr>
      <w:r w:rsidRPr="009D3924">
        <w:rPr>
          <w:rStyle w:val="afd"/>
          <w:color w:val="FFFFFF" w:themeColor="background1"/>
        </w:rPr>
        <w:endnoteRef/>
      </w:r>
      <w:r w:rsidRPr="009D3924">
        <w:rPr>
          <w:color w:val="FFFFFF" w:themeColor="background1"/>
        </w:rPr>
        <w:t xml:space="preserve"> </w:t>
      </w:r>
      <w:r>
        <w:t>1</w:t>
      </w:r>
      <w:r w:rsidRPr="006106B8">
        <w:t xml:space="preserve"> </w:t>
      </w:r>
      <w:r w:rsidRPr="003729C3">
        <w:rPr>
          <w:rFonts w:ascii="Times New Roman" w:hAnsi="Times New Roman"/>
          <w:sz w:val="24"/>
        </w:rPr>
        <w:t>Бронникова Т.С. Маркетинг.Менеджмент. Теория, методика, практика / Т.С. Бронникова. - М.: КноРус, 2013. - 208 с.</w:t>
      </w:r>
    </w:p>
    <w:p w:rsidR="00306ED2" w:rsidRDefault="00306ED2" w:rsidP="00C20E35">
      <w:pPr>
        <w:pStyle w:val="aff2"/>
        <w:spacing w:line="360" w:lineRule="auto"/>
        <w:ind w:firstLine="709"/>
        <w:jc w:val="both"/>
        <w:rPr>
          <w:rFonts w:ascii="Times New Roman" w:hAnsi="Times New Roman"/>
          <w:sz w:val="24"/>
        </w:rPr>
      </w:pPr>
      <w:r w:rsidRPr="00FB0201">
        <w:rPr>
          <w:rFonts w:ascii="Times New Roman" w:hAnsi="Times New Roman"/>
          <w:sz w:val="24"/>
        </w:rPr>
        <w:t xml:space="preserve">2 </w:t>
      </w:r>
      <w:r w:rsidRPr="003729C3">
        <w:rPr>
          <w:rFonts w:ascii="Times New Roman" w:hAnsi="Times New Roman"/>
          <w:sz w:val="24"/>
        </w:rPr>
        <w:t>Голубков Е.П. Маркетинговые исследования: теория, методология и практика</w:t>
      </w:r>
      <w:r>
        <w:rPr>
          <w:rFonts w:ascii="Times New Roman" w:hAnsi="Times New Roman"/>
          <w:sz w:val="24"/>
        </w:rPr>
        <w:t xml:space="preserve"> / Е.П. Голубков</w:t>
      </w:r>
      <w:r w:rsidRPr="003729C3">
        <w:rPr>
          <w:rFonts w:ascii="Times New Roman" w:hAnsi="Times New Roman"/>
          <w:sz w:val="24"/>
        </w:rPr>
        <w:t xml:space="preserve">. - </w:t>
      </w:r>
      <w:r>
        <w:rPr>
          <w:rFonts w:ascii="Times New Roman" w:hAnsi="Times New Roman"/>
          <w:sz w:val="24"/>
        </w:rPr>
        <w:t>М.: Издательство «Финпресс», 201</w:t>
      </w:r>
      <w:r w:rsidRPr="003729C3">
        <w:rPr>
          <w:rFonts w:ascii="Times New Roman" w:hAnsi="Times New Roman"/>
          <w:sz w:val="24"/>
        </w:rPr>
        <w:t>3. - 496 с.</w:t>
      </w:r>
    </w:p>
    <w:p w:rsidR="00306ED2" w:rsidRPr="00905986" w:rsidRDefault="00306ED2" w:rsidP="00C20E35">
      <w:pPr>
        <w:spacing w:after="0" w:line="360" w:lineRule="auto"/>
        <w:ind w:firstLine="709"/>
        <w:jc w:val="both"/>
        <w:rPr>
          <w:rFonts w:ascii="Times New Roman" w:hAnsi="Times New Roman" w:cs="Times New Roman"/>
          <w:szCs w:val="20"/>
        </w:rPr>
      </w:pPr>
      <w:r w:rsidRPr="00FB0201">
        <w:rPr>
          <w:rFonts w:ascii="Times New Roman" w:hAnsi="Times New Roman" w:cs="Times New Roman"/>
          <w:sz w:val="24"/>
          <w:szCs w:val="20"/>
        </w:rPr>
        <w:t xml:space="preserve">3 Ростуризм прилагает усилия по привлечению японских туристов. – [Электронный ресурс]. – Режим доступа: </w:t>
      </w:r>
      <w:hyperlink r:id="rId1" w:history="1">
        <w:r w:rsidRPr="00905986">
          <w:rPr>
            <w:rFonts w:ascii="Times New Roman" w:hAnsi="Times New Roman" w:cs="Times New Roman"/>
            <w:szCs w:val="20"/>
          </w:rPr>
          <w:t>http://www.e-vesti.ru/ru/prospects-of-japanese-inbound-tourism-in-russia/</w:t>
        </w:r>
      </w:hyperlink>
    </w:p>
    <w:p w:rsidR="00306ED2" w:rsidRDefault="00306ED2" w:rsidP="00C20E35">
      <w:pPr>
        <w:pStyle w:val="aff2"/>
        <w:spacing w:line="360" w:lineRule="auto"/>
        <w:ind w:firstLine="709"/>
        <w:jc w:val="both"/>
        <w:rPr>
          <w:rFonts w:ascii="Times New Roman" w:hAnsi="Times New Roman"/>
          <w:sz w:val="24"/>
        </w:rPr>
      </w:pPr>
      <w:r>
        <w:rPr>
          <w:rFonts w:ascii="Times New Roman" w:hAnsi="Times New Roman"/>
          <w:sz w:val="24"/>
        </w:rPr>
        <w:t xml:space="preserve">4 </w:t>
      </w:r>
      <w:r w:rsidRPr="003729C3">
        <w:rPr>
          <w:rFonts w:ascii="Times New Roman" w:hAnsi="Times New Roman"/>
          <w:sz w:val="24"/>
        </w:rPr>
        <w:t>Чудновский А.Д. Управление потребительским предпочтениями в сфере отечественного туризма и гостеприимства, и основные направления реализации туристского продукта: учебное пособие / А.Д. Чудновский, М.А. Жукова. – М.: Федеральное агентство по туризму, 2014. – 304 с.</w:t>
      </w:r>
    </w:p>
    <w:p w:rsidR="00306ED2" w:rsidRPr="00905986" w:rsidRDefault="00306ED2" w:rsidP="00C20E35">
      <w:pPr>
        <w:spacing w:after="0" w:line="360" w:lineRule="auto"/>
        <w:ind w:firstLine="709"/>
        <w:jc w:val="both"/>
        <w:rPr>
          <w:rFonts w:ascii="Times New Roman" w:hAnsi="Times New Roman" w:cs="Times New Roman"/>
          <w:sz w:val="24"/>
          <w:lang w:val="en-US"/>
        </w:rPr>
      </w:pPr>
      <w:r>
        <w:rPr>
          <w:rFonts w:ascii="Times New Roman" w:hAnsi="Times New Roman" w:cs="Times New Roman"/>
          <w:sz w:val="24"/>
        </w:rPr>
        <w:t>5</w:t>
      </w:r>
      <w:r w:rsidRPr="00905986">
        <w:rPr>
          <w:rFonts w:ascii="Times New Roman" w:hAnsi="Times New Roman" w:cs="Times New Roman"/>
          <w:sz w:val="24"/>
        </w:rPr>
        <w:t xml:space="preserve"> </w:t>
      </w:r>
      <w:r w:rsidRPr="003729C3">
        <w:rPr>
          <w:rFonts w:ascii="Times New Roman" w:hAnsi="Times New Roman" w:cs="Times New Roman"/>
          <w:sz w:val="24"/>
        </w:rPr>
        <w:t xml:space="preserve">Гильманова А.Р. Методы определения потребительских предпочтений / А.Р. Гильманова // Качество продукции, технологий и образования. </w:t>
      </w:r>
      <w:r w:rsidRPr="00905986">
        <w:rPr>
          <w:rFonts w:ascii="Times New Roman" w:hAnsi="Times New Roman" w:cs="Times New Roman"/>
          <w:sz w:val="24"/>
          <w:lang w:val="en-US"/>
        </w:rPr>
        <w:t xml:space="preserve">2017. – </w:t>
      </w:r>
      <w:r w:rsidRPr="003729C3">
        <w:rPr>
          <w:rFonts w:ascii="Times New Roman" w:hAnsi="Times New Roman" w:cs="Times New Roman"/>
          <w:sz w:val="24"/>
        </w:rPr>
        <w:t>С</w:t>
      </w:r>
      <w:r w:rsidRPr="00905986">
        <w:rPr>
          <w:rFonts w:ascii="Times New Roman" w:hAnsi="Times New Roman" w:cs="Times New Roman"/>
          <w:sz w:val="24"/>
          <w:lang w:val="en-US"/>
        </w:rPr>
        <w:t>. 11-14.</w:t>
      </w:r>
    </w:p>
    <w:p w:rsidR="00306ED2" w:rsidRDefault="00306ED2" w:rsidP="00C20E35">
      <w:pPr>
        <w:spacing w:after="0" w:line="360" w:lineRule="auto"/>
        <w:ind w:firstLine="709"/>
        <w:jc w:val="both"/>
        <w:rPr>
          <w:rStyle w:val="aa"/>
          <w:rFonts w:ascii="Times New Roman" w:hAnsi="Times New Roman" w:cs="Times New Roman"/>
          <w:sz w:val="24"/>
          <w:lang w:val="en-US"/>
        </w:rPr>
      </w:pPr>
      <w:r w:rsidRPr="00911D94">
        <w:rPr>
          <w:rFonts w:ascii="Times New Roman" w:hAnsi="Times New Roman" w:cs="Times New Roman"/>
          <w:sz w:val="24"/>
          <w:lang w:val="en-US"/>
        </w:rPr>
        <w:t xml:space="preserve">6 </w:t>
      </w:r>
      <w:r w:rsidRPr="003729C3">
        <w:rPr>
          <w:rFonts w:ascii="Times New Roman" w:hAnsi="Times New Roman" w:cs="Times New Roman"/>
          <w:sz w:val="24"/>
          <w:lang w:val="en-US"/>
        </w:rPr>
        <w:t>White paper on tourism in Japan. The</w:t>
      </w:r>
      <w:r w:rsidRPr="00905986">
        <w:rPr>
          <w:rFonts w:ascii="Times New Roman" w:hAnsi="Times New Roman" w:cs="Times New Roman"/>
          <w:sz w:val="24"/>
          <w:lang w:val="en-US"/>
        </w:rPr>
        <w:t xml:space="preserve"> </w:t>
      </w:r>
      <w:r w:rsidRPr="003729C3">
        <w:rPr>
          <w:rFonts w:ascii="Times New Roman" w:hAnsi="Times New Roman" w:cs="Times New Roman"/>
          <w:sz w:val="24"/>
          <w:lang w:val="en-US"/>
        </w:rPr>
        <w:t>tourism</w:t>
      </w:r>
      <w:r w:rsidRPr="00905986">
        <w:rPr>
          <w:rFonts w:ascii="Times New Roman" w:hAnsi="Times New Roman" w:cs="Times New Roman"/>
          <w:sz w:val="24"/>
          <w:lang w:val="en-US"/>
        </w:rPr>
        <w:t xml:space="preserve"> </w:t>
      </w:r>
      <w:r w:rsidRPr="003729C3">
        <w:rPr>
          <w:rFonts w:ascii="Times New Roman" w:hAnsi="Times New Roman" w:cs="Times New Roman"/>
          <w:sz w:val="24"/>
          <w:lang w:val="en-US"/>
        </w:rPr>
        <w:t>situation</w:t>
      </w:r>
      <w:r w:rsidRPr="00905986">
        <w:rPr>
          <w:rFonts w:ascii="Times New Roman" w:hAnsi="Times New Roman" w:cs="Times New Roman"/>
          <w:sz w:val="24"/>
          <w:lang w:val="en-US"/>
        </w:rPr>
        <w:t xml:space="preserve"> </w:t>
      </w:r>
      <w:r w:rsidRPr="003729C3">
        <w:rPr>
          <w:rFonts w:ascii="Times New Roman" w:hAnsi="Times New Roman" w:cs="Times New Roman"/>
          <w:sz w:val="24"/>
          <w:lang w:val="en-US"/>
        </w:rPr>
        <w:t>in</w:t>
      </w:r>
      <w:r w:rsidRPr="00905986">
        <w:rPr>
          <w:rFonts w:ascii="Times New Roman" w:hAnsi="Times New Roman" w:cs="Times New Roman"/>
          <w:sz w:val="24"/>
          <w:lang w:val="en-US"/>
        </w:rPr>
        <w:t xml:space="preserve"> </w:t>
      </w:r>
      <w:r w:rsidRPr="003729C3">
        <w:rPr>
          <w:rFonts w:ascii="Times New Roman" w:hAnsi="Times New Roman" w:cs="Times New Roman"/>
          <w:sz w:val="24"/>
          <w:lang w:val="en-US"/>
        </w:rPr>
        <w:t>FY</w:t>
      </w:r>
      <w:r w:rsidRPr="00905986">
        <w:rPr>
          <w:rFonts w:ascii="Times New Roman" w:hAnsi="Times New Roman" w:cs="Times New Roman"/>
          <w:sz w:val="24"/>
          <w:lang w:val="en-US"/>
        </w:rPr>
        <w:t>2016. – [</w:t>
      </w:r>
      <w:r w:rsidRPr="003729C3">
        <w:rPr>
          <w:rFonts w:ascii="Times New Roman" w:hAnsi="Times New Roman" w:cs="Times New Roman"/>
          <w:sz w:val="24"/>
        </w:rPr>
        <w:t>Электронный</w:t>
      </w:r>
      <w:r w:rsidRPr="00905986">
        <w:rPr>
          <w:rFonts w:ascii="Times New Roman" w:hAnsi="Times New Roman" w:cs="Times New Roman"/>
          <w:sz w:val="24"/>
          <w:lang w:val="en-US"/>
        </w:rPr>
        <w:t xml:space="preserve"> </w:t>
      </w:r>
      <w:r w:rsidRPr="003729C3">
        <w:rPr>
          <w:rFonts w:ascii="Times New Roman" w:hAnsi="Times New Roman" w:cs="Times New Roman"/>
          <w:sz w:val="24"/>
        </w:rPr>
        <w:t>ресурс</w:t>
      </w:r>
      <w:r w:rsidRPr="00905986">
        <w:rPr>
          <w:rFonts w:ascii="Times New Roman" w:hAnsi="Times New Roman" w:cs="Times New Roman"/>
          <w:sz w:val="24"/>
          <w:lang w:val="en-US"/>
        </w:rPr>
        <w:t xml:space="preserve">]. – </w:t>
      </w:r>
      <w:r w:rsidRPr="003729C3">
        <w:rPr>
          <w:rFonts w:ascii="Times New Roman" w:hAnsi="Times New Roman" w:cs="Times New Roman"/>
          <w:sz w:val="24"/>
        </w:rPr>
        <w:t>Режим</w:t>
      </w:r>
      <w:r w:rsidRPr="00905986">
        <w:rPr>
          <w:rFonts w:ascii="Times New Roman" w:hAnsi="Times New Roman" w:cs="Times New Roman"/>
          <w:sz w:val="24"/>
          <w:lang w:val="en-US"/>
        </w:rPr>
        <w:t xml:space="preserve"> </w:t>
      </w:r>
      <w:r w:rsidRPr="003729C3">
        <w:rPr>
          <w:rFonts w:ascii="Times New Roman" w:hAnsi="Times New Roman" w:cs="Times New Roman"/>
          <w:sz w:val="24"/>
        </w:rPr>
        <w:t>доступа</w:t>
      </w:r>
      <w:r w:rsidRPr="00905986">
        <w:rPr>
          <w:rFonts w:ascii="Times New Roman" w:hAnsi="Times New Roman" w:cs="Times New Roman"/>
          <w:sz w:val="24"/>
          <w:lang w:val="en-US"/>
        </w:rPr>
        <w:t xml:space="preserve">: </w:t>
      </w:r>
      <w:hyperlink r:id="rId2" w:history="1">
        <w:r w:rsidRPr="00905986">
          <w:rPr>
            <w:rStyle w:val="aa"/>
            <w:rFonts w:ascii="Times New Roman" w:hAnsi="Times New Roman" w:cs="Times New Roman"/>
            <w:sz w:val="24"/>
            <w:lang w:val="en-US"/>
          </w:rPr>
          <w:t>http://www.mlit.go.jp/common/001211721.pdf</w:t>
        </w:r>
      </w:hyperlink>
    </w:p>
    <w:p w:rsidR="00306ED2" w:rsidRPr="003658B5" w:rsidRDefault="00306ED2" w:rsidP="00C20E35">
      <w:pPr>
        <w:spacing w:after="0" w:line="360" w:lineRule="auto"/>
        <w:ind w:firstLine="709"/>
        <w:jc w:val="both"/>
        <w:rPr>
          <w:rFonts w:ascii="Times New Roman" w:hAnsi="Times New Roman" w:cs="Times New Roman"/>
          <w:sz w:val="24"/>
          <w:szCs w:val="20"/>
          <w:lang w:val="en-US"/>
        </w:rPr>
      </w:pPr>
      <w:r w:rsidRPr="00911D94">
        <w:rPr>
          <w:rFonts w:ascii="Times New Roman" w:hAnsi="Times New Roman" w:cs="Times New Roman"/>
          <w:sz w:val="24"/>
          <w:lang w:val="en-US"/>
        </w:rPr>
        <w:t xml:space="preserve">7 </w:t>
      </w:r>
      <w:r w:rsidRPr="003729C3">
        <w:rPr>
          <w:rFonts w:ascii="Times New Roman" w:hAnsi="Times New Roman" w:cs="Times New Roman"/>
          <w:sz w:val="24"/>
          <w:lang w:val="en-US"/>
        </w:rPr>
        <w:t>Woodside A. A General Model of Traveller Destination Choice / A. Woodside, S. Lysonski // Journal of Travel Research. - 1989. - №17(4). – P. 8-14.</w:t>
      </w:r>
    </w:p>
    <w:p w:rsidR="00306ED2" w:rsidRPr="00905986" w:rsidRDefault="00306ED2" w:rsidP="00C20E35">
      <w:pPr>
        <w:spacing w:after="0" w:line="360" w:lineRule="auto"/>
        <w:ind w:firstLine="709"/>
        <w:jc w:val="both"/>
        <w:rPr>
          <w:rFonts w:ascii="Times New Roman" w:hAnsi="Times New Roman" w:cs="Times New Roman"/>
          <w:sz w:val="24"/>
          <w:lang w:val="en-US"/>
        </w:rPr>
      </w:pPr>
    </w:p>
    <w:p w:rsidR="00306ED2" w:rsidRPr="003658B5" w:rsidRDefault="00306ED2" w:rsidP="00C20E35">
      <w:pPr>
        <w:pStyle w:val="afb"/>
        <w:rPr>
          <w:lang w:val="en-US"/>
        </w:rPr>
      </w:pPr>
    </w:p>
    <w:p w:rsidR="00306ED2" w:rsidRPr="003658B5" w:rsidRDefault="00306ED2" w:rsidP="00C20E35">
      <w:pPr>
        <w:pStyle w:val="afb"/>
        <w:rPr>
          <w:lang w:val="en-US"/>
        </w:rPr>
      </w:pPr>
    </w:p>
    <w:p w:rsidR="00306ED2" w:rsidRPr="003658B5" w:rsidRDefault="00306ED2" w:rsidP="00C20E35">
      <w:pPr>
        <w:pStyle w:val="afb"/>
        <w:rPr>
          <w:lang w:val="en-US"/>
        </w:rPr>
      </w:pPr>
    </w:p>
    <w:p w:rsidR="00306ED2" w:rsidRPr="003658B5" w:rsidRDefault="00306ED2" w:rsidP="00C20E35">
      <w:pPr>
        <w:pStyle w:val="afb"/>
        <w:rPr>
          <w:lang w:val="en-US"/>
        </w:rPr>
      </w:pPr>
    </w:p>
    <w:p w:rsidR="00306ED2" w:rsidRPr="003658B5" w:rsidRDefault="00306ED2" w:rsidP="00C20E35">
      <w:pPr>
        <w:pStyle w:val="afb"/>
        <w:rPr>
          <w:lang w:val="en-US"/>
        </w:rPr>
      </w:pPr>
    </w:p>
    <w:p w:rsidR="00306ED2" w:rsidRPr="003658B5" w:rsidRDefault="00306ED2" w:rsidP="00C20E35">
      <w:pPr>
        <w:pStyle w:val="afb"/>
        <w:rPr>
          <w:lang w:val="en-US"/>
        </w:rPr>
      </w:pPr>
    </w:p>
    <w:p w:rsidR="00306ED2" w:rsidRPr="003658B5" w:rsidRDefault="00306ED2" w:rsidP="00C20E35">
      <w:pPr>
        <w:pStyle w:val="afb"/>
        <w:rPr>
          <w:lang w:val="en-US"/>
        </w:rPr>
      </w:pPr>
    </w:p>
    <w:p w:rsidR="00306ED2" w:rsidRPr="003658B5" w:rsidRDefault="00306ED2" w:rsidP="00C20E35">
      <w:pPr>
        <w:pStyle w:val="afb"/>
        <w:rPr>
          <w:lang w:val="en-US"/>
        </w:rPr>
      </w:pPr>
    </w:p>
    <w:p w:rsidR="00306ED2" w:rsidRPr="003658B5" w:rsidRDefault="00306ED2" w:rsidP="00C20E35">
      <w:pPr>
        <w:pStyle w:val="afb"/>
        <w:rPr>
          <w:lang w:val="en-US"/>
        </w:rPr>
      </w:pPr>
    </w:p>
    <w:p w:rsidR="00306ED2" w:rsidRPr="003658B5" w:rsidRDefault="00306ED2" w:rsidP="00C20E35">
      <w:pPr>
        <w:pStyle w:val="afb"/>
        <w:rPr>
          <w:lang w:val="en-US"/>
        </w:rPr>
      </w:pPr>
    </w:p>
    <w:p w:rsidR="00306ED2" w:rsidRPr="003658B5" w:rsidRDefault="00306ED2" w:rsidP="00C20E35">
      <w:pPr>
        <w:pStyle w:val="afb"/>
        <w:rPr>
          <w:lang w:val="en-US"/>
        </w:rPr>
      </w:pP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rPr>
          <w:rFonts w:ascii="Times New Roman" w:eastAsia="Calibri" w:hAnsi="Times New Roman" w:cs="Times New Roman"/>
          <w:iCs/>
          <w:color w:val="000000"/>
          <w:sz w:val="24"/>
          <w:szCs w:val="24"/>
          <w:lang w:eastAsia="ko-KR"/>
        </w:rPr>
      </w:pPr>
      <w:r w:rsidRPr="00C20E35">
        <w:rPr>
          <w:rFonts w:ascii="Times New Roman" w:eastAsia="Calibri" w:hAnsi="Times New Roman" w:cs="Times New Roman"/>
          <w:iCs/>
          <w:color w:val="000000"/>
          <w:sz w:val="24"/>
          <w:szCs w:val="24"/>
          <w:lang w:eastAsia="ko-KR"/>
        </w:rPr>
        <w:t xml:space="preserve">Рубрика: </w:t>
      </w:r>
      <w:r w:rsidRPr="00C20E35">
        <w:rPr>
          <w:rFonts w:ascii="Times New Roman" w:eastAsia="Calibri" w:hAnsi="Times New Roman" w:cs="Times New Roman"/>
          <w:iCs/>
          <w:sz w:val="24"/>
          <w:szCs w:val="24"/>
          <w:lang w:eastAsia="ko-KR"/>
        </w:rPr>
        <w:t>Туристско-рекреационный комплекс Дальнего Востока как перспективная модель развития территории</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rPr>
          <w:rFonts w:ascii="Times New Roman" w:eastAsia="Calibri" w:hAnsi="Times New Roman" w:cs="Times New Roman"/>
          <w:iCs/>
          <w:color w:val="000000"/>
          <w:sz w:val="24"/>
          <w:szCs w:val="24"/>
          <w:lang w:eastAsia="ko-KR"/>
        </w:rPr>
      </w:pPr>
      <w:r w:rsidRPr="00C20E35">
        <w:rPr>
          <w:rFonts w:ascii="Times New Roman" w:eastAsia="Calibri" w:hAnsi="Times New Roman" w:cs="Times New Roman"/>
          <w:iCs/>
          <w:color w:val="000000"/>
          <w:sz w:val="24"/>
          <w:szCs w:val="24"/>
          <w:lang w:eastAsia="ko-KR"/>
        </w:rPr>
        <w:t>УДК 379.85</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Calibri" w:hAnsi="Times New Roman" w:cs="Times New Roman"/>
          <w:b/>
          <w:iCs/>
          <w:color w:val="000000"/>
          <w:sz w:val="24"/>
          <w:szCs w:val="24"/>
          <w:lang w:eastAsia="ko-KR"/>
        </w:rPr>
      </w:pPr>
      <w:r w:rsidRPr="00C20E35">
        <w:rPr>
          <w:rFonts w:ascii="Times New Roman" w:eastAsia="Calibri" w:hAnsi="Times New Roman" w:cs="Times New Roman"/>
          <w:b/>
          <w:iCs/>
          <w:color w:val="000000"/>
          <w:sz w:val="24"/>
          <w:szCs w:val="24"/>
          <w:lang w:eastAsia="ko-KR"/>
        </w:rPr>
        <w:t xml:space="preserve">Особенности организации питания туристов во Владивостоке </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Calibri" w:hAnsi="Times New Roman" w:cs="Times New Roman"/>
          <w:b/>
          <w:iCs/>
          <w:color w:val="000000"/>
          <w:sz w:val="24"/>
          <w:szCs w:val="24"/>
          <w:lang w:eastAsia="ko-KR"/>
        </w:rPr>
      </w:pPr>
      <w:r w:rsidRPr="00C20E35">
        <w:rPr>
          <w:rFonts w:ascii="Times New Roman" w:eastAsia="Calibri" w:hAnsi="Times New Roman" w:cs="Times New Roman"/>
          <w:b/>
          <w:iCs/>
          <w:color w:val="000000"/>
          <w:sz w:val="24"/>
          <w:szCs w:val="24"/>
          <w:lang w:eastAsia="ko-KR"/>
        </w:rPr>
        <w:t>(на примере туристов из КНР)</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Calibri" w:hAnsi="Times New Roman" w:cs="Times New Roman"/>
          <w:iCs/>
          <w:color w:val="000000"/>
          <w:sz w:val="24"/>
          <w:szCs w:val="24"/>
          <w:lang w:eastAsia="ko-KR"/>
        </w:rPr>
      </w:pPr>
      <w:r w:rsidRPr="00C20E35">
        <w:rPr>
          <w:rFonts w:ascii="Times New Roman" w:eastAsia="Calibri" w:hAnsi="Times New Roman" w:cs="Times New Roman"/>
          <w:iCs/>
          <w:color w:val="000000"/>
          <w:sz w:val="24"/>
          <w:szCs w:val="24"/>
          <w:lang w:eastAsia="ko-KR"/>
        </w:rPr>
        <w:t xml:space="preserve">Логинова Лолита Вадимовна, </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Calibri" w:hAnsi="Times New Roman" w:cs="Times New Roman"/>
          <w:iCs/>
          <w:color w:val="000000"/>
          <w:sz w:val="24"/>
          <w:szCs w:val="24"/>
          <w:lang w:eastAsia="ko-KR"/>
        </w:rPr>
      </w:pPr>
      <w:r w:rsidRPr="00C20E35">
        <w:rPr>
          <w:rFonts w:ascii="Times New Roman" w:eastAsia="Calibri" w:hAnsi="Times New Roman" w:cs="Times New Roman"/>
          <w:iCs/>
          <w:color w:val="000000"/>
          <w:sz w:val="24"/>
          <w:szCs w:val="24"/>
          <w:lang w:eastAsia="ko-KR"/>
        </w:rPr>
        <w:t xml:space="preserve">бакалавр </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Calibri" w:hAnsi="Times New Roman" w:cs="Times New Roman"/>
          <w:iCs/>
          <w:color w:val="000000"/>
          <w:sz w:val="24"/>
          <w:szCs w:val="24"/>
          <w:lang w:eastAsia="ko-KR"/>
        </w:rPr>
      </w:pPr>
      <w:r w:rsidRPr="00C20E35">
        <w:rPr>
          <w:rFonts w:ascii="Times New Roman" w:eastAsia="Calibri" w:hAnsi="Times New Roman" w:cs="Times New Roman"/>
          <w:iCs/>
          <w:color w:val="000000"/>
          <w:sz w:val="24"/>
          <w:szCs w:val="24"/>
          <w:lang w:eastAsia="ko-KR"/>
        </w:rPr>
        <w:t xml:space="preserve">Кононов Артем Юрьевич, </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Calibri" w:hAnsi="Times New Roman" w:cs="Times New Roman"/>
          <w:iCs/>
          <w:color w:val="000000"/>
          <w:sz w:val="24"/>
          <w:szCs w:val="24"/>
          <w:lang w:eastAsia="ko-KR"/>
        </w:rPr>
      </w:pPr>
      <w:r w:rsidRPr="00C20E35">
        <w:rPr>
          <w:rFonts w:ascii="Times New Roman" w:eastAsia="Calibri" w:hAnsi="Times New Roman" w:cs="Times New Roman"/>
          <w:iCs/>
          <w:color w:val="000000"/>
          <w:sz w:val="24"/>
          <w:szCs w:val="24"/>
          <w:lang w:eastAsia="ko-KR"/>
        </w:rPr>
        <w:t xml:space="preserve">Кандидат экономических наук, ассистент кафедры туризма и экологии </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Calibri" w:hAnsi="Times New Roman" w:cs="Times New Roman"/>
          <w:i/>
          <w:iCs/>
          <w:color w:val="000000"/>
          <w:sz w:val="24"/>
          <w:szCs w:val="24"/>
          <w:lang w:eastAsia="ko-KR"/>
        </w:rPr>
      </w:pPr>
      <w:r w:rsidRPr="00C20E35">
        <w:rPr>
          <w:rFonts w:ascii="Times New Roman" w:eastAsia="Calibri" w:hAnsi="Times New Roman" w:cs="Times New Roman"/>
          <w:i/>
          <w:iCs/>
          <w:color w:val="000000"/>
          <w:sz w:val="24"/>
          <w:szCs w:val="24"/>
          <w:lang w:eastAsia="ko-KR"/>
        </w:rPr>
        <w:t>Владивостокский государственный университет экономики и сервиса</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Calibri" w:hAnsi="Times New Roman" w:cs="Times New Roman"/>
          <w:i/>
          <w:iCs/>
          <w:color w:val="000000"/>
          <w:sz w:val="24"/>
          <w:szCs w:val="24"/>
          <w:lang w:eastAsia="ko-KR"/>
        </w:rPr>
      </w:pPr>
      <w:r w:rsidRPr="00C20E35">
        <w:rPr>
          <w:rFonts w:ascii="Times New Roman" w:eastAsia="Calibri" w:hAnsi="Times New Roman" w:cs="Times New Roman"/>
          <w:i/>
          <w:iCs/>
          <w:color w:val="000000"/>
          <w:sz w:val="24"/>
          <w:szCs w:val="24"/>
          <w:lang w:eastAsia="ko-KR"/>
        </w:rPr>
        <w:t>Россия. Владивосток</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Calibri" w:hAnsi="Times New Roman" w:cs="Times New Roman"/>
          <w:iCs/>
          <w:color w:val="000000"/>
          <w:sz w:val="24"/>
          <w:szCs w:val="24"/>
          <w:lang w:eastAsia="ko-KR"/>
        </w:rPr>
      </w:pPr>
      <w:r w:rsidRPr="00C20E35">
        <w:rPr>
          <w:rFonts w:ascii="Times New Roman" w:eastAsia="Calibri" w:hAnsi="Times New Roman" w:cs="Times New Roman"/>
          <w:iCs/>
          <w:color w:val="000000"/>
          <w:sz w:val="24"/>
          <w:szCs w:val="24"/>
          <w:lang w:val="en-US" w:eastAsia="ko-KR"/>
        </w:rPr>
        <w:t>E</w:t>
      </w:r>
      <w:r w:rsidRPr="00C20E35">
        <w:rPr>
          <w:rFonts w:ascii="Times New Roman" w:eastAsia="Calibri" w:hAnsi="Times New Roman" w:cs="Times New Roman"/>
          <w:iCs/>
          <w:color w:val="000000"/>
          <w:sz w:val="24"/>
          <w:szCs w:val="24"/>
          <w:lang w:eastAsia="ko-KR"/>
        </w:rPr>
        <w:t>-</w:t>
      </w:r>
      <w:r w:rsidRPr="00C20E35">
        <w:rPr>
          <w:rFonts w:ascii="Times New Roman" w:eastAsia="Calibri" w:hAnsi="Times New Roman" w:cs="Times New Roman"/>
          <w:iCs/>
          <w:color w:val="000000"/>
          <w:sz w:val="24"/>
          <w:szCs w:val="24"/>
          <w:lang w:val="en-US" w:eastAsia="ko-KR"/>
        </w:rPr>
        <w:t>mail</w:t>
      </w:r>
      <w:r w:rsidRPr="00C20E35">
        <w:rPr>
          <w:rFonts w:ascii="Times New Roman" w:eastAsia="Calibri" w:hAnsi="Times New Roman" w:cs="Times New Roman"/>
          <w:iCs/>
          <w:color w:val="000000"/>
          <w:sz w:val="24"/>
          <w:szCs w:val="24"/>
          <w:lang w:eastAsia="ko-KR"/>
        </w:rPr>
        <w:t xml:space="preserve">: </w:t>
      </w:r>
      <w:r w:rsidRPr="00C20E35">
        <w:rPr>
          <w:rFonts w:ascii="Times New Roman" w:eastAsia="Calibri" w:hAnsi="Times New Roman" w:cs="Times New Roman"/>
          <w:iCs/>
          <w:color w:val="000000"/>
          <w:sz w:val="24"/>
          <w:szCs w:val="24"/>
          <w:lang w:val="en-US" w:eastAsia="ko-KR"/>
        </w:rPr>
        <w:t>Smail</w:t>
      </w:r>
      <w:r w:rsidRPr="00C20E35">
        <w:rPr>
          <w:rFonts w:ascii="Times New Roman" w:eastAsia="Calibri" w:hAnsi="Times New Roman" w:cs="Times New Roman"/>
          <w:iCs/>
          <w:color w:val="000000"/>
          <w:sz w:val="24"/>
          <w:szCs w:val="24"/>
          <w:lang w:eastAsia="ko-KR"/>
        </w:rPr>
        <w:t>_2033@</w:t>
      </w:r>
      <w:r w:rsidRPr="00C20E35">
        <w:rPr>
          <w:rFonts w:ascii="Times New Roman" w:eastAsia="Calibri" w:hAnsi="Times New Roman" w:cs="Times New Roman"/>
          <w:iCs/>
          <w:color w:val="000000"/>
          <w:sz w:val="24"/>
          <w:szCs w:val="24"/>
          <w:lang w:val="en-US" w:eastAsia="ko-KR"/>
        </w:rPr>
        <w:t>mail</w:t>
      </w:r>
      <w:r w:rsidRPr="00C20E35">
        <w:rPr>
          <w:rFonts w:ascii="Times New Roman" w:eastAsia="Calibri" w:hAnsi="Times New Roman" w:cs="Times New Roman"/>
          <w:iCs/>
          <w:color w:val="000000"/>
          <w:sz w:val="24"/>
          <w:szCs w:val="24"/>
          <w:lang w:eastAsia="ko-KR"/>
        </w:rPr>
        <w:t>.</w:t>
      </w:r>
      <w:r w:rsidRPr="00C20E35">
        <w:rPr>
          <w:rFonts w:ascii="Times New Roman" w:eastAsia="Calibri" w:hAnsi="Times New Roman" w:cs="Times New Roman"/>
          <w:iCs/>
          <w:color w:val="000000"/>
          <w:sz w:val="24"/>
          <w:szCs w:val="24"/>
          <w:lang w:val="en-US" w:eastAsia="ko-KR"/>
        </w:rPr>
        <w:t>ru</w:t>
      </w:r>
      <w:r w:rsidRPr="00C20E35">
        <w:rPr>
          <w:rFonts w:ascii="Times New Roman" w:eastAsia="Calibri" w:hAnsi="Times New Roman" w:cs="Times New Roman"/>
          <w:iCs/>
          <w:color w:val="000000"/>
          <w:sz w:val="24"/>
          <w:szCs w:val="24"/>
          <w:lang w:eastAsia="ko-KR"/>
        </w:rPr>
        <w:t>; тел.: +79996159833</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Calibri" w:hAnsi="Times New Roman" w:cs="Times New Roman"/>
          <w:iCs/>
          <w:color w:val="000000"/>
          <w:sz w:val="24"/>
          <w:szCs w:val="24"/>
          <w:lang w:eastAsia="ko-KR"/>
        </w:rPr>
      </w:pPr>
      <w:r w:rsidRPr="00C20E35">
        <w:rPr>
          <w:rFonts w:ascii="Times New Roman" w:eastAsia="Calibri" w:hAnsi="Times New Roman" w:cs="Times New Roman"/>
          <w:iCs/>
          <w:color w:val="000000"/>
          <w:sz w:val="24"/>
          <w:szCs w:val="24"/>
          <w:lang w:eastAsia="ko-KR"/>
        </w:rPr>
        <w:t>ул. Гоголя, 41, г. Владивосток, Приморский край, Россия, 690014</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Calibri" w:hAnsi="Times New Roman" w:cs="Times New Roman"/>
          <w:iCs/>
          <w:color w:val="000000"/>
          <w:sz w:val="24"/>
          <w:szCs w:val="24"/>
          <w:lang w:eastAsia="ko-KR"/>
        </w:rPr>
      </w:pP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before="120" w:after="120" w:line="240" w:lineRule="auto"/>
        <w:ind w:left="-17" w:right="215" w:firstLine="697"/>
        <w:jc w:val="both"/>
        <w:rPr>
          <w:rFonts w:ascii="Times New Roman" w:eastAsia="SimSun" w:hAnsi="Times New Roman" w:cs="Times New Roman"/>
          <w:sz w:val="24"/>
          <w:lang w:eastAsia="zh-CN"/>
        </w:rPr>
      </w:pPr>
      <w:r w:rsidRPr="00C20E35">
        <w:rPr>
          <w:rFonts w:ascii="Times New Roman" w:eastAsia="Calibri" w:hAnsi="Times New Roman" w:cs="Times New Roman"/>
          <w:i/>
          <w:iCs/>
          <w:sz w:val="24"/>
          <w:szCs w:val="24"/>
          <w:lang w:eastAsia="ko-KR"/>
        </w:rPr>
        <w:t>Организация питания - важный элемент туристской инфраструктуры. При этом предприятия общественного питания должны учитывать в своей деятельности как национального потребителя, так и иностранных туристов. Особый интерес представляют туристы из КНР. Проведенный в ходе исследования опрос позволил оценить проблемы и перспективы обслуживания туристов из КНР на предприятиях общественного питания Владивостока</w:t>
      </w:r>
      <w:r w:rsidRPr="00C20E35">
        <w:rPr>
          <w:rFonts w:ascii="Times New Roman" w:eastAsia="SimSun" w:hAnsi="Times New Roman" w:cs="Times New Roman"/>
          <w:i/>
          <w:sz w:val="24"/>
          <w:lang w:eastAsia="zh-CN"/>
        </w:rPr>
        <w:t>.</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before="120" w:after="120" w:line="240" w:lineRule="auto"/>
        <w:ind w:left="-17" w:right="215" w:firstLine="697"/>
        <w:jc w:val="both"/>
        <w:rPr>
          <w:rFonts w:ascii="Times New Roman" w:eastAsia="Calibri" w:hAnsi="Times New Roman" w:cs="Times New Roman"/>
          <w:i/>
          <w:iCs/>
          <w:sz w:val="24"/>
          <w:szCs w:val="24"/>
          <w:lang w:eastAsia="ko-KR"/>
        </w:rPr>
      </w:pPr>
      <w:r w:rsidRPr="00C20E35">
        <w:rPr>
          <w:rFonts w:ascii="Times New Roman" w:eastAsia="Calibri" w:hAnsi="Times New Roman" w:cs="Times New Roman"/>
          <w:b/>
          <w:i/>
          <w:iCs/>
          <w:sz w:val="24"/>
          <w:szCs w:val="24"/>
          <w:lang w:eastAsia="ko-KR"/>
        </w:rPr>
        <w:t>Ключевые слова и словосочетания</w:t>
      </w:r>
      <w:r w:rsidRPr="00C20E35">
        <w:rPr>
          <w:rFonts w:ascii="Times New Roman" w:eastAsia="Calibri" w:hAnsi="Times New Roman" w:cs="Times New Roman"/>
          <w:i/>
          <w:iCs/>
          <w:sz w:val="24"/>
          <w:szCs w:val="24"/>
          <w:lang w:eastAsia="ko-KR"/>
        </w:rPr>
        <w:t>: питание, организация питания, продукты питания, Россия, анкетный опрос.</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before="120" w:after="120" w:line="240" w:lineRule="auto"/>
        <w:ind w:left="-17" w:right="215" w:firstLine="697"/>
        <w:jc w:val="center"/>
        <w:rPr>
          <w:rFonts w:ascii="Times New Roman" w:eastAsia="Calibri" w:hAnsi="Times New Roman" w:cs="Times New Roman"/>
          <w:b/>
          <w:iCs/>
          <w:sz w:val="24"/>
          <w:szCs w:val="24"/>
          <w:lang w:val="en-US" w:eastAsia="ko-KR"/>
        </w:rPr>
      </w:pPr>
      <w:r w:rsidRPr="00C20E35">
        <w:rPr>
          <w:rFonts w:ascii="Times New Roman" w:eastAsia="SimSun" w:hAnsi="Times New Roman" w:cs="Times New Roman"/>
          <w:b/>
          <w:iCs/>
          <w:sz w:val="24"/>
          <w:szCs w:val="24"/>
          <w:lang w:val="en-US" w:eastAsia="zh-CN"/>
        </w:rPr>
        <w:t>Tourists catering peculiarities in Vladivostok (</w:t>
      </w:r>
      <w:r w:rsidRPr="00C20E35">
        <w:rPr>
          <w:rFonts w:ascii="Times New Roman" w:eastAsia="Calibri" w:hAnsi="Times New Roman" w:cs="Times New Roman"/>
          <w:b/>
          <w:iCs/>
          <w:sz w:val="24"/>
          <w:szCs w:val="24"/>
          <w:lang w:val="en-US" w:eastAsia="ko-KR"/>
        </w:rPr>
        <w:t>in the context of Chinese tourists)</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before="120" w:after="120" w:line="240" w:lineRule="auto"/>
        <w:ind w:left="-17" w:right="215" w:firstLine="697"/>
        <w:jc w:val="both"/>
        <w:rPr>
          <w:rFonts w:ascii="Times New Roman" w:eastAsia="SimSun" w:hAnsi="Times New Roman" w:cs="Times New Roman"/>
          <w:i/>
          <w:iCs/>
          <w:sz w:val="24"/>
          <w:szCs w:val="24"/>
          <w:lang w:val="en-US" w:eastAsia="zh-CN"/>
        </w:rPr>
      </w:pPr>
      <w:r w:rsidRPr="00C20E35">
        <w:rPr>
          <w:rFonts w:ascii="Times New Roman" w:eastAsia="SimSun" w:hAnsi="Times New Roman" w:cs="Times New Roman"/>
          <w:i/>
          <w:iCs/>
          <w:sz w:val="24"/>
          <w:szCs w:val="24"/>
          <w:lang w:val="en-US" w:eastAsia="zh-CN"/>
        </w:rPr>
        <w:t>Catering is an important element of the tourism infrastructure. At the same time, public catering enterprise should take both national consumers and foreign tourists into account in its work. Chinese tourists draw special attention. Questionnaire survey proposed in this research allowed to discover problems and perspectives of tourist services for Chinese citizens on the Vladivostok’s public catering enterprises.</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before="120" w:after="120" w:line="240" w:lineRule="auto"/>
        <w:ind w:left="-17" w:right="215" w:firstLine="697"/>
        <w:jc w:val="both"/>
        <w:rPr>
          <w:rFonts w:ascii="Times New Roman" w:eastAsia="Calibri" w:hAnsi="Times New Roman" w:cs="Times New Roman"/>
          <w:i/>
          <w:iCs/>
          <w:sz w:val="24"/>
          <w:szCs w:val="24"/>
          <w:lang w:val="en-US" w:eastAsia="ko-KR"/>
        </w:rPr>
      </w:pPr>
      <w:r w:rsidRPr="00C20E35">
        <w:rPr>
          <w:rFonts w:ascii="Times New Roman" w:eastAsia="Calibri" w:hAnsi="Times New Roman" w:cs="Times New Roman"/>
          <w:b/>
          <w:i/>
          <w:iCs/>
          <w:sz w:val="24"/>
          <w:szCs w:val="24"/>
          <w:lang w:val="en-US" w:eastAsia="ko-KR"/>
        </w:rPr>
        <w:t>Keywords</w:t>
      </w:r>
      <w:r w:rsidRPr="00C20E35">
        <w:rPr>
          <w:rFonts w:ascii="Times New Roman" w:eastAsia="Calibri" w:hAnsi="Times New Roman" w:cs="Times New Roman"/>
          <w:i/>
          <w:iCs/>
          <w:sz w:val="24"/>
          <w:szCs w:val="24"/>
          <w:lang w:val="en-US" w:eastAsia="ko-KR"/>
        </w:rPr>
        <w:t xml:space="preserve">: </w:t>
      </w:r>
      <w:r w:rsidRPr="00C20E35">
        <w:rPr>
          <w:rFonts w:ascii="Times New Roman" w:eastAsia="SimSun" w:hAnsi="Times New Roman" w:cs="Times New Roman"/>
          <w:i/>
          <w:iCs/>
          <w:sz w:val="24"/>
          <w:szCs w:val="24"/>
          <w:lang w:val="en-US" w:eastAsia="zh-CN"/>
        </w:rPr>
        <w:t>nutrition</w:t>
      </w:r>
      <w:r w:rsidRPr="00C20E35">
        <w:rPr>
          <w:rFonts w:ascii="Times New Roman" w:eastAsia="Calibri" w:hAnsi="Times New Roman" w:cs="Times New Roman"/>
          <w:i/>
          <w:iCs/>
          <w:sz w:val="24"/>
          <w:szCs w:val="24"/>
          <w:lang w:val="en-US" w:eastAsia="ko-KR"/>
        </w:rPr>
        <w:t xml:space="preserve">, </w:t>
      </w:r>
      <w:r w:rsidRPr="00C20E35">
        <w:rPr>
          <w:rFonts w:ascii="Times New Roman" w:eastAsia="SimSun" w:hAnsi="Times New Roman" w:cs="Times New Roman"/>
          <w:i/>
          <w:iCs/>
          <w:sz w:val="24"/>
          <w:szCs w:val="24"/>
          <w:lang w:val="en-US" w:eastAsia="zh-CN"/>
        </w:rPr>
        <w:t>catering, food products, Russia, questionnaire survey</w:t>
      </w:r>
      <w:r w:rsidRPr="00C20E35">
        <w:rPr>
          <w:rFonts w:ascii="Times New Roman" w:eastAsia="Calibri" w:hAnsi="Times New Roman" w:cs="Times New Roman"/>
          <w:i/>
          <w:iCs/>
          <w:sz w:val="24"/>
          <w:szCs w:val="24"/>
          <w:lang w:val="en-US" w:eastAsia="ko-KR"/>
        </w:rPr>
        <w:t>.</w:t>
      </w:r>
    </w:p>
    <w:p w:rsidR="00306ED2"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Calibri" w:hAnsi="Times New Roman" w:cs="Times New Roman"/>
          <w:iCs/>
          <w:color w:val="000000"/>
          <w:sz w:val="24"/>
          <w:szCs w:val="24"/>
          <w:lang w:eastAsia="ko-KR"/>
        </w:rPr>
      </w:pPr>
      <w:r w:rsidRPr="00C20E35">
        <w:rPr>
          <w:rFonts w:ascii="Times New Roman" w:eastAsia="Calibri" w:hAnsi="Times New Roman" w:cs="Times New Roman"/>
          <w:iCs/>
          <w:color w:val="000000"/>
          <w:sz w:val="24"/>
          <w:szCs w:val="24"/>
          <w:lang w:eastAsia="ko-KR"/>
        </w:rPr>
        <w:t xml:space="preserve">В январе Всемирная туристская организация назвала 2017 туристический год самым успешным за последние 7 лет. По данным UNWTO в 2017 году число международных туристических прибытий выросло на 7%, достигнув в общей сложности 1322 млн.[1]. Вместе с тем согласно данным Федеральной службы государственной статистики РФ число въездных туристских поездок в январе-декабре 2017 составило 24 390 000, сократившись по сравнению с 2016 годом примерно на 0,01%. [9]. </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Calibri" w:hAnsi="Times New Roman" w:cs="Times New Roman"/>
          <w:iCs/>
          <w:color w:val="000000"/>
          <w:sz w:val="24"/>
          <w:szCs w:val="24"/>
          <w:lang w:eastAsia="ko-KR"/>
        </w:rPr>
      </w:pP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15"/>
        <w:jc w:val="both"/>
        <w:rPr>
          <w:rFonts w:ascii="Times New Roman" w:eastAsia="Calibri" w:hAnsi="Times New Roman" w:cs="Times New Roman"/>
          <w:iCs/>
          <w:color w:val="000000"/>
          <w:sz w:val="24"/>
          <w:szCs w:val="24"/>
          <w:lang w:eastAsia="ko-KR"/>
        </w:rPr>
      </w:pPr>
      <w:r w:rsidRPr="00C20E35">
        <w:rPr>
          <w:rFonts w:ascii="Times New Roman" w:eastAsia="Calibri" w:hAnsi="Times New Roman" w:cs="Times New Roman"/>
          <w:noProof/>
          <w:color w:val="000000"/>
          <w:sz w:val="24"/>
          <w:lang w:eastAsia="ru-RU"/>
        </w:rPr>
        <w:drawing>
          <wp:inline distT="0" distB="0" distL="0" distR="0" wp14:anchorId="19A4C1B0" wp14:editId="60A74EC2">
            <wp:extent cx="5878195" cy="1872615"/>
            <wp:effectExtent l="0" t="0" r="0" b="0"/>
            <wp:docPr id="199" name="Диаграмма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
              </a:graphicData>
            </a:graphic>
          </wp:inline>
        </w:drawing>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Calibri" w:hAnsi="Times New Roman" w:cs="Times New Roman"/>
          <w:iCs/>
          <w:color w:val="000000"/>
          <w:sz w:val="24"/>
          <w:szCs w:val="24"/>
          <w:lang w:eastAsia="ko-KR"/>
        </w:rPr>
      </w:pPr>
      <w:r w:rsidRPr="00C20E35">
        <w:rPr>
          <w:rFonts w:ascii="Times New Roman" w:eastAsia="Calibri" w:hAnsi="Times New Roman" w:cs="Times New Roman"/>
          <w:iCs/>
          <w:color w:val="000000"/>
          <w:sz w:val="24"/>
          <w:szCs w:val="24"/>
          <w:lang w:eastAsia="ko-KR"/>
        </w:rPr>
        <w:t>Рис.1 - Число въездных туристских поездок иностранных граждан в Россию</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Calibri" w:hAnsi="Times New Roman" w:cs="Times New Roman"/>
          <w:iCs/>
          <w:color w:val="000000"/>
          <w:sz w:val="24"/>
          <w:szCs w:val="24"/>
          <w:lang w:eastAsia="ko-KR"/>
        </w:rPr>
      </w:pPr>
      <w:r w:rsidRPr="00C20E35">
        <w:rPr>
          <w:rFonts w:ascii="Times New Roman" w:eastAsia="Calibri" w:hAnsi="Times New Roman" w:cs="Times New Roman"/>
          <w:iCs/>
          <w:color w:val="000000"/>
          <w:sz w:val="24"/>
          <w:szCs w:val="24"/>
          <w:lang w:eastAsia="ko-KR"/>
        </w:rPr>
        <w:t xml:space="preserve">Таким образом, проблема повышения качества обслуживания туристов, развития туристской инфраструктуры остается для нашей страны в крайней степени актуальной. </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Calibri" w:hAnsi="Times New Roman" w:cs="Times New Roman"/>
          <w:iCs/>
          <w:color w:val="000000"/>
          <w:sz w:val="24"/>
          <w:szCs w:val="24"/>
          <w:lang w:eastAsia="ko-KR"/>
        </w:rPr>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Calibri" w:hAnsi="Times New Roman" w:cs="Times New Roman"/>
          <w:iCs/>
          <w:color w:val="000000"/>
          <w:sz w:val="24"/>
          <w:szCs w:val="24"/>
          <w:lang w:eastAsia="ko-KR"/>
        </w:rPr>
      </w:pPr>
      <w:r w:rsidRPr="00C20E35">
        <w:rPr>
          <w:rFonts w:ascii="Times New Roman" w:eastAsia="Calibri" w:hAnsi="Times New Roman" w:cs="Times New Roman"/>
          <w:iCs/>
          <w:color w:val="000000"/>
          <w:sz w:val="24"/>
          <w:szCs w:val="24"/>
          <w:lang w:eastAsia="ko-KR"/>
        </w:rPr>
        <w:t xml:space="preserve">Организация питания, различные предприятия общественного питания, являются важным элементом туристской инфраструктуры. В ГОСТ 31985-2013 «Услуги общественного питания. Термины и определения» услуга общественного питания (индустрии питания) определяется как результат деятельности предприятий общественного питания (юридических лиц или индивидуальных предпринимателей) по удовлетворению потребностей потребителя в продукции общественного питания, в создании условий для реализации и потребления продукции общественного питания и покупных товаров, в проведении досуга и в других дополнительных услугах. [3]. </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Calibri" w:hAnsi="Times New Roman" w:cs="Times New Roman"/>
          <w:iCs/>
          <w:color w:val="000000"/>
          <w:sz w:val="24"/>
          <w:szCs w:val="24"/>
          <w:lang w:eastAsia="ko-KR"/>
        </w:rPr>
      </w:pPr>
      <w:r w:rsidRPr="00C20E35">
        <w:rPr>
          <w:rFonts w:ascii="Times New Roman" w:eastAsia="Calibri" w:hAnsi="Times New Roman" w:cs="Times New Roman"/>
          <w:iCs/>
          <w:color w:val="000000"/>
          <w:sz w:val="24"/>
          <w:szCs w:val="24"/>
          <w:lang w:eastAsia="ko-KR"/>
        </w:rPr>
        <w:t xml:space="preserve">Важной частью ресторанного обслуживания является качество услуг. При этом предприятия общественного питания должны ориентироваться в своей деятельности как на национального потребителя, так и на туристов. В то же время для каждой группы туристов необходимы определённые требования обслуживания, которые зависят от национального менталитета, традиций и обычаев. Особое внимание для исследования представляют туристы из Китая, так как согласно данным статистики, именно китайский въездной поток задает тон на современном российском рынке. Можно отметить, что несмотря на отмечавшееся общее падение числа въездных туристских поездок в 2017 году, данный показатель для КНР на самом деле несколько подрос (с 1 289 000 в 2016 до 1 478 000 в 2017). [9]. </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15"/>
        <w:jc w:val="both"/>
        <w:rPr>
          <w:rFonts w:ascii="Times New Roman" w:eastAsia="Calibri" w:hAnsi="Times New Roman" w:cs="Times New Roman"/>
          <w:iCs/>
          <w:color w:val="000000"/>
          <w:sz w:val="24"/>
          <w:szCs w:val="24"/>
          <w:lang w:eastAsia="ko-KR"/>
        </w:rPr>
      </w:pPr>
      <w:r w:rsidRPr="00C20E35">
        <w:rPr>
          <w:rFonts w:ascii="Times New Roman" w:eastAsia="Calibri" w:hAnsi="Times New Roman" w:cs="Times New Roman"/>
          <w:noProof/>
          <w:color w:val="000000"/>
          <w:sz w:val="24"/>
          <w:szCs w:val="24"/>
          <w:lang w:eastAsia="ru-RU"/>
        </w:rPr>
        <w:drawing>
          <wp:inline distT="0" distB="0" distL="0" distR="0" wp14:anchorId="03262230" wp14:editId="68FA455B">
            <wp:extent cx="5856605" cy="1970405"/>
            <wp:effectExtent l="0" t="0" r="0" b="0"/>
            <wp:docPr id="200" name="Диаграмма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Calibri" w:hAnsi="Times New Roman" w:cs="Times New Roman"/>
          <w:iCs/>
          <w:color w:val="000000"/>
          <w:sz w:val="24"/>
          <w:szCs w:val="24"/>
          <w:lang w:eastAsia="ko-KR"/>
        </w:rPr>
      </w:pPr>
      <w:r w:rsidRPr="00C20E35">
        <w:rPr>
          <w:rFonts w:ascii="Times New Roman" w:eastAsia="Calibri" w:hAnsi="Times New Roman" w:cs="Times New Roman"/>
          <w:iCs/>
          <w:color w:val="000000"/>
          <w:sz w:val="24"/>
          <w:szCs w:val="24"/>
          <w:lang w:eastAsia="ko-KR"/>
        </w:rPr>
        <w:t>Рис.2 - Число въездных туристских поездок иностранных граждан в Россию из КНР</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Calibri" w:hAnsi="Times New Roman" w:cs="Times New Roman"/>
          <w:iCs/>
          <w:color w:val="000000"/>
          <w:sz w:val="24"/>
          <w:szCs w:val="24"/>
          <w:lang w:eastAsia="ko-KR"/>
        </w:rPr>
      </w:pPr>
      <w:r w:rsidRPr="00C20E35">
        <w:rPr>
          <w:rFonts w:ascii="Times New Roman" w:eastAsia="Calibri" w:hAnsi="Times New Roman" w:cs="Times New Roman"/>
          <w:iCs/>
          <w:color w:val="000000"/>
          <w:sz w:val="24"/>
          <w:szCs w:val="24"/>
          <w:lang w:eastAsia="ko-KR"/>
        </w:rPr>
        <w:t>Китайских туристов всё больше привлекают достопримечательности России, обычаи, традиции и культура народа, а с введением безвизового режима и ослаблением курса рубля, путешествия в Россию стали ещё популярнее. Основной поток туристов приходится на Москву и Санкт-Петербург, среди прочих российских регионов несомненно выделяется Приморский край. По данным департамента туризма Приморского края, в 2017 г. из этой страны к нам приехало около 420 тысяч туристов (общее число иностранных туристов по итогам 2017 года посетивших Приморский край составило более 640 тысяч человек). [6]. По предварительным прогнозам, в 2018 г. Приморье примет около 440–450 тыс. китайских туристов.</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Calibri" w:hAnsi="Times New Roman" w:cs="Times New Roman"/>
          <w:iCs/>
          <w:color w:val="000000"/>
          <w:sz w:val="24"/>
          <w:szCs w:val="24"/>
          <w:lang w:eastAsia="ko-KR"/>
        </w:rPr>
      </w:pPr>
      <w:r w:rsidRPr="00C20E35">
        <w:rPr>
          <w:rFonts w:ascii="Times New Roman" w:eastAsia="Calibri" w:hAnsi="Times New Roman" w:cs="Times New Roman"/>
          <w:iCs/>
          <w:color w:val="000000"/>
          <w:sz w:val="24"/>
          <w:szCs w:val="24"/>
          <w:lang w:eastAsia="ko-KR"/>
        </w:rPr>
        <w:t xml:space="preserve">В связи с этим для предприятий питания важно учитывать особенности менталитета туристов из КНР при организации обслуживания. </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Calibri" w:hAnsi="Times New Roman" w:cs="Times New Roman"/>
          <w:iCs/>
          <w:color w:val="000000"/>
          <w:sz w:val="24"/>
          <w:szCs w:val="24"/>
          <w:lang w:eastAsia="ko-KR"/>
        </w:rPr>
      </w:pPr>
      <w:r w:rsidRPr="00C20E35">
        <w:rPr>
          <w:rFonts w:ascii="Times New Roman" w:eastAsia="Calibri" w:hAnsi="Times New Roman" w:cs="Times New Roman"/>
          <w:iCs/>
          <w:color w:val="000000"/>
          <w:sz w:val="24"/>
          <w:szCs w:val="24"/>
          <w:lang w:eastAsia="ko-KR"/>
        </w:rPr>
        <w:t xml:space="preserve">Здесь стоит начать с того, что на 1 марта 2018 года деятельность гостиниц и предприятий общественного питания осуществляли 1535 предприятий в Приморском крае. Однако вклад их деятельности в ВРП, по данным территориального органа федеральной службы государственной статистики по Приморскому краю, в последние годы практически не меняется. [7]. Несмотря на большое количество различных ресторанов, кафе, рынок питания во Владивостоке не насыщен и имеет большой потенциал развития. Согласно подсчетам специалистов, в городе на одно заведение приходится более 600 человек, так как на 600 тысяч проживающих в настоящее время действуют около 900 различных заведений общественного питания. И это данные без учёта туристов, приезжающих во Владивосток. [11] При этом во Владивостоке можно выделить несколько свободных ниш (например, спортивная тематика). </w:t>
      </w:r>
    </w:p>
    <w:p w:rsidR="00306ED2" w:rsidRDefault="00306ED2" w:rsidP="00C20E35">
      <w:pPr>
        <w:pStyle w:val="afb"/>
      </w:pPr>
    </w:p>
    <w:p w:rsidR="00306ED2" w:rsidRDefault="00306ED2" w:rsidP="00C20E35">
      <w:pPr>
        <w:pStyle w:val="afb"/>
      </w:pP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Calibri" w:hAnsi="Times New Roman" w:cs="Times New Roman"/>
          <w:iCs/>
          <w:color w:val="000000"/>
          <w:sz w:val="24"/>
          <w:szCs w:val="24"/>
          <w:lang w:eastAsia="ko-KR"/>
        </w:rPr>
      </w:pPr>
      <w:r w:rsidRPr="00306ED2">
        <w:rPr>
          <w:rFonts w:ascii="Times New Roman" w:eastAsia="Calibri" w:hAnsi="Times New Roman" w:cs="Times New Roman"/>
          <w:iCs/>
          <w:color w:val="000000"/>
          <w:sz w:val="24"/>
          <w:szCs w:val="24"/>
          <w:lang w:eastAsia="ko-KR"/>
        </w:rPr>
        <w:t>Вместе с тем, во Владивостоке почти 90 предприятий общественного питания, которые предлагают китайскую кухню. И это не случайно. Ведь, на китайскую кухню большой спрос как местных жителей, так и туристов, в том числе и китайских. Также, как и русский турист, приезжающий в КНР, после знакомства с местными блюдами устремляется на поиски русской кухни, так и туристы из КНР, насладившись дальневосточными морепродуктами в дальнейшем предпочтут блюда китайской кухни. [8] Проведенное нами анкетирование 28 туристов из КНР, проживающих во Владивостоке, подтвердило, что наличие китайской кухни является вторым по важности фактором при выборе предприятия общественного питания. При этом в качестве одного из трех важнейших факторов его выделили 53% опрошенных.</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Calibri" w:hAnsi="Times New Roman" w:cs="Times New Roman"/>
          <w:iCs/>
          <w:color w:val="000000"/>
          <w:sz w:val="24"/>
          <w:szCs w:val="24"/>
          <w:lang w:eastAsia="ko-KR"/>
        </w:rPr>
      </w:pPr>
      <w:r w:rsidRPr="00306ED2">
        <w:rPr>
          <w:rFonts w:ascii="Times New Roman" w:eastAsia="Calibri" w:hAnsi="Times New Roman" w:cs="Times New Roman"/>
          <w:noProof/>
          <w:color w:val="000000"/>
          <w:sz w:val="24"/>
          <w:lang w:eastAsia="ru-RU"/>
        </w:rPr>
        <w:drawing>
          <wp:inline distT="0" distB="0" distL="0" distR="0" wp14:anchorId="505BB676" wp14:editId="69739D43">
            <wp:extent cx="5490845" cy="1946275"/>
            <wp:effectExtent l="0" t="0" r="0" b="0"/>
            <wp:docPr id="201"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Calibri" w:hAnsi="Times New Roman" w:cs="Times New Roman"/>
          <w:iCs/>
          <w:color w:val="000000"/>
          <w:sz w:val="24"/>
          <w:szCs w:val="24"/>
          <w:lang w:eastAsia="ko-KR"/>
        </w:rPr>
      </w:pPr>
      <w:r w:rsidRPr="00306ED2">
        <w:rPr>
          <w:rFonts w:ascii="Times New Roman" w:eastAsia="Calibri" w:hAnsi="Times New Roman" w:cs="Times New Roman"/>
          <w:iCs/>
          <w:color w:val="000000"/>
          <w:sz w:val="24"/>
          <w:szCs w:val="24"/>
          <w:lang w:eastAsia="ko-KR"/>
        </w:rPr>
        <w:t xml:space="preserve">Рис.3 – Факторы, влияющие на выбор предприятий общественного питания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SimSun" w:hAnsi="Times New Roman" w:cs="Times New Roman"/>
          <w:iCs/>
          <w:color w:val="000000"/>
          <w:sz w:val="24"/>
          <w:szCs w:val="24"/>
          <w:lang w:eastAsia="zh-CN"/>
        </w:rPr>
      </w:pPr>
      <w:r w:rsidRPr="00306ED2">
        <w:rPr>
          <w:rFonts w:ascii="Times New Roman" w:eastAsia="Calibri" w:hAnsi="Times New Roman" w:cs="Times New Roman"/>
          <w:iCs/>
          <w:color w:val="000000"/>
          <w:sz w:val="24"/>
          <w:szCs w:val="24"/>
          <w:lang w:val="en-US" w:eastAsia="ko-KR"/>
        </w:rPr>
        <w:t>C</w:t>
      </w:r>
      <w:r w:rsidRPr="00306ED2">
        <w:rPr>
          <w:rFonts w:ascii="Times New Roman" w:eastAsia="Calibri" w:hAnsi="Times New Roman" w:cs="Times New Roman"/>
          <w:iCs/>
          <w:color w:val="000000"/>
          <w:sz w:val="24"/>
          <w:szCs w:val="24"/>
          <w:lang w:eastAsia="ko-KR"/>
        </w:rPr>
        <w:t xml:space="preserve">ущественная часть респондентов все же отметила, что Владивостоку необходимо сохранять свою самобытность и разнообразие в предлагаемых кухнях, адаптированных для туристов. Одни путешественники желают попробовать китайскую или корейскую кухню, другие приезжают насладиться традиционно русской, третьих привлекают дальневосточные морепродукты. Каждому путешественнику необходимо обеспечить комфортные условия и предложить разнообразный ассортимент блюд, удовлетворяющий любые вкусы. [8] При этом блюда Дальнего Востока могут стать визитной карточкой, гастрономическим брендом. А благодаря развитию гастрономического туризма, а также развитию внутреннего и внешнего туризма как в России в целом, так и на Дальнем Востоке, данный бренд будет расти и набирать популярность. </w:t>
      </w:r>
      <w:r w:rsidRPr="00306ED2">
        <w:rPr>
          <w:rFonts w:ascii="Times New Roman" w:eastAsia="SimSun" w:hAnsi="Times New Roman" w:cs="Times New Roman"/>
          <w:iCs/>
          <w:color w:val="000000"/>
          <w:sz w:val="24"/>
          <w:szCs w:val="24"/>
          <w:lang w:eastAsia="zh-CN"/>
        </w:rPr>
        <w:t>[5]</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Calibri" w:hAnsi="Times New Roman" w:cs="Times New Roman"/>
          <w:iCs/>
          <w:color w:val="000000"/>
          <w:sz w:val="24"/>
          <w:szCs w:val="24"/>
          <w:lang w:eastAsia="ko-KR"/>
        </w:rPr>
      </w:pPr>
      <w:r w:rsidRPr="00306ED2">
        <w:rPr>
          <w:rFonts w:ascii="Times New Roman" w:eastAsia="Calibri" w:hAnsi="Times New Roman" w:cs="Times New Roman"/>
          <w:iCs/>
          <w:color w:val="000000"/>
          <w:sz w:val="24"/>
          <w:szCs w:val="24"/>
          <w:lang w:eastAsia="ko-KR"/>
        </w:rPr>
        <w:t xml:space="preserve"> Проблема предоставления высокого качества обслуживания туристов из КНР сопровождается рядом причин. Во-первых, туристический поток Приморского края не постоянен. Он достигает пика в конце лета и идёт на спад к декабрю. Поэтому не каждое заведение ориентируется только на приезжих туристов, особенно на определённую национальность, в нашем случае китайцев. По мнению предпринимателей, местные жители в течении года будут чаще посещать заведения общественного питания. Во внимание так же берётся и культурные различия между русскими и китайцами. Культурные традиции, особенности менталитета влияют на специфику поведения в ресторане и употребления пищи. Чтобы избежать данных ситуаций, некоторые рестораторы предлагают приезжим туристам памятку на китайском языке о правилах поведения в русском ресторане. [8] Для качественного обслуживания иностранных туристов можно также выделять отдельные залы или необходимое количество столов в общем зале. Туристическим группам следует предоставлять питание в определённое время по договорённости. Обслуживающий персонал должен владеть китайским языком, в должном объёме для выполнения своих обязанностей. При составлении меню нужно учитывать национальные вкусы и привычки в питании китайских туристов. Обязательным условием при организации питания является быстрая подача блюд.</w:t>
      </w:r>
    </w:p>
    <w:p w:rsidR="00306ED2" w:rsidRDefault="00306ED2" w:rsidP="00306ED2">
      <w:pPr>
        <w:pStyle w:val="afb"/>
      </w:pPr>
      <w:r w:rsidRPr="00306ED2">
        <w:rPr>
          <w:rFonts w:cs="Times New Roman"/>
          <w:iCs/>
          <w:color w:val="000000"/>
          <w:sz w:val="24"/>
          <w:szCs w:val="24"/>
        </w:rPr>
        <w:t xml:space="preserve">Стоит отметить, что с 2014 года и по сей день реализуется масштабный проект China Friendly, который охватывает предприятия туристического сервиса, включая гостиницы и рестораны. Цель данного проекта развивать сервис и повышать уровень качества предоставляемых услуг для увеличения турпотока именно туристов из КНР в Россию. </w:t>
      </w:r>
      <w:r w:rsidRPr="00306ED2">
        <w:rPr>
          <w:rFonts w:eastAsia="SimSun" w:cs="Times New Roman"/>
          <w:iCs/>
          <w:color w:val="000000"/>
          <w:sz w:val="24"/>
          <w:szCs w:val="24"/>
          <w:lang w:eastAsia="zh-CN"/>
        </w:rPr>
        <w:t>[10]</w:t>
      </w: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306ED2">
      <w:pPr>
        <w:spacing w:line="240" w:lineRule="auto"/>
        <w:ind w:left="-15" w:right="214"/>
        <w:rPr>
          <w:iCs/>
          <w:szCs w:val="24"/>
        </w:rPr>
      </w:pPr>
      <w:r>
        <w:rPr>
          <w:iCs/>
          <w:szCs w:val="24"/>
        </w:rPr>
        <w:t>На сегодняшний день, согласно результатам нашего опроса, актуальность такого рода мер сохраняется, так как 32% респондентов по-прежнему неудовлетворены качеством сервиса.</w:t>
      </w:r>
    </w:p>
    <w:p w:rsidR="00306ED2" w:rsidRPr="005050D7" w:rsidRDefault="00306ED2" w:rsidP="00306ED2">
      <w:pPr>
        <w:spacing w:line="240" w:lineRule="auto"/>
        <w:ind w:left="-15" w:right="214"/>
        <w:rPr>
          <w:iCs/>
          <w:szCs w:val="24"/>
        </w:rPr>
      </w:pPr>
      <w:r>
        <w:rPr>
          <w:noProof/>
          <w:lang w:eastAsia="ru-RU"/>
        </w:rPr>
        <w:drawing>
          <wp:inline distT="0" distB="0" distL="0" distR="0" wp14:anchorId="546854D4" wp14:editId="418B1EF5">
            <wp:extent cx="4572000" cy="2271395"/>
            <wp:effectExtent l="0" t="0" r="0" b="0"/>
            <wp:docPr id="202" name="Диаграмма 20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r>
        <w:rPr>
          <w:iCs/>
          <w:szCs w:val="24"/>
        </w:rPr>
        <w:br w:type="textWrapping" w:clear="all"/>
      </w:r>
    </w:p>
    <w:p w:rsidR="00306ED2" w:rsidRPr="00B73854" w:rsidRDefault="00306ED2" w:rsidP="00306ED2">
      <w:pPr>
        <w:spacing w:line="240" w:lineRule="auto"/>
        <w:ind w:left="-15" w:right="214"/>
        <w:jc w:val="center"/>
        <w:rPr>
          <w:iCs/>
          <w:szCs w:val="24"/>
        </w:rPr>
      </w:pPr>
      <w:r>
        <w:rPr>
          <w:iCs/>
          <w:szCs w:val="24"/>
        </w:rPr>
        <w:t xml:space="preserve">Рис.4 – Удовлетворенность обслуживанием на предприятиях общественного питания </w:t>
      </w:r>
    </w:p>
    <w:p w:rsidR="00306ED2" w:rsidRDefault="00306ED2" w:rsidP="00C20E35">
      <w:pPr>
        <w:pStyle w:val="afb"/>
      </w:pPr>
    </w:p>
    <w:p w:rsidR="00306ED2" w:rsidRDefault="00306ED2" w:rsidP="00306ED2">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Calibri" w:hAnsi="Times New Roman" w:cs="Times New Roman"/>
          <w:color w:val="000000"/>
          <w:sz w:val="24"/>
          <w:lang w:eastAsia="ko-KR"/>
        </w:rPr>
      </w:pPr>
      <w:r w:rsidRPr="00306ED2">
        <w:rPr>
          <w:rFonts w:ascii="Times New Roman" w:eastAsia="Calibri" w:hAnsi="Times New Roman" w:cs="Times New Roman"/>
          <w:iCs/>
          <w:color w:val="000000"/>
          <w:sz w:val="24"/>
          <w:szCs w:val="24"/>
          <w:lang w:eastAsia="ko-KR"/>
        </w:rPr>
        <w:t>На основе проведенного исследования можно сделать следующие выводы. Въездной поток туристов из КНР с каждым годом набирает обороты и активно развиваться, Приморский край является привлекательным регионом, поэтому предприятия общественного питания должны стремиться повышать уровень качества обслуживая, учитывая менталитет, культуру и традиции китайских туристов, стараться создать для них комфортную атмосферу, предлагая различные блюда, на основе китайской и дальневосточной кухни.</w:t>
      </w:r>
      <w:r w:rsidRPr="00306ED2">
        <w:rPr>
          <w:rFonts w:ascii="Times New Roman" w:eastAsia="Calibri" w:hAnsi="Times New Roman" w:cs="Times New Roman"/>
          <w:color w:val="000000"/>
          <w:sz w:val="24"/>
          <w:lang w:eastAsia="ko-KR"/>
        </w:rPr>
        <w:t xml:space="preserve"> </w:t>
      </w:r>
    </w:p>
    <w:p w:rsidR="00306ED2" w:rsidRDefault="00306ED2" w:rsidP="00306ED2">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Calibri" w:hAnsi="Times New Roman" w:cs="Times New Roman"/>
          <w:color w:val="000000"/>
          <w:sz w:val="24"/>
          <w:lang w:eastAsia="ko-KR"/>
        </w:rPr>
      </w:pP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Calibri" w:hAnsi="Times New Roman" w:cs="Times New Roman"/>
          <w:color w:val="000000"/>
          <w:sz w:val="24"/>
          <w:lang w:eastAsia="ko-KR"/>
        </w:rPr>
      </w:pPr>
    </w:p>
    <w:p w:rsidR="00306ED2" w:rsidRPr="00306ED2" w:rsidRDefault="00306ED2" w:rsidP="00306ED2">
      <w:pPr>
        <w:numPr>
          <w:ilvl w:val="0"/>
          <w:numId w:val="131"/>
        </w:numPr>
        <w:pBdr>
          <w:top w:val="none" w:sz="0" w:space="0" w:color="auto"/>
          <w:left w:val="none" w:sz="0" w:space="0" w:color="auto"/>
          <w:bottom w:val="none" w:sz="0" w:space="0" w:color="auto"/>
          <w:right w:val="none" w:sz="0" w:space="0" w:color="auto"/>
          <w:between w:val="none" w:sz="0" w:space="0" w:color="auto"/>
        </w:pBdr>
        <w:spacing w:after="11" w:line="240" w:lineRule="auto"/>
        <w:ind w:right="215"/>
        <w:contextualSpacing/>
        <w:jc w:val="both"/>
        <w:rPr>
          <w:rFonts w:ascii="Times New Roman" w:eastAsia="Calibri" w:hAnsi="Times New Roman" w:cs="Times New Roman"/>
          <w:color w:val="000000"/>
          <w:sz w:val="24"/>
          <w:szCs w:val="24"/>
          <w:lang w:eastAsia="ko-KR"/>
        </w:rPr>
      </w:pPr>
      <w:r w:rsidRPr="00306ED2">
        <w:rPr>
          <w:rFonts w:ascii="Times New Roman" w:eastAsia="Calibri" w:hAnsi="Times New Roman" w:cs="Times New Roman"/>
          <w:color w:val="000000"/>
          <w:sz w:val="24"/>
          <w:szCs w:val="24"/>
          <w:lang w:eastAsia="ko-KR"/>
        </w:rPr>
        <w:t>В Приморье еда становится более демократичной [Электронный ресурс]. – Режим доступа: http://www.zrpress.ru/business/primorje_25.01.2017_81896_v-primorje-eda-stanovitsja-bolee-demokratichnoj.html</w:t>
      </w:r>
    </w:p>
    <w:p w:rsidR="00306ED2" w:rsidRPr="00306ED2" w:rsidRDefault="00306ED2" w:rsidP="00306ED2">
      <w:pPr>
        <w:numPr>
          <w:ilvl w:val="0"/>
          <w:numId w:val="131"/>
        </w:numPr>
        <w:pBdr>
          <w:top w:val="none" w:sz="0" w:space="0" w:color="auto"/>
          <w:left w:val="none" w:sz="0" w:space="0" w:color="auto"/>
          <w:bottom w:val="none" w:sz="0" w:space="0" w:color="auto"/>
          <w:right w:val="none" w:sz="0" w:space="0" w:color="auto"/>
          <w:between w:val="none" w:sz="0" w:space="0" w:color="auto"/>
        </w:pBdr>
        <w:spacing w:after="11" w:line="240" w:lineRule="auto"/>
        <w:ind w:right="215"/>
        <w:contextualSpacing/>
        <w:jc w:val="both"/>
        <w:rPr>
          <w:rFonts w:ascii="Times New Roman" w:eastAsia="Calibri" w:hAnsi="Times New Roman" w:cs="Times New Roman"/>
          <w:color w:val="000000"/>
          <w:sz w:val="24"/>
          <w:szCs w:val="24"/>
          <w:lang w:eastAsia="ko-KR"/>
        </w:rPr>
      </w:pPr>
      <w:r w:rsidRPr="00306ED2">
        <w:rPr>
          <w:rFonts w:ascii="Times New Roman" w:eastAsia="Calibri" w:hAnsi="Times New Roman" w:cs="Times New Roman"/>
          <w:color w:val="000000"/>
          <w:sz w:val="24"/>
          <w:lang w:eastAsia="ko-KR"/>
        </w:rPr>
        <w:t xml:space="preserve">Всемирная туристская организация назвала 2017 туристический год самым успешным за последние 7 лет [Электронный ресурс]. – Режим доступа:  </w:t>
      </w:r>
      <w:r w:rsidRPr="00306ED2">
        <w:rPr>
          <w:rFonts w:ascii="Times New Roman" w:eastAsia="Calibri" w:hAnsi="Times New Roman" w:cs="Times New Roman"/>
          <w:color w:val="000000"/>
          <w:sz w:val="24"/>
          <w:szCs w:val="24"/>
          <w:lang w:eastAsia="ko-KR"/>
        </w:rPr>
        <w:t>http://mitg.vvsu.ru/latests/article/id/2145510338/vsemirnaia_turistskaia_organizatsiia_nazvala</w:t>
      </w:r>
    </w:p>
    <w:p w:rsidR="00306ED2" w:rsidRPr="00306ED2" w:rsidRDefault="00306ED2" w:rsidP="00306ED2">
      <w:pPr>
        <w:numPr>
          <w:ilvl w:val="0"/>
          <w:numId w:val="131"/>
        </w:numPr>
        <w:pBdr>
          <w:top w:val="none" w:sz="0" w:space="0" w:color="auto"/>
          <w:left w:val="none" w:sz="0" w:space="0" w:color="auto"/>
          <w:bottom w:val="none" w:sz="0" w:space="0" w:color="auto"/>
          <w:right w:val="none" w:sz="0" w:space="0" w:color="auto"/>
          <w:between w:val="none" w:sz="0" w:space="0" w:color="auto"/>
        </w:pBdr>
        <w:spacing w:after="11" w:line="240" w:lineRule="auto"/>
        <w:ind w:right="215"/>
        <w:contextualSpacing/>
        <w:jc w:val="both"/>
        <w:rPr>
          <w:rFonts w:ascii="Times New Roman" w:eastAsia="Calibri" w:hAnsi="Times New Roman" w:cs="Times New Roman"/>
          <w:color w:val="000000"/>
          <w:sz w:val="24"/>
          <w:szCs w:val="24"/>
          <w:lang w:eastAsia="ko-KR"/>
        </w:rPr>
      </w:pPr>
      <w:r w:rsidRPr="00306ED2">
        <w:rPr>
          <w:rFonts w:ascii="Times New Roman" w:eastAsia="Calibri" w:hAnsi="Times New Roman" w:cs="Times New Roman"/>
          <w:color w:val="000000"/>
          <w:sz w:val="24"/>
          <w:szCs w:val="24"/>
          <w:lang w:eastAsia="ko-KR"/>
        </w:rPr>
        <w:t xml:space="preserve">ГОСТ 31985-2013 Услуги общественного питания. Термины и определения </w:t>
      </w:r>
      <w:r w:rsidRPr="00306ED2">
        <w:rPr>
          <w:rFonts w:ascii="Times New Roman" w:eastAsia="Calibri" w:hAnsi="Times New Roman" w:cs="Times New Roman"/>
          <w:color w:val="000000"/>
          <w:sz w:val="24"/>
          <w:lang w:eastAsia="ko-KR"/>
        </w:rPr>
        <w:t xml:space="preserve">[Электронный ресурс]. – Режим доступа:  </w:t>
      </w:r>
      <w:r w:rsidRPr="00306ED2">
        <w:rPr>
          <w:rFonts w:ascii="Times New Roman" w:eastAsia="Calibri" w:hAnsi="Times New Roman" w:cs="Times New Roman"/>
          <w:color w:val="000000"/>
          <w:sz w:val="24"/>
          <w:szCs w:val="24"/>
          <w:lang w:eastAsia="ko-KR"/>
        </w:rPr>
        <w:t>http://docs.cntd.ru/document/1200103471</w:t>
      </w:r>
    </w:p>
    <w:p w:rsidR="00306ED2" w:rsidRPr="00306ED2" w:rsidRDefault="00306ED2" w:rsidP="00306ED2">
      <w:pPr>
        <w:numPr>
          <w:ilvl w:val="0"/>
          <w:numId w:val="131"/>
        </w:numPr>
        <w:pBdr>
          <w:top w:val="none" w:sz="0" w:space="0" w:color="auto"/>
          <w:left w:val="none" w:sz="0" w:space="0" w:color="auto"/>
          <w:bottom w:val="none" w:sz="0" w:space="0" w:color="auto"/>
          <w:right w:val="none" w:sz="0" w:space="0" w:color="auto"/>
          <w:between w:val="none" w:sz="0" w:space="0" w:color="auto"/>
        </w:pBdr>
        <w:spacing w:after="11" w:line="240" w:lineRule="auto"/>
        <w:ind w:right="215"/>
        <w:contextualSpacing/>
        <w:jc w:val="both"/>
        <w:rPr>
          <w:rFonts w:ascii="Times New Roman" w:eastAsia="Calibri" w:hAnsi="Times New Roman" w:cs="Times New Roman"/>
          <w:color w:val="000000"/>
          <w:sz w:val="24"/>
          <w:szCs w:val="24"/>
          <w:lang w:eastAsia="ko-KR"/>
        </w:rPr>
      </w:pPr>
      <w:r w:rsidRPr="00306ED2">
        <w:rPr>
          <w:rFonts w:ascii="Times New Roman" w:eastAsia="Calibri" w:hAnsi="Times New Roman" w:cs="Times New Roman"/>
          <w:color w:val="000000"/>
          <w:sz w:val="24"/>
          <w:lang w:eastAsia="ko-KR"/>
        </w:rPr>
        <w:t xml:space="preserve">За чем китайцы едут в Россию [Электронный ресурс]. – Режим доступа:   </w:t>
      </w:r>
      <w:r w:rsidRPr="00306ED2">
        <w:rPr>
          <w:rFonts w:ascii="Times New Roman" w:eastAsia="Calibri" w:hAnsi="Times New Roman" w:cs="Times New Roman"/>
          <w:color w:val="000000"/>
          <w:sz w:val="24"/>
          <w:szCs w:val="24"/>
          <w:lang w:eastAsia="ko-KR"/>
        </w:rPr>
        <w:t>http://www.atorus.ru/news/press-centre/new/29494.html</w:t>
      </w:r>
    </w:p>
    <w:p w:rsidR="00306ED2" w:rsidRPr="00306ED2" w:rsidRDefault="00306ED2" w:rsidP="00306ED2">
      <w:pPr>
        <w:numPr>
          <w:ilvl w:val="0"/>
          <w:numId w:val="131"/>
        </w:numPr>
        <w:pBdr>
          <w:top w:val="none" w:sz="0" w:space="0" w:color="auto"/>
          <w:left w:val="none" w:sz="0" w:space="0" w:color="auto"/>
          <w:bottom w:val="none" w:sz="0" w:space="0" w:color="auto"/>
          <w:right w:val="none" w:sz="0" w:space="0" w:color="auto"/>
          <w:between w:val="none" w:sz="0" w:space="0" w:color="auto"/>
        </w:pBdr>
        <w:spacing w:after="11" w:line="240" w:lineRule="auto"/>
        <w:ind w:right="215"/>
        <w:contextualSpacing/>
        <w:jc w:val="both"/>
        <w:rPr>
          <w:rFonts w:ascii="Times New Roman" w:eastAsia="Calibri" w:hAnsi="Times New Roman" w:cs="Times New Roman"/>
          <w:strike/>
          <w:color w:val="000000"/>
          <w:sz w:val="24"/>
          <w:szCs w:val="24"/>
          <w:lang w:eastAsia="ko-KR"/>
        </w:rPr>
      </w:pPr>
      <w:r w:rsidRPr="00306ED2">
        <w:rPr>
          <w:rFonts w:ascii="Times New Roman" w:eastAsia="Calibri" w:hAnsi="Times New Roman" w:cs="Times New Roman"/>
          <w:color w:val="000000"/>
          <w:sz w:val="24"/>
          <w:szCs w:val="24"/>
          <w:lang w:eastAsia="ko-KR"/>
        </w:rPr>
        <w:t>Кушнарева И.Ю. Концептуальные основы формирования гастрономического бренда дальневосточной кухни / И.Ю. Кушнарева, Г.А. Гомилевская, В.Г. Ден [Электронный ресурс]. – Режим доступа: http://portfolio.vvsu.ru/files/6A1F1D54-7F62-4D6A-BEE1-B2DF7317EA59.pdf</w:t>
      </w:r>
      <w:r w:rsidRPr="00306ED2">
        <w:rPr>
          <w:rFonts w:ascii="Times New Roman" w:eastAsia="Calibri" w:hAnsi="Times New Roman" w:cs="Times New Roman"/>
          <w:strike/>
          <w:color w:val="000000"/>
          <w:sz w:val="24"/>
          <w:szCs w:val="24"/>
          <w:lang w:eastAsia="ko-KR"/>
        </w:rPr>
        <w:t xml:space="preserve"> </w:t>
      </w:r>
    </w:p>
    <w:p w:rsidR="00306ED2" w:rsidRPr="00306ED2" w:rsidRDefault="00306ED2" w:rsidP="00306ED2">
      <w:pPr>
        <w:numPr>
          <w:ilvl w:val="0"/>
          <w:numId w:val="131"/>
        </w:numPr>
        <w:pBdr>
          <w:top w:val="none" w:sz="0" w:space="0" w:color="auto"/>
          <w:left w:val="none" w:sz="0" w:space="0" w:color="auto"/>
          <w:bottom w:val="none" w:sz="0" w:space="0" w:color="auto"/>
          <w:right w:val="none" w:sz="0" w:space="0" w:color="auto"/>
          <w:between w:val="none" w:sz="0" w:space="0" w:color="auto"/>
        </w:pBdr>
        <w:spacing w:after="11" w:line="240" w:lineRule="auto"/>
        <w:ind w:right="215"/>
        <w:contextualSpacing/>
        <w:jc w:val="both"/>
        <w:rPr>
          <w:rFonts w:ascii="Times New Roman" w:eastAsia="Calibri" w:hAnsi="Times New Roman" w:cs="Times New Roman"/>
          <w:color w:val="000000"/>
          <w:sz w:val="24"/>
          <w:szCs w:val="24"/>
          <w:lang w:eastAsia="ko-KR"/>
        </w:rPr>
      </w:pPr>
      <w:r w:rsidRPr="00306ED2">
        <w:rPr>
          <w:rFonts w:ascii="Times New Roman" w:eastAsia="Calibri" w:hAnsi="Times New Roman" w:cs="Times New Roman"/>
          <w:color w:val="000000"/>
          <w:sz w:val="24"/>
          <w:szCs w:val="24"/>
          <w:lang w:eastAsia="ko-KR"/>
        </w:rPr>
        <w:t xml:space="preserve">Оборот туруслуг в приморье превысил 19 миллиардов рублей </w:t>
      </w:r>
      <w:r w:rsidRPr="00306ED2">
        <w:rPr>
          <w:rFonts w:ascii="Times New Roman" w:eastAsia="Calibri" w:hAnsi="Times New Roman" w:cs="Times New Roman"/>
          <w:color w:val="000000"/>
          <w:sz w:val="24"/>
          <w:lang w:eastAsia="ko-KR"/>
        </w:rPr>
        <w:t xml:space="preserve">[Электронный ресурс]. – Режим доступа:  </w:t>
      </w:r>
      <w:r w:rsidRPr="00306ED2">
        <w:rPr>
          <w:rFonts w:ascii="Times New Roman" w:eastAsia="Calibri" w:hAnsi="Times New Roman" w:cs="Times New Roman"/>
          <w:color w:val="000000"/>
          <w:sz w:val="24"/>
          <w:szCs w:val="24"/>
          <w:lang w:eastAsia="ko-KR"/>
        </w:rPr>
        <w:t>http://www.primorsky.ru/news/139789/</w:t>
      </w:r>
    </w:p>
    <w:p w:rsidR="00306ED2" w:rsidRPr="00306ED2" w:rsidRDefault="00306ED2" w:rsidP="00306ED2">
      <w:pPr>
        <w:numPr>
          <w:ilvl w:val="0"/>
          <w:numId w:val="131"/>
        </w:numPr>
        <w:pBdr>
          <w:top w:val="none" w:sz="0" w:space="0" w:color="auto"/>
          <w:left w:val="none" w:sz="0" w:space="0" w:color="auto"/>
          <w:bottom w:val="none" w:sz="0" w:space="0" w:color="auto"/>
          <w:right w:val="none" w:sz="0" w:space="0" w:color="auto"/>
          <w:between w:val="none" w:sz="0" w:space="0" w:color="auto"/>
        </w:pBdr>
        <w:spacing w:after="11" w:line="240" w:lineRule="auto"/>
        <w:ind w:right="215"/>
        <w:contextualSpacing/>
        <w:jc w:val="both"/>
        <w:rPr>
          <w:rFonts w:ascii="Times New Roman" w:eastAsia="Calibri" w:hAnsi="Times New Roman" w:cs="Times New Roman"/>
          <w:color w:val="000000"/>
          <w:sz w:val="24"/>
          <w:szCs w:val="24"/>
          <w:lang w:eastAsia="ko-KR"/>
        </w:rPr>
      </w:pPr>
      <w:r w:rsidRPr="00306ED2">
        <w:rPr>
          <w:rFonts w:ascii="Times New Roman" w:eastAsia="Calibri" w:hAnsi="Times New Roman" w:cs="Times New Roman"/>
          <w:color w:val="000000"/>
          <w:sz w:val="24"/>
          <w:szCs w:val="24"/>
          <w:lang w:eastAsia="ko-KR"/>
        </w:rPr>
        <w:t xml:space="preserve">Объем и изменение валового регионального продукта </w:t>
      </w:r>
      <w:r w:rsidRPr="00306ED2">
        <w:rPr>
          <w:rFonts w:ascii="Times New Roman" w:eastAsia="Calibri" w:hAnsi="Times New Roman" w:cs="Times New Roman"/>
          <w:color w:val="000000"/>
          <w:sz w:val="24"/>
          <w:lang w:eastAsia="ko-KR"/>
        </w:rPr>
        <w:t xml:space="preserve">[Электронный ресурс]. – Режим доступа: </w:t>
      </w:r>
      <w:r w:rsidRPr="00306ED2">
        <w:rPr>
          <w:rFonts w:ascii="Times New Roman" w:eastAsia="Calibri" w:hAnsi="Times New Roman" w:cs="Times New Roman"/>
          <w:color w:val="000000"/>
          <w:sz w:val="24"/>
          <w:szCs w:val="24"/>
          <w:lang w:eastAsia="ko-KR"/>
        </w:rPr>
        <w:t>http://primstat.gks.ru/wps/wcm/connect/rosstat_ts/primstat/ru/statistics/grp/</w:t>
      </w:r>
    </w:p>
    <w:p w:rsidR="00306ED2" w:rsidRPr="00306ED2" w:rsidRDefault="00306ED2" w:rsidP="00306ED2">
      <w:pPr>
        <w:numPr>
          <w:ilvl w:val="0"/>
          <w:numId w:val="131"/>
        </w:numPr>
        <w:pBdr>
          <w:top w:val="none" w:sz="0" w:space="0" w:color="auto"/>
          <w:left w:val="none" w:sz="0" w:space="0" w:color="auto"/>
          <w:bottom w:val="none" w:sz="0" w:space="0" w:color="auto"/>
          <w:right w:val="none" w:sz="0" w:space="0" w:color="auto"/>
          <w:between w:val="none" w:sz="0" w:space="0" w:color="auto"/>
        </w:pBdr>
        <w:spacing w:after="11" w:line="240" w:lineRule="auto"/>
        <w:ind w:right="215"/>
        <w:contextualSpacing/>
        <w:jc w:val="both"/>
        <w:rPr>
          <w:rFonts w:ascii="Times New Roman" w:eastAsia="Calibri" w:hAnsi="Times New Roman" w:cs="Times New Roman"/>
          <w:color w:val="000000"/>
          <w:sz w:val="24"/>
          <w:szCs w:val="24"/>
          <w:lang w:eastAsia="ko-KR"/>
        </w:rPr>
      </w:pPr>
      <w:r w:rsidRPr="00306ED2">
        <w:rPr>
          <w:rFonts w:ascii="Times New Roman" w:eastAsia="Calibri" w:hAnsi="Times New Roman" w:cs="Times New Roman"/>
          <w:color w:val="000000"/>
          <w:sz w:val="24"/>
          <w:szCs w:val="24"/>
          <w:lang w:eastAsia="ko-KR"/>
        </w:rPr>
        <w:t>Паназия добавляет перчинки [Электронный ресурс]. – Режим доступа: http://www.zrpress.ru/business/primorje_29.08.2017_85114_panazija-dobavljaet-perchinki.html</w:t>
      </w:r>
    </w:p>
    <w:p w:rsidR="00306ED2" w:rsidRPr="00306ED2" w:rsidRDefault="00306ED2" w:rsidP="00306ED2">
      <w:pPr>
        <w:numPr>
          <w:ilvl w:val="0"/>
          <w:numId w:val="131"/>
        </w:numPr>
        <w:pBdr>
          <w:top w:val="none" w:sz="0" w:space="0" w:color="auto"/>
          <w:left w:val="none" w:sz="0" w:space="0" w:color="auto"/>
          <w:bottom w:val="none" w:sz="0" w:space="0" w:color="auto"/>
          <w:right w:val="none" w:sz="0" w:space="0" w:color="auto"/>
          <w:between w:val="none" w:sz="0" w:space="0" w:color="auto"/>
        </w:pBdr>
        <w:spacing w:after="11" w:line="240" w:lineRule="auto"/>
        <w:ind w:right="215"/>
        <w:contextualSpacing/>
        <w:jc w:val="both"/>
        <w:rPr>
          <w:rFonts w:ascii="Times New Roman" w:eastAsia="Calibri" w:hAnsi="Times New Roman" w:cs="Times New Roman"/>
          <w:color w:val="000000"/>
          <w:sz w:val="24"/>
          <w:szCs w:val="24"/>
          <w:lang w:eastAsia="ko-KR"/>
        </w:rPr>
      </w:pPr>
      <w:r w:rsidRPr="00306ED2">
        <w:rPr>
          <w:rFonts w:ascii="Times New Roman" w:eastAsia="Calibri" w:hAnsi="Times New Roman" w:cs="Times New Roman"/>
          <w:color w:val="000000"/>
          <w:sz w:val="24"/>
          <w:szCs w:val="24"/>
          <w:lang w:eastAsia="ko-KR"/>
        </w:rPr>
        <w:t xml:space="preserve">Число въездных туристических поездок </w:t>
      </w:r>
      <w:r w:rsidRPr="00306ED2">
        <w:rPr>
          <w:rFonts w:ascii="Times New Roman" w:eastAsia="Calibri" w:hAnsi="Times New Roman" w:cs="Times New Roman"/>
          <w:color w:val="000000"/>
          <w:sz w:val="24"/>
          <w:lang w:eastAsia="ko-KR"/>
        </w:rPr>
        <w:t xml:space="preserve">[Электронный ресурс]. – Режим доступа:  </w:t>
      </w:r>
      <w:r w:rsidRPr="00306ED2">
        <w:rPr>
          <w:rFonts w:ascii="Times New Roman" w:eastAsia="Calibri" w:hAnsi="Times New Roman" w:cs="Times New Roman"/>
          <w:color w:val="000000"/>
          <w:sz w:val="24"/>
          <w:szCs w:val="24"/>
          <w:lang w:eastAsia="ko-KR"/>
        </w:rPr>
        <w:t>http://www.gks.ru/free_doc/new_site/business/torg/tur/tab-tur1-1.htm</w:t>
      </w:r>
    </w:p>
    <w:p w:rsidR="00306ED2" w:rsidRPr="00306ED2" w:rsidRDefault="00306ED2" w:rsidP="00306ED2">
      <w:pPr>
        <w:numPr>
          <w:ilvl w:val="0"/>
          <w:numId w:val="131"/>
        </w:numPr>
        <w:pBdr>
          <w:top w:val="none" w:sz="0" w:space="0" w:color="auto"/>
          <w:left w:val="none" w:sz="0" w:space="0" w:color="auto"/>
          <w:bottom w:val="none" w:sz="0" w:space="0" w:color="auto"/>
          <w:right w:val="none" w:sz="0" w:space="0" w:color="auto"/>
          <w:between w:val="none" w:sz="0" w:space="0" w:color="auto"/>
        </w:pBdr>
        <w:spacing w:after="11" w:line="240" w:lineRule="auto"/>
        <w:ind w:left="683" w:right="215" w:firstLine="0"/>
        <w:contextualSpacing/>
        <w:jc w:val="both"/>
        <w:rPr>
          <w:rFonts w:ascii="Times New Roman" w:eastAsia="Calibri" w:hAnsi="Times New Roman" w:cs="Times New Roman"/>
          <w:color w:val="000000"/>
          <w:sz w:val="24"/>
          <w:szCs w:val="24"/>
          <w:lang w:eastAsia="ko-KR"/>
        </w:rPr>
      </w:pPr>
      <w:r w:rsidRPr="00306ED2">
        <w:rPr>
          <w:rFonts w:ascii="Times New Roman" w:eastAsia="Calibri" w:hAnsi="Times New Roman" w:cs="Times New Roman"/>
          <w:color w:val="000000"/>
          <w:sz w:val="24"/>
          <w:szCs w:val="24"/>
          <w:lang w:eastAsia="ko-KR"/>
        </w:rPr>
        <w:t>China Friendly («Дружественный Китаю») [Электронный ресурс]. – Режим доступа: http://chinafriendly.ru/</w:t>
      </w: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rPr>
      </w:pPr>
      <w:r w:rsidRPr="00306ED2">
        <w:rPr>
          <w:rFonts w:ascii="Times New Roman" w:hAnsi="Times New Roman" w:cs="Times New Roman"/>
          <w:sz w:val="24"/>
        </w:rPr>
        <w:t>Рубрика: Благоустройство придомовой территории</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rPr>
      </w:pPr>
      <w:r w:rsidRPr="00306ED2">
        <w:rPr>
          <w:rFonts w:ascii="Times New Roman" w:hAnsi="Times New Roman" w:cs="Times New Roman"/>
          <w:sz w:val="24"/>
        </w:rPr>
        <w:t>УДК 365.46</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sz w:val="24"/>
        </w:rPr>
      </w:pPr>
      <w:r w:rsidRPr="00306ED2">
        <w:rPr>
          <w:rFonts w:ascii="Times New Roman" w:hAnsi="Times New Roman" w:cs="Times New Roman"/>
          <w:b/>
          <w:sz w:val="24"/>
        </w:rPr>
        <w:t>Реновация придомовых территорий в контексте их озеленения</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rPr>
      </w:pPr>
      <w:r w:rsidRPr="00306ED2">
        <w:rPr>
          <w:rFonts w:ascii="Times New Roman" w:hAnsi="Times New Roman" w:cs="Times New Roman"/>
          <w:sz w:val="24"/>
        </w:rPr>
        <w:t>Быканова Елена Евгеньевна,</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rPr>
      </w:pPr>
      <w:r w:rsidRPr="00306ED2">
        <w:rPr>
          <w:rFonts w:ascii="Times New Roman" w:hAnsi="Times New Roman" w:cs="Times New Roman"/>
          <w:sz w:val="24"/>
        </w:rPr>
        <w:t>бакалавр 4 курса, кафедра дизайна и технологий</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rPr>
      </w:pPr>
      <w:r w:rsidRPr="00306ED2">
        <w:rPr>
          <w:rFonts w:ascii="Times New Roman" w:hAnsi="Times New Roman" w:cs="Times New Roman"/>
          <w:i/>
          <w:sz w:val="24"/>
        </w:rPr>
        <w:t>Владивостокский государственный университет экономики и сервиса</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rPr>
      </w:pPr>
      <w:r w:rsidRPr="00306ED2">
        <w:rPr>
          <w:rFonts w:ascii="Times New Roman" w:hAnsi="Times New Roman" w:cs="Times New Roman"/>
          <w:i/>
          <w:sz w:val="24"/>
        </w:rPr>
        <w:t>Россия. Владивосток</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rPr>
      </w:pPr>
      <w:r w:rsidRPr="00306ED2">
        <w:rPr>
          <w:rFonts w:ascii="Times New Roman" w:hAnsi="Times New Roman" w:cs="Times New Roman"/>
          <w:sz w:val="24"/>
          <w:lang w:val="en-US"/>
        </w:rPr>
        <w:t>E</w:t>
      </w:r>
      <w:r w:rsidRPr="00306ED2">
        <w:rPr>
          <w:rFonts w:ascii="Times New Roman" w:hAnsi="Times New Roman" w:cs="Times New Roman"/>
          <w:sz w:val="24"/>
        </w:rPr>
        <w:t>-</w:t>
      </w:r>
      <w:r w:rsidRPr="00306ED2">
        <w:rPr>
          <w:rFonts w:ascii="Times New Roman" w:hAnsi="Times New Roman" w:cs="Times New Roman"/>
          <w:sz w:val="24"/>
          <w:lang w:val="en-US"/>
        </w:rPr>
        <w:t>mail</w:t>
      </w:r>
      <w:r w:rsidRPr="00306ED2">
        <w:rPr>
          <w:rFonts w:ascii="Times New Roman" w:hAnsi="Times New Roman" w:cs="Times New Roman"/>
          <w:sz w:val="24"/>
        </w:rPr>
        <w:t xml:space="preserve">: </w:t>
      </w:r>
      <w:r w:rsidRPr="00306ED2">
        <w:rPr>
          <w:rFonts w:ascii="Times New Roman" w:hAnsi="Times New Roman" w:cs="Times New Roman"/>
          <w:sz w:val="24"/>
          <w:lang w:val="en-US"/>
        </w:rPr>
        <w:t>lena</w:t>
      </w:r>
      <w:r w:rsidRPr="00306ED2">
        <w:rPr>
          <w:rFonts w:ascii="Times New Roman" w:hAnsi="Times New Roman" w:cs="Times New Roman"/>
          <w:sz w:val="24"/>
        </w:rPr>
        <w:t>_</w:t>
      </w:r>
      <w:r w:rsidRPr="00306ED2">
        <w:rPr>
          <w:rFonts w:ascii="Times New Roman" w:hAnsi="Times New Roman" w:cs="Times New Roman"/>
          <w:sz w:val="24"/>
          <w:lang w:val="en-US"/>
        </w:rPr>
        <w:t>arsen</w:t>
      </w:r>
      <w:r w:rsidRPr="00306ED2">
        <w:rPr>
          <w:rFonts w:ascii="Times New Roman" w:hAnsi="Times New Roman" w:cs="Times New Roman"/>
          <w:sz w:val="24"/>
        </w:rPr>
        <w:t>@</w:t>
      </w:r>
      <w:r w:rsidRPr="00306ED2">
        <w:rPr>
          <w:rFonts w:ascii="Times New Roman" w:hAnsi="Times New Roman" w:cs="Times New Roman"/>
          <w:sz w:val="24"/>
          <w:lang w:val="en-US"/>
        </w:rPr>
        <w:t>mail</w:t>
      </w:r>
      <w:r w:rsidRPr="00306ED2">
        <w:rPr>
          <w:rFonts w:ascii="Times New Roman" w:hAnsi="Times New Roman" w:cs="Times New Roman"/>
          <w:sz w:val="24"/>
        </w:rPr>
        <w:t>.</w:t>
      </w:r>
      <w:r w:rsidRPr="00306ED2">
        <w:rPr>
          <w:rFonts w:ascii="Times New Roman" w:hAnsi="Times New Roman" w:cs="Times New Roman"/>
          <w:sz w:val="24"/>
          <w:lang w:val="en-US"/>
        </w:rPr>
        <w:t>ru</w:t>
      </w:r>
      <w:r w:rsidRPr="00306ED2">
        <w:rPr>
          <w:rFonts w:ascii="Times New Roman" w:hAnsi="Times New Roman" w:cs="Times New Roman"/>
          <w:sz w:val="24"/>
        </w:rPr>
        <w:t>; тел.: +79510033085</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120" w:line="240" w:lineRule="auto"/>
        <w:jc w:val="center"/>
        <w:rPr>
          <w:rFonts w:ascii="Times New Roman" w:hAnsi="Times New Roman" w:cs="Times New Roman"/>
          <w:sz w:val="24"/>
        </w:rPr>
      </w:pPr>
      <w:r w:rsidRPr="00306ED2">
        <w:rPr>
          <w:rFonts w:ascii="Times New Roman" w:hAnsi="Times New Roman" w:cs="Times New Roman"/>
          <w:sz w:val="24"/>
        </w:rPr>
        <w:t>ул. Гоголя, 41, г. Владивосток, Приморский край, Россия, 690014</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rPr>
      </w:pPr>
      <w:r w:rsidRPr="00306ED2">
        <w:rPr>
          <w:rFonts w:ascii="Times New Roman" w:hAnsi="Times New Roman" w:cs="Times New Roman"/>
          <w:sz w:val="24"/>
        </w:rPr>
        <w:t>Слесарчук Ирина Анатольевна,</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rPr>
      </w:pPr>
      <w:r w:rsidRPr="00306ED2">
        <w:rPr>
          <w:rFonts w:ascii="Times New Roman" w:hAnsi="Times New Roman" w:cs="Times New Roman"/>
          <w:sz w:val="24"/>
        </w:rPr>
        <w:t>доцент, кандидат технических наук, кафедра дизайна и технологий</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rPr>
      </w:pPr>
      <w:r w:rsidRPr="00306ED2">
        <w:rPr>
          <w:rFonts w:ascii="Times New Roman" w:hAnsi="Times New Roman" w:cs="Times New Roman"/>
          <w:i/>
          <w:sz w:val="24"/>
        </w:rPr>
        <w:t>Владивостокский государственный университет экономики и сервиса</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rPr>
      </w:pPr>
      <w:r w:rsidRPr="00306ED2">
        <w:rPr>
          <w:rFonts w:ascii="Times New Roman" w:hAnsi="Times New Roman" w:cs="Times New Roman"/>
          <w:i/>
          <w:sz w:val="24"/>
        </w:rPr>
        <w:t>Россия. Владивосток</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rPr>
      </w:pPr>
      <w:r w:rsidRPr="00306ED2">
        <w:rPr>
          <w:rFonts w:ascii="Times New Roman" w:hAnsi="Times New Roman" w:cs="Times New Roman"/>
          <w:sz w:val="24"/>
          <w:lang w:val="en-US"/>
        </w:rPr>
        <w:t>E</w:t>
      </w:r>
      <w:r w:rsidRPr="00306ED2">
        <w:rPr>
          <w:rFonts w:ascii="Times New Roman" w:hAnsi="Times New Roman" w:cs="Times New Roman"/>
          <w:sz w:val="24"/>
        </w:rPr>
        <w:t>-</w:t>
      </w:r>
      <w:r w:rsidRPr="00306ED2">
        <w:rPr>
          <w:rFonts w:ascii="Times New Roman" w:hAnsi="Times New Roman" w:cs="Times New Roman"/>
          <w:sz w:val="24"/>
          <w:lang w:val="en-US"/>
        </w:rPr>
        <w:t>mail</w:t>
      </w:r>
      <w:r w:rsidRPr="00306ED2">
        <w:rPr>
          <w:rFonts w:ascii="Times New Roman" w:hAnsi="Times New Roman" w:cs="Times New Roman"/>
          <w:sz w:val="24"/>
        </w:rPr>
        <w:t xml:space="preserve">: </w:t>
      </w:r>
      <w:r w:rsidRPr="00306ED2">
        <w:rPr>
          <w:rFonts w:ascii="Times New Roman" w:hAnsi="Times New Roman" w:cs="Times New Roman"/>
          <w:sz w:val="24"/>
          <w:lang w:val="en-US"/>
        </w:rPr>
        <w:t>slesarchuk</w:t>
      </w:r>
      <w:r w:rsidRPr="00306ED2">
        <w:rPr>
          <w:rFonts w:ascii="Times New Roman" w:hAnsi="Times New Roman" w:cs="Times New Roman"/>
          <w:sz w:val="24"/>
        </w:rPr>
        <w:t>65@</w:t>
      </w:r>
      <w:r w:rsidRPr="00306ED2">
        <w:rPr>
          <w:rFonts w:ascii="Times New Roman" w:hAnsi="Times New Roman" w:cs="Times New Roman"/>
          <w:sz w:val="24"/>
          <w:lang w:val="en-US"/>
        </w:rPr>
        <w:t>mail</w:t>
      </w:r>
      <w:r w:rsidRPr="00306ED2">
        <w:rPr>
          <w:rFonts w:ascii="Times New Roman" w:hAnsi="Times New Roman" w:cs="Times New Roman"/>
          <w:sz w:val="24"/>
        </w:rPr>
        <w:t>.</w:t>
      </w:r>
      <w:r w:rsidRPr="00306ED2">
        <w:rPr>
          <w:rFonts w:ascii="Times New Roman" w:hAnsi="Times New Roman" w:cs="Times New Roman"/>
          <w:sz w:val="24"/>
          <w:lang w:val="en-US"/>
        </w:rPr>
        <w:t>ru</w:t>
      </w:r>
      <w:r w:rsidRPr="00306ED2">
        <w:rPr>
          <w:rFonts w:ascii="Times New Roman" w:hAnsi="Times New Roman" w:cs="Times New Roman"/>
          <w:sz w:val="24"/>
        </w:rPr>
        <w:t>; тел.: +79089916506</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120" w:line="240" w:lineRule="auto"/>
        <w:jc w:val="center"/>
        <w:rPr>
          <w:rFonts w:ascii="Times New Roman" w:hAnsi="Times New Roman" w:cs="Times New Roman"/>
          <w:sz w:val="24"/>
        </w:rPr>
      </w:pPr>
      <w:r w:rsidRPr="00306ED2">
        <w:rPr>
          <w:rFonts w:ascii="Times New Roman" w:hAnsi="Times New Roman" w:cs="Times New Roman"/>
          <w:sz w:val="24"/>
        </w:rPr>
        <w:t>ул. Гоголя, 41, г. Владивосток, Приморский край, Россия, 690014</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120" w:line="240" w:lineRule="auto"/>
        <w:ind w:firstLine="709"/>
        <w:jc w:val="both"/>
        <w:rPr>
          <w:rFonts w:ascii="Times New Roman" w:hAnsi="Times New Roman" w:cs="Times New Roman"/>
          <w:i/>
          <w:sz w:val="24"/>
        </w:rPr>
      </w:pPr>
      <w:r w:rsidRPr="00306ED2">
        <w:rPr>
          <w:rFonts w:ascii="Times New Roman" w:hAnsi="Times New Roman" w:cs="Times New Roman"/>
          <w:i/>
          <w:sz w:val="24"/>
        </w:rPr>
        <w:t>В последние годы одним из основных и менее затратных способов улучшения состояния придомовой территории для комфортной и здоровой жизни собственников является реновация озеленения. Рассмотрена специфика реновации элементов озеленения, проанализированы этапы и принципы озеленения дворовой территории, которые в дальнейшем могут быть использованы в работе конкретной управляющей организации многоквартирного дома.</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rPr>
      </w:pPr>
      <w:r w:rsidRPr="00306ED2">
        <w:rPr>
          <w:rFonts w:ascii="Times New Roman" w:hAnsi="Times New Roman" w:cs="Times New Roman"/>
          <w:b/>
          <w:i/>
          <w:sz w:val="24"/>
        </w:rPr>
        <w:t xml:space="preserve">Ключевые слова и словосочетания: </w:t>
      </w:r>
      <w:r w:rsidRPr="00306ED2">
        <w:rPr>
          <w:rFonts w:ascii="Times New Roman" w:hAnsi="Times New Roman" w:cs="Times New Roman"/>
          <w:i/>
          <w:sz w:val="24"/>
        </w:rPr>
        <w:t>реновация, придомовая территория, благоустройство, озеленение, многоквартирный дом</w:t>
      </w:r>
      <w:r w:rsidRPr="00306ED2">
        <w:rPr>
          <w:rFonts w:ascii="Times New Roman" w:hAnsi="Times New Roman" w:cs="Times New Roman"/>
          <w:sz w:val="24"/>
        </w:rPr>
        <w:t>.</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rPr>
      </w:pP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before="120" w:after="120" w:line="240" w:lineRule="auto"/>
        <w:ind w:firstLine="709"/>
        <w:jc w:val="center"/>
        <w:rPr>
          <w:rFonts w:ascii="Times New Roman" w:hAnsi="Times New Roman" w:cs="Times New Roman"/>
          <w:b/>
          <w:sz w:val="24"/>
          <w:lang w:val="en-US"/>
        </w:rPr>
      </w:pPr>
      <w:r w:rsidRPr="00306ED2">
        <w:rPr>
          <w:rFonts w:ascii="Times New Roman" w:hAnsi="Times New Roman" w:cs="Times New Roman"/>
          <w:b/>
          <w:sz w:val="24"/>
          <w:lang w:val="en-US"/>
        </w:rPr>
        <w:t>Renovation of house adjoining territories in the context of their gardening</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lang w:val="en-US"/>
        </w:rPr>
      </w:pPr>
      <w:r w:rsidRPr="00306ED2">
        <w:rPr>
          <w:rFonts w:ascii="Times New Roman" w:hAnsi="Times New Roman" w:cs="Times New Roman"/>
          <w:sz w:val="24"/>
          <w:lang w:val="en-US"/>
        </w:rPr>
        <w:t>Bykanova Elena Evgen'evna</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lang w:val="en-US"/>
        </w:rPr>
      </w:pPr>
      <w:r w:rsidRPr="00306ED2">
        <w:rPr>
          <w:rFonts w:ascii="Times New Roman" w:hAnsi="Times New Roman" w:cs="Times New Roman"/>
          <w:sz w:val="24"/>
          <w:lang w:val="en-US"/>
        </w:rPr>
        <w:t>bachelor of the 4nd year, department of design and technology</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lang w:val="en-US"/>
        </w:rPr>
      </w:pPr>
      <w:r w:rsidRPr="00306ED2">
        <w:rPr>
          <w:rFonts w:ascii="Times New Roman" w:hAnsi="Times New Roman" w:cs="Times New Roman"/>
          <w:i/>
          <w:sz w:val="24"/>
          <w:lang w:val="en-US"/>
        </w:rPr>
        <w:t>Vladivostok State University of Economics and Service</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lang w:val="en-US"/>
        </w:rPr>
      </w:pPr>
      <w:r w:rsidRPr="00306ED2">
        <w:rPr>
          <w:rFonts w:ascii="Times New Roman" w:hAnsi="Times New Roman" w:cs="Times New Roman"/>
          <w:i/>
          <w:sz w:val="24"/>
          <w:lang w:val="en-US"/>
        </w:rPr>
        <w:t>Russia. Vladivostok</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Cs/>
          <w:sz w:val="24"/>
          <w:szCs w:val="24"/>
          <w:lang w:val="en-US"/>
        </w:rPr>
      </w:pP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Cs/>
          <w:sz w:val="24"/>
          <w:szCs w:val="24"/>
          <w:lang w:val="en-US"/>
        </w:rPr>
      </w:pPr>
      <w:r w:rsidRPr="00306ED2">
        <w:rPr>
          <w:rFonts w:ascii="Times New Roman" w:hAnsi="Times New Roman" w:cs="Times New Roman"/>
          <w:iCs/>
          <w:sz w:val="24"/>
          <w:szCs w:val="24"/>
          <w:lang w:val="en-US"/>
        </w:rPr>
        <w:t>Slesarchuk Irina Anatol'evna</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Cs/>
          <w:sz w:val="24"/>
          <w:szCs w:val="24"/>
          <w:lang w:val="en-US"/>
        </w:rPr>
      </w:pPr>
      <w:r w:rsidRPr="00306ED2">
        <w:rPr>
          <w:rFonts w:ascii="Times New Roman" w:hAnsi="Times New Roman" w:cs="Times New Roman"/>
          <w:iCs/>
          <w:sz w:val="24"/>
          <w:szCs w:val="24"/>
          <w:lang w:val="en-US"/>
        </w:rPr>
        <w:t>professor, candidate of technical sciences, department of design and technology</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iCs/>
          <w:sz w:val="24"/>
          <w:szCs w:val="24"/>
          <w:lang w:val="en-US"/>
        </w:rPr>
      </w:pPr>
      <w:r w:rsidRPr="00306ED2">
        <w:rPr>
          <w:rFonts w:ascii="Times New Roman" w:hAnsi="Times New Roman" w:cs="Times New Roman"/>
          <w:i/>
          <w:iCs/>
          <w:sz w:val="24"/>
          <w:szCs w:val="24"/>
          <w:lang w:val="en-US"/>
        </w:rPr>
        <w:t>Vladivostok State University of Economics and Service</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iCs/>
          <w:sz w:val="24"/>
          <w:szCs w:val="24"/>
          <w:lang w:val="en-US"/>
        </w:rPr>
      </w:pPr>
      <w:r w:rsidRPr="00306ED2">
        <w:rPr>
          <w:rFonts w:ascii="Times New Roman" w:hAnsi="Times New Roman" w:cs="Times New Roman"/>
          <w:i/>
          <w:iCs/>
          <w:sz w:val="24"/>
          <w:szCs w:val="24"/>
          <w:lang w:val="en-US"/>
        </w:rPr>
        <w:t>Russia. Vladivostok</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120" w:line="240" w:lineRule="auto"/>
        <w:jc w:val="center"/>
        <w:rPr>
          <w:rFonts w:ascii="Times New Roman" w:hAnsi="Times New Roman" w:cs="Times New Roman"/>
          <w:sz w:val="24"/>
          <w:lang w:val="en-US"/>
        </w:rPr>
      </w:pP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120" w:line="240" w:lineRule="auto"/>
        <w:ind w:firstLine="709"/>
        <w:jc w:val="both"/>
        <w:rPr>
          <w:rFonts w:ascii="Times New Roman" w:hAnsi="Times New Roman" w:cs="Times New Roman"/>
          <w:i/>
          <w:sz w:val="24"/>
          <w:lang w:val="en-US"/>
        </w:rPr>
      </w:pPr>
      <w:r w:rsidRPr="00306ED2">
        <w:rPr>
          <w:rFonts w:ascii="Times New Roman" w:hAnsi="Times New Roman" w:cs="Times New Roman"/>
          <w:i/>
          <w:sz w:val="24"/>
          <w:lang w:val="en-US"/>
        </w:rPr>
        <w:t>In recent years, one of the main and less expensive ways to improve the condition of the house adjoining territories for a comfortable and healthy life of the owners is the renovation of landscaping. The specifics of the renovation of the landscaping elements, analyzes the stages and principles of landscaping the yard area, which further can be used in work a specific management organization is an apartment building.</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120" w:line="240" w:lineRule="auto"/>
        <w:ind w:firstLine="709"/>
        <w:jc w:val="both"/>
        <w:rPr>
          <w:rFonts w:ascii="Times New Roman" w:hAnsi="Times New Roman" w:cs="Times New Roman"/>
          <w:sz w:val="24"/>
          <w:lang w:val="en-US"/>
        </w:rPr>
      </w:pPr>
      <w:r w:rsidRPr="00306ED2">
        <w:rPr>
          <w:rFonts w:ascii="Times New Roman" w:hAnsi="Times New Roman" w:cs="Times New Roman"/>
          <w:b/>
          <w:i/>
          <w:sz w:val="24"/>
          <w:lang w:val="en-US"/>
        </w:rPr>
        <w:t>Keywords:</w:t>
      </w:r>
      <w:r w:rsidRPr="00306ED2">
        <w:rPr>
          <w:rFonts w:ascii="Times New Roman" w:hAnsi="Times New Roman" w:cs="Times New Roman"/>
          <w:sz w:val="24"/>
          <w:lang w:val="en-US"/>
        </w:rPr>
        <w:t xml:space="preserve"> </w:t>
      </w:r>
      <w:r w:rsidRPr="00306ED2">
        <w:rPr>
          <w:rFonts w:ascii="Times New Roman" w:hAnsi="Times New Roman" w:cs="Times New Roman"/>
          <w:i/>
          <w:sz w:val="24"/>
          <w:lang w:val="en-US"/>
        </w:rPr>
        <w:t>renovation, house adjoining territory, accomplishment, greening, apartment building.</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textAlignment w:val="baseline"/>
        <w:rPr>
          <w:rFonts w:ascii="inherit" w:hAnsi="inherit" w:cs="Times New Roman"/>
          <w:b/>
          <w:bCs/>
          <w:color w:val="484F54"/>
          <w:sz w:val="21"/>
          <w:szCs w:val="21"/>
          <w:bdr w:val="none" w:sz="0" w:space="0" w:color="auto" w:frame="1"/>
          <w:lang w:val="en-US" w:eastAsia="ru-RU"/>
        </w:rPr>
      </w:pP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06ED2">
        <w:rPr>
          <w:rFonts w:ascii="Times New Roman" w:hAnsi="Times New Roman" w:cs="Times New Roman"/>
          <w:sz w:val="24"/>
          <w:szCs w:val="24"/>
        </w:rPr>
        <w:t>В последнее время собственники многоквартирных домов (МКД) все большее значение придают озеленению и благоустройству придомовой территории, поскольку зеленые зоны несут большую социальную направленность. Однако, в озеленении придомовых территорий в настоящее время существует ряд проблем. В основном эти проблемы связаны с острым дефицитом жизненного пространства городских жителей. Площади дворовых территорий, и без того маленькие, резко уменьшаются. Возрастает количество личного автотранспорта, поэтому большинство доступных пространств используются в качестве автостоянок. Снижается количество зон отдыха и древесных насаждений, цветников. Кроме того, организации по обслуживанию МКД, нередко и сами жильцы, должным образом не ухаживают за насаждениями и не содержат их в надлежащем состоянии. Весь уход сводится, чаще всего, к санитарной обрезке или уборке уже упавших деревьев. Ассортимент древесно-кустарниковых видов, используемых в озеленении, скудный, а цветочное оформление зачастую отсутствует совсем. Озеленение дворовых территорий часто находится в неудовлетворительном состоянии, не отвечает предъявляемым к ним требованиям и давно нуждается в реновации.</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rPr>
          <w:rFonts w:ascii="Times New Roman" w:hAnsi="Times New Roman" w:cs="Times New Roman"/>
          <w:bCs/>
          <w:color w:val="000000"/>
          <w:sz w:val="24"/>
          <w:szCs w:val="24"/>
          <w:bdr w:val="none" w:sz="0" w:space="0" w:color="auto" w:frame="1"/>
          <w:lang w:eastAsia="ru-RU"/>
        </w:rPr>
      </w:pPr>
      <w:r w:rsidRPr="00306ED2">
        <w:rPr>
          <w:rFonts w:ascii="Times New Roman" w:hAnsi="Times New Roman" w:cs="Times New Roman"/>
          <w:bCs/>
          <w:color w:val="000000"/>
          <w:sz w:val="24"/>
          <w:szCs w:val="24"/>
          <w:bdr w:val="none" w:sz="0" w:space="0" w:color="auto" w:frame="1"/>
          <w:lang w:eastAsia="ru-RU"/>
        </w:rPr>
        <w:t>Реновация озеленения придомовой территории – это  восстановление жизнедеятельности растений, с помощью комплекса мероприятий, связанных с разработкой специального проекта обновления существующего объекта [1].</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rPr>
          <w:rFonts w:ascii="Times New Roman" w:hAnsi="Times New Roman" w:cs="Times New Roman"/>
          <w:bCs/>
          <w:color w:val="000000"/>
          <w:sz w:val="24"/>
          <w:szCs w:val="24"/>
          <w:bdr w:val="none" w:sz="0" w:space="0" w:color="auto" w:frame="1"/>
          <w:lang w:eastAsia="ru-RU"/>
        </w:rPr>
      </w:pPr>
      <w:r w:rsidRPr="00306ED2">
        <w:rPr>
          <w:rFonts w:ascii="Times New Roman" w:hAnsi="Times New Roman" w:cs="Times New Roman"/>
          <w:color w:val="000000"/>
          <w:sz w:val="24"/>
          <w:szCs w:val="24"/>
          <w:shd w:val="clear" w:color="auto" w:fill="FFFFFF"/>
          <w:lang w:eastAsia="ru-RU"/>
        </w:rPr>
        <w:t xml:space="preserve">Озеленение придомовой территории является одним из важных аспектов комфортного и здорового проживания, так как грамотное озеленение </w:t>
      </w:r>
      <w:r w:rsidRPr="00306ED2">
        <w:rPr>
          <w:rFonts w:ascii="Times New Roman" w:hAnsi="Times New Roman" w:cs="Times New Roman"/>
          <w:bCs/>
          <w:color w:val="000000"/>
          <w:sz w:val="24"/>
          <w:szCs w:val="24"/>
          <w:bdr w:val="none" w:sz="0" w:space="0" w:color="auto" w:frame="1"/>
          <w:lang w:eastAsia="ru-RU"/>
        </w:rPr>
        <w:t>улучшает не только экологическое состояние, но и формирует  целостное эстетическое восприятие облика многоквартирного дома.</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06ED2">
        <w:rPr>
          <w:rFonts w:ascii="Times New Roman" w:hAnsi="Times New Roman" w:cs="Times New Roman"/>
          <w:sz w:val="24"/>
          <w:szCs w:val="24"/>
        </w:rPr>
        <w:t>Зачастую жители финансово не готовы воспользоваться довольно дорогостоящими услугами профессионалов в области ландшафтного дизайна. Кроме того, собственники жилья не готовы к полной реконструкции территории, на обустройство которой у некоторых из них порой затрачено много собственных усилий, особенно у пожилых людей. Реновация озеленения на сегодняшний день является по сравнению с реконструкцией наиболее экономичным способом обновления придомовой территории. Поэтому большинство жителей пытается осуществить реновацию своими силами – организует посадку и посильный уход за насаждениями. Однако, такие мероприятия проводятся бессистемно, по «наитию». И в этой связи особую актуальность приобретает разработка доступных и понятных для жильцов рекомендаций по реновации озеленения придомовых территорий.</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rPr>
          <w:rFonts w:ascii="Times New Roman" w:hAnsi="Times New Roman" w:cs="Times New Roman"/>
          <w:bCs/>
          <w:color w:val="000000"/>
          <w:sz w:val="24"/>
          <w:szCs w:val="24"/>
          <w:bdr w:val="none" w:sz="0" w:space="0" w:color="auto" w:frame="1"/>
          <w:lang w:eastAsia="ru-RU"/>
        </w:rPr>
      </w:pPr>
      <w:r w:rsidRPr="00306ED2">
        <w:rPr>
          <w:rFonts w:ascii="Times New Roman" w:hAnsi="Times New Roman" w:cs="Times New Roman"/>
          <w:bCs/>
          <w:color w:val="000000"/>
          <w:sz w:val="24"/>
          <w:szCs w:val="24"/>
          <w:bdr w:val="none" w:sz="0" w:space="0" w:color="auto" w:frame="1"/>
          <w:lang w:eastAsia="ru-RU"/>
        </w:rPr>
        <w:t xml:space="preserve">Анализ литературы в области озеленения [1] показал, что реновации могут подвергаться различные элементы озеленения (Рисунок 1) в соответствии со следующими этапами: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rPr>
          <w:rFonts w:ascii="Times New Roman" w:hAnsi="Times New Roman" w:cs="Times New Roman"/>
          <w:bCs/>
          <w:color w:val="000000"/>
          <w:sz w:val="24"/>
          <w:szCs w:val="24"/>
          <w:bdr w:val="none" w:sz="0" w:space="0" w:color="auto" w:frame="1"/>
          <w:lang w:eastAsia="ru-RU"/>
        </w:rPr>
      </w:pPr>
      <w:r w:rsidRPr="00306ED2">
        <w:rPr>
          <w:rFonts w:ascii="Times New Roman" w:hAnsi="Times New Roman" w:cs="Times New Roman"/>
          <w:bCs/>
          <w:color w:val="000000"/>
          <w:sz w:val="24"/>
          <w:szCs w:val="24"/>
          <w:bdr w:val="none" w:sz="0" w:space="0" w:color="auto" w:frame="1"/>
          <w:lang w:eastAsia="ru-RU"/>
        </w:rPr>
        <w:t>1. анализ придомовой территории;</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rPr>
          <w:rFonts w:ascii="Times New Roman" w:hAnsi="Times New Roman" w:cs="Times New Roman"/>
          <w:bCs/>
          <w:color w:val="000000"/>
          <w:sz w:val="24"/>
          <w:szCs w:val="24"/>
          <w:bdr w:val="none" w:sz="0" w:space="0" w:color="auto" w:frame="1"/>
          <w:lang w:eastAsia="ru-RU"/>
        </w:rPr>
      </w:pPr>
      <w:r w:rsidRPr="00306ED2">
        <w:rPr>
          <w:rFonts w:ascii="Times New Roman" w:hAnsi="Times New Roman" w:cs="Times New Roman"/>
          <w:bCs/>
          <w:color w:val="000000"/>
          <w:sz w:val="24"/>
          <w:szCs w:val="24"/>
          <w:bdr w:val="none" w:sz="0" w:space="0" w:color="auto" w:frame="1"/>
          <w:lang w:eastAsia="ru-RU"/>
        </w:rPr>
        <w:t>2. составление проектной документации;</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rPr>
          <w:rFonts w:ascii="Times New Roman" w:hAnsi="Times New Roman" w:cs="Times New Roman"/>
          <w:bCs/>
          <w:color w:val="000000"/>
          <w:sz w:val="24"/>
          <w:szCs w:val="24"/>
          <w:bdr w:val="none" w:sz="0" w:space="0" w:color="auto" w:frame="1"/>
          <w:lang w:eastAsia="ru-RU"/>
        </w:rPr>
      </w:pPr>
      <w:r w:rsidRPr="00306ED2">
        <w:rPr>
          <w:rFonts w:ascii="Times New Roman" w:hAnsi="Times New Roman" w:cs="Times New Roman"/>
          <w:bCs/>
          <w:color w:val="000000"/>
          <w:sz w:val="24"/>
          <w:szCs w:val="24"/>
          <w:bdr w:val="none" w:sz="0" w:space="0" w:color="auto" w:frame="1"/>
          <w:lang w:eastAsia="ru-RU"/>
        </w:rPr>
        <w:t>3. инженерно-строительные работы;</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rPr>
          <w:rFonts w:ascii="Times New Roman" w:hAnsi="Times New Roman" w:cs="Times New Roman"/>
          <w:bCs/>
          <w:color w:val="000000"/>
          <w:sz w:val="24"/>
          <w:szCs w:val="24"/>
          <w:bdr w:val="none" w:sz="0" w:space="0" w:color="auto" w:frame="1"/>
          <w:lang w:eastAsia="ru-RU"/>
        </w:rPr>
      </w:pPr>
      <w:r w:rsidRPr="00306ED2">
        <w:rPr>
          <w:rFonts w:ascii="Times New Roman" w:hAnsi="Times New Roman" w:cs="Times New Roman"/>
          <w:bCs/>
          <w:color w:val="000000"/>
          <w:sz w:val="24"/>
          <w:szCs w:val="24"/>
          <w:bdr w:val="none" w:sz="0" w:space="0" w:color="auto" w:frame="1"/>
          <w:lang w:eastAsia="ru-RU"/>
        </w:rPr>
        <w:t>4. агротехнические работы.</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rPr>
          <w:rFonts w:ascii="Times New Roman" w:hAnsi="Times New Roman" w:cs="Times New Roman"/>
          <w:sz w:val="24"/>
          <w:szCs w:val="24"/>
          <w:lang w:eastAsia="ru-RU"/>
        </w:rPr>
      </w:pP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240" w:line="240" w:lineRule="auto"/>
        <w:ind w:firstLine="709"/>
        <w:jc w:val="center"/>
        <w:textAlignment w:val="baseline"/>
        <w:rPr>
          <w:rFonts w:ascii="Times New Roman" w:hAnsi="Times New Roman" w:cs="Times New Roman"/>
          <w:sz w:val="24"/>
          <w:szCs w:val="24"/>
          <w:lang w:eastAsia="ru-RU"/>
        </w:rPr>
      </w:pPr>
      <w:r w:rsidRPr="00306ED2">
        <w:rPr>
          <w:rFonts w:ascii="Times New Roman" w:hAnsi="Times New Roman" w:cs="Times New Roman"/>
          <w:noProof/>
          <w:sz w:val="24"/>
          <w:szCs w:val="24"/>
          <w:lang w:eastAsia="ru-RU"/>
        </w:rPr>
        <w:drawing>
          <wp:inline distT="0" distB="0" distL="0" distR="0" wp14:anchorId="76B6992C" wp14:editId="561F2A6A">
            <wp:extent cx="4305300" cy="2667000"/>
            <wp:effectExtent l="0" t="0" r="0" b="0"/>
            <wp:docPr id="20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05300" cy="2667000"/>
                    </a:xfrm>
                    <a:prstGeom prst="rect">
                      <a:avLst/>
                    </a:prstGeom>
                    <a:noFill/>
                    <a:ln>
                      <a:noFill/>
                    </a:ln>
                  </pic:spPr>
                </pic:pic>
              </a:graphicData>
            </a:graphic>
          </wp:inline>
        </w:drawing>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240" w:line="240" w:lineRule="auto"/>
        <w:ind w:firstLine="709"/>
        <w:jc w:val="center"/>
        <w:textAlignment w:val="baseline"/>
        <w:rPr>
          <w:rFonts w:ascii="Times New Roman" w:hAnsi="Times New Roman" w:cs="Times New Roman"/>
          <w:bCs/>
          <w:color w:val="000000"/>
          <w:sz w:val="24"/>
          <w:szCs w:val="24"/>
          <w:bdr w:val="none" w:sz="0" w:space="0" w:color="auto" w:frame="1"/>
          <w:lang w:eastAsia="ru-RU"/>
        </w:rPr>
      </w:pPr>
      <w:r w:rsidRPr="00306ED2">
        <w:rPr>
          <w:rFonts w:ascii="Times New Roman" w:hAnsi="Times New Roman" w:cs="Times New Roman"/>
          <w:sz w:val="24"/>
          <w:szCs w:val="24"/>
          <w:lang w:eastAsia="ru-RU"/>
        </w:rPr>
        <w:t>Рис.1 Элементы озеленения придомовой территории</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rPr>
          <w:rFonts w:ascii="Times New Roman" w:hAnsi="Times New Roman" w:cs="Times New Roman"/>
          <w:sz w:val="24"/>
          <w:szCs w:val="24"/>
          <w:lang w:eastAsia="ru-RU"/>
        </w:rPr>
      </w:pP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rPr>
          <w:rFonts w:ascii="Times New Roman" w:hAnsi="Times New Roman" w:cs="Times New Roman"/>
          <w:sz w:val="24"/>
          <w:szCs w:val="24"/>
          <w:lang w:eastAsia="ru-RU"/>
        </w:rPr>
      </w:pPr>
      <w:r w:rsidRPr="00306ED2">
        <w:rPr>
          <w:rFonts w:ascii="Times New Roman" w:hAnsi="Times New Roman" w:cs="Times New Roman"/>
          <w:sz w:val="24"/>
          <w:szCs w:val="24"/>
          <w:lang w:eastAsia="ru-RU"/>
        </w:rPr>
        <w:t xml:space="preserve">Проект реновации зеленых насаждений создается на основе исходных данных и материалов, а так же по существующей архитектурно-планировочной застройке.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rPr>
          <w:rFonts w:ascii="Times New Roman" w:hAnsi="Times New Roman" w:cs="Times New Roman"/>
          <w:sz w:val="24"/>
          <w:szCs w:val="24"/>
          <w:lang w:eastAsia="ru-RU"/>
        </w:rPr>
      </w:pPr>
      <w:r w:rsidRPr="00306ED2">
        <w:rPr>
          <w:rFonts w:ascii="Times New Roman" w:hAnsi="Times New Roman" w:cs="Times New Roman"/>
          <w:sz w:val="24"/>
          <w:szCs w:val="24"/>
          <w:lang w:eastAsia="ru-RU"/>
        </w:rPr>
        <w:t xml:space="preserve">В работе в соответствии с научной литературой [1] систематизирована информация по определению видов работ, проводимых на каждом этапе.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rPr>
          <w:rFonts w:ascii="Times New Roman" w:hAnsi="Times New Roman" w:cs="Times New Roman"/>
          <w:sz w:val="24"/>
          <w:szCs w:val="24"/>
          <w:lang w:eastAsia="ru-RU"/>
        </w:rPr>
      </w:pPr>
      <w:r w:rsidRPr="00306ED2">
        <w:rPr>
          <w:rFonts w:ascii="Times New Roman" w:hAnsi="Times New Roman" w:cs="Times New Roman"/>
          <w:sz w:val="24"/>
          <w:szCs w:val="24"/>
          <w:lang w:eastAsia="ru-RU"/>
        </w:rPr>
        <w:t>На этапе анализа придомовой территории осуществляются: сбор исходных данных, обследование территории методом включенного наблюдения, оценка насаждений, с целью определения общего состояния деревьев, газона, цветников, проведение интервьюирования и анкетирования собственников, обработка полученных результатов, составление таблиц по анализу территории.</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8"/>
        <w:jc w:val="both"/>
        <w:textAlignment w:val="baseline"/>
        <w:rPr>
          <w:rFonts w:ascii="Times New Roman" w:hAnsi="Times New Roman" w:cs="Times New Roman"/>
          <w:bCs/>
          <w:color w:val="000000"/>
          <w:sz w:val="24"/>
          <w:szCs w:val="24"/>
          <w:bdr w:val="none" w:sz="0" w:space="0" w:color="auto" w:frame="1"/>
          <w:lang w:eastAsia="ru-RU"/>
        </w:rPr>
      </w:pPr>
      <w:r w:rsidRPr="00306ED2">
        <w:rPr>
          <w:rFonts w:ascii="Times New Roman" w:hAnsi="Times New Roman" w:cs="Times New Roman"/>
          <w:sz w:val="24"/>
          <w:szCs w:val="24"/>
          <w:lang w:eastAsia="ru-RU"/>
        </w:rPr>
        <w:t>При оценке состояния озеленения конкретной придомовой территории необходимо произвести сбор информации об условиях, в которых существуют зеленые насаждения. В</w:t>
      </w:r>
      <w:r w:rsidRPr="00306ED2">
        <w:rPr>
          <w:rFonts w:ascii="Times New Roman" w:hAnsi="Times New Roman" w:cs="Times New Roman"/>
          <w:bCs/>
          <w:color w:val="000000"/>
          <w:sz w:val="24"/>
          <w:szCs w:val="24"/>
          <w:bdr w:val="none" w:sz="0" w:space="0" w:color="auto" w:frame="1"/>
          <w:lang w:eastAsia="ru-RU"/>
        </w:rPr>
        <w:t>ыделены основные причины, по которым растения не могут осуществлять свои функции (Рисунок 2).</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jc w:val="center"/>
        <w:textAlignment w:val="baseline"/>
        <w:rPr>
          <w:rFonts w:ascii="Times New Roman" w:hAnsi="Times New Roman" w:cs="Times New Roman"/>
          <w:bCs/>
          <w:color w:val="000000"/>
          <w:sz w:val="24"/>
          <w:szCs w:val="24"/>
          <w:bdr w:val="none" w:sz="0" w:space="0" w:color="auto" w:frame="1"/>
          <w:lang w:eastAsia="ru-RU"/>
        </w:rPr>
      </w:pPr>
      <w:r w:rsidRPr="00306ED2">
        <w:rPr>
          <w:rFonts w:ascii="Times New Roman" w:hAnsi="Times New Roman" w:cs="Times New Roman"/>
          <w:noProof/>
          <w:color w:val="000000"/>
          <w:sz w:val="24"/>
          <w:szCs w:val="24"/>
          <w:bdr w:val="none" w:sz="0" w:space="0" w:color="auto" w:frame="1"/>
          <w:lang w:eastAsia="ru-RU"/>
        </w:rPr>
        <w:drawing>
          <wp:inline distT="0" distB="0" distL="0" distR="0" wp14:anchorId="04AB00E6" wp14:editId="2F4E299C">
            <wp:extent cx="4514850" cy="2676525"/>
            <wp:effectExtent l="0" t="0" r="0" b="0"/>
            <wp:docPr id="204"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4850" cy="2676525"/>
                    </a:xfrm>
                    <a:prstGeom prst="rect">
                      <a:avLst/>
                    </a:prstGeom>
                    <a:noFill/>
                    <a:ln>
                      <a:noFill/>
                    </a:ln>
                  </pic:spPr>
                </pic:pic>
              </a:graphicData>
            </a:graphic>
          </wp:inline>
        </w:drawing>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before="100" w:beforeAutospacing="1" w:after="100" w:afterAutospacing="1" w:line="240" w:lineRule="auto"/>
        <w:ind w:left="720"/>
        <w:jc w:val="center"/>
        <w:textAlignment w:val="baseline"/>
        <w:rPr>
          <w:rFonts w:ascii="Times New Roman" w:hAnsi="Times New Roman" w:cs="Times New Roman"/>
          <w:sz w:val="24"/>
          <w:szCs w:val="24"/>
          <w:lang w:eastAsia="ru-RU"/>
        </w:rPr>
      </w:pPr>
      <w:r w:rsidRPr="00306ED2">
        <w:rPr>
          <w:rFonts w:ascii="Times New Roman" w:hAnsi="Times New Roman" w:cs="Times New Roman"/>
          <w:sz w:val="24"/>
          <w:szCs w:val="24"/>
          <w:lang w:eastAsia="ru-RU"/>
        </w:rPr>
        <w:t>Рис. 2 Факторы, оказывающие влияние на состояние озеленения дворовой территории</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rPr>
          <w:rFonts w:ascii="Times New Roman" w:hAnsi="Times New Roman" w:cs="Times New Roman"/>
          <w:sz w:val="24"/>
          <w:szCs w:val="24"/>
          <w:lang w:eastAsia="ru-RU"/>
        </w:rPr>
      </w:pPr>
      <w:r w:rsidRPr="00306ED2">
        <w:rPr>
          <w:rFonts w:ascii="Times New Roman" w:hAnsi="Times New Roman" w:cs="Times New Roman"/>
          <w:sz w:val="24"/>
          <w:szCs w:val="24"/>
          <w:lang w:eastAsia="ru-RU"/>
        </w:rPr>
        <w:t>После проведения анализа придомовой территории определяют плотность насаждений на территории дома: степень густоты зеленых насаждений на всей территории двора, включая зоны отдыха, детские площадки и т.д.</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8"/>
        <w:jc w:val="both"/>
        <w:textAlignment w:val="baseline"/>
        <w:rPr>
          <w:rFonts w:ascii="Times New Roman" w:hAnsi="Times New Roman" w:cs="Times New Roman"/>
          <w:bCs/>
          <w:color w:val="000000"/>
          <w:sz w:val="24"/>
          <w:szCs w:val="24"/>
          <w:bdr w:val="none" w:sz="0" w:space="0" w:color="auto" w:frame="1"/>
          <w:lang w:eastAsia="ru-RU"/>
        </w:rPr>
      </w:pPr>
      <w:r w:rsidRPr="00306ED2">
        <w:rPr>
          <w:rFonts w:ascii="Times New Roman" w:hAnsi="Times New Roman" w:cs="Times New Roman"/>
          <w:sz w:val="24"/>
          <w:szCs w:val="24"/>
          <w:lang w:eastAsia="ru-RU"/>
        </w:rPr>
        <w:t>Взаимодействие и взаимовлияние растений во многом способствует развитию той или иной композиции. На объектах озеленения в городских условиях влияние растений друг на друга в группах может носить различный характер. В чрезмерно уплотнённых группировках имеет место механическое взаимодействие растений, проявляющееся в повреждении ветвей, почек, листьев близко расположенных друг к другу. При плотном размещении растений интенсивно идёт процесс конкуренции за влагу, элементы питания, свет. Всё это сказывается на жизнеспособности конкурирующих видов растений.</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8"/>
        <w:jc w:val="both"/>
        <w:textAlignment w:val="baseline"/>
        <w:rPr>
          <w:rFonts w:ascii="Times New Roman" w:hAnsi="Times New Roman" w:cs="Times New Roman"/>
          <w:bCs/>
          <w:color w:val="000000"/>
          <w:sz w:val="24"/>
          <w:szCs w:val="24"/>
          <w:bdr w:val="none" w:sz="0" w:space="0" w:color="auto" w:frame="1"/>
          <w:lang w:eastAsia="ru-RU"/>
        </w:rPr>
      </w:pPr>
      <w:r w:rsidRPr="00306ED2">
        <w:rPr>
          <w:rFonts w:ascii="Times New Roman" w:hAnsi="Times New Roman" w:cs="Times New Roman"/>
          <w:bCs/>
          <w:color w:val="000000"/>
          <w:sz w:val="24"/>
          <w:szCs w:val="24"/>
          <w:bdr w:val="none" w:sz="0" w:space="0" w:color="auto" w:frame="1"/>
          <w:lang w:eastAsia="ru-RU"/>
        </w:rPr>
        <w:t>Отсутствие систематического ухода за насаждениями - подкормка, обрезка и формирование крон деревьев, омолаживание кустарников, устранение механических повреждений, борьба с вредителями и болезнями и т.п., ведёт к потере жизнеспособности и декоративности, образованию поросли, зарастанию приствольных пространств вокруг деревьев нежелательными видами травянистых растений.</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rPr>
          <w:rFonts w:ascii="Times New Roman" w:hAnsi="Times New Roman" w:cs="Times New Roman"/>
          <w:sz w:val="24"/>
          <w:szCs w:val="24"/>
          <w:lang w:eastAsia="ru-RU"/>
        </w:rPr>
      </w:pPr>
      <w:r w:rsidRPr="00306ED2">
        <w:rPr>
          <w:rFonts w:ascii="Times New Roman" w:hAnsi="Times New Roman" w:cs="Times New Roman"/>
          <w:sz w:val="24"/>
          <w:szCs w:val="24"/>
          <w:lang w:eastAsia="ru-RU"/>
        </w:rPr>
        <w:t>Далее, в соответствии с существующей документальной базой в области благоустройства и озеленения городских территорий (СаНПинов, ГОСТов и др.) составляют проектную документацию. При этом необходимо учесть следующие требования:</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8"/>
        <w:jc w:val="both"/>
        <w:rPr>
          <w:rFonts w:ascii="Times New Roman" w:hAnsi="Times New Roman" w:cs="Times New Roman"/>
          <w:color w:val="000000"/>
          <w:sz w:val="24"/>
          <w:szCs w:val="24"/>
        </w:rPr>
      </w:pPr>
      <w:r w:rsidRPr="00306ED2">
        <w:rPr>
          <w:rFonts w:ascii="Times New Roman" w:hAnsi="Times New Roman" w:cs="Times New Roman"/>
          <w:color w:val="000000"/>
          <w:sz w:val="24"/>
          <w:szCs w:val="24"/>
        </w:rPr>
        <w:t>- построить удобные пешеходные дорожки со всеми элементами  и площадками, установленные на придомовой территории;</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8"/>
        <w:jc w:val="both"/>
        <w:rPr>
          <w:rFonts w:ascii="Times New Roman" w:hAnsi="Times New Roman" w:cs="Times New Roman"/>
          <w:color w:val="000000"/>
          <w:sz w:val="24"/>
          <w:szCs w:val="24"/>
        </w:rPr>
      </w:pPr>
      <w:r w:rsidRPr="00306ED2">
        <w:rPr>
          <w:rFonts w:ascii="Times New Roman" w:hAnsi="Times New Roman" w:cs="Times New Roman"/>
          <w:color w:val="000000"/>
          <w:sz w:val="24"/>
          <w:szCs w:val="24"/>
        </w:rPr>
        <w:t>- организовать возможность подъезда к подъездным путям, мусоросборникам;</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8"/>
        <w:jc w:val="both"/>
        <w:rPr>
          <w:rFonts w:ascii="Times New Roman" w:hAnsi="Times New Roman" w:cs="Times New Roman"/>
          <w:color w:val="000000"/>
          <w:sz w:val="24"/>
          <w:szCs w:val="24"/>
        </w:rPr>
      </w:pPr>
      <w:r w:rsidRPr="00306ED2">
        <w:rPr>
          <w:rFonts w:ascii="Times New Roman" w:hAnsi="Times New Roman" w:cs="Times New Roman"/>
          <w:color w:val="000000"/>
          <w:sz w:val="24"/>
          <w:szCs w:val="24"/>
        </w:rPr>
        <w:t>- организовать озеленение дворовой территории таким способом, чтобы создать надежную изоляцию от шума и пыли;</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8"/>
        <w:jc w:val="both"/>
        <w:rPr>
          <w:rFonts w:ascii="Times New Roman" w:hAnsi="Times New Roman" w:cs="Times New Roman"/>
          <w:color w:val="000000"/>
          <w:sz w:val="24"/>
          <w:szCs w:val="24"/>
        </w:rPr>
      </w:pPr>
      <w:r w:rsidRPr="00306ED2">
        <w:rPr>
          <w:rFonts w:ascii="Times New Roman" w:hAnsi="Times New Roman" w:cs="Times New Roman"/>
          <w:color w:val="000000"/>
          <w:sz w:val="24"/>
          <w:szCs w:val="24"/>
        </w:rPr>
        <w:t>- создать ограничительные посадки для разграничения детских, хозяйственных площадок и зон отдыха;</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8"/>
        <w:jc w:val="both"/>
        <w:rPr>
          <w:rFonts w:ascii="Times New Roman" w:hAnsi="Times New Roman" w:cs="Times New Roman"/>
          <w:color w:val="000000"/>
          <w:sz w:val="24"/>
          <w:szCs w:val="24"/>
        </w:rPr>
      </w:pPr>
      <w:r w:rsidRPr="00306ED2">
        <w:rPr>
          <w:rFonts w:ascii="Times New Roman" w:hAnsi="Times New Roman" w:cs="Times New Roman"/>
          <w:color w:val="000000"/>
          <w:sz w:val="24"/>
          <w:szCs w:val="24"/>
        </w:rPr>
        <w:t>- создать оригинальные и красивые цветники, композиции из кустарников и деревьев для улучшения эстетического восприятия территории;</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8"/>
        <w:jc w:val="both"/>
        <w:rPr>
          <w:rFonts w:ascii="Times New Roman" w:hAnsi="Times New Roman" w:cs="Times New Roman"/>
          <w:color w:val="000000"/>
          <w:sz w:val="24"/>
          <w:szCs w:val="24"/>
        </w:rPr>
      </w:pPr>
      <w:r w:rsidRPr="00306ED2">
        <w:rPr>
          <w:rFonts w:ascii="Times New Roman" w:hAnsi="Times New Roman" w:cs="Times New Roman"/>
          <w:color w:val="000000"/>
          <w:sz w:val="24"/>
          <w:szCs w:val="24"/>
        </w:rPr>
        <w:t>- организовать затененные и открытые места отдыха.</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rPr>
          <w:rFonts w:ascii="Times New Roman" w:hAnsi="Times New Roman" w:cs="Times New Roman"/>
          <w:sz w:val="24"/>
          <w:szCs w:val="24"/>
          <w:lang w:eastAsia="ru-RU"/>
        </w:rPr>
      </w:pPr>
      <w:r w:rsidRPr="00306ED2">
        <w:rPr>
          <w:rFonts w:ascii="Times New Roman" w:hAnsi="Times New Roman" w:cs="Times New Roman"/>
          <w:sz w:val="24"/>
          <w:szCs w:val="24"/>
          <w:lang w:eastAsia="ru-RU"/>
        </w:rPr>
        <w:t>В проектную документацию входят также рекомендации по хозяйственным мероприятиям [4,5], осуществляемым поэтапно.</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06ED2">
        <w:rPr>
          <w:rFonts w:ascii="Times New Roman" w:hAnsi="Times New Roman" w:cs="Times New Roman"/>
          <w:sz w:val="24"/>
          <w:szCs w:val="24"/>
        </w:rPr>
        <w:t>Далее был проведен анализ нормативной базы для оценки состояния озеленения придомовых территорий. Нормы для оценки представлены в таблице 1.</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i/>
          <w:sz w:val="24"/>
          <w:szCs w:val="24"/>
        </w:rPr>
      </w:pPr>
      <w:r w:rsidRPr="00306ED2">
        <w:rPr>
          <w:rFonts w:ascii="Times New Roman" w:hAnsi="Times New Roman" w:cs="Times New Roman"/>
          <w:i/>
          <w:sz w:val="24"/>
          <w:szCs w:val="24"/>
        </w:rPr>
        <w:t xml:space="preserve">Таблица 1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sz w:val="24"/>
          <w:szCs w:val="24"/>
        </w:rPr>
      </w:pPr>
      <w:r w:rsidRPr="00306ED2">
        <w:rPr>
          <w:rFonts w:ascii="Times New Roman" w:hAnsi="Times New Roman" w:cs="Times New Roman"/>
          <w:b/>
          <w:sz w:val="24"/>
          <w:szCs w:val="24"/>
        </w:rPr>
        <w:t>Нормы оценки придомовой территории</w:t>
      </w:r>
    </w:p>
    <w:tbl>
      <w:tblPr>
        <w:tblStyle w:val="62"/>
        <w:tblW w:w="9747" w:type="dxa"/>
        <w:tblLook w:val="0420" w:firstRow="1" w:lastRow="0" w:firstColumn="0" w:lastColumn="0" w:noHBand="0" w:noVBand="1"/>
      </w:tblPr>
      <w:tblGrid>
        <w:gridCol w:w="3794"/>
        <w:gridCol w:w="2551"/>
        <w:gridCol w:w="3402"/>
      </w:tblGrid>
      <w:tr w:rsidR="00306ED2" w:rsidRPr="00306ED2" w:rsidTr="00306ED2">
        <w:trPr>
          <w:trHeight w:val="135"/>
        </w:trPr>
        <w:tc>
          <w:tcPr>
            <w:tcW w:w="3794" w:type="dxa"/>
            <w:hideMark/>
          </w:tcPr>
          <w:p w:rsidR="00306ED2" w:rsidRPr="00306ED2" w:rsidRDefault="00306ED2" w:rsidP="00306ED2">
            <w:pPr>
              <w:spacing w:after="0" w:line="240" w:lineRule="auto"/>
              <w:ind w:firstLine="709"/>
              <w:jc w:val="both"/>
              <w:rPr>
                <w:rFonts w:ascii="Times New Roman" w:hAnsi="Times New Roman"/>
                <w:sz w:val="20"/>
                <w:szCs w:val="24"/>
              </w:rPr>
            </w:pPr>
            <w:r w:rsidRPr="00306ED2">
              <w:rPr>
                <w:rFonts w:ascii="Times New Roman" w:hAnsi="Times New Roman"/>
                <w:bCs/>
                <w:sz w:val="20"/>
                <w:szCs w:val="24"/>
              </w:rPr>
              <w:t>Критерий</w:t>
            </w:r>
          </w:p>
        </w:tc>
        <w:tc>
          <w:tcPr>
            <w:tcW w:w="2551" w:type="dxa"/>
            <w:hideMark/>
          </w:tcPr>
          <w:p w:rsidR="00306ED2" w:rsidRPr="00306ED2" w:rsidRDefault="00306ED2" w:rsidP="00306ED2">
            <w:pPr>
              <w:spacing w:after="0" w:line="240" w:lineRule="auto"/>
              <w:ind w:firstLine="709"/>
              <w:jc w:val="both"/>
              <w:rPr>
                <w:rFonts w:ascii="Times New Roman" w:hAnsi="Times New Roman"/>
                <w:sz w:val="20"/>
                <w:szCs w:val="24"/>
              </w:rPr>
            </w:pPr>
            <w:r w:rsidRPr="00306ED2">
              <w:rPr>
                <w:rFonts w:ascii="Times New Roman" w:hAnsi="Times New Roman"/>
                <w:bCs/>
                <w:sz w:val="20"/>
                <w:szCs w:val="24"/>
              </w:rPr>
              <w:t>Норма</w:t>
            </w:r>
          </w:p>
        </w:tc>
        <w:tc>
          <w:tcPr>
            <w:tcW w:w="3402" w:type="dxa"/>
            <w:hideMark/>
          </w:tcPr>
          <w:p w:rsidR="00306ED2" w:rsidRPr="00306ED2" w:rsidRDefault="00306ED2" w:rsidP="00306ED2">
            <w:pPr>
              <w:spacing w:after="0" w:line="240" w:lineRule="auto"/>
              <w:ind w:firstLine="709"/>
              <w:jc w:val="both"/>
              <w:rPr>
                <w:rFonts w:ascii="Times New Roman" w:hAnsi="Times New Roman"/>
                <w:sz w:val="20"/>
                <w:szCs w:val="24"/>
              </w:rPr>
            </w:pPr>
            <w:r w:rsidRPr="00306ED2">
              <w:rPr>
                <w:rFonts w:ascii="Times New Roman" w:hAnsi="Times New Roman"/>
                <w:bCs/>
                <w:sz w:val="20"/>
                <w:szCs w:val="24"/>
              </w:rPr>
              <w:t>Нормативный документ</w:t>
            </w:r>
          </w:p>
        </w:tc>
      </w:tr>
      <w:tr w:rsidR="00306ED2" w:rsidRPr="00306ED2" w:rsidTr="00306ED2">
        <w:trPr>
          <w:trHeight w:val="199"/>
        </w:trPr>
        <w:tc>
          <w:tcPr>
            <w:tcW w:w="3794" w:type="dxa"/>
            <w:hideMark/>
          </w:tcPr>
          <w:p w:rsidR="00306ED2" w:rsidRPr="00306ED2" w:rsidRDefault="00306ED2" w:rsidP="00306ED2">
            <w:pPr>
              <w:spacing w:after="0" w:line="240" w:lineRule="auto"/>
              <w:jc w:val="both"/>
              <w:rPr>
                <w:rFonts w:ascii="Times New Roman" w:hAnsi="Times New Roman"/>
                <w:sz w:val="20"/>
                <w:szCs w:val="24"/>
              </w:rPr>
            </w:pPr>
            <w:r w:rsidRPr="00306ED2">
              <w:rPr>
                <w:rFonts w:ascii="Times New Roman" w:hAnsi="Times New Roman"/>
                <w:sz w:val="20"/>
                <w:szCs w:val="24"/>
              </w:rPr>
              <w:t>Обеспеченность озелененными территориями в %</w:t>
            </w:r>
          </w:p>
        </w:tc>
        <w:tc>
          <w:tcPr>
            <w:tcW w:w="2551" w:type="dxa"/>
            <w:hideMark/>
          </w:tcPr>
          <w:p w:rsidR="00306ED2" w:rsidRPr="00306ED2" w:rsidRDefault="00306ED2" w:rsidP="00306ED2">
            <w:pPr>
              <w:spacing w:after="0" w:line="240" w:lineRule="auto"/>
              <w:jc w:val="both"/>
              <w:rPr>
                <w:rFonts w:ascii="Times New Roman" w:hAnsi="Times New Roman"/>
                <w:sz w:val="20"/>
                <w:szCs w:val="24"/>
              </w:rPr>
            </w:pPr>
            <w:r w:rsidRPr="00306ED2">
              <w:rPr>
                <w:rFonts w:ascii="Times New Roman" w:hAnsi="Times New Roman"/>
                <w:sz w:val="20"/>
                <w:szCs w:val="24"/>
              </w:rPr>
              <w:t>40-60%</w:t>
            </w:r>
          </w:p>
        </w:tc>
        <w:tc>
          <w:tcPr>
            <w:tcW w:w="3402" w:type="dxa"/>
            <w:hideMark/>
          </w:tcPr>
          <w:p w:rsidR="00306ED2" w:rsidRPr="00306ED2" w:rsidRDefault="00306ED2" w:rsidP="00306ED2">
            <w:pPr>
              <w:spacing w:after="0" w:line="240" w:lineRule="auto"/>
              <w:jc w:val="both"/>
              <w:rPr>
                <w:rFonts w:ascii="Times New Roman" w:hAnsi="Times New Roman"/>
                <w:sz w:val="20"/>
                <w:szCs w:val="24"/>
              </w:rPr>
            </w:pPr>
            <w:r w:rsidRPr="00306ED2">
              <w:rPr>
                <w:rFonts w:ascii="Times New Roman" w:hAnsi="Times New Roman"/>
                <w:sz w:val="20"/>
                <w:szCs w:val="24"/>
              </w:rPr>
              <w:t>Приказ Министерства регионального развития РФ №613</w:t>
            </w:r>
          </w:p>
        </w:tc>
      </w:tr>
      <w:tr w:rsidR="00306ED2" w:rsidRPr="00306ED2" w:rsidTr="00306ED2">
        <w:trPr>
          <w:trHeight w:val="250"/>
        </w:trPr>
        <w:tc>
          <w:tcPr>
            <w:tcW w:w="3794" w:type="dxa"/>
            <w:hideMark/>
          </w:tcPr>
          <w:p w:rsidR="00306ED2" w:rsidRPr="00306ED2" w:rsidRDefault="00306ED2" w:rsidP="00306ED2">
            <w:pPr>
              <w:spacing w:after="0" w:line="240" w:lineRule="auto"/>
              <w:jc w:val="both"/>
              <w:rPr>
                <w:rFonts w:ascii="Times New Roman" w:hAnsi="Times New Roman"/>
                <w:sz w:val="20"/>
                <w:szCs w:val="24"/>
              </w:rPr>
            </w:pPr>
            <w:r w:rsidRPr="00306ED2">
              <w:rPr>
                <w:rFonts w:ascii="Times New Roman" w:hAnsi="Times New Roman"/>
                <w:sz w:val="20"/>
                <w:szCs w:val="24"/>
              </w:rPr>
              <w:t>Расстояние от окон дома до ствола дерева</w:t>
            </w:r>
          </w:p>
        </w:tc>
        <w:tc>
          <w:tcPr>
            <w:tcW w:w="2551" w:type="dxa"/>
            <w:hideMark/>
          </w:tcPr>
          <w:p w:rsidR="00306ED2" w:rsidRPr="00306ED2" w:rsidRDefault="00306ED2" w:rsidP="00306ED2">
            <w:pPr>
              <w:spacing w:after="0" w:line="240" w:lineRule="auto"/>
              <w:jc w:val="both"/>
              <w:rPr>
                <w:rFonts w:ascii="Times New Roman" w:hAnsi="Times New Roman"/>
                <w:sz w:val="20"/>
                <w:szCs w:val="24"/>
              </w:rPr>
            </w:pPr>
            <w:r w:rsidRPr="00306ED2">
              <w:rPr>
                <w:rFonts w:ascii="Times New Roman" w:hAnsi="Times New Roman"/>
                <w:sz w:val="20"/>
                <w:szCs w:val="24"/>
              </w:rPr>
              <w:t>Не менее 5 метров</w:t>
            </w:r>
          </w:p>
        </w:tc>
        <w:tc>
          <w:tcPr>
            <w:tcW w:w="3402" w:type="dxa"/>
            <w:hideMark/>
          </w:tcPr>
          <w:p w:rsidR="00306ED2" w:rsidRPr="00306ED2" w:rsidRDefault="00306ED2" w:rsidP="00306ED2">
            <w:pPr>
              <w:spacing w:after="0" w:line="240" w:lineRule="auto"/>
              <w:jc w:val="both"/>
              <w:rPr>
                <w:rFonts w:ascii="Times New Roman" w:hAnsi="Times New Roman"/>
                <w:sz w:val="20"/>
                <w:szCs w:val="24"/>
                <w:lang w:val="en-US"/>
              </w:rPr>
            </w:pPr>
            <w:r w:rsidRPr="00306ED2">
              <w:rPr>
                <w:rFonts w:ascii="Times New Roman" w:hAnsi="Times New Roman"/>
                <w:sz w:val="20"/>
                <w:szCs w:val="24"/>
              </w:rPr>
              <w:t xml:space="preserve">ФЗ- 10.01.2002 N 7 </w:t>
            </w:r>
            <w:r w:rsidRPr="00306ED2">
              <w:rPr>
                <w:rFonts w:ascii="Times New Roman" w:hAnsi="Times New Roman"/>
                <w:sz w:val="20"/>
                <w:szCs w:val="24"/>
                <w:lang w:val="en-US"/>
              </w:rPr>
              <w:t>[</w:t>
            </w:r>
            <w:r w:rsidRPr="00306ED2">
              <w:rPr>
                <w:rFonts w:ascii="Times New Roman" w:hAnsi="Times New Roman"/>
                <w:sz w:val="20"/>
                <w:szCs w:val="24"/>
              </w:rPr>
              <w:t>2</w:t>
            </w:r>
            <w:r w:rsidRPr="00306ED2">
              <w:rPr>
                <w:rFonts w:ascii="Times New Roman" w:hAnsi="Times New Roman"/>
                <w:sz w:val="20"/>
                <w:szCs w:val="24"/>
                <w:lang w:val="en-US"/>
              </w:rPr>
              <w:t>]</w:t>
            </w:r>
          </w:p>
        </w:tc>
      </w:tr>
      <w:tr w:rsidR="00306ED2" w:rsidRPr="00306ED2" w:rsidTr="00306ED2">
        <w:trPr>
          <w:trHeight w:val="279"/>
        </w:trPr>
        <w:tc>
          <w:tcPr>
            <w:tcW w:w="3794" w:type="dxa"/>
            <w:hideMark/>
          </w:tcPr>
          <w:p w:rsidR="00306ED2" w:rsidRPr="00306ED2" w:rsidRDefault="00306ED2" w:rsidP="00306ED2">
            <w:pPr>
              <w:spacing w:after="0" w:line="240" w:lineRule="auto"/>
              <w:jc w:val="both"/>
              <w:rPr>
                <w:rFonts w:ascii="Times New Roman" w:hAnsi="Times New Roman"/>
                <w:sz w:val="20"/>
                <w:szCs w:val="24"/>
              </w:rPr>
            </w:pPr>
            <w:r w:rsidRPr="00306ED2">
              <w:rPr>
                <w:rFonts w:ascii="Times New Roman" w:hAnsi="Times New Roman"/>
                <w:sz w:val="20"/>
                <w:szCs w:val="24"/>
              </w:rPr>
              <w:t>Состояние кустарников и деревьев, клумб, цветников</w:t>
            </w:r>
          </w:p>
        </w:tc>
        <w:tc>
          <w:tcPr>
            <w:tcW w:w="2551" w:type="dxa"/>
            <w:hideMark/>
          </w:tcPr>
          <w:p w:rsidR="00306ED2" w:rsidRPr="00306ED2" w:rsidRDefault="00306ED2" w:rsidP="00306ED2">
            <w:pPr>
              <w:spacing w:after="0" w:line="240" w:lineRule="auto"/>
              <w:jc w:val="both"/>
              <w:rPr>
                <w:rFonts w:ascii="Times New Roman" w:hAnsi="Times New Roman"/>
                <w:sz w:val="20"/>
                <w:szCs w:val="24"/>
              </w:rPr>
            </w:pPr>
            <w:r w:rsidRPr="00306ED2">
              <w:rPr>
                <w:rFonts w:ascii="Times New Roman" w:hAnsi="Times New Roman"/>
                <w:sz w:val="20"/>
                <w:szCs w:val="24"/>
              </w:rPr>
              <w:t>Ухоженный вид</w:t>
            </w:r>
          </w:p>
        </w:tc>
        <w:tc>
          <w:tcPr>
            <w:tcW w:w="3402" w:type="dxa"/>
            <w:hideMark/>
          </w:tcPr>
          <w:p w:rsidR="00306ED2" w:rsidRPr="00306ED2" w:rsidRDefault="00306ED2" w:rsidP="00306ED2">
            <w:pPr>
              <w:spacing w:after="0" w:line="240" w:lineRule="auto"/>
              <w:jc w:val="both"/>
              <w:rPr>
                <w:rFonts w:ascii="Times New Roman" w:hAnsi="Times New Roman"/>
                <w:sz w:val="20"/>
                <w:szCs w:val="24"/>
              </w:rPr>
            </w:pPr>
            <w:r w:rsidRPr="00306ED2">
              <w:rPr>
                <w:rFonts w:ascii="Times New Roman" w:hAnsi="Times New Roman"/>
                <w:sz w:val="20"/>
                <w:szCs w:val="24"/>
              </w:rPr>
              <w:t>ФЗ - 10.01.2002 N 7</w:t>
            </w:r>
          </w:p>
        </w:tc>
      </w:tr>
      <w:tr w:rsidR="00306ED2" w:rsidRPr="00306ED2" w:rsidTr="00306ED2">
        <w:trPr>
          <w:trHeight w:val="215"/>
        </w:trPr>
        <w:tc>
          <w:tcPr>
            <w:tcW w:w="3794" w:type="dxa"/>
            <w:hideMark/>
          </w:tcPr>
          <w:p w:rsidR="00306ED2" w:rsidRPr="00306ED2" w:rsidRDefault="00306ED2" w:rsidP="00306ED2">
            <w:pPr>
              <w:spacing w:after="0" w:line="240" w:lineRule="auto"/>
              <w:jc w:val="both"/>
              <w:rPr>
                <w:rFonts w:ascii="Times New Roman" w:hAnsi="Times New Roman"/>
                <w:sz w:val="20"/>
                <w:szCs w:val="24"/>
              </w:rPr>
            </w:pPr>
            <w:r w:rsidRPr="00306ED2">
              <w:rPr>
                <w:rFonts w:ascii="Times New Roman" w:hAnsi="Times New Roman"/>
                <w:sz w:val="20"/>
                <w:szCs w:val="24"/>
              </w:rPr>
              <w:t>Расстояние от окон дома до кустарника</w:t>
            </w:r>
          </w:p>
        </w:tc>
        <w:tc>
          <w:tcPr>
            <w:tcW w:w="2551" w:type="dxa"/>
            <w:hideMark/>
          </w:tcPr>
          <w:p w:rsidR="00306ED2" w:rsidRPr="00306ED2" w:rsidRDefault="00306ED2" w:rsidP="00306ED2">
            <w:pPr>
              <w:spacing w:after="0" w:line="240" w:lineRule="auto"/>
              <w:jc w:val="both"/>
              <w:rPr>
                <w:rFonts w:ascii="Times New Roman" w:hAnsi="Times New Roman"/>
                <w:sz w:val="20"/>
                <w:szCs w:val="24"/>
              </w:rPr>
            </w:pPr>
            <w:r w:rsidRPr="00306ED2">
              <w:rPr>
                <w:rFonts w:ascii="Times New Roman" w:hAnsi="Times New Roman"/>
                <w:sz w:val="20"/>
                <w:szCs w:val="24"/>
              </w:rPr>
              <w:t>Не менее 1,5 метра</w:t>
            </w:r>
          </w:p>
        </w:tc>
        <w:tc>
          <w:tcPr>
            <w:tcW w:w="3402" w:type="dxa"/>
            <w:hideMark/>
          </w:tcPr>
          <w:p w:rsidR="00306ED2" w:rsidRPr="00306ED2" w:rsidRDefault="00306ED2" w:rsidP="00306ED2">
            <w:pPr>
              <w:spacing w:after="0" w:line="240" w:lineRule="auto"/>
              <w:jc w:val="both"/>
              <w:rPr>
                <w:rFonts w:ascii="Times New Roman" w:hAnsi="Times New Roman"/>
                <w:sz w:val="20"/>
                <w:szCs w:val="24"/>
              </w:rPr>
            </w:pPr>
            <w:r w:rsidRPr="00306ED2">
              <w:rPr>
                <w:rFonts w:ascii="Times New Roman" w:hAnsi="Times New Roman"/>
                <w:sz w:val="20"/>
                <w:szCs w:val="24"/>
              </w:rPr>
              <w:t>ФЗ - 10.01.2002 N 7</w:t>
            </w:r>
          </w:p>
        </w:tc>
      </w:tr>
      <w:tr w:rsidR="00306ED2" w:rsidRPr="00306ED2" w:rsidTr="00306ED2">
        <w:trPr>
          <w:trHeight w:val="748"/>
        </w:trPr>
        <w:tc>
          <w:tcPr>
            <w:tcW w:w="3794" w:type="dxa"/>
            <w:hideMark/>
          </w:tcPr>
          <w:p w:rsidR="00306ED2" w:rsidRPr="00306ED2" w:rsidRDefault="00306ED2" w:rsidP="00306ED2">
            <w:pPr>
              <w:spacing w:after="0" w:line="240" w:lineRule="auto"/>
              <w:jc w:val="both"/>
              <w:rPr>
                <w:rFonts w:ascii="Times New Roman" w:hAnsi="Times New Roman"/>
                <w:sz w:val="20"/>
                <w:szCs w:val="24"/>
              </w:rPr>
            </w:pPr>
            <w:r w:rsidRPr="00306ED2">
              <w:rPr>
                <w:rFonts w:ascii="Times New Roman" w:hAnsi="Times New Roman"/>
                <w:sz w:val="20"/>
                <w:szCs w:val="24"/>
              </w:rPr>
              <w:t>Санитарное состояние</w:t>
            </w:r>
          </w:p>
        </w:tc>
        <w:tc>
          <w:tcPr>
            <w:tcW w:w="2551" w:type="dxa"/>
            <w:hideMark/>
          </w:tcPr>
          <w:p w:rsidR="00306ED2" w:rsidRPr="00306ED2" w:rsidRDefault="00306ED2" w:rsidP="00306ED2">
            <w:pPr>
              <w:spacing w:after="0" w:line="240" w:lineRule="auto"/>
              <w:jc w:val="both"/>
              <w:rPr>
                <w:rFonts w:ascii="Times New Roman" w:hAnsi="Times New Roman"/>
                <w:sz w:val="20"/>
                <w:szCs w:val="24"/>
              </w:rPr>
            </w:pPr>
            <w:r w:rsidRPr="00306ED2">
              <w:rPr>
                <w:rFonts w:ascii="Times New Roman" w:hAnsi="Times New Roman"/>
                <w:sz w:val="20"/>
                <w:szCs w:val="24"/>
              </w:rPr>
              <w:t>Запрещено складирование отходов, снега</w:t>
            </w:r>
          </w:p>
        </w:tc>
        <w:tc>
          <w:tcPr>
            <w:tcW w:w="3402" w:type="dxa"/>
            <w:hideMark/>
          </w:tcPr>
          <w:p w:rsidR="00306ED2" w:rsidRPr="00306ED2" w:rsidRDefault="00306ED2" w:rsidP="00306ED2">
            <w:pPr>
              <w:spacing w:after="0" w:line="240" w:lineRule="auto"/>
              <w:jc w:val="both"/>
              <w:rPr>
                <w:rFonts w:ascii="Times New Roman" w:hAnsi="Times New Roman"/>
                <w:sz w:val="20"/>
                <w:szCs w:val="24"/>
                <w:lang w:val="en-US"/>
              </w:rPr>
            </w:pPr>
            <w:r w:rsidRPr="00306ED2">
              <w:rPr>
                <w:rFonts w:ascii="Times New Roman" w:hAnsi="Times New Roman"/>
                <w:sz w:val="20"/>
                <w:szCs w:val="24"/>
              </w:rPr>
              <w:t xml:space="preserve">Постановление Госстроя РФ № 170 </w:t>
            </w:r>
            <w:r w:rsidRPr="00306ED2">
              <w:rPr>
                <w:rFonts w:ascii="Times New Roman" w:hAnsi="Times New Roman"/>
                <w:sz w:val="20"/>
                <w:szCs w:val="24"/>
                <w:lang w:val="en-US"/>
              </w:rPr>
              <w:t>[</w:t>
            </w:r>
            <w:r w:rsidRPr="00306ED2">
              <w:rPr>
                <w:rFonts w:ascii="Times New Roman" w:hAnsi="Times New Roman"/>
                <w:sz w:val="20"/>
                <w:szCs w:val="24"/>
              </w:rPr>
              <w:t>3</w:t>
            </w:r>
            <w:r w:rsidRPr="00306ED2">
              <w:rPr>
                <w:rFonts w:ascii="Times New Roman" w:hAnsi="Times New Roman"/>
                <w:sz w:val="20"/>
                <w:szCs w:val="24"/>
                <w:lang w:val="en-US"/>
              </w:rPr>
              <w:t>]</w:t>
            </w:r>
          </w:p>
        </w:tc>
      </w:tr>
    </w:tbl>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bCs/>
          <w:noProof/>
          <w:color w:val="000000"/>
          <w:sz w:val="28"/>
          <w:bdr w:val="none" w:sz="0" w:space="0" w:color="auto" w:frame="1"/>
        </w:rPr>
      </w:pPr>
      <w:r w:rsidRPr="00306ED2">
        <w:rPr>
          <w:rFonts w:ascii="Times New Roman" w:hAnsi="Times New Roman" w:cs="Times New Roman"/>
          <w:sz w:val="24"/>
          <w:szCs w:val="24"/>
        </w:rPr>
        <w:t>После анализа придомовой территории необходимо решить, какой вид реновации – полная или частичная, – будет проходить на придомовой территории</w:t>
      </w:r>
      <w:r w:rsidRPr="00306ED2">
        <w:rPr>
          <w:rFonts w:ascii="Times New Roman" w:hAnsi="Times New Roman" w:cs="Times New Roman"/>
          <w:bCs/>
          <w:color w:val="000000"/>
          <w:bdr w:val="none" w:sz="0" w:space="0" w:color="auto" w:frame="1"/>
        </w:rPr>
        <w:t>.</w:t>
      </w:r>
      <w:r w:rsidRPr="00306ED2">
        <w:rPr>
          <w:rFonts w:cs="Times New Roman"/>
          <w:bCs/>
          <w:noProof/>
          <w:color w:val="000000"/>
          <w:bdr w:val="none" w:sz="0" w:space="0" w:color="auto" w:frame="1"/>
        </w:rPr>
        <w:t xml:space="preserve"> </w:t>
      </w:r>
      <w:r w:rsidRPr="00306ED2">
        <w:rPr>
          <w:rFonts w:ascii="Times New Roman" w:hAnsi="Times New Roman" w:cs="Times New Roman"/>
          <w:bCs/>
          <w:noProof/>
          <w:color w:val="000000"/>
          <w:sz w:val="24"/>
          <w:bdr w:val="none" w:sz="0" w:space="0" w:color="auto" w:frame="1"/>
        </w:rPr>
        <w:t>После анализа и составления проектной документации происходят практические мероприятия, они основываются на количестве растений на единицу озелененной площадке, состоянии объекта, общей задачей композиционно - планировочного решения.</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rPr>
          <w:rFonts w:ascii="Times New Roman" w:hAnsi="Times New Roman" w:cs="Times New Roman"/>
          <w:bCs/>
          <w:color w:val="000000"/>
          <w:sz w:val="24"/>
          <w:szCs w:val="24"/>
          <w:bdr w:val="none" w:sz="0" w:space="0" w:color="auto" w:frame="1"/>
          <w:lang w:eastAsia="ru-RU"/>
        </w:rPr>
      </w:pPr>
      <w:r w:rsidRPr="00306ED2">
        <w:rPr>
          <w:rFonts w:ascii="Times New Roman" w:hAnsi="Times New Roman" w:cs="Times New Roman"/>
          <w:bCs/>
          <w:color w:val="000000"/>
          <w:sz w:val="24"/>
          <w:szCs w:val="24"/>
          <w:bdr w:val="none" w:sz="0" w:space="0" w:color="auto" w:frame="1"/>
          <w:lang w:eastAsia="ru-RU"/>
        </w:rPr>
        <w:t>Таким образом, реновация зеленых насаждений придомовой территории достаточно сложный и важный процесс в создании здоровой, красивой и конфортной жизни жителей многоквартирного дома.</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before="120" w:after="0" w:line="240" w:lineRule="auto"/>
        <w:jc w:val="both"/>
        <w:rPr>
          <w:rFonts w:ascii="Times New Roman" w:hAnsi="Times New Roman" w:cs="Times New Roman"/>
          <w:sz w:val="24"/>
        </w:rPr>
      </w:pPr>
      <w:r w:rsidRPr="00306ED2">
        <w:rPr>
          <w:rFonts w:ascii="Times New Roman" w:hAnsi="Times New Roman" w:cs="Times New Roman"/>
          <w:sz w:val="24"/>
        </w:rPr>
        <w:t>______________________________________</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outlineLvl w:val="0"/>
        <w:rPr>
          <w:rFonts w:ascii="Tahoma" w:hAnsi="Tahoma" w:cs="Tahoma"/>
          <w:color w:val="000000"/>
          <w:kern w:val="36"/>
          <w:sz w:val="34"/>
          <w:szCs w:val="34"/>
          <w:lang w:eastAsia="ru-RU"/>
        </w:rPr>
      </w:pPr>
      <w:r w:rsidRPr="00306ED2">
        <w:rPr>
          <w:rFonts w:ascii="Times New Roman" w:hAnsi="Times New Roman" w:cs="Times New Roman"/>
          <w:bCs/>
          <w:kern w:val="36"/>
          <w:sz w:val="24"/>
          <w:szCs w:val="48"/>
          <w:lang w:eastAsia="ru-RU"/>
        </w:rPr>
        <w:t xml:space="preserve">1. </w:t>
      </w:r>
      <w:r w:rsidRPr="00306ED2">
        <w:rPr>
          <w:rFonts w:ascii="Times New Roman" w:hAnsi="Times New Roman" w:cs="Times New Roman"/>
          <w:bCs/>
          <w:kern w:val="36"/>
          <w:sz w:val="24"/>
          <w:szCs w:val="24"/>
          <w:lang w:eastAsia="ru-RU"/>
        </w:rPr>
        <w:t>Аткина Л.И., Вишнякова С.В., Луганская С.Н. Реконструкция насаждений; Учебно- методическое пособие. – Екатеринбург : УГЛТУ, 2015. – 41 с.</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06ED2">
        <w:rPr>
          <w:rFonts w:ascii="Times New Roman" w:hAnsi="Times New Roman" w:cs="Times New Roman"/>
          <w:sz w:val="24"/>
        </w:rPr>
        <w:t xml:space="preserve">2. Об охране окружающей среды: федеральный закон от 10.01.2002 N 7-ФЗ (ред. от 29.12.2015) [Электронный ресурс] // СПС «Консультант плюс». – Режим доступа: </w:t>
      </w:r>
      <w:hyperlink r:id="rId9" w:history="1">
        <w:r w:rsidRPr="00306ED2">
          <w:rPr>
            <w:rFonts w:ascii="Times New Roman" w:hAnsi="Times New Roman" w:cs="Times New Roman"/>
            <w:color w:val="0000FF"/>
            <w:sz w:val="24"/>
            <w:u w:val="single"/>
          </w:rPr>
          <w:t>http://www.consultant.ru/document/cons_doc_LAW_34823/</w:t>
        </w:r>
      </w:hyperlink>
      <w:r w:rsidRPr="00306ED2">
        <w:rPr>
          <w:rFonts w:ascii="Times New Roman" w:hAnsi="Times New Roman" w:cs="Times New Roman"/>
          <w:sz w:val="24"/>
        </w:rPr>
        <w:t xml:space="preserve">.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rPr>
      </w:pPr>
      <w:r w:rsidRPr="00306ED2">
        <w:rPr>
          <w:rFonts w:ascii="Times New Roman" w:hAnsi="Times New Roman" w:cs="Times New Roman"/>
          <w:sz w:val="24"/>
        </w:rPr>
        <w:t xml:space="preserve">3 </w:t>
      </w:r>
      <w:r w:rsidRPr="00306ED2">
        <w:rPr>
          <w:rFonts w:ascii="Times New Roman" w:hAnsi="Times New Roman" w:cs="Times New Roman"/>
          <w:color w:val="0D0D0D"/>
          <w:sz w:val="24"/>
          <w:szCs w:val="24"/>
        </w:rPr>
        <w:t xml:space="preserve">Постановление Государственного комитета Российской Федерации по строительству и жилищно-коммунальному комплексу от 27 сентября 2003 г. № 170 г. Москва об утверждении Правил и норм технической эксплуатации жилищного фонда: Зарегистрировано в Минюсте РФ от 15 октября 2003 [Электронный ресурс] // СПС «Гарант». – Режим доступа: </w:t>
      </w:r>
      <w:hyperlink r:id="rId10" w:history="1">
        <w:r w:rsidRPr="00306ED2">
          <w:rPr>
            <w:rFonts w:ascii="Times New Roman" w:hAnsi="Times New Roman" w:cs="Times New Roman"/>
            <w:color w:val="0D0D0D"/>
            <w:sz w:val="24"/>
            <w:szCs w:val="24"/>
            <w:u w:val="single"/>
          </w:rPr>
          <w:t>http://base.garant.ru/12132859/</w:t>
        </w:r>
      </w:hyperlink>
      <w:r w:rsidRPr="00306ED2">
        <w:rPr>
          <w:rFonts w:ascii="Times New Roman" w:hAnsi="Times New Roman" w:cs="Times New Roman"/>
          <w:color w:val="0D0D0D"/>
          <w:sz w:val="24"/>
          <w:szCs w:val="24"/>
        </w:rPr>
        <w:t xml:space="preserve">.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rPr>
      </w:pPr>
      <w:r w:rsidRPr="00306ED2">
        <w:rPr>
          <w:rFonts w:ascii="Times New Roman" w:hAnsi="Times New Roman" w:cs="Times New Roman"/>
          <w:sz w:val="24"/>
        </w:rPr>
        <w:t xml:space="preserve">4 Работы по реконструкции зеленых насаждений и элементов благоустройства </w:t>
      </w:r>
      <w:r w:rsidRPr="00306ED2">
        <w:rPr>
          <w:rFonts w:ascii="Times New Roman" w:hAnsi="Times New Roman" w:cs="Times New Roman"/>
          <w:sz w:val="24"/>
          <w:szCs w:val="24"/>
        </w:rPr>
        <w:t xml:space="preserve">[Электронный ресурс] Режим доступа: </w:t>
      </w:r>
      <w:hyperlink r:id="rId11" w:history="1">
        <w:r w:rsidRPr="00306ED2">
          <w:rPr>
            <w:rFonts w:ascii="Times New Roman" w:hAnsi="Times New Roman" w:cs="Times New Roman"/>
            <w:color w:val="0000FF"/>
            <w:sz w:val="24"/>
            <w:szCs w:val="24"/>
            <w:u w:val="single"/>
          </w:rPr>
          <w:t>http://www.landimprovement.ru/docum/bigtrees_suppor</w:t>
        </w:r>
      </w:hyperlink>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rPr>
      </w:pPr>
      <w:r w:rsidRPr="00306ED2">
        <w:rPr>
          <w:rFonts w:ascii="Times New Roman" w:hAnsi="Times New Roman" w:cs="Times New Roman"/>
          <w:sz w:val="24"/>
        </w:rPr>
        <w:t xml:space="preserve">5 СНиП II-К.3-62 Улицы, дороги и площади населенных мест. Нормы проектирования [Электронный ресурс] Режим доступа: </w:t>
      </w:r>
      <w:hyperlink r:id="rId12" w:history="1">
        <w:r w:rsidRPr="00306ED2">
          <w:rPr>
            <w:rFonts w:ascii="Times New Roman" w:hAnsi="Times New Roman" w:cs="Times New Roman"/>
            <w:color w:val="0000FF"/>
            <w:sz w:val="24"/>
            <w:u w:val="single"/>
          </w:rPr>
          <w:t>http://</w:t>
        </w:r>
      </w:hyperlink>
      <w:hyperlink r:id="rId13" w:history="1">
        <w:r w:rsidRPr="00306ED2">
          <w:rPr>
            <w:rFonts w:ascii="Times New Roman" w:hAnsi="Times New Roman" w:cs="Times New Roman"/>
            <w:color w:val="0000FF"/>
            <w:sz w:val="24"/>
            <w:u w:val="single"/>
          </w:rPr>
          <w:t>docs.cntd.ru/document/1200072835</w:t>
        </w:r>
      </w:hyperlink>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rPr>
      </w:pP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rPr>
      </w:pP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cs="Times New Roman"/>
          <w:bCs/>
          <w:color w:val="000000"/>
          <w:bdr w:val="none" w:sz="0" w:space="0" w:color="auto" w:frame="1"/>
        </w:rPr>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Pr="00306ED2" w:rsidRDefault="00306ED2" w:rsidP="00306ED2">
      <w:pPr>
        <w:widowControl w:val="0"/>
        <w:pBdr>
          <w:top w:val="none" w:sz="0" w:space="0" w:color="auto"/>
          <w:left w:val="none" w:sz="0" w:space="0" w:color="auto"/>
          <w:bottom w:val="none" w:sz="0" w:space="0" w:color="auto"/>
          <w:right w:val="none" w:sz="0" w:space="0" w:color="auto"/>
          <w:between w:val="none" w:sz="0" w:space="0" w:color="auto"/>
        </w:pBdr>
        <w:suppressAutoHyphens/>
        <w:spacing w:after="0" w:line="240" w:lineRule="auto"/>
        <w:rPr>
          <w:rFonts w:ascii="Times New Roman" w:hAnsi="Times New Roman" w:cs="Times New Roman"/>
          <w:bCs/>
          <w:kern w:val="1"/>
          <w:sz w:val="24"/>
          <w:szCs w:val="24"/>
          <w:lang w:eastAsia="ru-RU"/>
        </w:rPr>
      </w:pPr>
      <w:r w:rsidRPr="00306ED2">
        <w:rPr>
          <w:rFonts w:ascii="Times New Roman" w:hAnsi="Times New Roman" w:cs="Times New Roman"/>
          <w:bCs/>
          <w:kern w:val="1"/>
          <w:sz w:val="24"/>
          <w:szCs w:val="24"/>
          <w:lang w:eastAsia="ru-RU"/>
        </w:rPr>
        <w:t>Рубрика: Теория и история культуры</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bCs/>
          <w:sz w:val="24"/>
          <w:szCs w:val="24"/>
          <w:lang w:eastAsia="ru-RU"/>
        </w:rPr>
      </w:pPr>
      <w:r w:rsidRPr="00306ED2">
        <w:rPr>
          <w:rFonts w:ascii="Times New Roman" w:hAnsi="Times New Roman" w:cs="Times New Roman"/>
          <w:bCs/>
          <w:sz w:val="24"/>
          <w:szCs w:val="24"/>
          <w:lang w:eastAsia="ru-RU"/>
        </w:rPr>
        <w:t>УДК 398.8</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bCs/>
          <w:sz w:val="24"/>
          <w:szCs w:val="24"/>
          <w:lang w:eastAsia="ru-RU"/>
        </w:rPr>
      </w:pPr>
      <w:r w:rsidRPr="00306ED2">
        <w:rPr>
          <w:rFonts w:ascii="Times New Roman" w:hAnsi="Times New Roman" w:cs="Times New Roman"/>
          <w:b/>
          <w:bCs/>
          <w:sz w:val="24"/>
          <w:szCs w:val="24"/>
          <w:lang w:eastAsia="ru-RU"/>
        </w:rPr>
        <w:t xml:space="preserve">Исследование приемов формирования творческих способностей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bCs/>
          <w:sz w:val="24"/>
          <w:szCs w:val="24"/>
          <w:lang w:eastAsia="ru-RU"/>
        </w:rPr>
      </w:pPr>
      <w:r w:rsidRPr="00306ED2">
        <w:rPr>
          <w:rFonts w:ascii="Times New Roman" w:hAnsi="Times New Roman" w:cs="Times New Roman"/>
          <w:b/>
          <w:bCs/>
          <w:sz w:val="24"/>
          <w:szCs w:val="24"/>
          <w:lang w:eastAsia="ru-RU"/>
        </w:rPr>
        <w:t>у детей 5-7 лет</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r w:rsidRPr="00306ED2">
        <w:rPr>
          <w:rFonts w:ascii="Times New Roman" w:hAnsi="Times New Roman" w:cs="Times New Roman"/>
          <w:sz w:val="24"/>
          <w:szCs w:val="24"/>
          <w:lang w:eastAsia="ru-RU"/>
        </w:rPr>
        <w:t>Салмашова Вероника Игоревна</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r w:rsidRPr="00306ED2">
        <w:rPr>
          <w:rFonts w:ascii="Times New Roman" w:hAnsi="Times New Roman" w:cs="Times New Roman"/>
          <w:sz w:val="24"/>
          <w:szCs w:val="24"/>
          <w:lang w:eastAsia="ru-RU"/>
        </w:rPr>
        <w:t>бакалавр</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r w:rsidRPr="00306ED2">
        <w:rPr>
          <w:rFonts w:ascii="Times New Roman" w:hAnsi="Times New Roman" w:cs="Times New Roman"/>
          <w:sz w:val="24"/>
          <w:szCs w:val="24"/>
          <w:lang w:eastAsia="ru-RU"/>
        </w:rPr>
        <w:t xml:space="preserve">Метляева Татьяна Викторовна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r w:rsidRPr="00306ED2">
        <w:rPr>
          <w:rFonts w:ascii="Times New Roman" w:hAnsi="Times New Roman" w:cs="Times New Roman"/>
          <w:sz w:val="24"/>
          <w:szCs w:val="24"/>
          <w:lang w:eastAsia="ru-RU"/>
        </w:rPr>
        <w:t>канд. культурологии, доцент</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r w:rsidRPr="00306ED2">
        <w:rPr>
          <w:rFonts w:ascii="Times New Roman" w:hAnsi="Times New Roman" w:cs="Times New Roman"/>
          <w:sz w:val="24"/>
          <w:szCs w:val="24"/>
          <w:lang w:eastAsia="ru-RU"/>
        </w:rPr>
        <w:t>научный руководитель</w:t>
      </w:r>
    </w:p>
    <w:p w:rsidR="00306ED2" w:rsidRPr="00306ED2" w:rsidRDefault="00306ED2" w:rsidP="00306ED2">
      <w:pPr>
        <w:widowControl w:val="0"/>
        <w:pBdr>
          <w:top w:val="none" w:sz="0" w:space="0" w:color="auto"/>
          <w:left w:val="none" w:sz="0" w:space="0" w:color="auto"/>
          <w:bottom w:val="none" w:sz="0" w:space="0" w:color="auto"/>
          <w:right w:val="none" w:sz="0" w:space="0" w:color="auto"/>
          <w:between w:val="none" w:sz="0" w:space="0" w:color="auto"/>
        </w:pBdr>
        <w:suppressAutoHyphens/>
        <w:spacing w:after="0" w:line="240" w:lineRule="auto"/>
        <w:jc w:val="center"/>
        <w:rPr>
          <w:rFonts w:ascii="Times New Roman" w:hAnsi="Times New Roman" w:cs="Times New Roman"/>
          <w:kern w:val="1"/>
          <w:sz w:val="24"/>
          <w:szCs w:val="24"/>
          <w:lang w:eastAsia="ru-RU"/>
        </w:rPr>
      </w:pPr>
      <w:r w:rsidRPr="00306ED2">
        <w:rPr>
          <w:rFonts w:ascii="Times New Roman" w:hAnsi="Times New Roman" w:cs="Times New Roman"/>
          <w:kern w:val="1"/>
          <w:sz w:val="24"/>
          <w:szCs w:val="24"/>
          <w:lang w:eastAsia="ru-RU"/>
        </w:rPr>
        <w:t>Владивостокский государственный университет экономики и сервиса.</w:t>
      </w:r>
    </w:p>
    <w:p w:rsidR="00306ED2" w:rsidRPr="00306ED2" w:rsidRDefault="00306ED2" w:rsidP="00306ED2">
      <w:pPr>
        <w:widowControl w:val="0"/>
        <w:pBdr>
          <w:top w:val="none" w:sz="0" w:space="0" w:color="auto"/>
          <w:left w:val="none" w:sz="0" w:space="0" w:color="auto"/>
          <w:bottom w:val="none" w:sz="0" w:space="0" w:color="auto"/>
          <w:right w:val="none" w:sz="0" w:space="0" w:color="auto"/>
          <w:between w:val="none" w:sz="0" w:space="0" w:color="auto"/>
        </w:pBdr>
        <w:tabs>
          <w:tab w:val="center" w:pos="4819"/>
          <w:tab w:val="left" w:pos="6390"/>
        </w:tabs>
        <w:suppressAutoHyphens/>
        <w:spacing w:after="0" w:line="240" w:lineRule="auto"/>
        <w:rPr>
          <w:rFonts w:ascii="Times New Roman" w:hAnsi="Times New Roman" w:cs="Times New Roman"/>
          <w:kern w:val="1"/>
          <w:sz w:val="24"/>
          <w:szCs w:val="24"/>
          <w:lang w:eastAsia="ru-RU"/>
        </w:rPr>
      </w:pPr>
      <w:r w:rsidRPr="00306ED2">
        <w:rPr>
          <w:rFonts w:ascii="Times New Roman" w:hAnsi="Times New Roman" w:cs="Times New Roman"/>
          <w:kern w:val="1"/>
          <w:sz w:val="24"/>
          <w:szCs w:val="24"/>
          <w:lang w:eastAsia="ru-RU"/>
        </w:rPr>
        <w:tab/>
        <w:t>Россия. Владивосток.</w:t>
      </w:r>
      <w:r w:rsidRPr="00306ED2">
        <w:rPr>
          <w:rFonts w:ascii="Times New Roman" w:hAnsi="Times New Roman" w:cs="Times New Roman"/>
          <w:sz w:val="24"/>
          <w:szCs w:val="24"/>
          <w:lang w:eastAsia="ru-RU"/>
        </w:rPr>
        <w:t xml:space="preserve"> </w:t>
      </w:r>
      <w:r w:rsidRPr="00306ED2">
        <w:rPr>
          <w:rFonts w:ascii="Times New Roman" w:hAnsi="Times New Roman" w:cs="Times New Roman"/>
          <w:sz w:val="24"/>
          <w:szCs w:val="24"/>
          <w:lang w:eastAsia="ru-RU"/>
        </w:rPr>
        <w:tab/>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r w:rsidRPr="00306ED2">
        <w:rPr>
          <w:rFonts w:ascii="Times New Roman" w:hAnsi="Times New Roman" w:cs="Times New Roman"/>
          <w:kern w:val="1"/>
          <w:sz w:val="24"/>
          <w:szCs w:val="24"/>
          <w:lang w:val="en-US" w:eastAsia="ru-RU"/>
        </w:rPr>
        <w:t>E</w:t>
      </w:r>
      <w:r w:rsidRPr="00306ED2">
        <w:rPr>
          <w:rFonts w:ascii="Times New Roman" w:hAnsi="Times New Roman" w:cs="Times New Roman"/>
          <w:kern w:val="1"/>
          <w:sz w:val="24"/>
          <w:szCs w:val="24"/>
          <w:lang w:eastAsia="ru-RU"/>
        </w:rPr>
        <w:t>-</w:t>
      </w:r>
      <w:r w:rsidRPr="00306ED2">
        <w:rPr>
          <w:rFonts w:ascii="Times New Roman" w:hAnsi="Times New Roman" w:cs="Times New Roman"/>
          <w:kern w:val="1"/>
          <w:sz w:val="24"/>
          <w:szCs w:val="24"/>
          <w:lang w:val="en-US" w:eastAsia="ru-RU"/>
        </w:rPr>
        <w:t>mail</w:t>
      </w:r>
      <w:r w:rsidRPr="00306ED2">
        <w:rPr>
          <w:rFonts w:ascii="Times New Roman" w:hAnsi="Times New Roman" w:cs="Times New Roman"/>
          <w:kern w:val="1"/>
          <w:sz w:val="24"/>
          <w:szCs w:val="24"/>
          <w:lang w:eastAsia="ru-RU"/>
        </w:rPr>
        <w:t>:</w:t>
      </w:r>
      <w:r w:rsidRPr="00306ED2">
        <w:rPr>
          <w:rFonts w:ascii="Times New Roman" w:hAnsi="Times New Roman" w:cs="Times New Roman"/>
          <w:i/>
          <w:iCs/>
          <w:sz w:val="24"/>
          <w:szCs w:val="24"/>
          <w:u w:val="single"/>
          <w:lang w:eastAsia="ru-RU"/>
        </w:rPr>
        <w:t xml:space="preserve"> </w:t>
      </w:r>
      <w:hyperlink r:id="rId14" w:history="1">
        <w:r w:rsidRPr="00306ED2">
          <w:rPr>
            <w:rFonts w:ascii="Times New Roman" w:hAnsi="Times New Roman" w:cs="Times New Roman"/>
            <w:sz w:val="24"/>
            <w:szCs w:val="24"/>
            <w:lang w:val="en-US" w:eastAsia="ru-RU"/>
          </w:rPr>
          <w:t>metlaevatv</w:t>
        </w:r>
        <w:r w:rsidRPr="00306ED2">
          <w:rPr>
            <w:rFonts w:ascii="Times New Roman" w:hAnsi="Times New Roman" w:cs="Times New Roman"/>
            <w:sz w:val="24"/>
            <w:szCs w:val="24"/>
            <w:lang w:eastAsia="ru-RU"/>
          </w:rPr>
          <w:t>@</w:t>
        </w:r>
        <w:r w:rsidRPr="00306ED2">
          <w:rPr>
            <w:rFonts w:ascii="Times New Roman" w:hAnsi="Times New Roman" w:cs="Times New Roman"/>
            <w:sz w:val="24"/>
            <w:szCs w:val="24"/>
            <w:lang w:val="en-US" w:eastAsia="ru-RU"/>
          </w:rPr>
          <w:t>mail</w:t>
        </w:r>
        <w:r w:rsidRPr="00306ED2">
          <w:rPr>
            <w:rFonts w:ascii="Times New Roman" w:hAnsi="Times New Roman" w:cs="Times New Roman"/>
            <w:sz w:val="24"/>
            <w:szCs w:val="24"/>
            <w:lang w:eastAsia="ru-RU"/>
          </w:rPr>
          <w:t>.</w:t>
        </w:r>
        <w:r w:rsidRPr="00306ED2">
          <w:rPr>
            <w:rFonts w:ascii="Times New Roman" w:hAnsi="Times New Roman" w:cs="Times New Roman"/>
            <w:sz w:val="24"/>
            <w:szCs w:val="24"/>
            <w:lang w:val="en-US" w:eastAsia="ru-RU"/>
          </w:rPr>
          <w:t>ru</w:t>
        </w:r>
      </w:hyperlink>
      <w:r w:rsidRPr="00306ED2">
        <w:rPr>
          <w:rFonts w:ascii="Times New Roman" w:hAnsi="Times New Roman" w:cs="Times New Roman"/>
          <w:sz w:val="24"/>
          <w:szCs w:val="24"/>
          <w:lang w:eastAsia="ru-RU"/>
        </w:rPr>
        <w:t xml:space="preserve"> </w:t>
      </w:r>
      <w:hyperlink r:id="rId15" w:history="1">
        <w:r w:rsidRPr="00306ED2">
          <w:rPr>
            <w:rFonts w:ascii="Times New Roman" w:hAnsi="Times New Roman" w:cs="Times New Roman"/>
            <w:kern w:val="1"/>
            <w:sz w:val="24"/>
            <w:szCs w:val="24"/>
            <w:lang w:val="en-US" w:eastAsia="ru-RU"/>
          </w:rPr>
          <w:t>Tel</w:t>
        </w:r>
        <w:r w:rsidRPr="00306ED2">
          <w:rPr>
            <w:rFonts w:ascii="Times New Roman" w:hAnsi="Times New Roman" w:cs="Times New Roman"/>
            <w:kern w:val="1"/>
            <w:sz w:val="24"/>
            <w:szCs w:val="24"/>
            <w:lang w:eastAsia="ru-RU"/>
          </w:rPr>
          <w:t>:</w:t>
        </w:r>
        <w:r w:rsidRPr="00306ED2">
          <w:rPr>
            <w:rFonts w:ascii="Times New Roman" w:hAnsi="Times New Roman" w:cs="Times New Roman"/>
            <w:sz w:val="24"/>
            <w:szCs w:val="24"/>
            <w:lang w:eastAsia="ru-RU"/>
          </w:rPr>
          <w:t xml:space="preserve"> 89841924527</w:t>
        </w:r>
      </w:hyperlink>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kern w:val="1"/>
          <w:sz w:val="24"/>
          <w:szCs w:val="24"/>
          <w:lang w:eastAsia="ru-RU"/>
        </w:rPr>
      </w:pPr>
      <w:r w:rsidRPr="00306ED2">
        <w:rPr>
          <w:rFonts w:ascii="Times New Roman" w:hAnsi="Times New Roman" w:cs="Times New Roman"/>
          <w:sz w:val="24"/>
          <w:szCs w:val="24"/>
          <w:lang w:eastAsia="ru-RU"/>
        </w:rPr>
        <w:t>ул. Гоголя, 41, г. Владивосток, Приморский край, Россия, 690014</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20"/>
        <w:jc w:val="both"/>
        <w:rPr>
          <w:rFonts w:ascii="Times New Roman" w:hAnsi="Times New Roman" w:cs="Times New Roman"/>
          <w:sz w:val="24"/>
          <w:szCs w:val="24"/>
        </w:rPr>
      </w:pPr>
      <w:r w:rsidRPr="00306ED2">
        <w:rPr>
          <w:rFonts w:ascii="Times New Roman" w:hAnsi="Times New Roman" w:cs="Times New Roman"/>
          <w:sz w:val="24"/>
          <w:szCs w:val="24"/>
        </w:rPr>
        <w:t xml:space="preserve">В данной статье анализируются основные направления формирования творческих способностей у детей в возрасте 5-7 лет. Исследуется понятия «творчество» и «детское творчество». Рассматриваются виды творчества и их значимость для ребенка.  Исследуется влияние игровых приемов на развитие детского творчества. Проводится анкетирование родителей, чьи дети обучаются в школе изобразительного искусства на уроках в процессе использования игровых приемов на уроках изобразительного искусства.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ind w:firstLine="709"/>
        <w:jc w:val="both"/>
        <w:rPr>
          <w:rFonts w:ascii="Times New Roman" w:hAnsi="Times New Roman" w:cs="Times New Roman"/>
          <w:sz w:val="24"/>
          <w:szCs w:val="24"/>
        </w:rPr>
      </w:pPr>
      <w:r w:rsidRPr="00306ED2">
        <w:rPr>
          <w:rFonts w:ascii="Times New Roman" w:hAnsi="Times New Roman" w:cs="Times New Roman"/>
          <w:b/>
          <w:bCs/>
          <w:sz w:val="24"/>
          <w:szCs w:val="24"/>
        </w:rPr>
        <w:t xml:space="preserve">Ключевые слова и словосочетания: </w:t>
      </w:r>
      <w:r w:rsidRPr="00306ED2">
        <w:rPr>
          <w:rFonts w:ascii="Times New Roman" w:hAnsi="Times New Roman" w:cs="Times New Roman"/>
          <w:sz w:val="24"/>
          <w:szCs w:val="24"/>
        </w:rPr>
        <w:t>Творчество, способности, детское творчество, игра, изобразительное искусство.</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ind w:firstLine="720"/>
        <w:jc w:val="both"/>
        <w:rPr>
          <w:rFonts w:ascii="Times New Roman" w:hAnsi="Times New Roman" w:cs="Times New Roman"/>
          <w:b/>
          <w:bCs/>
          <w:sz w:val="24"/>
          <w:szCs w:val="24"/>
          <w:lang w:val="en-US" w:eastAsia="ru-RU"/>
        </w:rPr>
      </w:pPr>
      <w:r w:rsidRPr="00306ED2">
        <w:rPr>
          <w:rFonts w:ascii="Times New Roman" w:hAnsi="Times New Roman" w:cs="Times New Roman"/>
          <w:b/>
          <w:bCs/>
          <w:sz w:val="24"/>
          <w:szCs w:val="24"/>
          <w:lang w:val="en-US" w:eastAsia="ru-RU"/>
        </w:rPr>
        <w:t xml:space="preserve">The study of methods of forming creative abilities in children 5-7 years.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Calibri" w:hAnsi="Times New Roman" w:cs="Times New Roman"/>
          <w:color w:val="212121"/>
          <w:sz w:val="24"/>
          <w:szCs w:val="24"/>
          <w:lang w:val="en-US" w:eastAsia="ru-RU"/>
        </w:rPr>
      </w:pPr>
      <w:r w:rsidRPr="00306ED2">
        <w:rPr>
          <w:rFonts w:ascii="Times New Roman" w:eastAsia="Calibri" w:hAnsi="Times New Roman" w:cs="Times New Roman"/>
          <w:sz w:val="24"/>
          <w:szCs w:val="24"/>
          <w:lang w:val="en-US" w:eastAsia="ru-RU"/>
        </w:rPr>
        <w:t>This article analyzes the main directions of creativity formation in children aged 5-7 years. The concepts of "creativity" and "children's creativity" are explored. The types of creativity and their significance for the child are considered. The influence of gaming techniques on the development of children's creativity is explored. A questioning of parents is conducted, whose children are trained in the school of fine arts at the lessons in the process of using gaming techniques in art lessons.</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ind w:firstLine="720"/>
        <w:jc w:val="both"/>
        <w:rPr>
          <w:rFonts w:ascii="Times New Roman" w:hAnsi="Times New Roman" w:cs="Times New Roman"/>
          <w:b/>
          <w:bCs/>
          <w:sz w:val="24"/>
          <w:szCs w:val="24"/>
          <w:lang w:val="en-US"/>
        </w:rPr>
      </w:pPr>
      <w:r w:rsidRPr="00306ED2">
        <w:rPr>
          <w:rFonts w:ascii="Times New Roman" w:hAnsi="Times New Roman" w:cs="Times New Roman"/>
          <w:b/>
          <w:bCs/>
          <w:sz w:val="24"/>
          <w:szCs w:val="24"/>
          <w:lang w:val="en-US"/>
        </w:rPr>
        <w:t>Key words:</w:t>
      </w:r>
      <w:r w:rsidRPr="00306ED2">
        <w:rPr>
          <w:rFonts w:ascii="Times New Roman" w:hAnsi="Times New Roman" w:cs="Times New Roman"/>
          <w:sz w:val="24"/>
          <w:szCs w:val="24"/>
          <w:lang w:val="en-US" w:eastAsia="ru-RU"/>
        </w:rPr>
        <w:t xml:space="preserve"> </w:t>
      </w:r>
      <w:r w:rsidRPr="00306ED2">
        <w:rPr>
          <w:rFonts w:ascii="Times New Roman" w:hAnsi="Times New Roman" w:cs="Times New Roman"/>
          <w:color w:val="212121"/>
          <w:sz w:val="24"/>
          <w:szCs w:val="24"/>
          <w:shd w:val="clear" w:color="auto" w:fill="FFFFFF"/>
          <w:lang w:val="en-US" w:eastAsia="ru-RU"/>
        </w:rPr>
        <w:t>Creativity, abilities, children's creativity, play, visual arts.</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b/>
          <w:bCs/>
          <w:sz w:val="24"/>
          <w:szCs w:val="24"/>
          <w:lang w:val="en-US"/>
        </w:rPr>
      </w:pP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 xml:space="preserve">В современном обществе, обществе тотальной компьютеризации, когда малыш еще не научившийся говорить уверенно путешествует по различным сайтам своего гаджета, многие родители стараются оградить своих детей от губительной силы виртуальной реальности и отправляются с ним в центр детского творчества, в студию, кружок с целью отвлечь, занять его полезной деятельностью, развить у своего чада различные таланты.  Большой интерес вызывают в первую очередь такие творческие направления, как занятия в изостудии – по данным социологических исследований о занятости детей в кружках и школах по интересам, первое место занимают именно занятия изобразительным искусством. На втором месте стоит увлечение танцевальным и музыкальным искусством и далее в порядке убывания – театральное творчество, хоровое, скульптура и резьба по дереву, шитье и др. направления.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 xml:space="preserve">В связи с чем большое внимание уделяется выбору преподавателя, от которого зависит останется ребенок в этом кружке или же убежит после первого занятия, насколько он будет увлечен этим творчеством, и как дальше будет развиваться ребенок, придя в школу – будет ли он усидчивым, сообразительным, интересующимся. А также, появляется и множество других задач, стоящих перед преподавателями, занимающихся с детьми в возрасте 5-7 лет, т.е. дошколятами.  Таким образом,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Объект исследования: Процесс развития творчества детей 5-7 лет под влиянием использования игровых методик обучения.</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Предмет исследования: Игра как средство развития творчества в рисунках детей 5-7 лет.</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20"/>
        <w:jc w:val="both"/>
        <w:rPr>
          <w:rFonts w:ascii="Times New Roman" w:hAnsi="Times New Roman" w:cs="Times New Roman"/>
          <w:sz w:val="24"/>
          <w:szCs w:val="24"/>
        </w:rPr>
      </w:pPr>
      <w:r w:rsidRPr="00306ED2">
        <w:rPr>
          <w:rFonts w:ascii="Times New Roman" w:hAnsi="Times New Roman" w:cs="Times New Roman"/>
          <w:sz w:val="24"/>
          <w:szCs w:val="24"/>
        </w:rPr>
        <w:t>Цель исследования: Выявление наиболее эффективных условий и путей развития творческих способностей у детей 5-7 лет в процессе использования игровых приемов на уроках изобразительного искусства</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Для решения поставленной цели исследования были сформулированы исследовательские задачи:</w:t>
      </w:r>
    </w:p>
    <w:p w:rsidR="00306ED2" w:rsidRPr="00306ED2" w:rsidRDefault="00306ED2" w:rsidP="00306ED2">
      <w:pPr>
        <w:numPr>
          <w:ilvl w:val="0"/>
          <w:numId w:val="132"/>
        </w:num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szCs w:val="24"/>
        </w:rPr>
      </w:pPr>
      <w:r w:rsidRPr="00306ED2">
        <w:rPr>
          <w:rFonts w:ascii="Times New Roman" w:hAnsi="Times New Roman" w:cs="Times New Roman"/>
          <w:sz w:val="24"/>
          <w:szCs w:val="24"/>
        </w:rPr>
        <w:t>Дать определение понятию «Творчество» и другим понятиям, по теме исследования</w:t>
      </w:r>
    </w:p>
    <w:p w:rsidR="00306ED2" w:rsidRPr="00306ED2" w:rsidRDefault="00306ED2" w:rsidP="00306ED2">
      <w:pPr>
        <w:numPr>
          <w:ilvl w:val="0"/>
          <w:numId w:val="132"/>
        </w:num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szCs w:val="24"/>
        </w:rPr>
      </w:pPr>
      <w:r w:rsidRPr="00306ED2">
        <w:rPr>
          <w:rFonts w:ascii="Times New Roman" w:hAnsi="Times New Roman" w:cs="Times New Roman"/>
          <w:sz w:val="24"/>
          <w:szCs w:val="24"/>
        </w:rPr>
        <w:t>Выявить специфику детского творчества в дошкольном возрасте.</w:t>
      </w:r>
    </w:p>
    <w:p w:rsidR="00306ED2" w:rsidRPr="00306ED2" w:rsidRDefault="00306ED2" w:rsidP="00306ED2">
      <w:pPr>
        <w:numPr>
          <w:ilvl w:val="0"/>
          <w:numId w:val="132"/>
        </w:num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szCs w:val="24"/>
        </w:rPr>
      </w:pPr>
      <w:r w:rsidRPr="00306ED2">
        <w:rPr>
          <w:rFonts w:ascii="Times New Roman" w:hAnsi="Times New Roman" w:cs="Times New Roman"/>
          <w:sz w:val="24"/>
          <w:szCs w:val="24"/>
        </w:rPr>
        <w:t>Проанализировать условия развития детского изобразительного творчества.</w:t>
      </w:r>
    </w:p>
    <w:p w:rsidR="00306ED2" w:rsidRPr="00306ED2" w:rsidRDefault="00306ED2" w:rsidP="00306ED2">
      <w:pPr>
        <w:numPr>
          <w:ilvl w:val="0"/>
          <w:numId w:val="132"/>
        </w:num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szCs w:val="24"/>
        </w:rPr>
      </w:pPr>
      <w:r w:rsidRPr="00306ED2">
        <w:rPr>
          <w:rFonts w:ascii="Times New Roman" w:hAnsi="Times New Roman" w:cs="Times New Roman"/>
          <w:sz w:val="24"/>
          <w:szCs w:val="24"/>
        </w:rPr>
        <w:t>Исследовать влияния игровых приемов на развитие детского творчества</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Методы исследования:</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 методы аналитического исследования (библиографический метод);</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20"/>
        <w:jc w:val="both"/>
        <w:rPr>
          <w:rFonts w:ascii="Times New Roman" w:hAnsi="Times New Roman" w:cs="Times New Roman"/>
          <w:sz w:val="24"/>
          <w:szCs w:val="24"/>
        </w:rPr>
      </w:pPr>
      <w:r w:rsidRPr="00306ED2">
        <w:rPr>
          <w:rFonts w:ascii="Times New Roman" w:hAnsi="Times New Roman" w:cs="Times New Roman"/>
          <w:sz w:val="24"/>
          <w:szCs w:val="24"/>
        </w:rPr>
        <w:t>- диагностические (наблюдение и анализ творческой деятельности дошкольников по созданию композиций в процессе использования игровых приемов на уроках изобразительного искусства, проведение опытно-экспериментальной работы с детьми среднего дошкольного возраста, статистическая обработка фактического материала исследования в виде диаграмм).</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lang w:eastAsia="ru-RU"/>
        </w:rPr>
      </w:pPr>
      <w:r w:rsidRPr="00306ED2">
        <w:rPr>
          <w:rFonts w:ascii="Times New Roman" w:hAnsi="Times New Roman" w:cs="Times New Roman"/>
          <w:sz w:val="24"/>
          <w:szCs w:val="24"/>
          <w:lang w:eastAsia="ru-RU"/>
        </w:rPr>
        <w:t>В данном исследовании мы проанализировали подходы к определению понятий: «Творчество» и «Детское творчество», выделили определение данное Т.И. Иванюк:</w:t>
      </w:r>
    </w:p>
    <w:p w:rsidR="00306ED2" w:rsidRPr="00306ED2" w:rsidRDefault="00306ED2" w:rsidP="00306ED2">
      <w:pPr>
        <w:widowControl w:val="0"/>
        <w:pBdr>
          <w:top w:val="none" w:sz="0" w:space="0" w:color="auto"/>
          <w:left w:val="none" w:sz="0" w:space="0" w:color="auto"/>
          <w:bottom w:val="none" w:sz="0" w:space="0" w:color="auto"/>
          <w:right w:val="none" w:sz="0" w:space="0" w:color="auto"/>
          <w:between w:val="none" w:sz="0" w:space="0" w:color="auto"/>
        </w:pBdr>
        <w:suppressAutoHyphens/>
        <w:spacing w:after="0" w:line="240" w:lineRule="auto"/>
        <w:ind w:firstLine="709"/>
        <w:jc w:val="both"/>
        <w:rPr>
          <w:rFonts w:ascii="Times New Roman" w:hAnsi="Times New Roman" w:cs="Times New Roman"/>
          <w:kern w:val="2"/>
          <w:sz w:val="24"/>
          <w:szCs w:val="24"/>
          <w:lang w:eastAsia="ru-RU"/>
        </w:rPr>
      </w:pPr>
      <w:r w:rsidRPr="00306ED2">
        <w:rPr>
          <w:rFonts w:ascii="Times New Roman" w:hAnsi="Times New Roman" w:cs="Times New Roman"/>
          <w:sz w:val="24"/>
          <w:szCs w:val="24"/>
          <w:lang w:eastAsia="ru-RU"/>
        </w:rPr>
        <w:t xml:space="preserve">«Творчество – это высший вид человеческой деятельности, в его результате возникают новые ценности в социальной, научной, технической, художественной области».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lang w:eastAsia="ru-RU"/>
        </w:rPr>
      </w:pPr>
      <w:r w:rsidRPr="00306ED2">
        <w:rPr>
          <w:rFonts w:ascii="Times New Roman" w:hAnsi="Times New Roman" w:cs="Times New Roman"/>
          <w:sz w:val="24"/>
          <w:szCs w:val="24"/>
          <w:lang w:eastAsia="ru-RU"/>
        </w:rPr>
        <w:t xml:space="preserve">А.Маслоу </w:t>
      </w:r>
      <w:r w:rsidRPr="00306ED2">
        <w:rPr>
          <w:rFonts w:ascii="Times New Roman" w:hAnsi="Times New Roman" w:cs="Times New Roman"/>
          <w:sz w:val="24"/>
          <w:szCs w:val="24"/>
          <w:lang w:val="en-US" w:eastAsia="ru-RU"/>
        </w:rPr>
        <w:t>c</w:t>
      </w:r>
      <w:r w:rsidRPr="00306ED2">
        <w:rPr>
          <w:rFonts w:ascii="Times New Roman" w:hAnsi="Times New Roman" w:cs="Times New Roman"/>
          <w:sz w:val="24"/>
          <w:szCs w:val="24"/>
          <w:lang w:eastAsia="ru-RU"/>
        </w:rPr>
        <w:t>читает, что настоящее творчество проявляется у человека не только в творческой профессии, но и в повседневной реальной жизни в разных формах самовыражения. Творческая личность удовлетворение находит не столько в достижении цели труда, сколько в самом его процессе.  Общим для творческих личностей, как показал американский психолог П.Торранc, является потребность развиваться, потребность в постоянном росте.</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Детское творчество понимается как умение, приобретаемое в процессе воспитания и обучения, не только изобразить наблюдаемое, но и преобразовывать воспринятое, принося в работу свою инициативу в замысел, форму изображаемого, содержание, то есть умение не только копировать, но и редактировать.</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Наиболее точное, по нашему мнению, определение понятия «детское творчество» дала Л.Н.Галигузовa: «Детское творчество – форма активности и самостоятельной деятельности ребенка, в процессе которой он отступает от образца и стереотипа, экспериментирует, видоизменяет окружающий его мир, создает нечто новое для других и для себя». Важной особенностью детского творчества является то, что основное внимание уделяется самому процессу, а не его результату. Важна сама творческая деятельность и создание чего-то нового. Вопрос ценности созданного ребёнком произведения искусства отступает на второй план. Однако дети испытывают большой душевный подъём, если взрослые отмечают оригинальность и необычность творческой работы ребёнка. Детское творчество неразрывно связано с игрой, и, порой, между процессом творчества и игрой нет границы. Творчество является обязательным элементом гармоничного развития личности ребёнка, в младшем возрасте необходимое, в первую очередь, для саморазвития. По мере взросления, творчество может стать основной деятельностью ребёнка.</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Психологи выделяют следующие виды детского творчества:</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 xml:space="preserve">a. Художественное творчество – деятельность ребёнка, проявляющаяся в виде импровизаций и создания рисунков, лепных поделок, вышивок, художественных композиций, литературных произведений, аппликаций и пр. Детское творчество в области искусства способствует художественному образованию и развитию эстетического вкуса у ребёнка. В раннем возрасте художественное творчество отличает импровизированный характер. Однако это не исключает участие и контроль взрослых за данным процессом.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 xml:space="preserve">У ребенка формируется умение сравнивать, сопоставлять предметы по их размеру, форме, различать часть и целое, развивается речь, память, мышление.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b. Первые элементы литературного творчества появляются у ребёнка в возрасте 1-3 лет, когда он учится говорить, манипулировать звуками и использовать слова в разных сочетаниях. В этот период, литературное творчество является частью игры и его сложно отделить от других видов детского творчества: ребёнок одновременно рисует, сочиняет изображенную историю, напевает и пританцовывает. Постепенно литературное творчество у детей приобретает выраженное направление, приходит понимание социальной ценности литературного произведения, а также значимости процесса его создания. Более массовый характер литературное творчество приобретает в период обучения в школе, когда дети пишут сочинения и рассказы.</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Литературное детское творчество развивает у детей фантазию, образное мышление, творческие способности; формирует навыки сотрудничества; воспитывает чувства дружбы; развивает умение работы в коллективе, коммуникабельность и умение общаться со взрослыми людьми в разных ситуациях; побуждает детей обращаться ко взрослым с вопросами, суждениями; к речевому общению между собой.</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 xml:space="preserve">c. Техническое творчество. Является одним из важных способов формирования профессиональной ориентации детей, способствует развитию устойчивого интереса к науке и технике, а также стимулирует рационализаторские и изобретательские способности. Техническое творчество — это конструирование приборов, моделей, механизмов и других технических объектов на уроках труда и на внеклассных занятиях (кружки, курсы, центры детского и юношеского творчества).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 xml:space="preserve">Процесс технического творчества условно делят на 4 этапа: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 xml:space="preserve">1) постановка задачи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 xml:space="preserve">2) сбор и изучение информации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 xml:space="preserve">3) поиск решения задачи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4) реализация решения</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У детей формируются навыки: умение обследовать предмет, умение планомерно и последовательно работать, доводить начатое дело до конца.</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d. Музыкальное творчество. Является одним из методов музыкального воспитания детей и проявляется в изучении музыкальных произведений композиторов. Музыкальное творчество — это деятельность, проявляющаяся в разных видах: игра на музыкальных инструментах, ритмика, пение. Элементы музыкального творчества проявляются одними из первых, когда у ребёнка появляется способность к движениям под музыку. Благодаря этому, у ребёнка развивается моторика зрительно-пространственная координация и музыкальный слух. Ребёнок учится управлять телом и овладевает танцевальными движениями.</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e. Особенности театрального искусства – массовость, зрелищность, синтетичность – предполагают ряд богатых возможностей, как в развивающе-эстетическом воспитании детей, так и в организации их досуга. Наряду со словесным творчеством драматизация, или театральная постановка, представляет самый частый и распространенный вид детского творчества. И понятно, почему она близка ребенку. Это объясняется двумя основными моментами: во-первых, драма, основанная на действии, на действии, совершаемом самим ребенком, наиболее близко, действенно и непосредственно связывает художественное творчество с личным переживанием.</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Музыка, театр – выражение в движениях эмоциональных личных переживаний, создание оригинальных двигательных образов. Отражать в сказочных образах – характер, эмоции, жесты. Творчество ребенка проявляется в правдивом изображении персонажа. Чтобы это осуществить, надо понять, каков персонаж, почему он так поступает, представить его состояние, чувства, т. е. проникнуть в его внутренний мир. И сделать это нужно в процессе слушания произведения. Ребенок в театрализованных играх учится жить, проживая жизнь своих героев.</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Ю.М. Лотман в «Статьи по семиотике культуры» говорит:</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«Искусство — всегда средство познания и общения. Оно ищет истину и выражает ее на своем, присущем ему языке».</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Детям интереснее познавать, учится новому, в игровой форме.</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«Игра создает вокруг человека особый мир многоплановых возможностей и этим стимулирует рост активности. Не случайно игра, в частности спортивные игры, оказывает такое тренировочное воздействие на личность.</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Активная природа игры в принципе противоположна разделению на действующих и созерцающих. В игровом пространстве нет аудитории — есть только участники. Известно, что присутствие зрителей разрушает детские игры. Столь же очевидна способность игр активизировать аудиторию и втягивать ее в действо, превращая в соучастников (ср. поведение зрителей на стадионе во время спортивного матча). В этом же смысле показательно различие между статуэткой и игрушкой: первой любуются, вторую вертят в руках, на первую только смотрят — второй отводится активная роль, ей приписывается некоторое поведение, играющий ведет с ней диалоги, отвечая и за себя, и за нее; статуэтка — некоторое завершенное сообщение, которое автор направляет аудитории, игрушка — провоцирующий фактор, который должен направить самое аудиторию на путь активной творческой импровизации. Игра — один из механизмов выработки творческого сознания, которое не пассивно следует какой-либо заранее данной программе, а ориентируется в сложном и многоплановом континууме возможностей».</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В процессе занятий с детьми в возрасте 5-7 лет, проходящих на протяжении 2017- начало 2018 г. мы внедрили наряду с основными занятиями изобразительным искусством дополнительные направления развития творческих</w:t>
      </w:r>
      <w:r w:rsidRPr="00306ED2">
        <w:rPr>
          <w:rFonts w:ascii="Times New Roman" w:hAnsi="Times New Roman" w:cs="Times New Roman"/>
          <w:sz w:val="24"/>
          <w:szCs w:val="24"/>
          <w:lang w:eastAsia="ru-RU"/>
        </w:rPr>
        <w:t xml:space="preserve"> </w:t>
      </w:r>
      <w:r w:rsidRPr="00306ED2">
        <w:rPr>
          <w:rFonts w:ascii="Times New Roman" w:hAnsi="Times New Roman" w:cs="Times New Roman"/>
          <w:sz w:val="24"/>
          <w:szCs w:val="24"/>
        </w:rPr>
        <w:t>способностей – это взаимодействие с созданным предметом. В результате, по окончанию создания работы, дети играли и создавали мультфильмы с героями, которых они сами сотворили. Ребятам стало интереснее приходить на занятия, они более заинтересованно обговаривали детали создания нового шедевра.</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В процессе исследования о влиянии занятий изобразительным искусством на развитие творческих способностей у детей 5-7 лет было проведено анкетирование, в котором принимали участие 20 человек родителей, у которых дети обучаются в творческой студии «SKILLS».   В результате исследования было выявлено, что:</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1) Детей в возрасте от 5 до 7 лет на занятия в выходные дни чаще всего водят папы;</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2) По причине того, что студия «SKILLS» поменяла место расположения, большинство детей занимаются в ней от 1-4 месяцев</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3) Почти все дети занимаются еще и в других кружках</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4) На вопрос откуда они узнали о студии, наибольшее количество ответов было отдано рекламе в Интернете.</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 xml:space="preserve">5) Родители заметили изменения творческого потенциала своего ребенка, за время обучения в студии. На вопрос какие именно изменения произошли, ответы были разнообразны: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а) у ребенка в большей мере развились коммуникативные навыки общения со сверстниками;</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б) дети стали более раскрепощенные</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в) мальчики и девочки приобрели пока небольшой багаж знаний в художественной индустрии</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г) у ребят стало более развитое воображение</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6) Большинство родителей отметили, что наибольшая заинтересованность в занятиях у детей проявляется благодаря игре с созданными предметами, улучшаются навыки общения</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7) Также взрослые отметили, что студия «</w:t>
      </w:r>
      <w:r w:rsidRPr="00306ED2">
        <w:rPr>
          <w:rFonts w:ascii="Times New Roman" w:hAnsi="Times New Roman" w:cs="Times New Roman"/>
          <w:sz w:val="24"/>
          <w:szCs w:val="24"/>
          <w:lang w:val="en-US"/>
        </w:rPr>
        <w:t>SKILLS</w:t>
      </w:r>
      <w:r w:rsidRPr="00306ED2">
        <w:rPr>
          <w:rFonts w:ascii="Times New Roman" w:hAnsi="Times New Roman" w:cs="Times New Roman"/>
          <w:sz w:val="24"/>
          <w:szCs w:val="24"/>
        </w:rPr>
        <w:t>» нравится им тем, что у детей проходят занятия в игровой форме.</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8) И на последний вопрос анкеты: «Как вы пришли в художественное искусство?» родители ответили: «Хотим, чтобы ребенок развивался и больше общался с другими детьми».</w:t>
      </w:r>
    </w:p>
    <w:p w:rsidR="00306ED2" w:rsidRDefault="00306ED2"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r w:rsidRPr="0013377E">
        <w:rPr>
          <w:noProof/>
          <w:lang w:eastAsia="ru-RU"/>
        </w:rPr>
        <w:drawing>
          <wp:inline distT="0" distB="0" distL="0" distR="0" wp14:anchorId="1D8A6407" wp14:editId="612C1837">
            <wp:extent cx="3008081" cy="1962150"/>
            <wp:effectExtent l="0" t="0" r="1905" b="0"/>
            <wp:docPr id="207" name="Рисунок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08943" cy="1962712"/>
                    </a:xfrm>
                    <a:prstGeom prst="rect">
                      <a:avLst/>
                    </a:prstGeom>
                    <a:noFill/>
                    <a:ln>
                      <a:noFill/>
                    </a:ln>
                  </pic:spPr>
                </pic:pic>
              </a:graphicData>
            </a:graphic>
          </wp:inline>
        </w:drawing>
      </w:r>
      <w:r w:rsidRPr="0013377E">
        <w:rPr>
          <w:noProof/>
          <w:lang w:eastAsia="ru-RU"/>
        </w:rPr>
        <w:drawing>
          <wp:inline distT="0" distB="0" distL="0" distR="0" wp14:anchorId="60FB5C01" wp14:editId="26058F58">
            <wp:extent cx="2718013" cy="2057400"/>
            <wp:effectExtent l="0" t="0" r="6350" b="0"/>
            <wp:docPr id="208" name="Рисунок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20057" cy="2058948"/>
                    </a:xfrm>
                    <a:prstGeom prst="rect">
                      <a:avLst/>
                    </a:prstGeom>
                    <a:noFill/>
                    <a:ln>
                      <a:noFill/>
                    </a:ln>
                  </pic:spPr>
                </pic:pic>
              </a:graphicData>
            </a:graphic>
          </wp:inline>
        </w:drawing>
      </w:r>
    </w:p>
    <w:p w:rsidR="0013377E" w:rsidRDefault="0013377E" w:rsidP="00C20E35">
      <w:pPr>
        <w:pStyle w:val="afb"/>
      </w:pPr>
    </w:p>
    <w:p w:rsidR="0013377E" w:rsidRDefault="0013377E" w:rsidP="00C20E35">
      <w:pPr>
        <w:pStyle w:val="afb"/>
      </w:pPr>
      <w:r w:rsidRPr="0013377E">
        <w:rPr>
          <w:noProof/>
          <w:lang w:eastAsia="ru-RU"/>
        </w:rPr>
        <w:drawing>
          <wp:inline distT="0" distB="0" distL="0" distR="0" wp14:anchorId="48B6CF0E" wp14:editId="28322AB9">
            <wp:extent cx="2982984" cy="1876425"/>
            <wp:effectExtent l="0" t="0" r="8255" b="0"/>
            <wp:docPr id="209" name="Рисунок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84320" cy="1877266"/>
                    </a:xfrm>
                    <a:prstGeom prst="rect">
                      <a:avLst/>
                    </a:prstGeom>
                    <a:noFill/>
                    <a:ln>
                      <a:noFill/>
                    </a:ln>
                  </pic:spPr>
                </pic:pic>
              </a:graphicData>
            </a:graphic>
          </wp:inline>
        </w:drawing>
      </w:r>
      <w:r w:rsidRPr="0013377E">
        <w:rPr>
          <w:noProof/>
          <w:lang w:eastAsia="ru-RU"/>
        </w:rPr>
        <w:drawing>
          <wp:inline distT="0" distB="0" distL="0" distR="0" wp14:anchorId="374B74AD" wp14:editId="64C7E3A4">
            <wp:extent cx="2628900" cy="1758135"/>
            <wp:effectExtent l="0" t="0" r="0" b="0"/>
            <wp:docPr id="210" name="Рисунок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27116" cy="1756942"/>
                    </a:xfrm>
                    <a:prstGeom prst="rect">
                      <a:avLst/>
                    </a:prstGeom>
                    <a:noFill/>
                    <a:ln>
                      <a:noFill/>
                    </a:ln>
                  </pic:spPr>
                </pic:pic>
              </a:graphicData>
            </a:graphic>
          </wp:inline>
        </w:drawing>
      </w:r>
    </w:p>
    <w:p w:rsidR="0013377E" w:rsidRDefault="0013377E" w:rsidP="00C20E35">
      <w:pPr>
        <w:pStyle w:val="afb"/>
      </w:pPr>
      <w:r w:rsidRPr="0013377E">
        <w:rPr>
          <w:noProof/>
          <w:lang w:eastAsia="ru-RU"/>
        </w:rPr>
        <w:drawing>
          <wp:inline distT="0" distB="0" distL="0" distR="0" wp14:anchorId="1FA51A39" wp14:editId="1BEBB92D">
            <wp:extent cx="2998577" cy="1685925"/>
            <wp:effectExtent l="0" t="0" r="0" b="0"/>
            <wp:docPr id="211" name="Рисунок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02107" cy="1687910"/>
                    </a:xfrm>
                    <a:prstGeom prst="rect">
                      <a:avLst/>
                    </a:prstGeom>
                    <a:noFill/>
                    <a:ln>
                      <a:noFill/>
                    </a:ln>
                  </pic:spPr>
                </pic:pic>
              </a:graphicData>
            </a:graphic>
          </wp:inline>
        </w:drawing>
      </w:r>
      <w:r w:rsidRPr="0013377E">
        <w:rPr>
          <w:noProof/>
          <w:lang w:eastAsia="ru-RU"/>
        </w:rPr>
        <w:drawing>
          <wp:inline distT="0" distB="0" distL="0" distR="0" wp14:anchorId="16FBAEDB" wp14:editId="506FBDA8">
            <wp:extent cx="2809875" cy="1676776"/>
            <wp:effectExtent l="0" t="0" r="0" b="0"/>
            <wp:docPr id="212" name="Рисунок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3014" cy="1678649"/>
                    </a:xfrm>
                    <a:prstGeom prst="rect">
                      <a:avLst/>
                    </a:prstGeom>
                    <a:noFill/>
                    <a:ln>
                      <a:noFill/>
                    </a:ln>
                  </pic:spPr>
                </pic:pic>
              </a:graphicData>
            </a:graphic>
          </wp:inline>
        </w:drawing>
      </w:r>
    </w:p>
    <w:p w:rsidR="0013377E" w:rsidRDefault="0013377E" w:rsidP="00C20E35">
      <w:pPr>
        <w:pStyle w:val="afb"/>
      </w:pP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120"/>
        <w:jc w:val="both"/>
        <w:rPr>
          <w:rFonts w:ascii="Times New Roman" w:hAnsi="Times New Roman" w:cs="Times New Roman"/>
          <w:sz w:val="24"/>
          <w:szCs w:val="24"/>
        </w:rPr>
      </w:pP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120"/>
        <w:ind w:firstLine="709"/>
        <w:jc w:val="both"/>
        <w:rPr>
          <w:rFonts w:ascii="Times New Roman" w:hAnsi="Times New Roman" w:cs="Times New Roman"/>
          <w:sz w:val="24"/>
          <w:szCs w:val="24"/>
        </w:rPr>
      </w:pPr>
      <w:r w:rsidRPr="0013377E">
        <w:rPr>
          <w:rFonts w:ascii="Times New Roman" w:hAnsi="Times New Roman" w:cs="Times New Roman"/>
          <w:sz w:val="24"/>
          <w:szCs w:val="24"/>
        </w:rPr>
        <w:t>Таким образом, современные дети, в последнее десятилетие очень зависимы от гаджетов. Родителям проще дать ребенку в руки телефон (планшет) и заниматься своими делами. В большинстве случаев такие дети не участвуют в общении со сверстниками, им тяжелее учится в школе, находить новых друзей, получать знания. В результате нашего исследования мы пришли к выводу, что благодаря развитию творческих способностей ребенок более активный и пытливый. Он способен видеть необычное, прекрасное там, где другие это не видят; он способен принимать свои, ни от кого независящие, самостоятельные решения, у него свой взгляд на красоту, и он способен создать нечто новое, оригинальное. При наличии у ребенка даже самых малейших творческих способностей, ему будет гораздо легче учится, трудиться, строить отношения с окружающими людьми, справляться с трудностями. Развитие имеющихся творческих способностей ребенка поможет ему в обычной жизни. Он сможет намного быстрее ориентироваться в различных ситуациях, предложит нестандартные способы решения проблем, будет легче воспринимать новые знания. Конечно же, у всех детей творческие задатки проявляются по-разному. У кого-то они развиты сильнее, у кого-то – слабее, но, в любом случае, всесторонне развитый человек будет учиться, трудиться и взаимодействовать с другими людьми намного успешнее и увереннее.</w:t>
      </w:r>
      <w:r w:rsidRPr="0013377E">
        <w:rPr>
          <w:rFonts w:ascii="Times New Roman" w:hAnsi="Times New Roman" w:cs="Times New Roman"/>
          <w:sz w:val="24"/>
          <w:szCs w:val="24"/>
          <w:lang w:eastAsia="ru-RU"/>
        </w:rPr>
        <w:t xml:space="preserve"> </w:t>
      </w:r>
      <w:r w:rsidRPr="0013377E">
        <w:rPr>
          <w:rFonts w:ascii="Times New Roman" w:hAnsi="Times New Roman" w:cs="Times New Roman"/>
          <w:sz w:val="24"/>
          <w:szCs w:val="24"/>
        </w:rPr>
        <w:t>А чтобы детям было интересно получать новые знания, нужно строить занятия, включая игру и ассоциации. Такое проведение уроков нравится и детям, и родителям. Благодаря этому, ребята получают новые знания и навыки, даже не замечая, как такого обучения.</w:t>
      </w:r>
    </w:p>
    <w:p w:rsidR="0013377E" w:rsidRPr="0013377E" w:rsidRDefault="0013377E" w:rsidP="0013377E">
      <w:pPr>
        <w:pBdr>
          <w:top w:val="none" w:sz="0" w:space="0" w:color="auto"/>
          <w:left w:val="none" w:sz="0" w:space="0" w:color="auto"/>
          <w:bottom w:val="single" w:sz="4" w:space="1" w:color="auto"/>
          <w:right w:val="none" w:sz="0" w:space="0" w:color="auto"/>
          <w:between w:val="none" w:sz="0" w:space="0" w:color="auto"/>
        </w:pBdr>
        <w:spacing w:after="120"/>
        <w:jc w:val="both"/>
        <w:rPr>
          <w:rFonts w:ascii="Times New Roman" w:hAnsi="Times New Roman" w:cs="Times New Roman"/>
          <w:sz w:val="24"/>
          <w:szCs w:val="24"/>
        </w:rPr>
      </w:pPr>
    </w:p>
    <w:p w:rsidR="0013377E" w:rsidRPr="0013377E" w:rsidRDefault="0013377E" w:rsidP="0013377E">
      <w:pPr>
        <w:numPr>
          <w:ilvl w:val="0"/>
          <w:numId w:val="133"/>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Times New Roman" w:hAnsi="Times New Roman" w:cs="Times New Roman"/>
          <w:sz w:val="24"/>
          <w:szCs w:val="24"/>
        </w:rPr>
      </w:pPr>
      <w:r w:rsidRPr="0013377E">
        <w:rPr>
          <w:rFonts w:ascii="Times New Roman" w:hAnsi="Times New Roman" w:cs="Times New Roman"/>
          <w:sz w:val="24"/>
          <w:szCs w:val="24"/>
        </w:rPr>
        <w:t>Под ред. Комаровой Т.С., Зацепиной М. Б. Актуальные вопросы эстетического воспитания и развития детей. уч. пособие для студентов высших учебных заведений. Часть 1. - М., «Альфа», 2002 - 92 с.</w:t>
      </w:r>
    </w:p>
    <w:p w:rsidR="0013377E" w:rsidRPr="0013377E" w:rsidRDefault="0013377E" w:rsidP="0013377E">
      <w:pPr>
        <w:numPr>
          <w:ilvl w:val="0"/>
          <w:numId w:val="133"/>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Times New Roman" w:hAnsi="Times New Roman" w:cs="Times New Roman"/>
          <w:sz w:val="24"/>
          <w:szCs w:val="24"/>
        </w:rPr>
      </w:pPr>
      <w:r w:rsidRPr="0013377E">
        <w:rPr>
          <w:rFonts w:ascii="Times New Roman" w:hAnsi="Times New Roman" w:cs="Times New Roman"/>
          <w:sz w:val="24"/>
          <w:szCs w:val="24"/>
        </w:rPr>
        <w:t>Белая Е.Б. Подготовка студентов дошкольного воспитания к работе с детьми 5 - 6 лет по организации эстетической среды средствами художественного конструирования. Автореферат дисс. на соиск. уч. степ. канд. пед. наук. - М., 2000. - 18 с.</w:t>
      </w:r>
    </w:p>
    <w:p w:rsidR="0013377E" w:rsidRPr="0013377E" w:rsidRDefault="0013377E" w:rsidP="0013377E">
      <w:pPr>
        <w:numPr>
          <w:ilvl w:val="0"/>
          <w:numId w:val="133"/>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Times New Roman" w:hAnsi="Times New Roman" w:cs="Times New Roman"/>
          <w:sz w:val="24"/>
          <w:szCs w:val="24"/>
        </w:rPr>
      </w:pPr>
      <w:r w:rsidRPr="0013377E">
        <w:rPr>
          <w:rFonts w:ascii="Times New Roman" w:hAnsi="Times New Roman" w:cs="Times New Roman"/>
          <w:sz w:val="24"/>
          <w:szCs w:val="24"/>
        </w:rPr>
        <w:t>Григорьева Г.Г. Развитие дошкольника в изобразительной деятельности. - М.: Академия, 2000. - 344 с.</w:t>
      </w:r>
    </w:p>
    <w:p w:rsidR="0013377E" w:rsidRPr="0013377E" w:rsidRDefault="0013377E" w:rsidP="0013377E">
      <w:pPr>
        <w:numPr>
          <w:ilvl w:val="0"/>
          <w:numId w:val="133"/>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Times New Roman" w:hAnsi="Times New Roman" w:cs="Times New Roman"/>
          <w:sz w:val="24"/>
          <w:szCs w:val="24"/>
        </w:rPr>
      </w:pPr>
      <w:r w:rsidRPr="0013377E">
        <w:rPr>
          <w:rFonts w:ascii="Times New Roman" w:hAnsi="Times New Roman" w:cs="Times New Roman"/>
          <w:sz w:val="24"/>
          <w:szCs w:val="24"/>
        </w:rPr>
        <w:t>Выготский Л. С. Воображение и творчество в детском возрасте. - М.: - с.93.</w:t>
      </w:r>
    </w:p>
    <w:p w:rsidR="0013377E" w:rsidRPr="0013377E" w:rsidRDefault="0013377E" w:rsidP="0013377E">
      <w:pPr>
        <w:numPr>
          <w:ilvl w:val="0"/>
          <w:numId w:val="133"/>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Times New Roman" w:hAnsi="Times New Roman" w:cs="Times New Roman"/>
          <w:sz w:val="24"/>
          <w:szCs w:val="24"/>
        </w:rPr>
      </w:pPr>
      <w:r w:rsidRPr="0013377E">
        <w:rPr>
          <w:rFonts w:ascii="Times New Roman" w:hAnsi="Times New Roman" w:cs="Times New Roman"/>
          <w:sz w:val="24"/>
          <w:szCs w:val="24"/>
        </w:rPr>
        <w:t>Комарова Т. С., Зацепина М.Б. Художественная культура. Интегрированные занятия с детьми 5-7 лет. Книга для воспитателей дошкольных учреждений, педагогов дополнительного образования и учителей начальных классов. - М., АРКТИ, 2001. - 86 с.</w:t>
      </w:r>
    </w:p>
    <w:p w:rsidR="0013377E" w:rsidRPr="0013377E" w:rsidRDefault="0013377E" w:rsidP="0013377E">
      <w:pPr>
        <w:numPr>
          <w:ilvl w:val="0"/>
          <w:numId w:val="133"/>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Times New Roman" w:hAnsi="Times New Roman" w:cs="Times New Roman"/>
          <w:sz w:val="24"/>
          <w:szCs w:val="24"/>
        </w:rPr>
      </w:pPr>
      <w:r w:rsidRPr="0013377E">
        <w:rPr>
          <w:rFonts w:ascii="Times New Roman" w:hAnsi="Times New Roman" w:cs="Times New Roman"/>
          <w:sz w:val="24"/>
          <w:szCs w:val="24"/>
        </w:rPr>
        <w:t>Лотман Ю.М. Статьи по семиотике культуры</w:t>
      </w:r>
    </w:p>
    <w:p w:rsidR="0013377E" w:rsidRPr="0013377E" w:rsidRDefault="0013377E" w:rsidP="0013377E">
      <w:pPr>
        <w:numPr>
          <w:ilvl w:val="0"/>
          <w:numId w:val="133"/>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Times New Roman" w:hAnsi="Times New Roman" w:cs="Times New Roman"/>
          <w:sz w:val="24"/>
          <w:szCs w:val="24"/>
        </w:rPr>
      </w:pPr>
      <w:r w:rsidRPr="0013377E">
        <w:rPr>
          <w:rFonts w:ascii="Times New Roman" w:hAnsi="Times New Roman" w:cs="Times New Roman"/>
          <w:sz w:val="24"/>
          <w:szCs w:val="24"/>
        </w:rPr>
        <w:t>Джулия Кэмерон и Эмма Лайвли Художник есть в каждом, как воспитать творчество в детях. –М., «Мани,  Иванов и Фербер» 2015. – 121 с.</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120"/>
        <w:ind w:left="720"/>
        <w:jc w:val="both"/>
        <w:rPr>
          <w:rFonts w:ascii="Times New Roman" w:hAnsi="Times New Roman" w:cs="Times New Roman"/>
          <w:sz w:val="24"/>
          <w:szCs w:val="24"/>
        </w:rPr>
      </w:pP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120"/>
        <w:jc w:val="both"/>
        <w:rPr>
          <w:rFonts w:ascii="Times New Roman" w:hAnsi="Times New Roman" w:cs="Times New Roman"/>
          <w:sz w:val="24"/>
          <w:szCs w:val="24"/>
        </w:rPr>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120" w:line="240" w:lineRule="auto"/>
        <w:rPr>
          <w:rFonts w:ascii="Times New Roman" w:hAnsi="Times New Roman" w:cs="Times New Roman"/>
          <w:sz w:val="24"/>
        </w:rPr>
      </w:pPr>
      <w:r w:rsidRPr="0013377E">
        <w:rPr>
          <w:rFonts w:ascii="Times New Roman" w:hAnsi="Times New Roman" w:cs="Times New Roman"/>
          <w:sz w:val="24"/>
        </w:rPr>
        <w:t>Рубрика: Организация труда</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120" w:line="240" w:lineRule="auto"/>
        <w:rPr>
          <w:rFonts w:ascii="Times New Roman" w:hAnsi="Times New Roman" w:cs="Times New Roman"/>
          <w:sz w:val="24"/>
        </w:rPr>
      </w:pPr>
      <w:r w:rsidRPr="0013377E">
        <w:rPr>
          <w:rFonts w:ascii="Times New Roman" w:hAnsi="Times New Roman" w:cs="Times New Roman"/>
          <w:sz w:val="24"/>
        </w:rPr>
        <w:t xml:space="preserve">УДК 331.1 </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120" w:line="240" w:lineRule="auto"/>
        <w:jc w:val="center"/>
        <w:rPr>
          <w:rFonts w:ascii="Times New Roman" w:hAnsi="Times New Roman" w:cs="Times New Roman"/>
          <w:b/>
          <w:sz w:val="24"/>
        </w:rPr>
      </w:pPr>
      <w:r w:rsidRPr="0013377E">
        <w:rPr>
          <w:rFonts w:ascii="Times New Roman" w:hAnsi="Times New Roman" w:cs="Times New Roman"/>
          <w:b/>
          <w:sz w:val="24"/>
        </w:rPr>
        <w:t>Анализ особенностей организационной культуры транспортной компании</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rPr>
      </w:pPr>
      <w:r w:rsidRPr="0013377E">
        <w:rPr>
          <w:rFonts w:ascii="Times New Roman" w:hAnsi="Times New Roman" w:cs="Times New Roman"/>
          <w:sz w:val="24"/>
        </w:rPr>
        <w:t>Табакова Анастасия Андреевна,</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rPr>
      </w:pPr>
      <w:r w:rsidRPr="0013377E">
        <w:rPr>
          <w:rFonts w:ascii="Times New Roman" w:hAnsi="Times New Roman" w:cs="Times New Roman"/>
          <w:sz w:val="24"/>
        </w:rPr>
        <w:t>бакалавр 4 курса, кафедра дизайна и технологий</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rPr>
      </w:pPr>
      <w:r w:rsidRPr="0013377E">
        <w:rPr>
          <w:rFonts w:ascii="Times New Roman" w:hAnsi="Times New Roman" w:cs="Times New Roman"/>
          <w:i/>
          <w:sz w:val="24"/>
        </w:rPr>
        <w:t>Владивостокский государственный университет экономики и сервиса</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rPr>
      </w:pPr>
      <w:r w:rsidRPr="0013377E">
        <w:rPr>
          <w:rFonts w:ascii="Times New Roman" w:hAnsi="Times New Roman" w:cs="Times New Roman"/>
          <w:i/>
          <w:sz w:val="24"/>
        </w:rPr>
        <w:t>Россия. Владивосток</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rPr>
      </w:pPr>
      <w:r w:rsidRPr="0013377E">
        <w:rPr>
          <w:rFonts w:ascii="Times New Roman" w:hAnsi="Times New Roman" w:cs="Times New Roman"/>
          <w:sz w:val="24"/>
          <w:lang w:val="en-US"/>
        </w:rPr>
        <w:t>E</w:t>
      </w:r>
      <w:r w:rsidRPr="0013377E">
        <w:rPr>
          <w:rFonts w:ascii="Times New Roman" w:hAnsi="Times New Roman" w:cs="Times New Roman"/>
          <w:sz w:val="24"/>
        </w:rPr>
        <w:t>-</w:t>
      </w:r>
      <w:r w:rsidRPr="0013377E">
        <w:rPr>
          <w:rFonts w:ascii="Times New Roman" w:hAnsi="Times New Roman" w:cs="Times New Roman"/>
          <w:sz w:val="24"/>
          <w:lang w:val="en-US"/>
        </w:rPr>
        <w:t>mail</w:t>
      </w:r>
      <w:r w:rsidRPr="0013377E">
        <w:rPr>
          <w:rFonts w:ascii="Times New Roman" w:hAnsi="Times New Roman" w:cs="Times New Roman"/>
          <w:sz w:val="24"/>
        </w:rPr>
        <w:t xml:space="preserve">: </w:t>
      </w:r>
      <w:r w:rsidRPr="0013377E">
        <w:rPr>
          <w:rFonts w:ascii="Times New Roman" w:hAnsi="Times New Roman" w:cs="Times New Roman"/>
          <w:sz w:val="24"/>
          <w:lang w:val="en-US"/>
        </w:rPr>
        <w:t>tabakova</w:t>
      </w:r>
      <w:r w:rsidRPr="0013377E">
        <w:rPr>
          <w:rFonts w:ascii="Times New Roman" w:hAnsi="Times New Roman" w:cs="Times New Roman"/>
          <w:sz w:val="24"/>
        </w:rPr>
        <w:t>10@</w:t>
      </w:r>
      <w:r w:rsidRPr="0013377E">
        <w:rPr>
          <w:rFonts w:ascii="Times New Roman" w:hAnsi="Times New Roman" w:cs="Times New Roman"/>
          <w:sz w:val="24"/>
          <w:lang w:val="en-US"/>
        </w:rPr>
        <w:t>mail</w:t>
      </w:r>
      <w:r w:rsidRPr="0013377E">
        <w:rPr>
          <w:rFonts w:ascii="Times New Roman" w:hAnsi="Times New Roman" w:cs="Times New Roman"/>
          <w:sz w:val="24"/>
        </w:rPr>
        <w:t>.</w:t>
      </w:r>
      <w:r w:rsidRPr="0013377E">
        <w:rPr>
          <w:rFonts w:ascii="Times New Roman" w:hAnsi="Times New Roman" w:cs="Times New Roman"/>
          <w:sz w:val="24"/>
          <w:lang w:val="en-US"/>
        </w:rPr>
        <w:t>ru</w:t>
      </w:r>
      <w:r w:rsidRPr="0013377E">
        <w:rPr>
          <w:rFonts w:ascii="Times New Roman" w:hAnsi="Times New Roman" w:cs="Times New Roman"/>
          <w:sz w:val="24"/>
        </w:rPr>
        <w:t>; тел.: +79147347665</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120" w:line="240" w:lineRule="auto"/>
        <w:jc w:val="center"/>
        <w:rPr>
          <w:rFonts w:ascii="Times New Roman" w:hAnsi="Times New Roman" w:cs="Times New Roman"/>
          <w:sz w:val="24"/>
        </w:rPr>
      </w:pPr>
      <w:r w:rsidRPr="0013377E">
        <w:rPr>
          <w:rFonts w:ascii="Times New Roman" w:hAnsi="Times New Roman" w:cs="Times New Roman"/>
          <w:sz w:val="24"/>
        </w:rPr>
        <w:t>ул. Гоголя, 41, г. Владивосток, Приморский край, Россия, 690014</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rPr>
      </w:pPr>
      <w:r w:rsidRPr="0013377E">
        <w:rPr>
          <w:rFonts w:ascii="Times New Roman" w:hAnsi="Times New Roman" w:cs="Times New Roman"/>
          <w:sz w:val="24"/>
        </w:rPr>
        <w:t>Слесарчук Ирина Анатольевна,</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rPr>
      </w:pPr>
      <w:r w:rsidRPr="0013377E">
        <w:rPr>
          <w:rFonts w:ascii="Times New Roman" w:hAnsi="Times New Roman" w:cs="Times New Roman"/>
          <w:sz w:val="24"/>
        </w:rPr>
        <w:t>доцент, кандидат технических наук, кафедра дизайна и технологий</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rPr>
      </w:pPr>
      <w:r w:rsidRPr="0013377E">
        <w:rPr>
          <w:rFonts w:ascii="Times New Roman" w:hAnsi="Times New Roman" w:cs="Times New Roman"/>
          <w:i/>
          <w:sz w:val="24"/>
        </w:rPr>
        <w:t>Владивостокский государственный университет экономики и сервиса</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rPr>
      </w:pPr>
      <w:r w:rsidRPr="0013377E">
        <w:rPr>
          <w:rFonts w:ascii="Times New Roman" w:hAnsi="Times New Roman" w:cs="Times New Roman"/>
          <w:i/>
          <w:sz w:val="24"/>
        </w:rPr>
        <w:t>Россия. Владивосток</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rPr>
      </w:pPr>
      <w:r w:rsidRPr="0013377E">
        <w:rPr>
          <w:rFonts w:ascii="Times New Roman" w:hAnsi="Times New Roman" w:cs="Times New Roman"/>
          <w:sz w:val="24"/>
          <w:lang w:val="en-US"/>
        </w:rPr>
        <w:t>E</w:t>
      </w:r>
      <w:r w:rsidRPr="0013377E">
        <w:rPr>
          <w:rFonts w:ascii="Times New Roman" w:hAnsi="Times New Roman" w:cs="Times New Roman"/>
          <w:sz w:val="24"/>
        </w:rPr>
        <w:t>-</w:t>
      </w:r>
      <w:r w:rsidRPr="0013377E">
        <w:rPr>
          <w:rFonts w:ascii="Times New Roman" w:hAnsi="Times New Roman" w:cs="Times New Roman"/>
          <w:sz w:val="24"/>
          <w:lang w:val="en-US"/>
        </w:rPr>
        <w:t>mail</w:t>
      </w:r>
      <w:r w:rsidRPr="0013377E">
        <w:rPr>
          <w:rFonts w:ascii="Times New Roman" w:hAnsi="Times New Roman" w:cs="Times New Roman"/>
          <w:sz w:val="24"/>
        </w:rPr>
        <w:t xml:space="preserve">: </w:t>
      </w:r>
      <w:r w:rsidRPr="0013377E">
        <w:rPr>
          <w:rFonts w:ascii="Times New Roman" w:hAnsi="Times New Roman" w:cs="Times New Roman"/>
          <w:sz w:val="24"/>
          <w:lang w:val="en-US"/>
        </w:rPr>
        <w:t>slesarchuk</w:t>
      </w:r>
      <w:r w:rsidRPr="0013377E">
        <w:rPr>
          <w:rFonts w:ascii="Times New Roman" w:hAnsi="Times New Roman" w:cs="Times New Roman"/>
          <w:sz w:val="24"/>
        </w:rPr>
        <w:t>65@</w:t>
      </w:r>
      <w:r w:rsidRPr="0013377E">
        <w:rPr>
          <w:rFonts w:ascii="Times New Roman" w:hAnsi="Times New Roman" w:cs="Times New Roman"/>
          <w:sz w:val="24"/>
          <w:lang w:val="en-US"/>
        </w:rPr>
        <w:t>mail</w:t>
      </w:r>
      <w:r w:rsidRPr="0013377E">
        <w:rPr>
          <w:rFonts w:ascii="Times New Roman" w:hAnsi="Times New Roman" w:cs="Times New Roman"/>
          <w:sz w:val="24"/>
        </w:rPr>
        <w:t>.</w:t>
      </w:r>
      <w:r w:rsidRPr="0013377E">
        <w:rPr>
          <w:rFonts w:ascii="Times New Roman" w:hAnsi="Times New Roman" w:cs="Times New Roman"/>
          <w:sz w:val="24"/>
          <w:lang w:val="en-US"/>
        </w:rPr>
        <w:t>ru</w:t>
      </w:r>
      <w:r w:rsidRPr="0013377E">
        <w:rPr>
          <w:rFonts w:ascii="Times New Roman" w:hAnsi="Times New Roman" w:cs="Times New Roman"/>
          <w:sz w:val="24"/>
        </w:rPr>
        <w:t>; тел.: +79089916506</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120" w:line="240" w:lineRule="auto"/>
        <w:jc w:val="center"/>
        <w:rPr>
          <w:rFonts w:ascii="Times New Roman" w:hAnsi="Times New Roman" w:cs="Times New Roman"/>
          <w:sz w:val="24"/>
        </w:rPr>
      </w:pPr>
      <w:r w:rsidRPr="0013377E">
        <w:rPr>
          <w:rFonts w:ascii="Times New Roman" w:hAnsi="Times New Roman" w:cs="Times New Roman"/>
          <w:sz w:val="24"/>
        </w:rPr>
        <w:t>ул. Гоголя, 41, г. Владивосток, Приморский край, Россия, 690014</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120" w:line="240" w:lineRule="auto"/>
        <w:ind w:firstLine="709"/>
        <w:jc w:val="both"/>
        <w:rPr>
          <w:rFonts w:ascii="Times New Roman" w:hAnsi="Times New Roman" w:cs="Times New Roman"/>
          <w:i/>
          <w:sz w:val="24"/>
        </w:rPr>
      </w:pPr>
      <w:r w:rsidRPr="0013377E">
        <w:rPr>
          <w:rFonts w:ascii="Times New Roman" w:hAnsi="Times New Roman" w:cs="Times New Roman"/>
          <w:i/>
          <w:sz w:val="24"/>
        </w:rPr>
        <w:t>В настоящее время организационная культура, создаваемая коллективом, является основой любого предприятия. При создании организационной культуры транспортной компании часто не учитывается ее специфика. В работе проведен анализ организационной культуры транспортной компании г. Владивостока. Разработаны рекомендации по совершенствованию организационной культуры транспортной компании, которые в дальнейшем могут быть реализованы на автопредприятиях отрасли.</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rPr>
      </w:pPr>
      <w:r w:rsidRPr="0013377E">
        <w:rPr>
          <w:rFonts w:ascii="Times New Roman" w:hAnsi="Times New Roman" w:cs="Times New Roman"/>
          <w:b/>
          <w:i/>
          <w:sz w:val="24"/>
        </w:rPr>
        <w:t>Ключевые слова и словосочетания:</w:t>
      </w:r>
      <w:r w:rsidRPr="0013377E">
        <w:rPr>
          <w:rFonts w:ascii="Times New Roman" w:hAnsi="Times New Roman" w:cs="Times New Roman"/>
          <w:sz w:val="24"/>
        </w:rPr>
        <w:t xml:space="preserve"> транспортная компания, организационная культура, коллектив, сотрудник, специфические факторы</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before="120" w:after="120" w:line="240" w:lineRule="auto"/>
        <w:ind w:firstLine="709"/>
        <w:jc w:val="center"/>
        <w:rPr>
          <w:rFonts w:ascii="Times New Roman" w:hAnsi="Times New Roman" w:cs="Times New Roman"/>
          <w:b/>
          <w:sz w:val="24"/>
          <w:lang w:val="en-US"/>
        </w:rPr>
      </w:pPr>
      <w:r w:rsidRPr="0013377E">
        <w:rPr>
          <w:rFonts w:ascii="Times New Roman" w:hAnsi="Times New Roman" w:cs="Times New Roman"/>
          <w:b/>
          <w:sz w:val="24"/>
          <w:lang w:val="en-US"/>
        </w:rPr>
        <w:t>Analysis of the organizational culture of the transport company</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lang w:val="en-US"/>
        </w:rPr>
      </w:pPr>
      <w:r w:rsidRPr="0013377E">
        <w:rPr>
          <w:rFonts w:ascii="Times New Roman" w:hAnsi="Times New Roman" w:cs="Times New Roman"/>
          <w:sz w:val="24"/>
          <w:lang w:val="en-US"/>
        </w:rPr>
        <w:t>Tabakova Anastasiya Andreevna</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lang w:val="en-US"/>
        </w:rPr>
      </w:pPr>
      <w:r w:rsidRPr="0013377E">
        <w:rPr>
          <w:rFonts w:ascii="Times New Roman" w:hAnsi="Times New Roman" w:cs="Times New Roman"/>
          <w:sz w:val="24"/>
          <w:lang w:val="en-US"/>
        </w:rPr>
        <w:t>bachelor of the 4nd year, department of design and technology</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lang w:val="en-US"/>
        </w:rPr>
      </w:pPr>
      <w:r w:rsidRPr="0013377E">
        <w:rPr>
          <w:rFonts w:ascii="Times New Roman" w:hAnsi="Times New Roman" w:cs="Times New Roman"/>
          <w:i/>
          <w:sz w:val="24"/>
          <w:lang w:val="en-US"/>
        </w:rPr>
        <w:t>Vladivostok State University of Economics and Service</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120" w:line="240" w:lineRule="auto"/>
        <w:ind w:firstLine="709"/>
        <w:jc w:val="center"/>
        <w:rPr>
          <w:rFonts w:ascii="Times New Roman" w:hAnsi="Times New Roman" w:cs="Times New Roman"/>
          <w:i/>
          <w:sz w:val="24"/>
          <w:lang w:val="en-US"/>
        </w:rPr>
      </w:pPr>
      <w:r w:rsidRPr="0013377E">
        <w:rPr>
          <w:rFonts w:ascii="Times New Roman" w:hAnsi="Times New Roman" w:cs="Times New Roman"/>
          <w:i/>
          <w:sz w:val="24"/>
          <w:lang w:val="en-US"/>
        </w:rPr>
        <w:t>Russia. Vladivostok</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Cs/>
          <w:sz w:val="24"/>
          <w:szCs w:val="24"/>
          <w:lang w:val="en-US"/>
        </w:rPr>
      </w:pPr>
      <w:r w:rsidRPr="0013377E">
        <w:rPr>
          <w:rFonts w:ascii="Times New Roman" w:hAnsi="Times New Roman" w:cs="Times New Roman"/>
          <w:iCs/>
          <w:sz w:val="24"/>
          <w:szCs w:val="24"/>
          <w:lang w:val="en-US"/>
        </w:rPr>
        <w:t>Slesarchuk Irina Anatol'evna</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Cs/>
          <w:sz w:val="24"/>
          <w:szCs w:val="24"/>
          <w:lang w:val="en-US"/>
        </w:rPr>
      </w:pPr>
      <w:r w:rsidRPr="0013377E">
        <w:rPr>
          <w:rFonts w:ascii="Times New Roman" w:hAnsi="Times New Roman" w:cs="Times New Roman"/>
          <w:iCs/>
          <w:sz w:val="24"/>
          <w:szCs w:val="24"/>
          <w:lang w:val="en-US"/>
        </w:rPr>
        <w:t>professor, candidate of technical sciences, department of design and technology</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iCs/>
          <w:sz w:val="24"/>
          <w:szCs w:val="24"/>
          <w:lang w:val="en-US"/>
        </w:rPr>
      </w:pPr>
      <w:r w:rsidRPr="0013377E">
        <w:rPr>
          <w:rFonts w:ascii="Times New Roman" w:hAnsi="Times New Roman" w:cs="Times New Roman"/>
          <w:i/>
          <w:iCs/>
          <w:sz w:val="24"/>
          <w:szCs w:val="24"/>
          <w:lang w:val="en-US"/>
        </w:rPr>
        <w:t>Vladivostok State University of Economics and Service</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120" w:line="240" w:lineRule="auto"/>
        <w:jc w:val="center"/>
        <w:rPr>
          <w:rFonts w:ascii="Times New Roman" w:hAnsi="Times New Roman" w:cs="Times New Roman"/>
          <w:i/>
          <w:iCs/>
          <w:sz w:val="24"/>
          <w:szCs w:val="24"/>
          <w:lang w:val="en-US"/>
        </w:rPr>
      </w:pPr>
      <w:r w:rsidRPr="0013377E">
        <w:rPr>
          <w:rFonts w:ascii="Times New Roman" w:hAnsi="Times New Roman" w:cs="Times New Roman"/>
          <w:i/>
          <w:iCs/>
          <w:sz w:val="24"/>
          <w:szCs w:val="24"/>
          <w:lang w:val="en-US"/>
        </w:rPr>
        <w:t>Russia. Vladivostok</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iCs/>
          <w:sz w:val="24"/>
          <w:szCs w:val="24"/>
          <w:lang w:val="en-US"/>
        </w:rPr>
      </w:pP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120" w:line="240" w:lineRule="auto"/>
        <w:ind w:firstLine="709"/>
        <w:jc w:val="both"/>
        <w:rPr>
          <w:rFonts w:ascii="Times New Roman" w:hAnsi="Times New Roman" w:cs="Times New Roman"/>
          <w:i/>
          <w:sz w:val="24"/>
          <w:lang w:val="en-US"/>
        </w:rPr>
      </w:pPr>
      <w:r w:rsidRPr="0013377E">
        <w:rPr>
          <w:rFonts w:ascii="Times New Roman" w:hAnsi="Times New Roman" w:cs="Times New Roman"/>
          <w:i/>
          <w:sz w:val="24"/>
          <w:lang w:val="en-US"/>
        </w:rPr>
        <w:t>At present, the organizational culture created by the team is the foundation of any enterprise. When creating the organizational culture of a transport company, its specificity is often not taken into account. The analysis of the organizational culture of the Vladivostok transport company is conducted in the work. Recommendations are developed to improve the organizational culture of the transport company, which in the future can be implemented at the industry's auto industry.</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120" w:line="240" w:lineRule="auto"/>
        <w:ind w:firstLine="709"/>
        <w:jc w:val="both"/>
        <w:rPr>
          <w:rFonts w:ascii="Times New Roman" w:hAnsi="Times New Roman" w:cs="Times New Roman"/>
          <w:sz w:val="24"/>
          <w:lang w:val="en-US"/>
        </w:rPr>
      </w:pPr>
      <w:r w:rsidRPr="0013377E">
        <w:rPr>
          <w:rFonts w:ascii="Times New Roman" w:hAnsi="Times New Roman" w:cs="Times New Roman"/>
          <w:b/>
          <w:sz w:val="24"/>
          <w:lang w:val="en-US"/>
        </w:rPr>
        <w:t>Keyword:</w:t>
      </w:r>
      <w:r w:rsidRPr="0013377E">
        <w:rPr>
          <w:rFonts w:cs="Times New Roman"/>
          <w:lang w:val="en-US"/>
        </w:rPr>
        <w:t xml:space="preserve"> </w:t>
      </w:r>
      <w:r w:rsidRPr="0013377E">
        <w:rPr>
          <w:rFonts w:ascii="Times New Roman" w:hAnsi="Times New Roman" w:cs="Times New Roman"/>
          <w:sz w:val="24"/>
          <w:lang w:val="en-US"/>
        </w:rPr>
        <w:t>transport company, organizational culture, collective, employee, specific factors.</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rPr>
      </w:pPr>
      <w:r w:rsidRPr="0013377E">
        <w:rPr>
          <w:rFonts w:ascii="Times New Roman" w:hAnsi="Times New Roman" w:cs="Times New Roman"/>
          <w:sz w:val="24"/>
        </w:rPr>
        <w:t>В современном городе постоянно растет роль транспорта, которая обеспечивает удовлетворение запросов потребителей, формирующихся в рамках общественных и экономических процессов по продвижению продуктов и предложений по городу, применяя логистику и</w:t>
      </w:r>
      <w:r w:rsidRPr="0013377E">
        <w:rPr>
          <w:rFonts w:cs="Times New Roman"/>
        </w:rPr>
        <w:t xml:space="preserve"> </w:t>
      </w:r>
      <w:r w:rsidRPr="0013377E">
        <w:rPr>
          <w:rFonts w:ascii="Times New Roman" w:hAnsi="Times New Roman" w:cs="Times New Roman"/>
          <w:sz w:val="24"/>
        </w:rPr>
        <w:t>возможности товарных сетей.</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13377E">
        <w:rPr>
          <w:rFonts w:ascii="Times New Roman" w:hAnsi="Times New Roman" w:cs="Times New Roman"/>
          <w:sz w:val="24"/>
        </w:rPr>
        <w:t xml:space="preserve">В настоящее время в условиях сильной конкуренции успех каждой организации зависит в большей степени не от ее финансовых и производственных показателей и ресурсов, а от потенциала ее сотрудников. Таким образом, отношения, ценностные ориентации и убеждения в коллективе должны выходить на первый план в компании. Сформированная система ценностей, традиций, обычаев и верований коллектива, отличающей данное предприятие от других, представляет собой его организационную культуру [1]. </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rPr>
      </w:pPr>
      <w:r w:rsidRPr="0013377E">
        <w:rPr>
          <w:rFonts w:ascii="Times New Roman" w:hAnsi="Times New Roman" w:cs="Times New Roman"/>
          <w:sz w:val="24"/>
        </w:rPr>
        <w:t>В настоящее время по вопросам организационной культуры предприятий различного профиля деятельности существует достаточно большое количество литературы. В связи с отсутствием исследований в области организационной культуры с учетом транспортной специфики целью данной работы является анализ особенностей организационной культуры транспортного предприятия и разработка рекомендаций по ее совершенствованию.</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13377E">
        <w:rPr>
          <w:rFonts w:ascii="Times New Roman" w:hAnsi="Times New Roman" w:cs="Times New Roman"/>
          <w:sz w:val="24"/>
        </w:rPr>
        <w:t>Анализ литературы [2,3] и работы с конкретной транспортной компанией позволил выявить определенные специфические факторы, оказывающие влияние на формирование организационной культуры транспортного предприятия:</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firstLine="709"/>
        <w:jc w:val="both"/>
        <w:rPr>
          <w:rFonts w:ascii="Times New Roman" w:hAnsi="Times New Roman" w:cs="Times New Roman"/>
          <w:sz w:val="24"/>
        </w:rPr>
      </w:pPr>
      <w:r w:rsidRPr="0013377E">
        <w:rPr>
          <w:rFonts w:ascii="Times New Roman" w:hAnsi="Times New Roman" w:cs="Times New Roman"/>
          <w:sz w:val="24"/>
        </w:rPr>
        <w:t>- тяжелые условия труда (долгие поездки за рулем, постоянные стрессы из-за нагрузок и переутомления во время поездок, различные спорные ситуации с клиентами, работа со сложной и тяжелой техникой);</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firstLine="709"/>
        <w:jc w:val="both"/>
        <w:rPr>
          <w:rFonts w:ascii="Times New Roman" w:hAnsi="Times New Roman" w:cs="Times New Roman"/>
          <w:sz w:val="24"/>
        </w:rPr>
      </w:pPr>
      <w:r w:rsidRPr="0013377E">
        <w:rPr>
          <w:rFonts w:ascii="Times New Roman" w:hAnsi="Times New Roman" w:cs="Times New Roman"/>
          <w:sz w:val="24"/>
        </w:rPr>
        <w:t>- преимущественно мужской коллектив;</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firstLine="709"/>
        <w:jc w:val="both"/>
        <w:rPr>
          <w:rFonts w:ascii="Times New Roman" w:hAnsi="Times New Roman" w:cs="Times New Roman"/>
          <w:sz w:val="24"/>
        </w:rPr>
      </w:pPr>
      <w:r w:rsidRPr="0013377E">
        <w:rPr>
          <w:rFonts w:ascii="Times New Roman" w:hAnsi="Times New Roman" w:cs="Times New Roman"/>
          <w:sz w:val="24"/>
        </w:rPr>
        <w:t>- работа с транспортными средствами (пассажирский, грузовой транспорт);</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firstLine="709"/>
        <w:jc w:val="both"/>
        <w:rPr>
          <w:rFonts w:ascii="Times New Roman" w:hAnsi="Times New Roman" w:cs="Times New Roman"/>
          <w:sz w:val="24"/>
        </w:rPr>
      </w:pPr>
      <w:r w:rsidRPr="0013377E">
        <w:rPr>
          <w:rFonts w:ascii="Times New Roman" w:hAnsi="Times New Roman" w:cs="Times New Roman"/>
          <w:sz w:val="24"/>
        </w:rPr>
        <w:t>- способность персонала самостоятельно осуществлять ремонт транспорта (если поломка произошла далеко от ремонтного пункта и требует срочного продолжения пути);</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firstLine="709"/>
        <w:jc w:val="both"/>
        <w:rPr>
          <w:rFonts w:ascii="Times New Roman" w:hAnsi="Times New Roman" w:cs="Times New Roman"/>
          <w:sz w:val="24"/>
        </w:rPr>
      </w:pPr>
      <w:r w:rsidRPr="0013377E">
        <w:rPr>
          <w:rFonts w:ascii="Times New Roman" w:hAnsi="Times New Roman" w:cs="Times New Roman"/>
          <w:sz w:val="24"/>
        </w:rPr>
        <w:t xml:space="preserve">- обязательное наличие опыта работы в данной отрасли, предполагающего умение работать с техникой и транспортом, наличие стрессоустойчивости.  </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rPr>
      </w:pPr>
      <w:r w:rsidRPr="0013377E">
        <w:rPr>
          <w:rFonts w:ascii="Times New Roman" w:hAnsi="Times New Roman" w:cs="Times New Roman"/>
          <w:sz w:val="24"/>
        </w:rPr>
        <w:t xml:space="preserve">На первом этапе выявлен тип организационной культуры транспортной компании г. Владивостока, занимающейся грузоперевозками. Результаты диагностики по методике Г. Хофстеда показали, что в рассматриваемой компании существует организационная культура с низкой дистанцией власти, высокой тенденцией к избеганию неопределённостей, коллективистской культурой и с сочетанием мужественности и женственности. Это говорит о том, что хотя стиль руководства постоянен и отношения между руководством и коллективом открыты и достаточно близки, а присутствие ценностей и культуры является немаловажным фактором для сотрудников, коллектив все-таки хочет изменений и создания своей культуры и идентичности компании. </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13377E">
        <w:rPr>
          <w:rFonts w:ascii="Times New Roman" w:hAnsi="Times New Roman" w:cs="Times New Roman"/>
          <w:sz w:val="24"/>
        </w:rPr>
        <w:t xml:space="preserve">На следующем этапе выяснено, в какой области необходимо проводить эти изменения. По результатам анкетного опроса среди сотрудников транспортной компании г. Владивостока установлено, что главным образом, отмечаются проблемы с коммуникативной составляющей организационной культуры (Рисунок 1). Целеустремленная деятельность, направленная на повышение коммуникаций в коллективе, поможет повысить уровень организационной культуры в компании. Например, поскольку сотрудники транспортных компаний часто испытывают стресс на работе, а вследствие этого нервничают и проявляют меньше интереса к окружающим, необходимо создавать условия для разгрузки и отдыха. </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before="120" w:after="0" w:line="240" w:lineRule="auto"/>
        <w:ind w:firstLine="708"/>
        <w:jc w:val="both"/>
        <w:rPr>
          <w:rFonts w:ascii="Times New Roman" w:hAnsi="Times New Roman" w:cs="Times New Roman"/>
          <w:sz w:val="24"/>
        </w:rPr>
      </w:pPr>
      <w:r w:rsidRPr="0013377E">
        <w:rPr>
          <w:rFonts w:ascii="Times New Roman" w:hAnsi="Times New Roman" w:cs="Times New Roman"/>
          <w:noProof/>
          <w:sz w:val="24"/>
          <w:lang w:eastAsia="ru-RU"/>
        </w:rPr>
        <w:drawing>
          <wp:inline distT="0" distB="0" distL="0" distR="0" wp14:anchorId="10A24744" wp14:editId="3C94B386">
            <wp:extent cx="5213350" cy="2327275"/>
            <wp:effectExtent l="0" t="0" r="0" b="0"/>
            <wp:docPr id="213" name="Рисунок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2">
                      <a:extLst>
                        <a:ext uri="{28A0092B-C50C-407E-A947-70E740481C1C}">
                          <a14:useLocalDpi xmlns:a14="http://schemas.microsoft.com/office/drawing/2010/main" val="0"/>
                        </a:ext>
                      </a:extLst>
                    </a:blip>
                    <a:srcRect t="17577"/>
                    <a:stretch>
                      <a:fillRect/>
                    </a:stretch>
                  </pic:blipFill>
                  <pic:spPr bwMode="auto">
                    <a:xfrm>
                      <a:off x="0" y="0"/>
                      <a:ext cx="5213350" cy="2327275"/>
                    </a:xfrm>
                    <a:prstGeom prst="rect">
                      <a:avLst/>
                    </a:prstGeom>
                    <a:noFill/>
                    <a:ln>
                      <a:noFill/>
                    </a:ln>
                  </pic:spPr>
                </pic:pic>
              </a:graphicData>
            </a:graphic>
          </wp:inline>
        </w:drawing>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before="120" w:after="120" w:line="240" w:lineRule="auto"/>
        <w:jc w:val="center"/>
        <w:rPr>
          <w:rFonts w:ascii="Times New Roman" w:hAnsi="Times New Roman" w:cs="Times New Roman"/>
          <w:sz w:val="24"/>
        </w:rPr>
      </w:pPr>
      <w:r w:rsidRPr="0013377E">
        <w:rPr>
          <w:rFonts w:ascii="Times New Roman" w:hAnsi="Times New Roman" w:cs="Times New Roman"/>
          <w:sz w:val="24"/>
        </w:rPr>
        <w:t>Рис. 1 – Основные показатели организационной культуры транспортной компании г. Владивостока</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13377E">
        <w:rPr>
          <w:rFonts w:ascii="Times New Roman" w:hAnsi="Times New Roman" w:cs="Times New Roman"/>
          <w:sz w:val="24"/>
        </w:rPr>
        <w:t>Анализ литературы в области организационной культуры показал, что при ее создании важно соблюдать поэтапность и умеренность изменений культуры. Главное, чтобы новые элементы культуры поддерживались всеми сотрудниками компании и не шли в противоречие с существующими ценностями, в таком случае созданная организационная культура поднимет предприятие и будет процветать среди конкурентов.</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13377E">
        <w:rPr>
          <w:rFonts w:ascii="Times New Roman" w:hAnsi="Times New Roman" w:cs="Times New Roman"/>
          <w:sz w:val="24"/>
        </w:rPr>
        <w:t>При создании и внедрении мероприятий по организационной культуре транспортной компании, рекомендуется учитывать следующие условия:</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13377E">
        <w:rPr>
          <w:rFonts w:ascii="Times New Roman" w:hAnsi="Times New Roman" w:cs="Times New Roman"/>
          <w:sz w:val="24"/>
        </w:rPr>
        <w:t>- создание подробного плана всего процесса (необходимо поэтапно расписать все предстоящие изменения);</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13377E">
        <w:rPr>
          <w:rFonts w:ascii="Times New Roman" w:hAnsi="Times New Roman" w:cs="Times New Roman"/>
          <w:sz w:val="24"/>
        </w:rPr>
        <w:t>- консультация с сотрудниками и руководством (для оценки разных взглядов и учетов всех желаний);</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13377E">
        <w:rPr>
          <w:rFonts w:ascii="Times New Roman" w:hAnsi="Times New Roman" w:cs="Times New Roman"/>
          <w:sz w:val="24"/>
        </w:rPr>
        <w:t>- принятие во внимание особенности работы транспортной компании (условия и объемы нагрузки сотрудников)</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13377E">
        <w:rPr>
          <w:rFonts w:ascii="Times New Roman" w:hAnsi="Times New Roman" w:cs="Times New Roman"/>
          <w:sz w:val="24"/>
        </w:rPr>
        <w:t>- изучение примеров культур в других транспортных компаниях (примеры помогут выбрать наилучшие варианты и создать новые, подтолкнут на усовершенствование старых мероприятий и идей)</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13377E">
        <w:rPr>
          <w:rFonts w:ascii="Times New Roman" w:hAnsi="Times New Roman" w:cs="Times New Roman"/>
          <w:sz w:val="24"/>
        </w:rPr>
        <w:t>- ответственный за разработку мероприятий и планов по совершенствованию и созданию организационной культуры – сотрудник компании (человек,  работающий внутри данного коллектива, лучше видит и больше заинтересован в процветании данной компании)</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13377E">
        <w:rPr>
          <w:rFonts w:ascii="Times New Roman" w:hAnsi="Times New Roman" w:cs="Times New Roman"/>
          <w:sz w:val="24"/>
        </w:rPr>
        <w:t>Для разгрузки и сплочения коллектива рекомендуется создавать мероприятия, подходящие конкретному коллективу (Таблица 1).</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sz w:val="24"/>
        </w:rPr>
      </w:pPr>
      <w:r w:rsidRPr="0013377E">
        <w:rPr>
          <w:rFonts w:ascii="Times New Roman" w:hAnsi="Times New Roman" w:cs="Times New Roman"/>
          <w:i/>
          <w:sz w:val="24"/>
        </w:rPr>
        <w:t>Таблица 1</w:t>
      </w:r>
      <w:r w:rsidRPr="0013377E">
        <w:rPr>
          <w:rFonts w:ascii="Times New Roman" w:hAnsi="Times New Roman" w:cs="Times New Roman"/>
          <w:sz w:val="24"/>
        </w:rPr>
        <w:t xml:space="preserve"> </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ascii="Times New Roman" w:hAnsi="Times New Roman" w:cs="Times New Roman"/>
          <w:sz w:val="24"/>
        </w:rPr>
      </w:pPr>
      <w:r w:rsidRPr="0013377E">
        <w:rPr>
          <w:rFonts w:ascii="Times New Roman" w:hAnsi="Times New Roman" w:cs="Times New Roman"/>
          <w:b/>
          <w:sz w:val="24"/>
        </w:rPr>
        <w:t>Пример предлагаемых мероприятий по совершенствованию организационной культуры транспортной компании</w:t>
      </w:r>
    </w:p>
    <w:tbl>
      <w:tblPr>
        <w:tblStyle w:val="72"/>
        <w:tblW w:w="0" w:type="auto"/>
        <w:tblLook w:val="01E0" w:firstRow="1" w:lastRow="1" w:firstColumn="1" w:lastColumn="1" w:noHBand="0" w:noVBand="0"/>
      </w:tblPr>
      <w:tblGrid>
        <w:gridCol w:w="3936"/>
        <w:gridCol w:w="1984"/>
        <w:gridCol w:w="3651"/>
      </w:tblGrid>
      <w:tr w:rsidR="0013377E" w:rsidRPr="0013377E" w:rsidTr="00347EB2">
        <w:tc>
          <w:tcPr>
            <w:tcW w:w="3936" w:type="dxa"/>
          </w:tcPr>
          <w:p w:rsidR="0013377E" w:rsidRPr="0013377E" w:rsidRDefault="0013377E" w:rsidP="0013377E">
            <w:pPr>
              <w:spacing w:after="120" w:line="240" w:lineRule="auto"/>
              <w:rPr>
                <w:sz w:val="24"/>
                <w:lang w:val="fr-FR"/>
              </w:rPr>
            </w:pPr>
            <w:r w:rsidRPr="0013377E">
              <w:rPr>
                <w:sz w:val="24"/>
                <w:lang w:val="fr-FR"/>
              </w:rPr>
              <w:t>Название мероприятия</w:t>
            </w:r>
          </w:p>
        </w:tc>
        <w:tc>
          <w:tcPr>
            <w:tcW w:w="1984" w:type="dxa"/>
          </w:tcPr>
          <w:p w:rsidR="0013377E" w:rsidRPr="0013377E" w:rsidRDefault="0013377E" w:rsidP="0013377E">
            <w:pPr>
              <w:spacing w:after="120" w:line="240" w:lineRule="auto"/>
              <w:rPr>
                <w:sz w:val="24"/>
                <w:lang w:val="fr-FR"/>
              </w:rPr>
            </w:pPr>
            <w:r w:rsidRPr="0013377E">
              <w:rPr>
                <w:sz w:val="24"/>
                <w:lang w:val="fr-FR"/>
              </w:rPr>
              <w:t>Дата проведения</w:t>
            </w:r>
          </w:p>
        </w:tc>
        <w:tc>
          <w:tcPr>
            <w:tcW w:w="3651" w:type="dxa"/>
          </w:tcPr>
          <w:p w:rsidR="0013377E" w:rsidRPr="0013377E" w:rsidRDefault="0013377E" w:rsidP="0013377E">
            <w:pPr>
              <w:spacing w:after="120" w:line="240" w:lineRule="auto"/>
              <w:rPr>
                <w:sz w:val="24"/>
                <w:lang w:val="fr-FR"/>
              </w:rPr>
            </w:pPr>
            <w:r w:rsidRPr="0013377E">
              <w:rPr>
                <w:sz w:val="24"/>
                <w:lang w:val="fr-FR"/>
              </w:rPr>
              <w:t>Цель проведения</w:t>
            </w:r>
          </w:p>
        </w:tc>
      </w:tr>
      <w:tr w:rsidR="0013377E" w:rsidRPr="0013377E" w:rsidTr="00347EB2">
        <w:trPr>
          <w:trHeight w:val="497"/>
        </w:trPr>
        <w:tc>
          <w:tcPr>
            <w:tcW w:w="3936" w:type="dxa"/>
          </w:tcPr>
          <w:p w:rsidR="0013377E" w:rsidRPr="0013377E" w:rsidRDefault="0013377E" w:rsidP="0013377E">
            <w:pPr>
              <w:spacing w:after="120" w:line="240" w:lineRule="auto"/>
              <w:rPr>
                <w:sz w:val="24"/>
              </w:rPr>
            </w:pPr>
            <w:r w:rsidRPr="0013377E">
              <w:rPr>
                <w:sz w:val="24"/>
                <w:lang w:val="fr-FR"/>
              </w:rPr>
              <w:t xml:space="preserve">1. Спортивные соревнования между </w:t>
            </w:r>
            <w:r w:rsidRPr="0013377E">
              <w:rPr>
                <w:sz w:val="24"/>
              </w:rPr>
              <w:t>компаниями</w:t>
            </w:r>
          </w:p>
        </w:tc>
        <w:tc>
          <w:tcPr>
            <w:tcW w:w="1984" w:type="dxa"/>
          </w:tcPr>
          <w:p w:rsidR="0013377E" w:rsidRPr="0013377E" w:rsidRDefault="0013377E" w:rsidP="0013377E">
            <w:pPr>
              <w:spacing w:after="120" w:line="240" w:lineRule="auto"/>
              <w:rPr>
                <w:sz w:val="24"/>
              </w:rPr>
            </w:pPr>
            <w:r w:rsidRPr="0013377E">
              <w:rPr>
                <w:sz w:val="24"/>
              </w:rPr>
              <w:t>Раз в месяц</w:t>
            </w:r>
          </w:p>
        </w:tc>
        <w:tc>
          <w:tcPr>
            <w:tcW w:w="3651" w:type="dxa"/>
          </w:tcPr>
          <w:p w:rsidR="0013377E" w:rsidRPr="0013377E" w:rsidRDefault="0013377E" w:rsidP="0013377E">
            <w:pPr>
              <w:spacing w:after="120" w:line="240" w:lineRule="auto"/>
              <w:rPr>
                <w:sz w:val="24"/>
                <w:lang w:val="fr-FR"/>
              </w:rPr>
            </w:pPr>
            <w:r w:rsidRPr="0013377E">
              <w:rPr>
                <w:sz w:val="24"/>
              </w:rPr>
              <w:t>Сплочение коллектива для общей цели</w:t>
            </w:r>
          </w:p>
        </w:tc>
      </w:tr>
      <w:tr w:rsidR="0013377E" w:rsidRPr="0013377E" w:rsidTr="00347EB2">
        <w:tc>
          <w:tcPr>
            <w:tcW w:w="3936" w:type="dxa"/>
          </w:tcPr>
          <w:p w:rsidR="0013377E" w:rsidRPr="0013377E" w:rsidRDefault="0013377E" w:rsidP="0013377E">
            <w:pPr>
              <w:spacing w:after="120" w:line="240" w:lineRule="auto"/>
              <w:rPr>
                <w:sz w:val="24"/>
              </w:rPr>
            </w:pPr>
            <w:r w:rsidRPr="0013377E">
              <w:rPr>
                <w:sz w:val="24"/>
              </w:rPr>
              <w:t>2. Выезды на природу (день водителя, день рождения компании)</w:t>
            </w:r>
          </w:p>
        </w:tc>
        <w:tc>
          <w:tcPr>
            <w:tcW w:w="1984" w:type="dxa"/>
          </w:tcPr>
          <w:p w:rsidR="0013377E" w:rsidRPr="0013377E" w:rsidRDefault="0013377E" w:rsidP="0013377E">
            <w:pPr>
              <w:spacing w:after="120" w:line="240" w:lineRule="auto"/>
              <w:rPr>
                <w:sz w:val="24"/>
              </w:rPr>
            </w:pPr>
            <w:r w:rsidRPr="0013377E">
              <w:rPr>
                <w:sz w:val="24"/>
              </w:rPr>
              <w:t>Раз в полгода</w:t>
            </w:r>
          </w:p>
        </w:tc>
        <w:tc>
          <w:tcPr>
            <w:tcW w:w="3651" w:type="dxa"/>
          </w:tcPr>
          <w:p w:rsidR="0013377E" w:rsidRPr="0013377E" w:rsidRDefault="0013377E" w:rsidP="0013377E">
            <w:pPr>
              <w:spacing w:after="120" w:line="240" w:lineRule="auto"/>
              <w:rPr>
                <w:sz w:val="24"/>
              </w:rPr>
            </w:pPr>
            <w:r w:rsidRPr="0013377E">
              <w:rPr>
                <w:sz w:val="24"/>
              </w:rPr>
              <w:t>Общение и сплочение коллектива, разгрузка после трудовых будней</w:t>
            </w:r>
          </w:p>
        </w:tc>
      </w:tr>
      <w:tr w:rsidR="0013377E" w:rsidRPr="0013377E" w:rsidTr="00347EB2">
        <w:trPr>
          <w:trHeight w:val="474"/>
        </w:trPr>
        <w:tc>
          <w:tcPr>
            <w:tcW w:w="3936" w:type="dxa"/>
          </w:tcPr>
          <w:p w:rsidR="0013377E" w:rsidRPr="0013377E" w:rsidRDefault="0013377E" w:rsidP="0013377E">
            <w:pPr>
              <w:spacing w:after="120" w:line="240" w:lineRule="auto"/>
              <w:rPr>
                <w:sz w:val="24"/>
                <w:lang w:val="fr-FR"/>
              </w:rPr>
            </w:pPr>
            <w:r w:rsidRPr="0013377E">
              <w:rPr>
                <w:sz w:val="24"/>
              </w:rPr>
              <w:t>3. Тренинги</w:t>
            </w:r>
          </w:p>
        </w:tc>
        <w:tc>
          <w:tcPr>
            <w:tcW w:w="1984" w:type="dxa"/>
          </w:tcPr>
          <w:p w:rsidR="0013377E" w:rsidRPr="0013377E" w:rsidRDefault="0013377E" w:rsidP="0013377E">
            <w:pPr>
              <w:spacing w:after="120" w:line="240" w:lineRule="auto"/>
              <w:rPr>
                <w:sz w:val="24"/>
                <w:lang w:val="fr-FR"/>
              </w:rPr>
            </w:pPr>
            <w:r w:rsidRPr="0013377E">
              <w:rPr>
                <w:sz w:val="24"/>
              </w:rPr>
              <w:t>Раз в три месяца</w:t>
            </w:r>
          </w:p>
        </w:tc>
        <w:tc>
          <w:tcPr>
            <w:tcW w:w="3651" w:type="dxa"/>
          </w:tcPr>
          <w:p w:rsidR="0013377E" w:rsidRPr="0013377E" w:rsidRDefault="0013377E" w:rsidP="0013377E">
            <w:pPr>
              <w:spacing w:after="120" w:line="240" w:lineRule="auto"/>
              <w:rPr>
                <w:sz w:val="24"/>
              </w:rPr>
            </w:pPr>
            <w:r w:rsidRPr="0013377E">
              <w:rPr>
                <w:sz w:val="24"/>
              </w:rPr>
              <w:t>Получение и совершенствование новых навыков</w:t>
            </w:r>
          </w:p>
        </w:tc>
      </w:tr>
    </w:tbl>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before="240" w:after="0" w:line="240" w:lineRule="auto"/>
        <w:ind w:firstLine="709"/>
        <w:jc w:val="both"/>
        <w:rPr>
          <w:rFonts w:ascii="Times New Roman" w:hAnsi="Times New Roman" w:cs="Times New Roman"/>
          <w:sz w:val="24"/>
        </w:rPr>
      </w:pPr>
      <w:r w:rsidRPr="0013377E">
        <w:rPr>
          <w:rFonts w:ascii="Times New Roman" w:hAnsi="Times New Roman" w:cs="Times New Roman"/>
          <w:sz w:val="24"/>
        </w:rPr>
        <w:t>Данные мероприятия позволят не только отдохнуть и просто пообщаться с коллективом, но и узнать друг друга. Соревнования сплотят коллектив и создадут командный дух, выезды расслабят и снимут напряжение, а тренинги помогут все вместе закрепить и получить новые знания и навыки.</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rPr>
      </w:pPr>
      <w:r w:rsidRPr="0013377E">
        <w:rPr>
          <w:rFonts w:ascii="Times New Roman" w:hAnsi="Times New Roman" w:cs="Times New Roman"/>
          <w:sz w:val="24"/>
        </w:rPr>
        <w:t>Основными рекомендациями для создания, изменения и совершенствования организационной культуры транспортной компании будут следующие:</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13377E">
        <w:rPr>
          <w:rFonts w:ascii="Times New Roman" w:hAnsi="Times New Roman" w:cs="Times New Roman"/>
          <w:sz w:val="24"/>
        </w:rPr>
        <w:t>- вовлечение сотрудников в процесс обсуждение и формирование культуры мероприятий (выяснение ценностей и мировоззрений каждого сотрудника);</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rPr>
      </w:pPr>
      <w:r w:rsidRPr="0013377E">
        <w:rPr>
          <w:rFonts w:ascii="Times New Roman" w:hAnsi="Times New Roman" w:cs="Times New Roman"/>
          <w:sz w:val="24"/>
        </w:rPr>
        <w:t>- обсуждение промежуточных результатов формирования организационной культуры с сотрудниками (выявление плюсов и минусов преобразований в культуре);</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13377E">
        <w:rPr>
          <w:rFonts w:ascii="Times New Roman" w:hAnsi="Times New Roman" w:cs="Times New Roman"/>
          <w:sz w:val="24"/>
        </w:rPr>
        <w:t xml:space="preserve">- показ примеров организационной культуры и создание идеала (цель которую необходимо достичь всей компанией) </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13377E">
        <w:rPr>
          <w:rFonts w:ascii="Times New Roman" w:hAnsi="Times New Roman" w:cs="Times New Roman"/>
          <w:sz w:val="24"/>
        </w:rPr>
        <w:t>- поощрение инициативы сотрудников по совершенствованию организационной культуры;</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rPr>
      </w:pPr>
      <w:r w:rsidRPr="0013377E">
        <w:rPr>
          <w:rFonts w:ascii="Times New Roman" w:hAnsi="Times New Roman" w:cs="Times New Roman"/>
          <w:sz w:val="24"/>
        </w:rPr>
        <w:t xml:space="preserve">- тренинги, стажировки и обмен сотрудников с другими компаниями (дальнейшее сотрудничество с другими компаниями) </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rPr>
      </w:pPr>
      <w:r w:rsidRPr="0013377E">
        <w:rPr>
          <w:rFonts w:ascii="Times New Roman" w:hAnsi="Times New Roman" w:cs="Times New Roman"/>
          <w:sz w:val="24"/>
        </w:rPr>
        <w:t>- соревнование с другими компаниями (взаимодействие и сплочение коллектива)</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rPr>
      </w:pPr>
      <w:r w:rsidRPr="0013377E">
        <w:rPr>
          <w:rFonts w:ascii="Times New Roman" w:hAnsi="Times New Roman" w:cs="Times New Roman"/>
          <w:sz w:val="24"/>
        </w:rPr>
        <w:t>- сбор сотрудников с целью информирования по изменениям в компании и обсуждению вопросов;</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13377E">
        <w:rPr>
          <w:rFonts w:ascii="Times New Roman" w:hAnsi="Times New Roman" w:cs="Times New Roman"/>
          <w:sz w:val="24"/>
        </w:rPr>
        <w:t xml:space="preserve">- создание плана мероприятий (с учетом всех пожеланий коллектива).  </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13377E">
        <w:rPr>
          <w:rFonts w:ascii="Times New Roman" w:hAnsi="Times New Roman" w:cs="Times New Roman"/>
          <w:sz w:val="24"/>
        </w:rPr>
        <w:t xml:space="preserve">Главное, чтобы все рекомендации были направлены на взаимодействие коллектива друг с другом и руководством для формирования сплоченности всей компании, так как предприятие должно обеспечивать сотрудника желанием там работать целеустремленно и длительное время. </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13377E">
        <w:rPr>
          <w:rFonts w:ascii="Times New Roman" w:hAnsi="Times New Roman" w:cs="Times New Roman"/>
          <w:sz w:val="24"/>
        </w:rPr>
        <w:t>Культура компании содержит множество элементов, которые делают ее уникальной от других компаний, и эта же культура помогает сотрудникам сделать так, чтобы предприятие вышло вперед среди конкурентов. Культура должна представлять собой устойчивую совокупность ценностей и мировоззрений, которые будут разделяться всеми сотрудниками компании, и направлять их на достижение новых целей.</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13377E">
        <w:rPr>
          <w:rFonts w:ascii="Times New Roman" w:hAnsi="Times New Roman" w:cs="Times New Roman"/>
          <w:sz w:val="24"/>
        </w:rPr>
        <w:t>Таким образом, организационная культура является смыслом и центром любой организации и поэтому необходимо правильно создавать ее на предприятии, то есть учитывать особенности компании.</w:t>
      </w:r>
      <w:r w:rsidRPr="0013377E">
        <w:rPr>
          <w:rFonts w:cs="Times New Roman"/>
        </w:rPr>
        <w:t xml:space="preserve"> </w:t>
      </w:r>
      <w:r w:rsidRPr="0013377E">
        <w:rPr>
          <w:rFonts w:ascii="Times New Roman" w:hAnsi="Times New Roman" w:cs="Times New Roman"/>
          <w:sz w:val="24"/>
        </w:rPr>
        <w:t xml:space="preserve">Специфика транспортных предприятий состоит в том, что большинство сотрудников компании мужчины, занятые физическим и напряженным трудом и к ним необходимо находит свой подход. Для сближения коллектива и разгрузки работников от постоянного стресса необходимо внедрять организационную культуру, подходящую для данного коллектива. </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13377E">
        <w:rPr>
          <w:rFonts w:ascii="Times New Roman" w:hAnsi="Times New Roman" w:cs="Times New Roman"/>
          <w:sz w:val="24"/>
        </w:rPr>
        <w:t>Таким образом, для повышения качества труда у сотрудников основная цель каждой компании должна быть направлена на улучшение морально-психологического климата в компании, взаимодействия коллектива и снятия стресса работников. Для решения данных проблем следует организовывать мероприятия, которые будут объединять коллектив и войдут в компании как традиция.</w:t>
      </w:r>
      <w:r w:rsidRPr="0013377E">
        <w:rPr>
          <w:rFonts w:cs="Times New Roman"/>
        </w:rPr>
        <w:t xml:space="preserve"> </w:t>
      </w:r>
      <w:r w:rsidRPr="0013377E">
        <w:rPr>
          <w:rFonts w:ascii="Times New Roman" w:hAnsi="Times New Roman" w:cs="Times New Roman"/>
          <w:sz w:val="24"/>
        </w:rPr>
        <w:t>Сотрудников компании необходимо мотивировать и показать пример главных ценностей компании, а самая главная ценность – это коллектив, в котором людям комфортно находиться.</w:t>
      </w:r>
    </w:p>
    <w:p w:rsidR="0013377E" w:rsidRPr="0013377E" w:rsidRDefault="0013377E" w:rsidP="0013377E">
      <w:pPr>
        <w:pBdr>
          <w:top w:val="none" w:sz="0" w:space="0" w:color="auto"/>
          <w:left w:val="none" w:sz="0" w:space="0" w:color="auto"/>
          <w:bottom w:val="single" w:sz="12" w:space="1" w:color="auto"/>
          <w:right w:val="none" w:sz="0" w:space="0" w:color="auto"/>
          <w:between w:val="none" w:sz="0" w:space="0" w:color="auto"/>
        </w:pBdr>
        <w:spacing w:line="240" w:lineRule="auto"/>
        <w:ind w:firstLine="708"/>
        <w:jc w:val="both"/>
        <w:rPr>
          <w:rFonts w:ascii="Times New Roman" w:hAnsi="Times New Roman" w:cs="Times New Roman"/>
          <w:sz w:val="24"/>
        </w:rPr>
      </w:pPr>
      <w:r w:rsidRPr="0013377E">
        <w:rPr>
          <w:rFonts w:ascii="Times New Roman" w:hAnsi="Times New Roman" w:cs="Times New Roman"/>
          <w:sz w:val="24"/>
        </w:rPr>
        <w:t>Полученные результаты будут использованы для разработки и внедрения в организационную культуру транспортной компании г. Владивостока.</w:t>
      </w:r>
    </w:p>
    <w:p w:rsidR="0013377E" w:rsidRPr="0013377E" w:rsidRDefault="0013377E" w:rsidP="0013377E">
      <w:pPr>
        <w:pBdr>
          <w:top w:val="none" w:sz="0" w:space="0" w:color="auto"/>
          <w:left w:val="none" w:sz="0" w:space="0" w:color="auto"/>
          <w:bottom w:val="single" w:sz="12" w:space="1" w:color="auto"/>
          <w:right w:val="none" w:sz="0" w:space="0" w:color="auto"/>
          <w:between w:val="none" w:sz="0" w:space="0" w:color="auto"/>
        </w:pBdr>
        <w:spacing w:line="240" w:lineRule="auto"/>
        <w:jc w:val="both"/>
        <w:rPr>
          <w:rFonts w:ascii="Times New Roman" w:hAnsi="Times New Roman" w:cs="Times New Roman"/>
          <w:sz w:val="24"/>
        </w:rPr>
      </w:pP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rPr>
      </w:pPr>
      <w:r w:rsidRPr="0013377E">
        <w:rPr>
          <w:rFonts w:ascii="Times New Roman" w:hAnsi="Times New Roman" w:cs="Times New Roman"/>
          <w:sz w:val="24"/>
        </w:rPr>
        <w:t>1. Грошев И.В. Организационная культура: Учебник / И.В. Грошев, А.А. Краснослободцев. - М.: ЮНИТИ, 2015. - 535 c.</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rPr>
      </w:pPr>
      <w:r w:rsidRPr="0013377E">
        <w:rPr>
          <w:rFonts w:ascii="Times New Roman" w:hAnsi="Times New Roman" w:cs="Times New Roman"/>
          <w:sz w:val="24"/>
        </w:rPr>
        <w:t>3.</w:t>
      </w:r>
      <w:r w:rsidRPr="0013377E">
        <w:rPr>
          <w:rFonts w:cs="Times New Roman"/>
        </w:rPr>
        <w:t xml:space="preserve"> </w:t>
      </w:r>
      <w:r w:rsidRPr="0013377E">
        <w:rPr>
          <w:rFonts w:ascii="Times New Roman" w:hAnsi="Times New Roman" w:cs="Times New Roman"/>
          <w:sz w:val="24"/>
        </w:rPr>
        <w:t xml:space="preserve">Замедлина Е.А. Организационная культура / Е.А. Замедлина. - М.: РИОР, 2016. - 265 </w:t>
      </w:r>
      <w:r w:rsidRPr="0013377E">
        <w:rPr>
          <w:rFonts w:ascii="Times New Roman" w:hAnsi="Times New Roman" w:cs="Times New Roman"/>
          <w:sz w:val="24"/>
          <w:lang w:val="en-US"/>
        </w:rPr>
        <w:t>c</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rPr>
      </w:pPr>
      <w:r w:rsidRPr="0013377E">
        <w:rPr>
          <w:rFonts w:ascii="Times New Roman" w:hAnsi="Times New Roman" w:cs="Times New Roman"/>
          <w:sz w:val="24"/>
        </w:rPr>
        <w:t xml:space="preserve">2. Козлов В. В. Организационная культура / В.В. Козлов, Ю.Г. Одегов, В.Н. Сидорова. - М.: КноРус, 2013. - 272 </w:t>
      </w:r>
      <w:r w:rsidRPr="0013377E">
        <w:rPr>
          <w:rFonts w:ascii="Times New Roman" w:hAnsi="Times New Roman" w:cs="Times New Roman"/>
          <w:sz w:val="24"/>
          <w:lang w:val="en-US"/>
        </w:rPr>
        <w:t>c</w:t>
      </w:r>
      <w:r w:rsidRPr="0013377E">
        <w:rPr>
          <w:rFonts w:ascii="Times New Roman" w:hAnsi="Times New Roman" w:cs="Times New Roman"/>
          <w:sz w:val="24"/>
        </w:rPr>
        <w:t>.</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imes New Roman" w:hAnsi="Times New Roman" w:cs="Times New Roman"/>
          <w:sz w:val="24"/>
        </w:rPr>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line="240" w:lineRule="auto"/>
        <w:ind w:left="709"/>
        <w:jc w:val="both"/>
        <w:rPr>
          <w:rFonts w:ascii="Times New Roman" w:hAnsi="Times New Roman" w:cs="Times New Roman"/>
          <w:sz w:val="24"/>
          <w:szCs w:val="24"/>
        </w:rPr>
      </w:pPr>
      <w:r w:rsidRPr="0013377E">
        <w:rPr>
          <w:rFonts w:ascii="Times New Roman" w:hAnsi="Times New Roman" w:cs="Times New Roman"/>
          <w:sz w:val="24"/>
          <w:szCs w:val="24"/>
        </w:rPr>
        <w:t>Рубрика: История</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line="240" w:lineRule="auto"/>
        <w:ind w:left="709"/>
        <w:jc w:val="both"/>
        <w:rPr>
          <w:rFonts w:ascii="Times New Roman" w:hAnsi="Times New Roman" w:cs="Times New Roman"/>
          <w:sz w:val="24"/>
          <w:szCs w:val="24"/>
        </w:rPr>
      </w:pPr>
      <w:r w:rsidRPr="0013377E">
        <w:rPr>
          <w:rFonts w:ascii="Times New Roman" w:hAnsi="Times New Roman" w:cs="Times New Roman"/>
          <w:sz w:val="24"/>
          <w:szCs w:val="24"/>
        </w:rPr>
        <w:t>УДК 371.314.6:7</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line="240" w:lineRule="auto"/>
        <w:ind w:left="709"/>
        <w:jc w:val="center"/>
        <w:rPr>
          <w:rFonts w:ascii="Times New Roman" w:hAnsi="Times New Roman" w:cs="Times New Roman"/>
          <w:b/>
          <w:sz w:val="24"/>
          <w:szCs w:val="24"/>
        </w:rPr>
      </w:pPr>
      <w:r w:rsidRPr="0013377E">
        <w:rPr>
          <w:rFonts w:ascii="Times New Roman" w:hAnsi="Times New Roman" w:cs="Times New Roman"/>
          <w:b/>
          <w:sz w:val="24"/>
          <w:szCs w:val="24"/>
        </w:rPr>
        <w:t>Организация информационно – познавательных проектов для старшеклассников в сфере искусства.</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line="240" w:lineRule="auto"/>
        <w:ind w:left="709"/>
        <w:jc w:val="both"/>
        <w:rPr>
          <w:rFonts w:ascii="Times New Roman" w:hAnsi="Times New Roman" w:cs="Times New Roman"/>
          <w:sz w:val="24"/>
          <w:szCs w:val="24"/>
        </w:rPr>
      </w:pP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left="709"/>
        <w:jc w:val="center"/>
        <w:rPr>
          <w:rFonts w:ascii="Times New Roman" w:hAnsi="Times New Roman" w:cs="Times New Roman"/>
          <w:sz w:val="24"/>
          <w:szCs w:val="24"/>
          <w:lang w:eastAsia="ru-RU"/>
        </w:rPr>
      </w:pPr>
      <w:r w:rsidRPr="0013377E">
        <w:rPr>
          <w:rFonts w:ascii="Times New Roman" w:hAnsi="Times New Roman" w:cs="Times New Roman"/>
          <w:sz w:val="24"/>
          <w:szCs w:val="24"/>
          <w:lang w:eastAsia="ru-RU"/>
        </w:rPr>
        <w:t>Черноус Константин Дмитриевич,</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left="709"/>
        <w:jc w:val="center"/>
        <w:rPr>
          <w:rFonts w:ascii="Times New Roman" w:hAnsi="Times New Roman" w:cs="Times New Roman"/>
          <w:sz w:val="24"/>
          <w:szCs w:val="24"/>
          <w:lang w:eastAsia="ru-RU"/>
        </w:rPr>
      </w:pPr>
      <w:r w:rsidRPr="0013377E">
        <w:rPr>
          <w:rFonts w:ascii="Times New Roman" w:hAnsi="Times New Roman" w:cs="Times New Roman"/>
          <w:sz w:val="24"/>
          <w:szCs w:val="24"/>
          <w:lang w:eastAsia="ru-RU"/>
        </w:rPr>
        <w:t>Бакалавр</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left="709"/>
        <w:jc w:val="center"/>
        <w:rPr>
          <w:rFonts w:ascii="Times New Roman" w:hAnsi="Times New Roman" w:cs="Times New Roman"/>
          <w:sz w:val="24"/>
          <w:szCs w:val="24"/>
          <w:lang w:eastAsia="ru-RU"/>
        </w:rPr>
      </w:pPr>
      <w:r w:rsidRPr="0013377E">
        <w:rPr>
          <w:rFonts w:ascii="Times New Roman" w:hAnsi="Times New Roman" w:cs="Times New Roman"/>
          <w:sz w:val="24"/>
          <w:szCs w:val="24"/>
          <w:lang w:val="en-US" w:eastAsia="ru-RU"/>
        </w:rPr>
        <w:t>E</w:t>
      </w:r>
      <w:r w:rsidRPr="0013377E">
        <w:rPr>
          <w:rFonts w:ascii="Times New Roman" w:hAnsi="Times New Roman" w:cs="Times New Roman"/>
          <w:sz w:val="24"/>
          <w:szCs w:val="24"/>
          <w:lang w:eastAsia="ru-RU"/>
        </w:rPr>
        <w:t>-</w:t>
      </w:r>
      <w:r w:rsidRPr="0013377E">
        <w:rPr>
          <w:rFonts w:ascii="Times New Roman" w:hAnsi="Times New Roman" w:cs="Times New Roman"/>
          <w:sz w:val="24"/>
          <w:szCs w:val="24"/>
          <w:lang w:val="en-US" w:eastAsia="ru-RU"/>
        </w:rPr>
        <w:t>mail</w:t>
      </w:r>
      <w:r w:rsidRPr="0013377E">
        <w:rPr>
          <w:rFonts w:ascii="Times New Roman" w:hAnsi="Times New Roman" w:cs="Times New Roman"/>
          <w:sz w:val="24"/>
          <w:szCs w:val="24"/>
          <w:lang w:eastAsia="ru-RU"/>
        </w:rPr>
        <w:t>:</w:t>
      </w:r>
      <w:r w:rsidRPr="0013377E">
        <w:rPr>
          <w:rFonts w:ascii="Times New Roman" w:hAnsi="Times New Roman" w:cs="Times New Roman"/>
          <w:sz w:val="24"/>
          <w:szCs w:val="24"/>
          <w:lang w:val="en-US" w:eastAsia="ru-RU"/>
        </w:rPr>
        <w:t>Kostyan</w:t>
      </w:r>
      <w:r w:rsidRPr="0013377E">
        <w:rPr>
          <w:rFonts w:ascii="Times New Roman" w:hAnsi="Times New Roman" w:cs="Times New Roman"/>
          <w:sz w:val="24"/>
          <w:szCs w:val="24"/>
          <w:lang w:eastAsia="ru-RU"/>
        </w:rPr>
        <w:t>-1990@</w:t>
      </w:r>
      <w:r w:rsidRPr="0013377E">
        <w:rPr>
          <w:rFonts w:ascii="Times New Roman" w:hAnsi="Times New Roman" w:cs="Times New Roman"/>
          <w:sz w:val="24"/>
          <w:szCs w:val="24"/>
          <w:lang w:val="en-US" w:eastAsia="ru-RU"/>
        </w:rPr>
        <w:t>list</w:t>
      </w:r>
      <w:r w:rsidRPr="0013377E">
        <w:rPr>
          <w:rFonts w:ascii="Times New Roman" w:hAnsi="Times New Roman" w:cs="Times New Roman"/>
          <w:sz w:val="24"/>
          <w:szCs w:val="24"/>
          <w:lang w:eastAsia="ru-RU"/>
        </w:rPr>
        <w:t>.</w:t>
      </w:r>
      <w:r w:rsidRPr="0013377E">
        <w:rPr>
          <w:rFonts w:ascii="Times New Roman" w:hAnsi="Times New Roman" w:cs="Times New Roman"/>
          <w:sz w:val="24"/>
          <w:szCs w:val="24"/>
          <w:lang w:val="en-US" w:eastAsia="ru-RU"/>
        </w:rPr>
        <w:t>ru</w:t>
      </w:r>
      <w:r w:rsidRPr="0013377E">
        <w:rPr>
          <w:rFonts w:ascii="Times New Roman" w:hAnsi="Times New Roman" w:cs="Times New Roman"/>
          <w:sz w:val="24"/>
          <w:szCs w:val="24"/>
          <w:lang w:eastAsia="ru-RU"/>
        </w:rPr>
        <w:t>; тел.:+79089731500</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left="709"/>
        <w:jc w:val="center"/>
        <w:rPr>
          <w:rFonts w:ascii="Times New Roman" w:hAnsi="Times New Roman" w:cs="Times New Roman"/>
          <w:sz w:val="24"/>
          <w:szCs w:val="24"/>
          <w:lang w:eastAsia="ru-RU"/>
        </w:rPr>
      </w:pPr>
      <w:r w:rsidRPr="0013377E">
        <w:rPr>
          <w:rFonts w:ascii="Times New Roman" w:hAnsi="Times New Roman" w:cs="Times New Roman"/>
          <w:sz w:val="24"/>
          <w:szCs w:val="24"/>
          <w:lang w:eastAsia="ru-RU"/>
        </w:rPr>
        <w:t>Кочеткова Ирина Степановна,</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left="709"/>
        <w:jc w:val="center"/>
        <w:rPr>
          <w:rFonts w:ascii="Times New Roman" w:hAnsi="Times New Roman" w:cs="Times New Roman"/>
          <w:sz w:val="24"/>
          <w:szCs w:val="24"/>
          <w:lang w:eastAsia="ru-RU"/>
        </w:rPr>
      </w:pPr>
      <w:r w:rsidRPr="0013377E">
        <w:rPr>
          <w:rFonts w:ascii="Times New Roman" w:hAnsi="Times New Roman" w:cs="Times New Roman"/>
          <w:sz w:val="24"/>
          <w:szCs w:val="24"/>
          <w:lang w:eastAsia="ru-RU"/>
        </w:rPr>
        <w:t>кандидат исторических наук</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left="709"/>
        <w:jc w:val="center"/>
        <w:rPr>
          <w:rFonts w:ascii="Times New Roman" w:hAnsi="Times New Roman" w:cs="Times New Roman"/>
          <w:i/>
          <w:sz w:val="24"/>
          <w:szCs w:val="24"/>
          <w:lang w:eastAsia="ru-RU"/>
        </w:rPr>
      </w:pPr>
      <w:r w:rsidRPr="0013377E">
        <w:rPr>
          <w:rFonts w:ascii="Times New Roman" w:hAnsi="Times New Roman" w:cs="Times New Roman"/>
          <w:i/>
          <w:sz w:val="24"/>
          <w:szCs w:val="24"/>
          <w:lang w:eastAsia="ru-RU"/>
        </w:rPr>
        <w:t>Владивостокский государственный университет экономики и сервиса</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left="709" w:firstLine="397"/>
        <w:jc w:val="center"/>
        <w:rPr>
          <w:rFonts w:ascii="Times New Roman" w:hAnsi="Times New Roman" w:cs="Times New Roman"/>
          <w:i/>
          <w:iCs/>
          <w:sz w:val="24"/>
          <w:szCs w:val="24"/>
        </w:rPr>
      </w:pPr>
      <w:r w:rsidRPr="0013377E">
        <w:rPr>
          <w:rFonts w:ascii="Times New Roman" w:hAnsi="Times New Roman" w:cs="Times New Roman"/>
          <w:i/>
          <w:iCs/>
          <w:sz w:val="24"/>
          <w:szCs w:val="24"/>
        </w:rPr>
        <w:t>Россия. Владивосток</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left="709"/>
        <w:jc w:val="center"/>
        <w:rPr>
          <w:rFonts w:ascii="Times New Roman" w:hAnsi="Times New Roman" w:cs="Times New Roman"/>
          <w:sz w:val="24"/>
          <w:szCs w:val="24"/>
          <w:lang w:eastAsia="ru-RU"/>
        </w:rPr>
      </w:pPr>
      <w:r w:rsidRPr="0013377E">
        <w:rPr>
          <w:rFonts w:ascii="Times New Roman" w:hAnsi="Times New Roman" w:cs="Times New Roman"/>
          <w:sz w:val="24"/>
          <w:szCs w:val="24"/>
          <w:lang w:val="en-US" w:eastAsia="ru-RU"/>
        </w:rPr>
        <w:t>E</w:t>
      </w:r>
      <w:r w:rsidRPr="0013377E">
        <w:rPr>
          <w:rFonts w:ascii="Times New Roman" w:hAnsi="Times New Roman" w:cs="Times New Roman"/>
          <w:sz w:val="24"/>
          <w:szCs w:val="24"/>
          <w:lang w:eastAsia="ru-RU"/>
        </w:rPr>
        <w:t>-</w:t>
      </w:r>
      <w:r w:rsidRPr="0013377E">
        <w:rPr>
          <w:rFonts w:ascii="Times New Roman" w:hAnsi="Times New Roman" w:cs="Times New Roman"/>
          <w:sz w:val="24"/>
          <w:szCs w:val="24"/>
          <w:lang w:val="en-US" w:eastAsia="ru-RU"/>
        </w:rPr>
        <w:t>mail</w:t>
      </w:r>
      <w:r w:rsidRPr="0013377E">
        <w:rPr>
          <w:rFonts w:ascii="Times New Roman" w:hAnsi="Times New Roman" w:cs="Times New Roman"/>
          <w:sz w:val="24"/>
          <w:szCs w:val="24"/>
          <w:lang w:eastAsia="ru-RU"/>
        </w:rPr>
        <w:t xml:space="preserve">: </w:t>
      </w:r>
      <w:r w:rsidRPr="0013377E">
        <w:rPr>
          <w:rFonts w:ascii="Times New Roman" w:hAnsi="Times New Roman" w:cs="Times New Roman"/>
          <w:sz w:val="24"/>
          <w:szCs w:val="24"/>
          <w:lang w:val="en-US" w:eastAsia="ru-RU"/>
        </w:rPr>
        <w:t>irina</w:t>
      </w:r>
      <w:r w:rsidRPr="0013377E">
        <w:rPr>
          <w:rFonts w:ascii="Times New Roman" w:hAnsi="Times New Roman" w:cs="Times New Roman"/>
          <w:sz w:val="24"/>
          <w:szCs w:val="24"/>
          <w:lang w:eastAsia="ru-RU"/>
        </w:rPr>
        <w:t>.</w:t>
      </w:r>
      <w:r w:rsidRPr="0013377E">
        <w:rPr>
          <w:rFonts w:ascii="Times New Roman" w:hAnsi="Times New Roman" w:cs="Times New Roman"/>
          <w:sz w:val="24"/>
          <w:szCs w:val="24"/>
          <w:lang w:val="en-US" w:eastAsia="ru-RU"/>
        </w:rPr>
        <w:t>kochetkova</w:t>
      </w:r>
      <w:r w:rsidRPr="0013377E">
        <w:rPr>
          <w:rFonts w:ascii="Times New Roman" w:hAnsi="Times New Roman" w:cs="Times New Roman"/>
          <w:sz w:val="24"/>
          <w:szCs w:val="24"/>
          <w:lang w:eastAsia="ru-RU"/>
        </w:rPr>
        <w:t>@</w:t>
      </w:r>
      <w:r w:rsidRPr="0013377E">
        <w:rPr>
          <w:rFonts w:ascii="Times New Roman" w:hAnsi="Times New Roman" w:cs="Times New Roman"/>
          <w:sz w:val="24"/>
          <w:szCs w:val="24"/>
          <w:lang w:val="en-US" w:eastAsia="ru-RU"/>
        </w:rPr>
        <w:t>vvsu</w:t>
      </w:r>
      <w:r w:rsidRPr="0013377E">
        <w:rPr>
          <w:rFonts w:ascii="Times New Roman" w:hAnsi="Times New Roman" w:cs="Times New Roman"/>
          <w:sz w:val="24"/>
          <w:szCs w:val="24"/>
          <w:lang w:eastAsia="ru-RU"/>
        </w:rPr>
        <w:t>.</w:t>
      </w:r>
      <w:r w:rsidRPr="0013377E">
        <w:rPr>
          <w:rFonts w:ascii="Times New Roman" w:hAnsi="Times New Roman" w:cs="Times New Roman"/>
          <w:sz w:val="24"/>
          <w:szCs w:val="24"/>
          <w:lang w:val="en-US" w:eastAsia="ru-RU"/>
        </w:rPr>
        <w:t>ru</w:t>
      </w:r>
      <w:r w:rsidRPr="0013377E">
        <w:rPr>
          <w:rFonts w:ascii="Times New Roman" w:hAnsi="Times New Roman" w:cs="Times New Roman"/>
          <w:sz w:val="24"/>
          <w:szCs w:val="24"/>
          <w:lang w:eastAsia="ru-RU"/>
        </w:rPr>
        <w:t>; тел.: +79149643642</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left="709" w:firstLine="397"/>
        <w:jc w:val="center"/>
        <w:rPr>
          <w:rFonts w:ascii="Times New Roman" w:hAnsi="Times New Roman" w:cs="Times New Roman"/>
          <w:sz w:val="24"/>
          <w:szCs w:val="24"/>
        </w:rPr>
      </w:pPr>
      <w:r w:rsidRPr="0013377E">
        <w:rPr>
          <w:rFonts w:ascii="Times New Roman" w:hAnsi="Times New Roman" w:cs="Times New Roman"/>
          <w:iCs/>
          <w:sz w:val="24"/>
          <w:szCs w:val="24"/>
        </w:rPr>
        <w:t>ул. Гоголя, 41, г. Владивосток, Приморский край, Россия, 690014</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left="709" w:firstLine="397"/>
        <w:jc w:val="center"/>
        <w:rPr>
          <w:rFonts w:ascii="Times New Roman" w:hAnsi="Times New Roman" w:cs="Times New Roman"/>
          <w:i/>
          <w:sz w:val="24"/>
          <w:szCs w:val="24"/>
        </w:rPr>
      </w:pP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i/>
          <w:iCs/>
          <w:sz w:val="24"/>
          <w:szCs w:val="24"/>
          <w:lang w:eastAsia="ru-RU"/>
        </w:rPr>
      </w:pPr>
      <w:r w:rsidRPr="0013377E">
        <w:rPr>
          <w:rFonts w:ascii="Times New Roman" w:hAnsi="Times New Roman" w:cs="Times New Roman"/>
          <w:i/>
          <w:sz w:val="24"/>
          <w:szCs w:val="24"/>
          <w:lang w:eastAsia="ru-RU"/>
        </w:rPr>
        <w:t>В статье рассматриваются вопросы, связанные с процессами социализации и инкультурации выпускников средней школы в социуме, как условия процесса идентификации, развития морально-нравственных, интеллектуальных аспектов личности</w:t>
      </w:r>
      <w:r w:rsidRPr="0013377E">
        <w:rPr>
          <w:rFonts w:ascii="Times New Roman" w:hAnsi="Times New Roman" w:cs="Times New Roman"/>
          <w:i/>
          <w:iCs/>
          <w:sz w:val="24"/>
          <w:szCs w:val="24"/>
          <w:lang w:eastAsia="ru-RU"/>
        </w:rPr>
        <w:t>.</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i/>
          <w:iCs/>
          <w:sz w:val="24"/>
          <w:szCs w:val="24"/>
          <w:lang w:eastAsia="ru-RU"/>
        </w:rPr>
      </w:pP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bCs/>
          <w:i/>
          <w:sz w:val="24"/>
          <w:szCs w:val="24"/>
        </w:rPr>
      </w:pPr>
      <w:r w:rsidRPr="0013377E">
        <w:rPr>
          <w:rFonts w:ascii="Times New Roman" w:hAnsi="Times New Roman" w:cs="Times New Roman"/>
          <w:b/>
          <w:bCs/>
          <w:i/>
          <w:sz w:val="24"/>
          <w:szCs w:val="24"/>
        </w:rPr>
        <w:t xml:space="preserve">Ключевые слова и словосочетания: </w:t>
      </w:r>
      <w:r w:rsidRPr="0013377E">
        <w:rPr>
          <w:rFonts w:ascii="Times New Roman" w:hAnsi="Times New Roman" w:cs="Times New Roman"/>
          <w:bCs/>
          <w:i/>
          <w:sz w:val="24"/>
          <w:szCs w:val="24"/>
        </w:rPr>
        <w:t>культура, искусство,</w:t>
      </w:r>
      <w:r w:rsidRPr="0013377E">
        <w:rPr>
          <w:rFonts w:ascii="Times New Roman" w:hAnsi="Times New Roman" w:cs="Times New Roman"/>
          <w:b/>
          <w:bCs/>
          <w:i/>
          <w:sz w:val="24"/>
          <w:szCs w:val="24"/>
        </w:rPr>
        <w:t xml:space="preserve"> </w:t>
      </w:r>
      <w:r w:rsidRPr="0013377E">
        <w:rPr>
          <w:rFonts w:ascii="Times New Roman" w:hAnsi="Times New Roman" w:cs="Times New Roman"/>
          <w:bCs/>
          <w:i/>
          <w:sz w:val="24"/>
          <w:szCs w:val="24"/>
        </w:rPr>
        <w:t>социализация, социокультурное проектирование, аксиологическая функция искусства.</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bCs/>
          <w:i/>
          <w:sz w:val="24"/>
          <w:szCs w:val="24"/>
        </w:rPr>
      </w:pP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b/>
          <w:bCs/>
          <w:i/>
          <w:sz w:val="24"/>
          <w:szCs w:val="24"/>
          <w:lang w:val="en-US"/>
        </w:rPr>
      </w:pPr>
      <w:r w:rsidRPr="0013377E">
        <w:rPr>
          <w:rFonts w:ascii="Times New Roman" w:hAnsi="Times New Roman" w:cs="Times New Roman"/>
          <w:b/>
          <w:i/>
          <w:sz w:val="24"/>
          <w:szCs w:val="24"/>
          <w:lang w:val="en"/>
        </w:rPr>
        <w:t>Organization of information and cognitive projects for high school students in the field of art.</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i/>
          <w:sz w:val="24"/>
          <w:szCs w:val="24"/>
          <w:lang w:val="en-US"/>
        </w:rPr>
      </w:pP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CYR" w:hAnsi="Times New Roman CYR" w:cs="Times New Roman CYR"/>
          <w:i/>
          <w:color w:val="212121"/>
          <w:sz w:val="24"/>
          <w:szCs w:val="24"/>
          <w:lang w:val="en-US" w:eastAsia="ru-RU"/>
        </w:rPr>
      </w:pPr>
      <w:r w:rsidRPr="0013377E">
        <w:rPr>
          <w:rFonts w:ascii="Times New Roman CYR" w:hAnsi="Times New Roman CYR" w:cs="Times New Roman CYR"/>
          <w:i/>
          <w:color w:val="212121"/>
          <w:sz w:val="24"/>
          <w:szCs w:val="24"/>
          <w:lang w:val="en" w:eastAsia="ru-RU"/>
        </w:rPr>
        <w:t>The article deals with issues related to the processes of socialization and inculturation of high school graduates in society, as conditions of the process of identification, development of moral, moral, intellectual aspects of the individual.</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left="709" w:firstLine="284"/>
        <w:jc w:val="both"/>
        <w:rPr>
          <w:rFonts w:ascii="Times New Roman CYR" w:hAnsi="Times New Roman CYR" w:cs="Times New Roman CYR"/>
          <w:b/>
          <w:bCs/>
          <w:i/>
          <w:sz w:val="24"/>
          <w:szCs w:val="24"/>
          <w:lang w:val="en-US"/>
        </w:rPr>
      </w:pP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CYR" w:hAnsi="Times New Roman CYR" w:cs="Times New Roman CYR"/>
          <w:i/>
          <w:color w:val="212121"/>
          <w:sz w:val="24"/>
          <w:szCs w:val="24"/>
          <w:lang w:val="en-US" w:eastAsia="ru-RU"/>
        </w:rPr>
      </w:pPr>
      <w:r w:rsidRPr="0013377E">
        <w:rPr>
          <w:rFonts w:ascii="Times New Roman CYR" w:hAnsi="Times New Roman CYR" w:cs="Times New Roman CYR"/>
          <w:b/>
          <w:i/>
          <w:sz w:val="24"/>
          <w:szCs w:val="24"/>
          <w:lang w:val="en-US" w:eastAsia="ru-RU"/>
        </w:rPr>
        <w:t>Keywords:</w:t>
      </w:r>
      <w:r w:rsidRPr="0013377E">
        <w:rPr>
          <w:rFonts w:ascii="Times New Roman CYR" w:hAnsi="Times New Roman CYR" w:cs="Times New Roman CYR"/>
          <w:i/>
          <w:sz w:val="24"/>
          <w:szCs w:val="24"/>
          <w:lang w:val="en-US" w:eastAsia="ru-RU"/>
        </w:rPr>
        <w:t xml:space="preserve"> </w:t>
      </w:r>
      <w:r w:rsidRPr="0013377E">
        <w:rPr>
          <w:rFonts w:ascii="Times New Roman CYR" w:hAnsi="Times New Roman CYR" w:cs="Times New Roman CYR"/>
          <w:i/>
          <w:color w:val="212121"/>
          <w:sz w:val="24"/>
          <w:szCs w:val="24"/>
          <w:lang w:val="en" w:eastAsia="ru-RU"/>
        </w:rPr>
        <w:t>culture, art, socialization, socio-cultural design, axiological function of art.</w:t>
      </w:r>
    </w:p>
    <w:p w:rsidR="0013377E" w:rsidRPr="0013377E" w:rsidRDefault="0013377E" w:rsidP="0013377E">
      <w:pPr>
        <w:widowControl w:val="0"/>
        <w:pBdr>
          <w:top w:val="none" w:sz="0" w:space="0" w:color="auto"/>
          <w:left w:val="none" w:sz="0" w:space="0" w:color="auto"/>
          <w:bottom w:val="none" w:sz="0" w:space="0" w:color="auto"/>
          <w:right w:val="none" w:sz="0" w:space="0" w:color="auto"/>
          <w:between w:val="none" w:sz="0" w:space="0" w:color="auto"/>
        </w:pBdr>
        <w:tabs>
          <w:tab w:val="left" w:pos="1080"/>
        </w:tabs>
        <w:spacing w:after="0" w:line="240" w:lineRule="auto"/>
        <w:ind w:left="709" w:firstLine="284"/>
        <w:jc w:val="both"/>
        <w:rPr>
          <w:rFonts w:ascii="Times New Roman" w:hAnsi="Times New Roman" w:cs="Times New Roman"/>
          <w:b/>
          <w:bCs/>
          <w:color w:val="FF0000"/>
          <w:sz w:val="24"/>
          <w:szCs w:val="24"/>
          <w:lang w:val="en-US"/>
        </w:rPr>
      </w:pP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tabs>
          <w:tab w:val="left" w:pos="709"/>
        </w:tabs>
        <w:spacing w:after="0" w:line="240" w:lineRule="auto"/>
        <w:ind w:firstLine="709"/>
        <w:jc w:val="both"/>
        <w:rPr>
          <w:rFonts w:ascii="Times New Roman CYR" w:hAnsi="Times New Roman CYR" w:cs="Times New Roman CYR"/>
          <w:color w:val="000000"/>
          <w:sz w:val="24"/>
          <w:szCs w:val="24"/>
        </w:rPr>
      </w:pPr>
      <w:r w:rsidRPr="0013377E">
        <w:rPr>
          <w:rFonts w:ascii="Times New Roman CYR" w:hAnsi="Times New Roman CYR" w:cs="Times New Roman CYR"/>
          <w:color w:val="000000"/>
          <w:sz w:val="24"/>
          <w:szCs w:val="24"/>
        </w:rPr>
        <w:t>Механизмы освоения человеком культурной среды в процессе восприятия культурных ценностей формируются и изменяются в течении всей жизни.</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CYR" w:hAnsi="Times New Roman CYR" w:cs="Times New Roman CYR"/>
          <w:color w:val="000000"/>
          <w:sz w:val="24"/>
          <w:szCs w:val="24"/>
        </w:rPr>
      </w:pPr>
      <w:r w:rsidRPr="0013377E">
        <w:rPr>
          <w:rFonts w:ascii="Times New Roman CYR" w:hAnsi="Times New Roman CYR" w:cs="Times New Roman CYR"/>
          <w:color w:val="000000"/>
          <w:sz w:val="24"/>
          <w:szCs w:val="24"/>
        </w:rPr>
        <w:t xml:space="preserve">Именно культура задает жизненные ценности и идеалы, определяет социальные ориентиры и стандарты поведения, обеспечивает индивидуальное самоопределение личности и социальный контроль, способствует общественному согласию и консолидации человеческих сообществ [1, С.9]. </w:t>
      </w:r>
      <w:r w:rsidRPr="0013377E">
        <w:rPr>
          <w:rFonts w:ascii="Times New Roman CYR" w:hAnsi="Times New Roman CYR" w:cs="Times New Roman CYR"/>
          <w:color w:val="000000"/>
          <w:sz w:val="24"/>
          <w:szCs w:val="24"/>
          <w:lang w:eastAsia="ru-RU"/>
        </w:rPr>
        <w:t>В ситуации социальной трансформации общества искусство может аккумулировать и транслировать общезначимые ценности.</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firstLine="709"/>
        <w:jc w:val="both"/>
        <w:rPr>
          <w:rFonts w:ascii="Times New Roman CYR" w:hAnsi="Times New Roman CYR" w:cs="Times New Roman CYR"/>
          <w:color w:val="000000"/>
          <w:sz w:val="24"/>
          <w:szCs w:val="24"/>
        </w:rPr>
      </w:pPr>
      <w:r w:rsidRPr="0013377E">
        <w:rPr>
          <w:rFonts w:ascii="Times New Roman CYR" w:hAnsi="Times New Roman CYR" w:cs="Times New Roman CYR"/>
          <w:color w:val="000000"/>
          <w:sz w:val="24"/>
          <w:szCs w:val="24"/>
        </w:rPr>
        <w:t>Аксиологическая функция культуры выражает общезначимые ценности, осуществляет ценностно-смысловое наполнение исторического процесса в его отдельных периодах. [2,С.128]. Одним из механизмов освоения культурной среды выступают интерактивные формы образовательной деятельности, а именно информационно – познавательные проекты для старшеклассников в сфере искусства.</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CYR" w:hAnsi="Times New Roman CYR" w:cs="Times New Roman CYR"/>
          <w:color w:val="000000"/>
          <w:sz w:val="24"/>
          <w:szCs w:val="24"/>
        </w:rPr>
      </w:pPr>
      <w:r w:rsidRPr="0013377E">
        <w:rPr>
          <w:rFonts w:ascii="Times New Roman CYR" w:hAnsi="Times New Roman CYR" w:cs="Times New Roman CYR"/>
          <w:color w:val="000000"/>
          <w:sz w:val="24"/>
          <w:szCs w:val="24"/>
        </w:rPr>
        <w:t>Проективная (проектная) деятельность относится к разряду инновационной, творческой деятельности, так как она строится на базе соответствующей технологии, которую можно унифицировать, освоить и усовершенствовать. Технология социокультурного проектирования предполагает определенную мировоззренческую установку проектировщика, его самоопределение по отношению к объекту проектной деятельности [3, С.199]. Оптимизация культурной жизни, и особенно на региональном уровне, предполагает востребованность историко-культурных ценностей, включенность их в контекст современных культурных процессов.</w:t>
      </w:r>
      <w:r w:rsidRPr="0013377E">
        <w:rPr>
          <w:rFonts w:ascii="Times New Roman CYR" w:hAnsi="Times New Roman CYR" w:cs="Times New Roman CYR"/>
          <w:b/>
          <w:bCs/>
          <w:color w:val="000000"/>
          <w:sz w:val="24"/>
          <w:szCs w:val="24"/>
        </w:rPr>
        <w:t xml:space="preserve"> </w:t>
      </w:r>
      <w:r w:rsidRPr="0013377E">
        <w:rPr>
          <w:rFonts w:ascii="Times New Roman CYR" w:hAnsi="Times New Roman CYR" w:cs="Times New Roman CYR"/>
          <w:color w:val="000000"/>
          <w:sz w:val="24"/>
          <w:szCs w:val="24"/>
        </w:rPr>
        <w:t>Приоритетными задачами социокультурного проектирования в этой связи следует рассматривать деятельность, направленную на формирование у каждого участника картины мира, объединяющей различные и порой разнонаправленные образы, понятия в единый глобальный образ, имеющий как общие черты для данной общности людей, так и индивидуальные особенности. В формировании картины мира искусству принадлежит особая роль. В информационном аспекте любое произведение искусства служит для передачи информации – семантической, эстетической, прагматической, которая отражает многообразие, соответствующее критериям нравственности и гуманизма, отражая специфику жизнедеятельности российского общества в разные периоды истории.</w:t>
      </w:r>
      <w:r w:rsidRPr="0013377E">
        <w:rPr>
          <w:rFonts w:ascii="Times New Roman CYR" w:hAnsi="Times New Roman CYR" w:cs="Times New Roman CYR"/>
          <w:b/>
          <w:bCs/>
          <w:color w:val="000000"/>
          <w:sz w:val="24"/>
          <w:szCs w:val="24"/>
        </w:rPr>
        <w:t xml:space="preserve"> </w:t>
      </w:r>
      <w:r w:rsidRPr="0013377E">
        <w:rPr>
          <w:rFonts w:ascii="Times New Roman CYR" w:hAnsi="Times New Roman CYR" w:cs="Times New Roman CYR"/>
          <w:color w:val="000000"/>
          <w:sz w:val="24"/>
          <w:szCs w:val="24"/>
        </w:rPr>
        <w:t xml:space="preserve">Культуру при этом необходимо рассматривать как самоценную сущность, то есть материальную и духовную среду обитания человека, условие его развития и самореализации. Проектное мышление в данном случае предполагает понимание культуры как целостного объекта, подлежащего сохранению, и ориентируется на социокультурное проектирование, которое заключается в разработке условий, способствующих саморазвитию социально-культурного субъекта (личности, коллектива класса) посредством интерактивных действий. </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CYR" w:hAnsi="Times New Roman CYR" w:cs="Times New Roman CYR"/>
          <w:color w:val="000000"/>
          <w:sz w:val="24"/>
          <w:szCs w:val="24"/>
        </w:rPr>
      </w:pPr>
      <w:r w:rsidRPr="0013377E">
        <w:rPr>
          <w:rFonts w:ascii="Times New Roman CYR" w:hAnsi="Times New Roman CYR" w:cs="Times New Roman CYR"/>
          <w:color w:val="000000"/>
          <w:sz w:val="24"/>
          <w:szCs w:val="24"/>
        </w:rPr>
        <w:t>Ведущей целевой установкой является создание проекта, способствующего реализации аксиологического потенциала социально-культурной деятельности, как ресурса оптимизации духовно-нравственного воспитания личности.</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CYR" w:hAnsi="Times New Roman CYR" w:cs="Times New Roman CYR"/>
          <w:color w:val="000000"/>
          <w:sz w:val="24"/>
          <w:szCs w:val="24"/>
          <w:lang w:eastAsia="ru-RU"/>
        </w:rPr>
      </w:pPr>
      <w:r w:rsidRPr="0013377E">
        <w:rPr>
          <w:rFonts w:ascii="Times New Roman CYR" w:hAnsi="Times New Roman CYR" w:cs="Times New Roman CYR"/>
          <w:color w:val="000000"/>
          <w:sz w:val="24"/>
          <w:szCs w:val="24"/>
          <w:lang w:eastAsia="ru-RU"/>
        </w:rPr>
        <w:t xml:space="preserve">Задачей исследования является выполнение теоретического обоснования, а также разработка и проведение информационно-познавательного проекта для старшеклассников «Вехи исторической памяти». </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CYR" w:hAnsi="Times New Roman CYR" w:cs="Times New Roman CYR"/>
          <w:color w:val="000000"/>
          <w:sz w:val="24"/>
          <w:szCs w:val="24"/>
        </w:rPr>
      </w:pPr>
      <w:r w:rsidRPr="0013377E">
        <w:rPr>
          <w:rFonts w:ascii="Times New Roman CYR" w:hAnsi="Times New Roman CYR" w:cs="Times New Roman CYR"/>
          <w:color w:val="000000"/>
          <w:sz w:val="24"/>
          <w:szCs w:val="24"/>
        </w:rPr>
        <w:t>Методологией исследования выступает личностно - деятельностный подход, когда старшеклассник играет роль активного, творческого субъекта деятельности. Подобный подход предполагает</w:t>
      </w:r>
      <w:r w:rsidRPr="0013377E">
        <w:rPr>
          <w:rFonts w:ascii="Times New Roman CYR" w:hAnsi="Times New Roman CYR" w:cs="Times New Roman CYR"/>
          <w:b/>
          <w:bCs/>
          <w:color w:val="000000"/>
          <w:sz w:val="24"/>
          <w:szCs w:val="24"/>
        </w:rPr>
        <w:t xml:space="preserve"> </w:t>
      </w:r>
      <w:r w:rsidRPr="0013377E">
        <w:rPr>
          <w:rFonts w:ascii="Times New Roman CYR" w:hAnsi="Times New Roman CYR" w:cs="Times New Roman CYR"/>
          <w:color w:val="000000"/>
          <w:sz w:val="24"/>
          <w:szCs w:val="24"/>
        </w:rPr>
        <w:t xml:space="preserve">опору на имеющиеся знания учащихся, полученные при изучении таких школьных предметов, как «История Отечества», «Мировая художественная культура». Еще одним условием применения личностно - деятельностного подхода является опора на морально-этические установки и нравственные ценности, сформированные на данном уровне образования. Учащиеся старших классов рассматриваются не только как субъект социально-культурной деятельности, но и важнейший ресурс развития общества, реализация которого определяется совокупными условиями духовно-нравственного развития личности. </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CYR" w:hAnsi="Times New Roman CYR" w:cs="Times New Roman CYR"/>
          <w:color w:val="000000"/>
          <w:sz w:val="24"/>
          <w:szCs w:val="24"/>
          <w:lang w:eastAsia="ru-RU"/>
        </w:rPr>
      </w:pPr>
      <w:r w:rsidRPr="0013377E">
        <w:rPr>
          <w:rFonts w:ascii="Times New Roman CYR" w:hAnsi="Times New Roman CYR" w:cs="Times New Roman CYR"/>
          <w:bCs/>
          <w:color w:val="000000"/>
          <w:sz w:val="24"/>
          <w:szCs w:val="24"/>
          <w:lang w:eastAsia="ru-RU"/>
        </w:rPr>
        <w:t>Проектные технологии в сфере культуры н</w:t>
      </w:r>
      <w:r w:rsidRPr="0013377E">
        <w:rPr>
          <w:rFonts w:ascii="Times New Roman CYR" w:hAnsi="Times New Roman CYR" w:cs="Times New Roman CYR"/>
          <w:color w:val="000000"/>
          <w:sz w:val="24"/>
          <w:szCs w:val="24"/>
          <w:lang w:eastAsia="ru-RU"/>
        </w:rPr>
        <w:t xml:space="preserve">аправлены на формирование </w:t>
      </w:r>
      <w:r w:rsidRPr="0013377E">
        <w:rPr>
          <w:rFonts w:ascii="Times New Roman CYR" w:hAnsi="Times New Roman CYR" w:cs="Times New Roman CYR"/>
          <w:bCs/>
          <w:color w:val="000000"/>
          <w:sz w:val="24"/>
          <w:szCs w:val="24"/>
          <w:lang w:eastAsia="ru-RU"/>
        </w:rPr>
        <w:t xml:space="preserve">социального опыта </w:t>
      </w:r>
      <w:r w:rsidRPr="0013377E">
        <w:rPr>
          <w:rFonts w:ascii="Times New Roman CYR" w:hAnsi="Times New Roman CYR" w:cs="Times New Roman CYR"/>
          <w:color w:val="000000"/>
          <w:sz w:val="24"/>
          <w:szCs w:val="24"/>
          <w:lang w:eastAsia="ru-RU"/>
        </w:rPr>
        <w:t>- когда в процессе какой – либо реальной совместной деятельности людей, в данном случае старшеклассников, происходит аккумулирование ценностных ориентаций, принятых в данном обществе</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CYR" w:hAnsi="Times New Roman CYR" w:cs="Times New Roman CYR"/>
          <w:color w:val="000000"/>
          <w:sz w:val="24"/>
          <w:szCs w:val="24"/>
          <w:lang w:eastAsia="ru-RU"/>
        </w:rPr>
      </w:pPr>
      <w:r w:rsidRPr="0013377E">
        <w:rPr>
          <w:rFonts w:ascii="Times New Roman CYR" w:hAnsi="Times New Roman CYR" w:cs="Times New Roman CYR"/>
          <w:color w:val="000000"/>
          <w:sz w:val="24"/>
          <w:szCs w:val="24"/>
          <w:lang w:eastAsia="ru-RU"/>
        </w:rPr>
        <w:t>Проект – это единичная (одноразовый проект) или повторяющаяся (типовой проект) деятельность или совокупность действий, в результате которых за определенное время достигаются четко поставленные цели.</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CYR" w:hAnsi="Times New Roman CYR" w:cs="Times New Roman CYR"/>
          <w:color w:val="000000"/>
          <w:sz w:val="24"/>
          <w:szCs w:val="24"/>
          <w:lang w:eastAsia="ru-RU"/>
        </w:rPr>
      </w:pPr>
      <w:r w:rsidRPr="0013377E">
        <w:rPr>
          <w:rFonts w:ascii="Times New Roman CYR" w:hAnsi="Times New Roman CYR" w:cs="Times New Roman CYR"/>
          <w:color w:val="000000"/>
          <w:sz w:val="24"/>
          <w:szCs w:val="24"/>
          <w:lang w:eastAsia="ru-RU"/>
        </w:rPr>
        <w:t>Отличительные черты проекта: уникальный замысел; инновационный подход; междисциплинарный характер; ограничения по срокам, бюджету.</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CYR" w:hAnsi="Times New Roman CYR" w:cs="Times New Roman CYR"/>
          <w:color w:val="000000"/>
          <w:sz w:val="24"/>
          <w:szCs w:val="24"/>
          <w:lang w:eastAsia="ru-RU"/>
        </w:rPr>
      </w:pPr>
      <w:r w:rsidRPr="0013377E">
        <w:rPr>
          <w:rFonts w:ascii="Times New Roman CYR" w:hAnsi="Times New Roman CYR" w:cs="Times New Roman CYR"/>
          <w:color w:val="000000"/>
          <w:sz w:val="24"/>
          <w:szCs w:val="24"/>
        </w:rPr>
        <w:t>Реализация проекта осуществлялась в несколько этапов:</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CYR" w:hAnsi="Times New Roman CYR" w:cs="Times New Roman CYR"/>
          <w:color w:val="000000"/>
          <w:sz w:val="24"/>
          <w:szCs w:val="24"/>
          <w:lang w:eastAsia="ru-RU"/>
        </w:rPr>
      </w:pPr>
      <w:r w:rsidRPr="0013377E">
        <w:rPr>
          <w:rFonts w:ascii="Times New Roman CYR" w:hAnsi="Times New Roman CYR" w:cs="Times New Roman CYR"/>
          <w:color w:val="000000"/>
          <w:sz w:val="24"/>
          <w:szCs w:val="24"/>
          <w:lang w:val="en-US" w:eastAsia="ru-RU"/>
        </w:rPr>
        <w:t>I</w:t>
      </w:r>
      <w:r w:rsidRPr="0013377E">
        <w:rPr>
          <w:rFonts w:ascii="Times New Roman CYR" w:hAnsi="Times New Roman CYR" w:cs="Times New Roman CYR"/>
          <w:color w:val="000000"/>
          <w:sz w:val="24"/>
          <w:szCs w:val="24"/>
          <w:lang w:eastAsia="ru-RU"/>
        </w:rPr>
        <w:t xml:space="preserve"> этап.  На первом этапе решались задачи организационного блока: определение возрастной группы; выбор формы, сроков реализации проекта. В качестве возрастной группы была выбрана группа одиннадцатиклассников лицея ВГУЭС. Мероприятие проводилось в форме квеста. Игра проходила в течение 4 часов. Квест - это приключение, во время которого участникам нужно пройти череду препятствий для достижения какой-либо цели, изначально существовавшее в среде компьютерных игр. Новым направлением развития данной индустрии стали городские квесты, предполагающие интерактивную игру, проходящую на территории города, в данном случае это места, связанные с историческим прошлым Владивостока. [4]</w:t>
      </w:r>
    </w:p>
    <w:p w:rsidR="0013377E" w:rsidRDefault="0013377E" w:rsidP="0013377E">
      <w:pPr>
        <w:pStyle w:val="afb"/>
        <w:rPr>
          <w:rFonts w:ascii="Times New Roman CYR" w:eastAsia="Times New Roman" w:hAnsi="Times New Roman CYR" w:cs="Times New Roman CYR"/>
          <w:color w:val="000000"/>
          <w:sz w:val="22"/>
          <w:szCs w:val="22"/>
          <w:lang w:eastAsia="en-US"/>
        </w:rPr>
      </w:pPr>
      <w:r w:rsidRPr="0013377E">
        <w:rPr>
          <w:rFonts w:ascii="Times New Roman CYR" w:eastAsia="Times New Roman" w:hAnsi="Times New Roman CYR" w:cs="Times New Roman CYR"/>
          <w:color w:val="000000"/>
          <w:sz w:val="22"/>
          <w:szCs w:val="22"/>
          <w:lang w:val="en-US" w:eastAsia="en-US"/>
        </w:rPr>
        <w:t>II</w:t>
      </w:r>
      <w:r w:rsidRPr="0013377E">
        <w:rPr>
          <w:rFonts w:ascii="Times New Roman CYR" w:eastAsia="Times New Roman" w:hAnsi="Times New Roman CYR" w:cs="Times New Roman CYR"/>
          <w:color w:val="000000"/>
          <w:sz w:val="22"/>
          <w:szCs w:val="22"/>
          <w:lang w:eastAsia="en-US"/>
        </w:rPr>
        <w:t xml:space="preserve"> этап. Второй этап представлял собой решение задач мотивационно-целевого блока: создание психологических условий, влияющих на степень активности и вовлеченности участников в процесс решения предложенных заданий. Чтобы организовать ребят на эту игру потребовалось договориться о встрече с ними, в ходе которой было рассказано о пользе такого рода мероприятий: новый</w:t>
      </w:r>
      <w:r>
        <w:rPr>
          <w:rFonts w:ascii="Times New Roman CYR" w:eastAsia="Times New Roman" w:hAnsi="Times New Roman CYR" w:cs="Times New Roman CYR"/>
          <w:color w:val="000000"/>
          <w:sz w:val="22"/>
          <w:szCs w:val="22"/>
          <w:lang w:eastAsia="en-US"/>
        </w:rPr>
        <w:t xml:space="preserve">  </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CYR" w:hAnsi="Times New Roman CYR" w:cs="Times New Roman CYR"/>
          <w:color w:val="000000"/>
        </w:rPr>
      </w:pPr>
      <w:r w:rsidRPr="0013377E">
        <w:rPr>
          <w:rFonts w:ascii="Times New Roman CYR" w:hAnsi="Times New Roman CYR" w:cs="Times New Roman CYR"/>
          <w:color w:val="000000"/>
        </w:rPr>
        <w:t>взгляд на привычные места города и значение исторических личностей, а также событий, связанных с ними. Кроме того, совместная внеурочная деятельность благоприятно сказывается на создании комфортной психологической атмосферы в коллективе класса.</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CYR" w:hAnsi="Times New Roman CYR" w:cs="Times New Roman CYR"/>
          <w:color w:val="000000"/>
        </w:rPr>
      </w:pPr>
      <w:r w:rsidRPr="0013377E">
        <w:rPr>
          <w:rFonts w:ascii="Times New Roman CYR" w:hAnsi="Times New Roman CYR" w:cs="Times New Roman CYR"/>
          <w:color w:val="000000"/>
          <w:lang w:val="en-US"/>
        </w:rPr>
        <w:t>III</w:t>
      </w:r>
      <w:r w:rsidRPr="0013377E">
        <w:rPr>
          <w:rFonts w:ascii="Times New Roman CYR" w:hAnsi="Times New Roman CYR" w:cs="Times New Roman CYR"/>
          <w:color w:val="000000"/>
        </w:rPr>
        <w:t xml:space="preserve"> этап. Решение задач интеллектуально-содержательного блока: ознакомление участников проекта с предметной областью заданий. Предметной областью задания является историческое прошлое страны, события и личности первой половины </w:t>
      </w:r>
      <w:r w:rsidRPr="0013377E">
        <w:rPr>
          <w:rFonts w:ascii="Times New Roman CYR" w:hAnsi="Times New Roman CYR" w:cs="Times New Roman CYR"/>
          <w:color w:val="000000"/>
          <w:lang w:val="en-US"/>
        </w:rPr>
        <w:t>XX</w:t>
      </w:r>
      <w:r w:rsidRPr="0013377E">
        <w:rPr>
          <w:rFonts w:ascii="Times New Roman CYR" w:hAnsi="Times New Roman CYR" w:cs="Times New Roman CYR"/>
          <w:color w:val="000000"/>
        </w:rPr>
        <w:t xml:space="preserve"> века, воплощенные в памятниках Владивостока.</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CYR" w:hAnsi="Times New Roman CYR" w:cs="Times New Roman CYR"/>
          <w:color w:val="000000"/>
        </w:rPr>
      </w:pPr>
      <w:r w:rsidRPr="0013377E">
        <w:rPr>
          <w:rFonts w:ascii="Times New Roman CYR" w:hAnsi="Times New Roman CYR" w:cs="Times New Roman CYR"/>
          <w:color w:val="000000"/>
          <w:lang w:val="en-US"/>
        </w:rPr>
        <w:t>IV</w:t>
      </w:r>
      <w:r w:rsidRPr="0013377E">
        <w:rPr>
          <w:rFonts w:ascii="Times New Roman CYR" w:hAnsi="Times New Roman CYR" w:cs="Times New Roman CYR"/>
          <w:color w:val="000000"/>
        </w:rPr>
        <w:t xml:space="preserve"> этап. Решение задач организационно - деятельностного блока: организация процесса выполнения аналитической части проекта по решению проблемных заданий. </w:t>
      </w:r>
      <w:r w:rsidRPr="0013377E">
        <w:rPr>
          <w:rFonts w:ascii="Times New Roman CYR" w:hAnsi="Times New Roman CYR" w:cs="Times New Roman CYR"/>
          <w:color w:val="000000"/>
          <w:sz w:val="24"/>
          <w:szCs w:val="24"/>
          <w:lang w:eastAsia="ru-RU"/>
        </w:rPr>
        <w:t>Игра представляет собой совершение пешей прогулки длиной около 2-4 км и поиск объектов, указанных в так называемом «Путевом листе», который выдаётся перед началом игры. В этом листе указаны адреса объектов и перечень ассоциаций. Ассоциации следующие: «Символ свергнутого самодержавия»; «Символ современной российской государственности»; «Последний»; «Первый»; «Палач»; «Жертва». Участники делятся на две команды, каждая из которых выбирает оптимальный маршрут для того, чтобы как можно быстрее обойти все указанные адреса, найти памятник и подобрать ассоциацию. Вся информация вносится в путевой лист. Деятельность группы контролирует сопровождающий.</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CYR" w:hAnsi="Times New Roman CYR" w:cs="Times New Roman CYR"/>
          <w:color w:val="000000"/>
          <w:sz w:val="24"/>
          <w:szCs w:val="24"/>
          <w:lang w:eastAsia="ru-RU"/>
        </w:rPr>
      </w:pPr>
      <w:r w:rsidRPr="0013377E">
        <w:rPr>
          <w:rFonts w:ascii="Times New Roman CYR" w:hAnsi="Times New Roman CYR" w:cs="Times New Roman CYR"/>
          <w:color w:val="000000"/>
          <w:sz w:val="24"/>
          <w:szCs w:val="24"/>
          <w:lang w:val="en-US" w:eastAsia="ru-RU"/>
        </w:rPr>
        <w:t>V</w:t>
      </w:r>
      <w:r w:rsidRPr="0013377E">
        <w:rPr>
          <w:rFonts w:ascii="Times New Roman CYR" w:hAnsi="Times New Roman CYR" w:cs="Times New Roman CYR"/>
          <w:color w:val="000000"/>
          <w:sz w:val="24"/>
          <w:szCs w:val="24"/>
          <w:lang w:eastAsia="ru-RU"/>
        </w:rPr>
        <w:t xml:space="preserve"> этап. На заключительном этапе решались задачи рефлексивно-оценочного блока: выявление уровня выраженности ценностных установок. Для этого, как итог всего мероприятия, проводилась дискуссия участников была связанна с аксиологическими аспектами истории России, связанными с такими личностями как: И.В. Сталин, В.И. Ленин, Николай </w:t>
      </w:r>
      <w:r w:rsidRPr="0013377E">
        <w:rPr>
          <w:rFonts w:ascii="Times New Roman CYR" w:hAnsi="Times New Roman CYR" w:cs="Times New Roman CYR"/>
          <w:color w:val="000000"/>
          <w:sz w:val="24"/>
          <w:szCs w:val="24"/>
          <w:lang w:val="en-US" w:eastAsia="ru-RU"/>
        </w:rPr>
        <w:t>II</w:t>
      </w:r>
      <w:r w:rsidRPr="0013377E">
        <w:rPr>
          <w:rFonts w:ascii="Times New Roman CYR" w:hAnsi="Times New Roman CYR" w:cs="Times New Roman CYR"/>
          <w:color w:val="000000"/>
          <w:sz w:val="24"/>
          <w:szCs w:val="24"/>
          <w:lang w:eastAsia="ru-RU"/>
        </w:rPr>
        <w:t>. В ходе дискуссии участники использовали различные аргументы, характеризуя значение личности в истории страны. Пример дискуссии по личности И.В. Сталина демонстрирует приведенная ниже таблица.</w:t>
      </w:r>
    </w:p>
    <w:p w:rsidR="0013377E" w:rsidRDefault="0013377E" w:rsidP="0013377E">
      <w:pPr>
        <w:pStyle w:val="afb"/>
      </w:pPr>
    </w:p>
    <w:p w:rsidR="0013377E" w:rsidRDefault="0013377E" w:rsidP="00C20E35">
      <w:pPr>
        <w:pStyle w:val="afb"/>
      </w:pP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jc w:val="both"/>
        <w:rPr>
          <w:rFonts w:ascii="Times New Roman CYR" w:hAnsi="Times New Roman CYR" w:cs="Times New Roman CYR"/>
          <w:i/>
          <w:color w:val="000000"/>
          <w:sz w:val="24"/>
          <w:szCs w:val="24"/>
          <w:lang w:eastAsia="ru-RU"/>
        </w:rPr>
      </w:pPr>
      <w:r w:rsidRPr="0013377E">
        <w:rPr>
          <w:rFonts w:ascii="Times New Roman CYR" w:hAnsi="Times New Roman CYR" w:cs="Times New Roman CYR"/>
          <w:i/>
          <w:color w:val="000000"/>
          <w:sz w:val="24"/>
          <w:szCs w:val="24"/>
          <w:lang w:eastAsia="ru-RU"/>
        </w:rPr>
        <w:t>Таблица 1</w:t>
      </w:r>
    </w:p>
    <w:tbl>
      <w:tblPr>
        <w:tblStyle w:val="82"/>
        <w:tblW w:w="0" w:type="auto"/>
        <w:tblLook w:val="04A0" w:firstRow="1" w:lastRow="0" w:firstColumn="1" w:lastColumn="0" w:noHBand="0" w:noVBand="1"/>
      </w:tblPr>
      <w:tblGrid>
        <w:gridCol w:w="4927"/>
        <w:gridCol w:w="4927"/>
      </w:tblGrid>
      <w:tr w:rsidR="0013377E" w:rsidRPr="0013377E" w:rsidTr="00347EB2">
        <w:tc>
          <w:tcPr>
            <w:tcW w:w="9854" w:type="dxa"/>
            <w:gridSpan w:val="2"/>
          </w:tcPr>
          <w:p w:rsidR="0013377E" w:rsidRPr="0013377E" w:rsidRDefault="0013377E" w:rsidP="0013377E">
            <w:pPr>
              <w:spacing w:after="0" w:line="240" w:lineRule="auto"/>
              <w:jc w:val="center"/>
              <w:rPr>
                <w:rFonts w:ascii="Times New Roman CYR" w:hAnsi="Times New Roman CYR" w:cs="Times New Roman CYR"/>
                <w:color w:val="000000"/>
                <w:sz w:val="24"/>
                <w:szCs w:val="24"/>
                <w:lang w:eastAsia="ru-RU"/>
              </w:rPr>
            </w:pPr>
            <w:r w:rsidRPr="0013377E">
              <w:rPr>
                <w:rFonts w:ascii="Times New Roman CYR" w:hAnsi="Times New Roman CYR" w:cs="Times New Roman CYR"/>
                <w:b/>
                <w:bCs/>
                <w:color w:val="000000"/>
                <w:sz w:val="24"/>
                <w:szCs w:val="24"/>
                <w:lang w:eastAsia="ru-RU"/>
              </w:rPr>
              <w:t>Сталин -  палач или герой ?</w:t>
            </w:r>
          </w:p>
        </w:tc>
      </w:tr>
      <w:tr w:rsidR="0013377E" w:rsidRPr="0013377E" w:rsidTr="00347EB2">
        <w:trPr>
          <w:trHeight w:val="547"/>
        </w:trPr>
        <w:tc>
          <w:tcPr>
            <w:tcW w:w="4927" w:type="dxa"/>
          </w:tcPr>
          <w:p w:rsidR="0013377E" w:rsidRPr="0013377E" w:rsidRDefault="0013377E" w:rsidP="0013377E">
            <w:pPr>
              <w:spacing w:before="100" w:beforeAutospacing="1" w:after="100" w:afterAutospacing="1" w:line="240" w:lineRule="auto"/>
              <w:jc w:val="both"/>
              <w:rPr>
                <w:rFonts w:ascii="Times New Roman CYR" w:hAnsi="Times New Roman CYR" w:cs="Times New Roman CYR"/>
                <w:color w:val="000000"/>
                <w:sz w:val="24"/>
                <w:szCs w:val="24"/>
                <w:lang w:eastAsia="ru-RU"/>
              </w:rPr>
            </w:pPr>
            <w:r w:rsidRPr="0013377E">
              <w:rPr>
                <w:rFonts w:ascii="Times New Roman CYR" w:hAnsi="Times New Roman CYR" w:cs="Times New Roman CYR"/>
                <w:iCs/>
                <w:color w:val="000000"/>
                <w:sz w:val="24"/>
                <w:szCs w:val="24"/>
                <w:lang w:eastAsia="ru-RU"/>
              </w:rPr>
              <w:t>Массовые</w:t>
            </w:r>
            <w:r w:rsidRPr="0013377E">
              <w:rPr>
                <w:rFonts w:ascii="Times New Roman CYR" w:hAnsi="Times New Roman CYR" w:cs="Times New Roman CYR"/>
                <w:bCs/>
                <w:iCs/>
                <w:color w:val="000000"/>
                <w:sz w:val="24"/>
                <w:szCs w:val="24"/>
                <w:lang w:eastAsia="ru-RU"/>
              </w:rPr>
              <w:t xml:space="preserve"> </w:t>
            </w:r>
            <w:r w:rsidRPr="0013377E">
              <w:rPr>
                <w:rFonts w:ascii="Times New Roman CYR" w:hAnsi="Times New Roman CYR" w:cs="Times New Roman CYR"/>
                <w:iCs/>
                <w:color w:val="000000"/>
                <w:sz w:val="24"/>
                <w:szCs w:val="24"/>
                <w:lang w:eastAsia="ru-RU"/>
              </w:rPr>
              <w:t>репрессии</w:t>
            </w:r>
          </w:p>
        </w:tc>
        <w:tc>
          <w:tcPr>
            <w:tcW w:w="4927" w:type="dxa"/>
          </w:tcPr>
          <w:p w:rsidR="0013377E" w:rsidRPr="0013377E" w:rsidRDefault="0013377E" w:rsidP="0013377E">
            <w:pPr>
              <w:spacing w:before="100" w:beforeAutospacing="1" w:after="100" w:afterAutospacing="1" w:line="240" w:lineRule="auto"/>
              <w:jc w:val="both"/>
              <w:rPr>
                <w:rFonts w:ascii="Times New Roman CYR" w:hAnsi="Times New Roman CYR" w:cs="Times New Roman CYR"/>
                <w:color w:val="000000"/>
                <w:sz w:val="24"/>
                <w:szCs w:val="24"/>
                <w:lang w:eastAsia="ru-RU"/>
              </w:rPr>
            </w:pPr>
            <w:r w:rsidRPr="0013377E">
              <w:rPr>
                <w:rFonts w:ascii="Times New Roman CYR" w:hAnsi="Times New Roman CYR" w:cs="Times New Roman CYR"/>
                <w:iCs/>
                <w:color w:val="000000"/>
                <w:sz w:val="24"/>
                <w:szCs w:val="24"/>
                <w:lang w:eastAsia="ru-RU"/>
              </w:rPr>
              <w:t>Цель оправдывает средства</w:t>
            </w:r>
          </w:p>
        </w:tc>
      </w:tr>
      <w:tr w:rsidR="0013377E" w:rsidRPr="0013377E" w:rsidTr="00347EB2">
        <w:trPr>
          <w:trHeight w:val="555"/>
        </w:trPr>
        <w:tc>
          <w:tcPr>
            <w:tcW w:w="4927" w:type="dxa"/>
          </w:tcPr>
          <w:p w:rsidR="0013377E" w:rsidRPr="0013377E" w:rsidRDefault="0013377E" w:rsidP="0013377E">
            <w:pPr>
              <w:spacing w:before="100" w:beforeAutospacing="1" w:after="100" w:afterAutospacing="1" w:line="240" w:lineRule="auto"/>
              <w:jc w:val="both"/>
              <w:rPr>
                <w:rFonts w:ascii="Times New Roman CYR" w:hAnsi="Times New Roman CYR" w:cs="Times New Roman CYR"/>
                <w:color w:val="000000"/>
                <w:sz w:val="24"/>
                <w:szCs w:val="24"/>
                <w:lang w:eastAsia="ru-RU"/>
              </w:rPr>
            </w:pPr>
            <w:r w:rsidRPr="0013377E">
              <w:rPr>
                <w:rFonts w:ascii="Times New Roman CYR" w:hAnsi="Times New Roman CYR" w:cs="Times New Roman CYR"/>
                <w:iCs/>
                <w:color w:val="000000"/>
                <w:sz w:val="24"/>
                <w:szCs w:val="24"/>
                <w:lang w:eastAsia="ru-RU"/>
              </w:rPr>
              <w:t>Жесткая внутренняя политика</w:t>
            </w:r>
          </w:p>
        </w:tc>
        <w:tc>
          <w:tcPr>
            <w:tcW w:w="4927" w:type="dxa"/>
          </w:tcPr>
          <w:p w:rsidR="0013377E" w:rsidRPr="0013377E" w:rsidRDefault="0013377E" w:rsidP="0013377E">
            <w:pPr>
              <w:spacing w:before="100" w:beforeAutospacing="1" w:after="100" w:afterAutospacing="1" w:line="240" w:lineRule="auto"/>
              <w:jc w:val="both"/>
              <w:rPr>
                <w:rFonts w:ascii="Times New Roman CYR" w:hAnsi="Times New Roman CYR" w:cs="Times New Roman CYR"/>
                <w:color w:val="000000"/>
                <w:sz w:val="24"/>
                <w:szCs w:val="24"/>
                <w:lang w:eastAsia="ru-RU"/>
              </w:rPr>
            </w:pPr>
            <w:r w:rsidRPr="0013377E">
              <w:rPr>
                <w:rFonts w:ascii="Times New Roman CYR" w:hAnsi="Times New Roman CYR" w:cs="Times New Roman CYR"/>
                <w:iCs/>
                <w:color w:val="000000"/>
                <w:sz w:val="24"/>
                <w:szCs w:val="24"/>
                <w:lang w:eastAsia="ru-RU"/>
              </w:rPr>
              <w:t>Поднял страну после разрухи</w:t>
            </w:r>
          </w:p>
        </w:tc>
      </w:tr>
      <w:tr w:rsidR="0013377E" w:rsidRPr="0013377E" w:rsidTr="00347EB2">
        <w:trPr>
          <w:trHeight w:val="489"/>
        </w:trPr>
        <w:tc>
          <w:tcPr>
            <w:tcW w:w="4927" w:type="dxa"/>
          </w:tcPr>
          <w:p w:rsidR="0013377E" w:rsidRPr="0013377E" w:rsidRDefault="0013377E" w:rsidP="0013377E">
            <w:pPr>
              <w:spacing w:before="100" w:beforeAutospacing="1" w:after="100" w:afterAutospacing="1" w:line="240" w:lineRule="auto"/>
              <w:jc w:val="both"/>
              <w:rPr>
                <w:rFonts w:ascii="Times New Roman CYR" w:hAnsi="Times New Roman CYR" w:cs="Times New Roman CYR"/>
                <w:color w:val="000000"/>
                <w:sz w:val="24"/>
                <w:szCs w:val="24"/>
                <w:lang w:eastAsia="ru-RU"/>
              </w:rPr>
            </w:pPr>
            <w:r w:rsidRPr="0013377E">
              <w:rPr>
                <w:rFonts w:ascii="Times New Roman CYR" w:hAnsi="Times New Roman CYR" w:cs="Times New Roman CYR"/>
                <w:iCs/>
                <w:color w:val="000000"/>
                <w:sz w:val="24"/>
                <w:szCs w:val="24"/>
                <w:lang w:eastAsia="ru-RU"/>
              </w:rPr>
              <w:t>Культ личности</w:t>
            </w:r>
          </w:p>
        </w:tc>
        <w:tc>
          <w:tcPr>
            <w:tcW w:w="4927" w:type="dxa"/>
          </w:tcPr>
          <w:p w:rsidR="0013377E" w:rsidRPr="0013377E" w:rsidRDefault="0013377E" w:rsidP="0013377E">
            <w:pPr>
              <w:spacing w:before="100" w:beforeAutospacing="1" w:after="100" w:afterAutospacing="1" w:line="240" w:lineRule="auto"/>
              <w:jc w:val="both"/>
              <w:rPr>
                <w:rFonts w:ascii="Times New Roman CYR" w:hAnsi="Times New Roman CYR" w:cs="Times New Roman CYR"/>
                <w:color w:val="000000"/>
                <w:sz w:val="24"/>
                <w:szCs w:val="24"/>
                <w:lang w:eastAsia="ru-RU"/>
              </w:rPr>
            </w:pPr>
            <w:r w:rsidRPr="0013377E">
              <w:rPr>
                <w:rFonts w:ascii="Times New Roman CYR" w:hAnsi="Times New Roman CYR" w:cs="Times New Roman CYR"/>
                <w:iCs/>
                <w:color w:val="000000"/>
                <w:sz w:val="24"/>
                <w:szCs w:val="24"/>
                <w:lang w:eastAsia="ru-RU"/>
              </w:rPr>
              <w:t>Обеспечил победу в войне</w:t>
            </w:r>
          </w:p>
        </w:tc>
      </w:tr>
    </w:tbl>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jc w:val="both"/>
        <w:rPr>
          <w:rFonts w:ascii="Times New Roman CYR" w:hAnsi="Times New Roman CYR" w:cs="Times New Roman CYR"/>
          <w:color w:val="000000"/>
          <w:sz w:val="24"/>
          <w:szCs w:val="24"/>
          <w:lang w:eastAsia="ru-RU"/>
        </w:rPr>
      </w:pP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jc w:val="both"/>
        <w:rPr>
          <w:rFonts w:ascii="Times New Roman CYR" w:hAnsi="Times New Roman CYR" w:cs="Times New Roman CYR"/>
          <w:color w:val="000000"/>
          <w:sz w:val="24"/>
          <w:szCs w:val="24"/>
          <w:lang w:eastAsia="ru-RU"/>
        </w:rPr>
      </w:pPr>
      <w:r w:rsidRPr="0013377E">
        <w:rPr>
          <w:rFonts w:ascii="Times New Roman CYR" w:hAnsi="Times New Roman CYR" w:cs="Times New Roman CYR"/>
          <w:color w:val="000000"/>
          <w:sz w:val="24"/>
          <w:szCs w:val="24"/>
          <w:lang w:eastAsia="ru-RU"/>
        </w:rPr>
        <w:t>Обсудив все «за» и «против», участники пришли к выводу о том, что никакие промышленные достижения не могут оправдать массовые репрессии.</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CYR" w:hAnsi="Times New Roman CYR" w:cs="Times New Roman CYR"/>
          <w:color w:val="000000"/>
          <w:sz w:val="24"/>
          <w:szCs w:val="24"/>
        </w:rPr>
      </w:pPr>
      <w:r w:rsidRPr="0013377E">
        <w:rPr>
          <w:rFonts w:ascii="Times New Roman CYR" w:hAnsi="Times New Roman CYR" w:cs="Times New Roman CYR"/>
          <w:color w:val="000000"/>
          <w:sz w:val="24"/>
          <w:szCs w:val="24"/>
        </w:rPr>
        <w:t>Таким образом, критерием духовно-нравственного развития на личностном уровне выступает социально-культурная идентичность, понимаемая как способность личности осознанно отождествлять себя с базовыми для отечественной культуры ценностями.</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jc w:val="both"/>
        <w:rPr>
          <w:rFonts w:ascii="Times New Roman CYR" w:hAnsi="Times New Roman CYR" w:cs="Times New Roman CYR"/>
          <w:color w:val="000000"/>
          <w:sz w:val="24"/>
          <w:szCs w:val="24"/>
        </w:rPr>
      </w:pPr>
      <w:r w:rsidRPr="0013377E">
        <w:rPr>
          <w:rFonts w:ascii="Times New Roman CYR" w:hAnsi="Times New Roman CYR" w:cs="Times New Roman CYR"/>
          <w:color w:val="000000"/>
          <w:sz w:val="24"/>
          <w:szCs w:val="24"/>
        </w:rPr>
        <w:t>Это предполагает востребованность историко-культурных ценностей, включенность их в контекст современных культурных процессов, необходимость освоения и активного использования в актуальном пространстве жизнедеятельности культурного наследия.</w:t>
      </w:r>
    </w:p>
    <w:p w:rsidR="0013377E" w:rsidRDefault="0013377E" w:rsidP="0013377E">
      <w:pPr>
        <w:pStyle w:val="afb"/>
        <w:rPr>
          <w:rFonts w:ascii="Times New Roman CYR" w:eastAsia="Times New Roman" w:hAnsi="Times New Roman CYR" w:cs="Times New Roman CYR"/>
          <w:color w:val="000000"/>
          <w:sz w:val="24"/>
          <w:szCs w:val="24"/>
          <w:lang w:eastAsia="en-US"/>
        </w:rPr>
      </w:pPr>
      <w:r w:rsidRPr="0013377E">
        <w:rPr>
          <w:rFonts w:ascii="Times New Roman CYR" w:eastAsia="Times New Roman" w:hAnsi="Times New Roman CYR" w:cs="Times New Roman CYR"/>
          <w:color w:val="000000"/>
          <w:sz w:val="24"/>
          <w:szCs w:val="24"/>
          <w:lang w:eastAsia="en-US"/>
        </w:rPr>
        <w:t>Ориентация в этом процессе на различные возрастные группы предполагает использование как традиционных, так и новых форм и способов эффективного межличностного взаимодействия</w:t>
      </w:r>
      <w:r>
        <w:rPr>
          <w:rFonts w:ascii="Times New Roman CYR" w:eastAsia="Times New Roman" w:hAnsi="Times New Roman CYR" w:cs="Times New Roman CYR"/>
          <w:color w:val="000000"/>
          <w:sz w:val="24"/>
          <w:szCs w:val="24"/>
          <w:lang w:eastAsia="en-US"/>
        </w:rPr>
        <w:t>.</w:t>
      </w:r>
    </w:p>
    <w:p w:rsidR="0013377E" w:rsidRDefault="0013377E" w:rsidP="0013377E">
      <w:pPr>
        <w:pStyle w:val="afb"/>
        <w:rPr>
          <w:rFonts w:ascii="Times New Roman CYR" w:eastAsia="Times New Roman" w:hAnsi="Times New Roman CYR" w:cs="Times New Roman CYR"/>
          <w:color w:val="000000"/>
          <w:sz w:val="24"/>
          <w:szCs w:val="24"/>
          <w:lang w:eastAsia="en-US"/>
        </w:rPr>
      </w:pP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Pr="0013377E">
        <w:rPr>
          <w:rFonts w:ascii="Times New Roman" w:hAnsi="Times New Roman" w:cs="Times New Roman"/>
          <w:sz w:val="24"/>
          <w:szCs w:val="24"/>
        </w:rPr>
        <w:t xml:space="preserve"> Гарифуллина Р.С. Аксиологический потенциал социально-культурной деятельности как ресурс духовно-нравственного воспитания молодежи. Автореферат дис. ... д-ра пед. наук. СПб., 2006. 49с.</w:t>
      </w:r>
      <w:r w:rsidRPr="0013377E">
        <w:rPr>
          <w:rFonts w:ascii="Times New Roman" w:hAnsi="Times New Roman" w:cs="Times New Roman"/>
          <w:color w:val="000000"/>
          <w:sz w:val="24"/>
          <w:szCs w:val="24"/>
        </w:rPr>
        <w:t xml:space="preserve"> Библиотека авторефератов и диссертаций по педагогике </w:t>
      </w:r>
      <w:r w:rsidRPr="0013377E">
        <w:rPr>
          <w:rFonts w:ascii="Times New Roman" w:hAnsi="Times New Roman" w:cs="Times New Roman"/>
          <w:sz w:val="24"/>
          <w:szCs w:val="24"/>
        </w:rPr>
        <w:t>http://nauka-pedagogika.com/pedagogika-13-00-05/dissertaciya-aksiologicheskiy-potentsial-sotsialno-kulturnoy-deyatelnosti-kak-resurs-duhovno-nravstvennogo-vospitaniya-molodezhi#ixzz5DY0ZI4Nn</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szCs w:val="24"/>
        </w:rPr>
      </w:pPr>
      <w:r w:rsidRPr="0013377E">
        <w:rPr>
          <w:rFonts w:ascii="Times New Roman" w:hAnsi="Times New Roman" w:cs="Times New Roman"/>
          <w:sz w:val="24"/>
          <w:szCs w:val="24"/>
        </w:rPr>
        <w:t>2. Кочеткова И.С. Вехи культурно-исторической памяти//Территория новых возможностей, №1, 2015С.128-131</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13377E">
        <w:rPr>
          <w:rFonts w:ascii="Times New Roman" w:hAnsi="Times New Roman" w:cs="Times New Roman"/>
          <w:sz w:val="24"/>
          <w:szCs w:val="24"/>
        </w:rPr>
        <w:t>3. Трощенкова Е.А. Проектирование в сфере культуры: инновационный аспект</w:t>
      </w:r>
      <w:r w:rsidRPr="0013377E">
        <w:rPr>
          <w:rFonts w:ascii="Times New Roman" w:hAnsi="Times New Roman" w:cs="Times New Roman"/>
          <w:i/>
          <w:iCs/>
          <w:sz w:val="24"/>
          <w:szCs w:val="24"/>
        </w:rPr>
        <w:t>//</w:t>
      </w:r>
      <w:r w:rsidRPr="0013377E">
        <w:rPr>
          <w:rFonts w:ascii="Times New Roman" w:hAnsi="Times New Roman" w:cs="Times New Roman"/>
          <w:sz w:val="24"/>
          <w:szCs w:val="24"/>
        </w:rPr>
        <w:t xml:space="preserve"> Вестник Красноярского государственного аграрного университета № 1; 2011г.С.197-202</w:t>
      </w:r>
      <w:r w:rsidRPr="0013377E">
        <w:rPr>
          <w:rFonts w:ascii="Times New Roman" w:hAnsi="Times New Roman" w:cs="Times New Roman"/>
          <w:color w:val="000000"/>
          <w:sz w:val="24"/>
          <w:szCs w:val="24"/>
        </w:rPr>
        <w:t>(Трощенкова С.199)</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szCs w:val="24"/>
        </w:rPr>
      </w:pPr>
      <w:r w:rsidRPr="0013377E">
        <w:rPr>
          <w:rFonts w:ascii="Times New Roman" w:hAnsi="Times New Roman" w:cs="Times New Roman"/>
          <w:sz w:val="24"/>
          <w:szCs w:val="24"/>
          <w:lang w:val="en-US"/>
        </w:rPr>
        <w:t xml:space="preserve">4. Tresca,Michael J. The evolution jf fantasy role-playing games. </w:t>
      </w:r>
      <w:r w:rsidRPr="0013377E">
        <w:rPr>
          <w:rFonts w:ascii="Times New Roman" w:hAnsi="Times New Roman" w:cs="Times New Roman"/>
          <w:sz w:val="24"/>
          <w:szCs w:val="24"/>
        </w:rPr>
        <w:t>2011.</w:t>
      </w:r>
      <w:r w:rsidRPr="0013377E">
        <w:rPr>
          <w:rFonts w:ascii="Times New Roman" w:hAnsi="Times New Roman" w:cs="Times New Roman"/>
          <w:sz w:val="24"/>
          <w:szCs w:val="24"/>
          <w:lang w:val="en-US"/>
        </w:rPr>
        <w:t>books</w:t>
      </w:r>
      <w:r w:rsidRPr="0013377E">
        <w:rPr>
          <w:rFonts w:ascii="Times New Roman" w:hAnsi="Times New Roman" w:cs="Times New Roman"/>
          <w:sz w:val="24"/>
          <w:szCs w:val="24"/>
        </w:rPr>
        <w:t xml:space="preserve">. </w:t>
      </w:r>
      <w:r w:rsidRPr="0013377E">
        <w:rPr>
          <w:rFonts w:ascii="Times New Roman" w:hAnsi="Times New Roman" w:cs="Times New Roman"/>
          <w:sz w:val="24"/>
          <w:szCs w:val="24"/>
          <w:lang w:val="en-US"/>
        </w:rPr>
        <w:t>google</w:t>
      </w:r>
      <w:r w:rsidRPr="0013377E">
        <w:rPr>
          <w:rFonts w:ascii="Times New Roman" w:hAnsi="Times New Roman" w:cs="Times New Roman"/>
          <w:sz w:val="24"/>
          <w:szCs w:val="24"/>
        </w:rPr>
        <w:t>.</w:t>
      </w:r>
      <w:r w:rsidRPr="0013377E">
        <w:rPr>
          <w:rFonts w:ascii="Times New Roman" w:hAnsi="Times New Roman" w:cs="Times New Roman"/>
          <w:sz w:val="24"/>
          <w:szCs w:val="24"/>
          <w:lang w:val="en-US"/>
        </w:rPr>
        <w:t>ru</w:t>
      </w:r>
    </w:p>
    <w:p w:rsidR="0013377E" w:rsidRDefault="0013377E" w:rsidP="0013377E">
      <w:pPr>
        <w:pStyle w:val="afb"/>
      </w:pPr>
    </w:p>
    <w:p w:rsidR="0013377E" w:rsidRDefault="0013377E" w:rsidP="00C20E35">
      <w:pPr>
        <w:pStyle w:val="afb"/>
      </w:pPr>
    </w:p>
    <w:p w:rsidR="0013377E" w:rsidRDefault="0013377E" w:rsidP="00C20E35">
      <w:pPr>
        <w:pStyle w:val="afb"/>
      </w:pPr>
    </w:p>
    <w:p w:rsidR="003658B5" w:rsidRDefault="003658B5" w:rsidP="00C20E35">
      <w:pPr>
        <w:pStyle w:val="afb"/>
      </w:pPr>
    </w:p>
    <w:p w:rsidR="003658B5" w:rsidRDefault="003658B5" w:rsidP="00C20E35">
      <w:pPr>
        <w:pStyle w:val="afb"/>
      </w:pPr>
    </w:p>
    <w:p w:rsidR="003658B5" w:rsidRDefault="003658B5" w:rsidP="00C20E35">
      <w:pPr>
        <w:pStyle w:val="afb"/>
      </w:pPr>
    </w:p>
    <w:p w:rsidR="003658B5" w:rsidRDefault="003658B5" w:rsidP="00C20E35">
      <w:pPr>
        <w:pStyle w:val="afb"/>
      </w:pP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360" w:lineRule="auto"/>
        <w:rPr>
          <w:rFonts w:ascii="Times New Roman" w:hAnsi="Times New Roman" w:cs="Times New Roman"/>
          <w:sz w:val="24"/>
          <w:szCs w:val="24"/>
        </w:rPr>
      </w:pPr>
      <w:r w:rsidRPr="003658B5">
        <w:rPr>
          <w:rFonts w:ascii="Times New Roman" w:hAnsi="Times New Roman" w:cs="Times New Roman"/>
          <w:sz w:val="24"/>
          <w:szCs w:val="24"/>
        </w:rPr>
        <w:t>Рубрика:</w:t>
      </w:r>
      <w:r w:rsidRPr="003658B5">
        <w:rPr>
          <w:rFonts w:cs="Times New Roman"/>
        </w:rPr>
        <w:t xml:space="preserve"> </w:t>
      </w:r>
      <w:r w:rsidRPr="003658B5">
        <w:rPr>
          <w:rFonts w:ascii="Times New Roman" w:hAnsi="Times New Roman" w:cs="Times New Roman"/>
          <w:sz w:val="24"/>
          <w:szCs w:val="24"/>
        </w:rPr>
        <w:t>Торговля. Международные экономические отношения. Мировое хозяйство</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sz w:val="24"/>
          <w:szCs w:val="24"/>
        </w:rPr>
      </w:pPr>
      <w:r w:rsidRPr="003658B5">
        <w:rPr>
          <w:rFonts w:ascii="Times New Roman" w:hAnsi="Times New Roman" w:cs="Times New Roman"/>
          <w:sz w:val="24"/>
          <w:szCs w:val="24"/>
        </w:rPr>
        <w:t>УДК 339</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sz w:val="24"/>
          <w:szCs w:val="24"/>
        </w:rPr>
      </w:pP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sz w:val="24"/>
          <w:szCs w:val="24"/>
        </w:rPr>
      </w:pPr>
      <w:r w:rsidRPr="003658B5">
        <w:rPr>
          <w:rFonts w:ascii="Times New Roman" w:hAnsi="Times New Roman" w:cs="Times New Roman"/>
          <w:b/>
          <w:sz w:val="24"/>
          <w:szCs w:val="24"/>
        </w:rPr>
        <w:t>Исследование проблем развития потребительского рынка Приморского края</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sz w:val="24"/>
          <w:szCs w:val="24"/>
        </w:rPr>
      </w:pP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rPr>
      </w:pPr>
      <w:r w:rsidRPr="003658B5">
        <w:rPr>
          <w:rFonts w:ascii="Times New Roman" w:hAnsi="Times New Roman" w:cs="Times New Roman"/>
          <w:sz w:val="24"/>
          <w:szCs w:val="24"/>
        </w:rPr>
        <w:t xml:space="preserve">Рудиченко Елена Сергеевна, </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rPr>
      </w:pPr>
      <w:r w:rsidRPr="003658B5">
        <w:rPr>
          <w:rFonts w:ascii="Times New Roman" w:hAnsi="Times New Roman" w:cs="Times New Roman"/>
          <w:sz w:val="24"/>
          <w:szCs w:val="24"/>
        </w:rPr>
        <w:t>Бакалавр 2 курс, кафедры международного маркетинга и торговли</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szCs w:val="24"/>
        </w:rPr>
      </w:pPr>
      <w:r w:rsidRPr="003658B5">
        <w:rPr>
          <w:rFonts w:ascii="Times New Roman" w:hAnsi="Times New Roman" w:cs="Times New Roman"/>
          <w:i/>
          <w:sz w:val="24"/>
          <w:szCs w:val="24"/>
        </w:rPr>
        <w:t>Владивостокский государственный университет экономики и сервиса</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szCs w:val="24"/>
        </w:rPr>
      </w:pPr>
      <w:r w:rsidRPr="003658B5">
        <w:rPr>
          <w:rFonts w:ascii="Times New Roman" w:hAnsi="Times New Roman" w:cs="Times New Roman"/>
          <w:i/>
          <w:sz w:val="24"/>
          <w:szCs w:val="24"/>
        </w:rPr>
        <w:t>Россия. Владивосток</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rPr>
      </w:pPr>
      <w:r w:rsidRPr="003658B5">
        <w:rPr>
          <w:rFonts w:ascii="Times New Roman" w:hAnsi="Times New Roman" w:cs="Times New Roman"/>
          <w:sz w:val="24"/>
          <w:szCs w:val="24"/>
          <w:lang w:val="en-US"/>
        </w:rPr>
        <w:t>E</w:t>
      </w:r>
      <w:r w:rsidRPr="003658B5">
        <w:rPr>
          <w:rFonts w:ascii="Times New Roman" w:hAnsi="Times New Roman" w:cs="Times New Roman"/>
          <w:sz w:val="24"/>
          <w:szCs w:val="24"/>
        </w:rPr>
        <w:t>-</w:t>
      </w:r>
      <w:r w:rsidRPr="003658B5">
        <w:rPr>
          <w:rFonts w:ascii="Times New Roman" w:hAnsi="Times New Roman" w:cs="Times New Roman"/>
          <w:sz w:val="24"/>
          <w:szCs w:val="24"/>
          <w:lang w:val="en-US"/>
        </w:rPr>
        <w:t>mail</w:t>
      </w:r>
      <w:r w:rsidRPr="003658B5">
        <w:rPr>
          <w:rFonts w:ascii="Times New Roman" w:hAnsi="Times New Roman" w:cs="Times New Roman"/>
          <w:sz w:val="24"/>
          <w:szCs w:val="24"/>
        </w:rPr>
        <w:t>: 08011</w:t>
      </w:r>
      <w:r w:rsidRPr="003658B5">
        <w:rPr>
          <w:rFonts w:ascii="Times New Roman" w:hAnsi="Times New Roman" w:cs="Times New Roman"/>
          <w:sz w:val="24"/>
          <w:szCs w:val="24"/>
          <w:lang w:val="en-US"/>
        </w:rPr>
        <w:t>elena</w:t>
      </w:r>
      <w:r w:rsidRPr="003658B5">
        <w:rPr>
          <w:rFonts w:ascii="Times New Roman" w:hAnsi="Times New Roman" w:cs="Times New Roman"/>
          <w:sz w:val="24"/>
          <w:szCs w:val="24"/>
        </w:rPr>
        <w:t>@</w:t>
      </w:r>
      <w:r w:rsidRPr="003658B5">
        <w:rPr>
          <w:rFonts w:ascii="Times New Roman" w:hAnsi="Times New Roman" w:cs="Times New Roman"/>
          <w:sz w:val="24"/>
          <w:szCs w:val="24"/>
          <w:lang w:val="en-US"/>
        </w:rPr>
        <w:t>mail</w:t>
      </w:r>
      <w:r w:rsidRPr="003658B5">
        <w:rPr>
          <w:rFonts w:ascii="Times New Roman" w:hAnsi="Times New Roman" w:cs="Times New Roman"/>
          <w:sz w:val="24"/>
          <w:szCs w:val="24"/>
        </w:rPr>
        <w:t>.</w:t>
      </w:r>
      <w:r w:rsidRPr="003658B5">
        <w:rPr>
          <w:rFonts w:ascii="Times New Roman" w:hAnsi="Times New Roman" w:cs="Times New Roman"/>
          <w:sz w:val="24"/>
          <w:szCs w:val="24"/>
          <w:lang w:val="en-US"/>
        </w:rPr>
        <w:t>ru</w:t>
      </w:r>
      <w:r w:rsidRPr="003658B5">
        <w:rPr>
          <w:rFonts w:ascii="Times New Roman" w:hAnsi="Times New Roman" w:cs="Times New Roman"/>
          <w:sz w:val="24"/>
          <w:szCs w:val="24"/>
        </w:rPr>
        <w:t>; тел.: +79089887885</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rPr>
      </w:pPr>
      <w:r w:rsidRPr="003658B5">
        <w:rPr>
          <w:rFonts w:ascii="Times New Roman" w:hAnsi="Times New Roman" w:cs="Times New Roman"/>
          <w:sz w:val="24"/>
          <w:szCs w:val="24"/>
        </w:rPr>
        <w:t>ул. Гоголя, 41, г. Владивосток, Приморский край, Россия, 690014</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rPr>
      </w:pPr>
      <w:r w:rsidRPr="003658B5">
        <w:rPr>
          <w:rFonts w:ascii="Times New Roman" w:hAnsi="Times New Roman" w:cs="Times New Roman"/>
          <w:sz w:val="24"/>
          <w:szCs w:val="24"/>
        </w:rPr>
        <w:t>Глухоманова Августа Арнольдовна,</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rPr>
      </w:pPr>
      <w:r w:rsidRPr="003658B5">
        <w:rPr>
          <w:rFonts w:ascii="Times New Roman" w:hAnsi="Times New Roman" w:cs="Times New Roman"/>
          <w:sz w:val="24"/>
          <w:szCs w:val="24"/>
        </w:rPr>
        <w:t>Руководитель, старший преподаватель</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rPr>
      </w:pPr>
      <w:r w:rsidRPr="003658B5">
        <w:rPr>
          <w:rFonts w:ascii="Times New Roman" w:hAnsi="Times New Roman" w:cs="Times New Roman"/>
          <w:sz w:val="24"/>
          <w:szCs w:val="24"/>
        </w:rPr>
        <w:t>кафедры международного маркетинга и торговли</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szCs w:val="24"/>
          <w:lang w:eastAsia="ru-RU"/>
        </w:rPr>
      </w:pPr>
      <w:r w:rsidRPr="003658B5">
        <w:rPr>
          <w:rFonts w:ascii="Times New Roman" w:hAnsi="Times New Roman" w:cs="Times New Roman"/>
          <w:i/>
          <w:sz w:val="24"/>
          <w:szCs w:val="24"/>
          <w:lang w:eastAsia="ru-RU"/>
        </w:rPr>
        <w:t>Владивостокский государственный университет экономики и сервиса</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szCs w:val="24"/>
          <w:lang w:eastAsia="ru-RU"/>
        </w:rPr>
      </w:pPr>
      <w:r w:rsidRPr="003658B5">
        <w:rPr>
          <w:rFonts w:ascii="Times New Roman" w:hAnsi="Times New Roman" w:cs="Times New Roman"/>
          <w:i/>
          <w:sz w:val="24"/>
          <w:szCs w:val="24"/>
          <w:lang w:eastAsia="ru-RU"/>
        </w:rPr>
        <w:t>Россия. Владивосток</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rPr>
      </w:pPr>
      <w:r w:rsidRPr="003658B5">
        <w:rPr>
          <w:rFonts w:ascii="Times New Roman" w:hAnsi="Times New Roman" w:cs="Times New Roman"/>
          <w:sz w:val="24"/>
          <w:szCs w:val="24"/>
          <w:lang w:val="en-US"/>
        </w:rPr>
        <w:t>E</w:t>
      </w:r>
      <w:r w:rsidRPr="003658B5">
        <w:rPr>
          <w:rFonts w:ascii="Times New Roman" w:hAnsi="Times New Roman" w:cs="Times New Roman"/>
          <w:sz w:val="24"/>
          <w:szCs w:val="24"/>
        </w:rPr>
        <w:t>-</w:t>
      </w:r>
      <w:r w:rsidRPr="003658B5">
        <w:rPr>
          <w:rFonts w:ascii="Times New Roman" w:hAnsi="Times New Roman" w:cs="Times New Roman"/>
          <w:sz w:val="24"/>
          <w:szCs w:val="24"/>
          <w:lang w:val="en-US"/>
        </w:rPr>
        <w:t>mail</w:t>
      </w:r>
      <w:r w:rsidRPr="003658B5">
        <w:rPr>
          <w:rFonts w:ascii="Times New Roman" w:hAnsi="Times New Roman" w:cs="Times New Roman"/>
          <w:sz w:val="24"/>
          <w:szCs w:val="24"/>
        </w:rPr>
        <w:t xml:space="preserve">: </w:t>
      </w:r>
      <w:r w:rsidRPr="003658B5">
        <w:rPr>
          <w:rFonts w:ascii="Times New Roman" w:hAnsi="Times New Roman" w:cs="Times New Roman"/>
          <w:sz w:val="24"/>
          <w:szCs w:val="24"/>
          <w:lang w:val="en-US"/>
        </w:rPr>
        <w:t>cat</w:t>
      </w:r>
      <w:r w:rsidRPr="003658B5">
        <w:rPr>
          <w:rFonts w:ascii="Times New Roman" w:hAnsi="Times New Roman" w:cs="Times New Roman"/>
          <w:sz w:val="24"/>
          <w:szCs w:val="24"/>
        </w:rPr>
        <w:t>2058@</w:t>
      </w:r>
      <w:r w:rsidRPr="003658B5">
        <w:rPr>
          <w:rFonts w:ascii="Times New Roman" w:hAnsi="Times New Roman" w:cs="Times New Roman"/>
          <w:sz w:val="24"/>
          <w:szCs w:val="24"/>
          <w:lang w:val="en-US"/>
        </w:rPr>
        <w:t>mail</w:t>
      </w:r>
      <w:r w:rsidRPr="003658B5">
        <w:rPr>
          <w:rFonts w:ascii="Times New Roman" w:hAnsi="Times New Roman" w:cs="Times New Roman"/>
          <w:sz w:val="24"/>
          <w:szCs w:val="24"/>
        </w:rPr>
        <w:t>.</w:t>
      </w:r>
      <w:r w:rsidRPr="003658B5">
        <w:rPr>
          <w:rFonts w:ascii="Times New Roman" w:hAnsi="Times New Roman" w:cs="Times New Roman"/>
          <w:sz w:val="24"/>
          <w:szCs w:val="24"/>
          <w:lang w:val="en-US"/>
        </w:rPr>
        <w:t>ru</w:t>
      </w:r>
      <w:r w:rsidRPr="003658B5">
        <w:rPr>
          <w:rFonts w:ascii="Times New Roman" w:hAnsi="Times New Roman" w:cs="Times New Roman"/>
          <w:sz w:val="24"/>
          <w:szCs w:val="24"/>
        </w:rPr>
        <w:t>, тел.: +79243360175</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r w:rsidRPr="003658B5">
        <w:rPr>
          <w:rFonts w:ascii="Times New Roman" w:hAnsi="Times New Roman" w:cs="Times New Roman"/>
          <w:sz w:val="24"/>
          <w:szCs w:val="24"/>
          <w:lang w:eastAsia="ru-RU"/>
        </w:rPr>
        <w:t>ул. Стрельникова, 50, г. Артем, Приморский край, Россия, 697778</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rPr>
      </w:pP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i/>
          <w:color w:val="000000"/>
          <w:sz w:val="24"/>
          <w:szCs w:val="24"/>
          <w:lang w:eastAsia="ru-RU"/>
        </w:rPr>
      </w:pPr>
      <w:r w:rsidRPr="003658B5">
        <w:rPr>
          <w:rFonts w:ascii="Times New Roman" w:hAnsi="Times New Roman" w:cs="Times New Roman"/>
          <w:i/>
          <w:color w:val="333333"/>
          <w:sz w:val="24"/>
          <w:szCs w:val="24"/>
          <w:shd w:val="clear" w:color="auto" w:fill="FFFFFF"/>
          <w:lang w:eastAsia="ru-RU"/>
        </w:rPr>
        <w:t>В настоящее время одной из важных проблем рыночных отношений является проблема формирования и эффективного развития потребительского рынка, а в</w:t>
      </w:r>
      <w:r w:rsidRPr="003658B5">
        <w:rPr>
          <w:rFonts w:ascii="Times New Roman" w:hAnsi="Times New Roman" w:cs="Times New Roman"/>
          <w:i/>
          <w:color w:val="000000"/>
          <w:sz w:val="24"/>
          <w:szCs w:val="24"/>
          <w:lang w:eastAsia="ru-RU"/>
        </w:rPr>
        <w:t>опросы формирования и развития рыночной инфраструктуры продовольственного комплекса наименее изученными. Практически отсутствует критерии, позволяющие объективно оценивать уровень и тенденции развития рыночной инфраструктуры и её составных элементов. Исследования по состоянию продовольственного рынка регионов, анализ закономерностей формирования и развития цивилизованных рыночных отношений, рыночной инфраструктуры продовольственного комплекса весьма актуальны и своевременны.</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i/>
          <w:color w:val="000000"/>
          <w:sz w:val="24"/>
          <w:szCs w:val="24"/>
          <w:lang w:eastAsia="ru-RU"/>
        </w:rPr>
      </w:pP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i/>
          <w:color w:val="000000"/>
          <w:sz w:val="24"/>
          <w:szCs w:val="24"/>
        </w:rPr>
      </w:pPr>
      <w:r w:rsidRPr="003658B5">
        <w:rPr>
          <w:rFonts w:ascii="Times New Roman" w:hAnsi="Times New Roman" w:cs="Times New Roman"/>
          <w:b/>
          <w:i/>
          <w:color w:val="000000"/>
          <w:sz w:val="24"/>
          <w:szCs w:val="24"/>
        </w:rPr>
        <w:t>Ключевые слова и словосочетания</w:t>
      </w:r>
      <w:r w:rsidRPr="003658B5">
        <w:rPr>
          <w:rFonts w:ascii="Times New Roman" w:hAnsi="Times New Roman" w:cs="Times New Roman"/>
          <w:i/>
          <w:color w:val="000000"/>
          <w:sz w:val="24"/>
          <w:szCs w:val="24"/>
        </w:rPr>
        <w:t>: рынок, инфраструктура, товарооборот, торговая сеть, продовольственный комплекс, экономические условия, внутренняя торговля.</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i/>
          <w:color w:val="000000"/>
          <w:sz w:val="24"/>
          <w:szCs w:val="24"/>
        </w:rPr>
      </w:pP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b/>
          <w:i/>
          <w:color w:val="000000"/>
          <w:sz w:val="24"/>
          <w:szCs w:val="24"/>
          <w:lang w:val="en-US"/>
        </w:rPr>
      </w:pPr>
      <w:r w:rsidRPr="003658B5">
        <w:rPr>
          <w:rFonts w:ascii="Times New Roman" w:hAnsi="Times New Roman" w:cs="Times New Roman"/>
          <w:b/>
          <w:i/>
          <w:color w:val="000000"/>
          <w:sz w:val="24"/>
          <w:szCs w:val="24"/>
          <w:lang w:val="en-US"/>
        </w:rPr>
        <w:t>Research of problems of development of the consumer market of Primorsky Krai</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i/>
          <w:color w:val="333333"/>
          <w:sz w:val="24"/>
          <w:szCs w:val="24"/>
          <w:shd w:val="clear" w:color="auto" w:fill="FFFFFF"/>
          <w:lang w:val="en-US"/>
        </w:rPr>
      </w:pPr>
      <w:r w:rsidRPr="003658B5">
        <w:rPr>
          <w:rFonts w:ascii="Times New Roman" w:hAnsi="Times New Roman" w:cs="Times New Roman"/>
          <w:i/>
          <w:color w:val="333333"/>
          <w:sz w:val="24"/>
          <w:szCs w:val="24"/>
          <w:shd w:val="clear" w:color="auto" w:fill="FFFFFF"/>
          <w:lang w:val="en-US"/>
        </w:rPr>
        <w:t>Currently, one of the important problems of market relations is the problem of the formation and effective development of the consumer market, and the issues of formation and development of the market infrastructure of the food complex are the least studied. Practically there are no criteria allowing objectively to assess the level and trends of development of the market infrastructure and its components. Research on the state of the food market in the regions, analysis of the patterns of formation and development of civilized market relations, market infrastructure of the food complex are very relevant and timely.</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i/>
          <w:color w:val="333333"/>
          <w:sz w:val="24"/>
          <w:szCs w:val="24"/>
          <w:shd w:val="clear" w:color="auto" w:fill="FFFFFF"/>
          <w:lang w:val="en-US"/>
        </w:rPr>
      </w:pPr>
      <w:r w:rsidRPr="003658B5">
        <w:rPr>
          <w:rFonts w:ascii="Times New Roman" w:hAnsi="Times New Roman" w:cs="Times New Roman"/>
          <w:b/>
          <w:i/>
          <w:color w:val="333333"/>
          <w:sz w:val="24"/>
          <w:szCs w:val="24"/>
          <w:shd w:val="clear" w:color="auto" w:fill="FFFFFF"/>
          <w:lang w:val="en-US"/>
        </w:rPr>
        <w:t>Keywords:</w:t>
      </w:r>
      <w:r w:rsidRPr="003658B5">
        <w:rPr>
          <w:rFonts w:ascii="Times New Roman" w:hAnsi="Times New Roman" w:cs="Times New Roman"/>
          <w:i/>
          <w:color w:val="333333"/>
          <w:sz w:val="24"/>
          <w:szCs w:val="24"/>
          <w:shd w:val="clear" w:color="auto" w:fill="FFFFFF"/>
          <w:lang w:val="en-US"/>
        </w:rPr>
        <w:t xml:space="preserve"> market, infrastructure, turnover, trade network, food complex, economic conditions, domestic trade.</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i/>
          <w:color w:val="333333"/>
          <w:sz w:val="24"/>
          <w:szCs w:val="24"/>
          <w:shd w:val="clear" w:color="auto" w:fill="FFFFFF"/>
          <w:lang w:val="en-US"/>
        </w:rPr>
      </w:pP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 xml:space="preserve">Целью работы является исследование проблем формирования инфраструктуры регионального продовольственного рынка. </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Для достижения указанной цели были поставлены и решены следующие задачи:</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 проанализировать современное состояние и тенденции развития потребительского рынка Приморского края;</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 xml:space="preserve">- исследовать процессы формирования и развития инфраструктуры продовольственного рынка Приморского края. </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Одной из наиболее острых проблем, препятствующих развитию сектора внутренней торговли в России, является недостаточный уровень развития инфраструктуры, а именно неразвитость торговой инфраструктуры по сравнению с зарубежной, недостаточные темпы и объемы строительства новых торговых площадей.</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 xml:space="preserve">Под инфраструктурой в данном случае понимаются не только базовые объекты, но и инфраструктуру услуг для сектора торговли, которая включает наличие необходимого количества высокоразвитых логистических компаний, оптовых поставщиков и т.д. </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 xml:space="preserve">Региональная структура розничного товарооборота зависит от условий развития местного рынка потребительских товаров и многих социально-экономических факторов. </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Потребительский рынок Приморского края завоевывают такие сети, как: «Домовид», «Фреш 25», «Парус», «Бубль Гум», «В-лазер», «Домотехника», «ДНС», «СпортМастер» и другие. Что касается конкретно г. Владивосток, то здесь основное развитие получили такие сети, как: «Три кота», «Реми», «Зеленый остров», «Фрекен Бок» «Фреш 25», «СпортМастер», «Золотое время», «Sunlight», «Домовид», «Чудодей» и т.д.</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Также на территории Приморского края, широко развита ярморочная деятельность, направленная на более полное удовлетворение потребностей населения в качественной продукции и поддержку местных товаропроизводителей.</w:t>
      </w:r>
    </w:p>
    <w:p w:rsid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Для более полного понимания динамики значений основных показателей и структуры потребительского рынка, необходимо привести данные статистики по Приморскому краю, которые указаны в таблице 1.</w:t>
      </w:r>
    </w:p>
    <w:p w:rsid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color w:val="000000"/>
          <w:sz w:val="24"/>
          <w:szCs w:val="24"/>
          <w:lang w:eastAsia="ru-RU"/>
        </w:rPr>
      </w:pPr>
    </w:p>
    <w:p w:rsid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color w:val="000000"/>
          <w:sz w:val="24"/>
          <w:szCs w:val="24"/>
          <w:lang w:eastAsia="ru-RU"/>
        </w:rPr>
      </w:pPr>
    </w:p>
    <w:p w:rsid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color w:val="000000"/>
          <w:sz w:val="24"/>
          <w:szCs w:val="24"/>
          <w:lang w:eastAsia="ru-RU"/>
        </w:rPr>
      </w:pPr>
    </w:p>
    <w:p w:rsid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color w:val="000000"/>
          <w:sz w:val="24"/>
          <w:szCs w:val="24"/>
          <w:lang w:eastAsia="ru-RU"/>
        </w:rPr>
      </w:pP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jc w:val="right"/>
        <w:rPr>
          <w:rFonts w:ascii="Times New Roman" w:hAnsi="Times New Roman" w:cs="Times New Roman"/>
          <w:bCs/>
          <w:i/>
          <w:color w:val="000000"/>
          <w:spacing w:val="-5"/>
          <w:sz w:val="24"/>
          <w:szCs w:val="24"/>
          <w:lang w:eastAsia="ru-RU"/>
        </w:rPr>
      </w:pPr>
      <w:r w:rsidRPr="003658B5">
        <w:rPr>
          <w:rFonts w:ascii="Times New Roman" w:hAnsi="Times New Roman" w:cs="Times New Roman"/>
          <w:bCs/>
          <w:i/>
          <w:color w:val="000000"/>
          <w:spacing w:val="-5"/>
          <w:sz w:val="24"/>
          <w:szCs w:val="24"/>
          <w:lang w:eastAsia="ru-RU"/>
        </w:rPr>
        <w:t>Таблица 1</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sz w:val="24"/>
          <w:szCs w:val="24"/>
          <w:lang w:eastAsia="ru-RU"/>
        </w:rPr>
      </w:pPr>
      <w:r w:rsidRPr="003658B5">
        <w:rPr>
          <w:rFonts w:ascii="Times New Roman" w:hAnsi="Times New Roman" w:cs="Times New Roman"/>
          <w:b/>
          <w:sz w:val="24"/>
          <w:szCs w:val="24"/>
          <w:lang w:eastAsia="ru-RU"/>
        </w:rPr>
        <w:t xml:space="preserve">Структура торговой сети Приморского края по состоянию на 1 января 2012-2017 гг. </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b/>
          <w:sz w:val="24"/>
          <w:szCs w:val="24"/>
          <w:lang w:eastAsia="ru-RU"/>
        </w:rPr>
      </w:pPr>
      <w:r w:rsidRPr="003658B5">
        <w:rPr>
          <w:rFonts w:ascii="Times New Roman" w:hAnsi="Times New Roman" w:cs="Times New Roman"/>
          <w:b/>
          <w:sz w:val="24"/>
          <w:szCs w:val="24"/>
          <w:lang w:eastAsia="ru-RU"/>
        </w:rPr>
        <w:t>В штуках</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408"/>
        <w:gridCol w:w="408"/>
        <w:gridCol w:w="408"/>
        <w:gridCol w:w="408"/>
        <w:gridCol w:w="408"/>
        <w:gridCol w:w="408"/>
        <w:gridCol w:w="408"/>
        <w:gridCol w:w="408"/>
        <w:gridCol w:w="408"/>
        <w:gridCol w:w="408"/>
        <w:gridCol w:w="407"/>
        <w:gridCol w:w="407"/>
        <w:gridCol w:w="407"/>
        <w:gridCol w:w="407"/>
        <w:gridCol w:w="407"/>
        <w:gridCol w:w="407"/>
        <w:gridCol w:w="407"/>
        <w:gridCol w:w="407"/>
        <w:gridCol w:w="407"/>
        <w:gridCol w:w="407"/>
        <w:gridCol w:w="407"/>
        <w:gridCol w:w="407"/>
        <w:gridCol w:w="407"/>
        <w:gridCol w:w="407"/>
      </w:tblGrid>
      <w:tr w:rsidR="003658B5" w:rsidRPr="003658B5" w:rsidTr="00E26853">
        <w:trPr>
          <w:trHeight w:val="454"/>
        </w:trPr>
        <w:tc>
          <w:tcPr>
            <w:tcW w:w="1252" w:type="pct"/>
            <w:gridSpan w:val="6"/>
            <w:tcBorders>
              <w:top w:val="single" w:sz="4" w:space="0" w:color="auto"/>
              <w:left w:val="single" w:sz="6" w:space="0" w:color="auto"/>
            </w:tcBorders>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Стационарная розничная торговая сеть</w:t>
            </w:r>
          </w:p>
        </w:tc>
        <w:tc>
          <w:tcPr>
            <w:tcW w:w="1251" w:type="pct"/>
            <w:gridSpan w:val="6"/>
            <w:tcBorders>
              <w:top w:val="single" w:sz="4" w:space="0" w:color="auto"/>
            </w:tcBorders>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Оптовая</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торговая сеть</w:t>
            </w:r>
          </w:p>
        </w:tc>
        <w:tc>
          <w:tcPr>
            <w:tcW w:w="1249" w:type="pct"/>
            <w:gridSpan w:val="6"/>
            <w:tcBorders>
              <w:top w:val="single" w:sz="4" w:space="0" w:color="auto"/>
              <w:right w:val="single" w:sz="4" w:space="0" w:color="auto"/>
            </w:tcBorders>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Мелкорозничная</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торговая сеть</w:t>
            </w:r>
          </w:p>
        </w:tc>
        <w:tc>
          <w:tcPr>
            <w:tcW w:w="1249" w:type="pct"/>
            <w:gridSpan w:val="6"/>
            <w:tcBorders>
              <w:top w:val="single" w:sz="4" w:space="0" w:color="auto"/>
              <w:left w:val="single" w:sz="4" w:space="0" w:color="auto"/>
              <w:right w:val="single" w:sz="4" w:space="0" w:color="auto"/>
            </w:tcBorders>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Рынки</w:t>
            </w:r>
          </w:p>
        </w:tc>
      </w:tr>
      <w:tr w:rsidR="003658B5" w:rsidRPr="003658B5" w:rsidTr="00E26853">
        <w:trPr>
          <w:cantSplit/>
          <w:trHeight w:val="750"/>
        </w:trPr>
        <w:tc>
          <w:tcPr>
            <w:tcW w:w="209" w:type="pct"/>
            <w:tcBorders>
              <w:left w:val="single" w:sz="6"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2012</w:t>
            </w:r>
          </w:p>
        </w:tc>
        <w:tc>
          <w:tcPr>
            <w:tcW w:w="209"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2013</w:t>
            </w:r>
          </w:p>
        </w:tc>
        <w:tc>
          <w:tcPr>
            <w:tcW w:w="209"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2014</w:t>
            </w:r>
          </w:p>
        </w:tc>
        <w:tc>
          <w:tcPr>
            <w:tcW w:w="209"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2015</w:t>
            </w:r>
          </w:p>
        </w:tc>
        <w:tc>
          <w:tcPr>
            <w:tcW w:w="209"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2016</w:t>
            </w:r>
          </w:p>
        </w:tc>
        <w:tc>
          <w:tcPr>
            <w:tcW w:w="209"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2017</w:t>
            </w:r>
          </w:p>
        </w:tc>
        <w:tc>
          <w:tcPr>
            <w:tcW w:w="209"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2012</w:t>
            </w:r>
          </w:p>
        </w:tc>
        <w:tc>
          <w:tcPr>
            <w:tcW w:w="209"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2013</w:t>
            </w:r>
          </w:p>
        </w:tc>
        <w:tc>
          <w:tcPr>
            <w:tcW w:w="209"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2014</w:t>
            </w:r>
          </w:p>
        </w:tc>
        <w:tc>
          <w:tcPr>
            <w:tcW w:w="209"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2015</w:t>
            </w:r>
          </w:p>
        </w:tc>
        <w:tc>
          <w:tcPr>
            <w:tcW w:w="208"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2016</w:t>
            </w:r>
          </w:p>
        </w:tc>
        <w:tc>
          <w:tcPr>
            <w:tcW w:w="208"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2017</w:t>
            </w:r>
          </w:p>
        </w:tc>
        <w:tc>
          <w:tcPr>
            <w:tcW w:w="208"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2012</w:t>
            </w:r>
          </w:p>
        </w:tc>
        <w:tc>
          <w:tcPr>
            <w:tcW w:w="208"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2013</w:t>
            </w:r>
          </w:p>
        </w:tc>
        <w:tc>
          <w:tcPr>
            <w:tcW w:w="208"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2014</w:t>
            </w:r>
          </w:p>
        </w:tc>
        <w:tc>
          <w:tcPr>
            <w:tcW w:w="208"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2015</w:t>
            </w:r>
          </w:p>
        </w:tc>
        <w:tc>
          <w:tcPr>
            <w:tcW w:w="208"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2016</w:t>
            </w:r>
          </w:p>
        </w:tc>
        <w:tc>
          <w:tcPr>
            <w:tcW w:w="208" w:type="pct"/>
            <w:tcBorders>
              <w:right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2017</w:t>
            </w:r>
          </w:p>
        </w:tc>
        <w:tc>
          <w:tcPr>
            <w:tcW w:w="208" w:type="pct"/>
            <w:tcBorders>
              <w:left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2012</w:t>
            </w:r>
          </w:p>
        </w:tc>
        <w:tc>
          <w:tcPr>
            <w:tcW w:w="208"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2013</w:t>
            </w:r>
          </w:p>
        </w:tc>
        <w:tc>
          <w:tcPr>
            <w:tcW w:w="208"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2014</w:t>
            </w:r>
          </w:p>
        </w:tc>
        <w:tc>
          <w:tcPr>
            <w:tcW w:w="208"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2015</w:t>
            </w:r>
          </w:p>
        </w:tc>
        <w:tc>
          <w:tcPr>
            <w:tcW w:w="208"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2016</w:t>
            </w:r>
          </w:p>
        </w:tc>
        <w:tc>
          <w:tcPr>
            <w:tcW w:w="208" w:type="pct"/>
            <w:tcBorders>
              <w:right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2017</w:t>
            </w:r>
          </w:p>
        </w:tc>
      </w:tr>
      <w:tr w:rsidR="003658B5" w:rsidRPr="003658B5" w:rsidTr="00E26853">
        <w:trPr>
          <w:cantSplit/>
          <w:trHeight w:val="798"/>
        </w:trPr>
        <w:tc>
          <w:tcPr>
            <w:tcW w:w="209" w:type="pct"/>
            <w:tcBorders>
              <w:left w:val="single" w:sz="6" w:space="0" w:color="auto"/>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9632</w:t>
            </w:r>
          </w:p>
        </w:tc>
        <w:tc>
          <w:tcPr>
            <w:tcW w:w="209" w:type="pct"/>
            <w:tcBorders>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9732</w:t>
            </w:r>
          </w:p>
        </w:tc>
        <w:tc>
          <w:tcPr>
            <w:tcW w:w="209" w:type="pct"/>
            <w:tcBorders>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10005</w:t>
            </w:r>
          </w:p>
        </w:tc>
        <w:tc>
          <w:tcPr>
            <w:tcW w:w="209" w:type="pct"/>
            <w:tcBorders>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10271</w:t>
            </w:r>
          </w:p>
        </w:tc>
        <w:tc>
          <w:tcPr>
            <w:tcW w:w="209" w:type="pct"/>
            <w:tcBorders>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10318</w:t>
            </w:r>
          </w:p>
        </w:tc>
        <w:tc>
          <w:tcPr>
            <w:tcW w:w="209" w:type="pct"/>
            <w:tcBorders>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10441</w:t>
            </w:r>
          </w:p>
        </w:tc>
        <w:tc>
          <w:tcPr>
            <w:tcW w:w="209" w:type="pct"/>
            <w:tcBorders>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348</w:t>
            </w:r>
          </w:p>
        </w:tc>
        <w:tc>
          <w:tcPr>
            <w:tcW w:w="209" w:type="pct"/>
            <w:tcBorders>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361</w:t>
            </w:r>
          </w:p>
        </w:tc>
        <w:tc>
          <w:tcPr>
            <w:tcW w:w="209" w:type="pct"/>
            <w:tcBorders>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356</w:t>
            </w:r>
          </w:p>
        </w:tc>
        <w:tc>
          <w:tcPr>
            <w:tcW w:w="209" w:type="pct"/>
            <w:tcBorders>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358</w:t>
            </w:r>
          </w:p>
        </w:tc>
        <w:tc>
          <w:tcPr>
            <w:tcW w:w="208" w:type="pct"/>
            <w:tcBorders>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355</w:t>
            </w:r>
          </w:p>
        </w:tc>
        <w:tc>
          <w:tcPr>
            <w:tcW w:w="208" w:type="pct"/>
            <w:tcBorders>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349</w:t>
            </w:r>
          </w:p>
        </w:tc>
        <w:tc>
          <w:tcPr>
            <w:tcW w:w="208" w:type="pct"/>
            <w:tcBorders>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3438</w:t>
            </w:r>
          </w:p>
        </w:tc>
        <w:tc>
          <w:tcPr>
            <w:tcW w:w="208" w:type="pct"/>
            <w:tcBorders>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3919</w:t>
            </w:r>
          </w:p>
        </w:tc>
        <w:tc>
          <w:tcPr>
            <w:tcW w:w="208" w:type="pct"/>
            <w:tcBorders>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4695</w:t>
            </w:r>
          </w:p>
        </w:tc>
        <w:tc>
          <w:tcPr>
            <w:tcW w:w="208" w:type="pct"/>
            <w:tcBorders>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4986</w:t>
            </w:r>
          </w:p>
        </w:tc>
        <w:tc>
          <w:tcPr>
            <w:tcW w:w="208" w:type="pct"/>
            <w:tcBorders>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5181</w:t>
            </w:r>
          </w:p>
        </w:tc>
        <w:tc>
          <w:tcPr>
            <w:tcW w:w="208" w:type="pct"/>
            <w:tcBorders>
              <w:bottom w:val="single" w:sz="4" w:space="0" w:color="auto"/>
              <w:right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5029</w:t>
            </w:r>
          </w:p>
        </w:tc>
        <w:tc>
          <w:tcPr>
            <w:tcW w:w="208" w:type="pct"/>
            <w:tcBorders>
              <w:top w:val="single" w:sz="4" w:space="0" w:color="auto"/>
              <w:left w:val="single" w:sz="4" w:space="0" w:color="auto"/>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77</w:t>
            </w:r>
          </w:p>
        </w:tc>
        <w:tc>
          <w:tcPr>
            <w:tcW w:w="208" w:type="pct"/>
            <w:tcBorders>
              <w:top w:val="single" w:sz="4" w:space="0" w:color="auto"/>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35</w:t>
            </w:r>
          </w:p>
        </w:tc>
        <w:tc>
          <w:tcPr>
            <w:tcW w:w="208" w:type="pct"/>
            <w:tcBorders>
              <w:top w:val="single" w:sz="4" w:space="0" w:color="auto"/>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37</w:t>
            </w:r>
          </w:p>
        </w:tc>
        <w:tc>
          <w:tcPr>
            <w:tcW w:w="208" w:type="pct"/>
            <w:tcBorders>
              <w:top w:val="single" w:sz="4" w:space="0" w:color="auto"/>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22</w:t>
            </w:r>
          </w:p>
        </w:tc>
        <w:tc>
          <w:tcPr>
            <w:tcW w:w="208" w:type="pct"/>
            <w:tcBorders>
              <w:top w:val="single" w:sz="4" w:space="0" w:color="auto"/>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25</w:t>
            </w:r>
          </w:p>
        </w:tc>
        <w:tc>
          <w:tcPr>
            <w:tcW w:w="208" w:type="pct"/>
            <w:tcBorders>
              <w:top w:val="single" w:sz="4" w:space="0" w:color="auto"/>
              <w:bottom w:val="single" w:sz="4" w:space="0" w:color="auto"/>
              <w:right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24</w:t>
            </w:r>
          </w:p>
        </w:tc>
      </w:tr>
    </w:tbl>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bCs/>
          <w:color w:val="000000"/>
          <w:spacing w:val="-5"/>
          <w:sz w:val="24"/>
          <w:szCs w:val="24"/>
          <w:lang w:eastAsia="ru-RU"/>
        </w:rPr>
      </w:pPr>
      <w:r w:rsidRPr="003658B5">
        <w:rPr>
          <w:rFonts w:ascii="Times New Roman" w:hAnsi="Times New Roman" w:cs="Times New Roman"/>
          <w:bCs/>
          <w:color w:val="000000"/>
          <w:spacing w:val="-5"/>
          <w:sz w:val="24"/>
          <w:szCs w:val="24"/>
          <w:lang w:eastAsia="ru-RU"/>
        </w:rPr>
        <w:t xml:space="preserve">Очевидно, что динамика стационарной розничной торговой сети, оптовой торговой сети и мелкорозничной торговой сети более устойчивы, чем показатели рынков. Стоит отметить, что уровень рыночной торговли с каждым годом стремительно уменьшается, что ведет к увеличению числу посредников между поставщиками и торговыми предприятиями. </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bCs/>
          <w:color w:val="000000"/>
          <w:spacing w:val="-5"/>
          <w:sz w:val="24"/>
          <w:szCs w:val="24"/>
          <w:lang w:eastAsia="ru-RU"/>
        </w:rPr>
      </w:pPr>
      <w:r w:rsidRPr="003658B5">
        <w:rPr>
          <w:rFonts w:ascii="Times New Roman" w:hAnsi="Times New Roman" w:cs="Times New Roman"/>
          <w:bCs/>
          <w:color w:val="000000"/>
          <w:spacing w:val="-5"/>
          <w:sz w:val="24"/>
          <w:szCs w:val="24"/>
          <w:lang w:eastAsia="ru-RU"/>
        </w:rPr>
        <w:t xml:space="preserve">В России три крупнейших розничных сети («Пятерочка», «Магнит», «Ашан») контролируют менее 5% рынка, тогда как в развитых странах (Япония, Сингапур, США, Канада, Великобритания) 3 крупнейших сети контролируют 50-95%, в странах Восточной Европы (Белоруссия, Болгария, Польша, Венгрия) - 10-30%. </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bCs/>
          <w:color w:val="000000"/>
          <w:spacing w:val="-5"/>
          <w:sz w:val="24"/>
          <w:szCs w:val="24"/>
          <w:lang w:eastAsia="ru-RU"/>
        </w:rPr>
      </w:pPr>
      <w:r w:rsidRPr="003658B5">
        <w:rPr>
          <w:rFonts w:ascii="Times New Roman" w:hAnsi="Times New Roman" w:cs="Times New Roman"/>
          <w:bCs/>
          <w:color w:val="000000"/>
          <w:spacing w:val="-5"/>
          <w:sz w:val="24"/>
          <w:szCs w:val="24"/>
          <w:lang w:eastAsia="ru-RU"/>
        </w:rPr>
        <w:t>Компания «Пятерочка», «Магнит», «Ашан» являются самыми быстрорастущими компаниями на российском рынке, но в настоящее время на рынке потребительских товаров Приморского края и в частности г. Владивостока вышеуказанные торговые сети не представлены. В Приморье идет развитие лишь локальных торговых сетей, таких как: «Три кота», «Реми», «ВЛ-Март», «Парус», «Фреш 25», «5+».</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bCs/>
          <w:color w:val="000000"/>
          <w:spacing w:val="-5"/>
          <w:sz w:val="24"/>
          <w:szCs w:val="24"/>
          <w:lang w:eastAsia="ru-RU"/>
        </w:rPr>
      </w:pPr>
      <w:r w:rsidRPr="003658B5">
        <w:rPr>
          <w:rFonts w:ascii="Times New Roman" w:hAnsi="Times New Roman" w:cs="Times New Roman"/>
          <w:bCs/>
          <w:color w:val="000000"/>
          <w:spacing w:val="-5"/>
          <w:sz w:val="24"/>
          <w:szCs w:val="24"/>
          <w:lang w:eastAsia="ru-RU"/>
        </w:rPr>
        <w:t>На протяжении всего периода с 2013 по 2017 год идет устойчивый рост товарооборота. Наметилась тенденция перемещения объёмов продаж в продуктовой рознице в супермаркеты из оптовых рынков, что вызвано снижением потребительского спроса. Крупные предприятия розничной торговли сокращают торговые сети в связи с нерентабельностью.</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bCs/>
          <w:color w:val="000000"/>
          <w:spacing w:val="-5"/>
          <w:sz w:val="24"/>
          <w:szCs w:val="24"/>
          <w:lang w:eastAsia="ru-RU"/>
        </w:rPr>
      </w:pPr>
      <w:r w:rsidRPr="003658B5">
        <w:rPr>
          <w:rFonts w:ascii="Times New Roman" w:hAnsi="Times New Roman" w:cs="Times New Roman"/>
          <w:bCs/>
          <w:color w:val="000000"/>
          <w:spacing w:val="-5"/>
          <w:sz w:val="24"/>
          <w:szCs w:val="24"/>
          <w:lang w:eastAsia="ru-RU"/>
        </w:rPr>
        <w:t>Исследуя процессы формирования и развития инфраструктуры продовольственного рынка Приморского края, необходимо отметить, что тенденция роста сетевой торговли создает дополнительные возможности расширения рынка и дает значительный положительный эффект, этот вывод можно сделать, анализируя данные таблицы 2.</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jc w:val="right"/>
        <w:rPr>
          <w:rFonts w:ascii="Times New Roman" w:hAnsi="Times New Roman" w:cs="Times New Roman"/>
          <w:bCs/>
          <w:i/>
          <w:color w:val="000000"/>
          <w:spacing w:val="-5"/>
          <w:sz w:val="24"/>
          <w:szCs w:val="24"/>
          <w:lang w:eastAsia="ru-RU"/>
        </w:rPr>
      </w:pPr>
      <w:r w:rsidRPr="003658B5">
        <w:rPr>
          <w:rFonts w:ascii="Times New Roman" w:hAnsi="Times New Roman" w:cs="Times New Roman"/>
          <w:bCs/>
          <w:i/>
          <w:color w:val="000000"/>
          <w:spacing w:val="-5"/>
          <w:sz w:val="24"/>
          <w:szCs w:val="24"/>
          <w:lang w:eastAsia="ru-RU"/>
        </w:rPr>
        <w:t xml:space="preserve">Таблица 2 </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sz w:val="24"/>
          <w:szCs w:val="24"/>
          <w:lang w:eastAsia="ru-RU"/>
        </w:rPr>
      </w:pPr>
      <w:r w:rsidRPr="003658B5">
        <w:rPr>
          <w:rFonts w:ascii="Times New Roman" w:hAnsi="Times New Roman" w:cs="Times New Roman"/>
          <w:b/>
          <w:sz w:val="24"/>
          <w:szCs w:val="24"/>
          <w:lang w:eastAsia="ru-RU"/>
        </w:rPr>
        <w:t>Соотношение долей оборота продовольственных и непродовольственных товаров в Приморском крае 2013 - 2017 гг.</w:t>
      </w:r>
    </w:p>
    <w:tbl>
      <w:tblPr>
        <w:tblW w:w="5000" w:type="pct"/>
        <w:tblLook w:val="04A0" w:firstRow="1" w:lastRow="0" w:firstColumn="1" w:lastColumn="0" w:noHBand="0" w:noVBand="1"/>
      </w:tblPr>
      <w:tblGrid>
        <w:gridCol w:w="5279"/>
        <w:gridCol w:w="915"/>
        <w:gridCol w:w="915"/>
        <w:gridCol w:w="915"/>
        <w:gridCol w:w="915"/>
        <w:gridCol w:w="915"/>
      </w:tblGrid>
      <w:tr w:rsidR="003658B5" w:rsidRPr="003658B5" w:rsidTr="00E26853">
        <w:trPr>
          <w:trHeight w:val="454"/>
        </w:trPr>
        <w:tc>
          <w:tcPr>
            <w:tcW w:w="2745" w:type="pct"/>
            <w:tcBorders>
              <w:top w:val="single" w:sz="4" w:space="0" w:color="auto"/>
              <w:left w:val="single" w:sz="4" w:space="0" w:color="auto"/>
              <w:bottom w:val="single" w:sz="4" w:space="0" w:color="auto"/>
              <w:right w:val="single" w:sz="4" w:space="0" w:color="auto"/>
            </w:tcBorders>
            <w:noWrap/>
            <w:vAlign w:val="bottom"/>
            <w:hideMark/>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Показатели</w:t>
            </w:r>
          </w:p>
        </w:tc>
        <w:tc>
          <w:tcPr>
            <w:tcW w:w="451" w:type="pct"/>
            <w:tcBorders>
              <w:top w:val="single" w:sz="4" w:space="0" w:color="auto"/>
              <w:left w:val="nil"/>
              <w:bottom w:val="single" w:sz="4" w:space="0" w:color="auto"/>
              <w:right w:val="single" w:sz="4" w:space="0" w:color="auto"/>
            </w:tcBorders>
            <w:noWrap/>
            <w:vAlign w:val="bottom"/>
            <w:hideMark/>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2013 г.</w:t>
            </w:r>
          </w:p>
        </w:tc>
        <w:tc>
          <w:tcPr>
            <w:tcW w:w="451" w:type="pct"/>
            <w:tcBorders>
              <w:top w:val="single" w:sz="4" w:space="0" w:color="auto"/>
              <w:left w:val="nil"/>
              <w:bottom w:val="single" w:sz="4" w:space="0" w:color="auto"/>
              <w:right w:val="single" w:sz="4" w:space="0" w:color="auto"/>
            </w:tcBorders>
            <w:noWrap/>
            <w:vAlign w:val="bottom"/>
            <w:hideMark/>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2014 г.</w:t>
            </w:r>
          </w:p>
        </w:tc>
        <w:tc>
          <w:tcPr>
            <w:tcW w:w="451" w:type="pct"/>
            <w:tcBorders>
              <w:top w:val="single" w:sz="4" w:space="0" w:color="auto"/>
              <w:left w:val="nil"/>
              <w:bottom w:val="single" w:sz="4" w:space="0" w:color="auto"/>
              <w:right w:val="single" w:sz="4" w:space="0" w:color="auto"/>
            </w:tcBorders>
            <w:noWrap/>
            <w:vAlign w:val="bottom"/>
            <w:hideMark/>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2015 г.</w:t>
            </w:r>
          </w:p>
        </w:tc>
        <w:tc>
          <w:tcPr>
            <w:tcW w:w="451" w:type="pct"/>
            <w:tcBorders>
              <w:top w:val="single" w:sz="4" w:space="0" w:color="auto"/>
              <w:left w:val="nil"/>
              <w:bottom w:val="single" w:sz="4" w:space="0" w:color="auto"/>
              <w:right w:val="single" w:sz="4" w:space="0" w:color="auto"/>
            </w:tcBorders>
            <w:noWrap/>
            <w:vAlign w:val="bottom"/>
            <w:hideMark/>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2016 г.</w:t>
            </w:r>
          </w:p>
        </w:tc>
        <w:tc>
          <w:tcPr>
            <w:tcW w:w="451" w:type="pct"/>
            <w:tcBorders>
              <w:top w:val="single" w:sz="4" w:space="0" w:color="auto"/>
              <w:left w:val="nil"/>
              <w:bottom w:val="single" w:sz="4" w:space="0" w:color="auto"/>
              <w:right w:val="single" w:sz="4" w:space="0" w:color="auto"/>
            </w:tcBorders>
            <w:noWrap/>
            <w:vAlign w:val="bottom"/>
            <w:hideMark/>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2017 г.</w:t>
            </w:r>
          </w:p>
        </w:tc>
      </w:tr>
      <w:tr w:rsidR="003658B5" w:rsidRPr="003658B5" w:rsidTr="00E26853">
        <w:trPr>
          <w:trHeight w:val="454"/>
        </w:trPr>
        <w:tc>
          <w:tcPr>
            <w:tcW w:w="2745" w:type="pct"/>
            <w:tcBorders>
              <w:top w:val="nil"/>
              <w:left w:val="single" w:sz="4" w:space="0" w:color="auto"/>
              <w:bottom w:val="single" w:sz="4" w:space="0" w:color="auto"/>
              <w:right w:val="single" w:sz="4" w:space="0" w:color="auto"/>
            </w:tcBorders>
            <w:noWrap/>
            <w:vAlign w:val="bottom"/>
            <w:hideMark/>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Оборот розничной торговли, млрд. руб.</w:t>
            </w:r>
          </w:p>
        </w:tc>
        <w:tc>
          <w:tcPr>
            <w:tcW w:w="451" w:type="pct"/>
            <w:tcBorders>
              <w:top w:val="nil"/>
              <w:left w:val="nil"/>
              <w:bottom w:val="single" w:sz="4" w:space="0" w:color="auto"/>
              <w:right w:val="single" w:sz="4" w:space="0" w:color="auto"/>
            </w:tcBorders>
            <w:noWrap/>
            <w:vAlign w:val="bottom"/>
            <w:hideMark/>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164,6</w:t>
            </w:r>
          </w:p>
        </w:tc>
        <w:tc>
          <w:tcPr>
            <w:tcW w:w="451" w:type="pct"/>
            <w:tcBorders>
              <w:top w:val="nil"/>
              <w:left w:val="nil"/>
              <w:bottom w:val="single" w:sz="4" w:space="0" w:color="auto"/>
              <w:right w:val="single" w:sz="4" w:space="0" w:color="auto"/>
            </w:tcBorders>
            <w:noWrap/>
            <w:vAlign w:val="bottom"/>
            <w:hideMark/>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177,5</w:t>
            </w:r>
          </w:p>
        </w:tc>
        <w:tc>
          <w:tcPr>
            <w:tcW w:w="451" w:type="pct"/>
            <w:tcBorders>
              <w:top w:val="nil"/>
              <w:left w:val="nil"/>
              <w:bottom w:val="single" w:sz="4" w:space="0" w:color="auto"/>
              <w:right w:val="single" w:sz="4" w:space="0" w:color="auto"/>
            </w:tcBorders>
            <w:noWrap/>
            <w:vAlign w:val="bottom"/>
            <w:hideMark/>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195,8</w:t>
            </w:r>
          </w:p>
        </w:tc>
        <w:tc>
          <w:tcPr>
            <w:tcW w:w="451" w:type="pct"/>
            <w:tcBorders>
              <w:top w:val="nil"/>
              <w:left w:val="nil"/>
              <w:bottom w:val="single" w:sz="4" w:space="0" w:color="auto"/>
              <w:right w:val="single" w:sz="4" w:space="0" w:color="auto"/>
            </w:tcBorders>
            <w:noWrap/>
            <w:vAlign w:val="bottom"/>
            <w:hideMark/>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214,1</w:t>
            </w:r>
          </w:p>
        </w:tc>
        <w:tc>
          <w:tcPr>
            <w:tcW w:w="451" w:type="pct"/>
            <w:tcBorders>
              <w:top w:val="nil"/>
              <w:left w:val="nil"/>
              <w:bottom w:val="single" w:sz="4" w:space="0" w:color="auto"/>
              <w:right w:val="single" w:sz="4" w:space="0" w:color="auto"/>
            </w:tcBorders>
            <w:noWrap/>
            <w:vAlign w:val="bottom"/>
            <w:hideMark/>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227,3</w:t>
            </w:r>
          </w:p>
        </w:tc>
      </w:tr>
      <w:tr w:rsidR="003658B5" w:rsidRPr="003658B5" w:rsidTr="00E26853">
        <w:trPr>
          <w:trHeight w:val="454"/>
        </w:trPr>
        <w:tc>
          <w:tcPr>
            <w:tcW w:w="2745" w:type="pct"/>
            <w:tcBorders>
              <w:top w:val="nil"/>
              <w:left w:val="single" w:sz="4" w:space="0" w:color="auto"/>
              <w:bottom w:val="single" w:sz="4" w:space="0" w:color="auto"/>
              <w:right w:val="single" w:sz="4" w:space="0" w:color="auto"/>
            </w:tcBorders>
            <w:noWrap/>
            <w:vAlign w:val="bottom"/>
            <w:hideMark/>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 xml:space="preserve">Темп прироста к предыдущему периоду, % </w:t>
            </w:r>
          </w:p>
        </w:tc>
        <w:tc>
          <w:tcPr>
            <w:tcW w:w="451" w:type="pct"/>
            <w:tcBorders>
              <w:top w:val="nil"/>
              <w:left w:val="nil"/>
              <w:bottom w:val="single" w:sz="4" w:space="0" w:color="auto"/>
              <w:right w:val="single" w:sz="4" w:space="0" w:color="auto"/>
            </w:tcBorders>
            <w:noWrap/>
            <w:vAlign w:val="bottom"/>
            <w:hideMark/>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100</w:t>
            </w:r>
          </w:p>
        </w:tc>
        <w:tc>
          <w:tcPr>
            <w:tcW w:w="451" w:type="pct"/>
            <w:tcBorders>
              <w:top w:val="nil"/>
              <w:left w:val="nil"/>
              <w:bottom w:val="single" w:sz="4" w:space="0" w:color="auto"/>
              <w:right w:val="single" w:sz="4" w:space="0" w:color="auto"/>
            </w:tcBorders>
            <w:noWrap/>
            <w:vAlign w:val="bottom"/>
            <w:hideMark/>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color w:val="000000"/>
                <w:sz w:val="24"/>
                <w:szCs w:val="24"/>
                <w:lang w:eastAsia="ru-RU"/>
              </w:rPr>
            </w:pPr>
            <w:r w:rsidRPr="003658B5">
              <w:rPr>
                <w:rFonts w:ascii="Times New Roman" w:hAnsi="Times New Roman" w:cs="Times New Roman"/>
                <w:color w:val="000000"/>
                <w:sz w:val="24"/>
                <w:szCs w:val="24"/>
                <w:lang w:eastAsia="ru-RU"/>
              </w:rPr>
              <w:t>107,8</w:t>
            </w:r>
          </w:p>
        </w:tc>
        <w:tc>
          <w:tcPr>
            <w:tcW w:w="451" w:type="pct"/>
            <w:tcBorders>
              <w:top w:val="nil"/>
              <w:left w:val="nil"/>
              <w:bottom w:val="single" w:sz="4" w:space="0" w:color="auto"/>
              <w:right w:val="single" w:sz="4" w:space="0" w:color="auto"/>
            </w:tcBorders>
            <w:noWrap/>
            <w:vAlign w:val="bottom"/>
            <w:hideMark/>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110,3</w:t>
            </w:r>
          </w:p>
        </w:tc>
        <w:tc>
          <w:tcPr>
            <w:tcW w:w="451" w:type="pct"/>
            <w:tcBorders>
              <w:top w:val="nil"/>
              <w:left w:val="nil"/>
              <w:bottom w:val="single" w:sz="4" w:space="0" w:color="auto"/>
              <w:right w:val="single" w:sz="4" w:space="0" w:color="auto"/>
            </w:tcBorders>
            <w:noWrap/>
            <w:vAlign w:val="bottom"/>
            <w:hideMark/>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109,3</w:t>
            </w:r>
          </w:p>
        </w:tc>
        <w:tc>
          <w:tcPr>
            <w:tcW w:w="451" w:type="pct"/>
            <w:tcBorders>
              <w:top w:val="nil"/>
              <w:left w:val="nil"/>
              <w:bottom w:val="single" w:sz="4" w:space="0" w:color="auto"/>
              <w:right w:val="single" w:sz="4" w:space="0" w:color="auto"/>
            </w:tcBorders>
            <w:noWrap/>
            <w:vAlign w:val="bottom"/>
            <w:hideMark/>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106,2</w:t>
            </w:r>
          </w:p>
        </w:tc>
      </w:tr>
    </w:tbl>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Основное беспокойство у торговых организаций всех товарных сегментов вызывают следующие факторы: низкая обеспеченность дорогами многих населенных пунктов и даже отсутствие дорожной связи между отдельными территориями</w:t>
      </w:r>
      <w:r w:rsidRPr="003658B5">
        <w:rPr>
          <w:rFonts w:ascii="Times New Roman" w:hAnsi="Times New Roman" w:cs="Times New Roman"/>
          <w:i/>
          <w:color w:val="000000"/>
          <w:sz w:val="24"/>
          <w:szCs w:val="24"/>
          <w:lang w:eastAsia="ru-RU"/>
        </w:rPr>
        <w:t>.</w:t>
      </w:r>
      <w:r w:rsidRPr="003658B5">
        <w:rPr>
          <w:rFonts w:ascii="Times New Roman" w:hAnsi="Times New Roman" w:cs="Times New Roman"/>
          <w:color w:val="000000"/>
          <w:sz w:val="24"/>
          <w:szCs w:val="24"/>
          <w:lang w:eastAsia="ru-RU"/>
        </w:rPr>
        <w:t xml:space="preserve"> Такое положение дел не позволяет в срок и в достаточном количестве осуществлять поставки товаров во многие регионы, нарушает процесс товарообмена между ними.</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Аналогично складывается ситуация и со складскими площадями. Для таких товаров, как продукты питания, требующих особых условий хранения, проблема отсутствия складов приводит к тем же последствиям, что и низкая обеспеченность дорогами.</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Вследствие нехватки складских площадей произведенная продукция частично хранится в малоприспособленных или неприспособленных помещениях, в которых невозможно обеспечить оптимальные условия хранения. В результате такого хранения значительно увеличиваются товарные потери, снижается рентабельность производственных и торговых предприятий.</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Анализ процессов формирования и развития инфраструктуры продовольственного рынка Приморского края, выявил негативные тенденции в развитии составляющих инфраструктурного комплекса. Создание эффективной рыночной системы распределения сельскохозяйственной продукции и продовольствия можно осуществить на основе создания оптового продовольственного рынка Приморского края.</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bCs/>
          <w:color w:val="000000"/>
          <w:spacing w:val="-5"/>
          <w:sz w:val="24"/>
          <w:szCs w:val="24"/>
          <w:lang w:eastAsia="ru-RU"/>
        </w:rPr>
      </w:pPr>
      <w:r w:rsidRPr="003658B5">
        <w:rPr>
          <w:rFonts w:ascii="Times New Roman" w:hAnsi="Times New Roman" w:cs="Times New Roman"/>
          <w:color w:val="000000"/>
          <w:sz w:val="24"/>
          <w:szCs w:val="24"/>
        </w:rPr>
        <w:t>По характеру и содержанию своей деятельности оптово-продовольственный рынок призван обеспечить рациональное регулирование производства, распределения, перераспределения и обмена, формируя, под воздействием спроса и предложения продовольственных товаров, эффективные пропорции</w:t>
      </w:r>
      <w:r w:rsidRPr="003658B5">
        <w:rPr>
          <w:rFonts w:ascii="Times New Roman" w:hAnsi="Times New Roman" w:cs="Times New Roman"/>
          <w:i/>
          <w:color w:val="000000"/>
          <w:sz w:val="24"/>
          <w:szCs w:val="24"/>
        </w:rPr>
        <w:t>.</w:t>
      </w:r>
      <w:r w:rsidRPr="003658B5">
        <w:rPr>
          <w:rFonts w:ascii="Times New Roman" w:hAnsi="Times New Roman" w:cs="Times New Roman"/>
          <w:color w:val="000000"/>
          <w:sz w:val="24"/>
          <w:szCs w:val="24"/>
        </w:rPr>
        <w:t xml:space="preserve"> Оптовый продовольственный рынок обеспечивает более тесное взаимодействие сферы производства и сферы потребления. Создание оптового продовольственного рынка в крае послужит сильным толчком в развитии аграрного производства и явится одним из основных условий создания развитых рыночных отношений в сфере обращения в продовольственном комплексе.</w:t>
      </w:r>
    </w:p>
    <w:p w:rsidR="003658B5" w:rsidRPr="003658B5" w:rsidRDefault="003658B5" w:rsidP="003658B5">
      <w:pPr>
        <w:pBdr>
          <w:top w:val="none" w:sz="0" w:space="0" w:color="auto"/>
          <w:left w:val="none" w:sz="0" w:space="0" w:color="auto"/>
          <w:bottom w:val="single" w:sz="12" w:space="1"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bCs/>
          <w:color w:val="000000"/>
          <w:spacing w:val="-5"/>
          <w:sz w:val="24"/>
          <w:szCs w:val="24"/>
          <w:lang w:eastAsia="ru-RU"/>
        </w:rPr>
      </w:pP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1. Абалкин Л.И. Экономическая безопасность России: угрозы и их отражение /Л.И. Абалкин //Вопросы экономики. - 1994. - №12. - С. 4.</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 Анискевич Н.В. Региональные особенности стратегического развития Приморского края /Н.В. Анискевич //Экономика и современный менеджмент: теория и практика: сб. ст. по матер. XXXVII междунар. науч.-практ. конф. № 5(37). - Новосибирск: СибАК, 2014.</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3. Концепция долгосрочного социально-экономического развития Российской Федерации на период до 2020 года, утвержденная распоряжением Правительства Российской Федерации от 17 ноября 2008 г. № 1662-р [Электронный ресурс]. - Режим доступа: http://www.consultant.ru/document/cons_doc_LAW_82134/79d98ab0c15af433ffc39eee86f1c76b48dced89/.</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 xml:space="preserve">4. Состояние и проблемы развития потребительского рынка Приморского края [Электронный ресурс]. - Режим доступа: </w:t>
      </w:r>
      <w:hyperlink r:id="rId23" w:history="1">
        <w:r w:rsidRPr="003658B5">
          <w:rPr>
            <w:rFonts w:ascii="Times New Roman" w:hAnsi="Times New Roman" w:cs="Times New Roman"/>
            <w:color w:val="000000"/>
            <w:sz w:val="24"/>
            <w:szCs w:val="24"/>
          </w:rPr>
          <w:t>http://naukarus.com/sostoyanie-i-problemy-razvitiya-potrebitelskogo-rynka-primorskogo-kraya</w:t>
        </w:r>
      </w:hyperlink>
      <w:r w:rsidRPr="003658B5">
        <w:rPr>
          <w:rFonts w:ascii="Times New Roman" w:hAnsi="Times New Roman" w:cs="Times New Roman"/>
          <w:color w:val="000000"/>
          <w:sz w:val="24"/>
          <w:szCs w:val="24"/>
        </w:rPr>
        <w:t>.</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5. Ведомственная целевая программа «Развитие малого и среднего предпринимательства в отраслях промышленности и в торговле», утвержденная Приказом Министерства промышленности и торговли Российской Федерации от 15 февраля 2010 г. № 123 [Электронный ресурс]. - Режим доступа: http://www.consultant.ru/document/cons_doc_LAW_102785/.</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6. Стратегия социально-экономического развития Дальнего Востока и Байкальского региона на период до 2025 года (утверждена распоряжением Правительства Российской Федерации от 28 декабря 2009 г. № 2094-р) [Электронный ресурс]. - Режим доступа: http://docs.cntd.ru/document/902195483.</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7. Структура торговой сети Приморского края по состоянию на 01 января 2013 - 2017 гг. [Электронный ресурс]. - Режим доступа: http://www.primorsky.ru/authorities/executiveagencies/departments/license/trade/monitoring.php.</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8. Федеральный закон от 22 июля 2008 г.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[Электронный ресурс]. - Режим доступа: http://www.consultant.ru/document/cons_doc_LAW_78582/c4660a7f76827d90f1a2c938cc7f44c36640fed6/.</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 xml:space="preserve">9. Потребительский рынок и проблемы его становления [Электронный ресурс]. - Режим доступа: </w:t>
      </w:r>
      <w:hyperlink r:id="rId24" w:anchor="ixzz59neTbxg6" w:history="1">
        <w:r w:rsidRPr="003658B5">
          <w:rPr>
            <w:rFonts w:ascii="Times New Roman" w:hAnsi="Times New Roman" w:cs="Times New Roman"/>
            <w:sz w:val="24"/>
            <w:szCs w:val="24"/>
          </w:rPr>
          <w:t>http://www.dissercat.com/content/potrebitelskii-rynok-i-problemy-ego-stanovleniya#ixzz59neTbxg6</w:t>
        </w:r>
      </w:hyperlink>
      <w:r w:rsidRPr="003658B5">
        <w:rPr>
          <w:rFonts w:ascii="Times New Roman" w:hAnsi="Times New Roman" w:cs="Times New Roman"/>
          <w:sz w:val="24"/>
          <w:szCs w:val="24"/>
        </w:rPr>
        <w:t>.</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10. Доктрина продовольственной безопасности Российской Федерации (утверждена Указом Президента Российской Федерации от 30 января 2010 г. № 120) [Электронный ресурс]. - Режим доступа: http://www.consultant.ru/document/cons_doc_LAW_96953/.</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color w:val="000000"/>
          <w:sz w:val="24"/>
          <w:szCs w:val="24"/>
          <w:lang w:eastAsia="ru-RU"/>
        </w:rPr>
      </w:pPr>
    </w:p>
    <w:p w:rsidR="003658B5" w:rsidRDefault="003658B5" w:rsidP="00C20E35">
      <w:pPr>
        <w:pStyle w:val="afb"/>
      </w:pPr>
    </w:p>
    <w:p w:rsidR="006F5AE9" w:rsidRDefault="006F5AE9" w:rsidP="00C20E35">
      <w:pPr>
        <w:pStyle w:val="afb"/>
      </w:pP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ind w:firstLine="709"/>
        <w:rPr>
          <w:rFonts w:ascii="Times New Roman" w:hAnsi="Times New Roman" w:cs="Times New Roman"/>
          <w:sz w:val="24"/>
        </w:rPr>
      </w:pPr>
      <w:r w:rsidRPr="006F5AE9">
        <w:rPr>
          <w:rFonts w:ascii="Times New Roman" w:hAnsi="Times New Roman" w:cs="Times New Roman"/>
          <w:sz w:val="24"/>
        </w:rPr>
        <w:t>Рубрика: Общественное питание</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ind w:firstLine="709"/>
        <w:rPr>
          <w:rFonts w:ascii="Times New Roman" w:hAnsi="Times New Roman" w:cs="Times New Roman"/>
          <w:sz w:val="24"/>
        </w:rPr>
      </w:pP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ind w:firstLine="709"/>
        <w:rPr>
          <w:rFonts w:ascii="Times New Roman" w:hAnsi="Times New Roman" w:cs="Times New Roman"/>
          <w:b/>
          <w:sz w:val="24"/>
        </w:rPr>
      </w:pPr>
      <w:r w:rsidRPr="006F5AE9">
        <w:rPr>
          <w:rFonts w:ascii="Times New Roman" w:hAnsi="Times New Roman" w:cs="Times New Roman"/>
          <w:sz w:val="24"/>
        </w:rPr>
        <w:t>УДК 640.43</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ind w:firstLine="709"/>
        <w:rPr>
          <w:rFonts w:ascii="Times New Roman" w:hAnsi="Times New Roman" w:cs="Times New Roman"/>
          <w:b/>
          <w:sz w:val="24"/>
        </w:rPr>
      </w:pP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ind w:firstLine="709"/>
        <w:rPr>
          <w:rFonts w:ascii="Times New Roman" w:hAnsi="Times New Roman" w:cs="Times New Roman"/>
          <w:b/>
          <w:sz w:val="24"/>
        </w:rPr>
      </w:pP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ind w:left="3402" w:right="1701" w:hanging="2693"/>
        <w:rPr>
          <w:rFonts w:ascii="Times New Roman" w:hAnsi="Times New Roman" w:cs="Times New Roman"/>
          <w:b/>
          <w:sz w:val="24"/>
          <w:szCs w:val="26"/>
        </w:rPr>
      </w:pPr>
      <w:r w:rsidRPr="006F5AE9">
        <w:rPr>
          <w:rFonts w:ascii="Times New Roman" w:hAnsi="Times New Roman" w:cs="Times New Roman"/>
          <w:b/>
          <w:sz w:val="24"/>
          <w:szCs w:val="26"/>
        </w:rPr>
        <w:t>Анализ потребителей услуг предприятий питания г. Владивосток в интернет-пространстве</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rPr>
      </w:pPr>
      <w:r w:rsidRPr="006F5AE9">
        <w:rPr>
          <w:rFonts w:ascii="Times New Roman" w:hAnsi="Times New Roman" w:cs="Times New Roman"/>
          <w:sz w:val="24"/>
        </w:rPr>
        <w:t xml:space="preserve">Бирюлин Иван Валерьевич, </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rPr>
      </w:pPr>
      <w:r w:rsidRPr="006F5AE9">
        <w:rPr>
          <w:rFonts w:ascii="Times New Roman" w:hAnsi="Times New Roman" w:cs="Times New Roman"/>
          <w:sz w:val="24"/>
        </w:rPr>
        <w:t>бакалавр</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rPr>
      </w:pPr>
      <w:r w:rsidRPr="006F5AE9">
        <w:rPr>
          <w:rFonts w:ascii="Times New Roman" w:hAnsi="Times New Roman" w:cs="Times New Roman"/>
          <w:i/>
          <w:sz w:val="24"/>
        </w:rPr>
        <w:t>Владивостокский государственный университет экономики и сервиса</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rPr>
      </w:pPr>
      <w:r w:rsidRPr="006F5AE9">
        <w:rPr>
          <w:rFonts w:ascii="Times New Roman" w:hAnsi="Times New Roman" w:cs="Times New Roman"/>
          <w:i/>
          <w:sz w:val="24"/>
        </w:rPr>
        <w:t>Россия. Владивосток</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rPr>
      </w:pPr>
      <w:r w:rsidRPr="006F5AE9">
        <w:rPr>
          <w:rFonts w:ascii="Times New Roman" w:hAnsi="Times New Roman" w:cs="Times New Roman"/>
          <w:sz w:val="24"/>
          <w:lang w:val="en-US"/>
        </w:rPr>
        <w:t>E</w:t>
      </w:r>
      <w:r w:rsidRPr="006F5AE9">
        <w:rPr>
          <w:rFonts w:ascii="Times New Roman" w:hAnsi="Times New Roman" w:cs="Times New Roman"/>
          <w:sz w:val="24"/>
        </w:rPr>
        <w:t>-</w:t>
      </w:r>
      <w:r w:rsidRPr="006F5AE9">
        <w:rPr>
          <w:rFonts w:ascii="Times New Roman" w:hAnsi="Times New Roman" w:cs="Times New Roman"/>
          <w:sz w:val="24"/>
          <w:lang w:val="en-US"/>
        </w:rPr>
        <w:t>mail</w:t>
      </w:r>
      <w:r w:rsidRPr="006F5AE9">
        <w:rPr>
          <w:rFonts w:ascii="Times New Roman" w:hAnsi="Times New Roman" w:cs="Times New Roman"/>
          <w:sz w:val="24"/>
        </w:rPr>
        <w:t xml:space="preserve">: </w:t>
      </w:r>
      <w:r w:rsidRPr="006F5AE9">
        <w:rPr>
          <w:rFonts w:ascii="Times New Roman" w:hAnsi="Times New Roman" w:cs="Times New Roman"/>
          <w:sz w:val="24"/>
          <w:lang w:val="en-US"/>
        </w:rPr>
        <w:t>h</w:t>
      </w:r>
      <w:r w:rsidRPr="006F5AE9">
        <w:rPr>
          <w:rFonts w:ascii="Times New Roman" w:hAnsi="Times New Roman" w:cs="Times New Roman"/>
          <w:sz w:val="24"/>
        </w:rPr>
        <w:t>3</w:t>
      </w:r>
      <w:r w:rsidRPr="006F5AE9">
        <w:rPr>
          <w:rFonts w:ascii="Times New Roman" w:hAnsi="Times New Roman" w:cs="Times New Roman"/>
          <w:sz w:val="24"/>
          <w:lang w:val="en-US"/>
        </w:rPr>
        <w:t>avyyy</w:t>
      </w:r>
      <w:r w:rsidRPr="006F5AE9">
        <w:rPr>
          <w:rFonts w:ascii="Times New Roman" w:hAnsi="Times New Roman" w:cs="Times New Roman"/>
          <w:sz w:val="24"/>
        </w:rPr>
        <w:t>@</w:t>
      </w:r>
      <w:r w:rsidRPr="006F5AE9">
        <w:rPr>
          <w:rFonts w:ascii="Times New Roman" w:hAnsi="Times New Roman" w:cs="Times New Roman"/>
          <w:sz w:val="24"/>
          <w:lang w:val="en-US"/>
        </w:rPr>
        <w:t>gmail</w:t>
      </w:r>
      <w:r w:rsidRPr="006F5AE9">
        <w:rPr>
          <w:rFonts w:ascii="Times New Roman" w:hAnsi="Times New Roman" w:cs="Times New Roman"/>
          <w:sz w:val="24"/>
        </w:rPr>
        <w:t>.</w:t>
      </w:r>
      <w:r w:rsidRPr="006F5AE9">
        <w:rPr>
          <w:rFonts w:ascii="Times New Roman" w:hAnsi="Times New Roman" w:cs="Times New Roman"/>
          <w:sz w:val="24"/>
          <w:lang w:val="en-US"/>
        </w:rPr>
        <w:t>ru</w:t>
      </w:r>
      <w:r w:rsidRPr="006F5AE9">
        <w:rPr>
          <w:rFonts w:ascii="Times New Roman" w:hAnsi="Times New Roman" w:cs="Times New Roman"/>
          <w:sz w:val="24"/>
        </w:rPr>
        <w:t>, тел. +79841527505</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rPr>
      </w:pPr>
      <w:r w:rsidRPr="006F5AE9">
        <w:rPr>
          <w:rFonts w:ascii="Times New Roman" w:hAnsi="Times New Roman" w:cs="Times New Roman"/>
          <w:sz w:val="24"/>
        </w:rPr>
        <w:t xml:space="preserve">ул. Гоголя, </w:t>
      </w:r>
      <w:smartTag w:uri="urn:schemas-microsoft-com:office:smarttags" w:element="metricconverter">
        <w:smartTagPr>
          <w:attr w:name="ProductID" w:val="41, г"/>
        </w:smartTagPr>
        <w:r w:rsidRPr="006F5AE9">
          <w:rPr>
            <w:rFonts w:ascii="Times New Roman" w:hAnsi="Times New Roman" w:cs="Times New Roman"/>
            <w:sz w:val="24"/>
          </w:rPr>
          <w:t>41, г</w:t>
        </w:r>
      </w:smartTag>
      <w:r w:rsidRPr="006F5AE9">
        <w:rPr>
          <w:rFonts w:ascii="Times New Roman" w:hAnsi="Times New Roman" w:cs="Times New Roman"/>
          <w:sz w:val="24"/>
        </w:rPr>
        <w:t>. Владивосток, Приморский край, Россия, 690014</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Arial"/>
          <w:sz w:val="24"/>
          <w:szCs w:val="24"/>
        </w:rPr>
      </w:pPr>
      <w:r w:rsidRPr="006F5AE9">
        <w:rPr>
          <w:rFonts w:ascii="Times New Roman" w:hAnsi="Times New Roman" w:cs="Arial"/>
          <w:sz w:val="24"/>
          <w:szCs w:val="24"/>
        </w:rPr>
        <w:t>Шеметова Елена Васильевна,</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Arial"/>
          <w:sz w:val="24"/>
          <w:szCs w:val="24"/>
        </w:rPr>
      </w:pPr>
      <w:r w:rsidRPr="006F5AE9">
        <w:rPr>
          <w:rFonts w:ascii="Times New Roman" w:hAnsi="Times New Roman" w:cs="Arial"/>
          <w:sz w:val="24"/>
          <w:szCs w:val="24"/>
        </w:rPr>
        <w:t>старший преподаватель, кафедра туризма и экологии</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Arial"/>
          <w:sz w:val="24"/>
          <w:szCs w:val="24"/>
          <w:lang w:val="en-US"/>
        </w:rPr>
      </w:pPr>
      <w:r w:rsidRPr="006F5AE9">
        <w:rPr>
          <w:rFonts w:ascii="Times New Roman" w:hAnsi="Times New Roman" w:cs="Arial"/>
          <w:sz w:val="24"/>
          <w:szCs w:val="24"/>
          <w:lang w:val="en-US"/>
        </w:rPr>
        <w:t>E-mail: elena.shemetova@vvsu.ru</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lang w:val="en-US"/>
        </w:rPr>
      </w:pP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i/>
          <w:sz w:val="24"/>
        </w:rPr>
      </w:pPr>
      <w:r w:rsidRPr="006F5AE9">
        <w:rPr>
          <w:rFonts w:ascii="Times New Roman" w:hAnsi="Times New Roman" w:cs="Times New Roman"/>
          <w:i/>
          <w:sz w:val="24"/>
        </w:rPr>
        <w:t>В статье представлены данные о состоянии рынка общественного питания в России. Проведен анализ потребителей услуг предприятий общественного питания во Владивостоке в интернет пространстве. Определены перспективы развития рынка и способы привлечения потребителей.</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i/>
          <w:sz w:val="24"/>
        </w:rPr>
      </w:pP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76" w:lineRule="auto"/>
        <w:ind w:left="-142" w:firstLine="709"/>
        <w:jc w:val="both"/>
        <w:rPr>
          <w:rFonts w:ascii="Times New Roman" w:hAnsi="Times New Roman" w:cs="Times New Roman"/>
          <w:i/>
          <w:sz w:val="24"/>
          <w:szCs w:val="26"/>
        </w:rPr>
      </w:pPr>
      <w:r w:rsidRPr="006F5AE9">
        <w:rPr>
          <w:rFonts w:ascii="Times New Roman" w:hAnsi="Times New Roman" w:cs="Arial"/>
          <w:b/>
          <w:i/>
          <w:sz w:val="24"/>
          <w:szCs w:val="26"/>
        </w:rPr>
        <w:t>Ключевые слова</w:t>
      </w:r>
      <w:r w:rsidRPr="006F5AE9">
        <w:rPr>
          <w:rFonts w:ascii="Times New Roman" w:hAnsi="Times New Roman" w:cs="Arial"/>
          <w:i/>
          <w:sz w:val="24"/>
          <w:szCs w:val="26"/>
        </w:rPr>
        <w:t xml:space="preserve">: </w:t>
      </w:r>
      <w:r w:rsidRPr="006F5AE9">
        <w:rPr>
          <w:rFonts w:ascii="Times New Roman" w:hAnsi="Times New Roman" w:cs="Times New Roman"/>
          <w:i/>
          <w:sz w:val="24"/>
          <w:szCs w:val="26"/>
        </w:rPr>
        <w:t>общественное питание, интернет, анализ, потребители, опрос, исследование, реклама.</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76" w:lineRule="auto"/>
        <w:ind w:left="-142" w:firstLine="709"/>
        <w:jc w:val="both"/>
        <w:rPr>
          <w:rFonts w:ascii="Times New Roman" w:hAnsi="Times New Roman" w:cs="Times New Roman"/>
          <w:i/>
          <w:sz w:val="24"/>
          <w:szCs w:val="26"/>
        </w:rPr>
      </w:pP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76" w:lineRule="auto"/>
        <w:jc w:val="center"/>
        <w:rPr>
          <w:rFonts w:ascii="Times New Roman" w:hAnsi="Times New Roman" w:cs="Arial"/>
          <w:b/>
          <w:sz w:val="24"/>
          <w:szCs w:val="26"/>
          <w:lang w:val="en-US"/>
        </w:rPr>
      </w:pPr>
      <w:r w:rsidRPr="006F5AE9">
        <w:rPr>
          <w:rFonts w:ascii="Times New Roman" w:hAnsi="Times New Roman" w:cs="Arial"/>
          <w:b/>
          <w:sz w:val="24"/>
          <w:szCs w:val="26"/>
          <w:lang w:val="en-US"/>
        </w:rPr>
        <w:t xml:space="preserve">Analysis of consumers of food services in </w:t>
      </w:r>
      <w:smartTag w:uri="urn:schemas-microsoft-com:office:smarttags" w:element="City">
        <w:smartTag w:uri="urn:schemas-microsoft-com:office:smarttags" w:element="place">
          <w:r w:rsidRPr="006F5AE9">
            <w:rPr>
              <w:rFonts w:ascii="Times New Roman" w:hAnsi="Times New Roman" w:cs="Arial"/>
              <w:b/>
              <w:sz w:val="24"/>
              <w:szCs w:val="26"/>
              <w:lang w:val="en-US"/>
            </w:rPr>
            <w:t>Vladivostok</w:t>
          </w:r>
        </w:smartTag>
      </w:smartTag>
      <w:r w:rsidRPr="006F5AE9">
        <w:rPr>
          <w:rFonts w:ascii="Times New Roman" w:hAnsi="Times New Roman" w:cs="Arial"/>
          <w:b/>
          <w:sz w:val="24"/>
          <w:szCs w:val="26"/>
          <w:lang w:val="en-US"/>
        </w:rPr>
        <w:t xml:space="preserve"> in the Internet space</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76" w:lineRule="auto"/>
        <w:jc w:val="center"/>
        <w:rPr>
          <w:rFonts w:ascii="Times New Roman" w:hAnsi="Times New Roman" w:cs="Arial"/>
          <w:b/>
          <w:sz w:val="24"/>
          <w:szCs w:val="26"/>
          <w:lang w:val="en-US"/>
        </w:rPr>
      </w:pP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Arial"/>
          <w:i/>
          <w:sz w:val="24"/>
          <w:szCs w:val="26"/>
          <w:lang w:val="en-US"/>
        </w:rPr>
      </w:pPr>
      <w:r w:rsidRPr="006F5AE9">
        <w:rPr>
          <w:rFonts w:ascii="Times New Roman" w:hAnsi="Times New Roman" w:cs="Arial"/>
          <w:i/>
          <w:sz w:val="24"/>
          <w:szCs w:val="26"/>
          <w:lang w:val="en-US"/>
        </w:rPr>
        <w:t xml:space="preserve">The article presents data on the state of the market of public catering in </w:t>
      </w:r>
      <w:smartTag w:uri="urn:schemas-microsoft-com:office:smarttags" w:element="country-region">
        <w:smartTag w:uri="urn:schemas-microsoft-com:office:smarttags" w:element="place">
          <w:r w:rsidRPr="006F5AE9">
            <w:rPr>
              <w:rFonts w:ascii="Times New Roman" w:hAnsi="Times New Roman" w:cs="Arial"/>
              <w:i/>
              <w:sz w:val="24"/>
              <w:szCs w:val="26"/>
              <w:lang w:val="en-US"/>
            </w:rPr>
            <w:t>Russia</w:t>
          </w:r>
        </w:smartTag>
      </w:smartTag>
      <w:r w:rsidRPr="006F5AE9">
        <w:rPr>
          <w:rFonts w:ascii="Times New Roman" w:hAnsi="Times New Roman" w:cs="Arial"/>
          <w:i/>
          <w:sz w:val="24"/>
          <w:szCs w:val="26"/>
          <w:lang w:val="en-US"/>
        </w:rPr>
        <w:t xml:space="preserve">. The analysis of consumer services for the foodservice </w:t>
      </w:r>
      <w:smartTag w:uri="urn:schemas-microsoft-com:office:smarttags" w:element="place">
        <w:smartTag w:uri="urn:schemas-microsoft-com:office:smarttags" w:element="City">
          <w:r w:rsidRPr="006F5AE9">
            <w:rPr>
              <w:rFonts w:ascii="Times New Roman" w:hAnsi="Times New Roman" w:cs="Arial"/>
              <w:i/>
              <w:sz w:val="24"/>
              <w:szCs w:val="26"/>
              <w:lang w:val="en-US"/>
            </w:rPr>
            <w:t>Vladivostok</w:t>
          </w:r>
        </w:smartTag>
      </w:smartTag>
      <w:r w:rsidRPr="006F5AE9">
        <w:rPr>
          <w:rFonts w:ascii="Times New Roman" w:hAnsi="Times New Roman" w:cs="Arial"/>
          <w:i/>
          <w:sz w:val="24"/>
          <w:szCs w:val="26"/>
          <w:lang w:val="en-US"/>
        </w:rPr>
        <w:t xml:space="preserve"> in online space. The prospects for the development of the market and ways of attracting consumers have been determined.</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Arial"/>
          <w:i/>
          <w:sz w:val="24"/>
          <w:szCs w:val="26"/>
          <w:lang w:val="en-US"/>
        </w:rPr>
      </w:pP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Arial"/>
          <w:i/>
          <w:sz w:val="24"/>
          <w:szCs w:val="26"/>
          <w:lang w:val="en-US"/>
        </w:rPr>
      </w:pPr>
      <w:r w:rsidRPr="006F5AE9">
        <w:rPr>
          <w:rFonts w:ascii="Times New Roman" w:hAnsi="Times New Roman" w:cs="Arial"/>
          <w:b/>
          <w:i/>
          <w:sz w:val="24"/>
          <w:szCs w:val="26"/>
          <w:lang w:val="en-US"/>
        </w:rPr>
        <w:t>Keywords</w:t>
      </w:r>
      <w:r w:rsidRPr="006F5AE9">
        <w:rPr>
          <w:rFonts w:ascii="Times New Roman" w:hAnsi="Times New Roman" w:cs="Arial"/>
          <w:i/>
          <w:sz w:val="24"/>
          <w:szCs w:val="26"/>
          <w:lang w:val="en-US"/>
        </w:rPr>
        <w:t>: catering, Internet, analysis, consumers, survey, research, advertising.</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contextualSpacing/>
        <w:jc w:val="center"/>
        <w:rPr>
          <w:rFonts w:ascii="Times New Roman" w:hAnsi="Times New Roman" w:cs="Arial"/>
          <w:sz w:val="24"/>
          <w:szCs w:val="26"/>
          <w:lang w:val="en-US"/>
        </w:rPr>
      </w:pP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ind w:left="-142" w:firstLine="709"/>
        <w:jc w:val="both"/>
        <w:rPr>
          <w:rFonts w:ascii="Times New Roman" w:hAnsi="Times New Roman" w:cs="Arial"/>
          <w:sz w:val="24"/>
          <w:szCs w:val="26"/>
        </w:rPr>
      </w:pPr>
      <w:r w:rsidRPr="006F5AE9">
        <w:rPr>
          <w:rFonts w:ascii="Times New Roman" w:hAnsi="Times New Roman" w:cs="Arial"/>
          <w:sz w:val="24"/>
          <w:szCs w:val="26"/>
        </w:rPr>
        <w:t>Д</w:t>
      </w:r>
      <w:r w:rsidRPr="006F5AE9">
        <w:rPr>
          <w:rFonts w:ascii="Times New Roman" w:hAnsi="Times New Roman" w:cs="Times New Roman"/>
          <w:sz w:val="24"/>
          <w:szCs w:val="26"/>
        </w:rPr>
        <w:t xml:space="preserve">ля рынка общественного питания проблема </w:t>
      </w:r>
      <w:r w:rsidRPr="006F5AE9">
        <w:rPr>
          <w:rFonts w:ascii="Times New Roman" w:hAnsi="Times New Roman" w:cs="Arial"/>
          <w:sz w:val="24"/>
          <w:szCs w:val="26"/>
        </w:rPr>
        <w:t xml:space="preserve">сокращения потребительского спроса </w:t>
      </w:r>
      <w:r w:rsidRPr="006F5AE9">
        <w:rPr>
          <w:rFonts w:ascii="Times New Roman" w:hAnsi="Times New Roman" w:cs="Times New Roman"/>
          <w:sz w:val="24"/>
          <w:szCs w:val="26"/>
        </w:rPr>
        <w:t xml:space="preserve">актуальна </w:t>
      </w:r>
      <w:r w:rsidRPr="006F5AE9">
        <w:rPr>
          <w:rFonts w:ascii="Times New Roman" w:hAnsi="Times New Roman" w:cs="Arial"/>
          <w:sz w:val="24"/>
          <w:szCs w:val="26"/>
        </w:rPr>
        <w:t>и является одним из важных факторов в ресторанном бизнесе. Основные показатели экономики России в период 2014-2016 годов существенно ухудшились, уровень инфляции остается высоким, а реальный располагаемый доход россиян снизился. В кризисный период предприятиям общественного питания необходимо прилагать больше усилий по удержанию постоянных гостей и привлечению новых, а также обратить внимание на выбор вектора маркетинговой деятельности, анализ потребителей и способы их привлечения.</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ind w:left="-142" w:firstLine="709"/>
        <w:jc w:val="both"/>
        <w:rPr>
          <w:rFonts w:ascii="Times New Roman" w:hAnsi="Times New Roman" w:cs="Times New Roman"/>
          <w:sz w:val="24"/>
          <w:szCs w:val="26"/>
        </w:rPr>
      </w:pPr>
      <w:r w:rsidRPr="006F5AE9">
        <w:rPr>
          <w:rFonts w:ascii="Times New Roman" w:hAnsi="Times New Roman" w:cs="Arial"/>
          <w:sz w:val="24"/>
          <w:szCs w:val="26"/>
        </w:rPr>
        <w:t xml:space="preserve">Цель работы: </w:t>
      </w:r>
      <w:r w:rsidRPr="006F5AE9">
        <w:rPr>
          <w:rFonts w:ascii="Times New Roman" w:hAnsi="Times New Roman" w:cs="Times New Roman"/>
          <w:sz w:val="24"/>
          <w:szCs w:val="26"/>
        </w:rPr>
        <w:t>провести анализ потребителей в общественном питании, их деятельности в интернет пространстве и предпочтений.</w:t>
      </w:r>
      <w:r w:rsidRPr="006F5AE9">
        <w:rPr>
          <w:rFonts w:ascii="Times New Roman" w:hAnsi="Times New Roman" w:cs="Times New Roman"/>
          <w:sz w:val="24"/>
          <w:szCs w:val="26"/>
        </w:rPr>
        <w:tab/>
      </w:r>
      <w:r w:rsidRPr="006F5AE9">
        <w:rPr>
          <w:rFonts w:ascii="Times New Roman" w:hAnsi="Times New Roman" w:cs="Times New Roman"/>
          <w:sz w:val="24"/>
          <w:szCs w:val="26"/>
        </w:rPr>
        <w:tab/>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ind w:left="-142" w:firstLine="709"/>
        <w:jc w:val="both"/>
        <w:rPr>
          <w:rFonts w:ascii="Times New Roman" w:hAnsi="Times New Roman" w:cs="Arial"/>
          <w:sz w:val="24"/>
          <w:szCs w:val="26"/>
        </w:rPr>
      </w:pPr>
      <w:r w:rsidRPr="006F5AE9">
        <w:rPr>
          <w:rFonts w:ascii="Times New Roman" w:hAnsi="Times New Roman" w:cs="Arial"/>
          <w:sz w:val="24"/>
          <w:szCs w:val="26"/>
        </w:rPr>
        <w:t>При написании использовались частно-научные методы: анализ, определение, системный и статистический опрос.</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6"/>
        </w:rPr>
      </w:pPr>
      <w:r w:rsidRPr="006F5AE9">
        <w:rPr>
          <w:rFonts w:ascii="Times New Roman" w:hAnsi="Times New Roman" w:cs="Times New Roman"/>
          <w:sz w:val="24"/>
          <w:szCs w:val="26"/>
        </w:rPr>
        <w:t>Обращая внимание на рынок общественного питания, прежде всего хотелось бы отметить кризисный период 2013-15 годов: отрицательную динамику развития демонстрировали все сегменты общественного питания, кроме фастфуда.</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6"/>
        </w:rPr>
      </w:pPr>
      <w:r w:rsidRPr="006F5AE9">
        <w:rPr>
          <w:rFonts w:ascii="Times New Roman" w:hAnsi="Times New Roman" w:cs="Times New Roman"/>
          <w:sz w:val="24"/>
          <w:szCs w:val="26"/>
        </w:rPr>
        <w:t>В числе наиболее пострадавших сегментов российского рынка общественного питания оказались рестораны среднего ценового сегмента, которые по итогам 2015 года показали падение на уровне 12,4%. Оборот сегмента того года составил 396 млрд руб. Число пострадавших рынков в кризис дополнили столовые и стрит-фуд-заведения. Посетители последних стали менее спонтанно совершать покупки, предпочитая уличному общепиту поход в фастфуд-рестораны или питание дома. Наиболее сильно здесь пострадали несетевые стрит-фуд-заведения. В целом оборот уличного общепита по итогам 2015 года упал на 5,5%, составив 69,7 млрд руб.[1].Рынок кофеен и кафе-кондитерских также не избежал кризиса. В 2015 году оборот сегмента снизился на 3,8%, составив 225,6 млрд руб. А вот оборот фастфуд-сегмента сумел показать положительную динамику развития в 2015 году и составил 5,2% благодаря переходупосетителей из других сегментов.</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6"/>
        </w:rPr>
      </w:pPr>
      <w:r w:rsidRPr="006F5AE9">
        <w:rPr>
          <w:rFonts w:ascii="Times New Roman" w:hAnsi="Times New Roman" w:cs="Times New Roman"/>
          <w:sz w:val="24"/>
          <w:szCs w:val="26"/>
        </w:rPr>
        <w:t>Кризис в индустрии общественного питания еще не миновал, но уже наметилось некоторое «просветление», в повсеместно сторнирующем рынке общественного питания в отдельных его сегментах все же наблюдается устойчивый рост: по данным исследования, подготовленного маркетинговым агентством «Маркет Аналитика», количество ресторанов, кафе и баров к 2016 выросло на 24%, относительно 2011 года,а за май 2015 года – май 2016 года в стране открылось около 408 новых точек быстрого питания.</w:t>
      </w:r>
      <w:r w:rsidRPr="006F5AE9">
        <w:rPr>
          <w:rFonts w:ascii="Times New Roman" w:hAnsi="Times New Roman" w:cs="Arial"/>
          <w:color w:val="000000"/>
          <w:sz w:val="24"/>
          <w:szCs w:val="26"/>
        </w:rPr>
        <w:t>В условиях экономического кризиса и заметного роста конкуренции на рынке общественного питания, все больше компаний уделяют внимания роли социальных медиа, как канала продвижения. В эпоху развития современных технологий и роста потребительских требований к уровню сервиса, любое заведение должно иметь свой сайт. А в условиях ограниченного бюджета на рекламу, спрос повышается за счет групп и страниц в социальных сетях. По данным на 2015 год, около 70% предприятий малого и среднего бизнеса имели представительство в соцсетях. Однако в большинстве случаев они не могут дать весь функционал, требуемый от информационной площадки для заведений, из-за ряда ограничений, накладываемых их механикой — к примеру, полноценную работу с филиалами сетевых заведений, отзывами, размещение меню, расписаний и другой специфичной информации [2].</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6"/>
        </w:rPr>
      </w:pPr>
      <w:r w:rsidRPr="006F5AE9">
        <w:rPr>
          <w:rFonts w:ascii="Times New Roman" w:hAnsi="Times New Roman" w:cs="Arial"/>
          <w:sz w:val="24"/>
          <w:szCs w:val="26"/>
        </w:rPr>
        <w:t xml:space="preserve">По итогам 2015 года численность предприятия сферы общественного питания в Приморском крае составила 2 282 единицы. </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ind w:left="-15" w:firstLine="709"/>
        <w:jc w:val="both"/>
        <w:rPr>
          <w:rFonts w:ascii="Times New Roman" w:hAnsi="Times New Roman" w:cs="Times New Roman"/>
          <w:color w:val="000000"/>
          <w:sz w:val="24"/>
          <w:szCs w:val="26"/>
        </w:rPr>
      </w:pPr>
      <w:r w:rsidRPr="006F5AE9">
        <w:rPr>
          <w:rFonts w:ascii="Times New Roman" w:hAnsi="Times New Roman" w:cs="Arial"/>
          <w:sz w:val="24"/>
          <w:szCs w:val="26"/>
        </w:rPr>
        <w:t xml:space="preserve">Доля предприятий общественного питания Приморского края составила 1,6 % в общем числе таких предприятий по России и 28,4 % по Дальневосточному федеральному округу. Из общего числа ресторанов, кафе, баров в Приморском крае 767 единиц более 84 % (645 единиц) находится в г. Владивостоке. </w:t>
      </w:r>
      <w:r w:rsidRPr="006F5AE9">
        <w:rPr>
          <w:rFonts w:ascii="Times New Roman" w:hAnsi="Times New Roman" w:cs="Arial"/>
          <w:color w:val="000000"/>
          <w:sz w:val="24"/>
          <w:szCs w:val="26"/>
        </w:rPr>
        <w:t xml:space="preserve">Согласно последним исследованиям, 39% россиян просматривают сайты ресторанов перед их посещением, предпочитая узнать подробнее </w:t>
      </w:r>
      <w:r w:rsidRPr="006F5AE9">
        <w:rPr>
          <w:rFonts w:ascii="Times New Roman" w:hAnsi="Times New Roman" w:cs="Times New Roman"/>
          <w:sz w:val="24"/>
          <w:szCs w:val="26"/>
        </w:rPr>
        <w:t>о ценах, меню, отзывах и режиме работы</w:t>
      </w:r>
      <w:r w:rsidRPr="006F5AE9">
        <w:rPr>
          <w:rFonts w:ascii="Times New Roman" w:hAnsi="Times New Roman" w:cs="Arial"/>
          <w:color w:val="000000"/>
          <w:sz w:val="24"/>
          <w:szCs w:val="26"/>
        </w:rPr>
        <w:t>. После посещения заведений общепита около 16% опрошенных делятся положительными отзывами о них в социальных медиа</w:t>
      </w:r>
      <w:r w:rsidRPr="006F5AE9">
        <w:rPr>
          <w:rFonts w:ascii="Times New Roman" w:hAnsi="Times New Roman" w:cs="Times New Roman"/>
          <w:color w:val="000000"/>
          <w:sz w:val="24"/>
          <w:szCs w:val="26"/>
        </w:rPr>
        <w:t xml:space="preserve">. </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6"/>
        </w:rPr>
      </w:pPr>
      <w:r w:rsidRPr="006F5AE9">
        <w:rPr>
          <w:rFonts w:ascii="Times New Roman" w:hAnsi="Times New Roman" w:cs="Times New Roman"/>
          <w:sz w:val="24"/>
          <w:szCs w:val="26"/>
        </w:rPr>
        <w:t>Также, по данным исследовательского холдинга «Ромир», россияне проводят в интернете примерно 143 минуты в день, а количество пользователей социальными сетями увеличилось с 80 % в конце 2012 года до 91 % в апреле 2016 года. В «молодёжной аудитории» этот показатель сейчас составляет 98 %, а среди россиян в возрасте 45–50 лет — 86 %.Символично, что именно в соцсетях пользователи чаще всего оставляют отзывы, фотографии и делятся впечатлениями о тех или иных заведениях. К тому же Россия имеет один из наибольших процентов аудитории, задействованной в социальных сетях во всем мире.</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sz w:val="24"/>
          <w:szCs w:val="24"/>
          <w:lang w:eastAsia="ru-RU"/>
        </w:rPr>
      </w:pPr>
      <w:r w:rsidRPr="006F5AE9">
        <w:rPr>
          <w:rFonts w:ascii="Times New Roman" w:hAnsi="Times New Roman" w:cs="Times New Roman"/>
          <w:sz w:val="24"/>
          <w:szCs w:val="24"/>
          <w:lang w:eastAsia="ru-RU"/>
        </w:rPr>
        <w:t xml:space="preserve">Джон Фотис, научный сотрудник Bournemouth University, подчеркнул, что «социальные медиа становятся все более важными в области туризма и общественного. Так, например, 82% американских онлайн-потребителей проверяют веб-обзоры, блоги и отзывы других людей для выбора места отдыха. </w:t>
      </w:r>
      <w:r w:rsidRPr="006F5AE9">
        <w:rPr>
          <w:rFonts w:ascii="Times New Roman" w:hAnsi="Times New Roman" w:cs="Times New Roman"/>
          <w:bCs/>
          <w:sz w:val="24"/>
          <w:szCs w:val="24"/>
          <w:lang w:eastAsia="ru-RU"/>
        </w:rPr>
        <w:t>Поэтому именно для привлечения российских потребителей использование социальных сетей представляется наиболее эффективным.</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color w:val="000000"/>
          <w:sz w:val="24"/>
          <w:szCs w:val="24"/>
          <w:shd w:val="clear" w:color="auto" w:fill="FFFFFF"/>
          <w:lang w:eastAsia="ru-RU"/>
        </w:rPr>
      </w:pPr>
      <w:r w:rsidRPr="006F5AE9">
        <w:rPr>
          <w:rFonts w:ascii="Times New Roman" w:hAnsi="Times New Roman" w:cs="Times New Roman"/>
          <w:bCs/>
          <w:sz w:val="24"/>
          <w:szCs w:val="24"/>
          <w:lang w:eastAsia="ru-RU"/>
        </w:rPr>
        <w:t>По мнению «BRAND ANALYTICS»среди самых популярных соцсетей 2017 года – «Вконтакте», «</w:t>
      </w:r>
      <w:r w:rsidRPr="006F5AE9">
        <w:rPr>
          <w:rFonts w:ascii="Times New Roman" w:hAnsi="Times New Roman" w:cs="Times New Roman"/>
          <w:bCs/>
          <w:sz w:val="24"/>
          <w:szCs w:val="24"/>
          <w:lang w:val="en-US" w:eastAsia="ru-RU"/>
        </w:rPr>
        <w:t>Instagram</w:t>
      </w:r>
      <w:r w:rsidRPr="006F5AE9">
        <w:rPr>
          <w:rFonts w:ascii="Times New Roman" w:hAnsi="Times New Roman" w:cs="Times New Roman"/>
          <w:bCs/>
          <w:sz w:val="24"/>
          <w:szCs w:val="24"/>
          <w:lang w:eastAsia="ru-RU"/>
        </w:rPr>
        <w:t>», «</w:t>
      </w:r>
      <w:r w:rsidRPr="006F5AE9">
        <w:rPr>
          <w:rFonts w:ascii="Times New Roman" w:hAnsi="Times New Roman" w:cs="Times New Roman"/>
          <w:bCs/>
          <w:sz w:val="24"/>
          <w:szCs w:val="24"/>
          <w:lang w:val="en-US" w:eastAsia="ru-RU"/>
        </w:rPr>
        <w:t>Facebook</w:t>
      </w:r>
      <w:r w:rsidRPr="006F5AE9">
        <w:rPr>
          <w:rFonts w:ascii="Times New Roman" w:hAnsi="Times New Roman" w:cs="Times New Roman"/>
          <w:bCs/>
          <w:sz w:val="24"/>
          <w:szCs w:val="24"/>
          <w:lang w:eastAsia="ru-RU"/>
        </w:rPr>
        <w:t>» «</w:t>
      </w:r>
      <w:r w:rsidRPr="006F5AE9">
        <w:rPr>
          <w:rFonts w:ascii="Times New Roman" w:hAnsi="Times New Roman" w:cs="Times New Roman"/>
          <w:bCs/>
          <w:sz w:val="24"/>
          <w:szCs w:val="24"/>
          <w:lang w:val="en-US" w:eastAsia="ru-RU"/>
        </w:rPr>
        <w:t>Twitter</w:t>
      </w:r>
      <w:r w:rsidRPr="006F5AE9">
        <w:rPr>
          <w:rFonts w:ascii="Times New Roman" w:hAnsi="Times New Roman" w:cs="Times New Roman"/>
          <w:bCs/>
          <w:sz w:val="24"/>
          <w:szCs w:val="24"/>
          <w:lang w:eastAsia="ru-RU"/>
        </w:rPr>
        <w:t xml:space="preserve">».«Вконтакте» традиционно занимает первое место среди социальных сетей, основная возрастная группа в которой – 37% – в возрасте 25-34 лет. Вторая по численности группа – 18-24 лет (25,7%), а основная аудитория </w:t>
      </w:r>
      <w:r w:rsidRPr="006F5AE9">
        <w:rPr>
          <w:rFonts w:ascii="Times New Roman" w:hAnsi="Times New Roman" w:cs="Times New Roman"/>
          <w:color w:val="000000"/>
          <w:sz w:val="24"/>
          <w:szCs w:val="24"/>
          <w:shd w:val="clear" w:color="auto" w:fill="FFFFFF"/>
          <w:lang w:eastAsia="ru-RU"/>
        </w:rPr>
        <w:t>Instagram-пользователей - женская, и насчитывает 76,9%.</w:t>
      </w:r>
    </w:p>
    <w:p w:rsidR="006F5AE9" w:rsidRDefault="006F5AE9" w:rsidP="006F5AE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color w:val="000000"/>
          <w:sz w:val="24"/>
          <w:szCs w:val="24"/>
          <w:shd w:val="clear" w:color="auto" w:fill="FFFFFF"/>
          <w:lang w:eastAsia="ru-RU"/>
        </w:rPr>
      </w:pPr>
      <w:r w:rsidRPr="006F5AE9">
        <w:rPr>
          <w:rFonts w:ascii="Times New Roman" w:hAnsi="Times New Roman" w:cs="Times New Roman"/>
          <w:color w:val="000000"/>
          <w:sz w:val="24"/>
          <w:szCs w:val="24"/>
          <w:shd w:val="clear" w:color="auto" w:fill="FFFFFF"/>
          <w:lang w:eastAsia="ru-RU"/>
        </w:rPr>
        <w:t>Но интернет активность потребителей не ограничивается социальными сетями, они также посещают сайты агрегаторы, сайты отзывов, справочники, такие как: «2GIS», «</w:t>
      </w:r>
      <w:r w:rsidRPr="006F5AE9">
        <w:rPr>
          <w:rFonts w:ascii="Times New Roman" w:hAnsi="Times New Roman" w:cs="Times New Roman"/>
          <w:color w:val="000000"/>
          <w:sz w:val="24"/>
          <w:szCs w:val="24"/>
          <w:shd w:val="clear" w:color="auto" w:fill="FFFFFF"/>
          <w:lang w:val="en-US" w:eastAsia="ru-RU"/>
        </w:rPr>
        <w:t>Vl</w:t>
      </w:r>
      <w:r w:rsidRPr="006F5AE9">
        <w:rPr>
          <w:rFonts w:ascii="Times New Roman" w:hAnsi="Times New Roman" w:cs="Times New Roman"/>
          <w:color w:val="000000"/>
          <w:sz w:val="24"/>
          <w:szCs w:val="24"/>
          <w:shd w:val="clear" w:color="auto" w:fill="FFFFFF"/>
          <w:lang w:eastAsia="ru-RU"/>
        </w:rPr>
        <w:t>.ru», «ПапаГид»или«</w:t>
      </w:r>
      <w:r w:rsidRPr="006F5AE9">
        <w:rPr>
          <w:rFonts w:ascii="Times New Roman" w:hAnsi="Times New Roman" w:cs="Times New Roman"/>
          <w:color w:val="000000"/>
          <w:sz w:val="24"/>
          <w:szCs w:val="24"/>
          <w:shd w:val="clear" w:color="auto" w:fill="FFFFFF"/>
          <w:lang w:val="en-US" w:eastAsia="ru-RU"/>
        </w:rPr>
        <w:t>TripAdvisor</w:t>
      </w:r>
      <w:r w:rsidRPr="006F5AE9">
        <w:rPr>
          <w:rFonts w:ascii="Times New Roman" w:hAnsi="Times New Roman" w:cs="Times New Roman"/>
          <w:color w:val="000000"/>
          <w:sz w:val="24"/>
          <w:szCs w:val="24"/>
          <w:shd w:val="clear" w:color="auto" w:fill="FFFFFF"/>
          <w:lang w:eastAsia="ru-RU"/>
        </w:rPr>
        <w:t>» [3].</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color w:val="000000"/>
          <w:sz w:val="24"/>
          <w:szCs w:val="24"/>
          <w:lang w:eastAsia="ru-RU"/>
        </w:rPr>
      </w:pPr>
      <w:r w:rsidRPr="006F5AE9">
        <w:rPr>
          <w:rFonts w:ascii="Times New Roman" w:hAnsi="Times New Roman" w:cs="Times New Roman"/>
          <w:color w:val="000000"/>
          <w:sz w:val="24"/>
          <w:szCs w:val="24"/>
          <w:lang w:eastAsia="ru-RU"/>
        </w:rPr>
        <w:t xml:space="preserve">Сейчас на Vl.ru оставляется порядка 40 отзывов в день о заведениях общепита. Это большая часть от общего количества отзывов, которые оставляются в том числе о других организациях. Таким образом, общепит — сфера, забирающая на себя наибольший процент соцактивности населения. </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color w:val="000000"/>
          <w:sz w:val="24"/>
          <w:szCs w:val="24"/>
          <w:lang w:eastAsia="ru-RU"/>
        </w:rPr>
      </w:pPr>
      <w:r w:rsidRPr="006F5AE9">
        <w:rPr>
          <w:rFonts w:ascii="Times New Roman" w:hAnsi="Times New Roman" w:cs="Times New Roman"/>
          <w:color w:val="000000"/>
          <w:sz w:val="24"/>
          <w:szCs w:val="24"/>
          <w:lang w:eastAsia="ru-RU"/>
        </w:rPr>
        <w:t xml:space="preserve">В 63% случаев потребители выходят в интернет со своего смартфона находясь вне дома и используют поисковые системы, на большинстве смартфонов марки </w:t>
      </w:r>
      <w:r w:rsidRPr="006F5AE9">
        <w:rPr>
          <w:rFonts w:ascii="Times New Roman" w:hAnsi="Times New Roman" w:cs="Times New Roman"/>
          <w:color w:val="000000"/>
          <w:sz w:val="24"/>
          <w:szCs w:val="24"/>
          <w:lang w:val="en-US" w:eastAsia="ru-RU"/>
        </w:rPr>
        <w:t>Apple</w:t>
      </w:r>
      <w:r w:rsidRPr="006F5AE9">
        <w:rPr>
          <w:rFonts w:ascii="Times New Roman" w:hAnsi="Times New Roman" w:cs="Times New Roman"/>
          <w:color w:val="000000"/>
          <w:sz w:val="24"/>
          <w:szCs w:val="24"/>
          <w:lang w:eastAsia="ru-RU"/>
        </w:rPr>
        <w:t xml:space="preserve"> стандартным интернет-браузером является </w:t>
      </w:r>
      <w:r w:rsidRPr="006F5AE9">
        <w:rPr>
          <w:rFonts w:ascii="Times New Roman" w:hAnsi="Times New Roman" w:cs="Times New Roman"/>
          <w:color w:val="000000"/>
          <w:sz w:val="24"/>
          <w:szCs w:val="24"/>
          <w:lang w:val="en-US" w:eastAsia="ru-RU"/>
        </w:rPr>
        <w:t>Safari</w:t>
      </w:r>
      <w:r w:rsidRPr="006F5AE9">
        <w:rPr>
          <w:rFonts w:ascii="Times New Roman" w:hAnsi="Times New Roman" w:cs="Times New Roman"/>
          <w:color w:val="000000"/>
          <w:sz w:val="24"/>
          <w:szCs w:val="24"/>
          <w:lang w:eastAsia="ru-RU"/>
        </w:rPr>
        <w:t>со стандартной поисковой системой от</w:t>
      </w:r>
      <w:r w:rsidRPr="006F5AE9">
        <w:rPr>
          <w:rFonts w:ascii="Times New Roman" w:hAnsi="Times New Roman" w:cs="Times New Roman"/>
          <w:color w:val="000000"/>
          <w:sz w:val="24"/>
          <w:szCs w:val="24"/>
          <w:lang w:val="en-US" w:eastAsia="ru-RU"/>
        </w:rPr>
        <w:t>Google</w:t>
      </w:r>
      <w:r w:rsidRPr="006F5AE9">
        <w:rPr>
          <w:rFonts w:ascii="Times New Roman" w:hAnsi="Times New Roman" w:cs="Times New Roman"/>
          <w:color w:val="000000"/>
          <w:sz w:val="24"/>
          <w:szCs w:val="24"/>
          <w:lang w:eastAsia="ru-RU"/>
        </w:rPr>
        <w:t xml:space="preserve">, а на смартфонах, с операционной системой </w:t>
      </w:r>
      <w:r w:rsidRPr="006F5AE9">
        <w:rPr>
          <w:rFonts w:ascii="Times New Roman" w:hAnsi="Times New Roman" w:cs="Times New Roman"/>
          <w:color w:val="000000"/>
          <w:sz w:val="24"/>
          <w:szCs w:val="24"/>
          <w:lang w:val="en-US" w:eastAsia="ru-RU"/>
        </w:rPr>
        <w:t>Android</w:t>
      </w:r>
      <w:r w:rsidRPr="006F5AE9">
        <w:rPr>
          <w:rFonts w:ascii="Times New Roman" w:hAnsi="Times New Roman" w:cs="Times New Roman"/>
          <w:color w:val="000000"/>
          <w:sz w:val="24"/>
          <w:szCs w:val="24"/>
          <w:lang w:eastAsia="ru-RU"/>
        </w:rPr>
        <w:t xml:space="preserve">, по умолчанию установлен браузер </w:t>
      </w:r>
      <w:r w:rsidRPr="006F5AE9">
        <w:rPr>
          <w:rFonts w:ascii="Times New Roman" w:hAnsi="Times New Roman" w:cs="Times New Roman"/>
          <w:color w:val="000000"/>
          <w:sz w:val="24"/>
          <w:szCs w:val="24"/>
          <w:lang w:val="en-US" w:eastAsia="ru-RU"/>
        </w:rPr>
        <w:t>GoogleChrome</w:t>
      </w:r>
      <w:r w:rsidRPr="006F5AE9">
        <w:rPr>
          <w:rFonts w:ascii="Times New Roman" w:hAnsi="Times New Roman" w:cs="Times New Roman"/>
          <w:color w:val="000000"/>
          <w:sz w:val="24"/>
          <w:szCs w:val="24"/>
          <w:lang w:eastAsia="ru-RU"/>
        </w:rPr>
        <w:t xml:space="preserve">. Это дает понять, что в 95% интернет запросов люди пользуются </w:t>
      </w:r>
      <w:r w:rsidRPr="006F5AE9">
        <w:rPr>
          <w:rFonts w:ascii="Times New Roman" w:hAnsi="Times New Roman" w:cs="Times New Roman"/>
          <w:color w:val="000000"/>
          <w:sz w:val="24"/>
          <w:szCs w:val="24"/>
          <w:lang w:val="en-US" w:eastAsia="ru-RU"/>
        </w:rPr>
        <w:t>Google</w:t>
      </w:r>
      <w:r w:rsidRPr="006F5AE9">
        <w:rPr>
          <w:rFonts w:ascii="Times New Roman" w:hAnsi="Times New Roman" w:cs="Times New Roman"/>
          <w:color w:val="000000"/>
          <w:sz w:val="24"/>
          <w:szCs w:val="24"/>
          <w:lang w:eastAsia="ru-RU"/>
        </w:rPr>
        <w:t>, делая его самой популярной поисковой системой [4].</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color w:val="000000"/>
          <w:sz w:val="24"/>
          <w:szCs w:val="24"/>
          <w:lang w:eastAsia="ru-RU"/>
        </w:rPr>
      </w:pPr>
      <w:r w:rsidRPr="006F5AE9">
        <w:rPr>
          <w:rFonts w:ascii="Times New Roman" w:hAnsi="Times New Roman" w:cs="Times New Roman"/>
          <w:color w:val="000000"/>
          <w:sz w:val="24"/>
          <w:szCs w:val="24"/>
          <w:lang w:eastAsia="ru-RU"/>
        </w:rPr>
        <w:t>В рамках исследования автором были изучены потребительские предпочтения на рынке общественного питания г. Владивостока в интернете. В качестве метода сбора информации был выбран метод опроса потребителей – анкетирование. В ходе исследования были опрошены 115 человек. Структура опрошенных респондентов: 62,7% респондентов в возрасте от 18-25 лет; 26,3% от 25 до 30 лет; 10,6% от 30 и старше. В опросе принимали участие 54,1% женщин и 45,9% мужчин. У большинства отпрошенных респондентов (39,4%) частота посещения предприятий общественного питания составляет 1-2 раза в месяц, у 36,4% респондентов раз в 2 месяца и 24,2% опрошенных посещают раз в 3 и более месяца. Далее были выявлены предпочтительные информационные ресурсы для интернета пользователей. (рисунок 1).</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color w:val="000000"/>
          <w:sz w:val="24"/>
          <w:szCs w:val="24"/>
          <w:shd w:val="clear" w:color="auto" w:fill="FFFFFF"/>
          <w:lang w:eastAsia="ru-RU"/>
        </w:rPr>
      </w:pPr>
      <w:r>
        <w:rPr>
          <w:rFonts w:ascii="Times New Roman" w:hAnsi="Times New Roman" w:cs="Arial"/>
          <w:noProof/>
          <w:color w:val="000000"/>
          <w:sz w:val="24"/>
          <w:szCs w:val="26"/>
          <w:lang w:eastAsia="ru-RU"/>
        </w:rPr>
        <w:drawing>
          <wp:inline distT="0" distB="0" distL="0" distR="0">
            <wp:extent cx="5029200" cy="1762125"/>
            <wp:effectExtent l="0" t="0" r="0" b="9525"/>
            <wp:docPr id="165" name="Рисунок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29200" cy="1762125"/>
                    </a:xfrm>
                    <a:prstGeom prst="rect">
                      <a:avLst/>
                    </a:prstGeom>
                    <a:noFill/>
                    <a:ln>
                      <a:noFill/>
                    </a:ln>
                  </pic:spPr>
                </pic:pic>
              </a:graphicData>
            </a:graphic>
          </wp:inline>
        </w:drawing>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hd w:val="clear" w:color="auto" w:fill="FFFFFF"/>
        <w:spacing w:after="120" w:line="240" w:lineRule="auto"/>
        <w:jc w:val="center"/>
        <w:rPr>
          <w:rFonts w:ascii="Times New Roman" w:hAnsi="Times New Roman" w:cs="Times New Roman"/>
          <w:color w:val="000000"/>
          <w:sz w:val="24"/>
          <w:szCs w:val="24"/>
          <w:lang w:eastAsia="ru-RU"/>
        </w:rPr>
      </w:pPr>
      <w:r w:rsidRPr="006F5AE9">
        <w:rPr>
          <w:rFonts w:ascii="Times New Roman" w:hAnsi="Times New Roman" w:cs="Times New Roman"/>
          <w:color w:val="000000"/>
          <w:sz w:val="24"/>
          <w:szCs w:val="24"/>
          <w:lang w:eastAsia="ru-RU"/>
        </w:rPr>
        <w:t>Рис. 1. Источники, из которых потребители предпочитают узнавать информацию о предприятиях общественного питания</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sz w:val="24"/>
          <w:szCs w:val="26"/>
          <w:lang w:eastAsia="ru-RU"/>
        </w:rPr>
      </w:pPr>
      <w:r w:rsidRPr="006F5AE9">
        <w:rPr>
          <w:rFonts w:ascii="Times New Roman" w:hAnsi="Times New Roman" w:cs="Times New Roman"/>
          <w:color w:val="000000"/>
          <w:sz w:val="24"/>
          <w:szCs w:val="24"/>
          <w:lang w:eastAsia="ru-RU"/>
        </w:rPr>
        <w:t xml:space="preserve">По данным таблицы 43% участников опроса считают сайты отзывов и справочники первоочередным и достоверным источников информации, затем идут социальные сети и сайты заведений – 25%, справочники – 18% и оставшиеся 14% респондентов посчитали, что отзывы друзей для них важнее всего. Далее было выявлено отношение респондентов к </w:t>
      </w:r>
      <w:r w:rsidRPr="006F5AE9">
        <w:rPr>
          <w:rFonts w:ascii="Times New Roman" w:hAnsi="Times New Roman" w:cs="Times New Roman"/>
          <w:color w:val="000000"/>
          <w:sz w:val="24"/>
          <w:szCs w:val="24"/>
          <w:lang w:val="en-US" w:eastAsia="ru-RU"/>
        </w:rPr>
        <w:t>E</w:t>
      </w:r>
      <w:r w:rsidRPr="006F5AE9">
        <w:rPr>
          <w:rFonts w:ascii="Times New Roman" w:hAnsi="Times New Roman" w:cs="Times New Roman"/>
          <w:color w:val="000000"/>
          <w:sz w:val="24"/>
          <w:szCs w:val="24"/>
          <w:lang w:eastAsia="ru-RU"/>
        </w:rPr>
        <w:t>-</w:t>
      </w:r>
      <w:r w:rsidRPr="006F5AE9">
        <w:rPr>
          <w:rFonts w:ascii="Times New Roman" w:hAnsi="Times New Roman" w:cs="Times New Roman"/>
          <w:color w:val="000000"/>
          <w:sz w:val="24"/>
          <w:szCs w:val="24"/>
          <w:lang w:val="en-US" w:eastAsia="ru-RU"/>
        </w:rPr>
        <w:t>mail</w:t>
      </w:r>
      <w:r w:rsidRPr="006F5AE9">
        <w:rPr>
          <w:rFonts w:ascii="Times New Roman" w:hAnsi="Times New Roman" w:cs="Times New Roman"/>
          <w:color w:val="000000"/>
          <w:sz w:val="24"/>
          <w:szCs w:val="24"/>
          <w:lang w:eastAsia="ru-RU"/>
        </w:rPr>
        <w:t xml:space="preserve"> рассылке:Около 47% опрошенных используют электронную почту для личной или/и деловой переписки и посещают ее 1-2 раза в день, еще 26% респондентов посещают почту 1 раз в 3 дня, 13% проверяют почту 1 раз в неделю и 14% - 1 раз в 2 недели. При этом, 79% респондентов просматривают сообщения, содержащие: промоакции, скидки и бонусные программы и программы лояльности. Елена Кригер, глава представительства «Tea Funny» по Сибири и Дальнему Востоку, считает, что акции должны провоцировать посетителя «прийти снова, например, за подарочной чашкой кофе или сувениром» [5]. В условиях низкой посещаемости заведений общепита, в нынешнюю эпоху можно только ценой привлечь народ, что предприятия общественного питания стараются делать, вводя специальные предложения по выгодным ценам. А абсолютное большинство потребителей, около 86% респондентов, отмечают рост цен на блюда и напитки в хорошо знакомых им ресторанах. При этом с интересом относятся к различным акциям и скидкам, которые периодически появляются на сайтах ресторанов или на «ЛовиКупон» </w:t>
      </w:r>
      <w:r w:rsidRPr="006F5AE9">
        <w:rPr>
          <w:rFonts w:ascii="Times New Roman" w:hAnsi="Times New Roman" w:cs="Times New Roman"/>
          <w:color w:val="000000"/>
          <w:sz w:val="24"/>
          <w:szCs w:val="24"/>
          <w:lang w:eastAsia="ru-RU"/>
        </w:rPr>
        <w:sym w:font="Symbol" w:char="F02D"/>
      </w:r>
      <w:r w:rsidRPr="006F5AE9">
        <w:rPr>
          <w:rFonts w:ascii="Times New Roman" w:hAnsi="Times New Roman" w:cs="Times New Roman"/>
          <w:color w:val="000000"/>
          <w:sz w:val="24"/>
          <w:szCs w:val="24"/>
          <w:lang w:eastAsia="ru-RU"/>
        </w:rPr>
        <w:t xml:space="preserve"> сайте товаров и услуг со скидками по купонам от 50% до 100%.</w:t>
      </w:r>
      <w:r w:rsidRPr="006F5AE9">
        <w:rPr>
          <w:rFonts w:ascii="Times New Roman" w:hAnsi="Times New Roman" w:cs="Times New Roman"/>
          <w:sz w:val="24"/>
          <w:szCs w:val="26"/>
          <w:lang w:eastAsia="ru-RU"/>
        </w:rPr>
        <w:t>В заключении был предложен вопрос о том, какой вид рекламы является более подходящим для каждого из респондентов (рисунок 2).</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center"/>
        <w:rPr>
          <w:rFonts w:ascii="Times New Roman" w:hAnsi="Times New Roman" w:cs="Times New Roman"/>
          <w:sz w:val="24"/>
          <w:szCs w:val="26"/>
          <w:lang w:eastAsia="ru-RU"/>
        </w:rPr>
      </w:pPr>
      <w:r>
        <w:rPr>
          <w:rFonts w:ascii="Times New Roman" w:hAnsi="Times New Roman" w:cs="Times New Roman"/>
          <w:noProof/>
          <w:sz w:val="24"/>
          <w:szCs w:val="26"/>
          <w:lang w:eastAsia="ru-RU"/>
        </w:rPr>
        <w:drawing>
          <wp:inline distT="0" distB="0" distL="0" distR="0">
            <wp:extent cx="3067050" cy="1514475"/>
            <wp:effectExtent l="0" t="0" r="0" b="9525"/>
            <wp:docPr id="166" name="Рисунок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067050" cy="1514475"/>
                    </a:xfrm>
                    <a:prstGeom prst="rect">
                      <a:avLst/>
                    </a:prstGeom>
                    <a:noFill/>
                    <a:ln>
                      <a:noFill/>
                    </a:ln>
                  </pic:spPr>
                </pic:pic>
              </a:graphicData>
            </a:graphic>
          </wp:inline>
        </w:drawing>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jc w:val="center"/>
        <w:rPr>
          <w:rFonts w:ascii="Times New Roman" w:hAnsi="Times New Roman" w:cs="Times New Roman"/>
          <w:color w:val="000000"/>
          <w:sz w:val="24"/>
          <w:szCs w:val="24"/>
          <w:lang w:eastAsia="ru-RU"/>
        </w:rPr>
      </w:pPr>
      <w:r w:rsidRPr="006F5AE9">
        <w:rPr>
          <w:rFonts w:ascii="Times New Roman" w:hAnsi="Times New Roman" w:cs="Times New Roman"/>
          <w:color w:val="000000"/>
          <w:sz w:val="24"/>
          <w:szCs w:val="24"/>
          <w:lang w:eastAsia="ru-RU"/>
        </w:rPr>
        <w:t>Рис. 2. Предпочтительные виды рекламы</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color w:val="000000"/>
          <w:sz w:val="24"/>
          <w:szCs w:val="24"/>
          <w:lang w:eastAsia="ru-RU"/>
        </w:rPr>
      </w:pPr>
      <w:r w:rsidRPr="006F5AE9">
        <w:rPr>
          <w:rFonts w:ascii="Times New Roman" w:hAnsi="Times New Roman" w:cs="Times New Roman"/>
          <w:color w:val="000000"/>
          <w:sz w:val="24"/>
          <w:szCs w:val="24"/>
          <w:lang w:eastAsia="ru-RU"/>
        </w:rPr>
        <w:t>Результаты исследования показали, что абсолютное большинство респондентов выбрали в качестве самой удобной рекламы рекламу в социальных сетях. Также 23% респондентов ответили, что отзывы и рейтинги на сайтах являются для них более подходящими видами рекламы. Стоит обратить внимание, что всего лишь 17% выбрали рассылку на телефон и почту, ни один из 115 респондентов не выбрал «Таргетинговую рекламу».</w:t>
      </w:r>
    </w:p>
    <w:p w:rsidR="006F5AE9" w:rsidRDefault="006F5AE9" w:rsidP="006F5AE9">
      <w:pPr>
        <w:pBdr>
          <w:top w:val="none" w:sz="0" w:space="0" w:color="auto"/>
          <w:left w:val="none" w:sz="0" w:space="0" w:color="auto"/>
          <w:bottom w:val="none" w:sz="0" w:space="0" w:color="auto"/>
          <w:right w:val="none" w:sz="0" w:space="0" w:color="auto"/>
          <w:between w:val="none" w:sz="0" w:space="0" w:color="auto"/>
        </w:pBdr>
        <w:shd w:val="clear" w:color="auto" w:fill="FFFFFF"/>
        <w:spacing w:after="240" w:line="240" w:lineRule="auto"/>
        <w:ind w:firstLine="709"/>
        <w:jc w:val="both"/>
        <w:rPr>
          <w:rFonts w:ascii="Times New Roman" w:hAnsi="Times New Roman" w:cs="Times New Roman"/>
          <w:color w:val="000000"/>
          <w:sz w:val="24"/>
          <w:szCs w:val="21"/>
          <w:shd w:val="clear" w:color="auto" w:fill="FFFFFF"/>
          <w:lang w:eastAsia="ru-RU"/>
        </w:rPr>
      </w:pPr>
      <w:r w:rsidRPr="006F5AE9">
        <w:rPr>
          <w:rFonts w:ascii="Times New Roman" w:hAnsi="Times New Roman" w:cs="Times New Roman"/>
          <w:color w:val="000000"/>
          <w:sz w:val="24"/>
          <w:szCs w:val="24"/>
          <w:lang w:eastAsia="ru-RU"/>
        </w:rPr>
        <w:t xml:space="preserve">С каждым годом растет количество пользователей сети Интернет, которые требуют отличные от традиционной информации форму подачи, качество и возможности получить удовлетворительную справку без консультации специалиста. Поэтому организациям туристской индустрии стоит обратить особое внимание на данный рынок и предоставлять потенциальным потребителям информацию, а также возможности нового уровня. Это можно осуществить с помощью усовершенствования электронного сайта и внедрения продуктов или услуг в области мобильных устройств, например, используя </w:t>
      </w:r>
      <w:r w:rsidRPr="006F5AE9">
        <w:rPr>
          <w:rFonts w:ascii="Times New Roman" w:hAnsi="Times New Roman" w:cs="Times New Roman"/>
          <w:color w:val="000000"/>
          <w:sz w:val="24"/>
          <w:szCs w:val="24"/>
          <w:lang w:val="en-US" w:eastAsia="ru-RU"/>
        </w:rPr>
        <w:t>Tabler</w:t>
      </w:r>
      <w:r w:rsidRPr="006F5AE9">
        <w:rPr>
          <w:rFonts w:ascii="Times New Roman" w:hAnsi="Times New Roman" w:cs="Times New Roman"/>
          <w:color w:val="000000"/>
          <w:sz w:val="24"/>
          <w:szCs w:val="24"/>
          <w:lang w:eastAsia="ru-RU"/>
        </w:rPr>
        <w:t xml:space="preserve">. Это мобильное приложение, которое продолжает осваивать рынок общественного питания России и в ближайшем будущем должно заработать во Владивостоке. Этот сервис, представляет собой справочник заведений с удобной фильтрацией. В дальнейшем создатели планируют добавить систему рейтингов, основанную на социальной активности пользователей, и рекомендаций на базе предыдущих решений о выборе того или иного места.  Приложение позволит забронировать стол в заведениях общественного питания. Воспользоваться им смогут клиенты и владельцы заведений из любого города России. </w:t>
      </w:r>
      <w:r w:rsidRPr="006F5AE9">
        <w:rPr>
          <w:rFonts w:ascii="Times New Roman" w:hAnsi="Times New Roman" w:cs="Times New Roman"/>
          <w:color w:val="000000"/>
          <w:sz w:val="24"/>
          <w:szCs w:val="21"/>
          <w:shd w:val="clear" w:color="auto" w:fill="FFFFFF"/>
          <w:lang w:eastAsia="ru-RU"/>
        </w:rPr>
        <w:t>Планируется, что Tabler в будущем станет социальной площадкой с возможностью оставлять записи и комментарии к ним, делиться фото, подписываться на друг друга, причем, что особо подчеркивается, для обеих сторон взаимодействия — как для заведений, так и их клиентов. Такой функционал особенно важен сегодня: традиционно сообщества в социальных сетях и отдельные сайты-справочники, посвященные предприятиям общественного питания и кулинарии, весьма популярны и многочисленны. Однако редко, когда они открыты на базе специально приспособленного для этого сервиса.</w:t>
      </w:r>
    </w:p>
    <w:p w:rsidR="006F5AE9" w:rsidRPr="006F5AE9" w:rsidRDefault="006F5AE9" w:rsidP="006F5AE9">
      <w:pPr>
        <w:numPr>
          <w:ilvl w:val="0"/>
          <w:numId w:val="134"/>
        </w:num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left="0" w:firstLine="777"/>
        <w:jc w:val="both"/>
        <w:rPr>
          <w:rFonts w:ascii="Times New Roman" w:hAnsi="Times New Roman" w:cs="Times New Roman"/>
          <w:bCs/>
          <w:sz w:val="24"/>
          <w:szCs w:val="24"/>
          <w:lang w:eastAsia="ru-RU"/>
        </w:rPr>
      </w:pPr>
      <w:r w:rsidRPr="006F5AE9">
        <w:rPr>
          <w:rFonts w:ascii="Times New Roman" w:hAnsi="Times New Roman" w:cs="Times New Roman"/>
          <w:bCs/>
          <w:sz w:val="24"/>
          <w:szCs w:val="24"/>
          <w:lang w:eastAsia="ru-RU"/>
        </w:rPr>
        <w:t xml:space="preserve">База готовых маркетинговых исследований и обзоров отраслевых рынков [Электронный ресурс]. – Режим доступа: https://marketing.rbc.ru/. </w:t>
      </w:r>
    </w:p>
    <w:p w:rsidR="006F5AE9" w:rsidRPr="006F5AE9" w:rsidRDefault="006F5AE9" w:rsidP="006F5AE9">
      <w:pPr>
        <w:numPr>
          <w:ilvl w:val="0"/>
          <w:numId w:val="134"/>
        </w:num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left="0" w:firstLine="777"/>
        <w:jc w:val="both"/>
        <w:rPr>
          <w:rFonts w:ascii="Times New Roman" w:hAnsi="Times New Roman" w:cs="Times New Roman"/>
          <w:bCs/>
          <w:sz w:val="24"/>
          <w:szCs w:val="24"/>
          <w:lang w:eastAsia="ru-RU"/>
        </w:rPr>
      </w:pPr>
      <w:r w:rsidRPr="006F5AE9">
        <w:rPr>
          <w:rFonts w:ascii="Times New Roman" w:hAnsi="Times New Roman" w:cs="Times New Roman"/>
          <w:bCs/>
          <w:sz w:val="24"/>
          <w:szCs w:val="24"/>
          <w:lang w:eastAsia="ru-RU"/>
        </w:rPr>
        <w:t xml:space="preserve">Портал о ресторанном бизнесе [Электронный ресурс]. – Режим доступа: http://restoranoff.ru/solutions/management/. </w:t>
      </w:r>
    </w:p>
    <w:p w:rsidR="006F5AE9" w:rsidRPr="006F5AE9" w:rsidRDefault="006F5AE9" w:rsidP="006F5AE9">
      <w:pPr>
        <w:numPr>
          <w:ilvl w:val="0"/>
          <w:numId w:val="134"/>
        </w:num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left="0" w:firstLine="777"/>
        <w:jc w:val="both"/>
        <w:rPr>
          <w:rFonts w:ascii="Times New Roman" w:hAnsi="Times New Roman" w:cs="Times New Roman"/>
          <w:bCs/>
          <w:sz w:val="24"/>
          <w:szCs w:val="24"/>
          <w:lang w:eastAsia="ru-RU"/>
        </w:rPr>
      </w:pPr>
      <w:r w:rsidRPr="006F5AE9">
        <w:rPr>
          <w:rFonts w:ascii="Times New Roman" w:hAnsi="Times New Roman" w:cs="Times New Roman"/>
          <w:bCs/>
          <w:sz w:val="24"/>
          <w:szCs w:val="24"/>
          <w:lang w:eastAsia="ru-RU"/>
        </w:rPr>
        <w:t xml:space="preserve">Портал о партнерском бизнесе и франчайзинге [Электронный ресурс]. – Режим доступа: </w:t>
      </w:r>
      <w:r w:rsidRPr="006F5AE9">
        <w:rPr>
          <w:rFonts w:ascii="Times New Roman" w:hAnsi="Times New Roman" w:cs="Times New Roman"/>
          <w:sz w:val="24"/>
          <w:szCs w:val="24"/>
          <w:lang w:eastAsia="ru-RU"/>
        </w:rPr>
        <w:t>http://www.buybrand.ru/articles/12808/</w:t>
      </w:r>
      <w:r w:rsidRPr="006F5AE9">
        <w:rPr>
          <w:rFonts w:ascii="Times New Roman" w:hAnsi="Times New Roman" w:cs="Times New Roman"/>
          <w:bCs/>
          <w:sz w:val="24"/>
          <w:szCs w:val="24"/>
          <w:lang w:eastAsia="ru-RU"/>
        </w:rPr>
        <w:t>.</w:t>
      </w:r>
    </w:p>
    <w:p w:rsidR="006F5AE9" w:rsidRPr="006F5AE9" w:rsidRDefault="006F5AE9" w:rsidP="006F5AE9">
      <w:pPr>
        <w:numPr>
          <w:ilvl w:val="0"/>
          <w:numId w:val="134"/>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77"/>
        <w:contextualSpacing/>
        <w:jc w:val="both"/>
        <w:rPr>
          <w:rFonts w:ascii="Times New Roman" w:hAnsi="Times New Roman" w:cs="Times New Roman"/>
          <w:bCs/>
          <w:sz w:val="24"/>
          <w:szCs w:val="24"/>
          <w:lang w:eastAsia="ru-RU"/>
        </w:rPr>
      </w:pPr>
      <w:r w:rsidRPr="006F5AE9">
        <w:rPr>
          <w:rFonts w:ascii="Times New Roman" w:hAnsi="Times New Roman" w:cs="Times New Roman"/>
          <w:bCs/>
          <w:sz w:val="24"/>
          <w:szCs w:val="24"/>
          <w:lang w:eastAsia="ru-RU"/>
        </w:rPr>
        <w:t xml:space="preserve">Седова И. Обзор российского рынка общественного питания / И. Седова [Электронный ресурс] // Российский продовольственный рынок. – 2015. – № 5. – Режим доступа: www.foodmarket.spb.ru/current.php?article=2162№5/2015. </w:t>
      </w:r>
    </w:p>
    <w:p w:rsidR="006F5AE9" w:rsidRPr="006F5AE9" w:rsidRDefault="006F5AE9" w:rsidP="006F5AE9">
      <w:pPr>
        <w:numPr>
          <w:ilvl w:val="0"/>
          <w:numId w:val="134"/>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77"/>
        <w:jc w:val="both"/>
        <w:rPr>
          <w:rFonts w:ascii="Times New Roman" w:hAnsi="Times New Roman" w:cs="Times New Roman"/>
          <w:bCs/>
          <w:sz w:val="24"/>
          <w:szCs w:val="24"/>
          <w:lang w:eastAsia="ru-RU"/>
        </w:rPr>
      </w:pPr>
      <w:r w:rsidRPr="006F5AE9">
        <w:rPr>
          <w:rFonts w:ascii="Times New Roman" w:hAnsi="Times New Roman" w:cs="Times New Roman"/>
          <w:sz w:val="24"/>
          <w:szCs w:val="26"/>
        </w:rPr>
        <w:t>Туристско-информационный центр Приморского края. Медицинский центр Океан [Электронный ресурс] // Туристско-информационный центр Приморского края: официал. сайт организации. – Режим доступа: http://tour.primorsky.ru/dostoprimechatelnosti/</w:t>
      </w:r>
    </w:p>
    <w:p w:rsidR="006F5AE9" w:rsidRPr="006F5AE9" w:rsidRDefault="006F5AE9" w:rsidP="006F5AE9">
      <w:pPr>
        <w:numPr>
          <w:ilvl w:val="0"/>
          <w:numId w:val="134"/>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77"/>
        <w:contextualSpacing/>
        <w:jc w:val="both"/>
        <w:rPr>
          <w:rFonts w:ascii="Times New Roman" w:hAnsi="Times New Roman" w:cs="Times New Roman"/>
          <w:bCs/>
          <w:sz w:val="24"/>
          <w:szCs w:val="24"/>
          <w:lang w:eastAsia="ru-RU"/>
        </w:rPr>
      </w:pPr>
      <w:r w:rsidRPr="006F5AE9">
        <w:rPr>
          <w:rFonts w:ascii="Times New Roman" w:hAnsi="Times New Roman" w:cs="Times New Roman"/>
          <w:bCs/>
          <w:sz w:val="24"/>
          <w:szCs w:val="24"/>
          <w:lang w:eastAsia="ru-RU"/>
        </w:rPr>
        <w:t>Центральная база статистических данных Федеральной службы государственной статистики [Электронный ресурс]. – Режим доступа: www.gks.ru/ dbscripts/cbsd/dbinet.cgi?pl=9410059.</w:t>
      </w:r>
    </w:p>
    <w:p w:rsidR="006F5AE9" w:rsidRDefault="006F5AE9" w:rsidP="006F5AE9">
      <w:pPr>
        <w:pBdr>
          <w:top w:val="none" w:sz="0" w:space="0" w:color="auto"/>
          <w:left w:val="none" w:sz="0" w:space="0" w:color="auto"/>
          <w:bottom w:val="none" w:sz="0" w:space="0" w:color="auto"/>
          <w:right w:val="none" w:sz="0" w:space="0" w:color="auto"/>
          <w:between w:val="none" w:sz="0" w:space="0" w:color="auto"/>
        </w:pBdr>
        <w:shd w:val="clear" w:color="auto" w:fill="FFFFFF"/>
        <w:spacing w:after="240" w:line="240" w:lineRule="auto"/>
        <w:ind w:firstLine="709"/>
        <w:jc w:val="both"/>
        <w:rPr>
          <w:rFonts w:ascii="Times New Roman" w:hAnsi="Times New Roman" w:cs="Times New Roman"/>
          <w:color w:val="000000"/>
          <w:sz w:val="24"/>
          <w:szCs w:val="21"/>
          <w:shd w:val="clear" w:color="auto" w:fill="FFFFFF"/>
          <w:lang w:eastAsia="ru-RU"/>
        </w:rPr>
      </w:pPr>
    </w:p>
    <w:p w:rsidR="0041409A" w:rsidRDefault="0041409A" w:rsidP="006F5AE9">
      <w:pPr>
        <w:pBdr>
          <w:top w:val="none" w:sz="0" w:space="0" w:color="auto"/>
          <w:left w:val="none" w:sz="0" w:space="0" w:color="auto"/>
          <w:bottom w:val="none" w:sz="0" w:space="0" w:color="auto"/>
          <w:right w:val="none" w:sz="0" w:space="0" w:color="auto"/>
          <w:between w:val="none" w:sz="0" w:space="0" w:color="auto"/>
        </w:pBdr>
        <w:shd w:val="clear" w:color="auto" w:fill="FFFFFF"/>
        <w:spacing w:after="240" w:line="240" w:lineRule="auto"/>
        <w:ind w:firstLine="709"/>
        <w:jc w:val="both"/>
        <w:rPr>
          <w:rFonts w:ascii="Times New Roman" w:hAnsi="Times New Roman" w:cs="Times New Roman"/>
          <w:color w:val="000000"/>
          <w:sz w:val="24"/>
          <w:szCs w:val="21"/>
          <w:shd w:val="clear" w:color="auto" w:fill="FFFFFF"/>
          <w:lang w:eastAsia="ru-RU"/>
        </w:rPr>
      </w:pP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sz w:val="24"/>
          <w:szCs w:val="24"/>
        </w:rPr>
      </w:pPr>
      <w:r w:rsidRPr="0041409A">
        <w:rPr>
          <w:rFonts w:ascii="Times New Roman" w:hAnsi="Times New Roman" w:cs="Times New Roman"/>
          <w:sz w:val="24"/>
          <w:szCs w:val="24"/>
        </w:rPr>
        <w:t>Рубрика: Защита от шума. Борьба с шумами</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sz w:val="24"/>
          <w:szCs w:val="24"/>
        </w:rPr>
      </w:pPr>
      <w:r w:rsidRPr="0041409A">
        <w:rPr>
          <w:rFonts w:ascii="Times New Roman" w:hAnsi="Times New Roman" w:cs="Times New Roman"/>
          <w:sz w:val="24"/>
          <w:szCs w:val="24"/>
        </w:rPr>
        <w:t>УДК: 628.517.2</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sz w:val="24"/>
          <w:szCs w:val="24"/>
          <w:lang w:eastAsia="ru-RU"/>
        </w:rPr>
      </w:pPr>
      <w:r w:rsidRPr="0041409A">
        <w:rPr>
          <w:rFonts w:ascii="Times New Roman" w:hAnsi="Times New Roman" w:cs="Times New Roman"/>
          <w:b/>
          <w:color w:val="000000"/>
          <w:sz w:val="24"/>
          <w:szCs w:val="24"/>
        </w:rPr>
        <w:t>Оценка шумового загрязнения г. Владивостока</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r w:rsidRPr="0041409A">
        <w:rPr>
          <w:rFonts w:ascii="Times New Roman" w:hAnsi="Times New Roman" w:cs="Times New Roman"/>
          <w:sz w:val="24"/>
          <w:szCs w:val="24"/>
          <w:lang w:eastAsia="ru-RU"/>
        </w:rPr>
        <w:t>Трухин Максим Вячеславович,</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r w:rsidRPr="0041409A">
        <w:rPr>
          <w:rFonts w:ascii="Times New Roman" w:hAnsi="Times New Roman" w:cs="Times New Roman"/>
          <w:sz w:val="24"/>
          <w:szCs w:val="24"/>
          <w:lang w:eastAsia="ru-RU"/>
        </w:rPr>
        <w:t xml:space="preserve">Шухрова Анастасия Александровна, </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r w:rsidRPr="0041409A">
        <w:rPr>
          <w:rFonts w:ascii="Times New Roman" w:hAnsi="Times New Roman" w:cs="Times New Roman"/>
          <w:sz w:val="24"/>
          <w:szCs w:val="24"/>
          <w:lang w:eastAsia="ru-RU"/>
        </w:rPr>
        <w:t>Криницкая Юлия Юрьевна</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szCs w:val="24"/>
          <w:lang w:eastAsia="ru-RU"/>
        </w:rPr>
      </w:pPr>
      <w:r w:rsidRPr="0041409A">
        <w:rPr>
          <w:rFonts w:ascii="Times New Roman" w:hAnsi="Times New Roman" w:cs="Times New Roman"/>
          <w:i/>
          <w:sz w:val="24"/>
          <w:szCs w:val="24"/>
          <w:lang w:eastAsia="ru-RU"/>
        </w:rPr>
        <w:t>Бакалавры 2 курса, кафедра туризма и экологии,</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szCs w:val="24"/>
          <w:lang w:eastAsia="ru-RU"/>
        </w:rPr>
      </w:pPr>
      <w:r w:rsidRPr="0041409A">
        <w:rPr>
          <w:rFonts w:ascii="Times New Roman" w:hAnsi="Times New Roman" w:cs="Times New Roman"/>
          <w:i/>
          <w:sz w:val="24"/>
          <w:szCs w:val="24"/>
          <w:lang w:eastAsia="ru-RU"/>
        </w:rPr>
        <w:t>Владивостокский государственный университет экономики и сервиса</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szCs w:val="24"/>
          <w:lang w:eastAsia="ru-RU"/>
        </w:rPr>
      </w:pPr>
      <w:r w:rsidRPr="0041409A">
        <w:rPr>
          <w:rFonts w:ascii="Times New Roman" w:hAnsi="Times New Roman" w:cs="Times New Roman"/>
          <w:i/>
          <w:sz w:val="24"/>
          <w:szCs w:val="24"/>
          <w:lang w:eastAsia="ru-RU"/>
        </w:rPr>
        <w:t>г. Владивосток. Россия</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r w:rsidRPr="0041409A">
        <w:rPr>
          <w:rFonts w:ascii="Times New Roman" w:hAnsi="Times New Roman" w:cs="Times New Roman"/>
          <w:i/>
          <w:sz w:val="24"/>
          <w:szCs w:val="24"/>
          <w:lang w:val="en-US" w:eastAsia="ru-RU"/>
        </w:rPr>
        <w:t>E</w:t>
      </w:r>
      <w:r w:rsidRPr="0041409A">
        <w:rPr>
          <w:rFonts w:ascii="Times New Roman" w:hAnsi="Times New Roman" w:cs="Times New Roman"/>
          <w:i/>
          <w:sz w:val="24"/>
          <w:szCs w:val="24"/>
          <w:lang w:eastAsia="ru-RU"/>
        </w:rPr>
        <w:t>-</w:t>
      </w:r>
      <w:r w:rsidRPr="0041409A">
        <w:rPr>
          <w:rFonts w:ascii="Times New Roman" w:hAnsi="Times New Roman" w:cs="Times New Roman"/>
          <w:i/>
          <w:sz w:val="24"/>
          <w:szCs w:val="24"/>
          <w:lang w:val="en-US" w:eastAsia="ru-RU"/>
        </w:rPr>
        <w:t>mail</w:t>
      </w:r>
      <w:r w:rsidRPr="0041409A">
        <w:rPr>
          <w:rFonts w:ascii="Times New Roman" w:hAnsi="Times New Roman" w:cs="Times New Roman"/>
          <w:i/>
          <w:sz w:val="24"/>
          <w:szCs w:val="24"/>
          <w:lang w:eastAsia="ru-RU"/>
        </w:rPr>
        <w:t>:</w:t>
      </w:r>
      <w:r w:rsidRPr="0041409A">
        <w:rPr>
          <w:rFonts w:ascii="Arial" w:hAnsi="Arial" w:cs="Arial"/>
          <w:color w:val="1378BF"/>
          <w:sz w:val="18"/>
          <w:szCs w:val="18"/>
          <w:shd w:val="clear" w:color="auto" w:fill="FFFFFF"/>
        </w:rPr>
        <w:t xml:space="preserve"> </w:t>
      </w:r>
      <w:r w:rsidRPr="0041409A">
        <w:rPr>
          <w:rFonts w:ascii="Times New Roman" w:hAnsi="Times New Roman" w:cs="Times New Roman"/>
          <w:color w:val="1378BF"/>
          <w:sz w:val="24"/>
          <w:szCs w:val="24"/>
          <w:u w:val="single"/>
          <w:shd w:val="clear" w:color="auto" w:fill="FFFFFF"/>
          <w:lang w:val="en-US"/>
        </w:rPr>
        <w:t>maxim</w:t>
      </w:r>
      <w:r w:rsidRPr="0041409A">
        <w:rPr>
          <w:rFonts w:ascii="Times New Roman" w:hAnsi="Times New Roman" w:cs="Times New Roman"/>
          <w:color w:val="1378BF"/>
          <w:sz w:val="24"/>
          <w:szCs w:val="24"/>
          <w:u w:val="single"/>
          <w:shd w:val="clear" w:color="auto" w:fill="FFFFFF"/>
        </w:rPr>
        <w:t>.</w:t>
      </w:r>
      <w:r w:rsidRPr="0041409A">
        <w:rPr>
          <w:rFonts w:ascii="Times New Roman" w:hAnsi="Times New Roman" w:cs="Times New Roman"/>
          <w:color w:val="1378BF"/>
          <w:sz w:val="24"/>
          <w:szCs w:val="24"/>
          <w:u w:val="single"/>
          <w:shd w:val="clear" w:color="auto" w:fill="FFFFFF"/>
          <w:lang w:val="en-US"/>
        </w:rPr>
        <w:t>emil</w:t>
      </w:r>
      <w:r w:rsidRPr="0041409A">
        <w:rPr>
          <w:rFonts w:ascii="Times New Roman" w:hAnsi="Times New Roman" w:cs="Times New Roman"/>
          <w:color w:val="1378BF"/>
          <w:sz w:val="24"/>
          <w:szCs w:val="24"/>
          <w:u w:val="single"/>
          <w:shd w:val="clear" w:color="auto" w:fill="FFFFFF"/>
        </w:rPr>
        <w:t>@</w:t>
      </w:r>
      <w:r w:rsidRPr="0041409A">
        <w:rPr>
          <w:rFonts w:ascii="Times New Roman" w:hAnsi="Times New Roman" w:cs="Times New Roman"/>
          <w:color w:val="1378BF"/>
          <w:sz w:val="24"/>
          <w:szCs w:val="24"/>
          <w:u w:val="single"/>
          <w:shd w:val="clear" w:color="auto" w:fill="FFFFFF"/>
          <w:lang w:val="en-US"/>
        </w:rPr>
        <w:t>mail</w:t>
      </w:r>
      <w:r w:rsidRPr="0041409A">
        <w:rPr>
          <w:rFonts w:ascii="Times New Roman" w:hAnsi="Times New Roman" w:cs="Times New Roman"/>
          <w:color w:val="1378BF"/>
          <w:sz w:val="24"/>
          <w:szCs w:val="24"/>
          <w:u w:val="single"/>
          <w:shd w:val="clear" w:color="auto" w:fill="FFFFFF"/>
        </w:rPr>
        <w:t>.</w:t>
      </w:r>
      <w:r w:rsidRPr="0041409A">
        <w:rPr>
          <w:rFonts w:ascii="Times New Roman" w:hAnsi="Times New Roman" w:cs="Times New Roman"/>
          <w:color w:val="1378BF"/>
          <w:sz w:val="24"/>
          <w:szCs w:val="24"/>
          <w:u w:val="single"/>
          <w:shd w:val="clear" w:color="auto" w:fill="FFFFFF"/>
          <w:lang w:val="en-US"/>
        </w:rPr>
        <w:t>ru</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r w:rsidRPr="0041409A">
        <w:rPr>
          <w:rFonts w:ascii="Times New Roman" w:hAnsi="Times New Roman" w:cs="Times New Roman"/>
          <w:sz w:val="24"/>
          <w:szCs w:val="24"/>
          <w:lang w:eastAsia="ru-RU"/>
        </w:rPr>
        <w:t>Ул. Гоголя, 41, г. Владивосток, Приморский край, Россия, 690014</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u w:val="single"/>
        </w:rPr>
      </w:pP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rPr>
      </w:pPr>
      <w:r w:rsidRPr="0041409A">
        <w:rPr>
          <w:rFonts w:ascii="Times New Roman" w:hAnsi="Times New Roman" w:cs="Times New Roman"/>
          <w:sz w:val="24"/>
          <w:szCs w:val="24"/>
        </w:rPr>
        <w:t>Иваненко Наталья Владимировна</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szCs w:val="24"/>
        </w:rPr>
      </w:pPr>
      <w:r w:rsidRPr="0041409A">
        <w:rPr>
          <w:rFonts w:ascii="Times New Roman" w:hAnsi="Times New Roman" w:cs="Times New Roman"/>
          <w:i/>
          <w:sz w:val="24"/>
          <w:szCs w:val="24"/>
        </w:rPr>
        <w:t>научный руководитель, канд. биол. наук, доцент кафедры туризма и экологии,</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szCs w:val="24"/>
        </w:rPr>
      </w:pPr>
      <w:r w:rsidRPr="0041409A">
        <w:rPr>
          <w:rFonts w:ascii="Times New Roman" w:hAnsi="Times New Roman" w:cs="Times New Roman"/>
          <w:i/>
          <w:sz w:val="24"/>
          <w:szCs w:val="24"/>
        </w:rPr>
        <w:t>Владивостокский государственный университет экономики и сервиса,</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szCs w:val="24"/>
        </w:rPr>
      </w:pPr>
      <w:r w:rsidRPr="0041409A">
        <w:rPr>
          <w:rFonts w:ascii="Times New Roman" w:hAnsi="Times New Roman" w:cs="Times New Roman"/>
          <w:i/>
          <w:sz w:val="24"/>
          <w:szCs w:val="24"/>
        </w:rPr>
        <w:t>г. Владивосток, Россия</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u w:val="single"/>
        </w:rPr>
      </w:pPr>
      <w:r w:rsidRPr="0041409A">
        <w:rPr>
          <w:rFonts w:ascii="Times New Roman" w:hAnsi="Times New Roman" w:cs="Times New Roman"/>
          <w:i/>
          <w:sz w:val="24"/>
          <w:szCs w:val="24"/>
          <w:lang w:val="en-US"/>
        </w:rPr>
        <w:t>E</w:t>
      </w:r>
      <w:r w:rsidRPr="0041409A">
        <w:rPr>
          <w:rFonts w:ascii="Times New Roman" w:hAnsi="Times New Roman" w:cs="Times New Roman"/>
          <w:i/>
          <w:sz w:val="24"/>
          <w:szCs w:val="24"/>
        </w:rPr>
        <w:t>-</w:t>
      </w:r>
      <w:r w:rsidRPr="0041409A">
        <w:rPr>
          <w:rFonts w:ascii="Times New Roman" w:hAnsi="Times New Roman" w:cs="Times New Roman"/>
          <w:i/>
          <w:sz w:val="24"/>
          <w:szCs w:val="24"/>
          <w:lang w:val="en-US"/>
        </w:rPr>
        <w:t>mail</w:t>
      </w:r>
      <w:r w:rsidRPr="0041409A">
        <w:rPr>
          <w:rFonts w:ascii="Times New Roman" w:hAnsi="Times New Roman" w:cs="Times New Roman"/>
          <w:i/>
          <w:sz w:val="24"/>
          <w:szCs w:val="24"/>
        </w:rPr>
        <w:t xml:space="preserve">: </w:t>
      </w:r>
      <w:hyperlink r:id="rId27" w:history="1">
        <w:r w:rsidRPr="0041409A">
          <w:rPr>
            <w:rFonts w:ascii="Times New Roman" w:hAnsi="Times New Roman" w:cs="Times New Roman"/>
            <w:sz w:val="24"/>
            <w:szCs w:val="24"/>
            <w:u w:val="single"/>
            <w:lang w:val="en-US"/>
          </w:rPr>
          <w:t>Natalya</w:t>
        </w:r>
        <w:r w:rsidRPr="0041409A">
          <w:rPr>
            <w:rFonts w:ascii="Times New Roman" w:hAnsi="Times New Roman" w:cs="Times New Roman"/>
            <w:sz w:val="24"/>
            <w:szCs w:val="24"/>
            <w:u w:val="single"/>
          </w:rPr>
          <w:t>.</w:t>
        </w:r>
        <w:r w:rsidRPr="0041409A">
          <w:rPr>
            <w:rFonts w:ascii="Times New Roman" w:hAnsi="Times New Roman" w:cs="Times New Roman"/>
            <w:sz w:val="24"/>
            <w:szCs w:val="24"/>
            <w:u w:val="single"/>
            <w:lang w:val="en-US"/>
          </w:rPr>
          <w:t>ivanenko</w:t>
        </w:r>
        <w:r w:rsidRPr="0041409A">
          <w:rPr>
            <w:rFonts w:ascii="Times New Roman" w:hAnsi="Times New Roman" w:cs="Times New Roman"/>
            <w:sz w:val="24"/>
            <w:szCs w:val="24"/>
            <w:u w:val="single"/>
          </w:rPr>
          <w:t>@</w:t>
        </w:r>
        <w:r w:rsidRPr="0041409A">
          <w:rPr>
            <w:rFonts w:ascii="Times New Roman" w:hAnsi="Times New Roman" w:cs="Times New Roman"/>
            <w:sz w:val="24"/>
            <w:szCs w:val="24"/>
            <w:u w:val="single"/>
            <w:lang w:val="en-US"/>
          </w:rPr>
          <w:t>vvsu</w:t>
        </w:r>
        <w:r w:rsidRPr="0041409A">
          <w:rPr>
            <w:rFonts w:ascii="Times New Roman" w:hAnsi="Times New Roman" w:cs="Times New Roman"/>
            <w:sz w:val="24"/>
            <w:szCs w:val="24"/>
            <w:u w:val="single"/>
          </w:rPr>
          <w:t>.</w:t>
        </w:r>
        <w:r w:rsidRPr="0041409A">
          <w:rPr>
            <w:rFonts w:ascii="Times New Roman" w:hAnsi="Times New Roman" w:cs="Times New Roman"/>
            <w:sz w:val="24"/>
            <w:szCs w:val="24"/>
            <w:u w:val="single"/>
            <w:lang w:val="en-US"/>
          </w:rPr>
          <w:t>ru</w:t>
        </w:r>
      </w:hyperlink>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r w:rsidRPr="0041409A">
        <w:rPr>
          <w:rFonts w:ascii="Times New Roman" w:hAnsi="Times New Roman" w:cs="Times New Roman"/>
          <w:sz w:val="24"/>
          <w:szCs w:val="24"/>
          <w:lang w:eastAsia="ru-RU"/>
        </w:rPr>
        <w:t>Ул. Гоголя, 41, г. Владивосток, Приморский край, Россия, 690014</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i/>
          <w:color w:val="000000"/>
          <w:sz w:val="24"/>
          <w:szCs w:val="24"/>
          <w:lang w:eastAsia="ru-RU"/>
        </w:rPr>
      </w:pPr>
      <w:r w:rsidRPr="0041409A">
        <w:rPr>
          <w:rFonts w:ascii="Times New Roman" w:hAnsi="Times New Roman" w:cs="Times New Roman"/>
          <w:i/>
          <w:sz w:val="24"/>
          <w:szCs w:val="24"/>
        </w:rPr>
        <w:t xml:space="preserve">Измерены уровни шума вблизи автомобильных дорог г. Владивостока на примере улиц – проспект Красного знамени, Фрунзенского района, улиц Некрасовская и Гоголя, расположенных в Ленинском районе. </w:t>
      </w:r>
      <w:r w:rsidRPr="0041409A">
        <w:rPr>
          <w:rFonts w:ascii="Times New Roman" w:hAnsi="Times New Roman" w:cs="Times New Roman"/>
          <w:i/>
          <w:color w:val="000000"/>
          <w:sz w:val="24"/>
          <w:szCs w:val="24"/>
          <w:lang w:eastAsia="ru-RU"/>
        </w:rPr>
        <w:t xml:space="preserve">Показано, что максимальные уровни шума характерны для точек измерения, расположенных в непосредственной близости с дорогой. </w:t>
      </w:r>
      <w:r w:rsidRPr="0041409A">
        <w:rPr>
          <w:rFonts w:ascii="Times New Roman" w:hAnsi="Times New Roman" w:cs="Times New Roman"/>
          <w:i/>
          <w:sz w:val="24"/>
          <w:szCs w:val="24"/>
        </w:rPr>
        <w:t xml:space="preserve">По мере удаления от начальной точки измерения уровень шума снижался. Установлено </w:t>
      </w:r>
      <w:r w:rsidRPr="0041409A">
        <w:rPr>
          <w:rFonts w:ascii="Times New Roman" w:hAnsi="Times New Roman" w:cs="Times New Roman"/>
          <w:i/>
          <w:color w:val="000000"/>
          <w:sz w:val="24"/>
          <w:szCs w:val="24"/>
        </w:rPr>
        <w:t xml:space="preserve">превышение допустимого уровня шума в точках измерения, прилегающих к автомобильной дороге, а также, единично в районе жилой застройки. Предложены мероприятия для снижения уровня шума в г. Владивостоке – создание дополнительных развязок, </w:t>
      </w:r>
      <w:r w:rsidRPr="0041409A">
        <w:rPr>
          <w:rFonts w:ascii="Times New Roman" w:hAnsi="Times New Roman" w:cs="Times New Roman"/>
          <w:i/>
          <w:sz w:val="24"/>
          <w:szCs w:val="24"/>
        </w:rPr>
        <w:t>объездных дорог, создание шумовой карты города.</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i/>
          <w:sz w:val="24"/>
          <w:szCs w:val="24"/>
          <w:lang w:eastAsia="ru-RU"/>
        </w:rPr>
      </w:pP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i/>
          <w:sz w:val="24"/>
          <w:szCs w:val="24"/>
        </w:rPr>
      </w:pPr>
      <w:r w:rsidRPr="0041409A">
        <w:rPr>
          <w:rFonts w:ascii="Times New Roman" w:hAnsi="Times New Roman" w:cs="Times New Roman"/>
          <w:i/>
          <w:sz w:val="24"/>
          <w:szCs w:val="24"/>
        </w:rPr>
        <w:t>Ключевые слова и словосочетания: автотранспорт, шум, эквивалентный уровень шума, озеленение, защита от шума.</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sz w:val="24"/>
          <w:szCs w:val="24"/>
          <w:lang w:val="en-US"/>
        </w:rPr>
      </w:pPr>
      <w:r w:rsidRPr="0041409A">
        <w:rPr>
          <w:rFonts w:ascii="Times New Roman" w:hAnsi="Times New Roman" w:cs="Times New Roman"/>
          <w:b/>
          <w:sz w:val="24"/>
          <w:szCs w:val="24"/>
          <w:lang w:val="en-US"/>
        </w:rPr>
        <w:t>Assessment of noise pollution in the city of Vladivostok</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sz w:val="24"/>
          <w:szCs w:val="24"/>
          <w:highlight w:val="yellow"/>
          <w:lang w:val="en-US"/>
        </w:rPr>
      </w:pP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i/>
          <w:sz w:val="24"/>
          <w:szCs w:val="24"/>
          <w:lang w:val="en-US"/>
        </w:rPr>
      </w:pPr>
      <w:r w:rsidRPr="0041409A">
        <w:rPr>
          <w:rFonts w:ascii="Times New Roman" w:hAnsi="Times New Roman" w:cs="Times New Roman"/>
          <w:i/>
          <w:sz w:val="24"/>
          <w:szCs w:val="24"/>
          <w:lang w:val="en-US"/>
        </w:rPr>
        <w:t>Measured noise levels near roads of Vladivostok, on the example of the streets – Avenue of the Krasnogo znameni Frunze district, street Nekrasovskaya and Gogolya, located in the Lenin district. It is shown, that the maximum noise levels are typical for points of measure, located in close proximity to the road. As you move away from the starting point of the measurement, the noise level decreased. Installed the excess of the permissible noise level at the measurement points, adjacent to the road, as well as, isolated in the residential area. Measures for noise reduction in the city Vladivostok are proposed – creation of additional interchanges, bypass roads, creation of a noise map of the city.</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highlight w:val="yellow"/>
          <w:lang w:val="en-US"/>
        </w:rPr>
      </w:pP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i/>
          <w:sz w:val="24"/>
          <w:szCs w:val="24"/>
          <w:lang w:val="en-US"/>
        </w:rPr>
      </w:pPr>
      <w:r w:rsidRPr="0041409A">
        <w:rPr>
          <w:rFonts w:ascii="Times New Roman" w:hAnsi="Times New Roman" w:cs="Times New Roman"/>
          <w:i/>
          <w:sz w:val="24"/>
          <w:szCs w:val="24"/>
          <w:lang w:val="en-US"/>
        </w:rPr>
        <w:t xml:space="preserve">Keywords: </w:t>
      </w:r>
      <w:r w:rsidRPr="0041409A">
        <w:rPr>
          <w:rFonts w:ascii="Times New Roman" w:hAnsi="Times New Roman" w:cs="Times New Roman"/>
          <w:i/>
          <w:color w:val="212121"/>
          <w:sz w:val="24"/>
          <w:szCs w:val="24"/>
          <w:shd w:val="clear" w:color="auto" w:fill="FFFFFF"/>
          <w:lang w:val="en-US"/>
        </w:rPr>
        <w:t>motor transport, noise, equivalent noise level, landscaping, noise protection.</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b/>
          <w:sz w:val="24"/>
          <w:szCs w:val="24"/>
          <w:lang w:val="en-US"/>
        </w:rPr>
      </w:pP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b/>
          <w:sz w:val="24"/>
          <w:szCs w:val="24"/>
        </w:rPr>
      </w:pPr>
      <w:r w:rsidRPr="0041409A">
        <w:rPr>
          <w:rFonts w:ascii="Times New Roman" w:hAnsi="Times New Roman" w:cs="Times New Roman"/>
          <w:b/>
          <w:sz w:val="24"/>
          <w:szCs w:val="24"/>
        </w:rPr>
        <w:t>Введение</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В условиях высокой автотранспортной нагрузки проблема шума в городах остается актуальной. Автомобильный транспорт является причиной шумового загрязнения на 80% территорий городов. Поскольку многие автомобильные дороги располагаются непосредственно возле жилых домов, то уровень шума в жилой застройке превышает существующие нормы на 5–30 дБ [3, с. 17-26]. Шум негативно воздействует на здоровье человека. Постоянная шумовая нагрузка от автотранспорта может привести к снижению порога слышимости, изменениям в функциональном состоянии центральной нервной системы, ухудшению сна, снижению работоспособности и эффективности обучения, а также обострению иных физиологических расстройств [2, с. 91-94]. Архитектурно-планировочные особенности городов способствуют распространению звука от источника, формируя зоны акустического дискомфорта.</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Для г. Владивостока проблема шумового загрязнения на данном этапе весьма актуальна, поскольку для данного города характерна высокая транспортная нагрузка. Это связано не только с постоянно растущим количеством автотранспорта, но и с узкими автомобильными дорогами, недостатком транспортных развязок во всех районах города и объездных дорог.</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Целью настоящей работы являлось изучение акустической обстановки в г. Владивостоке. В связи с этим, на примере таких улиц, как проспект Красного знамени, Фрунзенского района, улиц Некрасовская и Гоголя, расположенных в Ленинском районе    решали следующие задачи:</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 проводили инструментальные замеры уровней шума от улично-дорожной сети и определяли уровень шума,</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 проводили санитарно-гигиеническую оценку уровней шума (сравнивали с ПДУ шума на территории селитебной зоны),</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 анализировали мероприятия по снижению шумовой нагрузки от автотранспорта в г. Владивостоке.</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b/>
          <w:sz w:val="24"/>
          <w:szCs w:val="24"/>
        </w:rPr>
      </w:pPr>
      <w:r w:rsidRPr="0041409A">
        <w:rPr>
          <w:rFonts w:ascii="Times New Roman" w:hAnsi="Times New Roman" w:cs="Times New Roman"/>
          <w:b/>
          <w:sz w:val="24"/>
          <w:szCs w:val="24"/>
        </w:rPr>
        <w:t>Материалы и методы исследования</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 xml:space="preserve">Проводили измерения эквивалентного уровня шума. Выбрано 3 участка – это ул. Гоголя, ул. Некрасовская, пр-т Красного Знамени. Каждый участок дороги разбивали на три условные точки. Начальной точкой измерения являлась ближайшая к автомобильной дороге. Для получения характеристик замеры выполняли в дни рабочей недели в утреннее (11:00-12:00) и вечернее время (18:00 – 20:00) по мере удаления от автомобильной дороги на 0, 50, 100 и 150 метров, при этом учитывали интенсивность транспорта в районе (единиц/час). </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Определение шумовой характеристики исследуемых территорий было проведено по методике В.И. Стурмана [7, с. 251] и в соответствии с ГОСТ 23337-78 «Шум. Методы измерения шума на селитебной территории и в помещениях жилых и общественных зданий». Мониторинг шума в окружающей среде проводили с использованием шумомера «</w:t>
      </w:r>
      <w:r w:rsidRPr="0041409A">
        <w:rPr>
          <w:rFonts w:ascii="Times New Roman" w:hAnsi="Times New Roman" w:cs="Times New Roman"/>
          <w:sz w:val="24"/>
          <w:szCs w:val="24"/>
          <w:lang w:val="en-US"/>
        </w:rPr>
        <w:t>HT</w:t>
      </w:r>
      <w:r w:rsidRPr="0041409A">
        <w:rPr>
          <w:rFonts w:ascii="Times New Roman" w:hAnsi="Times New Roman" w:cs="Times New Roman"/>
          <w:sz w:val="24"/>
          <w:szCs w:val="24"/>
        </w:rPr>
        <w:t xml:space="preserve"> 154» в диапазоне от 30 до 100 дБ в режиме «</w:t>
      </w:r>
      <w:r w:rsidRPr="0041409A">
        <w:rPr>
          <w:rFonts w:ascii="Times New Roman" w:hAnsi="Times New Roman" w:cs="Times New Roman"/>
          <w:sz w:val="24"/>
          <w:szCs w:val="24"/>
          <w:lang w:val="en-US"/>
        </w:rPr>
        <w:t>Fast</w:t>
      </w:r>
      <w:r w:rsidRPr="0041409A">
        <w:rPr>
          <w:rFonts w:ascii="Times New Roman" w:hAnsi="Times New Roman" w:cs="Times New Roman"/>
          <w:sz w:val="24"/>
          <w:szCs w:val="24"/>
        </w:rPr>
        <w:t>» с использованием насадки против ветра.</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b/>
          <w:sz w:val="24"/>
          <w:szCs w:val="24"/>
        </w:rPr>
      </w:pPr>
      <w:r w:rsidRPr="0041409A">
        <w:rPr>
          <w:rFonts w:ascii="Times New Roman" w:hAnsi="Times New Roman" w:cs="Times New Roman"/>
          <w:b/>
          <w:sz w:val="24"/>
          <w:szCs w:val="24"/>
        </w:rPr>
        <w:t>Результаты и их обсуждение</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Уровень шума на участках, где проводили измерения, находился в диапазоне от 41,3до 95дБ.</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 xml:space="preserve"> На рис. 1. и рис. 2. показан участок измерений по улице пр-т Красного знамени. На этом участке дороги наибольший уровень шума был зафиксирован в точке, расположенной вблизи автомобильной дороги. По мере удаления от начальной точки измерения уровень шума снижался в среднем на 23 процента. Для других участков измерений характерна та же тенденция – т.е. вблизи дороги был зафиксирован максимальный уровень шума. Это связанно с особенностью застройки в районе измерений. Строения, расположенные вдоль дорог, служат экраном, таким образом, звуковая волна отражается от зданий и при удалении вглубь микрорайона уровень шума был ниже, чем у автодороги. Помимо этого, «затухание» шума от транспорта обусловлено наличием естественного защитного экрана в виде ненарушенных лесонасаждений.</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rPr>
      </w:pPr>
      <w:r w:rsidRPr="0041409A">
        <w:rPr>
          <w:rFonts w:ascii="Times New Roman" w:hAnsi="Times New Roman" w:cs="Times New Roman"/>
          <w:noProof/>
          <w:color w:val="000000"/>
          <w:sz w:val="24"/>
          <w:szCs w:val="24"/>
          <w:lang w:eastAsia="ru-RU"/>
        </w:rPr>
        <w:drawing>
          <wp:inline distT="0" distB="0" distL="0" distR="0" wp14:anchorId="164B0D1D" wp14:editId="5842C95B">
            <wp:extent cx="5762625" cy="2819400"/>
            <wp:effectExtent l="0" t="0" r="0" b="0"/>
            <wp:docPr id="167" name="Диаграмма 16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rPr>
      </w:pPr>
      <w:r w:rsidRPr="0041409A">
        <w:rPr>
          <w:rFonts w:ascii="Times New Roman" w:hAnsi="Times New Roman" w:cs="Times New Roman"/>
          <w:sz w:val="24"/>
          <w:szCs w:val="24"/>
        </w:rPr>
        <w:t>Рис. 1. Уровень шума на ул. пр-т Красного знамени в 11:00</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rPr>
      </w:pP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noProof/>
          <w:sz w:val="24"/>
          <w:szCs w:val="24"/>
          <w:lang w:eastAsia="ru-RU"/>
        </w:rPr>
        <w:drawing>
          <wp:inline distT="0" distB="0" distL="0" distR="0" wp14:anchorId="15338E44" wp14:editId="75E570E3">
            <wp:extent cx="5886450" cy="2571750"/>
            <wp:effectExtent l="0" t="0" r="0" b="0"/>
            <wp:docPr id="171" name="Диаграмма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before="120" w:after="0" w:line="240" w:lineRule="auto"/>
        <w:ind w:firstLine="709"/>
        <w:jc w:val="center"/>
        <w:rPr>
          <w:rFonts w:ascii="Times New Roman" w:hAnsi="Times New Roman" w:cs="Times New Roman"/>
          <w:sz w:val="24"/>
          <w:szCs w:val="24"/>
        </w:rPr>
      </w:pPr>
      <w:r w:rsidRPr="0041409A">
        <w:rPr>
          <w:rFonts w:ascii="Times New Roman" w:hAnsi="Times New Roman" w:cs="Times New Roman"/>
          <w:sz w:val="24"/>
          <w:szCs w:val="24"/>
        </w:rPr>
        <w:t>Рис. 2. Уровень шума на ул. пр-т Красного знамени в 18:00</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Измерение уровня шума проводили в 11:00 и в час пик (18:00). Соответственно, наименьший уровень шума был зафиксирован в 11 утра, когда интенсивность транспортного потока относительно невысокая. Уровень шума в это время изменялся от 50 до 78 дБ. В час пик уровень шума достигал максимального значения 95 дБ.</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Также, оценивали загруженность дорог путем прямого подсчета грузовых автомобилей, легковых автомобилей и автобусов. На участках, где проводили измерения, преобладают легковые автомобили (среднее количество равно 1393 ед/час). Среднее количество грузовых автомобилей 100 ед/час, автобусов 115 ед/час.</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76"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 xml:space="preserve">В Российской Федерации действуют </w:t>
      </w:r>
      <w:r w:rsidRPr="0041409A">
        <w:rPr>
          <w:rFonts w:ascii="Times New Roman" w:hAnsi="Times New Roman" w:cs="Times New Roman"/>
          <w:spacing w:val="2"/>
          <w:sz w:val="24"/>
          <w:szCs w:val="24"/>
        </w:rPr>
        <w:t xml:space="preserve">Санитарные нормы </w:t>
      </w:r>
      <w:r w:rsidRPr="0041409A">
        <w:rPr>
          <w:rFonts w:ascii="Times New Roman" w:hAnsi="Times New Roman" w:cs="Times New Roman"/>
          <w:bCs/>
          <w:sz w:val="24"/>
          <w:szCs w:val="24"/>
          <w:shd w:val="clear" w:color="auto" w:fill="FFFFFF"/>
        </w:rPr>
        <w:t>СН 2.2.4/2.1.8.562-96 «Шум на рабочих местах, в помещениях жилых, общественных зданий и на территории жилой застройки»</w:t>
      </w:r>
      <w:r w:rsidRPr="0041409A">
        <w:rPr>
          <w:rFonts w:ascii="Times New Roman" w:hAnsi="Times New Roman" w:cs="Times New Roman"/>
          <w:spacing w:val="2"/>
          <w:sz w:val="24"/>
          <w:szCs w:val="24"/>
        </w:rPr>
        <w:t xml:space="preserve">. </w:t>
      </w:r>
      <w:r w:rsidRPr="0041409A">
        <w:rPr>
          <w:rFonts w:ascii="Times New Roman" w:hAnsi="Times New Roman" w:cs="Times New Roman"/>
          <w:sz w:val="24"/>
          <w:szCs w:val="24"/>
        </w:rPr>
        <w:t>Значения ПДУ приняты по СН 2.2.4/2.1.2.562-96 для территорий, непосредственно прилегающих к жилым домам и проч.</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76" w:lineRule="auto"/>
        <w:ind w:firstLine="709"/>
        <w:jc w:val="both"/>
        <w:rPr>
          <w:rFonts w:ascii="Times New Roman" w:hAnsi="Times New Roman" w:cs="Times New Roman"/>
          <w:color w:val="000000"/>
          <w:sz w:val="24"/>
          <w:szCs w:val="24"/>
        </w:rPr>
      </w:pPr>
      <w:r w:rsidRPr="0041409A">
        <w:rPr>
          <w:rFonts w:ascii="Times New Roman" w:hAnsi="Times New Roman" w:cs="Times New Roman"/>
          <w:color w:val="2D2D2D"/>
          <w:spacing w:val="2"/>
          <w:sz w:val="24"/>
          <w:szCs w:val="24"/>
        </w:rPr>
        <w:t>И</w:t>
      </w:r>
      <w:r w:rsidRPr="0041409A">
        <w:rPr>
          <w:rFonts w:ascii="Times New Roman" w:hAnsi="Times New Roman" w:cs="Times New Roman"/>
          <w:sz w:val="24"/>
          <w:szCs w:val="24"/>
        </w:rPr>
        <w:t xml:space="preserve">сходя из полученных данных и сверив их с </w:t>
      </w:r>
      <w:r w:rsidRPr="0041409A">
        <w:rPr>
          <w:rFonts w:ascii="Times New Roman" w:hAnsi="Times New Roman" w:cs="Times New Roman"/>
          <w:color w:val="000000"/>
          <w:sz w:val="24"/>
          <w:szCs w:val="24"/>
        </w:rPr>
        <w:t xml:space="preserve">допустимым эквивалентным уровнем звука проникающего шума на территории жилой застройки, получили, что уровень шума практически на всех участках, где проводили измерения, превышает допустимый уровень на 5-30 процентов как в 11:00, так и в 18:00. </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76" w:lineRule="auto"/>
        <w:ind w:firstLine="709"/>
        <w:jc w:val="both"/>
        <w:rPr>
          <w:rFonts w:ascii="Times New Roman" w:hAnsi="Times New Roman" w:cs="Times New Roman"/>
          <w:b/>
          <w:color w:val="000000"/>
          <w:sz w:val="24"/>
          <w:szCs w:val="24"/>
        </w:rPr>
      </w:pPr>
      <w:r w:rsidRPr="0041409A">
        <w:rPr>
          <w:rFonts w:ascii="Times New Roman" w:hAnsi="Times New Roman" w:cs="Times New Roman"/>
          <w:b/>
          <w:color w:val="000000"/>
          <w:sz w:val="24"/>
          <w:szCs w:val="24"/>
        </w:rPr>
        <w:t>Выводы:</w:t>
      </w:r>
    </w:p>
    <w:p w:rsidR="0041409A" w:rsidRPr="0041409A" w:rsidRDefault="0041409A" w:rsidP="0041409A">
      <w:pPr>
        <w:numPr>
          <w:ilvl w:val="0"/>
          <w:numId w:val="135"/>
        </w:num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color w:val="000000"/>
          <w:sz w:val="24"/>
          <w:szCs w:val="24"/>
        </w:rPr>
      </w:pPr>
      <w:r w:rsidRPr="0041409A">
        <w:rPr>
          <w:rFonts w:ascii="Times New Roman" w:hAnsi="Times New Roman" w:cs="Times New Roman"/>
          <w:sz w:val="24"/>
          <w:szCs w:val="24"/>
        </w:rPr>
        <w:t>Уровень шума на участках измерений г. Владивостока (пр-т Красного знамени, Фрунзенского района; ул. Некрасовская, ул. Гоголя, расположенных в Ленинском районе) находился в диапазоне от 41,3 до 95Дб.</w:t>
      </w:r>
    </w:p>
    <w:p w:rsidR="0041409A" w:rsidRPr="0041409A" w:rsidRDefault="0041409A" w:rsidP="0041409A">
      <w:pPr>
        <w:numPr>
          <w:ilvl w:val="0"/>
          <w:numId w:val="135"/>
        </w:num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color w:val="000000"/>
          <w:sz w:val="24"/>
          <w:szCs w:val="24"/>
        </w:rPr>
      </w:pPr>
      <w:r w:rsidRPr="0041409A">
        <w:rPr>
          <w:rFonts w:ascii="Times New Roman" w:hAnsi="Times New Roman" w:cs="Times New Roman"/>
          <w:color w:val="000000"/>
          <w:sz w:val="24"/>
          <w:szCs w:val="24"/>
        </w:rPr>
        <w:t>Установлено превышение допустимого уровня шума в точках измерения, прилегающих к автомобильной дороге, а также, единично в районе жилой застройки (пр-т Красного знамени 25, Некрасовская 58а, Некрасовская 70).</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76" w:lineRule="auto"/>
        <w:ind w:firstLine="709"/>
        <w:jc w:val="both"/>
        <w:rPr>
          <w:rFonts w:ascii="Times New Roman" w:hAnsi="Times New Roman" w:cs="Times New Roman"/>
          <w:color w:val="000000"/>
          <w:sz w:val="24"/>
          <w:szCs w:val="24"/>
        </w:rPr>
      </w:pPr>
      <w:r w:rsidRPr="0041409A">
        <w:rPr>
          <w:rFonts w:ascii="Times New Roman" w:hAnsi="Times New Roman" w:cs="Times New Roman"/>
          <w:color w:val="000000"/>
          <w:sz w:val="24"/>
          <w:szCs w:val="24"/>
        </w:rPr>
        <w:t>Таким образом, в результате проведенной исследовательской работы было установлено, что в утреннее и вечернее время во Фрунзенском и Ленинском районах города наблюдается превышение санитарных норм уровня шума. Поэтому, для города Владивостока является актуальным снижение уровня шумового загрязнения.</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b/>
          <w:sz w:val="24"/>
          <w:szCs w:val="24"/>
        </w:rPr>
      </w:pPr>
      <w:r w:rsidRPr="0041409A">
        <w:rPr>
          <w:rFonts w:ascii="Times New Roman" w:hAnsi="Times New Roman" w:cs="Times New Roman"/>
          <w:b/>
          <w:sz w:val="24"/>
          <w:szCs w:val="24"/>
        </w:rPr>
        <w:t>Рекомендации к снижению уровня шума:</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Традиционные способы снижения уровня шума в городах – это озеленение, установка защитных экранов, использование рельефа местности, а также, использование при строительстве дорожного полотна шумопонижающего покрытия [4-5].</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 xml:space="preserve">Для г. Владивостока необходимо создание дополнительных развязок, объездных дорог [6, с. 160]. Также, инструментом контроля шума является шумовая карта города, где представлены уровни шума на всех основных магистралях, в районах жилья и отдыха людей, на территории промышленных и других предприятий, а также вокруг отдельно стоящих шумных объектов[1, </w:t>
      </w:r>
      <w:r w:rsidRPr="0041409A">
        <w:rPr>
          <w:rFonts w:ascii="Times New Roman" w:hAnsi="Times New Roman" w:cs="Times New Roman"/>
          <w:sz w:val="24"/>
          <w:szCs w:val="24"/>
          <w:lang w:val="en-US"/>
        </w:rPr>
        <w:t>c</w:t>
      </w:r>
      <w:r w:rsidRPr="0041409A">
        <w:rPr>
          <w:rFonts w:ascii="Times New Roman" w:hAnsi="Times New Roman" w:cs="Times New Roman"/>
          <w:sz w:val="24"/>
          <w:szCs w:val="24"/>
        </w:rPr>
        <w:t xml:space="preserve">.5]. Шумовая карта города, являющаяся частью общего экологического мониторинга, используется властями: а) для разработки реально достижимых норм допустимого уровня шума для конкретного города; б) для проектирования и осуществления технических и иных средств по выполнению этих норм; в) для применения санкций к тем, кто эти нормы не выполняет. </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_______________________________________</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 xml:space="preserve">1. Боголепов И.И., Лаптева Н.А. Шумовая карта городов и агломераций / И.И. Боголепов, Н.А. Лаптева // Инженерно-строительный журнал. № 6, 2010 г. - С. 5-11. </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 xml:space="preserve">2. Дрябжинский О.Е. Негативное воздействие автотранспорта. Проблема шумового загрязнения. // Современные тенденции развития науки и техники, 2015, № 4, - С. 91-94. </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3. Иванов Н.И. Проблема повышенного шумового воздействия на населения РФ / Н.И. Иванов // Сборник докладов Всероссийской научно-практической конференции с международным участием (Россия, Санкт-Петербург, 21–22 марта 2015 г.) / Под ред. д. т. н., проф. Н.И. Иванова, д. м. н., проф. К.Б. Фридмана.- Санкт-Петербург: Балт. гос. техн. ун-т, изд-во ИННОВА, 2015. - С. 17–26.</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 xml:space="preserve">4. Иванов Н.И. Инженерная акустика. Теория и практика борьбы с шумом: учеб. / Н.И. Иванов. - М.: Логос, 2013. - 432 c. </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 xml:space="preserve">5. Лобатовкина Е.Г., Ларионова К.О. Проектирование защиты жилых и общественных зданий от транспортного шума [Электронный ресурс]: метод. указания / НИУ МГСУ. - М., 2015. - 35 с. </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6. ОДМ 218.2.013–2011. Методические рекомендации по защите от транспортного шума территорий, прилегающих к автомобильным дорогам / Росавтодор. - М., 2011. – 160 с.</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bCs/>
          <w:sz w:val="24"/>
          <w:szCs w:val="24"/>
        </w:rPr>
        <w:t>7. Стурман В.И. Экологическое картографирование</w:t>
      </w:r>
      <w:r w:rsidRPr="0041409A">
        <w:rPr>
          <w:rFonts w:ascii="Times New Roman" w:hAnsi="Times New Roman" w:cs="Times New Roman"/>
          <w:sz w:val="24"/>
          <w:szCs w:val="24"/>
        </w:rPr>
        <w:t xml:space="preserve"> /</w:t>
      </w:r>
      <w:r w:rsidRPr="0041409A">
        <w:rPr>
          <w:rFonts w:ascii="Times New Roman" w:hAnsi="Times New Roman" w:cs="Times New Roman"/>
          <w:bCs/>
          <w:sz w:val="24"/>
          <w:szCs w:val="24"/>
        </w:rPr>
        <w:t>В</w:t>
      </w:r>
      <w:r w:rsidRPr="0041409A">
        <w:rPr>
          <w:rFonts w:ascii="Times New Roman" w:hAnsi="Times New Roman" w:cs="Times New Roman"/>
          <w:sz w:val="24"/>
          <w:szCs w:val="24"/>
        </w:rPr>
        <w:t>.</w:t>
      </w:r>
      <w:r w:rsidRPr="0041409A">
        <w:rPr>
          <w:rFonts w:ascii="Times New Roman" w:hAnsi="Times New Roman" w:cs="Times New Roman"/>
          <w:bCs/>
          <w:sz w:val="24"/>
          <w:szCs w:val="24"/>
        </w:rPr>
        <w:t>И</w:t>
      </w:r>
      <w:r w:rsidRPr="0041409A">
        <w:rPr>
          <w:rFonts w:ascii="Times New Roman" w:hAnsi="Times New Roman" w:cs="Times New Roman"/>
          <w:sz w:val="24"/>
          <w:szCs w:val="24"/>
        </w:rPr>
        <w:t xml:space="preserve">. </w:t>
      </w:r>
      <w:r w:rsidRPr="0041409A">
        <w:rPr>
          <w:rFonts w:ascii="Times New Roman" w:hAnsi="Times New Roman" w:cs="Times New Roman"/>
          <w:bCs/>
          <w:sz w:val="24"/>
          <w:szCs w:val="24"/>
        </w:rPr>
        <w:t>Стурман.</w:t>
      </w:r>
      <w:r w:rsidRPr="0041409A">
        <w:rPr>
          <w:rFonts w:ascii="Times New Roman" w:hAnsi="Times New Roman" w:cs="Times New Roman"/>
          <w:sz w:val="24"/>
          <w:szCs w:val="24"/>
        </w:rPr>
        <w:t>- М.: Аспект Пресс, 2003. - 251 с.</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before="120" w:after="120" w:line="240" w:lineRule="auto"/>
        <w:jc w:val="both"/>
        <w:rPr>
          <w:rFonts w:ascii="Times New Roman" w:hAnsi="Times New Roman" w:cs="Times New Roman"/>
          <w:sz w:val="24"/>
          <w:szCs w:val="24"/>
        </w:rPr>
      </w:pPr>
      <w:r w:rsidRPr="008F687A">
        <w:rPr>
          <w:rFonts w:ascii="Times New Roman" w:hAnsi="Times New Roman" w:cs="Times New Roman"/>
          <w:sz w:val="24"/>
          <w:szCs w:val="24"/>
        </w:rPr>
        <w:t>Рубрика: Актуальные проблемы публичного права</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before="120" w:after="120" w:line="240" w:lineRule="auto"/>
        <w:jc w:val="both"/>
        <w:rPr>
          <w:rFonts w:ascii="Times New Roman" w:hAnsi="Times New Roman" w:cs="Times New Roman"/>
          <w:sz w:val="24"/>
          <w:szCs w:val="24"/>
        </w:rPr>
      </w:pPr>
      <w:r w:rsidRPr="008F687A">
        <w:rPr>
          <w:rFonts w:ascii="Times New Roman" w:hAnsi="Times New Roman" w:cs="Times New Roman"/>
          <w:sz w:val="24"/>
          <w:szCs w:val="24"/>
        </w:rPr>
        <w:t>УДК 341.4</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b/>
          <w:sz w:val="24"/>
          <w:szCs w:val="24"/>
        </w:rPr>
      </w:pPr>
      <w:r w:rsidRPr="008F687A">
        <w:rPr>
          <w:rFonts w:ascii="Times New Roman" w:hAnsi="Times New Roman" w:cs="Times New Roman"/>
          <w:b/>
          <w:sz w:val="24"/>
          <w:szCs w:val="24"/>
        </w:rPr>
        <w:t>Структура норм международного уголовного права: мифы и реальность</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rPr>
      </w:pPr>
      <w:r w:rsidRPr="008F687A">
        <w:rPr>
          <w:rFonts w:ascii="Times New Roman" w:hAnsi="Times New Roman" w:cs="Times New Roman"/>
          <w:sz w:val="24"/>
          <w:szCs w:val="24"/>
        </w:rPr>
        <w:t>Сурикова Алина Александровна,</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i/>
          <w:sz w:val="24"/>
          <w:szCs w:val="24"/>
        </w:rPr>
      </w:pPr>
      <w:r w:rsidRPr="008F687A">
        <w:rPr>
          <w:rFonts w:ascii="Times New Roman" w:hAnsi="Times New Roman" w:cs="Times New Roman"/>
          <w:sz w:val="24"/>
          <w:szCs w:val="24"/>
        </w:rPr>
        <w:t>бакалавр</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i/>
          <w:sz w:val="24"/>
          <w:szCs w:val="24"/>
        </w:rPr>
      </w:pPr>
      <w:r w:rsidRPr="008F687A">
        <w:rPr>
          <w:rFonts w:ascii="Times New Roman" w:hAnsi="Times New Roman" w:cs="Times New Roman"/>
          <w:i/>
          <w:sz w:val="24"/>
          <w:szCs w:val="24"/>
        </w:rPr>
        <w:t xml:space="preserve">Владивостокский государственный университет экономики и сервиса </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i/>
          <w:sz w:val="24"/>
          <w:szCs w:val="24"/>
        </w:rPr>
      </w:pPr>
      <w:r w:rsidRPr="008F687A">
        <w:rPr>
          <w:rFonts w:ascii="Times New Roman" w:hAnsi="Times New Roman" w:cs="Times New Roman"/>
          <w:i/>
          <w:sz w:val="24"/>
          <w:szCs w:val="24"/>
        </w:rPr>
        <w:t>Россия, Владивосток</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rPr>
      </w:pPr>
      <w:r w:rsidRPr="008F687A">
        <w:rPr>
          <w:rFonts w:ascii="Times New Roman" w:hAnsi="Times New Roman" w:cs="Times New Roman"/>
          <w:sz w:val="24"/>
          <w:szCs w:val="24"/>
          <w:lang w:val="en-US"/>
        </w:rPr>
        <w:t>E</w:t>
      </w:r>
      <w:r w:rsidRPr="008F687A">
        <w:rPr>
          <w:rFonts w:ascii="Times New Roman" w:hAnsi="Times New Roman" w:cs="Times New Roman"/>
          <w:sz w:val="24"/>
          <w:szCs w:val="24"/>
        </w:rPr>
        <w:t>-</w:t>
      </w:r>
      <w:r w:rsidRPr="008F687A">
        <w:rPr>
          <w:rFonts w:ascii="Times New Roman" w:hAnsi="Times New Roman" w:cs="Times New Roman"/>
          <w:sz w:val="24"/>
          <w:szCs w:val="24"/>
          <w:lang w:val="en-US"/>
        </w:rPr>
        <w:t>mail</w:t>
      </w:r>
      <w:r w:rsidRPr="008F687A">
        <w:rPr>
          <w:rFonts w:ascii="Times New Roman" w:hAnsi="Times New Roman" w:cs="Times New Roman"/>
          <w:sz w:val="24"/>
          <w:szCs w:val="24"/>
        </w:rPr>
        <w:t xml:space="preserve">: </w:t>
      </w:r>
      <w:hyperlink r:id="rId30" w:history="1">
        <w:r w:rsidRPr="008F687A">
          <w:rPr>
            <w:rFonts w:ascii="Times New Roman" w:hAnsi="Times New Roman" w:cs="Times New Roman"/>
            <w:color w:val="0000FF"/>
            <w:sz w:val="24"/>
            <w:szCs w:val="24"/>
            <w:u w:val="single"/>
            <w:lang w:val="en-US"/>
          </w:rPr>
          <w:t>alincur</w:t>
        </w:r>
        <w:r w:rsidRPr="008F687A">
          <w:rPr>
            <w:rFonts w:ascii="Times New Roman" w:hAnsi="Times New Roman" w:cs="Times New Roman"/>
            <w:color w:val="0000FF"/>
            <w:sz w:val="24"/>
            <w:szCs w:val="24"/>
            <w:u w:val="single"/>
          </w:rPr>
          <w:t>71@</w:t>
        </w:r>
        <w:r w:rsidRPr="008F687A">
          <w:rPr>
            <w:rFonts w:ascii="Times New Roman" w:hAnsi="Times New Roman" w:cs="Times New Roman"/>
            <w:color w:val="0000FF"/>
            <w:sz w:val="24"/>
            <w:szCs w:val="24"/>
            <w:u w:val="single"/>
            <w:lang w:val="en-US"/>
          </w:rPr>
          <w:t>mail</w:t>
        </w:r>
        <w:r w:rsidRPr="008F687A">
          <w:rPr>
            <w:rFonts w:ascii="Times New Roman" w:hAnsi="Times New Roman" w:cs="Times New Roman"/>
            <w:color w:val="0000FF"/>
            <w:sz w:val="24"/>
            <w:szCs w:val="24"/>
            <w:u w:val="single"/>
          </w:rPr>
          <w:t>.</w:t>
        </w:r>
        <w:r w:rsidRPr="008F687A">
          <w:rPr>
            <w:rFonts w:ascii="Times New Roman" w:hAnsi="Times New Roman" w:cs="Times New Roman"/>
            <w:color w:val="0000FF"/>
            <w:sz w:val="24"/>
            <w:szCs w:val="24"/>
            <w:u w:val="single"/>
            <w:lang w:val="en-US"/>
          </w:rPr>
          <w:t>ru</w:t>
        </w:r>
      </w:hyperlink>
      <w:r w:rsidRPr="008F687A">
        <w:rPr>
          <w:rFonts w:ascii="Times New Roman" w:hAnsi="Times New Roman" w:cs="Times New Roman"/>
          <w:sz w:val="24"/>
          <w:szCs w:val="24"/>
        </w:rPr>
        <w:t xml:space="preserve"> Тел: 89147982616</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rPr>
      </w:pPr>
      <w:r w:rsidRPr="008F687A">
        <w:rPr>
          <w:rFonts w:ascii="Times New Roman" w:hAnsi="Times New Roman" w:cs="Times New Roman"/>
          <w:sz w:val="24"/>
          <w:szCs w:val="24"/>
        </w:rPr>
        <w:t>ул. Гоголя, 41, г. Владивосток, Приморский край, Россия, 690014.</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rPr>
      </w:pP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rPr>
      </w:pPr>
      <w:r w:rsidRPr="008F687A">
        <w:rPr>
          <w:rFonts w:ascii="Times New Roman" w:hAnsi="Times New Roman" w:cs="Times New Roman"/>
          <w:sz w:val="24"/>
          <w:szCs w:val="24"/>
        </w:rPr>
        <w:t>Научный руководитель – Литвинова Светлана Федоровна</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rPr>
      </w:pPr>
      <w:r w:rsidRPr="008F687A">
        <w:rPr>
          <w:rFonts w:ascii="Times New Roman" w:hAnsi="Times New Roman" w:cs="Times New Roman"/>
          <w:sz w:val="24"/>
          <w:szCs w:val="24"/>
        </w:rPr>
        <w:t>К.Ю.Н., доцент Кафедры гражданско-правовых дисциплин, Институт права</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i/>
          <w:sz w:val="24"/>
          <w:szCs w:val="24"/>
        </w:rPr>
      </w:pPr>
      <w:r w:rsidRPr="008F687A">
        <w:rPr>
          <w:rFonts w:ascii="Times New Roman" w:hAnsi="Times New Roman" w:cs="Times New Roman"/>
          <w:i/>
          <w:sz w:val="24"/>
          <w:szCs w:val="24"/>
        </w:rPr>
        <w:t xml:space="preserve">Владивостокский государственный университет экономики и сервиса </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i/>
          <w:sz w:val="24"/>
          <w:szCs w:val="24"/>
        </w:rPr>
      </w:pPr>
      <w:r w:rsidRPr="008F687A">
        <w:rPr>
          <w:rFonts w:ascii="Times New Roman" w:hAnsi="Times New Roman" w:cs="Times New Roman"/>
          <w:i/>
          <w:sz w:val="24"/>
          <w:szCs w:val="24"/>
        </w:rPr>
        <w:t>Россия, Владивосток</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rPr>
      </w:pPr>
      <w:r w:rsidRPr="008F687A">
        <w:rPr>
          <w:rFonts w:ascii="Times New Roman" w:hAnsi="Times New Roman" w:cs="Times New Roman"/>
          <w:sz w:val="24"/>
          <w:szCs w:val="24"/>
          <w:lang w:val="en-US"/>
        </w:rPr>
        <w:t>E</w:t>
      </w:r>
      <w:r w:rsidRPr="008F687A">
        <w:rPr>
          <w:rFonts w:ascii="Times New Roman" w:hAnsi="Times New Roman" w:cs="Times New Roman"/>
          <w:sz w:val="24"/>
          <w:szCs w:val="24"/>
        </w:rPr>
        <w:t>-</w:t>
      </w:r>
      <w:r w:rsidRPr="008F687A">
        <w:rPr>
          <w:rFonts w:ascii="Times New Roman" w:hAnsi="Times New Roman" w:cs="Times New Roman"/>
          <w:sz w:val="24"/>
          <w:szCs w:val="24"/>
          <w:lang w:val="en-US"/>
        </w:rPr>
        <w:t>mail</w:t>
      </w:r>
      <w:r w:rsidRPr="008F687A">
        <w:rPr>
          <w:rFonts w:ascii="Times New Roman" w:hAnsi="Times New Roman" w:cs="Times New Roman"/>
          <w:sz w:val="24"/>
          <w:szCs w:val="24"/>
        </w:rPr>
        <w:t xml:space="preserve">: </w:t>
      </w:r>
      <w:r w:rsidRPr="008F687A">
        <w:rPr>
          <w:rFonts w:ascii="Times New Roman" w:hAnsi="Times New Roman" w:cs="Times New Roman"/>
          <w:sz w:val="24"/>
          <w:szCs w:val="24"/>
          <w:lang w:val="en-US"/>
        </w:rPr>
        <w:t>svetlana</w:t>
      </w:r>
      <w:r w:rsidRPr="008F687A">
        <w:rPr>
          <w:rFonts w:ascii="Times New Roman" w:hAnsi="Times New Roman" w:cs="Times New Roman"/>
          <w:sz w:val="24"/>
          <w:szCs w:val="24"/>
        </w:rPr>
        <w:t>.</w:t>
      </w:r>
      <w:r w:rsidRPr="008F687A">
        <w:rPr>
          <w:rFonts w:ascii="Times New Roman" w:hAnsi="Times New Roman" w:cs="Times New Roman"/>
          <w:sz w:val="24"/>
          <w:szCs w:val="24"/>
          <w:lang w:val="en-US"/>
        </w:rPr>
        <w:t>litvinova</w:t>
      </w:r>
      <w:r w:rsidRPr="008F687A">
        <w:rPr>
          <w:rFonts w:ascii="Times New Roman" w:hAnsi="Times New Roman" w:cs="Times New Roman"/>
          <w:sz w:val="24"/>
          <w:szCs w:val="24"/>
        </w:rPr>
        <w:t>@</w:t>
      </w:r>
      <w:r w:rsidRPr="008F687A">
        <w:rPr>
          <w:rFonts w:ascii="Times New Roman" w:hAnsi="Times New Roman" w:cs="Times New Roman"/>
          <w:sz w:val="24"/>
          <w:szCs w:val="24"/>
          <w:lang w:val="en-US"/>
        </w:rPr>
        <w:t>vvsu</w:t>
      </w:r>
      <w:r w:rsidRPr="008F687A">
        <w:rPr>
          <w:rFonts w:ascii="Times New Roman" w:hAnsi="Times New Roman" w:cs="Times New Roman"/>
          <w:sz w:val="24"/>
          <w:szCs w:val="24"/>
        </w:rPr>
        <w:t>.</w:t>
      </w:r>
      <w:r w:rsidRPr="008F687A">
        <w:rPr>
          <w:rFonts w:ascii="Times New Roman" w:hAnsi="Times New Roman" w:cs="Times New Roman"/>
          <w:sz w:val="24"/>
          <w:szCs w:val="24"/>
          <w:lang w:val="en-US"/>
        </w:rPr>
        <w:t>ru</w:t>
      </w:r>
      <w:r w:rsidRPr="008F687A">
        <w:rPr>
          <w:rFonts w:ascii="Times New Roman" w:hAnsi="Times New Roman" w:cs="Times New Roman"/>
          <w:sz w:val="24"/>
          <w:szCs w:val="24"/>
        </w:rPr>
        <w:t xml:space="preserve">  Тел: 89025558748</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rPr>
      </w:pPr>
      <w:r w:rsidRPr="008F687A">
        <w:rPr>
          <w:rFonts w:ascii="Times New Roman" w:hAnsi="Times New Roman" w:cs="Times New Roman"/>
          <w:sz w:val="24"/>
          <w:szCs w:val="24"/>
        </w:rPr>
        <w:t>ул. Гоголя, 41, г. Владивосток, Приморский край, Россия, 690014.</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rPr>
      </w:pP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i/>
          <w:sz w:val="24"/>
          <w:szCs w:val="24"/>
        </w:rPr>
      </w:pPr>
      <w:r w:rsidRPr="008F687A">
        <w:rPr>
          <w:rFonts w:ascii="Times New Roman" w:hAnsi="Times New Roman" w:cs="Times New Roman"/>
          <w:i/>
          <w:sz w:val="24"/>
          <w:szCs w:val="24"/>
        </w:rPr>
        <w:t>Статья посвящена изучению структуры норм международного уголовного права. Автор статьи рассматривает вопрос о том, действительно ли сформировался международный правовой обычай привлечения физических лиц к ответственности и назначения наказания за международные преступления. В работе делается вывод о том, что рано утверждать, что санкция за совершение международного преступления закреплена международным обычаем.</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before="240" w:after="240" w:line="240" w:lineRule="auto"/>
        <w:ind w:firstLine="709"/>
        <w:jc w:val="both"/>
        <w:rPr>
          <w:rFonts w:ascii="Times New Roman" w:hAnsi="Times New Roman" w:cs="Times New Roman"/>
          <w:i/>
          <w:sz w:val="24"/>
          <w:szCs w:val="24"/>
        </w:rPr>
      </w:pPr>
      <w:r w:rsidRPr="008F687A">
        <w:rPr>
          <w:rFonts w:ascii="Times New Roman" w:hAnsi="Times New Roman" w:cs="Times New Roman"/>
          <w:b/>
          <w:sz w:val="24"/>
          <w:szCs w:val="24"/>
        </w:rPr>
        <w:t>Ключевые слова и словосочетания:</w:t>
      </w:r>
      <w:r w:rsidRPr="008F687A">
        <w:rPr>
          <w:rFonts w:ascii="Times New Roman" w:hAnsi="Times New Roman" w:cs="Times New Roman"/>
          <w:sz w:val="24"/>
          <w:szCs w:val="24"/>
        </w:rPr>
        <w:t xml:space="preserve"> </w:t>
      </w:r>
      <w:r w:rsidRPr="008F687A">
        <w:rPr>
          <w:rFonts w:ascii="Times New Roman" w:hAnsi="Times New Roman" w:cs="Times New Roman"/>
          <w:i/>
          <w:sz w:val="24"/>
          <w:szCs w:val="24"/>
        </w:rPr>
        <w:t>норма международного уголовного права, международный обычай, международное преступление.</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b/>
          <w:sz w:val="24"/>
          <w:szCs w:val="23"/>
          <w:lang w:val="en-US"/>
        </w:rPr>
      </w:pPr>
      <w:r w:rsidRPr="008F687A">
        <w:rPr>
          <w:rFonts w:ascii="Times New Roman" w:hAnsi="Times New Roman" w:cs="Times New Roman"/>
          <w:b/>
          <w:sz w:val="24"/>
          <w:szCs w:val="23"/>
          <w:lang w:val="en-US"/>
        </w:rPr>
        <w:t>Structure of international criminal law: myths and realities</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lang w:val="en-US"/>
        </w:rPr>
      </w:pPr>
      <w:r w:rsidRPr="008F687A">
        <w:rPr>
          <w:rFonts w:ascii="Times New Roman" w:hAnsi="Times New Roman" w:cs="Times New Roman"/>
          <w:sz w:val="24"/>
          <w:szCs w:val="24"/>
          <w:lang w:val="en-US"/>
        </w:rPr>
        <w:t>Surikova Alina Alexandrovna</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left="708" w:firstLine="1"/>
        <w:jc w:val="center"/>
        <w:rPr>
          <w:rFonts w:ascii="Times New Roman" w:hAnsi="Times New Roman" w:cs="Times New Roman"/>
          <w:sz w:val="24"/>
          <w:szCs w:val="24"/>
          <w:lang w:val="en-US"/>
        </w:rPr>
      </w:pPr>
      <w:r w:rsidRPr="008F687A">
        <w:rPr>
          <w:rFonts w:ascii="Times New Roman" w:hAnsi="Times New Roman" w:cs="Times New Roman"/>
          <w:sz w:val="24"/>
          <w:szCs w:val="24"/>
          <w:lang w:val="en-US"/>
        </w:rPr>
        <w:t>Bachelor</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i/>
          <w:sz w:val="24"/>
          <w:szCs w:val="24"/>
          <w:lang w:val="en-US"/>
        </w:rPr>
      </w:pPr>
      <w:r w:rsidRPr="008F687A">
        <w:rPr>
          <w:rFonts w:ascii="Times New Roman" w:hAnsi="Times New Roman" w:cs="Times New Roman"/>
          <w:i/>
          <w:sz w:val="24"/>
          <w:szCs w:val="24"/>
          <w:lang w:val="en-US"/>
        </w:rPr>
        <w:t>Vladivostok State University of Economics and Service</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i/>
          <w:sz w:val="24"/>
          <w:szCs w:val="24"/>
          <w:lang w:val="en-US"/>
        </w:rPr>
      </w:pPr>
      <w:r w:rsidRPr="008F687A">
        <w:rPr>
          <w:rFonts w:ascii="Times New Roman" w:hAnsi="Times New Roman" w:cs="Times New Roman"/>
          <w:i/>
          <w:sz w:val="24"/>
          <w:szCs w:val="24"/>
          <w:lang w:val="en-US"/>
        </w:rPr>
        <w:t>Russia, Vladivostok</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lang w:val="en-US"/>
        </w:rPr>
      </w:pPr>
      <w:r w:rsidRPr="008F687A">
        <w:rPr>
          <w:rFonts w:ascii="Times New Roman" w:hAnsi="Times New Roman" w:cs="Times New Roman"/>
          <w:sz w:val="24"/>
          <w:szCs w:val="24"/>
          <w:lang w:val="en-US"/>
        </w:rPr>
        <w:t xml:space="preserve">Email: </w:t>
      </w:r>
      <w:hyperlink r:id="rId31" w:history="1">
        <w:r w:rsidRPr="008F687A">
          <w:rPr>
            <w:rFonts w:ascii="Times New Roman" w:hAnsi="Times New Roman" w:cs="Times New Roman"/>
            <w:color w:val="0000FF"/>
            <w:sz w:val="24"/>
            <w:szCs w:val="24"/>
            <w:u w:val="single"/>
            <w:lang w:val="en-US"/>
          </w:rPr>
          <w:t>alincur71@mail.ru</w:t>
        </w:r>
      </w:hyperlink>
      <w:r w:rsidRPr="008F687A">
        <w:rPr>
          <w:rFonts w:ascii="Times New Roman" w:hAnsi="Times New Roman" w:cs="Times New Roman"/>
          <w:sz w:val="24"/>
          <w:szCs w:val="24"/>
          <w:lang w:val="en-US"/>
        </w:rPr>
        <w:t xml:space="preserve"> Mobile phone: 89147982616</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lang w:val="en-US"/>
        </w:rPr>
      </w:pPr>
      <w:r w:rsidRPr="008F687A">
        <w:rPr>
          <w:rFonts w:ascii="Times New Roman" w:hAnsi="Times New Roman" w:cs="Times New Roman"/>
          <w:sz w:val="24"/>
          <w:szCs w:val="24"/>
          <w:lang w:val="en-US"/>
        </w:rPr>
        <w:t>Gogolya str., 41, Vladivostok, Primorskiy krai, Russia, 690014</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lang w:val="en-US"/>
        </w:rPr>
      </w:pP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lang w:val="en-US"/>
        </w:rPr>
      </w:pPr>
      <w:r w:rsidRPr="008F687A">
        <w:rPr>
          <w:rFonts w:ascii="Times New Roman" w:hAnsi="Times New Roman" w:cs="Times New Roman"/>
          <w:sz w:val="24"/>
          <w:szCs w:val="24"/>
          <w:lang w:val="en-US"/>
        </w:rPr>
        <w:t>Scientific adviser Litvinova Svetlana Fedorovna - candidate of legal sciences, Associate professor of Civil law Department</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i/>
          <w:sz w:val="24"/>
          <w:szCs w:val="24"/>
          <w:lang w:val="en-US"/>
        </w:rPr>
      </w:pPr>
      <w:r w:rsidRPr="008F687A">
        <w:rPr>
          <w:rFonts w:ascii="Times New Roman" w:hAnsi="Times New Roman" w:cs="Times New Roman"/>
          <w:i/>
          <w:sz w:val="24"/>
          <w:szCs w:val="24"/>
          <w:lang w:val="en-US"/>
        </w:rPr>
        <w:t>Vladivostok State University of Economics and Service</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i/>
          <w:sz w:val="24"/>
          <w:szCs w:val="24"/>
          <w:lang w:val="en-US"/>
        </w:rPr>
      </w:pPr>
      <w:r w:rsidRPr="008F687A">
        <w:rPr>
          <w:rFonts w:ascii="Times New Roman" w:hAnsi="Times New Roman" w:cs="Times New Roman"/>
          <w:i/>
          <w:sz w:val="24"/>
          <w:szCs w:val="24"/>
          <w:lang w:val="en-US"/>
        </w:rPr>
        <w:t>Russia, Vladivostok</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lang w:val="en-US"/>
        </w:rPr>
      </w:pPr>
      <w:r w:rsidRPr="008F687A">
        <w:rPr>
          <w:rFonts w:ascii="Times New Roman" w:hAnsi="Times New Roman" w:cs="Times New Roman"/>
          <w:sz w:val="24"/>
          <w:szCs w:val="24"/>
          <w:lang w:val="en-US"/>
        </w:rPr>
        <w:t>E-mail: svetlana.litvinova@vvsu.ru  Mobile phone: 89025558748</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lang w:val="en-US"/>
        </w:rPr>
      </w:pPr>
      <w:r w:rsidRPr="008F687A">
        <w:rPr>
          <w:rFonts w:ascii="Times New Roman" w:hAnsi="Times New Roman" w:cs="Times New Roman"/>
          <w:sz w:val="24"/>
          <w:szCs w:val="24"/>
          <w:lang w:val="en-US"/>
        </w:rPr>
        <w:t>Gogolya str., 41, Vladivostok, Primorskiy krai, Russia, 690014</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lang w:val="en-US"/>
        </w:rPr>
      </w:pP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i/>
          <w:sz w:val="24"/>
          <w:szCs w:val="24"/>
          <w:lang w:val="en-US"/>
        </w:rPr>
      </w:pPr>
      <w:r w:rsidRPr="008F687A">
        <w:rPr>
          <w:rFonts w:ascii="Times New Roman" w:hAnsi="Times New Roman" w:cs="Times New Roman"/>
          <w:i/>
          <w:sz w:val="24"/>
          <w:szCs w:val="24"/>
          <w:lang w:val="en-US"/>
        </w:rPr>
        <w:t>The article is devoted to the study of the structure of international criminal law. The author of the article considers the question of whether the international legal custom of bringing individuals to justice and destination for international crimes has really formed. The paper concludes that it is too early to conclude that the sanction for the Commission of an international crime is fixed by international custom.</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i/>
          <w:sz w:val="24"/>
          <w:szCs w:val="24"/>
          <w:lang w:val="en-US"/>
        </w:rPr>
      </w:pP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rPr>
          <w:rFonts w:ascii="Times New Roman" w:hAnsi="Times New Roman" w:cs="Times New Roman"/>
          <w:i/>
          <w:sz w:val="28"/>
          <w:szCs w:val="24"/>
          <w:lang w:val="en-US"/>
        </w:rPr>
      </w:pPr>
      <w:r w:rsidRPr="008F687A">
        <w:rPr>
          <w:rFonts w:ascii="Times New Roman" w:hAnsi="Times New Roman" w:cs="Times New Roman"/>
          <w:b/>
          <w:sz w:val="24"/>
          <w:szCs w:val="24"/>
          <w:lang w:val="en-US"/>
        </w:rPr>
        <w:t xml:space="preserve">Keywords and phrases: </w:t>
      </w:r>
      <w:r w:rsidRPr="008F687A">
        <w:rPr>
          <w:rFonts w:ascii="Times New Roman" w:hAnsi="Times New Roman" w:cs="Times New Roman"/>
          <w:i/>
          <w:sz w:val="24"/>
          <w:szCs w:val="23"/>
          <w:lang w:val="en-US"/>
        </w:rPr>
        <w:t>international criminal law, international custom, international crime.</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shd w:val="clear" w:color="auto" w:fill="FFFFFF"/>
          <w:lang w:val="en-US" w:eastAsia="ru-RU"/>
        </w:rPr>
      </w:pP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shd w:val="clear" w:color="auto" w:fill="FFFFFF"/>
          <w:lang w:eastAsia="ru-RU"/>
        </w:rPr>
      </w:pPr>
      <w:r w:rsidRPr="008F687A">
        <w:rPr>
          <w:rFonts w:ascii="Times New Roman" w:hAnsi="Times New Roman" w:cs="Times New Roman"/>
          <w:sz w:val="24"/>
          <w:szCs w:val="24"/>
          <w:shd w:val="clear" w:color="auto" w:fill="FFFFFF"/>
          <w:lang w:eastAsia="ru-RU"/>
        </w:rPr>
        <w:t>Обеспечение международной безопасности является одним из важнейших условий для развития и существования мировой цивилизации. Современные международные преступления, среди которых геноцид, военные преступления, преступления против человечества, трансформируются, появляются новые способы и орудия их совершения. Для достижения общей цели соблюдения мира и безопасности необходимо наличие определённой правовой базы для урегулирования вопросов уголовного преследования и наказания физических лиц.</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8F687A">
        <w:rPr>
          <w:rFonts w:ascii="Times New Roman" w:hAnsi="Times New Roman" w:cs="Times New Roman"/>
          <w:sz w:val="24"/>
          <w:szCs w:val="24"/>
        </w:rPr>
        <w:t>Актуальной проблемой привлечения к международной уголовной ответственности физических лиц является то, что отсутствует единый унифицированный кодекс, закрепляющий материальные и процессуальные нормы международного уголовного права. В связи с этим, существуют определённые пробелы в регламентации норм привлечения к ответственности и наказания виновных лиц.</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8F687A">
        <w:rPr>
          <w:rFonts w:ascii="Times New Roman" w:hAnsi="Times New Roman" w:cs="Times New Roman"/>
          <w:sz w:val="24"/>
          <w:szCs w:val="24"/>
        </w:rPr>
        <w:t xml:space="preserve">В настоящее время существует две формы преследования и наказания преступников, совершивших международное преступление: государственная и международная [5, с. 141]. </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8F687A">
        <w:rPr>
          <w:rFonts w:ascii="Times New Roman" w:hAnsi="Times New Roman" w:cs="Times New Roman"/>
          <w:sz w:val="24"/>
          <w:szCs w:val="24"/>
        </w:rPr>
        <w:t>Государственная форма предполагает преследование преступников на уровне отдельных государств, при котором уголовное судопроизводство и назначение наказания происходит в отношении лица по внутреннему законодательству государства. На современном этапе развития общества, очевидно, что внутригосударственных средств недостаточно для реагирования на преступления, несущие опасность для мировой цивилизации [2, с.103].</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8F687A">
        <w:rPr>
          <w:rFonts w:ascii="Times New Roman" w:hAnsi="Times New Roman" w:cs="Times New Roman"/>
          <w:sz w:val="24"/>
          <w:szCs w:val="24"/>
        </w:rPr>
        <w:t>Международная форма реализуется посредством создания специальных международных органов для суда над преступниками, совершивших международные преступления. К ним относятся международные трибуналы (Нюрнбергский трибунал, Трибунал по бывшей Югославии и Руанде) и Международный уголовный суд, действующий с 2002 года. Международные судебные органы привлекают лицо к ответственности только на основании существующих принципов и норм международного права.</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8F687A">
        <w:rPr>
          <w:rFonts w:ascii="Times New Roman" w:hAnsi="Times New Roman" w:cs="Times New Roman"/>
          <w:sz w:val="24"/>
          <w:szCs w:val="24"/>
        </w:rPr>
        <w:t>Под юрисдикцию судов попадают наиболее опасные и тягчайшие преступления, представляющие угрозу миру и безопасности человечества. Среди них преступления агрессии, геноцида, военные преступления и преступления против человечества. Правовой основой ответственности физического лица за совершение международного преступления содержатся в нормах Конвенции о законах и обычаях войны 1907 г., Женевских конвенциях 1949 г. и Дополнительных протоколов к ним 1977 г., Конвенции о предупреждении преступления геноцида и наказания за него 1948 г., Уставах международных трибуналов, Римском статуте Международного уголовного суда 2002 г. и других международных актах.</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8F687A">
        <w:rPr>
          <w:rFonts w:ascii="Times New Roman" w:hAnsi="Times New Roman" w:cs="Times New Roman"/>
          <w:sz w:val="24"/>
          <w:szCs w:val="24"/>
        </w:rPr>
        <w:t>Под нормой международного права понимается «модель поведения участников межгосударственных отношений, обеспечиваемая принуждением, осуществляемым государствами индивидуально или коллективно, непосредственно или через созданные ими международные механизмы» [3, с. 18]. Она выражает волю одного или нескольких государств и направлена на неоднократное применение.</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8F687A">
        <w:rPr>
          <w:rFonts w:ascii="Times New Roman" w:hAnsi="Times New Roman" w:cs="Times New Roman"/>
          <w:sz w:val="24"/>
          <w:szCs w:val="24"/>
        </w:rPr>
        <w:t>Нормы международного права состоят из трёх элементов: гипотезы (условие применения нормы), диспозиции (само правило поведение участников) и санкции (мера ответственности). Среди учёных существует мнение о том, что гипотеза и диспозиция находят отражение в письменных источниках международного права (договорах, резолюциях), в то время как санкции закреплены в «международных обычаях и носят абсолютно определённый характер» [3, с. 18-19]. Но так ли это на практике?</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sz w:val="24"/>
          <w:szCs w:val="24"/>
          <w:shd w:val="clear" w:color="auto" w:fill="FFFFFF"/>
          <w:lang w:eastAsia="ru-RU"/>
        </w:rPr>
      </w:pPr>
      <w:r w:rsidRPr="008F687A">
        <w:rPr>
          <w:rFonts w:ascii="Times New Roman" w:hAnsi="Times New Roman" w:cs="Times New Roman"/>
          <w:sz w:val="24"/>
          <w:szCs w:val="24"/>
          <w:shd w:val="clear" w:color="auto" w:fill="FFFFFF"/>
          <w:lang w:eastAsia="ru-RU"/>
        </w:rPr>
        <w:t>Прежде чем ответить на этот вопрос, необходимо определить, что такое «международный обычай». Под «международным обычаем» понимается «правило, сложившееся в результате длительного применения в отношениях между всеми или некоторыми государствами, но не закрепленное в международном договоре» [1, с. 315].</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sz w:val="24"/>
          <w:szCs w:val="24"/>
          <w:shd w:val="clear" w:color="auto" w:fill="FFFFFF"/>
          <w:lang w:eastAsia="ru-RU"/>
        </w:rPr>
      </w:pPr>
      <w:r w:rsidRPr="008F687A">
        <w:rPr>
          <w:rFonts w:ascii="Times New Roman" w:hAnsi="Times New Roman" w:cs="Times New Roman"/>
          <w:sz w:val="24"/>
          <w:szCs w:val="24"/>
          <w:shd w:val="clear" w:color="auto" w:fill="FFFFFF"/>
          <w:lang w:eastAsia="ru-RU"/>
        </w:rPr>
        <w:t xml:space="preserve">Для международного обычая характерно три основных признака [4, с. 34]: </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sz w:val="24"/>
          <w:szCs w:val="24"/>
          <w:shd w:val="clear" w:color="auto" w:fill="FFFFFF"/>
          <w:lang w:eastAsia="ru-RU"/>
        </w:rPr>
      </w:pPr>
      <w:r w:rsidRPr="008F687A">
        <w:rPr>
          <w:rFonts w:ascii="Times New Roman" w:hAnsi="Times New Roman" w:cs="Times New Roman"/>
          <w:sz w:val="24"/>
          <w:szCs w:val="24"/>
          <w:shd w:val="clear" w:color="auto" w:fill="FFFFFF"/>
          <w:lang w:eastAsia="ru-RU"/>
        </w:rPr>
        <w:t>1) всеобщность признания;</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sz w:val="24"/>
          <w:szCs w:val="24"/>
          <w:shd w:val="clear" w:color="auto" w:fill="FFFFFF"/>
          <w:lang w:eastAsia="ru-RU"/>
        </w:rPr>
      </w:pPr>
      <w:r w:rsidRPr="008F687A">
        <w:rPr>
          <w:rFonts w:ascii="Times New Roman" w:hAnsi="Times New Roman" w:cs="Times New Roman"/>
          <w:sz w:val="24"/>
          <w:szCs w:val="24"/>
          <w:shd w:val="clear" w:color="auto" w:fill="FFFFFF"/>
          <w:lang w:eastAsia="ru-RU"/>
        </w:rPr>
        <w:t>2) единообразность применения;</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sz w:val="24"/>
          <w:szCs w:val="24"/>
          <w:shd w:val="clear" w:color="auto" w:fill="FFFFFF"/>
          <w:lang w:eastAsia="ru-RU"/>
        </w:rPr>
      </w:pPr>
      <w:r w:rsidRPr="008F687A">
        <w:rPr>
          <w:rFonts w:ascii="Times New Roman" w:hAnsi="Times New Roman" w:cs="Times New Roman"/>
          <w:sz w:val="24"/>
          <w:szCs w:val="24"/>
          <w:shd w:val="clear" w:color="auto" w:fill="FFFFFF"/>
          <w:lang w:eastAsia="ru-RU"/>
        </w:rPr>
        <w:t>3) признание в качестве юридически обязательного правила.</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sz w:val="24"/>
          <w:szCs w:val="24"/>
          <w:shd w:val="clear" w:color="auto" w:fill="FFFFFF"/>
          <w:lang w:eastAsia="ru-RU"/>
        </w:rPr>
      </w:pPr>
      <w:r w:rsidRPr="008F687A">
        <w:rPr>
          <w:rFonts w:ascii="Times New Roman" w:hAnsi="Times New Roman" w:cs="Times New Roman"/>
          <w:sz w:val="24"/>
          <w:szCs w:val="24"/>
          <w:shd w:val="clear" w:color="auto" w:fill="FFFFFF"/>
          <w:lang w:eastAsia="ru-RU"/>
        </w:rPr>
        <w:t xml:space="preserve">Всеобщность признания выражается в том, что международное преступление признано таковым и условия привлечения к ответственности лица сформулированы в международных актах. Например, геноцид признан тягчайшим международным преступлением и гипотеза нормы о привлечении к ответственности лица сформулирована в Конвенции о предупреждении преступления геноцида и наказания за него 1948 г., а также в уставах Трибунала по бывшей Югославии 1993 г., Трибунала по Руанде 1994 г. и Римском статуте 2002 г. </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shd w:val="clear" w:color="auto" w:fill="FFFFFF"/>
        </w:rPr>
      </w:pPr>
      <w:r w:rsidRPr="008F687A">
        <w:rPr>
          <w:rFonts w:ascii="Times New Roman" w:hAnsi="Times New Roman" w:cs="Times New Roman"/>
          <w:sz w:val="24"/>
          <w:szCs w:val="24"/>
        </w:rPr>
        <w:t xml:space="preserve">Единообразность применения выражается в имплементации составов международных преступлений в международные акты. Понятие «геноцид» и элементы состава этого преступления, данное в Конвенции </w:t>
      </w:r>
      <w:r w:rsidRPr="008F687A">
        <w:rPr>
          <w:rFonts w:ascii="Times New Roman" w:hAnsi="Times New Roman" w:cs="Times New Roman"/>
          <w:sz w:val="24"/>
          <w:szCs w:val="24"/>
          <w:shd w:val="clear" w:color="auto" w:fill="FFFFFF"/>
        </w:rPr>
        <w:t>о предупреждении преступления геноцида и наказания за него 1948 г., экстраполируются в уставы трибуналов (по Югославии и Руанде) и Римского статута Международного уголовного суда. Категория военных преступлений, впервые определённых в ст. 6 Устава Нюрнбергского трибунала, находят закрепление и развитие в статьях Женевских конвенций 1949 г. и далее в иных международных актах.</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8F687A">
        <w:rPr>
          <w:rFonts w:ascii="Times New Roman" w:hAnsi="Times New Roman" w:cs="Times New Roman"/>
          <w:sz w:val="24"/>
          <w:szCs w:val="24"/>
        </w:rPr>
        <w:t>Признание в качестве обязательного правила может выражаться в том, что привлечение к ответственности лиц за совершение международного преступления неоспоримо и обязательно для всех государств.</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sz w:val="24"/>
          <w:szCs w:val="24"/>
          <w:shd w:val="clear" w:color="auto" w:fill="FFFFFF"/>
          <w:lang w:eastAsia="ru-RU"/>
        </w:rPr>
      </w:pPr>
      <w:r w:rsidRPr="008F687A">
        <w:rPr>
          <w:rFonts w:ascii="Times New Roman" w:hAnsi="Times New Roman" w:cs="Times New Roman"/>
          <w:sz w:val="24"/>
          <w:szCs w:val="24"/>
          <w:shd w:val="clear" w:color="auto" w:fill="FFFFFF"/>
          <w:lang w:eastAsia="ru-RU"/>
        </w:rPr>
        <w:t>С одной стороны, если рассматривать формально-юридическое закрепление состава международных преступлений, оснований привлечения к ответственности – обычай сложился. Этот вывод основан исходя из сравнительной характеристики международных актов, дающих понятие и содержание международных преступлений, деятельности органов, обладающих международной уголовной юстицией. Определение «геноцид», «военное преступление», «преступление против человечества», данные ещё в начале 1950-х годов имплементируются в дальнейшем в современные международные акты. Деяния, которые признаются международным преступлением, субъектный состав, субъективная сторона преступления, объективная сторона некоторых преступлений расширяется, но, в целом, остаётся также неизменными. Рассмотрение дел происходит только в судебном порядке, суды имеют специальное назначение – преследование лица, совершившее преступление, и назначение ему наказания.</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sz w:val="24"/>
          <w:szCs w:val="24"/>
          <w:shd w:val="clear" w:color="auto" w:fill="FFFFFF"/>
          <w:lang w:eastAsia="ru-RU"/>
        </w:rPr>
      </w:pPr>
      <w:r w:rsidRPr="008F687A">
        <w:rPr>
          <w:rFonts w:ascii="Times New Roman" w:hAnsi="Times New Roman" w:cs="Times New Roman"/>
          <w:sz w:val="24"/>
          <w:szCs w:val="24"/>
          <w:shd w:val="clear" w:color="auto" w:fill="FFFFFF"/>
          <w:lang w:eastAsia="ru-RU"/>
        </w:rPr>
        <w:t>С другой стороны, сказать, что существует длительная общественная практика привлечения к ответственности за международные преступления, нельзя, она мала и разнородна.</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sz w:val="24"/>
          <w:szCs w:val="24"/>
          <w:shd w:val="clear" w:color="auto" w:fill="FFFFFF"/>
          <w:lang w:eastAsia="ru-RU"/>
        </w:rPr>
      </w:pPr>
      <w:r w:rsidRPr="008F687A">
        <w:rPr>
          <w:rFonts w:ascii="Times New Roman" w:hAnsi="Times New Roman" w:cs="Times New Roman"/>
          <w:sz w:val="24"/>
          <w:szCs w:val="24"/>
          <w:shd w:val="clear" w:color="auto" w:fill="FFFFFF"/>
          <w:lang w:eastAsia="ru-RU"/>
        </w:rPr>
        <w:t>Предусмотрены различные виды и сроки наказания за международные преступления. Например, за геноцид 11 смертных приговоров вынесено Нюрнбергским трибуналом. Международным трибуналом по бывшей Югославии всего осуждено 109 человек, из которых шести вынесено решение о назначении наказания в виде пожизненного заключения, остальным – различные сроки тюремного заключения (от четырёх месяцев до сорока лет). В Международном трибунале по Руанде были избраны наказания в виде тюремного заключения с установленным определённым сроком и также наказания в виде пожизненного заключения. Международный уголовный суд, несмотря на вынесенное решение в обвинении Президента Судана в геноциде, решение не исполняет.</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sz w:val="24"/>
          <w:szCs w:val="24"/>
          <w:shd w:val="clear" w:color="auto" w:fill="FFFFFF"/>
          <w:lang w:eastAsia="ru-RU"/>
        </w:rPr>
      </w:pPr>
      <w:r w:rsidRPr="008F687A">
        <w:rPr>
          <w:rFonts w:ascii="Times New Roman" w:hAnsi="Times New Roman" w:cs="Times New Roman"/>
          <w:sz w:val="24"/>
          <w:szCs w:val="24"/>
          <w:shd w:val="clear" w:color="auto" w:fill="FFFFFF"/>
          <w:lang w:eastAsia="ru-RU"/>
        </w:rPr>
        <w:t>Это связано с тем, что каждый из процессов, проводимых над лицами, совершивших международные преступления, отличается друг от друга по своему содержанию и назначению. Нюрнбергский трибунал создавался в условиях послевоенного времени, являлся прецедентным, где все мировое сообщество «требовало» справедливого наказания чудовищным действиям нацистским преступникам. Трибунал по бывшей Югославии отличается многосторонностью сторон (минимум 5 стран-участниц конфликта), участвующими в деле, создавался уже на основе действующих материальных норм международного права. Трибунал по Руанде, напротив, носит внутренний характер, создавался с целью осудить акты геноцида, совершённые на территории Руанды и соседних государств в отношении племени тутси. Международный уголовный суд сравнительно молодой институт, пока нельзя сказать о сформировавшейся практике назначения наказания за международные преступления.</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sz w:val="24"/>
          <w:szCs w:val="24"/>
          <w:shd w:val="clear" w:color="auto" w:fill="FFFFFF"/>
          <w:lang w:eastAsia="ru-RU"/>
        </w:rPr>
      </w:pPr>
      <w:r w:rsidRPr="008F687A">
        <w:rPr>
          <w:rFonts w:ascii="Times New Roman" w:hAnsi="Times New Roman" w:cs="Times New Roman"/>
          <w:sz w:val="24"/>
          <w:szCs w:val="24"/>
          <w:shd w:val="clear" w:color="auto" w:fill="FFFFFF"/>
          <w:lang w:eastAsia="ru-RU"/>
        </w:rPr>
        <w:t>Таким образом, можно сделать вывод, что обычай в привлечении к международной ответственности за международные преступления, в соответствии с их характеристикой, сформировался, практика назначения наказания – нет.</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jc w:val="both"/>
        <w:rPr>
          <w:rFonts w:ascii="Times New Roman" w:hAnsi="Times New Roman" w:cs="Times New Roman"/>
          <w:sz w:val="24"/>
          <w:szCs w:val="24"/>
          <w:shd w:val="clear" w:color="auto" w:fill="FFFFFF"/>
          <w:lang w:eastAsia="ru-RU"/>
        </w:rPr>
      </w:pPr>
      <w:r w:rsidRPr="008F687A">
        <w:rPr>
          <w:rFonts w:ascii="Times New Roman" w:hAnsi="Times New Roman" w:cs="Times New Roman"/>
          <w:sz w:val="24"/>
          <w:szCs w:val="24"/>
          <w:shd w:val="clear" w:color="auto" w:fill="FFFFFF"/>
          <w:lang w:eastAsia="ru-RU"/>
        </w:rPr>
        <w:t>_______________________</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jc w:val="both"/>
        <w:rPr>
          <w:rFonts w:ascii="Times New Roman" w:hAnsi="Times New Roman" w:cs="Times New Roman"/>
          <w:sz w:val="24"/>
          <w:szCs w:val="24"/>
          <w:shd w:val="clear" w:color="auto" w:fill="FFFFFF"/>
          <w:lang w:eastAsia="ru-RU"/>
        </w:rPr>
      </w:pP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outlineLvl w:val="1"/>
        <w:rPr>
          <w:rFonts w:ascii="Times New Roman" w:hAnsi="Times New Roman" w:cs="Times New Roman"/>
          <w:bCs/>
          <w:sz w:val="24"/>
          <w:szCs w:val="24"/>
          <w:shd w:val="clear" w:color="auto" w:fill="FFFFFF"/>
          <w:lang w:eastAsia="ru-RU"/>
        </w:rPr>
      </w:pPr>
      <w:r w:rsidRPr="008F687A">
        <w:rPr>
          <w:rFonts w:ascii="Times New Roman" w:hAnsi="Times New Roman" w:cs="Times New Roman"/>
          <w:bCs/>
          <w:sz w:val="24"/>
          <w:szCs w:val="36"/>
          <w:shd w:val="clear" w:color="auto" w:fill="FFFFFF"/>
          <w:lang w:eastAsia="ru-RU"/>
        </w:rPr>
        <w:t>1.</w:t>
      </w:r>
      <w:r w:rsidRPr="008F687A">
        <w:rPr>
          <w:rFonts w:ascii="Times New Roman" w:hAnsi="Times New Roman" w:cs="Times New Roman"/>
          <w:bCs/>
          <w:sz w:val="24"/>
          <w:szCs w:val="24"/>
          <w:shd w:val="clear" w:color="auto" w:fill="FFFFFF"/>
          <w:lang w:eastAsia="ru-RU"/>
        </w:rPr>
        <w:t xml:space="preserve"> Барихин А. Б. Большой юридический энциклопедический словарь / А. Б. Барихин. – М: Книжный мир, 2000. – 720 с.</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shd w:val="clear" w:color="auto" w:fill="FAFAFA"/>
        </w:rPr>
      </w:pPr>
      <w:r w:rsidRPr="008F687A">
        <w:rPr>
          <w:rFonts w:ascii="Times New Roman" w:hAnsi="Times New Roman" w:cs="Times New Roman"/>
          <w:sz w:val="24"/>
          <w:szCs w:val="24"/>
          <w:shd w:val="clear" w:color="auto" w:fill="FFFFFF"/>
        </w:rPr>
        <w:t>2.</w:t>
      </w:r>
      <w:r w:rsidRPr="008F687A">
        <w:rPr>
          <w:rFonts w:cs="Times New Roman"/>
          <w:b/>
          <w:sz w:val="24"/>
          <w:szCs w:val="24"/>
          <w:shd w:val="clear" w:color="auto" w:fill="FFFFFF"/>
        </w:rPr>
        <w:t xml:space="preserve"> </w:t>
      </w:r>
      <w:r w:rsidRPr="008F687A">
        <w:rPr>
          <w:rFonts w:ascii="Times New Roman" w:hAnsi="Times New Roman" w:cs="Times New Roman"/>
          <w:sz w:val="24"/>
          <w:szCs w:val="24"/>
          <w:shd w:val="clear" w:color="auto" w:fill="FAFAFA"/>
        </w:rPr>
        <w:t>Дремина-Волок Н. В. Международный уголовный суд: специфика и противоречия юрисдикционного режима / Н. В. Дремина-Волок // Актуальный проблемы экономики и права. – 2007. - №4. – С. 99-104.</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8F687A">
        <w:rPr>
          <w:rFonts w:ascii="Times New Roman" w:hAnsi="Times New Roman" w:cs="Times New Roman"/>
          <w:sz w:val="24"/>
          <w:szCs w:val="24"/>
          <w:shd w:val="clear" w:color="auto" w:fill="FAFAFA"/>
        </w:rPr>
        <w:t xml:space="preserve">3. </w:t>
      </w:r>
      <w:r w:rsidRPr="008F687A">
        <w:rPr>
          <w:rFonts w:ascii="Times New Roman" w:hAnsi="Times New Roman" w:cs="Times New Roman"/>
          <w:sz w:val="24"/>
          <w:szCs w:val="24"/>
        </w:rPr>
        <w:t>Егоров С. А. Международное право: учебник / А. С. Егоров. – М.: Статут, 2016. – 848 с.</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8F687A">
        <w:rPr>
          <w:rFonts w:ascii="Times New Roman" w:hAnsi="Times New Roman" w:cs="Times New Roman"/>
          <w:sz w:val="24"/>
          <w:szCs w:val="24"/>
        </w:rPr>
        <w:t>4. Иногамова-Хегай Л. В. Международное уголовное право: учебник / Л. В. Иногамова-Хегай. – С.П.: Юридический центр, 2003. – 208 с.</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8F687A">
        <w:rPr>
          <w:rFonts w:ascii="Times New Roman" w:hAnsi="Times New Roman" w:cs="Times New Roman"/>
          <w:sz w:val="24"/>
          <w:szCs w:val="24"/>
        </w:rPr>
        <w:t>5. Смирнова А. Н. Уголовная ответственность физических лиц за нарушение норм международного гуманитарного права / А. Н. Смирнова. – Федеральное государственное казенное образовательное учреждение высшего профессионального образования «Барнаульский юридический институт Министерства внутренних дел Российской Федерации». – 2016. - №14-2. – С. 141-142.</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outlineLvl w:val="1"/>
        <w:rPr>
          <w:rFonts w:ascii="Times New Roman" w:hAnsi="Times New Roman" w:cs="Times New Roman"/>
          <w:bCs/>
          <w:sz w:val="24"/>
          <w:szCs w:val="24"/>
          <w:shd w:val="clear" w:color="auto" w:fill="FFFFFF"/>
          <w:lang w:eastAsia="ru-RU"/>
        </w:rPr>
      </w:pP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jc w:val="both"/>
        <w:rPr>
          <w:rFonts w:ascii="Times New Roman" w:hAnsi="Times New Roman" w:cs="Times New Roman"/>
          <w:sz w:val="24"/>
          <w:szCs w:val="24"/>
          <w:shd w:val="clear" w:color="auto" w:fill="FFFFFF"/>
          <w:lang w:eastAsia="ru-RU"/>
        </w:rPr>
      </w:pP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161824" w:rsidRDefault="00161824"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161824" w:rsidRDefault="00161824"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161824" w:rsidRDefault="00161824"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161824" w:rsidRDefault="00161824"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161824" w:rsidRDefault="00161824"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161824" w:rsidRDefault="00161824"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161824" w:rsidRDefault="00161824"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161824" w:rsidRDefault="00161824"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161824" w:rsidRPr="0041409A" w:rsidRDefault="00161824"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sz w:val="24"/>
          <w:szCs w:val="24"/>
        </w:rPr>
      </w:pPr>
      <w:r w:rsidRPr="00161824">
        <w:rPr>
          <w:rFonts w:ascii="Times New Roman" w:hAnsi="Times New Roman" w:cs="Times New Roman"/>
          <w:sz w:val="24"/>
          <w:szCs w:val="24"/>
        </w:rPr>
        <w:t xml:space="preserve">Рубрика: Актуальные проблемы современного дизайна </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rPr>
          <w:rFonts w:ascii="Times New Roman" w:hAnsi="Times New Roman" w:cs="Times New Roman"/>
          <w:color w:val="000000"/>
          <w:sz w:val="24"/>
          <w:szCs w:val="24"/>
        </w:rPr>
      </w:pPr>
      <w:r w:rsidRPr="00161824">
        <w:rPr>
          <w:rFonts w:ascii="Times New Roman" w:hAnsi="Times New Roman" w:cs="Times New Roman"/>
          <w:color w:val="000000"/>
          <w:sz w:val="24"/>
          <w:szCs w:val="24"/>
        </w:rPr>
        <w:t>УДК 37</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center"/>
        <w:textAlignment w:val="baseline"/>
        <w:rPr>
          <w:rFonts w:ascii="Times New Roman" w:eastAsia="SimSun" w:hAnsi="Times New Roman" w:cs="Mangal"/>
          <w:kern w:val="3"/>
          <w:sz w:val="24"/>
          <w:szCs w:val="24"/>
          <w:lang w:eastAsia="zh-CN" w:bidi="hi-IN"/>
        </w:rPr>
      </w:pPr>
      <w:r w:rsidRPr="00161824">
        <w:rPr>
          <w:rFonts w:ascii="Times New Roman" w:eastAsia="SimSun" w:hAnsi="Times New Roman" w:cs="Mangal"/>
          <w:kern w:val="3"/>
          <w:sz w:val="24"/>
          <w:szCs w:val="24"/>
          <w:lang w:eastAsia="zh-CN" w:bidi="hi-IN"/>
        </w:rPr>
        <w:t>Системы навигации при формировании безбарьерной среды</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center"/>
        <w:textAlignment w:val="baseline"/>
        <w:rPr>
          <w:rFonts w:ascii="Times New Roman" w:eastAsia="SimSun" w:hAnsi="Times New Roman" w:cs="Mangal"/>
          <w:kern w:val="3"/>
          <w:sz w:val="24"/>
          <w:szCs w:val="24"/>
          <w:lang w:eastAsia="zh-CN" w:bidi="hi-IN"/>
        </w:rPr>
      </w:pPr>
      <w:r w:rsidRPr="00161824">
        <w:rPr>
          <w:rFonts w:ascii="Times New Roman" w:eastAsia="SimSun" w:hAnsi="Times New Roman" w:cs="Mangal"/>
          <w:kern w:val="3"/>
          <w:sz w:val="24"/>
          <w:szCs w:val="24"/>
          <w:lang w:eastAsia="zh-CN" w:bidi="hi-IN"/>
        </w:rPr>
        <w:t>Ильиченко Алена Витальевна</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center"/>
        <w:textAlignment w:val="baseline"/>
        <w:rPr>
          <w:rFonts w:ascii="Times New Roman" w:eastAsia="SimSun" w:hAnsi="Times New Roman" w:cs="Mangal"/>
          <w:kern w:val="3"/>
          <w:sz w:val="24"/>
          <w:szCs w:val="24"/>
          <w:lang w:eastAsia="zh-CN" w:bidi="hi-IN"/>
        </w:rPr>
      </w:pPr>
      <w:r w:rsidRPr="00161824">
        <w:rPr>
          <w:rFonts w:ascii="Times New Roman" w:eastAsia="SimSun" w:hAnsi="Times New Roman" w:cs="Times New Roman"/>
          <w:kern w:val="3"/>
          <w:sz w:val="24"/>
          <w:szCs w:val="24"/>
          <w:lang w:eastAsia="zh-CN" w:bidi="hi-IN"/>
        </w:rPr>
        <w:t xml:space="preserve">бакалавр 3 курса, кафедра дизайна и технологий </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i/>
          <w:iCs/>
          <w:color w:val="000000"/>
          <w:kern w:val="3"/>
          <w:sz w:val="24"/>
          <w:szCs w:val="24"/>
          <w:lang w:eastAsia="zh-CN" w:bidi="hi-IN"/>
        </w:rPr>
      </w:pPr>
      <w:r w:rsidRPr="00161824">
        <w:rPr>
          <w:rFonts w:ascii="Times New Roman" w:eastAsia="Arial Unicode MS" w:hAnsi="Times New Roman" w:cs="Times New Roman"/>
          <w:i/>
          <w:iCs/>
          <w:color w:val="000000"/>
          <w:kern w:val="3"/>
          <w:sz w:val="24"/>
          <w:szCs w:val="24"/>
          <w:lang w:eastAsia="zh-CN" w:bidi="hi-IN"/>
        </w:rPr>
        <w:t>Владивостокский государственный университет экономики и сервиса</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i/>
          <w:iCs/>
          <w:color w:val="000000"/>
          <w:kern w:val="3"/>
          <w:sz w:val="24"/>
          <w:szCs w:val="24"/>
          <w:lang w:eastAsia="zh-CN" w:bidi="hi-IN"/>
        </w:rPr>
      </w:pPr>
      <w:r w:rsidRPr="00161824">
        <w:rPr>
          <w:rFonts w:ascii="Times New Roman" w:eastAsia="Arial Unicode MS" w:hAnsi="Times New Roman" w:cs="Times New Roman"/>
          <w:i/>
          <w:iCs/>
          <w:color w:val="000000"/>
          <w:kern w:val="3"/>
          <w:sz w:val="24"/>
          <w:szCs w:val="24"/>
          <w:lang w:eastAsia="zh-CN" w:bidi="hi-IN"/>
        </w:rPr>
        <w:t>Россия. Владивосток</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color w:val="000000"/>
          <w:kern w:val="3"/>
          <w:sz w:val="28"/>
          <w:szCs w:val="28"/>
          <w:lang w:eastAsia="zh-CN" w:bidi="hi-IN"/>
        </w:rPr>
      </w:pPr>
      <w:r w:rsidRPr="00161824">
        <w:rPr>
          <w:rFonts w:ascii="Times New Roman" w:eastAsia="Arial Unicode MS" w:hAnsi="Times New Roman" w:cs="Times New Roman"/>
          <w:color w:val="000000"/>
          <w:kern w:val="3"/>
          <w:sz w:val="24"/>
          <w:szCs w:val="24"/>
          <w:lang w:val="en-US" w:eastAsia="zh-CN" w:bidi="hi-IN"/>
        </w:rPr>
        <w:t>E</w:t>
      </w:r>
      <w:r w:rsidRPr="00161824">
        <w:rPr>
          <w:rFonts w:ascii="Times New Roman" w:eastAsia="Arial Unicode MS" w:hAnsi="Times New Roman" w:cs="Times New Roman"/>
          <w:color w:val="000000"/>
          <w:kern w:val="3"/>
          <w:sz w:val="24"/>
          <w:szCs w:val="24"/>
          <w:lang w:eastAsia="zh-CN" w:bidi="hi-IN"/>
        </w:rPr>
        <w:t>-</w:t>
      </w:r>
      <w:r w:rsidRPr="00161824">
        <w:rPr>
          <w:rFonts w:ascii="Times New Roman" w:eastAsia="Arial Unicode MS" w:hAnsi="Times New Roman" w:cs="Times New Roman"/>
          <w:color w:val="000000"/>
          <w:kern w:val="3"/>
          <w:sz w:val="24"/>
          <w:szCs w:val="24"/>
          <w:lang w:val="en-US" w:eastAsia="zh-CN" w:bidi="hi-IN"/>
        </w:rPr>
        <w:t>mail</w:t>
      </w:r>
      <w:r w:rsidRPr="00161824">
        <w:rPr>
          <w:rFonts w:ascii="Times New Roman" w:eastAsia="Arial Unicode MS" w:hAnsi="Times New Roman" w:cs="Times New Roman"/>
          <w:color w:val="000000"/>
          <w:kern w:val="3"/>
          <w:sz w:val="24"/>
          <w:szCs w:val="24"/>
          <w:lang w:eastAsia="zh-CN" w:bidi="hi-IN"/>
        </w:rPr>
        <w:t xml:space="preserve">: </w:t>
      </w:r>
      <w:hyperlink r:id="rId32" w:history="1">
        <w:r w:rsidRPr="00161824">
          <w:rPr>
            <w:rFonts w:ascii="Times New Roman" w:eastAsia="Arial Unicode MS" w:hAnsi="Times New Roman" w:cs="Times New Roman"/>
            <w:color w:val="0000FF"/>
            <w:kern w:val="3"/>
            <w:sz w:val="24"/>
            <w:szCs w:val="24"/>
            <w:u w:val="single"/>
            <w:lang w:val="en-US" w:eastAsia="zh-CN" w:bidi="hi-IN"/>
          </w:rPr>
          <w:t>zehel</w:t>
        </w:r>
        <w:r w:rsidRPr="00161824">
          <w:rPr>
            <w:rFonts w:ascii="Times New Roman" w:eastAsia="Arial Unicode MS" w:hAnsi="Times New Roman" w:cs="Times New Roman"/>
            <w:color w:val="0000FF"/>
            <w:kern w:val="3"/>
            <w:sz w:val="24"/>
            <w:szCs w:val="24"/>
            <w:u w:val="single"/>
            <w:lang w:eastAsia="zh-CN" w:bidi="hi-IN"/>
          </w:rPr>
          <w:t>95@</w:t>
        </w:r>
        <w:r w:rsidRPr="00161824">
          <w:rPr>
            <w:rFonts w:ascii="Times New Roman" w:eastAsia="Arial Unicode MS" w:hAnsi="Times New Roman" w:cs="Times New Roman"/>
            <w:color w:val="0000FF"/>
            <w:kern w:val="3"/>
            <w:sz w:val="24"/>
            <w:szCs w:val="24"/>
            <w:u w:val="single"/>
            <w:lang w:val="en-US" w:eastAsia="zh-CN" w:bidi="hi-IN"/>
          </w:rPr>
          <w:t>mail</w:t>
        </w:r>
        <w:r w:rsidRPr="00161824">
          <w:rPr>
            <w:rFonts w:ascii="Times New Roman" w:eastAsia="Arial Unicode MS" w:hAnsi="Times New Roman" w:cs="Times New Roman"/>
            <w:color w:val="0000FF"/>
            <w:kern w:val="3"/>
            <w:sz w:val="24"/>
            <w:szCs w:val="24"/>
            <w:u w:val="single"/>
            <w:lang w:eastAsia="zh-CN" w:bidi="hi-IN"/>
          </w:rPr>
          <w:t>.</w:t>
        </w:r>
        <w:r w:rsidRPr="00161824">
          <w:rPr>
            <w:rFonts w:ascii="Times New Roman" w:eastAsia="Arial Unicode MS" w:hAnsi="Times New Roman" w:cs="Times New Roman"/>
            <w:color w:val="0000FF"/>
            <w:kern w:val="3"/>
            <w:sz w:val="24"/>
            <w:szCs w:val="24"/>
            <w:u w:val="single"/>
            <w:lang w:val="en-US" w:eastAsia="zh-CN" w:bidi="hi-IN"/>
          </w:rPr>
          <w:t>ru</w:t>
        </w:r>
      </w:hyperlink>
      <w:r w:rsidRPr="00161824">
        <w:rPr>
          <w:rFonts w:ascii="Times New Roman" w:eastAsia="Arial Unicode MS" w:hAnsi="Times New Roman" w:cs="Times New Roman"/>
          <w:color w:val="000000"/>
          <w:kern w:val="3"/>
          <w:sz w:val="24"/>
          <w:szCs w:val="24"/>
          <w:lang w:eastAsia="zh-CN" w:bidi="hi-IN"/>
        </w:rPr>
        <w:t>, тел: 89146983524</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center"/>
        <w:textAlignment w:val="baseline"/>
        <w:rPr>
          <w:rFonts w:ascii="Times New Roman" w:eastAsia="SimSun" w:hAnsi="Times New Roman" w:cs="Times New Roman"/>
          <w:kern w:val="3"/>
          <w:sz w:val="24"/>
          <w:szCs w:val="24"/>
          <w:lang w:eastAsia="zh-CN" w:bidi="hi-IN"/>
        </w:rPr>
      </w:pPr>
      <w:r w:rsidRPr="00161824">
        <w:rPr>
          <w:rFonts w:ascii="Times New Roman" w:eastAsia="SimSun" w:hAnsi="Times New Roman" w:cs="Times New Roman"/>
          <w:kern w:val="3"/>
          <w:sz w:val="24"/>
          <w:szCs w:val="24"/>
          <w:lang w:eastAsia="zh-CN" w:bidi="hi-IN"/>
        </w:rPr>
        <w:t>ул. Гоголя 41, г. Владивосток, Приморский край, Россия, 690014</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center"/>
        <w:textAlignment w:val="baseline"/>
        <w:rPr>
          <w:rFonts w:ascii="Times New Roman" w:eastAsia="SimSun" w:hAnsi="Times New Roman" w:cs="Times New Roman"/>
          <w:kern w:val="3"/>
          <w:sz w:val="24"/>
          <w:szCs w:val="24"/>
          <w:lang w:eastAsia="zh-CN" w:bidi="hi-IN"/>
        </w:rPr>
      </w:pPr>
      <w:r w:rsidRPr="00161824">
        <w:rPr>
          <w:rFonts w:ascii="Times New Roman" w:eastAsia="SimSun" w:hAnsi="Times New Roman" w:cs="Times New Roman"/>
          <w:kern w:val="3"/>
          <w:sz w:val="24"/>
          <w:szCs w:val="24"/>
          <w:lang w:eastAsia="zh-CN" w:bidi="hi-IN"/>
        </w:rPr>
        <w:t>Герасимовская Ксения Александровна</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color w:val="000000"/>
          <w:kern w:val="3"/>
          <w:sz w:val="24"/>
          <w:szCs w:val="24"/>
          <w:lang w:eastAsia="zh-CN" w:bidi="hi-IN"/>
        </w:rPr>
      </w:pPr>
      <w:r w:rsidRPr="00161824">
        <w:rPr>
          <w:rFonts w:ascii="Times New Roman" w:eastAsia="Arial Unicode MS" w:hAnsi="Times New Roman" w:cs="Times New Roman"/>
          <w:color w:val="000000"/>
          <w:kern w:val="3"/>
          <w:sz w:val="24"/>
          <w:szCs w:val="24"/>
          <w:lang w:eastAsia="zh-CN" w:bidi="hi-IN"/>
        </w:rPr>
        <w:t>бакалавр 3 курса, кафедра дизайна и технологий</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i/>
          <w:iCs/>
          <w:color w:val="000000"/>
          <w:kern w:val="3"/>
          <w:sz w:val="24"/>
          <w:szCs w:val="24"/>
          <w:lang w:eastAsia="zh-CN" w:bidi="hi-IN"/>
        </w:rPr>
      </w:pPr>
      <w:r w:rsidRPr="00161824">
        <w:rPr>
          <w:rFonts w:ascii="Times New Roman" w:eastAsia="Arial Unicode MS" w:hAnsi="Times New Roman" w:cs="Times New Roman"/>
          <w:i/>
          <w:iCs/>
          <w:color w:val="000000"/>
          <w:kern w:val="3"/>
          <w:sz w:val="24"/>
          <w:szCs w:val="24"/>
          <w:lang w:eastAsia="zh-CN" w:bidi="hi-IN"/>
        </w:rPr>
        <w:t>Владивостокский государственный университет экономики и сервиса</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i/>
          <w:iCs/>
          <w:color w:val="000000"/>
          <w:kern w:val="3"/>
          <w:sz w:val="24"/>
          <w:szCs w:val="24"/>
          <w:lang w:eastAsia="zh-CN" w:bidi="hi-IN"/>
        </w:rPr>
      </w:pPr>
      <w:r w:rsidRPr="00161824">
        <w:rPr>
          <w:rFonts w:ascii="Times New Roman" w:eastAsia="Arial Unicode MS" w:hAnsi="Times New Roman" w:cs="Times New Roman"/>
          <w:i/>
          <w:iCs/>
          <w:color w:val="000000"/>
          <w:kern w:val="3"/>
          <w:sz w:val="24"/>
          <w:szCs w:val="24"/>
          <w:lang w:eastAsia="zh-CN" w:bidi="hi-IN"/>
        </w:rPr>
        <w:t>Россия. Владивосток</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pacing w:after="0" w:line="240" w:lineRule="auto"/>
        <w:contextualSpacing/>
        <w:jc w:val="center"/>
        <w:rPr>
          <w:rFonts w:ascii="Times New Roman" w:eastAsia="SimSun" w:hAnsi="Times New Roman" w:cs="Times New Roman"/>
          <w:sz w:val="24"/>
          <w:szCs w:val="24"/>
          <w:lang w:eastAsia="ru-RU"/>
        </w:rPr>
      </w:pPr>
      <w:r w:rsidRPr="00161824">
        <w:rPr>
          <w:rFonts w:ascii="Times New Roman" w:eastAsia="SimSun" w:hAnsi="Times New Roman" w:cs="Times New Roman"/>
          <w:sz w:val="24"/>
          <w:szCs w:val="24"/>
          <w:lang w:eastAsia="ru-RU"/>
        </w:rPr>
        <w:t>Жгилева Кристина Игоревна</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color w:val="000000"/>
          <w:kern w:val="3"/>
          <w:sz w:val="24"/>
          <w:szCs w:val="24"/>
          <w:lang w:eastAsia="zh-CN" w:bidi="hi-IN"/>
        </w:rPr>
      </w:pPr>
      <w:r w:rsidRPr="00161824">
        <w:rPr>
          <w:rFonts w:ascii="Times New Roman" w:eastAsia="Arial Unicode MS" w:hAnsi="Times New Roman" w:cs="Times New Roman"/>
          <w:color w:val="000000"/>
          <w:kern w:val="3"/>
          <w:sz w:val="24"/>
          <w:szCs w:val="24"/>
          <w:lang w:eastAsia="zh-CN" w:bidi="hi-IN"/>
        </w:rPr>
        <w:t>бакалавр 3 курса, кафедра дизайна и технологий</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i/>
          <w:iCs/>
          <w:color w:val="000000"/>
          <w:kern w:val="3"/>
          <w:sz w:val="24"/>
          <w:szCs w:val="24"/>
          <w:lang w:eastAsia="zh-CN" w:bidi="hi-IN"/>
        </w:rPr>
      </w:pPr>
      <w:r w:rsidRPr="00161824">
        <w:rPr>
          <w:rFonts w:ascii="Times New Roman" w:eastAsia="Arial Unicode MS" w:hAnsi="Times New Roman" w:cs="Times New Roman"/>
          <w:i/>
          <w:iCs/>
          <w:color w:val="000000"/>
          <w:kern w:val="3"/>
          <w:sz w:val="24"/>
          <w:szCs w:val="24"/>
          <w:lang w:eastAsia="zh-CN" w:bidi="hi-IN"/>
        </w:rPr>
        <w:t>Владивостокский государственный университет экономики и сервиса</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i/>
          <w:iCs/>
          <w:color w:val="000000"/>
          <w:kern w:val="3"/>
          <w:sz w:val="24"/>
          <w:szCs w:val="24"/>
          <w:lang w:eastAsia="zh-CN" w:bidi="hi-IN"/>
        </w:rPr>
      </w:pPr>
      <w:r w:rsidRPr="00161824">
        <w:rPr>
          <w:rFonts w:ascii="Times New Roman" w:eastAsia="Arial Unicode MS" w:hAnsi="Times New Roman" w:cs="Times New Roman"/>
          <w:i/>
          <w:iCs/>
          <w:color w:val="000000"/>
          <w:kern w:val="3"/>
          <w:sz w:val="24"/>
          <w:szCs w:val="24"/>
          <w:lang w:eastAsia="zh-CN" w:bidi="hi-IN"/>
        </w:rPr>
        <w:t>Россия. Владивосток</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pacing w:after="0" w:line="240" w:lineRule="auto"/>
        <w:contextualSpacing/>
        <w:jc w:val="center"/>
        <w:rPr>
          <w:rFonts w:ascii="Times New Roman" w:eastAsia="SimSun" w:hAnsi="Times New Roman" w:cs="Times New Roman"/>
          <w:sz w:val="24"/>
          <w:szCs w:val="24"/>
          <w:lang w:eastAsia="ru-RU"/>
        </w:rPr>
      </w:pPr>
      <w:r w:rsidRPr="00161824">
        <w:rPr>
          <w:rFonts w:ascii="Times New Roman" w:eastAsia="SimSun" w:hAnsi="Times New Roman" w:cs="Times New Roman"/>
          <w:sz w:val="24"/>
          <w:szCs w:val="24"/>
          <w:lang w:eastAsia="ru-RU"/>
        </w:rPr>
        <w:t>Чернявина Лариса Андреевна</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pacing w:after="0" w:line="240" w:lineRule="auto"/>
        <w:contextualSpacing/>
        <w:jc w:val="center"/>
        <w:rPr>
          <w:rFonts w:ascii="Times New Roman" w:hAnsi="Times New Roman" w:cs="Times New Roman"/>
          <w:sz w:val="24"/>
          <w:szCs w:val="24"/>
          <w:lang w:eastAsia="ru-RU"/>
        </w:rPr>
      </w:pPr>
      <w:r w:rsidRPr="00161824">
        <w:rPr>
          <w:rFonts w:ascii="Times New Roman" w:hAnsi="Times New Roman" w:cs="Times New Roman"/>
          <w:sz w:val="24"/>
          <w:szCs w:val="24"/>
          <w:lang w:eastAsia="ru-RU"/>
        </w:rPr>
        <w:t>доцент, кафедра дизайна и искусств</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pacing w:after="0" w:line="240" w:lineRule="auto"/>
        <w:contextualSpacing/>
        <w:jc w:val="center"/>
        <w:rPr>
          <w:rFonts w:ascii="Times New Roman" w:hAnsi="Times New Roman" w:cs="Times New Roman"/>
          <w:i/>
          <w:sz w:val="24"/>
          <w:szCs w:val="24"/>
          <w:lang w:eastAsia="ru-RU"/>
        </w:rPr>
      </w:pPr>
      <w:r w:rsidRPr="00161824">
        <w:rPr>
          <w:rFonts w:ascii="Times New Roman" w:hAnsi="Times New Roman" w:cs="Times New Roman"/>
          <w:i/>
          <w:sz w:val="24"/>
          <w:szCs w:val="24"/>
          <w:lang w:eastAsia="ru-RU"/>
        </w:rPr>
        <w:t>Владивостокский государственный университет экономики и сервиса</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pacing w:after="0" w:line="240" w:lineRule="auto"/>
        <w:contextualSpacing/>
        <w:jc w:val="center"/>
        <w:rPr>
          <w:rFonts w:ascii="Times New Roman" w:hAnsi="Times New Roman" w:cs="Times New Roman"/>
          <w:i/>
          <w:sz w:val="24"/>
          <w:szCs w:val="24"/>
          <w:lang w:eastAsia="ru-RU"/>
        </w:rPr>
      </w:pPr>
      <w:r w:rsidRPr="00161824">
        <w:rPr>
          <w:rFonts w:ascii="Times New Roman" w:hAnsi="Times New Roman" w:cs="Times New Roman"/>
          <w:i/>
          <w:sz w:val="24"/>
          <w:szCs w:val="24"/>
          <w:lang w:eastAsia="ru-RU"/>
        </w:rPr>
        <w:t>Россия. Владивосток</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tabs>
          <w:tab w:val="left" w:pos="2410"/>
        </w:tabs>
        <w:spacing w:after="0" w:line="240" w:lineRule="atLeast"/>
        <w:rPr>
          <w:rFonts w:eastAsia="SimSun" w:cs="Arial"/>
        </w:rPr>
      </w:pPr>
      <w:r w:rsidRPr="00161824">
        <w:rPr>
          <w:rFonts w:ascii="Times New Roman" w:hAnsi="Times New Roman" w:cs="Times New Roman"/>
          <w:sz w:val="24"/>
          <w:szCs w:val="24"/>
        </w:rPr>
        <w:t xml:space="preserve">                                        </w:t>
      </w:r>
      <w:r w:rsidRPr="00161824">
        <w:rPr>
          <w:rFonts w:ascii="Times New Roman" w:hAnsi="Times New Roman" w:cs="Times New Roman"/>
          <w:sz w:val="24"/>
          <w:szCs w:val="24"/>
          <w:lang w:val="en-US"/>
        </w:rPr>
        <w:t>E</w:t>
      </w:r>
      <w:r w:rsidRPr="00161824">
        <w:rPr>
          <w:rFonts w:ascii="Times New Roman" w:hAnsi="Times New Roman" w:cs="Times New Roman"/>
          <w:sz w:val="24"/>
          <w:szCs w:val="24"/>
        </w:rPr>
        <w:t>-</w:t>
      </w:r>
      <w:r w:rsidRPr="00161824">
        <w:rPr>
          <w:rFonts w:ascii="Times New Roman" w:hAnsi="Times New Roman" w:cs="Times New Roman"/>
          <w:sz w:val="24"/>
          <w:szCs w:val="24"/>
          <w:lang w:val="en-US"/>
        </w:rPr>
        <w:t>mail</w:t>
      </w:r>
      <w:r w:rsidRPr="00161824">
        <w:rPr>
          <w:rFonts w:ascii="Times New Roman" w:hAnsi="Times New Roman" w:cs="Times New Roman"/>
          <w:sz w:val="24"/>
          <w:szCs w:val="24"/>
        </w:rPr>
        <w:t xml:space="preserve">: </w:t>
      </w:r>
      <w:r w:rsidRPr="00161824">
        <w:rPr>
          <w:rFonts w:ascii="Times New Roman" w:hAnsi="Times New Roman" w:cs="Times New Roman"/>
          <w:sz w:val="24"/>
          <w:szCs w:val="24"/>
          <w:lang w:eastAsia="ru-RU"/>
        </w:rPr>
        <w:t xml:space="preserve"> </w:t>
      </w:r>
      <w:hyperlink r:id="rId33">
        <w:r w:rsidRPr="00161824">
          <w:rPr>
            <w:rFonts w:ascii="Times New Roman" w:hAnsi="Times New Roman" w:cs="Times New Roman"/>
            <w:sz w:val="24"/>
            <w:szCs w:val="24"/>
            <w:u w:val="single"/>
            <w:lang w:val="fr-CA" w:eastAsia="ru-RU" w:bidi="hi-IN"/>
          </w:rPr>
          <w:t>larisa</w:t>
        </w:r>
      </w:hyperlink>
      <w:r w:rsidRPr="00161824">
        <w:rPr>
          <w:rFonts w:ascii="Times New Roman" w:hAnsi="Times New Roman" w:cs="Times New Roman"/>
          <w:sz w:val="24"/>
          <w:szCs w:val="24"/>
          <w:u w:val="single"/>
          <w:lang w:eastAsia="ru-RU" w:bidi="hi-IN"/>
        </w:rPr>
        <w:t>.</w:t>
      </w:r>
      <w:r w:rsidRPr="00161824">
        <w:rPr>
          <w:rFonts w:ascii="Times New Roman" w:hAnsi="Times New Roman" w:cs="Times New Roman"/>
          <w:sz w:val="24"/>
          <w:szCs w:val="24"/>
          <w:u w:val="single"/>
          <w:lang w:val="fr-CA" w:eastAsia="ru-RU" w:bidi="hi-IN"/>
        </w:rPr>
        <w:t>chernyavina</w:t>
      </w:r>
      <w:r w:rsidRPr="00161824">
        <w:rPr>
          <w:rFonts w:ascii="Times New Roman" w:hAnsi="Times New Roman" w:cs="Times New Roman"/>
          <w:sz w:val="24"/>
          <w:szCs w:val="24"/>
          <w:u w:val="single"/>
          <w:lang w:eastAsia="ru-RU" w:bidi="hi-IN"/>
        </w:rPr>
        <w:t>@</w:t>
      </w:r>
      <w:r w:rsidRPr="00161824">
        <w:rPr>
          <w:rFonts w:ascii="Times New Roman" w:hAnsi="Times New Roman" w:cs="Times New Roman"/>
          <w:sz w:val="24"/>
          <w:szCs w:val="24"/>
          <w:u w:val="single"/>
          <w:lang w:val="fr-CA" w:eastAsia="ru-RU" w:bidi="hi-IN"/>
        </w:rPr>
        <w:t>vvsu</w:t>
      </w:r>
      <w:r w:rsidRPr="00161824">
        <w:rPr>
          <w:rFonts w:ascii="Times New Roman" w:hAnsi="Times New Roman" w:cs="Times New Roman"/>
          <w:sz w:val="24"/>
          <w:szCs w:val="24"/>
          <w:u w:val="single"/>
          <w:lang w:eastAsia="ru-RU" w:bidi="hi-IN"/>
        </w:rPr>
        <w:t>.</w:t>
      </w:r>
      <w:r w:rsidRPr="00161824">
        <w:rPr>
          <w:rFonts w:ascii="Times New Roman" w:hAnsi="Times New Roman" w:cs="Times New Roman"/>
          <w:sz w:val="24"/>
          <w:szCs w:val="24"/>
          <w:u w:val="single"/>
          <w:lang w:val="fr-CA" w:eastAsia="ru-RU" w:bidi="hi-IN"/>
        </w:rPr>
        <w:t>ru</w:t>
      </w:r>
      <w:r w:rsidRPr="00161824">
        <w:rPr>
          <w:rFonts w:eastAsia="SimSun" w:cs="Arial"/>
        </w:rPr>
        <w:t>; тел. 8 4232 40 40 94</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tLeast"/>
        <w:ind w:left="-1134" w:firstLine="1134"/>
        <w:textAlignment w:val="baseline"/>
        <w:rPr>
          <w:rFonts w:ascii="Times New Roman" w:eastAsia="Arial Unicode MS" w:hAnsi="Times New Roman" w:cs="Times New Roman"/>
          <w:color w:val="000000"/>
          <w:kern w:val="3"/>
          <w:sz w:val="24"/>
          <w:szCs w:val="24"/>
          <w:lang w:eastAsia="zh-CN" w:bidi="hi-IN"/>
        </w:rPr>
      </w:pPr>
      <w:r w:rsidRPr="00161824">
        <w:rPr>
          <w:rFonts w:ascii="Times New Roman" w:eastAsia="Arial Unicode MS" w:hAnsi="Times New Roman" w:cs="Times New Roman"/>
          <w:color w:val="000000"/>
          <w:kern w:val="3"/>
          <w:sz w:val="28"/>
          <w:szCs w:val="28"/>
          <w:lang w:eastAsia="zh-CN" w:bidi="hi-IN"/>
        </w:rPr>
        <w:t xml:space="preserve">                       </w:t>
      </w:r>
      <w:r w:rsidRPr="00161824">
        <w:rPr>
          <w:rFonts w:ascii="Times New Roman" w:eastAsia="Arial Unicode MS" w:hAnsi="Times New Roman" w:cs="Times New Roman"/>
          <w:color w:val="000000"/>
          <w:kern w:val="3"/>
          <w:sz w:val="24"/>
          <w:szCs w:val="24"/>
          <w:lang w:eastAsia="zh-CN" w:bidi="hi-IN"/>
        </w:rPr>
        <w:t>ул. Гоголя 41, г. Владивосток, Приморский край, Россия, 690014</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color w:val="000000"/>
          <w:kern w:val="3"/>
          <w:sz w:val="24"/>
          <w:szCs w:val="24"/>
          <w:lang w:eastAsia="zh-CN" w:bidi="hi-IN"/>
        </w:rPr>
      </w:pP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left="142" w:firstLine="567"/>
        <w:textAlignment w:val="baseline"/>
        <w:rPr>
          <w:rFonts w:ascii="Times New Roman" w:eastAsia="Arial Unicode MS" w:hAnsi="Times New Roman" w:cs="Times New Roman"/>
          <w:i/>
          <w:iCs/>
          <w:color w:val="FF0000"/>
          <w:kern w:val="3"/>
          <w:sz w:val="24"/>
          <w:szCs w:val="24"/>
          <w:lang w:eastAsia="zh-CN" w:bidi="hi-IN"/>
        </w:rPr>
      </w:pPr>
      <w:r w:rsidRPr="00161824">
        <w:rPr>
          <w:rFonts w:ascii="Times New Roman" w:eastAsia="Arial Unicode MS" w:hAnsi="Times New Roman" w:cs="Times New Roman"/>
          <w:i/>
          <w:iCs/>
          <w:color w:val="000000"/>
          <w:kern w:val="3"/>
          <w:sz w:val="24"/>
          <w:szCs w:val="24"/>
          <w:lang w:eastAsia="zh-CN" w:bidi="hi-IN"/>
        </w:rPr>
        <w:t>В статье рассмотрена проблема наиболее удобного сервиса размещения карты доступности, которая должна обеспечить маломобильным группам населения возможность комфортного перемещения по городу, а также должна давать информацию вышестоящим органам власти о состоянии объектов, с целью дальнейшего благоустройства города и создания равных возможностей для каждого гражданина.</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textAlignment w:val="baseline"/>
        <w:rPr>
          <w:rFonts w:ascii="Arial Unicode MS" w:eastAsia="Arial Unicode MS" w:hAnsi="Arial Unicode MS" w:cs="Arial Unicode MS"/>
          <w:color w:val="000000"/>
          <w:kern w:val="3"/>
          <w:sz w:val="24"/>
          <w:szCs w:val="24"/>
          <w:lang w:eastAsia="zh-CN" w:bidi="hi-IN"/>
        </w:rPr>
      </w:pPr>
      <w:r w:rsidRPr="00161824">
        <w:rPr>
          <w:rFonts w:ascii="Times New Roman" w:eastAsia="Arial Unicode MS" w:hAnsi="Times New Roman" w:cs="Times New Roman"/>
          <w:b/>
          <w:i/>
          <w:iCs/>
          <w:color w:val="000000"/>
          <w:kern w:val="3"/>
          <w:sz w:val="24"/>
          <w:szCs w:val="24"/>
          <w:lang w:eastAsia="zh-CN" w:bidi="hi-IN"/>
        </w:rPr>
        <w:t xml:space="preserve">Ключевые понятия и словосочетания: </w:t>
      </w:r>
      <w:r w:rsidRPr="00161824">
        <w:rPr>
          <w:rFonts w:ascii="Times New Roman" w:eastAsia="Arial Unicode MS" w:hAnsi="Times New Roman" w:cs="Times New Roman"/>
          <w:i/>
          <w:iCs/>
          <w:color w:val="000000"/>
          <w:kern w:val="3"/>
          <w:sz w:val="24"/>
          <w:szCs w:val="24"/>
          <w:lang w:eastAsia="zh-CN" w:bidi="hi-IN"/>
        </w:rPr>
        <w:t>онлайн карта, карта доступности</w:t>
      </w:r>
      <w:r w:rsidRPr="00161824">
        <w:rPr>
          <w:rFonts w:ascii="Times New Roman" w:eastAsia="Arial Unicode MS" w:hAnsi="Times New Roman" w:cs="Times New Roman"/>
          <w:color w:val="000000"/>
          <w:kern w:val="3"/>
          <w:sz w:val="24"/>
          <w:szCs w:val="24"/>
          <w:lang w:eastAsia="zh-CN" w:bidi="hi-IN"/>
        </w:rPr>
        <w:t>,</w:t>
      </w:r>
      <w:r w:rsidRPr="00161824">
        <w:rPr>
          <w:rFonts w:ascii="Arial Unicode MS" w:eastAsia="Arial Unicode MS" w:hAnsi="Arial Unicode MS" w:cs="Arial Unicode MS"/>
          <w:color w:val="000000"/>
          <w:kern w:val="3"/>
          <w:lang w:eastAsia="zh-CN" w:bidi="hi-IN"/>
        </w:rPr>
        <w:t xml:space="preserve"> </w:t>
      </w:r>
      <w:r w:rsidRPr="00161824">
        <w:rPr>
          <w:rFonts w:ascii="Times New Roman" w:eastAsia="Arial Unicode MS" w:hAnsi="Times New Roman" w:cs="Times New Roman"/>
          <w:color w:val="000000"/>
          <w:kern w:val="3"/>
          <w:sz w:val="24"/>
          <w:szCs w:val="24"/>
          <w:lang w:eastAsia="zh-CN" w:bidi="hi-IN"/>
        </w:rPr>
        <w:t>инвалиды, маршрут, символ</w:t>
      </w:r>
      <w:r w:rsidRPr="00161824">
        <w:rPr>
          <w:rFonts w:ascii="Arial Unicode MS" w:eastAsia="Arial Unicode MS" w:hAnsi="Arial Unicode MS" w:cs="Arial Unicode MS"/>
          <w:color w:val="000000"/>
          <w:kern w:val="3"/>
          <w:sz w:val="24"/>
          <w:szCs w:val="24"/>
          <w:lang w:eastAsia="zh-CN" w:bidi="hi-IN"/>
        </w:rPr>
        <w:t>.</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color w:val="000000"/>
          <w:kern w:val="3"/>
          <w:sz w:val="24"/>
          <w:szCs w:val="24"/>
          <w:lang w:val="en-US" w:eastAsia="zh-CN" w:bidi="hi-IN"/>
        </w:rPr>
      </w:pPr>
      <w:r w:rsidRPr="00161824">
        <w:rPr>
          <w:rFonts w:ascii="Times New Roman" w:eastAsia="Arial Unicode MS" w:hAnsi="Times New Roman" w:cs="Times New Roman"/>
          <w:color w:val="000000"/>
          <w:kern w:val="3"/>
          <w:sz w:val="24"/>
          <w:szCs w:val="24"/>
          <w:lang w:val="en-US" w:eastAsia="zh-CN" w:bidi="hi-IN"/>
        </w:rPr>
        <w:t>Navigation system for the formation barrier-free environment</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center"/>
        <w:textAlignment w:val="baseline"/>
        <w:rPr>
          <w:rFonts w:ascii="Times New Roman" w:eastAsia="SimSun" w:hAnsi="Times New Roman" w:cs="Mangal"/>
          <w:kern w:val="3"/>
          <w:sz w:val="24"/>
          <w:szCs w:val="24"/>
          <w:lang w:val="en-US" w:eastAsia="zh-CN" w:bidi="hi-IN"/>
        </w:rPr>
      </w:pPr>
      <w:r w:rsidRPr="00161824">
        <w:rPr>
          <w:rFonts w:ascii="Times New Roman" w:eastAsia="SimSun" w:hAnsi="Times New Roman" w:cs="Mangal"/>
          <w:kern w:val="3"/>
          <w:sz w:val="24"/>
          <w:szCs w:val="24"/>
          <w:lang w:val="en-US" w:eastAsia="zh-CN" w:bidi="hi-IN"/>
        </w:rPr>
        <w:t>Ilichenko Alena Vitalevna</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color w:val="000000"/>
          <w:kern w:val="3"/>
          <w:sz w:val="24"/>
          <w:szCs w:val="24"/>
          <w:lang w:val="en-US" w:eastAsia="zh-CN" w:bidi="hi-IN"/>
        </w:rPr>
      </w:pPr>
      <w:r w:rsidRPr="00161824">
        <w:rPr>
          <w:rFonts w:ascii="Times New Roman" w:eastAsia="Arial Unicode MS" w:hAnsi="Times New Roman" w:cs="Times New Roman"/>
          <w:color w:val="000000"/>
          <w:kern w:val="3"/>
          <w:sz w:val="24"/>
          <w:szCs w:val="24"/>
          <w:lang w:val="en-US" w:eastAsia="zh-CN" w:bidi="hi-IN"/>
        </w:rPr>
        <w:t>Bachelor of the 3nd year, art and design department</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i/>
          <w:iCs/>
          <w:color w:val="000000"/>
          <w:kern w:val="3"/>
          <w:sz w:val="24"/>
          <w:szCs w:val="24"/>
          <w:lang w:val="en-US" w:eastAsia="zh-CN" w:bidi="hi-IN"/>
        </w:rPr>
      </w:pPr>
      <w:r w:rsidRPr="00161824">
        <w:rPr>
          <w:rFonts w:ascii="Times New Roman" w:eastAsia="Arial Unicode MS" w:hAnsi="Times New Roman" w:cs="Times New Roman"/>
          <w:i/>
          <w:iCs/>
          <w:color w:val="000000"/>
          <w:kern w:val="3"/>
          <w:sz w:val="24"/>
          <w:szCs w:val="24"/>
          <w:lang w:val="en-US" w:eastAsia="zh-CN" w:bidi="hi-IN"/>
        </w:rPr>
        <w:t>Vladivostok State University of Economics and Service</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i/>
          <w:iCs/>
          <w:color w:val="000000"/>
          <w:kern w:val="3"/>
          <w:sz w:val="24"/>
          <w:szCs w:val="24"/>
          <w:lang w:val="en-US" w:eastAsia="zh-CN" w:bidi="hi-IN"/>
        </w:rPr>
      </w:pPr>
      <w:r w:rsidRPr="00161824">
        <w:rPr>
          <w:rFonts w:ascii="Times New Roman" w:eastAsia="Arial Unicode MS" w:hAnsi="Times New Roman" w:cs="Times New Roman"/>
          <w:i/>
          <w:iCs/>
          <w:color w:val="000000"/>
          <w:kern w:val="3"/>
          <w:sz w:val="24"/>
          <w:szCs w:val="24"/>
          <w:lang w:val="en-US" w:eastAsia="zh-CN" w:bidi="hi-IN"/>
        </w:rPr>
        <w:t>Russia. Vladivostok</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color w:val="000000"/>
          <w:kern w:val="3"/>
          <w:sz w:val="28"/>
          <w:szCs w:val="28"/>
          <w:lang w:val="en-US" w:eastAsia="zh-CN" w:bidi="hi-IN"/>
        </w:rPr>
      </w:pPr>
      <w:r w:rsidRPr="00161824">
        <w:rPr>
          <w:rFonts w:ascii="Times New Roman" w:eastAsia="Arial Unicode MS" w:hAnsi="Times New Roman" w:cs="Times New Roman"/>
          <w:color w:val="000000"/>
          <w:kern w:val="3"/>
          <w:sz w:val="24"/>
          <w:szCs w:val="24"/>
          <w:lang w:val="en-US" w:eastAsia="zh-CN" w:bidi="hi-IN"/>
        </w:rPr>
        <w:t xml:space="preserve">E-mail: </w:t>
      </w:r>
      <w:hyperlink r:id="rId34" w:history="1">
        <w:r w:rsidRPr="00161824">
          <w:rPr>
            <w:rFonts w:ascii="Times New Roman" w:eastAsia="Arial Unicode MS" w:hAnsi="Times New Roman" w:cs="Times New Roman"/>
            <w:color w:val="0000FF"/>
            <w:kern w:val="3"/>
            <w:sz w:val="24"/>
            <w:szCs w:val="24"/>
            <w:u w:val="single"/>
            <w:lang w:val="en-US" w:eastAsia="zh-CN" w:bidi="hi-IN"/>
          </w:rPr>
          <w:t>zehel95@mail.ru</w:t>
        </w:r>
      </w:hyperlink>
      <w:r w:rsidRPr="00161824">
        <w:rPr>
          <w:rFonts w:ascii="Times New Roman" w:eastAsia="Arial Unicode MS" w:hAnsi="Times New Roman" w:cs="Times New Roman"/>
          <w:color w:val="000000"/>
          <w:kern w:val="3"/>
          <w:sz w:val="24"/>
          <w:szCs w:val="24"/>
          <w:lang w:val="en-US" w:eastAsia="zh-CN" w:bidi="hi-IN"/>
        </w:rPr>
        <w:t xml:space="preserve">, </w:t>
      </w:r>
      <w:r w:rsidRPr="00161824">
        <w:rPr>
          <w:rFonts w:ascii="Times New Roman" w:eastAsia="Arial Unicode MS" w:hAnsi="Times New Roman" w:cs="Times New Roman"/>
          <w:color w:val="000000"/>
          <w:kern w:val="3"/>
          <w:sz w:val="24"/>
          <w:szCs w:val="24"/>
          <w:lang w:eastAsia="zh-CN" w:bidi="hi-IN"/>
        </w:rPr>
        <w:t>тел</w:t>
      </w:r>
      <w:r w:rsidRPr="00161824">
        <w:rPr>
          <w:rFonts w:ascii="Times New Roman" w:eastAsia="Arial Unicode MS" w:hAnsi="Times New Roman" w:cs="Times New Roman"/>
          <w:color w:val="000000"/>
          <w:kern w:val="3"/>
          <w:sz w:val="24"/>
          <w:szCs w:val="24"/>
          <w:lang w:val="en-US" w:eastAsia="zh-CN" w:bidi="hi-IN"/>
        </w:rPr>
        <w:t>: 89146983524</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center"/>
        <w:textAlignment w:val="baseline"/>
        <w:rPr>
          <w:rFonts w:ascii="Times New Roman" w:eastAsia="SimSun" w:hAnsi="Times New Roman" w:cs="Times New Roman"/>
          <w:kern w:val="3"/>
          <w:sz w:val="24"/>
          <w:szCs w:val="24"/>
          <w:lang w:val="en-US" w:eastAsia="zh-CN" w:bidi="hi-IN"/>
        </w:rPr>
      </w:pP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center"/>
        <w:textAlignment w:val="baseline"/>
        <w:rPr>
          <w:rFonts w:ascii="Times New Roman" w:eastAsia="SimSun" w:hAnsi="Times New Roman" w:cs="Times New Roman"/>
          <w:kern w:val="3"/>
          <w:sz w:val="24"/>
          <w:szCs w:val="24"/>
          <w:lang w:val="en-US" w:eastAsia="zh-CN" w:bidi="hi-IN"/>
        </w:rPr>
      </w:pPr>
      <w:r w:rsidRPr="00161824">
        <w:rPr>
          <w:rFonts w:ascii="Times New Roman" w:eastAsia="SimSun" w:hAnsi="Times New Roman" w:cs="Times New Roman"/>
          <w:kern w:val="3"/>
          <w:sz w:val="24"/>
          <w:szCs w:val="24"/>
          <w:lang w:val="en-US" w:eastAsia="zh-CN" w:bidi="hi-IN"/>
        </w:rPr>
        <w:t xml:space="preserve">Gerasimovskaya Kseniya Aleksandrovna </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color w:val="000000"/>
          <w:kern w:val="3"/>
          <w:sz w:val="24"/>
          <w:szCs w:val="24"/>
          <w:lang w:val="en-US" w:eastAsia="zh-CN" w:bidi="hi-IN"/>
        </w:rPr>
      </w:pPr>
      <w:r w:rsidRPr="00161824">
        <w:rPr>
          <w:rFonts w:ascii="Times New Roman" w:eastAsia="Arial Unicode MS" w:hAnsi="Times New Roman" w:cs="Times New Roman"/>
          <w:color w:val="000000"/>
          <w:kern w:val="3"/>
          <w:sz w:val="24"/>
          <w:szCs w:val="24"/>
          <w:lang w:val="en-US" w:eastAsia="zh-CN" w:bidi="hi-IN"/>
        </w:rPr>
        <w:t xml:space="preserve">Bachelor of the 3nd year, </w:t>
      </w:r>
      <w:r w:rsidRPr="00161824">
        <w:rPr>
          <w:rFonts w:ascii="Times New Roman" w:eastAsia="Arial Unicode MS" w:hAnsi="Times New Roman" w:cs="Times New Roman"/>
          <w:color w:val="000000"/>
          <w:kern w:val="3"/>
          <w:sz w:val="26"/>
          <w:szCs w:val="24"/>
          <w:lang w:val="en-US" w:eastAsia="zh-CN" w:bidi="hi-IN"/>
        </w:rPr>
        <w:t>art</w:t>
      </w:r>
      <w:r w:rsidRPr="00161824">
        <w:rPr>
          <w:rFonts w:ascii="Times New Roman" w:eastAsia="Arial Unicode MS" w:hAnsi="Times New Roman" w:cs="Times New Roman"/>
          <w:color w:val="000000"/>
          <w:kern w:val="3"/>
          <w:sz w:val="24"/>
          <w:szCs w:val="24"/>
          <w:lang w:val="en-US" w:eastAsia="zh-CN" w:bidi="hi-IN"/>
        </w:rPr>
        <w:t xml:space="preserve"> and design department</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i/>
          <w:iCs/>
          <w:color w:val="000000"/>
          <w:kern w:val="3"/>
          <w:sz w:val="24"/>
          <w:szCs w:val="24"/>
          <w:lang w:val="en-US" w:eastAsia="zh-CN" w:bidi="hi-IN"/>
        </w:rPr>
      </w:pPr>
      <w:r w:rsidRPr="00161824">
        <w:rPr>
          <w:rFonts w:ascii="Times New Roman" w:eastAsia="Arial Unicode MS" w:hAnsi="Times New Roman" w:cs="Times New Roman"/>
          <w:i/>
          <w:iCs/>
          <w:color w:val="000000"/>
          <w:kern w:val="3"/>
          <w:sz w:val="24"/>
          <w:szCs w:val="24"/>
          <w:lang w:val="en-US" w:eastAsia="zh-CN" w:bidi="hi-IN"/>
        </w:rPr>
        <w:t>Vladivostok State University of Economics and Service</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i/>
          <w:iCs/>
          <w:color w:val="000000"/>
          <w:kern w:val="3"/>
          <w:sz w:val="24"/>
          <w:szCs w:val="24"/>
          <w:lang w:val="en-US" w:eastAsia="zh-CN" w:bidi="hi-IN"/>
        </w:rPr>
      </w:pPr>
      <w:r w:rsidRPr="00161824">
        <w:rPr>
          <w:rFonts w:ascii="Times New Roman" w:eastAsia="Arial Unicode MS" w:hAnsi="Times New Roman" w:cs="Times New Roman"/>
          <w:i/>
          <w:iCs/>
          <w:color w:val="000000"/>
          <w:kern w:val="3"/>
          <w:sz w:val="24"/>
          <w:szCs w:val="24"/>
          <w:lang w:val="en-US" w:eastAsia="zh-CN" w:bidi="hi-IN"/>
        </w:rPr>
        <w:t>Russia. Vladivostok</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pacing w:after="0" w:line="240" w:lineRule="auto"/>
        <w:contextualSpacing/>
        <w:jc w:val="center"/>
        <w:rPr>
          <w:rFonts w:ascii="Times New Roman" w:eastAsia="SimSun" w:hAnsi="Times New Roman" w:cs="Times New Roman"/>
          <w:sz w:val="24"/>
          <w:szCs w:val="24"/>
          <w:lang w:val="en-US" w:eastAsia="ru-RU"/>
        </w:rPr>
      </w:pP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pacing w:after="0" w:line="240" w:lineRule="auto"/>
        <w:contextualSpacing/>
        <w:jc w:val="center"/>
        <w:rPr>
          <w:rFonts w:ascii="Times New Roman" w:eastAsia="SimSun" w:hAnsi="Times New Roman" w:cs="Times New Roman"/>
          <w:sz w:val="24"/>
          <w:szCs w:val="24"/>
          <w:lang w:val="en-US" w:eastAsia="ru-RU"/>
        </w:rPr>
      </w:pPr>
      <w:r w:rsidRPr="00161824">
        <w:rPr>
          <w:rFonts w:ascii="Times New Roman" w:eastAsia="SimSun" w:hAnsi="Times New Roman" w:cs="Times New Roman"/>
          <w:sz w:val="24"/>
          <w:szCs w:val="24"/>
          <w:lang w:val="en-US" w:eastAsia="ru-RU"/>
        </w:rPr>
        <w:t>Zhgileva Kristina Igorevna</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color w:val="000000"/>
          <w:kern w:val="3"/>
          <w:sz w:val="24"/>
          <w:szCs w:val="24"/>
          <w:lang w:val="en-US" w:eastAsia="zh-CN" w:bidi="hi-IN"/>
        </w:rPr>
      </w:pPr>
      <w:r w:rsidRPr="00161824">
        <w:rPr>
          <w:rFonts w:ascii="Times New Roman" w:eastAsia="Arial Unicode MS" w:hAnsi="Times New Roman" w:cs="Times New Roman"/>
          <w:color w:val="000000"/>
          <w:kern w:val="3"/>
          <w:sz w:val="24"/>
          <w:szCs w:val="24"/>
          <w:lang w:val="en-US" w:eastAsia="zh-CN" w:bidi="hi-IN"/>
        </w:rPr>
        <w:t xml:space="preserve">Bachelor of the 3nd year, </w:t>
      </w:r>
      <w:r w:rsidRPr="00161824">
        <w:rPr>
          <w:rFonts w:ascii="Times New Roman" w:eastAsia="Arial Unicode MS" w:hAnsi="Times New Roman" w:cs="Times New Roman"/>
          <w:color w:val="000000"/>
          <w:kern w:val="3"/>
          <w:sz w:val="26"/>
          <w:szCs w:val="24"/>
          <w:lang w:val="en-US" w:eastAsia="zh-CN" w:bidi="hi-IN"/>
        </w:rPr>
        <w:t>art</w:t>
      </w:r>
      <w:r w:rsidRPr="00161824">
        <w:rPr>
          <w:rFonts w:ascii="Times New Roman" w:eastAsia="Arial Unicode MS" w:hAnsi="Times New Roman" w:cs="Times New Roman"/>
          <w:color w:val="000000"/>
          <w:kern w:val="3"/>
          <w:sz w:val="24"/>
          <w:szCs w:val="24"/>
          <w:lang w:val="en-US" w:eastAsia="zh-CN" w:bidi="hi-IN"/>
        </w:rPr>
        <w:t xml:space="preserve"> and design department</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i/>
          <w:iCs/>
          <w:color w:val="000000"/>
          <w:kern w:val="3"/>
          <w:sz w:val="24"/>
          <w:szCs w:val="24"/>
          <w:lang w:val="en-US" w:eastAsia="zh-CN" w:bidi="hi-IN"/>
        </w:rPr>
      </w:pPr>
      <w:r w:rsidRPr="00161824">
        <w:rPr>
          <w:rFonts w:ascii="Times New Roman" w:eastAsia="Arial Unicode MS" w:hAnsi="Times New Roman" w:cs="Times New Roman"/>
          <w:i/>
          <w:iCs/>
          <w:color w:val="000000"/>
          <w:kern w:val="3"/>
          <w:sz w:val="24"/>
          <w:szCs w:val="24"/>
          <w:lang w:val="en-US" w:eastAsia="zh-CN" w:bidi="hi-IN"/>
        </w:rPr>
        <w:t>Vladivostok State University of Economics and Service</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i/>
          <w:iCs/>
          <w:color w:val="000000"/>
          <w:kern w:val="3"/>
          <w:sz w:val="24"/>
          <w:szCs w:val="24"/>
          <w:lang w:val="en-US" w:eastAsia="zh-CN" w:bidi="hi-IN"/>
        </w:rPr>
      </w:pPr>
      <w:r w:rsidRPr="00161824">
        <w:rPr>
          <w:rFonts w:ascii="Times New Roman" w:eastAsia="Arial Unicode MS" w:hAnsi="Times New Roman" w:cs="Times New Roman"/>
          <w:i/>
          <w:iCs/>
          <w:color w:val="000000"/>
          <w:kern w:val="3"/>
          <w:sz w:val="24"/>
          <w:szCs w:val="24"/>
          <w:lang w:val="en-US" w:eastAsia="zh-CN" w:bidi="hi-IN"/>
        </w:rPr>
        <w:t>Russia. Vladivostok</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i/>
          <w:iCs/>
          <w:color w:val="000000"/>
          <w:kern w:val="3"/>
          <w:sz w:val="24"/>
          <w:szCs w:val="24"/>
          <w:lang w:val="en-US" w:eastAsia="zh-CN" w:bidi="hi-IN"/>
        </w:rPr>
      </w:pP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tabs>
          <w:tab w:val="left" w:pos="709"/>
        </w:tabs>
        <w:suppressAutoHyphens/>
        <w:spacing w:after="0" w:line="240" w:lineRule="auto"/>
        <w:ind w:firstLine="425"/>
        <w:jc w:val="both"/>
        <w:rPr>
          <w:rFonts w:ascii="Times New Roman" w:hAnsi="Times New Roman" w:cs="Times New Roman"/>
          <w:sz w:val="24"/>
          <w:szCs w:val="24"/>
          <w:lang w:val="en-US" w:eastAsia="ar-SA"/>
        </w:rPr>
      </w:pPr>
      <w:r w:rsidRPr="00161824">
        <w:rPr>
          <w:rFonts w:ascii="Times New Roman" w:hAnsi="Times New Roman" w:cs="Times New Roman"/>
          <w:sz w:val="24"/>
          <w:szCs w:val="24"/>
          <w:lang w:val="en-US" w:eastAsia="ar-SA"/>
        </w:rPr>
        <w:t xml:space="preserve">                                               </w:t>
      </w:r>
      <w:r w:rsidRPr="00161824">
        <w:rPr>
          <w:rFonts w:ascii="Times New Roman" w:hAnsi="Times New Roman" w:cs="Times New Roman"/>
          <w:sz w:val="24"/>
          <w:szCs w:val="24"/>
          <w:lang w:eastAsia="ar-SA"/>
        </w:rPr>
        <w:t>С</w:t>
      </w:r>
      <w:r w:rsidRPr="00161824">
        <w:rPr>
          <w:rFonts w:ascii="Times New Roman" w:hAnsi="Times New Roman" w:cs="Times New Roman"/>
          <w:sz w:val="24"/>
          <w:szCs w:val="24"/>
          <w:lang w:val="en-US" w:eastAsia="ar-SA"/>
        </w:rPr>
        <w:t xml:space="preserve">hernyavina Larisa Andreevna </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pacing w:after="0" w:line="240" w:lineRule="auto"/>
        <w:contextualSpacing/>
        <w:jc w:val="center"/>
        <w:rPr>
          <w:rFonts w:ascii="Times New Roman" w:hAnsi="Times New Roman" w:cs="Times New Roman"/>
          <w:sz w:val="24"/>
          <w:szCs w:val="24"/>
          <w:lang w:val="en-US" w:eastAsia="ru-RU"/>
        </w:rPr>
      </w:pPr>
      <w:r w:rsidRPr="00161824">
        <w:rPr>
          <w:rFonts w:ascii="Times New Roman" w:hAnsi="Times New Roman" w:cs="Times New Roman"/>
          <w:sz w:val="24"/>
          <w:szCs w:val="24"/>
          <w:lang w:val="en-US" w:eastAsia="ru-RU"/>
        </w:rPr>
        <w:t xml:space="preserve">dotzent of the Design and Arts Department </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tabs>
          <w:tab w:val="left" w:pos="709"/>
        </w:tabs>
        <w:suppressAutoHyphens/>
        <w:spacing w:after="0" w:line="240" w:lineRule="auto"/>
        <w:ind w:firstLine="425"/>
        <w:jc w:val="both"/>
        <w:rPr>
          <w:rFonts w:ascii="Times New Roman" w:hAnsi="Times New Roman" w:cs="Times New Roman"/>
          <w:sz w:val="24"/>
          <w:szCs w:val="24"/>
          <w:lang w:val="en-US" w:eastAsia="ar-SA"/>
        </w:rPr>
      </w:pPr>
      <w:r w:rsidRPr="00161824">
        <w:rPr>
          <w:rFonts w:ascii="Times New Roman" w:hAnsi="Times New Roman" w:cs="Times New Roman"/>
          <w:sz w:val="24"/>
          <w:szCs w:val="24"/>
          <w:lang w:val="en-US" w:eastAsia="ar-SA"/>
        </w:rPr>
        <w:t xml:space="preserve">                         of Vladivostok State University of Economy and Service</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pacing w:after="0" w:line="240" w:lineRule="auto"/>
        <w:contextualSpacing/>
        <w:jc w:val="center"/>
        <w:rPr>
          <w:rFonts w:ascii="Times New Roman" w:hAnsi="Times New Roman" w:cs="Times New Roman"/>
          <w:i/>
          <w:sz w:val="24"/>
          <w:szCs w:val="24"/>
          <w:lang w:val="en-US" w:eastAsia="ru-RU"/>
        </w:rPr>
      </w:pPr>
      <w:r w:rsidRPr="00161824">
        <w:rPr>
          <w:rFonts w:ascii="Times New Roman" w:hAnsi="Times New Roman" w:cs="Times New Roman"/>
          <w:i/>
          <w:sz w:val="24"/>
          <w:szCs w:val="24"/>
          <w:lang w:val="en-US" w:eastAsia="ru-RU"/>
        </w:rPr>
        <w:t>Russia. Vladivostok</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tabs>
          <w:tab w:val="left" w:pos="709"/>
        </w:tabs>
        <w:suppressAutoHyphens/>
        <w:spacing w:after="0" w:line="240" w:lineRule="auto"/>
        <w:ind w:firstLine="425"/>
        <w:jc w:val="both"/>
        <w:rPr>
          <w:rFonts w:ascii="Times New Roman" w:hAnsi="Times New Roman" w:cs="Times New Roman"/>
          <w:sz w:val="24"/>
          <w:szCs w:val="24"/>
          <w:lang w:val="en-US" w:eastAsia="ar-SA"/>
        </w:rPr>
      </w:pPr>
      <w:r w:rsidRPr="00161824">
        <w:rPr>
          <w:rFonts w:ascii="Times New Roman" w:hAnsi="Times New Roman" w:cs="Times New Roman"/>
          <w:color w:val="00000A"/>
          <w:sz w:val="20"/>
          <w:szCs w:val="24"/>
          <w:lang w:val="en-US" w:eastAsia="ar-SA"/>
        </w:rPr>
        <w:t xml:space="preserve">                              E-mail</w:t>
      </w:r>
      <w:r w:rsidRPr="00161824">
        <w:rPr>
          <w:rFonts w:ascii="Times New Roman" w:hAnsi="Times New Roman" w:cs="Times New Roman"/>
          <w:sz w:val="20"/>
          <w:szCs w:val="24"/>
          <w:lang w:val="en-US" w:eastAsia="ar-SA"/>
        </w:rPr>
        <w:t xml:space="preserve">: </w:t>
      </w:r>
      <w:r w:rsidRPr="00161824">
        <w:rPr>
          <w:rFonts w:ascii="Times New Roman" w:hAnsi="Times New Roman" w:cs="Times New Roman"/>
          <w:sz w:val="24"/>
          <w:szCs w:val="24"/>
          <w:lang w:val="en-US" w:eastAsia="ar-SA"/>
        </w:rPr>
        <w:t xml:space="preserve"> </w:t>
      </w:r>
      <w:hyperlink r:id="rId35" w:history="1">
        <w:r w:rsidRPr="00161824">
          <w:rPr>
            <w:rFonts w:ascii="Times New Roman" w:hAnsi="Times New Roman" w:cs="Times New Roman"/>
            <w:sz w:val="24"/>
            <w:szCs w:val="24"/>
            <w:u w:val="single"/>
            <w:lang w:val="en-US" w:eastAsia="ru-RU" w:bidi="hi-IN"/>
          </w:rPr>
          <w:t>larisa.chernyavina@vvsu.ru</w:t>
        </w:r>
      </w:hyperlink>
      <w:r w:rsidRPr="00161824">
        <w:rPr>
          <w:rFonts w:ascii="Times New Roman" w:hAnsi="Times New Roman" w:cs="Times New Roman"/>
          <w:sz w:val="24"/>
          <w:szCs w:val="24"/>
          <w:u w:val="single"/>
          <w:lang w:val="en-US" w:eastAsia="ru-RU" w:bidi="hi-IN"/>
        </w:rPr>
        <w:t xml:space="preserve">: </w:t>
      </w:r>
      <w:r w:rsidRPr="00161824">
        <w:rPr>
          <w:rFonts w:ascii="Times New Roman" w:hAnsi="Times New Roman" w:cs="Times New Roman"/>
          <w:color w:val="00000A"/>
          <w:sz w:val="20"/>
          <w:szCs w:val="24"/>
          <w:lang w:val="en-US" w:eastAsia="ar-SA"/>
        </w:rPr>
        <w:t>tel. 8 4232 40 40 94</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pacing w:after="0" w:line="240" w:lineRule="auto"/>
        <w:contextualSpacing/>
        <w:jc w:val="center"/>
        <w:rPr>
          <w:rFonts w:ascii="Times New Roman" w:hAnsi="Times New Roman" w:cs="Times New Roman"/>
          <w:sz w:val="24"/>
          <w:szCs w:val="24"/>
          <w:lang w:val="en-US" w:eastAsia="ru-RU"/>
        </w:rPr>
      </w:pPr>
      <w:r w:rsidRPr="00161824">
        <w:rPr>
          <w:rFonts w:ascii="Times New Roman" w:hAnsi="Times New Roman" w:cs="Times New Roman"/>
          <w:sz w:val="24"/>
          <w:szCs w:val="24"/>
          <w:lang w:val="en-US" w:eastAsia="ru-RU"/>
        </w:rPr>
        <w:t>st. Gogol, 41, Vladivostok, Primorsky krai, Russia, 690014</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i/>
          <w:iCs/>
          <w:color w:val="000000"/>
          <w:kern w:val="3"/>
          <w:sz w:val="24"/>
          <w:szCs w:val="24"/>
          <w:lang w:val="en-US" w:eastAsia="zh-CN" w:bidi="hi-IN"/>
        </w:rPr>
      </w:pPr>
      <w:r w:rsidRPr="00161824">
        <w:rPr>
          <w:rFonts w:ascii="Times New Roman" w:eastAsia="Arial Unicode MS" w:hAnsi="Times New Roman" w:cs="Times New Roman"/>
          <w:i/>
          <w:iCs/>
          <w:color w:val="000000"/>
          <w:kern w:val="3"/>
          <w:sz w:val="24"/>
          <w:szCs w:val="24"/>
          <w:lang w:val="en-US" w:eastAsia="zh-CN" w:bidi="hi-IN"/>
        </w:rPr>
        <w:t xml:space="preserve">  </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both"/>
        <w:textAlignment w:val="baseline"/>
        <w:rPr>
          <w:rFonts w:ascii="Times New Roman" w:eastAsia="Arial Unicode MS" w:hAnsi="Times New Roman" w:cs="Times New Roman"/>
          <w:i/>
          <w:color w:val="000000"/>
          <w:kern w:val="3"/>
          <w:sz w:val="24"/>
          <w:szCs w:val="24"/>
          <w:lang w:val="en-US" w:eastAsia="zh-CN" w:bidi="hi-IN"/>
        </w:rPr>
      </w:pPr>
      <w:r w:rsidRPr="00161824">
        <w:rPr>
          <w:rFonts w:ascii="Times New Roman" w:eastAsia="Arial Unicode MS" w:hAnsi="Times New Roman" w:cs="Times New Roman"/>
          <w:i/>
          <w:color w:val="000000"/>
          <w:kern w:val="3"/>
          <w:sz w:val="24"/>
          <w:szCs w:val="24"/>
          <w:lang w:val="en-US" w:eastAsia="zh-CN" w:bidi="hi-IN"/>
        </w:rPr>
        <w:t>Describes a problem most convenient service for accommodation availability maps, which should ensure the malomobilnym groups of the population comfortable moving around the city, as well as to give information to the parent bodies the power of the State of objects, with a view to further improvement of the city and creating equal opportunities for every citizen.</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textAlignment w:val="baseline"/>
        <w:rPr>
          <w:rFonts w:ascii="Arial Unicode MS" w:eastAsia="Arial Unicode MS" w:hAnsi="Arial Unicode MS" w:cs="Arial Unicode MS"/>
          <w:color w:val="000000"/>
          <w:kern w:val="3"/>
          <w:sz w:val="24"/>
          <w:szCs w:val="24"/>
          <w:lang w:val="en-US" w:eastAsia="zh-CN" w:bidi="hi-IN"/>
        </w:rPr>
      </w:pPr>
      <w:r w:rsidRPr="00161824">
        <w:rPr>
          <w:rFonts w:ascii="Times New Roman" w:eastAsia="Arial Unicode MS" w:hAnsi="Times New Roman" w:cs="Times New Roman"/>
          <w:b/>
          <w:i/>
          <w:color w:val="000000"/>
          <w:kern w:val="3"/>
          <w:sz w:val="24"/>
          <w:szCs w:val="24"/>
          <w:lang w:val="en-US" w:eastAsia="zh-CN" w:bidi="hi-IN"/>
        </w:rPr>
        <w:t>Keywords:</w:t>
      </w:r>
      <w:r w:rsidRPr="00161824">
        <w:rPr>
          <w:rFonts w:ascii="Times New Roman" w:eastAsia="Arial Unicode MS" w:hAnsi="Times New Roman" w:cs="Times New Roman"/>
          <w:i/>
          <w:color w:val="000000"/>
          <w:kern w:val="3"/>
          <w:lang w:val="en-US" w:eastAsia="zh-CN" w:bidi="hi-IN"/>
        </w:rPr>
        <w:t xml:space="preserve"> </w:t>
      </w:r>
      <w:r w:rsidRPr="00161824">
        <w:rPr>
          <w:rFonts w:ascii="Times New Roman" w:eastAsia="Arial Unicode MS" w:hAnsi="Times New Roman" w:cs="Times New Roman"/>
          <w:color w:val="000000"/>
          <w:kern w:val="3"/>
          <w:sz w:val="24"/>
          <w:szCs w:val="24"/>
          <w:lang w:val="en-US" w:eastAsia="zh-CN" w:bidi="hi-IN"/>
        </w:rPr>
        <w:t>availability maps,</w:t>
      </w:r>
      <w:r w:rsidRPr="00161824">
        <w:rPr>
          <w:rFonts w:ascii="Arial Unicode MS" w:eastAsia="Arial Unicode MS" w:hAnsi="Arial Unicode MS" w:cs="Arial Unicode MS"/>
          <w:color w:val="000000"/>
          <w:kern w:val="3"/>
          <w:lang w:val="en-US" w:eastAsia="zh-CN" w:bidi="hi-IN"/>
        </w:rPr>
        <w:t xml:space="preserve"> </w:t>
      </w:r>
      <w:r w:rsidRPr="00161824">
        <w:rPr>
          <w:rFonts w:ascii="Times New Roman" w:eastAsia="Arial Unicode MS" w:hAnsi="Times New Roman" w:cs="Times New Roman"/>
          <w:color w:val="000000"/>
          <w:kern w:val="3"/>
          <w:sz w:val="24"/>
          <w:szCs w:val="24"/>
          <w:lang w:val="en-US" w:eastAsia="zh-CN" w:bidi="hi-IN"/>
        </w:rPr>
        <w:t>persons with disabilities, route, symbol</w:t>
      </w:r>
      <w:r w:rsidRPr="00161824">
        <w:rPr>
          <w:rFonts w:ascii="Arial Unicode MS" w:eastAsia="Arial Unicode MS" w:hAnsi="Arial Unicode MS" w:cs="Arial Unicode MS"/>
          <w:color w:val="000000"/>
          <w:kern w:val="3"/>
          <w:sz w:val="24"/>
          <w:szCs w:val="24"/>
          <w:lang w:val="en-US" w:eastAsia="zh-CN" w:bidi="hi-IN"/>
        </w:rPr>
        <w:t>.</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both"/>
        <w:textAlignment w:val="baseline"/>
        <w:rPr>
          <w:rFonts w:ascii="Arial Unicode MS" w:eastAsia="Arial Unicode MS" w:hAnsi="Arial Unicode MS" w:cs="Times New Roman"/>
          <w:color w:val="000000"/>
          <w:kern w:val="3"/>
          <w:lang w:val="en-US" w:eastAsia="zh-CN" w:bidi="hi-IN"/>
        </w:rPr>
      </w:pP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76" w:lineRule="auto"/>
        <w:ind w:firstLine="567"/>
        <w:jc w:val="both"/>
        <w:textAlignment w:val="baseline"/>
        <w:rPr>
          <w:rFonts w:ascii="Times New Roman" w:hAnsi="Times New Roman" w:cs="Times New Roman"/>
          <w:kern w:val="3"/>
          <w:sz w:val="24"/>
          <w:szCs w:val="24"/>
          <w:lang w:eastAsia="zh-CN" w:bidi="hi-IN"/>
        </w:rPr>
      </w:pPr>
      <w:r w:rsidRPr="00161824">
        <w:rPr>
          <w:rFonts w:ascii="Times New Roman" w:eastAsia="SimSun" w:hAnsi="Times New Roman" w:cs="Times New Roman"/>
          <w:bCs/>
          <w:kern w:val="3"/>
          <w:sz w:val="24"/>
          <w:szCs w:val="24"/>
          <w:shd w:val="clear" w:color="auto" w:fill="FFFFFF"/>
          <w:lang w:eastAsia="zh-CN" w:bidi="hi-IN"/>
        </w:rPr>
        <w:t>По данным Федеральной службы государственной статистики, на 2017 год в России зарегистрировано 12,6 млн граждан, имеющих инвалидность. Среди них 121 тыс. проживают в Приморском крае.</w:t>
      </w:r>
      <w:r w:rsidRPr="00161824">
        <w:rPr>
          <w:rFonts w:ascii="Times New Roman" w:hAnsi="Times New Roman" w:cs="Times New Roman"/>
          <w:kern w:val="3"/>
          <w:sz w:val="24"/>
          <w:szCs w:val="24"/>
          <w:lang w:eastAsia="zh-CN" w:bidi="hi-IN"/>
        </w:rPr>
        <w:t xml:space="preserve"> Согласно Конвенции «О правах инвалидов» </w:t>
      </w:r>
      <w:r w:rsidRPr="00161824">
        <w:rPr>
          <w:rFonts w:ascii="Times New Roman" w:hAnsi="Times New Roman" w:cs="Times New Roman"/>
          <w:i/>
          <w:kern w:val="3"/>
          <w:sz w:val="24"/>
          <w:szCs w:val="24"/>
          <w:lang w:eastAsia="zh-CN" w:bidi="hi-IN"/>
        </w:rPr>
        <w:t>(ООН, 2006, ратифицирована Российской Федерацией 03.05.2012)</w:t>
      </w:r>
      <w:r w:rsidRPr="00161824">
        <w:rPr>
          <w:rFonts w:ascii="Times New Roman" w:hAnsi="Times New Roman" w:cs="Times New Roman"/>
          <w:kern w:val="3"/>
          <w:sz w:val="24"/>
          <w:szCs w:val="24"/>
          <w:lang w:eastAsia="zh-CN" w:bidi="hi-IN"/>
        </w:rPr>
        <w:t>, для обеспечения инвалидам наравне с другими гражданами доступа к физическому окружению, транспорту, информации и к другим объектам и услугам, должен реализовываться комплекс мер, включая: выявление и устранение препятствий и барьеров, мешающих доступности, которые распространяются на здания, дороги, транспорт и другие объекты и службы, включая электронные и экстренные службы.</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76" w:lineRule="auto"/>
        <w:ind w:firstLine="567"/>
        <w:jc w:val="both"/>
        <w:textAlignment w:val="baseline"/>
        <w:rPr>
          <w:rFonts w:ascii="Times New Roman" w:hAnsi="Times New Roman" w:cs="Times New Roman"/>
          <w:kern w:val="3"/>
          <w:sz w:val="24"/>
          <w:szCs w:val="24"/>
          <w:lang w:eastAsia="zh-CN" w:bidi="hi-IN"/>
        </w:rPr>
      </w:pPr>
      <w:r w:rsidRPr="00161824">
        <w:rPr>
          <w:rFonts w:ascii="Times New Roman" w:hAnsi="Times New Roman" w:cs="Times New Roman"/>
          <w:kern w:val="3"/>
          <w:sz w:val="24"/>
          <w:szCs w:val="24"/>
          <w:lang w:eastAsia="zh-CN" w:bidi="hi-IN"/>
        </w:rPr>
        <w:t>Государство должно гарантировать инвалиду право на получение информации и беспрепятственный доступ к ней, в том числе с использованием специальных, адаптированных носителей. С развитием интернета одним из способов получения информации стали «Карты доступности для маломобильных групп населения». Целью данного исследования является анализ существующих карт доступности с проектными предложениями по их корректировке.</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76" w:lineRule="auto"/>
        <w:ind w:firstLine="567"/>
        <w:jc w:val="both"/>
        <w:textAlignment w:val="baseline"/>
        <w:rPr>
          <w:rFonts w:ascii="Times New Roman" w:hAnsi="Times New Roman" w:cs="Times New Roman"/>
          <w:kern w:val="3"/>
          <w:sz w:val="24"/>
          <w:szCs w:val="24"/>
          <w:lang w:eastAsia="zh-CN" w:bidi="hi-IN"/>
        </w:rPr>
      </w:pPr>
      <w:r w:rsidRPr="00161824">
        <w:rPr>
          <w:rFonts w:ascii="Times New Roman" w:hAnsi="Times New Roman" w:cs="Times New Roman"/>
          <w:bCs/>
          <w:kern w:val="3"/>
          <w:sz w:val="24"/>
          <w:szCs w:val="24"/>
          <w:lang w:eastAsia="zh-CN" w:bidi="hi-IN"/>
        </w:rPr>
        <w:t>Для достижения цели были поставлены следующие задачи: в первую очередь  необходимо было провести сравнительный анализ и дать экспертную оценку российского и зарубежного опыта по формированию и обновлению карт доступности</w:t>
      </w:r>
      <w:r w:rsidRPr="00161824">
        <w:rPr>
          <w:rFonts w:ascii="Times New Roman" w:hAnsi="Times New Roman" w:cs="Times New Roman"/>
          <w:kern w:val="3"/>
          <w:sz w:val="24"/>
          <w:szCs w:val="24"/>
          <w:lang w:eastAsia="zh-CN" w:bidi="hi-IN"/>
        </w:rPr>
        <w:t>; далее определить основные тенденции отражения информации доступности объектов; используемых технологий, средств и методов передачи информации; выявить наиболее часто используемые символы и графические изображения при иллюстрации степени доступности объектов: для всех маломобильных категорий граждан и для граждан с различными видами нарушений.</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76" w:lineRule="auto"/>
        <w:ind w:firstLine="567"/>
        <w:jc w:val="both"/>
        <w:textAlignment w:val="baseline"/>
        <w:rPr>
          <w:rFonts w:ascii="Times New Roman" w:hAnsi="Times New Roman" w:cs="Times New Roman"/>
          <w:kern w:val="3"/>
          <w:sz w:val="24"/>
          <w:szCs w:val="24"/>
          <w:lang w:eastAsia="zh-CN" w:bidi="hi-IN"/>
        </w:rPr>
      </w:pPr>
      <w:r w:rsidRPr="00161824">
        <w:rPr>
          <w:rFonts w:ascii="Times New Roman" w:hAnsi="Times New Roman" w:cs="Times New Roman"/>
          <w:kern w:val="3"/>
          <w:sz w:val="24"/>
          <w:szCs w:val="24"/>
          <w:lang w:eastAsia="zh-CN" w:bidi="hi-IN"/>
        </w:rPr>
        <w:t xml:space="preserve">Первые карты появились в Европе. Одна из них </w:t>
      </w:r>
      <w:r w:rsidRPr="00161824">
        <w:rPr>
          <w:rFonts w:ascii="Times New Roman" w:eastAsia="SimSun" w:hAnsi="Times New Roman" w:cs="Times New Roman"/>
          <w:bCs/>
          <w:kern w:val="3"/>
          <w:sz w:val="24"/>
          <w:szCs w:val="24"/>
          <w:lang w:eastAsia="zh-CN" w:bidi="hi-IN"/>
        </w:rPr>
        <w:t>SageTraveling</w:t>
      </w:r>
      <w:r w:rsidRPr="00161824">
        <w:rPr>
          <w:rFonts w:ascii="Times New Roman" w:hAnsi="Times New Roman" w:cs="Times New Roman"/>
          <w:kern w:val="3"/>
          <w:sz w:val="24"/>
          <w:szCs w:val="24"/>
          <w:lang w:eastAsia="zh-CN" w:bidi="hi-IN"/>
        </w:rPr>
        <w:t>.</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76" w:lineRule="auto"/>
        <w:jc w:val="both"/>
        <w:textAlignment w:val="baseline"/>
        <w:rPr>
          <w:rFonts w:ascii="Times New Roman" w:eastAsia="SimSun" w:hAnsi="Times New Roman" w:cs="Times New Roman"/>
          <w:kern w:val="3"/>
          <w:sz w:val="24"/>
          <w:szCs w:val="24"/>
          <w:lang w:eastAsia="zh-CN" w:bidi="hi-IN"/>
        </w:rPr>
      </w:pPr>
      <w:r w:rsidRPr="00161824">
        <w:rPr>
          <w:rFonts w:ascii="Times New Roman" w:eastAsia="SimSun" w:hAnsi="Times New Roman" w:cs="Times New Roman"/>
          <w:bCs/>
          <w:kern w:val="3"/>
          <w:sz w:val="24"/>
          <w:szCs w:val="24"/>
          <w:lang w:eastAsia="zh-CN" w:bidi="hi-IN"/>
        </w:rPr>
        <w:t>SageTraveling</w:t>
      </w:r>
      <w:r w:rsidRPr="00161824">
        <w:rPr>
          <w:rFonts w:ascii="Times New Roman" w:eastAsia="SimSun" w:hAnsi="Times New Roman" w:cs="Times New Roman"/>
          <w:kern w:val="3"/>
          <w:sz w:val="24"/>
          <w:szCs w:val="24"/>
          <w:lang w:eastAsia="zh-CN" w:bidi="hi-IN"/>
        </w:rPr>
        <w:t xml:space="preserve"> – </w:t>
      </w:r>
      <w:r w:rsidRPr="00161824">
        <w:rPr>
          <w:rFonts w:ascii="Times New Roman" w:eastAsia="SimSun" w:hAnsi="Times New Roman" w:cs="Times New Roman"/>
          <w:kern w:val="3"/>
          <w:sz w:val="24"/>
          <w:szCs w:val="24"/>
          <w:lang w:eastAsia="ru-RU" w:bidi="hi-IN"/>
        </w:rPr>
        <w:t xml:space="preserve">ведущее приложение данного типа по европейским странам для людей с ограниченными возможностями. Действует с 2009г. </w:t>
      </w:r>
      <w:r w:rsidRPr="00161824">
        <w:rPr>
          <w:rFonts w:ascii="Times New Roman" w:eastAsia="SimSun" w:hAnsi="Times New Roman" w:cs="Times New Roman"/>
          <w:kern w:val="3"/>
          <w:sz w:val="24"/>
          <w:szCs w:val="24"/>
          <w:lang w:eastAsia="zh-CN" w:bidi="hi-IN"/>
        </w:rPr>
        <w:t>Эта карта показывает 140 городов, которые Джон Сейдж, создатель карты, посетил в Европе в своем инвалидном кресле. Недостатки данной карты: отсутствие подробностей, простых и понятных иконок, нет возможности проложить маршрут, нельзя выбрать категорию инвалидности.</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76" w:lineRule="auto"/>
        <w:ind w:firstLine="567"/>
        <w:jc w:val="both"/>
        <w:textAlignment w:val="baseline"/>
        <w:rPr>
          <w:rFonts w:ascii="Times New Roman" w:hAnsi="Times New Roman" w:cs="Times New Roman"/>
          <w:kern w:val="3"/>
          <w:sz w:val="24"/>
          <w:szCs w:val="24"/>
          <w:lang w:eastAsia="zh-CN" w:bidi="hi-IN"/>
        </w:rPr>
      </w:pPr>
      <w:r w:rsidRPr="00161824">
        <w:rPr>
          <w:rFonts w:ascii="Times New Roman" w:eastAsia="SimSun" w:hAnsi="Times New Roman" w:cs="Times New Roman"/>
          <w:bCs/>
          <w:kern w:val="3"/>
          <w:sz w:val="24"/>
          <w:szCs w:val="24"/>
          <w:shd w:val="clear" w:color="auto" w:fill="FFFFFF"/>
          <w:lang w:eastAsia="zh-CN" w:bidi="hi-IN"/>
        </w:rPr>
        <w:t>«Wheelmap</w:t>
      </w:r>
      <w:r w:rsidRPr="00161824">
        <w:rPr>
          <w:rFonts w:ascii="Times New Roman" w:eastAsia="SimSun" w:hAnsi="Times New Roman" w:cs="Times New Roman"/>
          <w:b/>
          <w:bCs/>
          <w:kern w:val="3"/>
          <w:sz w:val="24"/>
          <w:szCs w:val="24"/>
          <w:shd w:val="clear" w:color="auto" w:fill="FFFFFF"/>
          <w:lang w:eastAsia="zh-CN" w:bidi="hi-IN"/>
        </w:rPr>
        <w:t>»</w:t>
      </w:r>
      <w:r w:rsidRPr="00161824">
        <w:rPr>
          <w:rFonts w:ascii="Times New Roman" w:eastAsia="SimSun" w:hAnsi="Times New Roman" w:cs="Times New Roman"/>
          <w:kern w:val="3"/>
          <w:sz w:val="24"/>
          <w:szCs w:val="24"/>
          <w:shd w:val="clear" w:color="auto" w:fill="FFFFFF"/>
          <w:lang w:eastAsia="zh-CN" w:bidi="hi-IN"/>
        </w:rPr>
        <w:t xml:space="preserve"> — онлайн карта, которая позволяет находить и отмечать места, доступные для маломобильных групп населения. Карта была создана в 2010 году Раулем Краутхаузеном в Германии </w:t>
      </w:r>
      <w:r w:rsidRPr="00161824">
        <w:rPr>
          <w:rFonts w:ascii="Times New Roman" w:eastAsia="SimSun" w:hAnsi="Times New Roman" w:cs="Times New Roman"/>
          <w:kern w:val="3"/>
          <w:sz w:val="24"/>
          <w:szCs w:val="24"/>
          <w:bdr w:val="none" w:sz="0" w:space="0" w:color="auto" w:frame="1"/>
          <w:lang w:eastAsia="zh-CN" w:bidi="hi-IN"/>
        </w:rPr>
        <w:t xml:space="preserve">и объединяет 130 различных типов мест, представленных значками на маркерах. Немаркированные местоположения обозначены серым цветом и могут быть отмечены кем угодно, основываясь на принципе Википедии. Информация, собранная таким образом, понятна и может быть доступна в любое время. Недостатки карты: нет возможности выбора групп инвалидности </w:t>
      </w:r>
      <w:r w:rsidRPr="00161824">
        <w:rPr>
          <w:rFonts w:ascii="Times New Roman" w:eastAsia="SimSun" w:hAnsi="Times New Roman" w:cs="Times New Roman"/>
          <w:i/>
          <w:kern w:val="3"/>
          <w:sz w:val="24"/>
          <w:szCs w:val="24"/>
          <w:bdr w:val="none" w:sz="0" w:space="0" w:color="auto" w:frame="1"/>
          <w:lang w:eastAsia="zh-CN" w:bidi="hi-IN"/>
        </w:rPr>
        <w:t xml:space="preserve">(колясочники, слабовидящие и т. д.), </w:t>
      </w:r>
      <w:r w:rsidRPr="00161824">
        <w:rPr>
          <w:rFonts w:ascii="Times New Roman" w:eastAsia="SimSun" w:hAnsi="Times New Roman" w:cs="Times New Roman"/>
          <w:kern w:val="3"/>
          <w:sz w:val="24"/>
          <w:szCs w:val="24"/>
          <w:bdr w:val="none" w:sz="0" w:space="0" w:color="auto" w:frame="1"/>
          <w:lang w:eastAsia="zh-CN" w:bidi="hi-IN"/>
        </w:rPr>
        <w:t xml:space="preserve">отсутствует возможность проложить маршрут до места назначения. </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76" w:lineRule="auto"/>
        <w:ind w:firstLine="567"/>
        <w:jc w:val="both"/>
        <w:textAlignment w:val="baseline"/>
        <w:rPr>
          <w:rFonts w:ascii="Times New Roman" w:eastAsia="SimSun" w:hAnsi="Times New Roman" w:cs="Times New Roman"/>
          <w:b/>
          <w:bCs/>
          <w:kern w:val="3"/>
          <w:sz w:val="24"/>
          <w:szCs w:val="24"/>
          <w:lang w:eastAsia="zh-CN" w:bidi="hi-IN"/>
        </w:rPr>
      </w:pPr>
      <w:r w:rsidRPr="00161824">
        <w:rPr>
          <w:rFonts w:ascii="Times New Roman" w:hAnsi="Times New Roman" w:cs="Times New Roman"/>
          <w:bCs/>
          <w:kern w:val="3"/>
          <w:sz w:val="24"/>
          <w:szCs w:val="24"/>
          <w:lang w:eastAsia="zh-CN" w:bidi="hi-IN"/>
        </w:rPr>
        <w:t xml:space="preserve">В России первая карта доступности появилась в 2009 году. Она называлась «барьеров.нет». Карта была создана на базе ЖЖ сообщества </w:t>
      </w:r>
      <w:r w:rsidRPr="00161824">
        <w:rPr>
          <w:rFonts w:ascii="Times New Roman" w:hAnsi="Times New Roman" w:cs="Times New Roman"/>
          <w:bCs/>
          <w:i/>
          <w:kern w:val="3"/>
          <w:sz w:val="24"/>
          <w:szCs w:val="24"/>
          <w:lang w:eastAsia="zh-CN" w:bidi="hi-IN"/>
        </w:rPr>
        <w:t xml:space="preserve">(живой журнал, подобие форума), </w:t>
      </w:r>
      <w:r w:rsidRPr="00161824">
        <w:rPr>
          <w:rFonts w:ascii="Times New Roman" w:hAnsi="Times New Roman" w:cs="Times New Roman"/>
          <w:bCs/>
          <w:kern w:val="3"/>
          <w:sz w:val="24"/>
          <w:szCs w:val="24"/>
          <w:lang w:eastAsia="zh-CN" w:bidi="hi-IN"/>
        </w:rPr>
        <w:t xml:space="preserve">где люди сами писали информацию о доступности объектов в России. Результатом работы стал постоянно растущий список доступных мест в городах. </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76" w:lineRule="auto"/>
        <w:jc w:val="both"/>
        <w:textAlignment w:val="baseline"/>
        <w:rPr>
          <w:rFonts w:ascii="Times New Roman" w:eastAsia="SimSun" w:hAnsi="Times New Roman" w:cs="Times New Roman"/>
          <w:kern w:val="3"/>
          <w:sz w:val="24"/>
          <w:szCs w:val="24"/>
          <w:lang w:eastAsia="zh-CN" w:bidi="hi-IN"/>
        </w:rPr>
      </w:pPr>
      <w:r w:rsidRPr="00161824">
        <w:rPr>
          <w:rFonts w:ascii="Times New Roman" w:eastAsia="SimSun" w:hAnsi="Times New Roman" w:cs="Times New Roman"/>
          <w:color w:val="000000"/>
          <w:kern w:val="3"/>
          <w:sz w:val="24"/>
          <w:szCs w:val="24"/>
          <w:lang w:eastAsia="zh-CN" w:bidi="hi-IN"/>
        </w:rPr>
        <w:t xml:space="preserve">На сегодняшний день в России существует единая карта доступности для инвалидов различных групп, которая постоянно обновляется и дополняется новыми доступными объектами. </w:t>
      </w:r>
      <w:r w:rsidRPr="00161824">
        <w:rPr>
          <w:rFonts w:ascii="Times New Roman" w:eastAsia="SimSun" w:hAnsi="Times New Roman" w:cs="Times New Roman"/>
          <w:kern w:val="3"/>
          <w:sz w:val="24"/>
          <w:szCs w:val="24"/>
          <w:lang w:eastAsia="zh-CN" w:bidi="hi-IN"/>
        </w:rPr>
        <w:t>Карта электронная, и доступна всем без исключения. Единственная хорошо сделанная карта на данный момент – карта доступности Москвы.</w:t>
      </w:r>
      <w:r w:rsidRPr="00161824">
        <w:rPr>
          <w:rFonts w:ascii="Times New Roman" w:eastAsia="SimSun" w:hAnsi="Times New Roman" w:cs="Mangal"/>
          <w:b/>
          <w:kern w:val="3"/>
          <w:sz w:val="24"/>
          <w:szCs w:val="24"/>
          <w:lang w:eastAsia="zh-CN" w:bidi="hi-IN"/>
        </w:rPr>
        <w:t xml:space="preserve"> </w:t>
      </w:r>
      <w:r w:rsidRPr="00161824">
        <w:rPr>
          <w:rFonts w:ascii="Times New Roman" w:eastAsia="SimSun" w:hAnsi="Times New Roman" w:cs="Times New Roman"/>
          <w:kern w:val="3"/>
          <w:sz w:val="24"/>
          <w:szCs w:val="24"/>
          <w:lang w:eastAsia="zh-CN" w:bidi="hi-IN"/>
        </w:rPr>
        <w:t xml:space="preserve">Формирование и обновление информации на карте основано на полученных данных людей, участвующих в создании доступной среды для инвалидов. Недостатки карты: нет возможности добавления фотографий, нельзя проложить маршрут, нет возможности выбора категории инвалидности, наличие неверных данных об объектах. </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76" w:lineRule="auto"/>
        <w:jc w:val="center"/>
        <w:textAlignment w:val="baseline"/>
        <w:rPr>
          <w:rFonts w:ascii="Times New Roman" w:eastAsia="SimSun" w:hAnsi="Times New Roman" w:cs="Times New Roman"/>
          <w:kern w:val="3"/>
          <w:sz w:val="24"/>
          <w:szCs w:val="24"/>
          <w:lang w:eastAsia="zh-CN" w:bidi="hi-IN"/>
        </w:rPr>
      </w:pPr>
      <w:r w:rsidRPr="00161824">
        <w:rPr>
          <w:rFonts w:ascii="Times New Roman" w:eastAsia="SimSun" w:hAnsi="Times New Roman" w:cs="Times New Roman"/>
          <w:noProof/>
          <w:kern w:val="3"/>
          <w:sz w:val="24"/>
          <w:szCs w:val="24"/>
          <w:lang w:eastAsia="ru-RU"/>
        </w:rPr>
        <w:drawing>
          <wp:inline distT="0" distB="0" distL="0" distR="0" wp14:anchorId="41A8B337" wp14:editId="7FF01FA4">
            <wp:extent cx="4276725" cy="1962150"/>
            <wp:effectExtent l="0" t="0" r="0" b="0"/>
            <wp:docPr id="18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276725" cy="1962150"/>
                    </a:xfrm>
                    <a:prstGeom prst="rect">
                      <a:avLst/>
                    </a:prstGeom>
                    <a:noFill/>
                    <a:ln>
                      <a:noFill/>
                    </a:ln>
                  </pic:spPr>
                </pic:pic>
              </a:graphicData>
            </a:graphic>
          </wp:inline>
        </w:drawing>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76" w:lineRule="auto"/>
        <w:jc w:val="center"/>
        <w:textAlignment w:val="baseline"/>
        <w:rPr>
          <w:rFonts w:ascii="Times New Roman" w:eastAsia="SimSun" w:hAnsi="Times New Roman" w:cs="Times New Roman"/>
          <w:kern w:val="3"/>
          <w:sz w:val="24"/>
          <w:szCs w:val="24"/>
          <w:lang w:eastAsia="zh-CN" w:bidi="hi-IN"/>
        </w:rPr>
      </w:pPr>
      <w:r w:rsidRPr="00161824">
        <w:rPr>
          <w:rFonts w:ascii="Times New Roman" w:eastAsia="SimSun" w:hAnsi="Times New Roman" w:cs="Times New Roman"/>
          <w:kern w:val="3"/>
          <w:sz w:val="24"/>
          <w:szCs w:val="24"/>
          <w:lang w:eastAsia="zh-CN" w:bidi="hi-IN"/>
        </w:rPr>
        <w:t>Рис. 1. Единая карта доступности по России.</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76" w:lineRule="auto"/>
        <w:ind w:firstLine="567"/>
        <w:jc w:val="both"/>
        <w:textAlignment w:val="baseline"/>
        <w:rPr>
          <w:rFonts w:ascii="Times New Roman" w:eastAsia="SimSun" w:hAnsi="Times New Roman" w:cs="Times New Roman"/>
          <w:kern w:val="3"/>
          <w:sz w:val="24"/>
          <w:szCs w:val="24"/>
          <w:lang w:eastAsia="zh-CN" w:bidi="hi-IN"/>
        </w:rPr>
      </w:pPr>
      <w:r w:rsidRPr="00161824">
        <w:rPr>
          <w:rFonts w:ascii="Times New Roman" w:eastAsia="SimSun" w:hAnsi="Times New Roman" w:cs="Times New Roman"/>
          <w:kern w:val="3"/>
          <w:sz w:val="24"/>
          <w:szCs w:val="24"/>
          <w:lang w:eastAsia="zh-CN" w:bidi="hi-IN"/>
        </w:rPr>
        <w:t>Был проведен анализ карты на примере железнодорожного вокзала в городе Владивосток. По данным корты доступности входная группа хорошо оборудована для инвалидов. Но у входа в здание отсутствует пандус и слишком тяжелые двери, что затрудняет передвижение для маломобильных групп населения. Неверные данные подобного характера присутствуют во многих объектах города, указанных на карте доступности, т.к. информация, указанная людьми, не проверяется администратором.</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76" w:lineRule="auto"/>
        <w:ind w:firstLine="567"/>
        <w:jc w:val="both"/>
        <w:textAlignment w:val="baseline"/>
        <w:rPr>
          <w:rFonts w:ascii="Times New Roman" w:eastAsia="SimSun" w:hAnsi="Times New Roman" w:cs="Times New Roman"/>
          <w:kern w:val="3"/>
          <w:sz w:val="24"/>
          <w:szCs w:val="24"/>
          <w:lang w:eastAsia="zh-CN" w:bidi="hi-IN"/>
        </w:rPr>
      </w:pPr>
      <w:r w:rsidRPr="00161824">
        <w:rPr>
          <w:rFonts w:ascii="Times New Roman" w:eastAsia="SimSun" w:hAnsi="Times New Roman" w:cs="Times New Roman"/>
          <w:kern w:val="3"/>
          <w:sz w:val="24"/>
          <w:szCs w:val="24"/>
          <w:lang w:eastAsia="zh-CN" w:bidi="hi-IN"/>
        </w:rPr>
        <w:t>Авторы статьи приняли участие в работе над этой картой. Была проведена фотофиксация объектов, необходимых с точки зрения создателей карты и результаты этого анализа были применены в карте доступности. Примеры двух объектов приведены на рисунках 2 и 3.</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76" w:lineRule="auto"/>
        <w:ind w:firstLine="567"/>
        <w:jc w:val="center"/>
        <w:textAlignment w:val="baseline"/>
        <w:rPr>
          <w:rFonts w:ascii="Times New Roman" w:eastAsia="SimSun" w:hAnsi="Times New Roman" w:cs="Times New Roman"/>
          <w:noProof/>
          <w:kern w:val="3"/>
          <w:sz w:val="24"/>
          <w:szCs w:val="24"/>
          <w:lang w:eastAsia="ru-RU"/>
        </w:rPr>
      </w:pPr>
      <w:r w:rsidRPr="00161824">
        <w:rPr>
          <w:rFonts w:ascii="Times New Roman" w:eastAsia="SimSun" w:hAnsi="Times New Roman" w:cs="Times New Roman"/>
          <w:noProof/>
          <w:kern w:val="3"/>
          <w:sz w:val="24"/>
          <w:szCs w:val="24"/>
          <w:lang w:eastAsia="ru-RU"/>
        </w:rPr>
        <w:drawing>
          <wp:inline distT="0" distB="0" distL="0" distR="0" wp14:anchorId="7737328E" wp14:editId="1B9B6EA5">
            <wp:extent cx="2247900" cy="2390775"/>
            <wp:effectExtent l="0" t="0" r="0" b="0"/>
            <wp:docPr id="187"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247900" cy="2390775"/>
                    </a:xfrm>
                    <a:prstGeom prst="rect">
                      <a:avLst/>
                    </a:prstGeom>
                    <a:noFill/>
                    <a:ln>
                      <a:noFill/>
                    </a:ln>
                  </pic:spPr>
                </pic:pic>
              </a:graphicData>
            </a:graphic>
          </wp:inline>
        </w:drawing>
      </w:r>
      <w:r w:rsidRPr="00161824">
        <w:rPr>
          <w:rFonts w:ascii="Times New Roman" w:eastAsia="SimSun" w:hAnsi="Times New Roman" w:cs="Times New Roman"/>
          <w:noProof/>
          <w:kern w:val="3"/>
          <w:sz w:val="24"/>
          <w:szCs w:val="24"/>
          <w:lang w:eastAsia="ru-RU"/>
        </w:rPr>
        <w:drawing>
          <wp:inline distT="0" distB="0" distL="0" distR="0" wp14:anchorId="34F06990" wp14:editId="060E86F1">
            <wp:extent cx="2705100" cy="2333625"/>
            <wp:effectExtent l="0" t="0" r="0" b="0"/>
            <wp:docPr id="188"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705100" cy="2333625"/>
                    </a:xfrm>
                    <a:prstGeom prst="rect">
                      <a:avLst/>
                    </a:prstGeom>
                    <a:noFill/>
                    <a:ln>
                      <a:noFill/>
                    </a:ln>
                  </pic:spPr>
                </pic:pic>
              </a:graphicData>
            </a:graphic>
          </wp:inline>
        </w:drawing>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76" w:lineRule="auto"/>
        <w:textAlignment w:val="baseline"/>
        <w:rPr>
          <w:rFonts w:ascii="Times New Roman" w:eastAsia="SimSun" w:hAnsi="Times New Roman" w:cs="Times New Roman"/>
          <w:noProof/>
          <w:kern w:val="3"/>
          <w:sz w:val="24"/>
          <w:szCs w:val="24"/>
          <w:lang w:eastAsia="ru-RU"/>
        </w:rPr>
      </w:pP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76" w:lineRule="auto"/>
        <w:jc w:val="center"/>
        <w:textAlignment w:val="baseline"/>
        <w:rPr>
          <w:rFonts w:ascii="Times New Roman" w:eastAsia="SimSun" w:hAnsi="Times New Roman" w:cs="Times New Roman"/>
          <w:kern w:val="3"/>
          <w:sz w:val="24"/>
          <w:szCs w:val="24"/>
          <w:lang w:eastAsia="zh-CN" w:bidi="hi-IN"/>
        </w:rPr>
      </w:pPr>
      <w:r w:rsidRPr="00161824">
        <w:rPr>
          <w:rFonts w:ascii="Times New Roman" w:eastAsia="SimSun" w:hAnsi="Times New Roman" w:cs="Times New Roman"/>
          <w:kern w:val="3"/>
          <w:sz w:val="24"/>
          <w:szCs w:val="24"/>
          <w:lang w:eastAsia="zh-CN" w:bidi="hi-IN"/>
        </w:rPr>
        <w:t xml:space="preserve">        Рис. 2.  Предлагаемое решение МТС           Рис. 3. Предлагаемое решение ПримСоцБанк</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76" w:lineRule="auto"/>
        <w:ind w:firstLine="567"/>
        <w:jc w:val="both"/>
        <w:textAlignment w:val="baseline"/>
        <w:rPr>
          <w:rFonts w:ascii="Times New Roman" w:eastAsia="SimSun" w:hAnsi="Times New Roman" w:cs="Times New Roman"/>
          <w:color w:val="FF0000"/>
          <w:kern w:val="3"/>
          <w:sz w:val="24"/>
          <w:szCs w:val="24"/>
          <w:lang w:eastAsia="zh-CN" w:bidi="hi-IN"/>
        </w:rPr>
      </w:pPr>
      <w:r w:rsidRPr="00161824">
        <w:rPr>
          <w:rFonts w:ascii="Times New Roman" w:eastAsia="SimSun" w:hAnsi="Times New Roman" w:cs="Times New Roman"/>
          <w:kern w:val="3"/>
          <w:sz w:val="24"/>
          <w:szCs w:val="24"/>
          <w:lang w:eastAsia="zh-CN" w:bidi="hi-IN"/>
        </w:rPr>
        <w:t xml:space="preserve">На основе анализа существующих карт, была выявлена оптимальная форма и структура карты, общие требования к размещаемой информации, к композиционному и графическому решению, используемым символам. Предложены особенности отражения на карте различных видов объектов и услуг. Включая дополнительную информацию о доступности отдельных элементов (таких как дорога, входные группы и т.д.) для различных категорий инвалидов, с возможностью построения маршрута до необходимого объекта, с расчетом удобства пути и расстояния. Определения доступного вида транспорта. </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76" w:lineRule="auto"/>
        <w:ind w:firstLine="567"/>
        <w:jc w:val="both"/>
        <w:textAlignment w:val="baseline"/>
        <w:rPr>
          <w:rFonts w:ascii="Times New Roman" w:eastAsia="SimSun" w:hAnsi="Times New Roman" w:cs="Times New Roman"/>
          <w:kern w:val="3"/>
          <w:sz w:val="24"/>
          <w:szCs w:val="24"/>
          <w:lang w:eastAsia="zh-CN" w:bidi="hi-IN"/>
        </w:rPr>
      </w:pPr>
      <w:r w:rsidRPr="00161824">
        <w:rPr>
          <w:rFonts w:ascii="Times New Roman" w:eastAsia="SimSun" w:hAnsi="Times New Roman" w:cs="Times New Roman"/>
          <w:kern w:val="3"/>
          <w:sz w:val="24"/>
          <w:szCs w:val="24"/>
          <w:lang w:eastAsia="zh-CN" w:bidi="hi-IN"/>
        </w:rPr>
        <w:t xml:space="preserve">Выявлены наиболее удобные сервисы размещения карты в сети интернет (в виде сайта, портала).  В целом разрабатываемая карта доступности призвана обеспечить маломобильным группам населения возможность комфортного перемещения по городу, а также должна давать информацию вышестоящим органам власти о состоянии объектов, с целью дальнейшего благоустройства города и создания равных возможностей для каждого. </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both"/>
        <w:textAlignment w:val="baseline"/>
        <w:rPr>
          <w:rFonts w:ascii="Times New Roman" w:eastAsia="SimSun" w:hAnsi="Times New Roman" w:cs="Mangal"/>
          <w:kern w:val="3"/>
          <w:sz w:val="24"/>
          <w:szCs w:val="24"/>
          <w:lang w:eastAsia="zh-CN" w:bidi="hi-IN"/>
        </w:rPr>
      </w:pPr>
    </w:p>
    <w:p w:rsidR="00161824" w:rsidRPr="00161824" w:rsidRDefault="00161824" w:rsidP="00161824">
      <w:pPr>
        <w:widowControl w:val="0"/>
        <w:numPr>
          <w:ilvl w:val="0"/>
          <w:numId w:val="136"/>
        </w:num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both"/>
        <w:textAlignment w:val="baseline"/>
        <w:rPr>
          <w:rFonts w:ascii="Times New Roman" w:eastAsia="SimSun" w:hAnsi="Times New Roman" w:cs="Mangal"/>
          <w:kern w:val="3"/>
          <w:sz w:val="24"/>
          <w:szCs w:val="24"/>
          <w:lang w:eastAsia="zh-CN" w:bidi="hi-IN"/>
        </w:rPr>
      </w:pPr>
      <w:r w:rsidRPr="00161824">
        <w:rPr>
          <w:rFonts w:ascii="Times New Roman" w:eastAsia="SimSun" w:hAnsi="Times New Roman" w:cs="Mangal"/>
          <w:kern w:val="3"/>
          <w:sz w:val="24"/>
          <w:szCs w:val="24"/>
          <w:lang w:eastAsia="zh-CN" w:bidi="hi-IN"/>
        </w:rPr>
        <w:t>Постановление Правительства Российской Федерации «О мерах по обеспечению беспрепятственного доступа инвалидов к информации и объектам социальной инфраструктуры» от 07.12.1996 г. №1449</w:t>
      </w:r>
    </w:p>
    <w:p w:rsidR="00161824" w:rsidRPr="00161824" w:rsidRDefault="00161824" w:rsidP="00161824">
      <w:pPr>
        <w:widowControl w:val="0"/>
        <w:numPr>
          <w:ilvl w:val="0"/>
          <w:numId w:val="136"/>
        </w:num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both"/>
        <w:textAlignment w:val="baseline"/>
        <w:rPr>
          <w:rFonts w:ascii="Times New Roman" w:eastAsia="SimSun" w:hAnsi="Times New Roman" w:cs="Mangal"/>
          <w:kern w:val="3"/>
          <w:sz w:val="24"/>
          <w:szCs w:val="24"/>
          <w:lang w:eastAsia="zh-CN" w:bidi="hi-IN"/>
        </w:rPr>
      </w:pPr>
      <w:r w:rsidRPr="00161824">
        <w:rPr>
          <w:rFonts w:ascii="Times New Roman" w:eastAsia="SimSun" w:hAnsi="Times New Roman" w:cs="Mangal"/>
          <w:kern w:val="3"/>
          <w:sz w:val="24"/>
          <w:szCs w:val="24"/>
          <w:lang w:eastAsia="zh-CN" w:bidi="hi-IN"/>
        </w:rPr>
        <w:t>Указ президента Российской Федерации «О мерах по обеспечению государственной поддержки инвалидов» от 01.07.1996 г. № 1011</w:t>
      </w:r>
    </w:p>
    <w:p w:rsidR="00161824" w:rsidRPr="00161824" w:rsidRDefault="00161824" w:rsidP="00161824">
      <w:pPr>
        <w:widowControl w:val="0"/>
        <w:numPr>
          <w:ilvl w:val="0"/>
          <w:numId w:val="136"/>
        </w:num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both"/>
        <w:textAlignment w:val="baseline"/>
        <w:rPr>
          <w:rFonts w:ascii="Times New Roman" w:eastAsia="SimSun" w:hAnsi="Times New Roman" w:cs="Mangal"/>
          <w:kern w:val="3"/>
          <w:sz w:val="24"/>
          <w:szCs w:val="24"/>
          <w:lang w:eastAsia="zh-CN" w:bidi="hi-IN"/>
        </w:rPr>
      </w:pPr>
      <w:r w:rsidRPr="00161824">
        <w:rPr>
          <w:rFonts w:ascii="Times New Roman" w:eastAsia="SimSun" w:hAnsi="Times New Roman" w:cs="Mangal"/>
          <w:kern w:val="3"/>
          <w:sz w:val="24"/>
          <w:szCs w:val="24"/>
          <w:lang w:eastAsia="zh-CN" w:bidi="hi-IN"/>
        </w:rPr>
        <w:t>Конвенция ООН о правах инвалидов</w:t>
      </w:r>
    </w:p>
    <w:p w:rsidR="00161824" w:rsidRPr="00161824" w:rsidRDefault="00161824" w:rsidP="00161824">
      <w:pPr>
        <w:widowControl w:val="0"/>
        <w:numPr>
          <w:ilvl w:val="0"/>
          <w:numId w:val="136"/>
        </w:num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both"/>
        <w:textAlignment w:val="baseline"/>
        <w:rPr>
          <w:rFonts w:ascii="Times New Roman" w:eastAsia="SimSun" w:hAnsi="Times New Roman" w:cs="Mangal"/>
          <w:kern w:val="3"/>
          <w:sz w:val="24"/>
          <w:szCs w:val="24"/>
          <w:lang w:eastAsia="zh-CN" w:bidi="hi-IN"/>
        </w:rPr>
      </w:pPr>
      <w:r w:rsidRPr="00161824">
        <w:rPr>
          <w:rFonts w:ascii="Times New Roman" w:eastAsia="SimSun" w:hAnsi="Times New Roman" w:cs="Mangal"/>
          <w:kern w:val="3"/>
          <w:sz w:val="24"/>
          <w:szCs w:val="24"/>
          <w:lang w:eastAsia="zh-CN" w:bidi="hi-IN"/>
        </w:rPr>
        <w:t>Методические рекомендации Министерства труда и социальной защиты Российской Федерации от 18.09.2012 г. «Методика формирования и обновления карт доступности объектов и услуг»</w:t>
      </w:r>
    </w:p>
    <w:p w:rsidR="00161824" w:rsidRPr="00161824" w:rsidRDefault="00161824" w:rsidP="00161824">
      <w:pPr>
        <w:widowControl w:val="0"/>
        <w:numPr>
          <w:ilvl w:val="0"/>
          <w:numId w:val="136"/>
        </w:num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both"/>
        <w:textAlignment w:val="baseline"/>
        <w:rPr>
          <w:rFonts w:ascii="Times New Roman" w:eastAsia="SimSun" w:hAnsi="Times New Roman" w:cs="Mangal"/>
          <w:kern w:val="3"/>
          <w:sz w:val="24"/>
          <w:szCs w:val="24"/>
          <w:lang w:eastAsia="zh-CN" w:bidi="hi-IN"/>
        </w:rPr>
      </w:pPr>
      <w:r w:rsidRPr="00161824">
        <w:rPr>
          <w:rFonts w:ascii="Times New Roman" w:eastAsia="SimSun" w:hAnsi="Times New Roman" w:cs="Mangal"/>
          <w:kern w:val="3"/>
          <w:sz w:val="24"/>
          <w:szCs w:val="24"/>
          <w:lang w:eastAsia="zh-CN" w:bidi="hi-IN"/>
        </w:rPr>
        <w:t xml:space="preserve">Единая карта доступности по России [Электронный ресурс]. – Режим доступа:  </w:t>
      </w:r>
      <w:hyperlink r:id="rId39" w:history="1">
        <w:r w:rsidRPr="00161824">
          <w:rPr>
            <w:rFonts w:ascii="Times New Roman" w:eastAsia="SimSun" w:hAnsi="Times New Roman" w:cs="Mangal"/>
            <w:kern w:val="3"/>
            <w:sz w:val="24"/>
            <w:szCs w:val="24"/>
            <w:lang w:eastAsia="zh-CN" w:bidi="hi-IN"/>
          </w:rPr>
          <w:t>http://kartadostupnosti.ru/</w:t>
        </w:r>
      </w:hyperlink>
    </w:p>
    <w:p w:rsidR="00161824" w:rsidRPr="00161824" w:rsidRDefault="00161824" w:rsidP="00161824">
      <w:pPr>
        <w:widowControl w:val="0"/>
        <w:numPr>
          <w:ilvl w:val="0"/>
          <w:numId w:val="136"/>
        </w:num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both"/>
        <w:textAlignment w:val="baseline"/>
        <w:rPr>
          <w:rFonts w:ascii="Times New Roman" w:eastAsia="SimSun" w:hAnsi="Times New Roman" w:cs="Mangal"/>
          <w:kern w:val="3"/>
          <w:sz w:val="24"/>
          <w:szCs w:val="24"/>
          <w:lang w:eastAsia="zh-CN" w:bidi="hi-IN"/>
        </w:rPr>
      </w:pPr>
      <w:r w:rsidRPr="00161824">
        <w:rPr>
          <w:rFonts w:ascii="Times New Roman" w:eastAsia="SimSun" w:hAnsi="Times New Roman" w:cs="Mangal"/>
          <w:kern w:val="3"/>
          <w:sz w:val="24"/>
          <w:szCs w:val="24"/>
          <w:lang w:val="en-US" w:eastAsia="zh-CN" w:bidi="hi-IN"/>
        </w:rPr>
        <w:t>Wheelmap</w:t>
      </w:r>
      <w:r w:rsidRPr="00161824">
        <w:rPr>
          <w:rFonts w:ascii="Times New Roman" w:eastAsia="SimSun" w:hAnsi="Times New Roman" w:cs="Mangal"/>
          <w:kern w:val="3"/>
          <w:sz w:val="24"/>
          <w:szCs w:val="24"/>
          <w:lang w:eastAsia="zh-CN" w:bidi="hi-IN"/>
        </w:rPr>
        <w:t xml:space="preserve"> [Электронный ресурс]. – Режим доступа: </w:t>
      </w:r>
      <w:hyperlink r:id="rId40" w:anchor="/?zoom=14" w:history="1">
        <w:r w:rsidRPr="00161824">
          <w:rPr>
            <w:rFonts w:ascii="Times New Roman" w:eastAsia="SimSun" w:hAnsi="Times New Roman" w:cs="Mangal"/>
            <w:kern w:val="3"/>
            <w:sz w:val="24"/>
            <w:szCs w:val="24"/>
            <w:lang w:val="en-US" w:eastAsia="zh-CN" w:bidi="hi-IN"/>
          </w:rPr>
          <w:t>https</w:t>
        </w:r>
        <w:r w:rsidRPr="00161824">
          <w:rPr>
            <w:rFonts w:ascii="Times New Roman" w:eastAsia="SimSun" w:hAnsi="Times New Roman" w:cs="Mangal"/>
            <w:kern w:val="3"/>
            <w:sz w:val="24"/>
            <w:szCs w:val="24"/>
            <w:lang w:eastAsia="zh-CN" w:bidi="hi-IN"/>
          </w:rPr>
          <w:t>://</w:t>
        </w:r>
        <w:r w:rsidRPr="00161824">
          <w:rPr>
            <w:rFonts w:ascii="Times New Roman" w:eastAsia="SimSun" w:hAnsi="Times New Roman" w:cs="Mangal"/>
            <w:kern w:val="3"/>
            <w:sz w:val="24"/>
            <w:szCs w:val="24"/>
            <w:lang w:val="en-US" w:eastAsia="zh-CN" w:bidi="hi-IN"/>
          </w:rPr>
          <w:t>wheelmap</w:t>
        </w:r>
        <w:r w:rsidRPr="00161824">
          <w:rPr>
            <w:rFonts w:ascii="Times New Roman" w:eastAsia="SimSun" w:hAnsi="Times New Roman" w:cs="Mangal"/>
            <w:kern w:val="3"/>
            <w:sz w:val="24"/>
            <w:szCs w:val="24"/>
            <w:lang w:eastAsia="zh-CN" w:bidi="hi-IN"/>
          </w:rPr>
          <w:t>.</w:t>
        </w:r>
        <w:r w:rsidRPr="00161824">
          <w:rPr>
            <w:rFonts w:ascii="Times New Roman" w:eastAsia="SimSun" w:hAnsi="Times New Roman" w:cs="Mangal"/>
            <w:kern w:val="3"/>
            <w:sz w:val="24"/>
            <w:szCs w:val="24"/>
            <w:lang w:val="en-US" w:eastAsia="zh-CN" w:bidi="hi-IN"/>
          </w:rPr>
          <w:t>org</w:t>
        </w:r>
        <w:r w:rsidRPr="00161824">
          <w:rPr>
            <w:rFonts w:ascii="Times New Roman" w:eastAsia="SimSun" w:hAnsi="Times New Roman" w:cs="Mangal"/>
            <w:kern w:val="3"/>
            <w:sz w:val="24"/>
            <w:szCs w:val="24"/>
            <w:lang w:eastAsia="zh-CN" w:bidi="hi-IN"/>
          </w:rPr>
          <w:t>/</w:t>
        </w:r>
        <w:r w:rsidRPr="00161824">
          <w:rPr>
            <w:rFonts w:ascii="Times New Roman" w:eastAsia="SimSun" w:hAnsi="Times New Roman" w:cs="Mangal"/>
            <w:kern w:val="3"/>
            <w:sz w:val="24"/>
            <w:szCs w:val="24"/>
            <w:lang w:val="en-US" w:eastAsia="zh-CN" w:bidi="hi-IN"/>
          </w:rPr>
          <w:t>map</w:t>
        </w:r>
        <w:r w:rsidRPr="00161824">
          <w:rPr>
            <w:rFonts w:ascii="Times New Roman" w:eastAsia="SimSun" w:hAnsi="Times New Roman" w:cs="Mangal"/>
            <w:kern w:val="3"/>
            <w:sz w:val="24"/>
            <w:szCs w:val="24"/>
            <w:lang w:eastAsia="zh-CN" w:bidi="hi-IN"/>
          </w:rPr>
          <w:t>#/?</w:t>
        </w:r>
        <w:r w:rsidRPr="00161824">
          <w:rPr>
            <w:rFonts w:ascii="Times New Roman" w:eastAsia="SimSun" w:hAnsi="Times New Roman" w:cs="Mangal"/>
            <w:kern w:val="3"/>
            <w:sz w:val="24"/>
            <w:szCs w:val="24"/>
            <w:lang w:val="en-US" w:eastAsia="zh-CN" w:bidi="hi-IN"/>
          </w:rPr>
          <w:t>zoom</w:t>
        </w:r>
        <w:r w:rsidRPr="00161824">
          <w:rPr>
            <w:rFonts w:ascii="Times New Roman" w:eastAsia="SimSun" w:hAnsi="Times New Roman" w:cs="Mangal"/>
            <w:kern w:val="3"/>
            <w:sz w:val="24"/>
            <w:szCs w:val="24"/>
            <w:lang w:eastAsia="zh-CN" w:bidi="hi-IN"/>
          </w:rPr>
          <w:t>=14</w:t>
        </w:r>
      </w:hyperlink>
    </w:p>
    <w:p w:rsidR="00161824" w:rsidRPr="00161824" w:rsidRDefault="00161824" w:rsidP="00161824">
      <w:pPr>
        <w:widowControl w:val="0"/>
        <w:numPr>
          <w:ilvl w:val="0"/>
          <w:numId w:val="136"/>
        </w:num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both"/>
        <w:textAlignment w:val="baseline"/>
        <w:rPr>
          <w:rFonts w:ascii="Times New Roman" w:eastAsia="SimSun" w:hAnsi="Times New Roman" w:cs="Mangal"/>
          <w:kern w:val="3"/>
          <w:sz w:val="24"/>
          <w:szCs w:val="24"/>
          <w:lang w:eastAsia="zh-CN" w:bidi="hi-IN"/>
        </w:rPr>
      </w:pPr>
      <w:r w:rsidRPr="00161824">
        <w:rPr>
          <w:rFonts w:ascii="Times New Roman" w:eastAsia="SimSun" w:hAnsi="Times New Roman" w:cs="Mangal"/>
          <w:kern w:val="3"/>
          <w:sz w:val="24"/>
          <w:szCs w:val="24"/>
          <w:lang w:val="en-US" w:eastAsia="zh-CN" w:bidi="hi-IN"/>
        </w:rPr>
        <w:t>SageTraveling</w:t>
      </w:r>
      <w:r w:rsidRPr="00161824">
        <w:rPr>
          <w:rFonts w:ascii="Times New Roman" w:eastAsia="SimSun" w:hAnsi="Times New Roman" w:cs="Mangal"/>
          <w:kern w:val="3"/>
          <w:sz w:val="24"/>
          <w:szCs w:val="24"/>
          <w:lang w:eastAsia="zh-CN" w:bidi="hi-IN"/>
        </w:rPr>
        <w:t xml:space="preserve"> [Электронный ресурс]. –  Режим доступа:  </w:t>
      </w:r>
      <w:hyperlink r:id="rId41" w:history="1">
        <w:r w:rsidRPr="00161824">
          <w:rPr>
            <w:rFonts w:ascii="Times New Roman" w:eastAsia="SimSun" w:hAnsi="Times New Roman" w:cs="Mangal"/>
            <w:kern w:val="3"/>
            <w:sz w:val="24"/>
            <w:szCs w:val="24"/>
            <w:lang w:eastAsia="zh-CN" w:bidi="hi-IN"/>
          </w:rPr>
          <w:t>http://www.sagetraveling.com/</w:t>
        </w:r>
      </w:hyperlink>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both"/>
        <w:textAlignment w:val="baseline"/>
        <w:rPr>
          <w:rFonts w:ascii="Times New Roman" w:eastAsia="SimSun" w:hAnsi="Times New Roman" w:cs="Mangal"/>
          <w:kern w:val="3"/>
          <w:sz w:val="24"/>
          <w:szCs w:val="24"/>
          <w:lang w:eastAsia="zh-CN" w:bidi="hi-IN"/>
        </w:rPr>
      </w:pP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both"/>
        <w:textAlignment w:val="baseline"/>
        <w:rPr>
          <w:rFonts w:ascii="Times New Roman" w:eastAsia="SimSun" w:hAnsi="Times New Roman" w:cs="Mangal"/>
          <w:kern w:val="3"/>
          <w:sz w:val="24"/>
          <w:szCs w:val="24"/>
          <w:lang w:eastAsia="zh-CN" w:bidi="hi-IN"/>
        </w:rPr>
      </w:pP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both"/>
        <w:textAlignment w:val="baseline"/>
        <w:rPr>
          <w:rFonts w:ascii="Times New Roman" w:eastAsia="SimSun" w:hAnsi="Times New Roman" w:cs="Mangal"/>
          <w:kern w:val="3"/>
          <w:sz w:val="24"/>
          <w:szCs w:val="24"/>
          <w:lang w:eastAsia="zh-CN" w:bidi="hi-IN"/>
        </w:rPr>
      </w:pPr>
    </w:p>
    <w:p w:rsidR="0041409A" w:rsidRDefault="0041409A" w:rsidP="006F5AE9">
      <w:pPr>
        <w:pBdr>
          <w:top w:val="none" w:sz="0" w:space="0" w:color="auto"/>
          <w:left w:val="none" w:sz="0" w:space="0" w:color="auto"/>
          <w:bottom w:val="none" w:sz="0" w:space="0" w:color="auto"/>
          <w:right w:val="none" w:sz="0" w:space="0" w:color="auto"/>
          <w:between w:val="none" w:sz="0" w:space="0" w:color="auto"/>
        </w:pBdr>
        <w:shd w:val="clear" w:color="auto" w:fill="FFFFFF"/>
        <w:spacing w:after="240" w:line="240" w:lineRule="auto"/>
        <w:ind w:firstLine="709"/>
        <w:jc w:val="both"/>
        <w:rPr>
          <w:rFonts w:ascii="Times New Roman" w:hAnsi="Times New Roman" w:cs="Times New Roman"/>
          <w:color w:val="000000"/>
          <w:sz w:val="24"/>
          <w:szCs w:val="21"/>
          <w:shd w:val="clear" w:color="auto" w:fill="FFFFFF"/>
          <w:lang w:eastAsia="ru-RU"/>
        </w:rPr>
      </w:pPr>
    </w:p>
    <w:p w:rsidR="00161824" w:rsidRDefault="00161824" w:rsidP="006F5AE9">
      <w:pPr>
        <w:pBdr>
          <w:top w:val="none" w:sz="0" w:space="0" w:color="auto"/>
          <w:left w:val="none" w:sz="0" w:space="0" w:color="auto"/>
          <w:bottom w:val="none" w:sz="0" w:space="0" w:color="auto"/>
          <w:right w:val="none" w:sz="0" w:space="0" w:color="auto"/>
          <w:between w:val="none" w:sz="0" w:space="0" w:color="auto"/>
        </w:pBdr>
        <w:shd w:val="clear" w:color="auto" w:fill="FFFFFF"/>
        <w:spacing w:after="240" w:line="240" w:lineRule="auto"/>
        <w:ind w:firstLine="709"/>
        <w:jc w:val="both"/>
        <w:rPr>
          <w:rFonts w:ascii="Times New Roman" w:hAnsi="Times New Roman" w:cs="Times New Roman"/>
          <w:color w:val="000000"/>
          <w:sz w:val="24"/>
          <w:szCs w:val="21"/>
          <w:shd w:val="clear" w:color="auto" w:fill="FFFFFF"/>
          <w:lang w:eastAsia="ru-RU"/>
        </w:rPr>
      </w:pPr>
    </w:p>
    <w:p w:rsidR="00161824" w:rsidRPr="006F5AE9" w:rsidRDefault="00161824" w:rsidP="006F5AE9">
      <w:pPr>
        <w:pBdr>
          <w:top w:val="none" w:sz="0" w:space="0" w:color="auto"/>
          <w:left w:val="none" w:sz="0" w:space="0" w:color="auto"/>
          <w:bottom w:val="none" w:sz="0" w:space="0" w:color="auto"/>
          <w:right w:val="none" w:sz="0" w:space="0" w:color="auto"/>
          <w:between w:val="none" w:sz="0" w:space="0" w:color="auto"/>
        </w:pBdr>
        <w:shd w:val="clear" w:color="auto" w:fill="FFFFFF"/>
        <w:spacing w:after="240" w:line="240" w:lineRule="auto"/>
        <w:ind w:firstLine="709"/>
        <w:jc w:val="both"/>
        <w:rPr>
          <w:rFonts w:ascii="Times New Roman" w:hAnsi="Times New Roman" w:cs="Times New Roman"/>
          <w:color w:val="000000"/>
          <w:sz w:val="24"/>
          <w:szCs w:val="21"/>
          <w:shd w:val="clear" w:color="auto" w:fill="FFFFFF"/>
          <w:lang w:eastAsia="ru-RU"/>
        </w:rPr>
      </w:pPr>
    </w:p>
    <w:p w:rsidR="006F5AE9" w:rsidRPr="00C20E35" w:rsidRDefault="006F5AE9" w:rsidP="00C20E35">
      <w:pPr>
        <w:pStyle w:val="afb"/>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Black">
    <w:panose1 w:val="020B0A04020102020204"/>
    <w:charset w:val="CC"/>
    <w:family w:val="swiss"/>
    <w:pitch w:val="variable"/>
    <w:sig w:usb0="00000287" w:usb1="00000000" w:usb2="00000000" w:usb3="00000000" w:csb0="0000009F" w:csb1="00000000"/>
  </w:font>
  <w:font w:name="TimesNewRomanPSMT">
    <w:altName w:val="Times New Roman"/>
    <w:charset w:val="00"/>
    <w:family w:val="auto"/>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algun Gothic">
    <w:altName w:val="???¬рЎю¬У?Ўю¬в?¬рЎюҐм??Ўю¬в?¬рЎ"/>
    <w:panose1 w:val="020B0503020000020004"/>
    <w:charset w:val="81"/>
    <w:family w:val="swiss"/>
    <w:pitch w:val="variable"/>
    <w:sig w:usb0="900002AF" w:usb1="09D77CFB" w:usb2="00000012" w:usb3="00000000" w:csb0="00080001"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Liberation Sans">
    <w:altName w:val="Arial"/>
    <w:charset w:val="00"/>
    <w:family w:val="auto"/>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mn-ea">
    <w:charset w:val="00"/>
    <w:family w:val="auto"/>
    <w:pitch w:val="default"/>
  </w:font>
  <w:font w:name="inherit">
    <w:altName w:val="Times New Roman"/>
    <w:charset w:val="00"/>
    <w:family w:val="auto"/>
    <w:pitch w:val="default"/>
    <w:sig w:usb0="00000003" w:usb1="00000000" w:usb2="00000000" w:usb3="00000000" w:csb0="00000001" w:csb1="00000000"/>
  </w:font>
  <w:font w:name="AdvP4DF60E">
    <w:charset w:val="00"/>
    <w:family w:val="auto"/>
    <w:pitch w:val="default"/>
  </w:font>
  <w:font w:name="GulliverRM">
    <w:charset w:val="00"/>
    <w:family w:val="auto"/>
    <w:pitch w:val="default"/>
  </w:font>
  <w:font w:name="Times">
    <w:panose1 w:val="02020603050405020304"/>
    <w:charset w:val="00"/>
    <w:family w:val="roman"/>
    <w:pitch w:val="variable"/>
    <w:sig w:usb0="00000007" w:usb1="00000000" w:usb2="00000000" w:usb3="00000000" w:csb0="00000093"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0000012" w:usb3="00000000" w:csb0="0002009F" w:csb1="00000000"/>
  </w:font>
  <w:font w:name="TimesNewRomanPS-BoldItalicMT">
    <w:altName w:val="Times New Roman"/>
    <w:panose1 w:val="00000000000000000000"/>
    <w:charset w:val="00"/>
    <w:family w:val="roman"/>
    <w:notTrueType/>
    <w:pitch w:val="default"/>
    <w:sig w:usb0="00000003" w:usb1="00000000" w:usb2="00000000" w:usb3="00000000" w:csb0="00000001" w:csb1="00000000"/>
  </w:font>
  <w:font w:name="TimesNewRomanPS-ItalicMT">
    <w:altName w:val="Times New Roman"/>
    <w:panose1 w:val="00000000000000000000"/>
    <w:charset w:val="00"/>
    <w:family w:val="roman"/>
    <w:notTrueType/>
    <w:pitch w:val="default"/>
    <w:sig w:usb0="00000003" w:usb1="00000000" w:usb2="00000000" w:usb3="00000000" w:csb0="00000001"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6ED2" w:rsidRDefault="00306ED2">
      <w:pPr>
        <w:spacing w:after="0" w:line="240" w:lineRule="auto"/>
      </w:pPr>
      <w:r>
        <w:separator/>
      </w:r>
    </w:p>
  </w:footnote>
  <w:footnote w:type="continuationSeparator" w:id="0">
    <w:p w:rsidR="00306ED2" w:rsidRDefault="00306ED2">
      <w:pPr>
        <w:spacing w:after="0" w:line="240" w:lineRule="auto"/>
      </w:pPr>
      <w:r>
        <w:continuationSeparator/>
      </w:r>
    </w:p>
  </w:footnote>
  <w:footnote w:id="1">
    <w:p w:rsidR="00306ED2" w:rsidRDefault="00306ED2">
      <w:pPr>
        <w:pStyle w:val="FootnoteFussnotesinglespace-FNftfnFOOTNOTESFOOTNOTESftftfnfootnotetext"/>
      </w:pPr>
      <w:r>
        <w:rPr>
          <w:rStyle w:val="1-FNCiaeniinee-FNReferencianotaalpieSUPERS"/>
        </w:rPr>
        <w:footnoteRef/>
      </w:r>
      <w:r>
        <w:rPr>
          <w:sz w:val="22"/>
          <w:szCs w:val="22"/>
        </w:rPr>
        <w:t>Работа выполнена при финансовой поддержке РФФИ в рамках научного проекта № 18-310-00063.</w:t>
      </w:r>
    </w:p>
  </w:footnote>
  <w:footnote w:id="2">
    <w:p w:rsidR="00306ED2" w:rsidRDefault="00306ED2" w:rsidP="00A17BCD">
      <w:pPr>
        <w:pStyle w:val="aff2"/>
        <w:spacing w:after="0" w:line="240" w:lineRule="auto"/>
        <w:jc w:val="both"/>
      </w:pPr>
      <w:r w:rsidRPr="00090988">
        <w:rPr>
          <w:rStyle w:val="aff4"/>
          <w:rFonts w:eastAsia="Arial"/>
        </w:rPr>
        <w:footnoteRef/>
      </w:r>
      <w:r w:rsidRPr="00090988">
        <w:rPr>
          <w:rFonts w:ascii="Times New Roman" w:hAnsi="Times New Roman"/>
        </w:rPr>
        <w:t xml:space="preserve"> Территория, которая разделилась на два отельных государства – Республика Корея и Корейская Народная Демократическая Республика.</w:t>
      </w:r>
    </w:p>
  </w:footnote>
  <w:footnote w:id="3">
    <w:p w:rsidR="00306ED2" w:rsidRPr="00090988" w:rsidRDefault="00306ED2" w:rsidP="00A17BCD">
      <w:pPr>
        <w:pStyle w:val="aff2"/>
        <w:spacing w:after="0" w:line="240" w:lineRule="auto"/>
        <w:jc w:val="both"/>
        <w:rPr>
          <w:rFonts w:ascii="Times New Roman" w:hAnsi="Times New Roman"/>
        </w:rPr>
      </w:pPr>
      <w:r w:rsidRPr="00090988">
        <w:rPr>
          <w:rStyle w:val="aff4"/>
          <w:rFonts w:eastAsia="Arial"/>
        </w:rPr>
        <w:footnoteRef/>
      </w:r>
      <w:r w:rsidRPr="00090988">
        <w:rPr>
          <w:rFonts w:ascii="Times New Roman" w:hAnsi="Times New Roman"/>
        </w:rPr>
        <w:t xml:space="preserve"> Квельпарт – раннее название, на данный момент остров называется Чеджудо и принадлежит Республике Корея</w:t>
      </w:r>
    </w:p>
  </w:footnote>
  <w:footnote w:id="4">
    <w:p w:rsidR="00306ED2" w:rsidRDefault="00306ED2" w:rsidP="002B7398">
      <w:pPr>
        <w:pStyle w:val="aff2"/>
      </w:pPr>
      <w:r w:rsidRPr="0084092F">
        <w:rPr>
          <w:rStyle w:val="aff4"/>
          <w:rFonts w:eastAsia="Arial"/>
          <w:sz w:val="24"/>
          <w:szCs w:val="24"/>
        </w:rPr>
        <w:footnoteRef/>
      </w:r>
      <w:r w:rsidRPr="0084092F">
        <w:rPr>
          <w:rFonts w:ascii="Times New Roman" w:hAnsi="Times New Roman"/>
          <w:sz w:val="24"/>
          <w:szCs w:val="24"/>
        </w:rPr>
        <w:t xml:space="preserve"> Всемирная книга фактов ЦРУ (CIA The World Factbook) по состояния на 2016 год [Электронный ресурс] // Центральное разведывательное управление США (ЦРУ). – Режим доступа: https://www.cia.gov/library/publications/the-world-factbook</w:t>
      </w:r>
    </w:p>
  </w:footnote>
  <w:footnote w:id="5">
    <w:p w:rsidR="00306ED2" w:rsidRDefault="00306ED2" w:rsidP="002B7398">
      <w:pPr>
        <w:pStyle w:val="aff2"/>
      </w:pPr>
      <w:r w:rsidRPr="00BB38A5">
        <w:rPr>
          <w:rStyle w:val="aff4"/>
          <w:rFonts w:eastAsia="Arial"/>
          <w:sz w:val="24"/>
          <w:szCs w:val="24"/>
        </w:rPr>
        <w:footnoteRef/>
      </w:r>
      <w:r w:rsidRPr="00BB38A5">
        <w:rPr>
          <w:rFonts w:ascii="Times New Roman" w:hAnsi="Times New Roman"/>
          <w:sz w:val="24"/>
          <w:szCs w:val="24"/>
        </w:rPr>
        <w:t xml:space="preserve"> О некоторых особенностях иммиграционной политики и практики Республики Корея [Электронный ресурс] / Посольство Российской Федерации в Республике Корея // Полезная информация для граждан России, временно и постоянно находящихся в Корее. – Режим доступа: https://korea-seoul.mid.ru/poleznaa-informacia-dla-grazdan-rossii-vremenno-i-postoanno-nahodasihsa-v-koree/-/asset_publisher/n4bNJYT9Ckq1/content/o-nekotoryh-osobennostah-immigracionnoj-politiki-i-praktiki-respubliki-korea?inheritRedirect=false</w:t>
      </w:r>
    </w:p>
  </w:footnote>
  <w:footnote w:id="6">
    <w:p w:rsidR="00306ED2" w:rsidRDefault="00306ED2" w:rsidP="002B7398">
      <w:pPr>
        <w:pStyle w:val="aff2"/>
      </w:pPr>
      <w:r w:rsidRPr="00F45A4E">
        <w:rPr>
          <w:rStyle w:val="aff4"/>
          <w:rFonts w:eastAsia="Arial"/>
          <w:sz w:val="24"/>
          <w:szCs w:val="24"/>
        </w:rPr>
        <w:footnoteRef/>
      </w:r>
      <w:r w:rsidRPr="00F45A4E">
        <w:rPr>
          <w:rFonts w:ascii="Times New Roman" w:hAnsi="Times New Roman"/>
          <w:sz w:val="24"/>
          <w:szCs w:val="24"/>
        </w:rPr>
        <w:t xml:space="preserve"> Визовый портал Южной Кореи [Электронный ресурс] // Режим доступа: https://www.visa.go.kr/openPage.do?MENU_ID=10102</w:t>
      </w:r>
    </w:p>
  </w:footnote>
  <w:footnote w:id="7">
    <w:p w:rsidR="00306ED2" w:rsidRDefault="00306ED2" w:rsidP="002B7398">
      <w:pPr>
        <w:pStyle w:val="aff2"/>
      </w:pPr>
      <w:r w:rsidRPr="00F45A4E">
        <w:rPr>
          <w:rStyle w:val="aff4"/>
          <w:rFonts w:eastAsia="Arial"/>
          <w:sz w:val="24"/>
          <w:szCs w:val="24"/>
        </w:rPr>
        <w:footnoteRef/>
      </w:r>
      <w:r w:rsidRPr="00F45A4E">
        <w:rPr>
          <w:rFonts w:ascii="Times New Roman" w:hAnsi="Times New Roman"/>
          <w:sz w:val="24"/>
          <w:szCs w:val="24"/>
        </w:rPr>
        <w:t xml:space="preserve"> Кузнецова Н.О. Некоторые аспекты трудовой миграции в Республике Корея [Электронный ресурс] / Н.О. Кузнецова // Режим доступа: https://ipi1.ru/images/PDF/2016/45/nekotorye-aspekty-trudovoj-migratsii.pdf</w:t>
      </w:r>
    </w:p>
  </w:footnote>
  <w:footnote w:id="8">
    <w:p w:rsidR="00306ED2" w:rsidRDefault="00306ED2" w:rsidP="002B7398">
      <w:pPr>
        <w:pStyle w:val="aff2"/>
      </w:pPr>
      <w:r w:rsidRPr="00F45A4E">
        <w:rPr>
          <w:rStyle w:val="aff4"/>
          <w:rFonts w:eastAsia="Arial"/>
          <w:sz w:val="24"/>
          <w:szCs w:val="24"/>
        </w:rPr>
        <w:footnoteRef/>
      </w:r>
      <w:r w:rsidRPr="00F45A4E">
        <w:rPr>
          <w:rFonts w:ascii="Times New Roman" w:hAnsi="Times New Roman"/>
          <w:sz w:val="24"/>
          <w:szCs w:val="24"/>
        </w:rPr>
        <w:t xml:space="preserve"> «Об иммиграционном контроле и признании беженцев» Закон Японии, принятый Приказом Кабинета министров №319 от 4.10.1051 г. (в ред. от </w:t>
      </w:r>
      <w:smartTag w:uri="urn:schemas-microsoft-com:office:smarttags" w:element="metricconverter">
        <w:smartTagPr>
          <w:attr w:name="ProductID" w:val="2014 г"/>
        </w:smartTagPr>
        <w:r w:rsidRPr="00F45A4E">
          <w:rPr>
            <w:rFonts w:ascii="Times New Roman" w:hAnsi="Times New Roman"/>
            <w:sz w:val="24"/>
            <w:szCs w:val="24"/>
          </w:rPr>
          <w:t>2014 г</w:t>
        </w:r>
      </w:smartTag>
      <w:r w:rsidRPr="00F45A4E">
        <w:rPr>
          <w:rFonts w:ascii="Times New Roman" w:hAnsi="Times New Roman"/>
          <w:sz w:val="24"/>
          <w:szCs w:val="24"/>
        </w:rPr>
        <w:t>.) [Электронный ресурс] // Japanese Law Translation. – Режим доступа: http://www.japaneselawtranslation.go.jp/law/detail/?id=3039&amp;vm=&amp;re=02</w:t>
      </w:r>
    </w:p>
  </w:footnote>
  <w:footnote w:id="9">
    <w:p w:rsidR="00306ED2" w:rsidRDefault="00306ED2" w:rsidP="002B7398">
      <w:pPr>
        <w:pStyle w:val="aff2"/>
      </w:pPr>
      <w:r w:rsidRPr="00D90E08">
        <w:rPr>
          <w:rStyle w:val="aff4"/>
          <w:rFonts w:eastAsia="Arial"/>
          <w:sz w:val="24"/>
          <w:szCs w:val="24"/>
        </w:rPr>
        <w:footnoteRef/>
      </w:r>
      <w:r w:rsidRPr="00D90E08">
        <w:rPr>
          <w:rFonts w:ascii="Times New Roman" w:hAnsi="Times New Roman"/>
          <w:sz w:val="24"/>
          <w:szCs w:val="24"/>
        </w:rPr>
        <w:t xml:space="preserve"> «Об управлении въездом и выездом» Закон КНР, вступивший в силу 01.07.2013 г. (в ред. от </w:t>
      </w:r>
      <w:smartTag w:uri="urn:schemas-microsoft-com:office:smarttags" w:element="metricconverter">
        <w:smartTagPr>
          <w:attr w:name="ProductID" w:val="2013 г"/>
        </w:smartTagPr>
        <w:r w:rsidRPr="00D90E08">
          <w:rPr>
            <w:rFonts w:ascii="Times New Roman" w:hAnsi="Times New Roman"/>
            <w:sz w:val="24"/>
            <w:szCs w:val="24"/>
          </w:rPr>
          <w:t>2013 г</w:t>
        </w:r>
      </w:smartTag>
      <w:r w:rsidRPr="00D90E08">
        <w:rPr>
          <w:rFonts w:ascii="Times New Roman" w:hAnsi="Times New Roman"/>
          <w:sz w:val="24"/>
          <w:szCs w:val="24"/>
        </w:rPr>
        <w:t xml:space="preserve">.) [Электронный ресурс] // Законодательство Китая на русском языке </w:t>
      </w:r>
      <w:r w:rsidRPr="00D90E08">
        <w:rPr>
          <w:rFonts w:ascii="Times New Roman" w:hAnsi="Times New Roman"/>
          <w:sz w:val="24"/>
          <w:szCs w:val="24"/>
          <w:lang w:val="en-US"/>
        </w:rPr>
        <w:t>Chinalaw</w:t>
      </w:r>
      <w:r w:rsidRPr="00D90E08">
        <w:rPr>
          <w:rFonts w:ascii="Times New Roman" w:hAnsi="Times New Roman"/>
          <w:sz w:val="24"/>
          <w:szCs w:val="24"/>
        </w:rPr>
        <w:t>.</w:t>
      </w:r>
      <w:r w:rsidRPr="00D90E08">
        <w:rPr>
          <w:rFonts w:ascii="Times New Roman" w:hAnsi="Times New Roman"/>
          <w:sz w:val="24"/>
          <w:szCs w:val="24"/>
          <w:lang w:val="en-US"/>
        </w:rPr>
        <w:t>center</w:t>
      </w:r>
      <w:r w:rsidRPr="00D90E08">
        <w:rPr>
          <w:rFonts w:ascii="Times New Roman" w:hAnsi="Times New Roman"/>
          <w:sz w:val="24"/>
          <w:szCs w:val="24"/>
        </w:rPr>
        <w:t>. – Режим доступа: https://chinalaw.center/administrative_law/china_exit-entry_regulation_law_2012_russian/</w:t>
      </w:r>
    </w:p>
  </w:footnote>
  <w:footnote w:id="10">
    <w:p w:rsidR="00306ED2" w:rsidRDefault="00306ED2" w:rsidP="002B7398">
      <w:pPr>
        <w:pStyle w:val="aff2"/>
      </w:pPr>
      <w:r w:rsidRPr="00D90E08">
        <w:rPr>
          <w:rStyle w:val="aff4"/>
          <w:rFonts w:eastAsia="Arial"/>
          <w:sz w:val="24"/>
          <w:szCs w:val="24"/>
        </w:rPr>
        <w:footnoteRef/>
      </w:r>
      <w:r w:rsidRPr="00D90E08">
        <w:rPr>
          <w:rFonts w:ascii="Times New Roman" w:hAnsi="Times New Roman"/>
          <w:sz w:val="24"/>
          <w:szCs w:val="24"/>
        </w:rPr>
        <w:t xml:space="preserve"> Нормы и правила регулирования въезда и выезда иностранных граждан за границу КНР</w:t>
      </w:r>
      <w:r w:rsidRPr="00F45A4E">
        <w:rPr>
          <w:rFonts w:ascii="Times New Roman" w:hAnsi="Times New Roman"/>
          <w:sz w:val="24"/>
          <w:szCs w:val="24"/>
        </w:rPr>
        <w:t xml:space="preserve"> [Электронный ресурс] // Консалтинговая группа «Окно в Китай». – Режим доступа: http://chinalawinfo.ru/administrative_law/foreigners_project/ch2</w:t>
      </w:r>
    </w:p>
  </w:footnote>
  <w:footnote w:id="11">
    <w:p w:rsidR="00306ED2" w:rsidRDefault="00306ED2" w:rsidP="002B7398">
      <w:pPr>
        <w:pStyle w:val="aff2"/>
      </w:pPr>
      <w:r w:rsidRPr="00F45A4E">
        <w:rPr>
          <w:rStyle w:val="aff4"/>
          <w:rFonts w:eastAsia="Arial"/>
          <w:sz w:val="24"/>
          <w:szCs w:val="24"/>
        </w:rPr>
        <w:footnoteRef/>
      </w:r>
      <w:r w:rsidRPr="00F45A4E">
        <w:rPr>
          <w:rFonts w:ascii="Times New Roman" w:hAnsi="Times New Roman"/>
          <w:sz w:val="24"/>
          <w:szCs w:val="24"/>
        </w:rPr>
        <w:t xml:space="preserve"> Об утверждении Положения об установлении формы визы, порядка и условий ее оформления и выдачи, продления срока ее действия, восстановления ее в случае утраты, а также порядка аннулирования визы: Постановление Правительства РФ от 09.06.2003 N 335 (ред. от 20.11.2017) [Электронный ресурс] // СПС «КонсультантПлюс». – Режим доступа: http://www.consultant.ru/document/cons_doc_LAW_42658/f3eb9a39d256788dbc26954ca3b9f451d6714e10/</w:t>
      </w:r>
    </w:p>
  </w:footnote>
  <w:footnote w:id="12">
    <w:p w:rsidR="00306ED2" w:rsidRDefault="00306ED2" w:rsidP="002B7398">
      <w:pPr>
        <w:pStyle w:val="aff2"/>
      </w:pPr>
      <w:r w:rsidRPr="00F45A4E">
        <w:rPr>
          <w:rStyle w:val="aff4"/>
          <w:rFonts w:eastAsia="Arial"/>
          <w:sz w:val="24"/>
          <w:szCs w:val="24"/>
        </w:rPr>
        <w:footnoteRef/>
      </w:r>
      <w:r w:rsidRPr="00F45A4E">
        <w:rPr>
          <w:rFonts w:ascii="Times New Roman" w:hAnsi="Times New Roman"/>
          <w:sz w:val="24"/>
          <w:szCs w:val="24"/>
        </w:rPr>
        <w:t xml:space="preserve"> Об утверждении Положения об установлении формы визы, порядка и условий ее оформления и выдачи, продления срока ее действия, восстановления ее в случае утраты, а также порядка аннулирования визы: Постановление Правительства РФ от 09.06.2003 N 335 (ред. от 20.11.2017) [Электронный ресурс] // СПС «КонсультантПлюс». – Режим доступа: http://www.consultant.ru/document/cons_doc_LAW_42658/f3eb9a39d256788dbc26954ca3b9f451d6714e10/</w:t>
      </w:r>
    </w:p>
  </w:footnote>
  <w:footnote w:id="13">
    <w:p w:rsidR="00306ED2" w:rsidRDefault="00306ED2" w:rsidP="002B7398">
      <w:pPr>
        <w:pStyle w:val="aff2"/>
      </w:pPr>
      <w:r w:rsidRPr="00F45A4E">
        <w:rPr>
          <w:rStyle w:val="aff4"/>
          <w:rFonts w:eastAsia="Arial"/>
          <w:sz w:val="24"/>
          <w:szCs w:val="24"/>
        </w:rPr>
        <w:footnoteRef/>
      </w:r>
      <w:r w:rsidRPr="00F45A4E">
        <w:rPr>
          <w:rFonts w:ascii="Times New Roman" w:hAnsi="Times New Roman"/>
          <w:sz w:val="24"/>
          <w:szCs w:val="24"/>
        </w:rPr>
        <w:t xml:space="preserve"> О правовом положении иностранных граждан в Российской Федерации: Федеральный закон от 25.07.2002 №115-ФЗ (ред. от 25.07.2002) [Электронный ресурс] // СПС «КонсультантПлюс». – Режим доступа: http://www.consultant.ru/document/cons_doc_LAW_37868/</w:t>
      </w:r>
    </w:p>
  </w:footnote>
  <w:footnote w:id="14">
    <w:p w:rsidR="00306ED2" w:rsidRDefault="00306ED2" w:rsidP="002B7398">
      <w:pPr>
        <w:pStyle w:val="aff2"/>
      </w:pPr>
      <w:r w:rsidRPr="00F45A4E">
        <w:rPr>
          <w:rStyle w:val="aff4"/>
          <w:rFonts w:eastAsia="Arial"/>
          <w:sz w:val="24"/>
          <w:szCs w:val="24"/>
        </w:rPr>
        <w:footnoteRef/>
      </w:r>
      <w:r w:rsidRPr="00F45A4E">
        <w:rPr>
          <w:rFonts w:ascii="Times New Roman" w:hAnsi="Times New Roman"/>
          <w:sz w:val="24"/>
          <w:szCs w:val="24"/>
        </w:rPr>
        <w:t xml:space="preserve"> О правовом положении иностранных граждан в Российской Федерации: Федеральный закон от 25.07.2002 №115-ФЗ (ред. от 25.07.2002) [Электронный ресурс] // СПС «КонсультантПлюс». – Режим доступа: http://www.consultant.ru/document/cons_doc_LAW_37868/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15:restartNumberingAfterBreak="0">
    <w:nsid w:val="00000002"/>
    <w:multiLevelType w:val="multilevel"/>
    <w:tmpl w:val="00000002"/>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02FF1A49"/>
    <w:multiLevelType w:val="hybridMultilevel"/>
    <w:tmpl w:val="1736D3D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3627909"/>
    <w:multiLevelType w:val="hybridMultilevel"/>
    <w:tmpl w:val="1D9EAF1A"/>
    <w:lvl w:ilvl="0" w:tplc="03E6CB00">
      <w:start w:val="1"/>
      <w:numFmt w:val="bullet"/>
      <w:lvlText w:val=""/>
      <w:lvlJc w:val="left"/>
      <w:pPr>
        <w:ind w:left="720" w:hanging="358"/>
      </w:pPr>
      <w:rPr>
        <w:rFonts w:ascii="Symbol" w:hAnsi="Symbol" w:hint="default"/>
      </w:rPr>
    </w:lvl>
    <w:lvl w:ilvl="1" w:tplc="4934A97C">
      <w:start w:val="1"/>
      <w:numFmt w:val="bullet"/>
      <w:lvlText w:val="o"/>
      <w:lvlJc w:val="left"/>
      <w:pPr>
        <w:ind w:left="1440" w:hanging="358"/>
      </w:pPr>
      <w:rPr>
        <w:rFonts w:ascii="Courier New" w:hAnsi="Courier New" w:hint="default"/>
      </w:rPr>
    </w:lvl>
    <w:lvl w:ilvl="2" w:tplc="9E968E04">
      <w:start w:val="1"/>
      <w:numFmt w:val="bullet"/>
      <w:lvlText w:val=""/>
      <w:lvlJc w:val="left"/>
      <w:pPr>
        <w:ind w:left="2160" w:hanging="358"/>
      </w:pPr>
      <w:rPr>
        <w:rFonts w:ascii="Wingdings" w:hAnsi="Wingdings" w:hint="default"/>
      </w:rPr>
    </w:lvl>
    <w:lvl w:ilvl="3" w:tplc="B2C4C0AE">
      <w:start w:val="1"/>
      <w:numFmt w:val="bullet"/>
      <w:lvlText w:val=""/>
      <w:lvlJc w:val="left"/>
      <w:pPr>
        <w:ind w:left="2880" w:hanging="358"/>
      </w:pPr>
      <w:rPr>
        <w:rFonts w:ascii="Symbol" w:hAnsi="Symbol" w:hint="default"/>
      </w:rPr>
    </w:lvl>
    <w:lvl w:ilvl="4" w:tplc="64A8133C">
      <w:start w:val="1"/>
      <w:numFmt w:val="bullet"/>
      <w:lvlText w:val="o"/>
      <w:lvlJc w:val="left"/>
      <w:pPr>
        <w:ind w:left="3600" w:hanging="358"/>
      </w:pPr>
      <w:rPr>
        <w:rFonts w:ascii="Courier New" w:hAnsi="Courier New" w:hint="default"/>
      </w:rPr>
    </w:lvl>
    <w:lvl w:ilvl="5" w:tplc="3DB4A112">
      <w:start w:val="1"/>
      <w:numFmt w:val="bullet"/>
      <w:lvlText w:val=""/>
      <w:lvlJc w:val="left"/>
      <w:pPr>
        <w:ind w:left="4320" w:hanging="358"/>
      </w:pPr>
      <w:rPr>
        <w:rFonts w:ascii="Wingdings" w:hAnsi="Wingdings" w:hint="default"/>
      </w:rPr>
    </w:lvl>
    <w:lvl w:ilvl="6" w:tplc="991C76C0">
      <w:start w:val="1"/>
      <w:numFmt w:val="bullet"/>
      <w:lvlText w:val=""/>
      <w:lvlJc w:val="left"/>
      <w:pPr>
        <w:ind w:left="5040" w:hanging="358"/>
      </w:pPr>
      <w:rPr>
        <w:rFonts w:ascii="Symbol" w:hAnsi="Symbol" w:hint="default"/>
      </w:rPr>
    </w:lvl>
    <w:lvl w:ilvl="7" w:tplc="1528E154">
      <w:start w:val="1"/>
      <w:numFmt w:val="bullet"/>
      <w:lvlText w:val="o"/>
      <w:lvlJc w:val="left"/>
      <w:pPr>
        <w:ind w:left="5760" w:hanging="358"/>
      </w:pPr>
      <w:rPr>
        <w:rFonts w:ascii="Courier New" w:hAnsi="Courier New" w:hint="default"/>
      </w:rPr>
    </w:lvl>
    <w:lvl w:ilvl="8" w:tplc="152EF7E6">
      <w:start w:val="1"/>
      <w:numFmt w:val="bullet"/>
      <w:lvlText w:val=""/>
      <w:lvlJc w:val="left"/>
      <w:pPr>
        <w:ind w:left="6480" w:hanging="358"/>
      </w:pPr>
      <w:rPr>
        <w:rFonts w:ascii="Wingdings" w:hAnsi="Wingdings" w:hint="default"/>
      </w:rPr>
    </w:lvl>
  </w:abstractNum>
  <w:abstractNum w:abstractNumId="4" w15:restartNumberingAfterBreak="0">
    <w:nsid w:val="0370055B"/>
    <w:multiLevelType w:val="hybridMultilevel"/>
    <w:tmpl w:val="2A683AA2"/>
    <w:lvl w:ilvl="0" w:tplc="E95ABDAC">
      <w:start w:val="1"/>
      <w:numFmt w:val="decimal"/>
      <w:lvlText w:val="%1."/>
      <w:lvlJc w:val="left"/>
      <w:pPr>
        <w:ind w:left="720" w:hanging="358"/>
      </w:pPr>
      <w:rPr>
        <w:rFonts w:hint="default"/>
      </w:rPr>
    </w:lvl>
    <w:lvl w:ilvl="1" w:tplc="285489C8">
      <w:start w:val="1"/>
      <w:numFmt w:val="lowerLetter"/>
      <w:lvlText w:val="%2."/>
      <w:lvlJc w:val="left"/>
      <w:pPr>
        <w:ind w:left="1440" w:hanging="358"/>
      </w:pPr>
    </w:lvl>
    <w:lvl w:ilvl="2" w:tplc="5E068B18">
      <w:start w:val="1"/>
      <w:numFmt w:val="lowerRoman"/>
      <w:lvlText w:val="%3."/>
      <w:lvlJc w:val="right"/>
      <w:pPr>
        <w:ind w:left="2160" w:hanging="178"/>
      </w:pPr>
    </w:lvl>
    <w:lvl w:ilvl="3" w:tplc="ACAE17FA">
      <w:start w:val="1"/>
      <w:numFmt w:val="decimal"/>
      <w:lvlText w:val="%4."/>
      <w:lvlJc w:val="left"/>
      <w:pPr>
        <w:ind w:left="2880" w:hanging="358"/>
      </w:pPr>
    </w:lvl>
    <w:lvl w:ilvl="4" w:tplc="3F02C51E">
      <w:start w:val="1"/>
      <w:numFmt w:val="lowerLetter"/>
      <w:lvlText w:val="%5."/>
      <w:lvlJc w:val="left"/>
      <w:pPr>
        <w:ind w:left="3600" w:hanging="358"/>
      </w:pPr>
    </w:lvl>
    <w:lvl w:ilvl="5" w:tplc="A412C234">
      <w:start w:val="1"/>
      <w:numFmt w:val="lowerRoman"/>
      <w:lvlText w:val="%6."/>
      <w:lvlJc w:val="right"/>
      <w:pPr>
        <w:ind w:left="4320" w:hanging="178"/>
      </w:pPr>
    </w:lvl>
    <w:lvl w:ilvl="6" w:tplc="BB4E245C">
      <w:start w:val="1"/>
      <w:numFmt w:val="decimal"/>
      <w:lvlText w:val="%7."/>
      <w:lvlJc w:val="left"/>
      <w:pPr>
        <w:ind w:left="5040" w:hanging="358"/>
      </w:pPr>
    </w:lvl>
    <w:lvl w:ilvl="7" w:tplc="48C4D332">
      <w:start w:val="1"/>
      <w:numFmt w:val="lowerLetter"/>
      <w:lvlText w:val="%8."/>
      <w:lvlJc w:val="left"/>
      <w:pPr>
        <w:ind w:left="5760" w:hanging="358"/>
      </w:pPr>
    </w:lvl>
    <w:lvl w:ilvl="8" w:tplc="CB702EFC">
      <w:start w:val="1"/>
      <w:numFmt w:val="lowerRoman"/>
      <w:lvlText w:val="%9."/>
      <w:lvlJc w:val="right"/>
      <w:pPr>
        <w:ind w:left="6480" w:hanging="178"/>
      </w:pPr>
    </w:lvl>
  </w:abstractNum>
  <w:abstractNum w:abstractNumId="5" w15:restartNumberingAfterBreak="0">
    <w:nsid w:val="038A6FB6"/>
    <w:multiLevelType w:val="hybridMultilevel"/>
    <w:tmpl w:val="DFC88F4E"/>
    <w:lvl w:ilvl="0" w:tplc="27682068">
      <w:start w:val="1"/>
      <w:numFmt w:val="bullet"/>
      <w:suff w:val="space"/>
      <w:lvlText w:val=""/>
      <w:lvlJc w:val="left"/>
      <w:pPr>
        <w:ind w:left="1069" w:hanging="359"/>
      </w:pPr>
      <w:rPr>
        <w:rFonts w:ascii="Symbol" w:eastAsia="SimSun" w:hAnsi="Symbol"/>
      </w:rPr>
    </w:lvl>
    <w:lvl w:ilvl="1" w:tplc="91E4582A">
      <w:start w:val="1"/>
      <w:numFmt w:val="bullet"/>
      <w:lvlText w:val="o"/>
      <w:lvlJc w:val="left"/>
      <w:pPr>
        <w:ind w:left="2149" w:hanging="359"/>
      </w:pPr>
      <w:rPr>
        <w:rFonts w:ascii="Courier New" w:eastAsia="SimSun" w:hAnsi="Courier New"/>
      </w:rPr>
    </w:lvl>
    <w:lvl w:ilvl="2" w:tplc="C4348CF4">
      <w:start w:val="1"/>
      <w:numFmt w:val="bullet"/>
      <w:lvlText w:val=""/>
      <w:lvlJc w:val="left"/>
      <w:pPr>
        <w:ind w:left="2869" w:hanging="359"/>
      </w:pPr>
      <w:rPr>
        <w:rFonts w:ascii="Wingdings" w:eastAsia="SimSun" w:hAnsi="Wingdings"/>
      </w:rPr>
    </w:lvl>
    <w:lvl w:ilvl="3" w:tplc="0A3ABD3A">
      <w:start w:val="1"/>
      <w:numFmt w:val="bullet"/>
      <w:lvlText w:val=""/>
      <w:lvlJc w:val="left"/>
      <w:pPr>
        <w:ind w:left="3589" w:hanging="359"/>
      </w:pPr>
      <w:rPr>
        <w:rFonts w:ascii="Symbol" w:eastAsia="SimSun" w:hAnsi="Symbol"/>
      </w:rPr>
    </w:lvl>
    <w:lvl w:ilvl="4" w:tplc="FC2CA6EA">
      <w:start w:val="1"/>
      <w:numFmt w:val="bullet"/>
      <w:lvlText w:val="o"/>
      <w:lvlJc w:val="left"/>
      <w:pPr>
        <w:ind w:left="4309" w:hanging="359"/>
      </w:pPr>
      <w:rPr>
        <w:rFonts w:ascii="Courier New" w:eastAsia="SimSun" w:hAnsi="Courier New"/>
      </w:rPr>
    </w:lvl>
    <w:lvl w:ilvl="5" w:tplc="DFECFFB2">
      <w:start w:val="1"/>
      <w:numFmt w:val="bullet"/>
      <w:lvlText w:val=""/>
      <w:lvlJc w:val="left"/>
      <w:pPr>
        <w:ind w:left="5029" w:hanging="359"/>
      </w:pPr>
      <w:rPr>
        <w:rFonts w:ascii="Wingdings" w:eastAsia="SimSun" w:hAnsi="Wingdings"/>
      </w:rPr>
    </w:lvl>
    <w:lvl w:ilvl="6" w:tplc="DBE688B0">
      <w:start w:val="1"/>
      <w:numFmt w:val="bullet"/>
      <w:lvlText w:val=""/>
      <w:lvlJc w:val="left"/>
      <w:pPr>
        <w:ind w:left="5749" w:hanging="359"/>
      </w:pPr>
      <w:rPr>
        <w:rFonts w:ascii="Symbol" w:eastAsia="SimSun" w:hAnsi="Symbol"/>
      </w:rPr>
    </w:lvl>
    <w:lvl w:ilvl="7" w:tplc="2892C706">
      <w:start w:val="1"/>
      <w:numFmt w:val="bullet"/>
      <w:lvlText w:val="o"/>
      <w:lvlJc w:val="left"/>
      <w:pPr>
        <w:ind w:left="6469" w:hanging="359"/>
      </w:pPr>
      <w:rPr>
        <w:rFonts w:ascii="Courier New" w:eastAsia="SimSun" w:hAnsi="Courier New"/>
      </w:rPr>
    </w:lvl>
    <w:lvl w:ilvl="8" w:tplc="BF48A0CA">
      <w:start w:val="1"/>
      <w:numFmt w:val="bullet"/>
      <w:lvlText w:val=""/>
      <w:lvlJc w:val="left"/>
      <w:pPr>
        <w:ind w:left="7189" w:hanging="359"/>
      </w:pPr>
      <w:rPr>
        <w:rFonts w:ascii="Wingdings" w:eastAsia="SimSun" w:hAnsi="Wingdings"/>
      </w:rPr>
    </w:lvl>
  </w:abstractNum>
  <w:abstractNum w:abstractNumId="6" w15:restartNumberingAfterBreak="0">
    <w:nsid w:val="060B10F7"/>
    <w:multiLevelType w:val="hybridMultilevel"/>
    <w:tmpl w:val="FCAC0300"/>
    <w:lvl w:ilvl="0" w:tplc="52866ABE">
      <w:start w:val="1"/>
      <w:numFmt w:val="decimal"/>
      <w:lvlText w:val="%1."/>
      <w:lvlJc w:val="left"/>
      <w:pPr>
        <w:ind w:left="1069" w:hanging="358"/>
      </w:pPr>
      <w:rPr>
        <w:rFonts w:hint="default"/>
      </w:rPr>
    </w:lvl>
    <w:lvl w:ilvl="1" w:tplc="5E42846E">
      <w:start w:val="1"/>
      <w:numFmt w:val="lowerLetter"/>
      <w:lvlText w:val="%2."/>
      <w:lvlJc w:val="left"/>
      <w:pPr>
        <w:ind w:left="1789" w:hanging="358"/>
      </w:pPr>
    </w:lvl>
    <w:lvl w:ilvl="2" w:tplc="E4681F9A">
      <w:start w:val="1"/>
      <w:numFmt w:val="lowerRoman"/>
      <w:lvlText w:val="%3."/>
      <w:lvlJc w:val="right"/>
      <w:pPr>
        <w:ind w:left="2509" w:hanging="178"/>
      </w:pPr>
    </w:lvl>
    <w:lvl w:ilvl="3" w:tplc="A8A43512">
      <w:start w:val="1"/>
      <w:numFmt w:val="decimal"/>
      <w:lvlText w:val="%4."/>
      <w:lvlJc w:val="left"/>
      <w:pPr>
        <w:ind w:left="3229" w:hanging="358"/>
      </w:pPr>
    </w:lvl>
    <w:lvl w:ilvl="4" w:tplc="82BE3F20">
      <w:start w:val="1"/>
      <w:numFmt w:val="lowerLetter"/>
      <w:lvlText w:val="%5."/>
      <w:lvlJc w:val="left"/>
      <w:pPr>
        <w:ind w:left="3949" w:hanging="358"/>
      </w:pPr>
    </w:lvl>
    <w:lvl w:ilvl="5" w:tplc="076046A6">
      <w:start w:val="1"/>
      <w:numFmt w:val="lowerRoman"/>
      <w:lvlText w:val="%6."/>
      <w:lvlJc w:val="right"/>
      <w:pPr>
        <w:ind w:left="4669" w:hanging="178"/>
      </w:pPr>
    </w:lvl>
    <w:lvl w:ilvl="6" w:tplc="AE1CDE22">
      <w:start w:val="1"/>
      <w:numFmt w:val="decimal"/>
      <w:lvlText w:val="%7."/>
      <w:lvlJc w:val="left"/>
      <w:pPr>
        <w:ind w:left="5389" w:hanging="358"/>
      </w:pPr>
    </w:lvl>
    <w:lvl w:ilvl="7" w:tplc="4606A672">
      <w:start w:val="1"/>
      <w:numFmt w:val="lowerLetter"/>
      <w:lvlText w:val="%8."/>
      <w:lvlJc w:val="left"/>
      <w:pPr>
        <w:ind w:left="6109" w:hanging="358"/>
      </w:pPr>
    </w:lvl>
    <w:lvl w:ilvl="8" w:tplc="DBACF7DC">
      <w:start w:val="1"/>
      <w:numFmt w:val="lowerRoman"/>
      <w:lvlText w:val="%9."/>
      <w:lvlJc w:val="right"/>
      <w:pPr>
        <w:ind w:left="6829" w:hanging="178"/>
      </w:pPr>
    </w:lvl>
  </w:abstractNum>
  <w:abstractNum w:abstractNumId="7" w15:restartNumberingAfterBreak="0">
    <w:nsid w:val="08334D0C"/>
    <w:multiLevelType w:val="hybridMultilevel"/>
    <w:tmpl w:val="EFCAD944"/>
    <w:lvl w:ilvl="0" w:tplc="A9A82CB8">
      <w:start w:val="1"/>
      <w:numFmt w:val="decimal"/>
      <w:lvlText w:val="%1."/>
      <w:lvlJc w:val="left"/>
      <w:pPr>
        <w:ind w:left="1429" w:hanging="358"/>
      </w:pPr>
      <w:rPr>
        <w:rFonts w:cs="Times New Roman"/>
      </w:rPr>
    </w:lvl>
    <w:lvl w:ilvl="1" w:tplc="E21CF6A6">
      <w:start w:val="1"/>
      <w:numFmt w:val="lowerLetter"/>
      <w:lvlText w:val="%2."/>
      <w:lvlJc w:val="left"/>
      <w:pPr>
        <w:ind w:left="2149" w:hanging="358"/>
      </w:pPr>
      <w:rPr>
        <w:rFonts w:cs="Times New Roman"/>
      </w:rPr>
    </w:lvl>
    <w:lvl w:ilvl="2" w:tplc="D2B63E50">
      <w:start w:val="1"/>
      <w:numFmt w:val="lowerRoman"/>
      <w:lvlText w:val="%3."/>
      <w:lvlJc w:val="right"/>
      <w:pPr>
        <w:ind w:left="2869" w:hanging="178"/>
      </w:pPr>
      <w:rPr>
        <w:rFonts w:cs="Times New Roman"/>
      </w:rPr>
    </w:lvl>
    <w:lvl w:ilvl="3" w:tplc="D98A2372">
      <w:start w:val="1"/>
      <w:numFmt w:val="decimal"/>
      <w:lvlText w:val="%4."/>
      <w:lvlJc w:val="left"/>
      <w:pPr>
        <w:ind w:left="3589" w:hanging="358"/>
      </w:pPr>
      <w:rPr>
        <w:rFonts w:cs="Times New Roman"/>
      </w:rPr>
    </w:lvl>
    <w:lvl w:ilvl="4" w:tplc="41BADBB2">
      <w:start w:val="1"/>
      <w:numFmt w:val="lowerLetter"/>
      <w:lvlText w:val="%5."/>
      <w:lvlJc w:val="left"/>
      <w:pPr>
        <w:ind w:left="4309" w:hanging="358"/>
      </w:pPr>
      <w:rPr>
        <w:rFonts w:cs="Times New Roman"/>
      </w:rPr>
    </w:lvl>
    <w:lvl w:ilvl="5" w:tplc="DE12F634">
      <w:start w:val="1"/>
      <w:numFmt w:val="lowerRoman"/>
      <w:lvlText w:val="%6."/>
      <w:lvlJc w:val="right"/>
      <w:pPr>
        <w:ind w:left="5029" w:hanging="178"/>
      </w:pPr>
      <w:rPr>
        <w:rFonts w:cs="Times New Roman"/>
      </w:rPr>
    </w:lvl>
    <w:lvl w:ilvl="6" w:tplc="C382FFD8">
      <w:start w:val="1"/>
      <w:numFmt w:val="decimal"/>
      <w:lvlText w:val="%7."/>
      <w:lvlJc w:val="left"/>
      <w:pPr>
        <w:ind w:left="5749" w:hanging="358"/>
      </w:pPr>
      <w:rPr>
        <w:rFonts w:cs="Times New Roman"/>
      </w:rPr>
    </w:lvl>
    <w:lvl w:ilvl="7" w:tplc="BF42DF96">
      <w:start w:val="1"/>
      <w:numFmt w:val="lowerLetter"/>
      <w:lvlText w:val="%8."/>
      <w:lvlJc w:val="left"/>
      <w:pPr>
        <w:ind w:left="6469" w:hanging="358"/>
      </w:pPr>
      <w:rPr>
        <w:rFonts w:cs="Times New Roman"/>
      </w:rPr>
    </w:lvl>
    <w:lvl w:ilvl="8" w:tplc="FB547C0C">
      <w:start w:val="1"/>
      <w:numFmt w:val="lowerRoman"/>
      <w:lvlText w:val="%9."/>
      <w:lvlJc w:val="right"/>
      <w:pPr>
        <w:ind w:left="7189" w:hanging="178"/>
      </w:pPr>
      <w:rPr>
        <w:rFonts w:cs="Times New Roman"/>
      </w:rPr>
    </w:lvl>
  </w:abstractNum>
  <w:abstractNum w:abstractNumId="8" w15:restartNumberingAfterBreak="0">
    <w:nsid w:val="0B76704F"/>
    <w:multiLevelType w:val="hybridMultilevel"/>
    <w:tmpl w:val="CB724EAA"/>
    <w:lvl w:ilvl="0" w:tplc="80466838">
      <w:start w:val="1"/>
      <w:numFmt w:val="decimal"/>
      <w:lvlText w:val="%1)"/>
      <w:lvlJc w:val="left"/>
      <w:pPr>
        <w:ind w:left="2520" w:hanging="360"/>
      </w:pPr>
      <w:rPr>
        <w:rFonts w:cs="Times New Roman" w:hint="default"/>
      </w:rPr>
    </w:lvl>
    <w:lvl w:ilvl="1" w:tplc="04190019">
      <w:start w:val="1"/>
      <w:numFmt w:val="lowerLetter"/>
      <w:lvlText w:val="%2."/>
      <w:lvlJc w:val="left"/>
      <w:pPr>
        <w:ind w:left="3240" w:hanging="360"/>
      </w:pPr>
      <w:rPr>
        <w:rFonts w:cs="Times New Roman"/>
      </w:rPr>
    </w:lvl>
    <w:lvl w:ilvl="2" w:tplc="0419001B">
      <w:start w:val="1"/>
      <w:numFmt w:val="lowerRoman"/>
      <w:lvlText w:val="%3."/>
      <w:lvlJc w:val="right"/>
      <w:pPr>
        <w:ind w:left="3960" w:hanging="180"/>
      </w:pPr>
      <w:rPr>
        <w:rFonts w:cs="Times New Roman"/>
      </w:rPr>
    </w:lvl>
    <w:lvl w:ilvl="3" w:tplc="0419000F">
      <w:start w:val="1"/>
      <w:numFmt w:val="decimal"/>
      <w:lvlText w:val="%4."/>
      <w:lvlJc w:val="left"/>
      <w:pPr>
        <w:ind w:left="4680" w:hanging="360"/>
      </w:pPr>
      <w:rPr>
        <w:rFonts w:cs="Times New Roman"/>
      </w:rPr>
    </w:lvl>
    <w:lvl w:ilvl="4" w:tplc="04190019">
      <w:start w:val="1"/>
      <w:numFmt w:val="lowerLetter"/>
      <w:lvlText w:val="%5."/>
      <w:lvlJc w:val="left"/>
      <w:pPr>
        <w:ind w:left="5400" w:hanging="360"/>
      </w:pPr>
      <w:rPr>
        <w:rFonts w:cs="Times New Roman"/>
      </w:rPr>
    </w:lvl>
    <w:lvl w:ilvl="5" w:tplc="0419001B">
      <w:start w:val="1"/>
      <w:numFmt w:val="lowerRoman"/>
      <w:lvlText w:val="%6."/>
      <w:lvlJc w:val="right"/>
      <w:pPr>
        <w:ind w:left="6120" w:hanging="180"/>
      </w:pPr>
      <w:rPr>
        <w:rFonts w:cs="Times New Roman"/>
      </w:rPr>
    </w:lvl>
    <w:lvl w:ilvl="6" w:tplc="0419000F">
      <w:start w:val="1"/>
      <w:numFmt w:val="decimal"/>
      <w:lvlText w:val="%7."/>
      <w:lvlJc w:val="left"/>
      <w:pPr>
        <w:ind w:left="6840" w:hanging="360"/>
      </w:pPr>
      <w:rPr>
        <w:rFonts w:cs="Times New Roman"/>
      </w:rPr>
    </w:lvl>
    <w:lvl w:ilvl="7" w:tplc="04190019">
      <w:start w:val="1"/>
      <w:numFmt w:val="lowerLetter"/>
      <w:lvlText w:val="%8."/>
      <w:lvlJc w:val="left"/>
      <w:pPr>
        <w:ind w:left="7560" w:hanging="360"/>
      </w:pPr>
      <w:rPr>
        <w:rFonts w:cs="Times New Roman"/>
      </w:rPr>
    </w:lvl>
    <w:lvl w:ilvl="8" w:tplc="0419001B">
      <w:start w:val="1"/>
      <w:numFmt w:val="lowerRoman"/>
      <w:lvlText w:val="%9."/>
      <w:lvlJc w:val="right"/>
      <w:pPr>
        <w:ind w:left="8280" w:hanging="180"/>
      </w:pPr>
      <w:rPr>
        <w:rFonts w:cs="Times New Roman"/>
      </w:rPr>
    </w:lvl>
  </w:abstractNum>
  <w:abstractNum w:abstractNumId="9" w15:restartNumberingAfterBreak="0">
    <w:nsid w:val="116042A7"/>
    <w:multiLevelType w:val="hybridMultilevel"/>
    <w:tmpl w:val="6FC2CD76"/>
    <w:lvl w:ilvl="0" w:tplc="CA8C0172">
      <w:start w:val="1"/>
      <w:numFmt w:val="bullet"/>
      <w:lvlText w:val=""/>
      <w:lvlJc w:val="left"/>
      <w:pPr>
        <w:ind w:left="720" w:hanging="358"/>
      </w:pPr>
      <w:rPr>
        <w:rFonts w:ascii="Symbol" w:hAnsi="Symbol" w:hint="default"/>
      </w:rPr>
    </w:lvl>
    <w:lvl w:ilvl="1" w:tplc="D80A7BD4">
      <w:start w:val="1"/>
      <w:numFmt w:val="bullet"/>
      <w:lvlText w:val="o"/>
      <w:lvlJc w:val="left"/>
      <w:pPr>
        <w:ind w:left="1440" w:hanging="358"/>
      </w:pPr>
      <w:rPr>
        <w:rFonts w:ascii="Courier New" w:hAnsi="Courier New" w:hint="default"/>
      </w:rPr>
    </w:lvl>
    <w:lvl w:ilvl="2" w:tplc="E3C4841A">
      <w:start w:val="1"/>
      <w:numFmt w:val="bullet"/>
      <w:lvlText w:val=""/>
      <w:lvlJc w:val="left"/>
      <w:pPr>
        <w:ind w:left="2160" w:hanging="358"/>
      </w:pPr>
      <w:rPr>
        <w:rFonts w:ascii="Wingdings" w:hAnsi="Wingdings" w:hint="default"/>
      </w:rPr>
    </w:lvl>
    <w:lvl w:ilvl="3" w:tplc="39A0157C">
      <w:start w:val="1"/>
      <w:numFmt w:val="bullet"/>
      <w:lvlText w:val=""/>
      <w:lvlJc w:val="left"/>
      <w:pPr>
        <w:ind w:left="2880" w:hanging="358"/>
      </w:pPr>
      <w:rPr>
        <w:rFonts w:ascii="Symbol" w:hAnsi="Symbol" w:hint="default"/>
      </w:rPr>
    </w:lvl>
    <w:lvl w:ilvl="4" w:tplc="AAC83268">
      <w:start w:val="1"/>
      <w:numFmt w:val="bullet"/>
      <w:lvlText w:val="o"/>
      <w:lvlJc w:val="left"/>
      <w:pPr>
        <w:ind w:left="3600" w:hanging="358"/>
      </w:pPr>
      <w:rPr>
        <w:rFonts w:ascii="Courier New" w:hAnsi="Courier New" w:hint="default"/>
      </w:rPr>
    </w:lvl>
    <w:lvl w:ilvl="5" w:tplc="48DA5C5C">
      <w:start w:val="1"/>
      <w:numFmt w:val="bullet"/>
      <w:lvlText w:val=""/>
      <w:lvlJc w:val="left"/>
      <w:pPr>
        <w:ind w:left="4320" w:hanging="358"/>
      </w:pPr>
      <w:rPr>
        <w:rFonts w:ascii="Wingdings" w:hAnsi="Wingdings" w:hint="default"/>
      </w:rPr>
    </w:lvl>
    <w:lvl w:ilvl="6" w:tplc="9F3A0D54">
      <w:start w:val="1"/>
      <w:numFmt w:val="bullet"/>
      <w:lvlText w:val=""/>
      <w:lvlJc w:val="left"/>
      <w:pPr>
        <w:ind w:left="5040" w:hanging="358"/>
      </w:pPr>
      <w:rPr>
        <w:rFonts w:ascii="Symbol" w:hAnsi="Symbol" w:hint="default"/>
      </w:rPr>
    </w:lvl>
    <w:lvl w:ilvl="7" w:tplc="AB9CF330">
      <w:start w:val="1"/>
      <w:numFmt w:val="bullet"/>
      <w:lvlText w:val="o"/>
      <w:lvlJc w:val="left"/>
      <w:pPr>
        <w:ind w:left="5760" w:hanging="358"/>
      </w:pPr>
      <w:rPr>
        <w:rFonts w:ascii="Courier New" w:hAnsi="Courier New" w:hint="default"/>
      </w:rPr>
    </w:lvl>
    <w:lvl w:ilvl="8" w:tplc="0BD42762">
      <w:start w:val="1"/>
      <w:numFmt w:val="bullet"/>
      <w:lvlText w:val=""/>
      <w:lvlJc w:val="left"/>
      <w:pPr>
        <w:ind w:left="6480" w:hanging="358"/>
      </w:pPr>
      <w:rPr>
        <w:rFonts w:ascii="Wingdings" w:hAnsi="Wingdings" w:hint="default"/>
      </w:rPr>
    </w:lvl>
  </w:abstractNum>
  <w:abstractNum w:abstractNumId="10" w15:restartNumberingAfterBreak="0">
    <w:nsid w:val="13875CA5"/>
    <w:multiLevelType w:val="hybridMultilevel"/>
    <w:tmpl w:val="F280A26A"/>
    <w:lvl w:ilvl="0" w:tplc="3AF09634">
      <w:start w:val="1"/>
      <w:numFmt w:val="decimal"/>
      <w:lvlText w:val="%1."/>
      <w:lvlJc w:val="left"/>
      <w:pPr>
        <w:ind w:left="1429" w:hanging="358"/>
      </w:pPr>
      <w:rPr>
        <w:rFonts w:cs="Times New Roman"/>
      </w:rPr>
    </w:lvl>
    <w:lvl w:ilvl="1" w:tplc="D6AC1FA8">
      <w:start w:val="1"/>
      <w:numFmt w:val="lowerLetter"/>
      <w:lvlText w:val="%2."/>
      <w:lvlJc w:val="left"/>
      <w:pPr>
        <w:ind w:left="2149" w:hanging="358"/>
      </w:pPr>
      <w:rPr>
        <w:rFonts w:cs="Times New Roman"/>
      </w:rPr>
    </w:lvl>
    <w:lvl w:ilvl="2" w:tplc="F25C7544">
      <w:start w:val="1"/>
      <w:numFmt w:val="lowerRoman"/>
      <w:lvlText w:val="%3."/>
      <w:lvlJc w:val="right"/>
      <w:pPr>
        <w:ind w:left="2869" w:hanging="178"/>
      </w:pPr>
      <w:rPr>
        <w:rFonts w:cs="Times New Roman"/>
      </w:rPr>
    </w:lvl>
    <w:lvl w:ilvl="3" w:tplc="428EA344">
      <w:start w:val="1"/>
      <w:numFmt w:val="decimal"/>
      <w:lvlText w:val="%4."/>
      <w:lvlJc w:val="left"/>
      <w:pPr>
        <w:ind w:left="3589" w:hanging="358"/>
      </w:pPr>
      <w:rPr>
        <w:rFonts w:cs="Times New Roman"/>
      </w:rPr>
    </w:lvl>
    <w:lvl w:ilvl="4" w:tplc="0EA633E2">
      <w:start w:val="1"/>
      <w:numFmt w:val="lowerLetter"/>
      <w:lvlText w:val="%5."/>
      <w:lvlJc w:val="left"/>
      <w:pPr>
        <w:ind w:left="4309" w:hanging="358"/>
      </w:pPr>
      <w:rPr>
        <w:rFonts w:cs="Times New Roman"/>
      </w:rPr>
    </w:lvl>
    <w:lvl w:ilvl="5" w:tplc="E1A40366">
      <w:start w:val="1"/>
      <w:numFmt w:val="lowerRoman"/>
      <w:lvlText w:val="%6."/>
      <w:lvlJc w:val="right"/>
      <w:pPr>
        <w:ind w:left="5029" w:hanging="178"/>
      </w:pPr>
      <w:rPr>
        <w:rFonts w:cs="Times New Roman"/>
      </w:rPr>
    </w:lvl>
    <w:lvl w:ilvl="6" w:tplc="CE6A6FB8">
      <w:start w:val="1"/>
      <w:numFmt w:val="decimal"/>
      <w:lvlText w:val="%7."/>
      <w:lvlJc w:val="left"/>
      <w:pPr>
        <w:ind w:left="5749" w:hanging="358"/>
      </w:pPr>
      <w:rPr>
        <w:rFonts w:cs="Times New Roman"/>
      </w:rPr>
    </w:lvl>
    <w:lvl w:ilvl="7" w:tplc="6DBC4372">
      <w:start w:val="1"/>
      <w:numFmt w:val="lowerLetter"/>
      <w:lvlText w:val="%8."/>
      <w:lvlJc w:val="left"/>
      <w:pPr>
        <w:ind w:left="6469" w:hanging="358"/>
      </w:pPr>
      <w:rPr>
        <w:rFonts w:cs="Times New Roman"/>
      </w:rPr>
    </w:lvl>
    <w:lvl w:ilvl="8" w:tplc="FC6E9AFC">
      <w:start w:val="1"/>
      <w:numFmt w:val="lowerRoman"/>
      <w:lvlText w:val="%9."/>
      <w:lvlJc w:val="right"/>
      <w:pPr>
        <w:ind w:left="7189" w:hanging="178"/>
      </w:pPr>
      <w:rPr>
        <w:rFonts w:cs="Times New Roman"/>
      </w:rPr>
    </w:lvl>
  </w:abstractNum>
  <w:abstractNum w:abstractNumId="11" w15:restartNumberingAfterBreak="0">
    <w:nsid w:val="138F148C"/>
    <w:multiLevelType w:val="hybridMultilevel"/>
    <w:tmpl w:val="B836715E"/>
    <w:lvl w:ilvl="0" w:tplc="1FD235D0">
      <w:start w:val="1"/>
      <w:numFmt w:val="decimal"/>
      <w:lvlText w:val="%1."/>
      <w:lvlJc w:val="left"/>
      <w:pPr>
        <w:ind w:hanging="360"/>
      </w:pPr>
      <w:rPr>
        <w:rFonts w:cs="Times New Roman" w:hint="default"/>
      </w:rPr>
    </w:lvl>
    <w:lvl w:ilvl="1" w:tplc="04190019" w:tentative="1">
      <w:start w:val="1"/>
      <w:numFmt w:val="lowerLetter"/>
      <w:lvlText w:val="%2."/>
      <w:lvlJc w:val="left"/>
      <w:pPr>
        <w:ind w:left="720" w:hanging="360"/>
      </w:pPr>
      <w:rPr>
        <w:rFonts w:cs="Times New Roman"/>
      </w:rPr>
    </w:lvl>
    <w:lvl w:ilvl="2" w:tplc="0419001B" w:tentative="1">
      <w:start w:val="1"/>
      <w:numFmt w:val="lowerRoman"/>
      <w:lvlText w:val="%3."/>
      <w:lvlJc w:val="right"/>
      <w:pPr>
        <w:ind w:left="1440" w:hanging="180"/>
      </w:pPr>
      <w:rPr>
        <w:rFonts w:cs="Times New Roman"/>
      </w:rPr>
    </w:lvl>
    <w:lvl w:ilvl="3" w:tplc="0419000F" w:tentative="1">
      <w:start w:val="1"/>
      <w:numFmt w:val="decimal"/>
      <w:lvlText w:val="%4."/>
      <w:lvlJc w:val="left"/>
      <w:pPr>
        <w:ind w:left="2160" w:hanging="360"/>
      </w:pPr>
      <w:rPr>
        <w:rFonts w:cs="Times New Roman"/>
      </w:rPr>
    </w:lvl>
    <w:lvl w:ilvl="4" w:tplc="04190019" w:tentative="1">
      <w:start w:val="1"/>
      <w:numFmt w:val="lowerLetter"/>
      <w:lvlText w:val="%5."/>
      <w:lvlJc w:val="left"/>
      <w:pPr>
        <w:ind w:left="2880" w:hanging="360"/>
      </w:pPr>
      <w:rPr>
        <w:rFonts w:cs="Times New Roman"/>
      </w:rPr>
    </w:lvl>
    <w:lvl w:ilvl="5" w:tplc="0419001B" w:tentative="1">
      <w:start w:val="1"/>
      <w:numFmt w:val="lowerRoman"/>
      <w:lvlText w:val="%6."/>
      <w:lvlJc w:val="right"/>
      <w:pPr>
        <w:ind w:left="3600" w:hanging="180"/>
      </w:pPr>
      <w:rPr>
        <w:rFonts w:cs="Times New Roman"/>
      </w:rPr>
    </w:lvl>
    <w:lvl w:ilvl="6" w:tplc="0419000F" w:tentative="1">
      <w:start w:val="1"/>
      <w:numFmt w:val="decimal"/>
      <w:lvlText w:val="%7."/>
      <w:lvlJc w:val="left"/>
      <w:pPr>
        <w:ind w:left="4320" w:hanging="360"/>
      </w:pPr>
      <w:rPr>
        <w:rFonts w:cs="Times New Roman"/>
      </w:rPr>
    </w:lvl>
    <w:lvl w:ilvl="7" w:tplc="04190019" w:tentative="1">
      <w:start w:val="1"/>
      <w:numFmt w:val="lowerLetter"/>
      <w:lvlText w:val="%8."/>
      <w:lvlJc w:val="left"/>
      <w:pPr>
        <w:ind w:left="5040" w:hanging="360"/>
      </w:pPr>
      <w:rPr>
        <w:rFonts w:cs="Times New Roman"/>
      </w:rPr>
    </w:lvl>
    <w:lvl w:ilvl="8" w:tplc="0419001B" w:tentative="1">
      <w:start w:val="1"/>
      <w:numFmt w:val="lowerRoman"/>
      <w:lvlText w:val="%9."/>
      <w:lvlJc w:val="right"/>
      <w:pPr>
        <w:ind w:left="5760" w:hanging="180"/>
      </w:pPr>
      <w:rPr>
        <w:rFonts w:cs="Times New Roman"/>
      </w:rPr>
    </w:lvl>
  </w:abstractNum>
  <w:abstractNum w:abstractNumId="12" w15:restartNumberingAfterBreak="0">
    <w:nsid w:val="14856D6F"/>
    <w:multiLevelType w:val="hybridMultilevel"/>
    <w:tmpl w:val="2A4ABC7C"/>
    <w:lvl w:ilvl="0" w:tplc="99386838">
      <w:start w:val="1"/>
      <w:numFmt w:val="bullet"/>
      <w:suff w:val="space"/>
      <w:lvlText w:val=""/>
      <w:lvlJc w:val="left"/>
      <w:pPr>
        <w:ind w:left="1069" w:hanging="359"/>
      </w:pPr>
      <w:rPr>
        <w:rFonts w:ascii="Symbol" w:eastAsia="SimSun" w:hAnsi="Symbol"/>
      </w:rPr>
    </w:lvl>
    <w:lvl w:ilvl="1" w:tplc="B7F4855A">
      <w:start w:val="1"/>
      <w:numFmt w:val="bullet"/>
      <w:lvlText w:val="o"/>
      <w:lvlJc w:val="left"/>
      <w:pPr>
        <w:ind w:left="2149" w:hanging="359"/>
      </w:pPr>
      <w:rPr>
        <w:rFonts w:ascii="Courier New" w:eastAsia="SimSun" w:hAnsi="Courier New"/>
      </w:rPr>
    </w:lvl>
    <w:lvl w:ilvl="2" w:tplc="395CD2C8">
      <w:start w:val="1"/>
      <w:numFmt w:val="bullet"/>
      <w:lvlText w:val=""/>
      <w:lvlJc w:val="left"/>
      <w:pPr>
        <w:ind w:left="2869" w:hanging="359"/>
      </w:pPr>
      <w:rPr>
        <w:rFonts w:ascii="Wingdings" w:eastAsia="SimSun" w:hAnsi="Wingdings"/>
      </w:rPr>
    </w:lvl>
    <w:lvl w:ilvl="3" w:tplc="BC848818">
      <w:start w:val="1"/>
      <w:numFmt w:val="bullet"/>
      <w:lvlText w:val=""/>
      <w:lvlJc w:val="left"/>
      <w:pPr>
        <w:ind w:left="3589" w:hanging="359"/>
      </w:pPr>
      <w:rPr>
        <w:rFonts w:ascii="Symbol" w:eastAsia="SimSun" w:hAnsi="Symbol"/>
      </w:rPr>
    </w:lvl>
    <w:lvl w:ilvl="4" w:tplc="73064D20">
      <w:start w:val="1"/>
      <w:numFmt w:val="bullet"/>
      <w:lvlText w:val="o"/>
      <w:lvlJc w:val="left"/>
      <w:pPr>
        <w:ind w:left="4309" w:hanging="359"/>
      </w:pPr>
      <w:rPr>
        <w:rFonts w:ascii="Courier New" w:eastAsia="SimSun" w:hAnsi="Courier New"/>
      </w:rPr>
    </w:lvl>
    <w:lvl w:ilvl="5" w:tplc="27C06568">
      <w:start w:val="1"/>
      <w:numFmt w:val="bullet"/>
      <w:lvlText w:val=""/>
      <w:lvlJc w:val="left"/>
      <w:pPr>
        <w:ind w:left="5029" w:hanging="359"/>
      </w:pPr>
      <w:rPr>
        <w:rFonts w:ascii="Wingdings" w:eastAsia="SimSun" w:hAnsi="Wingdings"/>
      </w:rPr>
    </w:lvl>
    <w:lvl w:ilvl="6" w:tplc="C36CC12A">
      <w:start w:val="1"/>
      <w:numFmt w:val="bullet"/>
      <w:lvlText w:val=""/>
      <w:lvlJc w:val="left"/>
      <w:pPr>
        <w:ind w:left="5749" w:hanging="359"/>
      </w:pPr>
      <w:rPr>
        <w:rFonts w:ascii="Symbol" w:eastAsia="SimSun" w:hAnsi="Symbol"/>
      </w:rPr>
    </w:lvl>
    <w:lvl w:ilvl="7" w:tplc="EA28860E">
      <w:start w:val="1"/>
      <w:numFmt w:val="bullet"/>
      <w:lvlText w:val="o"/>
      <w:lvlJc w:val="left"/>
      <w:pPr>
        <w:ind w:left="6469" w:hanging="359"/>
      </w:pPr>
      <w:rPr>
        <w:rFonts w:ascii="Courier New" w:eastAsia="SimSun" w:hAnsi="Courier New"/>
      </w:rPr>
    </w:lvl>
    <w:lvl w:ilvl="8" w:tplc="6456BFC2">
      <w:start w:val="1"/>
      <w:numFmt w:val="bullet"/>
      <w:lvlText w:val=""/>
      <w:lvlJc w:val="left"/>
      <w:pPr>
        <w:ind w:left="7189" w:hanging="359"/>
      </w:pPr>
      <w:rPr>
        <w:rFonts w:ascii="Wingdings" w:eastAsia="SimSun" w:hAnsi="Wingdings"/>
      </w:rPr>
    </w:lvl>
  </w:abstractNum>
  <w:abstractNum w:abstractNumId="13" w15:restartNumberingAfterBreak="0">
    <w:nsid w:val="15493D15"/>
    <w:multiLevelType w:val="hybridMultilevel"/>
    <w:tmpl w:val="BC1278B2"/>
    <w:lvl w:ilvl="0" w:tplc="A010EC22">
      <w:start w:val="1"/>
      <w:numFmt w:val="decimal"/>
      <w:lvlText w:val="%1."/>
      <w:lvlJc w:val="left"/>
      <w:pPr>
        <w:ind w:left="1043" w:hanging="360"/>
      </w:pPr>
      <w:rPr>
        <w:rFonts w:cs="Times New Roman" w:hint="default"/>
        <w:strike w:val="0"/>
      </w:rPr>
    </w:lvl>
    <w:lvl w:ilvl="1" w:tplc="04190019" w:tentative="1">
      <w:start w:val="1"/>
      <w:numFmt w:val="lowerLetter"/>
      <w:lvlText w:val="%2."/>
      <w:lvlJc w:val="left"/>
      <w:pPr>
        <w:ind w:left="1763" w:hanging="360"/>
      </w:pPr>
      <w:rPr>
        <w:rFonts w:cs="Times New Roman"/>
      </w:rPr>
    </w:lvl>
    <w:lvl w:ilvl="2" w:tplc="0419001B" w:tentative="1">
      <w:start w:val="1"/>
      <w:numFmt w:val="lowerRoman"/>
      <w:lvlText w:val="%3."/>
      <w:lvlJc w:val="right"/>
      <w:pPr>
        <w:ind w:left="2483" w:hanging="180"/>
      </w:pPr>
      <w:rPr>
        <w:rFonts w:cs="Times New Roman"/>
      </w:rPr>
    </w:lvl>
    <w:lvl w:ilvl="3" w:tplc="0419000F" w:tentative="1">
      <w:start w:val="1"/>
      <w:numFmt w:val="decimal"/>
      <w:lvlText w:val="%4."/>
      <w:lvlJc w:val="left"/>
      <w:pPr>
        <w:ind w:left="3203" w:hanging="360"/>
      </w:pPr>
      <w:rPr>
        <w:rFonts w:cs="Times New Roman"/>
      </w:rPr>
    </w:lvl>
    <w:lvl w:ilvl="4" w:tplc="04190019" w:tentative="1">
      <w:start w:val="1"/>
      <w:numFmt w:val="lowerLetter"/>
      <w:lvlText w:val="%5."/>
      <w:lvlJc w:val="left"/>
      <w:pPr>
        <w:ind w:left="3923" w:hanging="360"/>
      </w:pPr>
      <w:rPr>
        <w:rFonts w:cs="Times New Roman"/>
      </w:rPr>
    </w:lvl>
    <w:lvl w:ilvl="5" w:tplc="0419001B" w:tentative="1">
      <w:start w:val="1"/>
      <w:numFmt w:val="lowerRoman"/>
      <w:lvlText w:val="%6."/>
      <w:lvlJc w:val="right"/>
      <w:pPr>
        <w:ind w:left="4643" w:hanging="180"/>
      </w:pPr>
      <w:rPr>
        <w:rFonts w:cs="Times New Roman"/>
      </w:rPr>
    </w:lvl>
    <w:lvl w:ilvl="6" w:tplc="0419000F" w:tentative="1">
      <w:start w:val="1"/>
      <w:numFmt w:val="decimal"/>
      <w:lvlText w:val="%7."/>
      <w:lvlJc w:val="left"/>
      <w:pPr>
        <w:ind w:left="5363" w:hanging="360"/>
      </w:pPr>
      <w:rPr>
        <w:rFonts w:cs="Times New Roman"/>
      </w:rPr>
    </w:lvl>
    <w:lvl w:ilvl="7" w:tplc="04190019" w:tentative="1">
      <w:start w:val="1"/>
      <w:numFmt w:val="lowerLetter"/>
      <w:lvlText w:val="%8."/>
      <w:lvlJc w:val="left"/>
      <w:pPr>
        <w:ind w:left="6083" w:hanging="360"/>
      </w:pPr>
      <w:rPr>
        <w:rFonts w:cs="Times New Roman"/>
      </w:rPr>
    </w:lvl>
    <w:lvl w:ilvl="8" w:tplc="0419001B" w:tentative="1">
      <w:start w:val="1"/>
      <w:numFmt w:val="lowerRoman"/>
      <w:lvlText w:val="%9."/>
      <w:lvlJc w:val="right"/>
      <w:pPr>
        <w:ind w:left="6803" w:hanging="180"/>
      </w:pPr>
      <w:rPr>
        <w:rFonts w:cs="Times New Roman"/>
      </w:rPr>
    </w:lvl>
  </w:abstractNum>
  <w:abstractNum w:abstractNumId="14" w15:restartNumberingAfterBreak="0">
    <w:nsid w:val="17C47B2D"/>
    <w:multiLevelType w:val="hybridMultilevel"/>
    <w:tmpl w:val="7B22469A"/>
    <w:lvl w:ilvl="0" w:tplc="FE24311C">
      <w:start w:val="1"/>
      <w:numFmt w:val="decimal"/>
      <w:lvlText w:val="%1"/>
      <w:lvlJc w:val="left"/>
      <w:pPr>
        <w:ind w:left="1068" w:hanging="358"/>
      </w:pPr>
      <w:rPr>
        <w:rFonts w:ascii="Times New Roman" w:hAnsi="Times New Roman" w:cs="Times New Roman" w:hint="default"/>
        <w:sz w:val="20"/>
        <w:szCs w:val="20"/>
      </w:rPr>
    </w:lvl>
    <w:lvl w:ilvl="1" w:tplc="4D0AE228">
      <w:start w:val="1"/>
      <w:numFmt w:val="lowerLetter"/>
      <w:lvlText w:val="%2."/>
      <w:lvlJc w:val="left"/>
      <w:pPr>
        <w:ind w:left="1788" w:hanging="358"/>
      </w:pPr>
      <w:rPr>
        <w:rFonts w:cs="Times New Roman"/>
      </w:rPr>
    </w:lvl>
    <w:lvl w:ilvl="2" w:tplc="D336681C">
      <w:start w:val="1"/>
      <w:numFmt w:val="lowerRoman"/>
      <w:lvlText w:val="%3."/>
      <w:lvlJc w:val="right"/>
      <w:pPr>
        <w:ind w:left="2508" w:hanging="178"/>
      </w:pPr>
      <w:rPr>
        <w:rFonts w:cs="Times New Roman"/>
      </w:rPr>
    </w:lvl>
    <w:lvl w:ilvl="3" w:tplc="99E45896">
      <w:start w:val="1"/>
      <w:numFmt w:val="decimal"/>
      <w:lvlText w:val="%4."/>
      <w:lvlJc w:val="left"/>
      <w:pPr>
        <w:ind w:left="3228" w:hanging="358"/>
      </w:pPr>
      <w:rPr>
        <w:rFonts w:cs="Times New Roman"/>
      </w:rPr>
    </w:lvl>
    <w:lvl w:ilvl="4" w:tplc="0B644642">
      <w:start w:val="1"/>
      <w:numFmt w:val="lowerLetter"/>
      <w:lvlText w:val="%5."/>
      <w:lvlJc w:val="left"/>
      <w:pPr>
        <w:ind w:left="3948" w:hanging="358"/>
      </w:pPr>
      <w:rPr>
        <w:rFonts w:cs="Times New Roman"/>
      </w:rPr>
    </w:lvl>
    <w:lvl w:ilvl="5" w:tplc="B4C227A4">
      <w:start w:val="1"/>
      <w:numFmt w:val="lowerRoman"/>
      <w:lvlText w:val="%6."/>
      <w:lvlJc w:val="right"/>
      <w:pPr>
        <w:ind w:left="4668" w:hanging="178"/>
      </w:pPr>
      <w:rPr>
        <w:rFonts w:cs="Times New Roman"/>
      </w:rPr>
    </w:lvl>
    <w:lvl w:ilvl="6" w:tplc="4190C7B2">
      <w:start w:val="1"/>
      <w:numFmt w:val="decimal"/>
      <w:lvlText w:val="%7."/>
      <w:lvlJc w:val="left"/>
      <w:pPr>
        <w:ind w:left="5388" w:hanging="358"/>
      </w:pPr>
      <w:rPr>
        <w:rFonts w:cs="Times New Roman"/>
      </w:rPr>
    </w:lvl>
    <w:lvl w:ilvl="7" w:tplc="6B4A7D7E">
      <w:start w:val="1"/>
      <w:numFmt w:val="lowerLetter"/>
      <w:lvlText w:val="%8."/>
      <w:lvlJc w:val="left"/>
      <w:pPr>
        <w:ind w:left="6108" w:hanging="358"/>
      </w:pPr>
      <w:rPr>
        <w:rFonts w:cs="Times New Roman"/>
      </w:rPr>
    </w:lvl>
    <w:lvl w:ilvl="8" w:tplc="DC4005EE">
      <w:start w:val="1"/>
      <w:numFmt w:val="lowerRoman"/>
      <w:lvlText w:val="%9."/>
      <w:lvlJc w:val="right"/>
      <w:pPr>
        <w:ind w:left="6828" w:hanging="178"/>
      </w:pPr>
      <w:rPr>
        <w:rFonts w:cs="Times New Roman"/>
      </w:rPr>
    </w:lvl>
  </w:abstractNum>
  <w:abstractNum w:abstractNumId="15" w15:restartNumberingAfterBreak="0">
    <w:nsid w:val="19563E9E"/>
    <w:multiLevelType w:val="hybridMultilevel"/>
    <w:tmpl w:val="F7C04152"/>
    <w:lvl w:ilvl="0" w:tplc="5838CB04">
      <w:start w:val="1"/>
      <w:numFmt w:val="bullet"/>
      <w:lvlText w:val=""/>
      <w:lvlJc w:val="left"/>
      <w:pPr>
        <w:ind w:left="720" w:hanging="358"/>
      </w:pPr>
      <w:rPr>
        <w:rFonts w:ascii="Symbol" w:hAnsi="Symbol" w:hint="default"/>
      </w:rPr>
    </w:lvl>
    <w:lvl w:ilvl="1" w:tplc="0BBCAD52">
      <w:start w:val="1"/>
      <w:numFmt w:val="bullet"/>
      <w:lvlText w:val="o"/>
      <w:lvlJc w:val="left"/>
      <w:pPr>
        <w:ind w:left="1440" w:hanging="358"/>
      </w:pPr>
      <w:rPr>
        <w:rFonts w:ascii="Courier New" w:hAnsi="Courier New" w:hint="default"/>
      </w:rPr>
    </w:lvl>
    <w:lvl w:ilvl="2" w:tplc="CE681E4C">
      <w:start w:val="1"/>
      <w:numFmt w:val="bullet"/>
      <w:lvlText w:val=""/>
      <w:lvlJc w:val="left"/>
      <w:pPr>
        <w:ind w:left="2160" w:hanging="358"/>
      </w:pPr>
      <w:rPr>
        <w:rFonts w:ascii="Wingdings" w:hAnsi="Wingdings" w:hint="default"/>
      </w:rPr>
    </w:lvl>
    <w:lvl w:ilvl="3" w:tplc="9DD20AA2">
      <w:start w:val="1"/>
      <w:numFmt w:val="bullet"/>
      <w:lvlText w:val=""/>
      <w:lvlJc w:val="left"/>
      <w:pPr>
        <w:ind w:left="2880" w:hanging="358"/>
      </w:pPr>
      <w:rPr>
        <w:rFonts w:ascii="Symbol" w:hAnsi="Symbol" w:hint="default"/>
      </w:rPr>
    </w:lvl>
    <w:lvl w:ilvl="4" w:tplc="45A40B94">
      <w:start w:val="1"/>
      <w:numFmt w:val="bullet"/>
      <w:lvlText w:val="o"/>
      <w:lvlJc w:val="left"/>
      <w:pPr>
        <w:ind w:left="3600" w:hanging="358"/>
      </w:pPr>
      <w:rPr>
        <w:rFonts w:ascii="Courier New" w:hAnsi="Courier New" w:hint="default"/>
      </w:rPr>
    </w:lvl>
    <w:lvl w:ilvl="5" w:tplc="A6AEF3F4">
      <w:start w:val="1"/>
      <w:numFmt w:val="bullet"/>
      <w:lvlText w:val=""/>
      <w:lvlJc w:val="left"/>
      <w:pPr>
        <w:ind w:left="4320" w:hanging="358"/>
      </w:pPr>
      <w:rPr>
        <w:rFonts w:ascii="Wingdings" w:hAnsi="Wingdings" w:hint="default"/>
      </w:rPr>
    </w:lvl>
    <w:lvl w:ilvl="6" w:tplc="652818F4">
      <w:start w:val="1"/>
      <w:numFmt w:val="bullet"/>
      <w:lvlText w:val=""/>
      <w:lvlJc w:val="left"/>
      <w:pPr>
        <w:ind w:left="5040" w:hanging="358"/>
      </w:pPr>
      <w:rPr>
        <w:rFonts w:ascii="Symbol" w:hAnsi="Symbol" w:hint="default"/>
      </w:rPr>
    </w:lvl>
    <w:lvl w:ilvl="7" w:tplc="9586E1B2">
      <w:start w:val="1"/>
      <w:numFmt w:val="bullet"/>
      <w:lvlText w:val="o"/>
      <w:lvlJc w:val="left"/>
      <w:pPr>
        <w:ind w:left="5760" w:hanging="358"/>
      </w:pPr>
      <w:rPr>
        <w:rFonts w:ascii="Courier New" w:hAnsi="Courier New" w:hint="default"/>
      </w:rPr>
    </w:lvl>
    <w:lvl w:ilvl="8" w:tplc="F2D6A880">
      <w:start w:val="1"/>
      <w:numFmt w:val="bullet"/>
      <w:lvlText w:val=""/>
      <w:lvlJc w:val="left"/>
      <w:pPr>
        <w:ind w:left="6480" w:hanging="358"/>
      </w:pPr>
      <w:rPr>
        <w:rFonts w:ascii="Wingdings" w:hAnsi="Wingdings" w:hint="default"/>
      </w:rPr>
    </w:lvl>
  </w:abstractNum>
  <w:abstractNum w:abstractNumId="16" w15:restartNumberingAfterBreak="0">
    <w:nsid w:val="1A711597"/>
    <w:multiLevelType w:val="hybridMultilevel"/>
    <w:tmpl w:val="0882B408"/>
    <w:lvl w:ilvl="0" w:tplc="0B40D6C2">
      <w:start w:val="1"/>
      <w:numFmt w:val="bullet"/>
      <w:lvlText w:val="o"/>
      <w:lvlJc w:val="left"/>
      <w:pPr>
        <w:ind w:left="720" w:hanging="358"/>
      </w:pPr>
      <w:rPr>
        <w:rFonts w:ascii="Courier New" w:hAnsi="Courier New" w:hint="default"/>
      </w:rPr>
    </w:lvl>
    <w:lvl w:ilvl="1" w:tplc="49A01194">
      <w:start w:val="1"/>
      <w:numFmt w:val="bullet"/>
      <w:lvlText w:val="o"/>
      <w:lvlJc w:val="left"/>
      <w:pPr>
        <w:ind w:left="1440" w:hanging="358"/>
      </w:pPr>
      <w:rPr>
        <w:rFonts w:ascii="Times New Roman" w:eastAsia="Times New Roman" w:hAnsi="Times New Roman"/>
      </w:rPr>
    </w:lvl>
    <w:lvl w:ilvl="2" w:tplc="A768B940">
      <w:start w:val="1"/>
      <w:numFmt w:val="bullet"/>
      <w:lvlText w:val=""/>
      <w:lvlJc w:val="left"/>
      <w:pPr>
        <w:ind w:left="2160" w:hanging="358"/>
      </w:pPr>
      <w:rPr>
        <w:rFonts w:ascii="Times New Roman" w:hAnsi="Times New Roman"/>
      </w:rPr>
    </w:lvl>
    <w:lvl w:ilvl="3" w:tplc="4EF0D496">
      <w:start w:val="1"/>
      <w:numFmt w:val="bullet"/>
      <w:lvlText w:val=""/>
      <w:lvlJc w:val="left"/>
      <w:pPr>
        <w:ind w:left="2880" w:hanging="358"/>
      </w:pPr>
      <w:rPr>
        <w:rFonts w:ascii="Times New Roman" w:hAnsi="Times New Roman"/>
      </w:rPr>
    </w:lvl>
    <w:lvl w:ilvl="4" w:tplc="FF88AB42">
      <w:start w:val="1"/>
      <w:numFmt w:val="bullet"/>
      <w:lvlText w:val="o"/>
      <w:lvlJc w:val="left"/>
      <w:pPr>
        <w:ind w:left="3600" w:hanging="358"/>
      </w:pPr>
      <w:rPr>
        <w:rFonts w:ascii="Times New Roman" w:eastAsia="Times New Roman" w:hAnsi="Times New Roman"/>
      </w:rPr>
    </w:lvl>
    <w:lvl w:ilvl="5" w:tplc="95789D22">
      <w:start w:val="1"/>
      <w:numFmt w:val="bullet"/>
      <w:lvlText w:val=""/>
      <w:lvlJc w:val="left"/>
      <w:pPr>
        <w:ind w:left="4320" w:hanging="358"/>
      </w:pPr>
      <w:rPr>
        <w:rFonts w:ascii="Times New Roman" w:hAnsi="Times New Roman"/>
      </w:rPr>
    </w:lvl>
    <w:lvl w:ilvl="6" w:tplc="962EE8DA">
      <w:start w:val="1"/>
      <w:numFmt w:val="bullet"/>
      <w:lvlText w:val=""/>
      <w:lvlJc w:val="left"/>
      <w:pPr>
        <w:ind w:left="5040" w:hanging="358"/>
      </w:pPr>
      <w:rPr>
        <w:rFonts w:ascii="Times New Roman" w:hAnsi="Times New Roman"/>
      </w:rPr>
    </w:lvl>
    <w:lvl w:ilvl="7" w:tplc="7988CE8C">
      <w:start w:val="1"/>
      <w:numFmt w:val="bullet"/>
      <w:lvlText w:val="o"/>
      <w:lvlJc w:val="left"/>
      <w:pPr>
        <w:ind w:left="5760" w:hanging="358"/>
      </w:pPr>
      <w:rPr>
        <w:rFonts w:ascii="Times New Roman" w:eastAsia="Times New Roman" w:hAnsi="Times New Roman"/>
      </w:rPr>
    </w:lvl>
    <w:lvl w:ilvl="8" w:tplc="5F9C7BFC">
      <w:start w:val="1"/>
      <w:numFmt w:val="bullet"/>
      <w:lvlText w:val=""/>
      <w:lvlJc w:val="left"/>
      <w:pPr>
        <w:ind w:left="6480" w:hanging="358"/>
      </w:pPr>
      <w:rPr>
        <w:rFonts w:ascii="Times New Roman" w:hAnsi="Times New Roman"/>
      </w:rPr>
    </w:lvl>
  </w:abstractNum>
  <w:abstractNum w:abstractNumId="17" w15:restartNumberingAfterBreak="0">
    <w:nsid w:val="1B1A711B"/>
    <w:multiLevelType w:val="hybridMultilevel"/>
    <w:tmpl w:val="F78C7EC2"/>
    <w:lvl w:ilvl="0" w:tplc="770C6880">
      <w:start w:val="1"/>
      <w:numFmt w:val="bullet"/>
      <w:lvlText w:val=""/>
      <w:lvlJc w:val="left"/>
      <w:pPr>
        <w:ind w:left="1429" w:hanging="358"/>
      </w:pPr>
      <w:rPr>
        <w:rFonts w:ascii="Symbol" w:hAnsi="Symbol" w:hint="default"/>
      </w:rPr>
    </w:lvl>
    <w:lvl w:ilvl="1" w:tplc="7084D0B6">
      <w:start w:val="1"/>
      <w:numFmt w:val="bullet"/>
      <w:lvlText w:val="o"/>
      <w:lvlJc w:val="left"/>
      <w:pPr>
        <w:ind w:left="2149" w:hanging="358"/>
      </w:pPr>
      <w:rPr>
        <w:rFonts w:ascii="Courier New" w:hAnsi="Courier New" w:cs="Times New Roman" w:hint="default"/>
      </w:rPr>
    </w:lvl>
    <w:lvl w:ilvl="2" w:tplc="92ECD2F2">
      <w:start w:val="1"/>
      <w:numFmt w:val="bullet"/>
      <w:lvlText w:val=""/>
      <w:lvlJc w:val="left"/>
      <w:pPr>
        <w:ind w:left="2869" w:hanging="358"/>
      </w:pPr>
      <w:rPr>
        <w:rFonts w:ascii="Wingdings" w:hAnsi="Wingdings" w:hint="default"/>
      </w:rPr>
    </w:lvl>
    <w:lvl w:ilvl="3" w:tplc="3B720616">
      <w:start w:val="1"/>
      <w:numFmt w:val="bullet"/>
      <w:lvlText w:val=""/>
      <w:lvlJc w:val="left"/>
      <w:pPr>
        <w:ind w:left="3589" w:hanging="358"/>
      </w:pPr>
      <w:rPr>
        <w:rFonts w:ascii="Symbol" w:hAnsi="Symbol" w:hint="default"/>
      </w:rPr>
    </w:lvl>
    <w:lvl w:ilvl="4" w:tplc="B97C4ADC">
      <w:start w:val="1"/>
      <w:numFmt w:val="bullet"/>
      <w:lvlText w:val="o"/>
      <w:lvlJc w:val="left"/>
      <w:pPr>
        <w:ind w:left="4309" w:hanging="358"/>
      </w:pPr>
      <w:rPr>
        <w:rFonts w:ascii="Courier New" w:hAnsi="Courier New" w:cs="Times New Roman" w:hint="default"/>
      </w:rPr>
    </w:lvl>
    <w:lvl w:ilvl="5" w:tplc="3920005E">
      <w:start w:val="1"/>
      <w:numFmt w:val="bullet"/>
      <w:lvlText w:val=""/>
      <w:lvlJc w:val="left"/>
      <w:pPr>
        <w:ind w:left="5029" w:hanging="358"/>
      </w:pPr>
      <w:rPr>
        <w:rFonts w:ascii="Wingdings" w:hAnsi="Wingdings" w:hint="default"/>
      </w:rPr>
    </w:lvl>
    <w:lvl w:ilvl="6" w:tplc="55727368">
      <w:start w:val="1"/>
      <w:numFmt w:val="bullet"/>
      <w:lvlText w:val=""/>
      <w:lvlJc w:val="left"/>
      <w:pPr>
        <w:ind w:left="5749" w:hanging="358"/>
      </w:pPr>
      <w:rPr>
        <w:rFonts w:ascii="Symbol" w:hAnsi="Symbol" w:hint="default"/>
      </w:rPr>
    </w:lvl>
    <w:lvl w:ilvl="7" w:tplc="D7AA12FE">
      <w:start w:val="1"/>
      <w:numFmt w:val="bullet"/>
      <w:lvlText w:val="o"/>
      <w:lvlJc w:val="left"/>
      <w:pPr>
        <w:ind w:left="6469" w:hanging="358"/>
      </w:pPr>
      <w:rPr>
        <w:rFonts w:ascii="Courier New" w:hAnsi="Courier New" w:cs="Times New Roman" w:hint="default"/>
      </w:rPr>
    </w:lvl>
    <w:lvl w:ilvl="8" w:tplc="F314C69A">
      <w:start w:val="1"/>
      <w:numFmt w:val="bullet"/>
      <w:lvlText w:val=""/>
      <w:lvlJc w:val="left"/>
      <w:pPr>
        <w:ind w:left="7189" w:hanging="358"/>
      </w:pPr>
      <w:rPr>
        <w:rFonts w:ascii="Wingdings" w:hAnsi="Wingdings" w:hint="default"/>
      </w:rPr>
    </w:lvl>
  </w:abstractNum>
  <w:abstractNum w:abstractNumId="18" w15:restartNumberingAfterBreak="0">
    <w:nsid w:val="1B291C3D"/>
    <w:multiLevelType w:val="hybridMultilevel"/>
    <w:tmpl w:val="B61E3B94"/>
    <w:lvl w:ilvl="0" w:tplc="F170D8F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1B3C7FFC"/>
    <w:multiLevelType w:val="hybridMultilevel"/>
    <w:tmpl w:val="8662E8FA"/>
    <w:lvl w:ilvl="0" w:tplc="573ADB5A">
      <w:start w:val="1"/>
      <w:numFmt w:val="decimal"/>
      <w:lvlText w:val="%1)"/>
      <w:lvlJc w:val="left"/>
      <w:pPr>
        <w:ind w:left="1069" w:hanging="358"/>
      </w:pPr>
      <w:rPr>
        <w:rFonts w:cs="Times New Roman"/>
        <w:color w:val="000000" w:themeColor="text1"/>
      </w:rPr>
    </w:lvl>
    <w:lvl w:ilvl="1" w:tplc="910296F6">
      <w:start w:val="1"/>
      <w:numFmt w:val="lowerLetter"/>
      <w:lvlText w:val="%2."/>
      <w:lvlJc w:val="left"/>
      <w:pPr>
        <w:ind w:left="1789" w:hanging="358"/>
      </w:pPr>
      <w:rPr>
        <w:rFonts w:cs="Times New Roman"/>
      </w:rPr>
    </w:lvl>
    <w:lvl w:ilvl="2" w:tplc="CEF045B6">
      <w:start w:val="1"/>
      <w:numFmt w:val="lowerRoman"/>
      <w:lvlText w:val="%3."/>
      <w:lvlJc w:val="right"/>
      <w:pPr>
        <w:ind w:left="2509" w:hanging="178"/>
      </w:pPr>
      <w:rPr>
        <w:rFonts w:cs="Times New Roman"/>
      </w:rPr>
    </w:lvl>
    <w:lvl w:ilvl="3" w:tplc="E28E0D22">
      <w:start w:val="1"/>
      <w:numFmt w:val="decimal"/>
      <w:lvlText w:val="%4."/>
      <w:lvlJc w:val="left"/>
      <w:pPr>
        <w:ind w:left="3229" w:hanging="358"/>
      </w:pPr>
      <w:rPr>
        <w:rFonts w:cs="Times New Roman"/>
      </w:rPr>
    </w:lvl>
    <w:lvl w:ilvl="4" w:tplc="44C0CA70">
      <w:start w:val="1"/>
      <w:numFmt w:val="lowerLetter"/>
      <w:lvlText w:val="%5."/>
      <w:lvlJc w:val="left"/>
      <w:pPr>
        <w:ind w:left="3949" w:hanging="358"/>
      </w:pPr>
      <w:rPr>
        <w:rFonts w:cs="Times New Roman"/>
      </w:rPr>
    </w:lvl>
    <w:lvl w:ilvl="5" w:tplc="C8C6CA34">
      <w:start w:val="1"/>
      <w:numFmt w:val="lowerRoman"/>
      <w:lvlText w:val="%6."/>
      <w:lvlJc w:val="right"/>
      <w:pPr>
        <w:ind w:left="4669" w:hanging="178"/>
      </w:pPr>
      <w:rPr>
        <w:rFonts w:cs="Times New Roman"/>
      </w:rPr>
    </w:lvl>
    <w:lvl w:ilvl="6" w:tplc="D00AC8DA">
      <w:start w:val="1"/>
      <w:numFmt w:val="decimal"/>
      <w:lvlText w:val="%7."/>
      <w:lvlJc w:val="left"/>
      <w:pPr>
        <w:ind w:left="5389" w:hanging="358"/>
      </w:pPr>
      <w:rPr>
        <w:rFonts w:cs="Times New Roman"/>
      </w:rPr>
    </w:lvl>
    <w:lvl w:ilvl="7" w:tplc="E6EEF4F8">
      <w:start w:val="1"/>
      <w:numFmt w:val="lowerLetter"/>
      <w:lvlText w:val="%8."/>
      <w:lvlJc w:val="left"/>
      <w:pPr>
        <w:ind w:left="6109" w:hanging="358"/>
      </w:pPr>
      <w:rPr>
        <w:rFonts w:cs="Times New Roman"/>
      </w:rPr>
    </w:lvl>
    <w:lvl w:ilvl="8" w:tplc="66CE5C2C">
      <w:start w:val="1"/>
      <w:numFmt w:val="lowerRoman"/>
      <w:lvlText w:val="%9."/>
      <w:lvlJc w:val="right"/>
      <w:pPr>
        <w:ind w:left="6829" w:hanging="178"/>
      </w:pPr>
      <w:rPr>
        <w:rFonts w:cs="Times New Roman"/>
      </w:rPr>
    </w:lvl>
  </w:abstractNum>
  <w:abstractNum w:abstractNumId="20" w15:restartNumberingAfterBreak="0">
    <w:nsid w:val="1DA57FC3"/>
    <w:multiLevelType w:val="hybridMultilevel"/>
    <w:tmpl w:val="5CC0A24E"/>
    <w:lvl w:ilvl="0" w:tplc="212634B6">
      <w:start w:val="1"/>
      <w:numFmt w:val="decimal"/>
      <w:lvlText w:val="%1."/>
      <w:lvlJc w:val="left"/>
      <w:pPr>
        <w:ind w:left="720" w:hanging="358"/>
      </w:pPr>
      <w:rPr>
        <w:rFonts w:ascii="Times New Roman" w:hAnsi="Times New Roman" w:cs="Times New Roman" w:hint="default"/>
        <w:color w:val="auto"/>
      </w:rPr>
    </w:lvl>
    <w:lvl w:ilvl="1" w:tplc="A12819F4">
      <w:start w:val="1"/>
      <w:numFmt w:val="lowerLetter"/>
      <w:lvlText w:val="%2."/>
      <w:lvlJc w:val="left"/>
      <w:pPr>
        <w:ind w:left="1440" w:hanging="358"/>
      </w:pPr>
      <w:rPr>
        <w:rFonts w:cs="Times New Roman"/>
      </w:rPr>
    </w:lvl>
    <w:lvl w:ilvl="2" w:tplc="0EFE6F20">
      <w:start w:val="1"/>
      <w:numFmt w:val="lowerRoman"/>
      <w:lvlText w:val="%3."/>
      <w:lvlJc w:val="right"/>
      <w:pPr>
        <w:ind w:left="2160" w:hanging="178"/>
      </w:pPr>
      <w:rPr>
        <w:rFonts w:cs="Times New Roman"/>
      </w:rPr>
    </w:lvl>
    <w:lvl w:ilvl="3" w:tplc="B770B398">
      <w:start w:val="1"/>
      <w:numFmt w:val="decimal"/>
      <w:lvlText w:val="%4."/>
      <w:lvlJc w:val="left"/>
      <w:pPr>
        <w:ind w:left="2880" w:hanging="358"/>
      </w:pPr>
      <w:rPr>
        <w:rFonts w:cs="Times New Roman"/>
      </w:rPr>
    </w:lvl>
    <w:lvl w:ilvl="4" w:tplc="3CD4235A">
      <w:start w:val="1"/>
      <w:numFmt w:val="lowerLetter"/>
      <w:lvlText w:val="%5."/>
      <w:lvlJc w:val="left"/>
      <w:pPr>
        <w:ind w:left="3600" w:hanging="358"/>
      </w:pPr>
      <w:rPr>
        <w:rFonts w:cs="Times New Roman"/>
      </w:rPr>
    </w:lvl>
    <w:lvl w:ilvl="5" w:tplc="9322F54A">
      <w:start w:val="1"/>
      <w:numFmt w:val="lowerRoman"/>
      <w:lvlText w:val="%6."/>
      <w:lvlJc w:val="right"/>
      <w:pPr>
        <w:ind w:left="4320" w:hanging="178"/>
      </w:pPr>
      <w:rPr>
        <w:rFonts w:cs="Times New Roman"/>
      </w:rPr>
    </w:lvl>
    <w:lvl w:ilvl="6" w:tplc="D8E0A964">
      <w:start w:val="1"/>
      <w:numFmt w:val="decimal"/>
      <w:lvlText w:val="%7."/>
      <w:lvlJc w:val="left"/>
      <w:pPr>
        <w:ind w:left="5040" w:hanging="358"/>
      </w:pPr>
      <w:rPr>
        <w:rFonts w:cs="Times New Roman"/>
      </w:rPr>
    </w:lvl>
    <w:lvl w:ilvl="7" w:tplc="EC9EF60C">
      <w:start w:val="1"/>
      <w:numFmt w:val="lowerLetter"/>
      <w:lvlText w:val="%8."/>
      <w:lvlJc w:val="left"/>
      <w:pPr>
        <w:ind w:left="5760" w:hanging="358"/>
      </w:pPr>
      <w:rPr>
        <w:rFonts w:cs="Times New Roman"/>
      </w:rPr>
    </w:lvl>
    <w:lvl w:ilvl="8" w:tplc="E00818F0">
      <w:start w:val="1"/>
      <w:numFmt w:val="lowerRoman"/>
      <w:lvlText w:val="%9."/>
      <w:lvlJc w:val="right"/>
      <w:pPr>
        <w:ind w:left="6480" w:hanging="178"/>
      </w:pPr>
      <w:rPr>
        <w:rFonts w:cs="Times New Roman"/>
      </w:rPr>
    </w:lvl>
  </w:abstractNum>
  <w:abstractNum w:abstractNumId="21" w15:restartNumberingAfterBreak="0">
    <w:nsid w:val="1DB42EFF"/>
    <w:multiLevelType w:val="hybridMultilevel"/>
    <w:tmpl w:val="6A2EC8B4"/>
    <w:lvl w:ilvl="0" w:tplc="2E54A0BE">
      <w:start w:val="1"/>
      <w:numFmt w:val="bullet"/>
      <w:lvlText w:val=""/>
      <w:lvlJc w:val="left"/>
      <w:pPr>
        <w:ind w:left="1080" w:hanging="358"/>
      </w:pPr>
      <w:rPr>
        <w:rFonts w:ascii="Symbol" w:hAnsi="Symbol" w:hint="default"/>
      </w:rPr>
    </w:lvl>
    <w:lvl w:ilvl="1" w:tplc="1BA02BA4">
      <w:start w:val="1"/>
      <w:numFmt w:val="bullet"/>
      <w:lvlText w:val="o"/>
      <w:lvlJc w:val="left"/>
      <w:pPr>
        <w:ind w:left="1800" w:hanging="358"/>
      </w:pPr>
      <w:rPr>
        <w:rFonts w:ascii="Courier New" w:hAnsi="Courier New" w:hint="default"/>
      </w:rPr>
    </w:lvl>
    <w:lvl w:ilvl="2" w:tplc="AF10AB46">
      <w:start w:val="1"/>
      <w:numFmt w:val="bullet"/>
      <w:lvlText w:val=""/>
      <w:lvlJc w:val="left"/>
      <w:pPr>
        <w:ind w:left="2520" w:hanging="358"/>
      </w:pPr>
      <w:rPr>
        <w:rFonts w:ascii="Wingdings" w:hAnsi="Wingdings" w:hint="default"/>
      </w:rPr>
    </w:lvl>
    <w:lvl w:ilvl="3" w:tplc="38101EE8">
      <w:start w:val="1"/>
      <w:numFmt w:val="bullet"/>
      <w:lvlText w:val=""/>
      <w:lvlJc w:val="left"/>
      <w:pPr>
        <w:ind w:left="3240" w:hanging="358"/>
      </w:pPr>
      <w:rPr>
        <w:rFonts w:ascii="Symbol" w:hAnsi="Symbol" w:hint="default"/>
      </w:rPr>
    </w:lvl>
    <w:lvl w:ilvl="4" w:tplc="FC0A9ED2">
      <w:start w:val="1"/>
      <w:numFmt w:val="bullet"/>
      <w:lvlText w:val="o"/>
      <w:lvlJc w:val="left"/>
      <w:pPr>
        <w:ind w:left="3960" w:hanging="358"/>
      </w:pPr>
      <w:rPr>
        <w:rFonts w:ascii="Courier New" w:hAnsi="Courier New" w:hint="default"/>
      </w:rPr>
    </w:lvl>
    <w:lvl w:ilvl="5" w:tplc="60C01824">
      <w:start w:val="1"/>
      <w:numFmt w:val="bullet"/>
      <w:lvlText w:val=""/>
      <w:lvlJc w:val="left"/>
      <w:pPr>
        <w:ind w:left="4680" w:hanging="358"/>
      </w:pPr>
      <w:rPr>
        <w:rFonts w:ascii="Wingdings" w:hAnsi="Wingdings" w:hint="default"/>
      </w:rPr>
    </w:lvl>
    <w:lvl w:ilvl="6" w:tplc="8362C18E">
      <w:start w:val="1"/>
      <w:numFmt w:val="bullet"/>
      <w:lvlText w:val=""/>
      <w:lvlJc w:val="left"/>
      <w:pPr>
        <w:ind w:left="5400" w:hanging="358"/>
      </w:pPr>
      <w:rPr>
        <w:rFonts w:ascii="Symbol" w:hAnsi="Symbol" w:hint="default"/>
      </w:rPr>
    </w:lvl>
    <w:lvl w:ilvl="7" w:tplc="1B06F71A">
      <w:start w:val="1"/>
      <w:numFmt w:val="bullet"/>
      <w:lvlText w:val="o"/>
      <w:lvlJc w:val="left"/>
      <w:pPr>
        <w:ind w:left="6120" w:hanging="358"/>
      </w:pPr>
      <w:rPr>
        <w:rFonts w:ascii="Courier New" w:hAnsi="Courier New" w:hint="default"/>
      </w:rPr>
    </w:lvl>
    <w:lvl w:ilvl="8" w:tplc="3072E486">
      <w:start w:val="1"/>
      <w:numFmt w:val="bullet"/>
      <w:lvlText w:val=""/>
      <w:lvlJc w:val="left"/>
      <w:pPr>
        <w:ind w:left="6840" w:hanging="358"/>
      </w:pPr>
      <w:rPr>
        <w:rFonts w:ascii="Wingdings" w:hAnsi="Wingdings" w:hint="default"/>
      </w:rPr>
    </w:lvl>
  </w:abstractNum>
  <w:abstractNum w:abstractNumId="22" w15:restartNumberingAfterBreak="0">
    <w:nsid w:val="1DF3299D"/>
    <w:multiLevelType w:val="hybridMultilevel"/>
    <w:tmpl w:val="51A21B48"/>
    <w:lvl w:ilvl="0" w:tplc="E5022BD2">
      <w:start w:val="1"/>
      <w:numFmt w:val="decimal"/>
      <w:lvlText w:val="%1."/>
      <w:lvlJc w:val="left"/>
      <w:pPr>
        <w:ind w:left="720" w:hanging="359"/>
      </w:pPr>
    </w:lvl>
    <w:lvl w:ilvl="1" w:tplc="6000502E">
      <w:start w:val="1"/>
      <w:numFmt w:val="lowerLetter"/>
      <w:lvlText w:val="%2."/>
      <w:lvlJc w:val="left"/>
      <w:pPr>
        <w:ind w:left="1440" w:hanging="359"/>
      </w:pPr>
    </w:lvl>
    <w:lvl w:ilvl="2" w:tplc="8996D9D4">
      <w:start w:val="1"/>
      <w:numFmt w:val="lowerRoman"/>
      <w:lvlText w:val="%3."/>
      <w:lvlJc w:val="right"/>
      <w:pPr>
        <w:ind w:left="2160" w:hanging="179"/>
      </w:pPr>
    </w:lvl>
    <w:lvl w:ilvl="3" w:tplc="34865202">
      <w:start w:val="1"/>
      <w:numFmt w:val="decimal"/>
      <w:lvlText w:val="%4."/>
      <w:lvlJc w:val="left"/>
      <w:pPr>
        <w:ind w:left="2880" w:hanging="359"/>
      </w:pPr>
    </w:lvl>
    <w:lvl w:ilvl="4" w:tplc="9F96E5C2">
      <w:start w:val="1"/>
      <w:numFmt w:val="lowerLetter"/>
      <w:lvlText w:val="%5."/>
      <w:lvlJc w:val="left"/>
      <w:pPr>
        <w:ind w:left="3600" w:hanging="359"/>
      </w:pPr>
    </w:lvl>
    <w:lvl w:ilvl="5" w:tplc="E8E899C0">
      <w:start w:val="1"/>
      <w:numFmt w:val="lowerRoman"/>
      <w:lvlText w:val="%6."/>
      <w:lvlJc w:val="right"/>
      <w:pPr>
        <w:ind w:left="4320" w:hanging="179"/>
      </w:pPr>
    </w:lvl>
    <w:lvl w:ilvl="6" w:tplc="D13A2946">
      <w:start w:val="1"/>
      <w:numFmt w:val="decimal"/>
      <w:lvlText w:val="%7."/>
      <w:lvlJc w:val="left"/>
      <w:pPr>
        <w:ind w:left="5040" w:hanging="359"/>
      </w:pPr>
    </w:lvl>
    <w:lvl w:ilvl="7" w:tplc="D1D67C52">
      <w:start w:val="1"/>
      <w:numFmt w:val="lowerLetter"/>
      <w:lvlText w:val="%8."/>
      <w:lvlJc w:val="left"/>
      <w:pPr>
        <w:ind w:left="5760" w:hanging="359"/>
      </w:pPr>
    </w:lvl>
    <w:lvl w:ilvl="8" w:tplc="CB80A426">
      <w:start w:val="1"/>
      <w:numFmt w:val="lowerRoman"/>
      <w:lvlText w:val="%9."/>
      <w:lvlJc w:val="right"/>
      <w:pPr>
        <w:ind w:left="6480" w:hanging="179"/>
      </w:pPr>
    </w:lvl>
  </w:abstractNum>
  <w:abstractNum w:abstractNumId="23" w15:restartNumberingAfterBreak="0">
    <w:nsid w:val="20CB5692"/>
    <w:multiLevelType w:val="hybridMultilevel"/>
    <w:tmpl w:val="B45CD650"/>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4" w15:restartNumberingAfterBreak="0">
    <w:nsid w:val="212B147E"/>
    <w:multiLevelType w:val="hybridMultilevel"/>
    <w:tmpl w:val="C67640E2"/>
    <w:lvl w:ilvl="0" w:tplc="A68E0D72">
      <w:start w:val="1"/>
      <w:numFmt w:val="decimal"/>
      <w:lvlText w:val="%1."/>
      <w:lvlJc w:val="left"/>
      <w:pPr>
        <w:ind w:left="1069" w:hanging="358"/>
      </w:pPr>
      <w:rPr>
        <w:rFonts w:hint="default"/>
      </w:rPr>
    </w:lvl>
    <w:lvl w:ilvl="1" w:tplc="37AE74F8">
      <w:start w:val="1"/>
      <w:numFmt w:val="lowerLetter"/>
      <w:lvlText w:val="%2."/>
      <w:lvlJc w:val="left"/>
      <w:pPr>
        <w:ind w:left="1789" w:hanging="358"/>
      </w:pPr>
    </w:lvl>
    <w:lvl w:ilvl="2" w:tplc="CEFC20B4">
      <w:start w:val="1"/>
      <w:numFmt w:val="lowerRoman"/>
      <w:lvlText w:val="%3."/>
      <w:lvlJc w:val="right"/>
      <w:pPr>
        <w:ind w:left="2509" w:hanging="178"/>
      </w:pPr>
    </w:lvl>
    <w:lvl w:ilvl="3" w:tplc="FC76F91E">
      <w:start w:val="1"/>
      <w:numFmt w:val="decimal"/>
      <w:lvlText w:val="%4."/>
      <w:lvlJc w:val="left"/>
      <w:pPr>
        <w:ind w:left="3229" w:hanging="358"/>
      </w:pPr>
    </w:lvl>
    <w:lvl w:ilvl="4" w:tplc="87AC3E12">
      <w:start w:val="1"/>
      <w:numFmt w:val="lowerLetter"/>
      <w:lvlText w:val="%5."/>
      <w:lvlJc w:val="left"/>
      <w:pPr>
        <w:ind w:left="3949" w:hanging="358"/>
      </w:pPr>
    </w:lvl>
    <w:lvl w:ilvl="5" w:tplc="B7CA7338">
      <w:start w:val="1"/>
      <w:numFmt w:val="lowerRoman"/>
      <w:lvlText w:val="%6."/>
      <w:lvlJc w:val="right"/>
      <w:pPr>
        <w:ind w:left="4669" w:hanging="178"/>
      </w:pPr>
    </w:lvl>
    <w:lvl w:ilvl="6" w:tplc="9634B386">
      <w:start w:val="1"/>
      <w:numFmt w:val="decimal"/>
      <w:lvlText w:val="%7."/>
      <w:lvlJc w:val="left"/>
      <w:pPr>
        <w:ind w:left="5389" w:hanging="358"/>
      </w:pPr>
    </w:lvl>
    <w:lvl w:ilvl="7" w:tplc="979227DE">
      <w:start w:val="1"/>
      <w:numFmt w:val="lowerLetter"/>
      <w:lvlText w:val="%8."/>
      <w:lvlJc w:val="left"/>
      <w:pPr>
        <w:ind w:left="6109" w:hanging="358"/>
      </w:pPr>
    </w:lvl>
    <w:lvl w:ilvl="8" w:tplc="EFA06582">
      <w:start w:val="1"/>
      <w:numFmt w:val="lowerRoman"/>
      <w:lvlText w:val="%9."/>
      <w:lvlJc w:val="right"/>
      <w:pPr>
        <w:ind w:left="6829" w:hanging="178"/>
      </w:pPr>
    </w:lvl>
  </w:abstractNum>
  <w:abstractNum w:abstractNumId="25" w15:restartNumberingAfterBreak="0">
    <w:nsid w:val="21A438DD"/>
    <w:multiLevelType w:val="hybridMultilevel"/>
    <w:tmpl w:val="505665D4"/>
    <w:lvl w:ilvl="0" w:tplc="EA38F75A">
      <w:start w:val="1"/>
      <w:numFmt w:val="decimal"/>
      <w:lvlText w:val="%1."/>
      <w:lvlJc w:val="left"/>
      <w:pPr>
        <w:ind w:left="720" w:hanging="358"/>
      </w:pPr>
      <w:rPr>
        <w:rFonts w:cs="Times New Roman"/>
      </w:rPr>
    </w:lvl>
    <w:lvl w:ilvl="1" w:tplc="D7BE10F0">
      <w:start w:val="1"/>
      <w:numFmt w:val="lowerLetter"/>
      <w:lvlText w:val="%2."/>
      <w:lvlJc w:val="left"/>
      <w:pPr>
        <w:ind w:left="1440" w:hanging="358"/>
      </w:pPr>
      <w:rPr>
        <w:rFonts w:cs="Times New Roman"/>
      </w:rPr>
    </w:lvl>
    <w:lvl w:ilvl="2" w:tplc="142079BA">
      <w:start w:val="1"/>
      <w:numFmt w:val="lowerRoman"/>
      <w:lvlText w:val="%3."/>
      <w:lvlJc w:val="right"/>
      <w:pPr>
        <w:ind w:left="2160" w:hanging="178"/>
      </w:pPr>
      <w:rPr>
        <w:rFonts w:cs="Times New Roman"/>
      </w:rPr>
    </w:lvl>
    <w:lvl w:ilvl="3" w:tplc="4C8C1C10">
      <w:start w:val="1"/>
      <w:numFmt w:val="decimal"/>
      <w:lvlText w:val="%4."/>
      <w:lvlJc w:val="left"/>
      <w:pPr>
        <w:ind w:left="2880" w:hanging="358"/>
      </w:pPr>
      <w:rPr>
        <w:rFonts w:cs="Times New Roman"/>
      </w:rPr>
    </w:lvl>
    <w:lvl w:ilvl="4" w:tplc="ED92781C">
      <w:start w:val="1"/>
      <w:numFmt w:val="lowerLetter"/>
      <w:lvlText w:val="%5."/>
      <w:lvlJc w:val="left"/>
      <w:pPr>
        <w:ind w:left="3600" w:hanging="358"/>
      </w:pPr>
      <w:rPr>
        <w:rFonts w:cs="Times New Roman"/>
      </w:rPr>
    </w:lvl>
    <w:lvl w:ilvl="5" w:tplc="35B27D4E">
      <w:start w:val="1"/>
      <w:numFmt w:val="lowerRoman"/>
      <w:lvlText w:val="%6."/>
      <w:lvlJc w:val="right"/>
      <w:pPr>
        <w:ind w:left="4320" w:hanging="178"/>
      </w:pPr>
      <w:rPr>
        <w:rFonts w:cs="Times New Roman"/>
      </w:rPr>
    </w:lvl>
    <w:lvl w:ilvl="6" w:tplc="9B9630E2">
      <w:start w:val="1"/>
      <w:numFmt w:val="decimal"/>
      <w:lvlText w:val="%7."/>
      <w:lvlJc w:val="left"/>
      <w:pPr>
        <w:ind w:left="5040" w:hanging="358"/>
      </w:pPr>
      <w:rPr>
        <w:rFonts w:cs="Times New Roman"/>
      </w:rPr>
    </w:lvl>
    <w:lvl w:ilvl="7" w:tplc="BC06C29E">
      <w:start w:val="1"/>
      <w:numFmt w:val="lowerLetter"/>
      <w:lvlText w:val="%8."/>
      <w:lvlJc w:val="left"/>
      <w:pPr>
        <w:ind w:left="5760" w:hanging="358"/>
      </w:pPr>
      <w:rPr>
        <w:rFonts w:cs="Times New Roman"/>
      </w:rPr>
    </w:lvl>
    <w:lvl w:ilvl="8" w:tplc="D7CAE742">
      <w:start w:val="1"/>
      <w:numFmt w:val="lowerRoman"/>
      <w:lvlText w:val="%9."/>
      <w:lvlJc w:val="right"/>
      <w:pPr>
        <w:ind w:left="6480" w:hanging="178"/>
      </w:pPr>
      <w:rPr>
        <w:rFonts w:cs="Times New Roman"/>
      </w:rPr>
    </w:lvl>
  </w:abstractNum>
  <w:abstractNum w:abstractNumId="26" w15:restartNumberingAfterBreak="0">
    <w:nsid w:val="22A551F2"/>
    <w:multiLevelType w:val="hybridMultilevel"/>
    <w:tmpl w:val="009EF10E"/>
    <w:lvl w:ilvl="0" w:tplc="39D4EBE8">
      <w:start w:val="1"/>
      <w:numFmt w:val="decimal"/>
      <w:lvlText w:val="%1."/>
      <w:lvlJc w:val="left"/>
      <w:pPr>
        <w:ind w:left="720" w:hanging="358"/>
      </w:pPr>
    </w:lvl>
    <w:lvl w:ilvl="1" w:tplc="CFD013BE">
      <w:start w:val="1"/>
      <w:numFmt w:val="lowerLetter"/>
      <w:lvlText w:val="%2."/>
      <w:lvlJc w:val="left"/>
      <w:pPr>
        <w:ind w:left="1440" w:hanging="358"/>
      </w:pPr>
    </w:lvl>
    <w:lvl w:ilvl="2" w:tplc="D0E47742">
      <w:start w:val="1"/>
      <w:numFmt w:val="lowerRoman"/>
      <w:lvlText w:val="%3."/>
      <w:lvlJc w:val="right"/>
      <w:pPr>
        <w:ind w:left="2160" w:hanging="178"/>
      </w:pPr>
    </w:lvl>
    <w:lvl w:ilvl="3" w:tplc="90DCB7E8">
      <w:start w:val="1"/>
      <w:numFmt w:val="decimal"/>
      <w:lvlText w:val="%4."/>
      <w:lvlJc w:val="left"/>
      <w:pPr>
        <w:ind w:left="2880" w:hanging="358"/>
      </w:pPr>
    </w:lvl>
    <w:lvl w:ilvl="4" w:tplc="B816B724">
      <w:start w:val="1"/>
      <w:numFmt w:val="lowerLetter"/>
      <w:lvlText w:val="%5."/>
      <w:lvlJc w:val="left"/>
      <w:pPr>
        <w:ind w:left="3600" w:hanging="358"/>
      </w:pPr>
    </w:lvl>
    <w:lvl w:ilvl="5" w:tplc="90AA4CD2">
      <w:start w:val="1"/>
      <w:numFmt w:val="lowerRoman"/>
      <w:lvlText w:val="%6."/>
      <w:lvlJc w:val="right"/>
      <w:pPr>
        <w:ind w:left="4320" w:hanging="178"/>
      </w:pPr>
    </w:lvl>
    <w:lvl w:ilvl="6" w:tplc="9EEC67A4">
      <w:start w:val="1"/>
      <w:numFmt w:val="decimal"/>
      <w:lvlText w:val="%7."/>
      <w:lvlJc w:val="left"/>
      <w:pPr>
        <w:ind w:left="5040" w:hanging="358"/>
      </w:pPr>
    </w:lvl>
    <w:lvl w:ilvl="7" w:tplc="8144A5AC">
      <w:start w:val="1"/>
      <w:numFmt w:val="lowerLetter"/>
      <w:lvlText w:val="%8."/>
      <w:lvlJc w:val="left"/>
      <w:pPr>
        <w:ind w:left="5760" w:hanging="358"/>
      </w:pPr>
    </w:lvl>
    <w:lvl w:ilvl="8" w:tplc="55784AE6">
      <w:start w:val="1"/>
      <w:numFmt w:val="lowerRoman"/>
      <w:lvlText w:val="%9."/>
      <w:lvlJc w:val="right"/>
      <w:pPr>
        <w:ind w:left="6480" w:hanging="178"/>
      </w:pPr>
    </w:lvl>
  </w:abstractNum>
  <w:abstractNum w:abstractNumId="27" w15:restartNumberingAfterBreak="0">
    <w:nsid w:val="23070644"/>
    <w:multiLevelType w:val="hybridMultilevel"/>
    <w:tmpl w:val="33965B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23F34FC6"/>
    <w:multiLevelType w:val="hybridMultilevel"/>
    <w:tmpl w:val="373E9610"/>
    <w:lvl w:ilvl="0" w:tplc="499670D6">
      <w:start w:val="1"/>
      <w:numFmt w:val="decimal"/>
      <w:lvlText w:val="%1."/>
      <w:lvlJc w:val="left"/>
      <w:pPr>
        <w:ind w:left="720" w:hanging="358"/>
      </w:pPr>
      <w:rPr>
        <w:rFonts w:cs="Times New Roman"/>
        <w:sz w:val="20"/>
        <w:szCs w:val="20"/>
      </w:rPr>
    </w:lvl>
    <w:lvl w:ilvl="1" w:tplc="3B7C699C">
      <w:start w:val="1"/>
      <w:numFmt w:val="lowerLetter"/>
      <w:lvlText w:val="%2."/>
      <w:lvlJc w:val="left"/>
      <w:pPr>
        <w:ind w:left="1440" w:hanging="358"/>
      </w:pPr>
      <w:rPr>
        <w:rFonts w:cs="Times New Roman"/>
      </w:rPr>
    </w:lvl>
    <w:lvl w:ilvl="2" w:tplc="1BE0BF16">
      <w:start w:val="1"/>
      <w:numFmt w:val="lowerRoman"/>
      <w:lvlText w:val="%3."/>
      <w:lvlJc w:val="right"/>
      <w:pPr>
        <w:ind w:left="2160" w:hanging="178"/>
      </w:pPr>
      <w:rPr>
        <w:rFonts w:cs="Times New Roman"/>
      </w:rPr>
    </w:lvl>
    <w:lvl w:ilvl="3" w:tplc="4D1C9E96">
      <w:start w:val="1"/>
      <w:numFmt w:val="decimal"/>
      <w:lvlText w:val="%4."/>
      <w:lvlJc w:val="left"/>
      <w:pPr>
        <w:ind w:left="2880" w:hanging="358"/>
      </w:pPr>
      <w:rPr>
        <w:rFonts w:cs="Times New Roman"/>
      </w:rPr>
    </w:lvl>
    <w:lvl w:ilvl="4" w:tplc="732E284C">
      <w:start w:val="1"/>
      <w:numFmt w:val="lowerLetter"/>
      <w:lvlText w:val="%5."/>
      <w:lvlJc w:val="left"/>
      <w:pPr>
        <w:ind w:left="3600" w:hanging="358"/>
      </w:pPr>
      <w:rPr>
        <w:rFonts w:cs="Times New Roman"/>
      </w:rPr>
    </w:lvl>
    <w:lvl w:ilvl="5" w:tplc="655AA9B8">
      <w:start w:val="1"/>
      <w:numFmt w:val="lowerRoman"/>
      <w:lvlText w:val="%6."/>
      <w:lvlJc w:val="right"/>
      <w:pPr>
        <w:ind w:left="4320" w:hanging="178"/>
      </w:pPr>
      <w:rPr>
        <w:rFonts w:cs="Times New Roman"/>
      </w:rPr>
    </w:lvl>
    <w:lvl w:ilvl="6" w:tplc="6748C49E">
      <w:start w:val="1"/>
      <w:numFmt w:val="decimal"/>
      <w:lvlText w:val="%7."/>
      <w:lvlJc w:val="left"/>
      <w:pPr>
        <w:ind w:left="5040" w:hanging="358"/>
      </w:pPr>
      <w:rPr>
        <w:rFonts w:cs="Times New Roman"/>
      </w:rPr>
    </w:lvl>
    <w:lvl w:ilvl="7" w:tplc="95EC0808">
      <w:start w:val="1"/>
      <w:numFmt w:val="lowerLetter"/>
      <w:lvlText w:val="%8."/>
      <w:lvlJc w:val="left"/>
      <w:pPr>
        <w:ind w:left="5760" w:hanging="358"/>
      </w:pPr>
      <w:rPr>
        <w:rFonts w:cs="Times New Roman"/>
      </w:rPr>
    </w:lvl>
    <w:lvl w:ilvl="8" w:tplc="7BFA83F8">
      <w:start w:val="1"/>
      <w:numFmt w:val="lowerRoman"/>
      <w:lvlText w:val="%9."/>
      <w:lvlJc w:val="right"/>
      <w:pPr>
        <w:ind w:left="6480" w:hanging="178"/>
      </w:pPr>
      <w:rPr>
        <w:rFonts w:cs="Times New Roman"/>
      </w:rPr>
    </w:lvl>
  </w:abstractNum>
  <w:abstractNum w:abstractNumId="29" w15:restartNumberingAfterBreak="0">
    <w:nsid w:val="248950D3"/>
    <w:multiLevelType w:val="hybridMultilevel"/>
    <w:tmpl w:val="CDD601DE"/>
    <w:lvl w:ilvl="0" w:tplc="026AF4AC">
      <w:start w:val="1"/>
      <w:numFmt w:val="bullet"/>
      <w:lvlText w:val=""/>
      <w:lvlJc w:val="left"/>
      <w:pPr>
        <w:ind w:left="720" w:hanging="358"/>
      </w:pPr>
      <w:rPr>
        <w:rFonts w:ascii="Symbol" w:hAnsi="Symbol" w:hint="default"/>
      </w:rPr>
    </w:lvl>
    <w:lvl w:ilvl="1" w:tplc="F1FCF8B8">
      <w:start w:val="1"/>
      <w:numFmt w:val="bullet"/>
      <w:lvlText w:val="o"/>
      <w:lvlJc w:val="left"/>
      <w:pPr>
        <w:ind w:left="1440" w:hanging="358"/>
      </w:pPr>
      <w:rPr>
        <w:rFonts w:ascii="Courier New" w:hAnsi="Courier New" w:hint="default"/>
      </w:rPr>
    </w:lvl>
    <w:lvl w:ilvl="2" w:tplc="671E7368">
      <w:start w:val="1"/>
      <w:numFmt w:val="bullet"/>
      <w:lvlText w:val=""/>
      <w:lvlJc w:val="left"/>
      <w:pPr>
        <w:ind w:left="2160" w:hanging="358"/>
      </w:pPr>
      <w:rPr>
        <w:rFonts w:ascii="Wingdings" w:hAnsi="Wingdings" w:hint="default"/>
      </w:rPr>
    </w:lvl>
    <w:lvl w:ilvl="3" w:tplc="CBE6D48A">
      <w:start w:val="1"/>
      <w:numFmt w:val="bullet"/>
      <w:lvlText w:val=""/>
      <w:lvlJc w:val="left"/>
      <w:pPr>
        <w:ind w:left="2880" w:hanging="358"/>
      </w:pPr>
      <w:rPr>
        <w:rFonts w:ascii="Symbol" w:hAnsi="Symbol" w:hint="default"/>
      </w:rPr>
    </w:lvl>
    <w:lvl w:ilvl="4" w:tplc="4ECECA80">
      <w:start w:val="1"/>
      <w:numFmt w:val="bullet"/>
      <w:lvlText w:val="o"/>
      <w:lvlJc w:val="left"/>
      <w:pPr>
        <w:ind w:left="3600" w:hanging="358"/>
      </w:pPr>
      <w:rPr>
        <w:rFonts w:ascii="Courier New" w:hAnsi="Courier New" w:hint="default"/>
      </w:rPr>
    </w:lvl>
    <w:lvl w:ilvl="5" w:tplc="12FA71FE">
      <w:start w:val="1"/>
      <w:numFmt w:val="bullet"/>
      <w:lvlText w:val=""/>
      <w:lvlJc w:val="left"/>
      <w:pPr>
        <w:ind w:left="4320" w:hanging="358"/>
      </w:pPr>
      <w:rPr>
        <w:rFonts w:ascii="Wingdings" w:hAnsi="Wingdings" w:hint="default"/>
      </w:rPr>
    </w:lvl>
    <w:lvl w:ilvl="6" w:tplc="92F4183E">
      <w:start w:val="1"/>
      <w:numFmt w:val="bullet"/>
      <w:lvlText w:val=""/>
      <w:lvlJc w:val="left"/>
      <w:pPr>
        <w:ind w:left="5040" w:hanging="358"/>
      </w:pPr>
      <w:rPr>
        <w:rFonts w:ascii="Symbol" w:hAnsi="Symbol" w:hint="default"/>
      </w:rPr>
    </w:lvl>
    <w:lvl w:ilvl="7" w:tplc="5D68F2F2">
      <w:start w:val="1"/>
      <w:numFmt w:val="bullet"/>
      <w:lvlText w:val="o"/>
      <w:lvlJc w:val="left"/>
      <w:pPr>
        <w:ind w:left="5760" w:hanging="358"/>
      </w:pPr>
      <w:rPr>
        <w:rFonts w:ascii="Courier New" w:hAnsi="Courier New" w:hint="default"/>
      </w:rPr>
    </w:lvl>
    <w:lvl w:ilvl="8" w:tplc="F4AE7D24">
      <w:start w:val="1"/>
      <w:numFmt w:val="bullet"/>
      <w:lvlText w:val=""/>
      <w:lvlJc w:val="left"/>
      <w:pPr>
        <w:ind w:left="6480" w:hanging="358"/>
      </w:pPr>
      <w:rPr>
        <w:rFonts w:ascii="Wingdings" w:hAnsi="Wingdings" w:hint="default"/>
      </w:rPr>
    </w:lvl>
  </w:abstractNum>
  <w:abstractNum w:abstractNumId="30" w15:restartNumberingAfterBreak="0">
    <w:nsid w:val="25816DDF"/>
    <w:multiLevelType w:val="hybridMultilevel"/>
    <w:tmpl w:val="C55CE28A"/>
    <w:lvl w:ilvl="0" w:tplc="74508D76">
      <w:start w:val="1"/>
      <w:numFmt w:val="decimal"/>
      <w:lvlText w:val="%1."/>
      <w:lvlJc w:val="left"/>
      <w:pPr>
        <w:ind w:left="720" w:hanging="358"/>
      </w:pPr>
      <w:rPr>
        <w:rFonts w:hint="default"/>
      </w:rPr>
    </w:lvl>
    <w:lvl w:ilvl="1" w:tplc="49F0FBA4">
      <w:start w:val="1"/>
      <w:numFmt w:val="lowerLetter"/>
      <w:lvlText w:val="%2."/>
      <w:lvlJc w:val="left"/>
      <w:pPr>
        <w:ind w:left="1440" w:hanging="358"/>
      </w:pPr>
      <w:rPr>
        <w:rFonts w:cs="Times New Roman"/>
      </w:rPr>
    </w:lvl>
    <w:lvl w:ilvl="2" w:tplc="7A06C15E">
      <w:start w:val="1"/>
      <w:numFmt w:val="lowerRoman"/>
      <w:lvlText w:val="%3."/>
      <w:lvlJc w:val="right"/>
      <w:pPr>
        <w:ind w:left="2160" w:hanging="178"/>
      </w:pPr>
      <w:rPr>
        <w:rFonts w:cs="Times New Roman"/>
      </w:rPr>
    </w:lvl>
    <w:lvl w:ilvl="3" w:tplc="DF68418A">
      <w:start w:val="1"/>
      <w:numFmt w:val="decimal"/>
      <w:lvlText w:val="%4."/>
      <w:lvlJc w:val="left"/>
      <w:pPr>
        <w:ind w:left="2880" w:hanging="358"/>
      </w:pPr>
      <w:rPr>
        <w:rFonts w:cs="Times New Roman"/>
      </w:rPr>
    </w:lvl>
    <w:lvl w:ilvl="4" w:tplc="DDB4CB02">
      <w:start w:val="1"/>
      <w:numFmt w:val="lowerLetter"/>
      <w:lvlText w:val="%5."/>
      <w:lvlJc w:val="left"/>
      <w:pPr>
        <w:ind w:left="3600" w:hanging="358"/>
      </w:pPr>
      <w:rPr>
        <w:rFonts w:cs="Times New Roman"/>
      </w:rPr>
    </w:lvl>
    <w:lvl w:ilvl="5" w:tplc="BE902DF4">
      <w:start w:val="1"/>
      <w:numFmt w:val="lowerRoman"/>
      <w:lvlText w:val="%6."/>
      <w:lvlJc w:val="right"/>
      <w:pPr>
        <w:ind w:left="4320" w:hanging="178"/>
      </w:pPr>
      <w:rPr>
        <w:rFonts w:cs="Times New Roman"/>
      </w:rPr>
    </w:lvl>
    <w:lvl w:ilvl="6" w:tplc="5A9C9AFC">
      <w:start w:val="1"/>
      <w:numFmt w:val="decimal"/>
      <w:lvlText w:val="%7."/>
      <w:lvlJc w:val="left"/>
      <w:pPr>
        <w:ind w:left="5040" w:hanging="358"/>
      </w:pPr>
      <w:rPr>
        <w:rFonts w:cs="Times New Roman"/>
      </w:rPr>
    </w:lvl>
    <w:lvl w:ilvl="7" w:tplc="1CA67AEE">
      <w:start w:val="1"/>
      <w:numFmt w:val="lowerLetter"/>
      <w:lvlText w:val="%8."/>
      <w:lvlJc w:val="left"/>
      <w:pPr>
        <w:ind w:left="5760" w:hanging="358"/>
      </w:pPr>
      <w:rPr>
        <w:rFonts w:cs="Times New Roman"/>
      </w:rPr>
    </w:lvl>
    <w:lvl w:ilvl="8" w:tplc="7780F4D2">
      <w:start w:val="1"/>
      <w:numFmt w:val="lowerRoman"/>
      <w:lvlText w:val="%9."/>
      <w:lvlJc w:val="right"/>
      <w:pPr>
        <w:ind w:left="6480" w:hanging="178"/>
      </w:pPr>
      <w:rPr>
        <w:rFonts w:cs="Times New Roman"/>
      </w:rPr>
    </w:lvl>
  </w:abstractNum>
  <w:abstractNum w:abstractNumId="31" w15:restartNumberingAfterBreak="0">
    <w:nsid w:val="25E86841"/>
    <w:multiLevelType w:val="hybridMultilevel"/>
    <w:tmpl w:val="927C11E6"/>
    <w:lvl w:ilvl="0" w:tplc="EC703750">
      <w:start w:val="1"/>
      <w:numFmt w:val="decimal"/>
      <w:lvlText w:val="%1."/>
      <w:lvlJc w:val="left"/>
      <w:pPr>
        <w:ind w:left="1429" w:hanging="358"/>
      </w:pPr>
      <w:rPr>
        <w:color w:val="auto"/>
      </w:rPr>
    </w:lvl>
    <w:lvl w:ilvl="1" w:tplc="6D2A6B68">
      <w:start w:val="1"/>
      <w:numFmt w:val="lowerLetter"/>
      <w:lvlText w:val="%2."/>
      <w:lvlJc w:val="left"/>
      <w:pPr>
        <w:ind w:left="2149" w:hanging="358"/>
      </w:pPr>
    </w:lvl>
    <w:lvl w:ilvl="2" w:tplc="137A84D6">
      <w:start w:val="1"/>
      <w:numFmt w:val="lowerRoman"/>
      <w:lvlText w:val="%3."/>
      <w:lvlJc w:val="right"/>
      <w:pPr>
        <w:ind w:left="2869" w:hanging="178"/>
      </w:pPr>
    </w:lvl>
    <w:lvl w:ilvl="3" w:tplc="8AEC0126">
      <w:start w:val="1"/>
      <w:numFmt w:val="decimal"/>
      <w:lvlText w:val="%4."/>
      <w:lvlJc w:val="left"/>
      <w:pPr>
        <w:ind w:left="3589" w:hanging="358"/>
      </w:pPr>
    </w:lvl>
    <w:lvl w:ilvl="4" w:tplc="897E0AEA">
      <w:start w:val="1"/>
      <w:numFmt w:val="lowerLetter"/>
      <w:lvlText w:val="%5."/>
      <w:lvlJc w:val="left"/>
      <w:pPr>
        <w:ind w:left="4309" w:hanging="358"/>
      </w:pPr>
    </w:lvl>
    <w:lvl w:ilvl="5" w:tplc="01382D22">
      <w:start w:val="1"/>
      <w:numFmt w:val="lowerRoman"/>
      <w:lvlText w:val="%6."/>
      <w:lvlJc w:val="right"/>
      <w:pPr>
        <w:ind w:left="5029" w:hanging="178"/>
      </w:pPr>
    </w:lvl>
    <w:lvl w:ilvl="6" w:tplc="E9502BE6">
      <w:start w:val="1"/>
      <w:numFmt w:val="decimal"/>
      <w:lvlText w:val="%7."/>
      <w:lvlJc w:val="left"/>
      <w:pPr>
        <w:ind w:left="5749" w:hanging="358"/>
      </w:pPr>
    </w:lvl>
    <w:lvl w:ilvl="7" w:tplc="607E4572">
      <w:start w:val="1"/>
      <w:numFmt w:val="lowerLetter"/>
      <w:lvlText w:val="%8."/>
      <w:lvlJc w:val="left"/>
      <w:pPr>
        <w:ind w:left="6469" w:hanging="358"/>
      </w:pPr>
    </w:lvl>
    <w:lvl w:ilvl="8" w:tplc="87EA93A0">
      <w:start w:val="1"/>
      <w:numFmt w:val="lowerRoman"/>
      <w:lvlText w:val="%9."/>
      <w:lvlJc w:val="right"/>
      <w:pPr>
        <w:ind w:left="7189" w:hanging="178"/>
      </w:pPr>
    </w:lvl>
  </w:abstractNum>
  <w:abstractNum w:abstractNumId="32" w15:restartNumberingAfterBreak="0">
    <w:nsid w:val="26431F62"/>
    <w:multiLevelType w:val="hybridMultilevel"/>
    <w:tmpl w:val="51CA43FC"/>
    <w:lvl w:ilvl="0" w:tplc="A41EC5E2">
      <w:start w:val="1"/>
      <w:numFmt w:val="decimal"/>
      <w:lvlText w:val="%1."/>
      <w:lvlJc w:val="left"/>
      <w:pPr>
        <w:ind w:left="720" w:hanging="359"/>
      </w:pPr>
    </w:lvl>
    <w:lvl w:ilvl="1" w:tplc="235E15A2">
      <w:start w:val="1"/>
      <w:numFmt w:val="lowerLetter"/>
      <w:lvlText w:val="%2."/>
      <w:lvlJc w:val="left"/>
      <w:pPr>
        <w:ind w:left="1440" w:hanging="359"/>
      </w:pPr>
    </w:lvl>
    <w:lvl w:ilvl="2" w:tplc="2F4A6FC6">
      <w:start w:val="1"/>
      <w:numFmt w:val="lowerRoman"/>
      <w:lvlText w:val="%3."/>
      <w:lvlJc w:val="right"/>
      <w:pPr>
        <w:ind w:left="2160" w:hanging="179"/>
      </w:pPr>
    </w:lvl>
    <w:lvl w:ilvl="3" w:tplc="8D2C71FC">
      <w:start w:val="1"/>
      <w:numFmt w:val="decimal"/>
      <w:lvlText w:val="%4."/>
      <w:lvlJc w:val="left"/>
      <w:pPr>
        <w:ind w:left="2880" w:hanging="359"/>
      </w:pPr>
    </w:lvl>
    <w:lvl w:ilvl="4" w:tplc="5F2C7D64">
      <w:start w:val="1"/>
      <w:numFmt w:val="lowerLetter"/>
      <w:lvlText w:val="%5."/>
      <w:lvlJc w:val="left"/>
      <w:pPr>
        <w:ind w:left="3600" w:hanging="359"/>
      </w:pPr>
    </w:lvl>
    <w:lvl w:ilvl="5" w:tplc="D40ED718">
      <w:start w:val="1"/>
      <w:numFmt w:val="lowerRoman"/>
      <w:lvlText w:val="%6."/>
      <w:lvlJc w:val="right"/>
      <w:pPr>
        <w:ind w:left="4320" w:hanging="179"/>
      </w:pPr>
    </w:lvl>
    <w:lvl w:ilvl="6" w:tplc="7090D0DA">
      <w:start w:val="1"/>
      <w:numFmt w:val="decimal"/>
      <w:lvlText w:val="%7."/>
      <w:lvlJc w:val="left"/>
      <w:pPr>
        <w:ind w:left="5040" w:hanging="359"/>
      </w:pPr>
    </w:lvl>
    <w:lvl w:ilvl="7" w:tplc="D53011B0">
      <w:start w:val="1"/>
      <w:numFmt w:val="lowerLetter"/>
      <w:lvlText w:val="%8."/>
      <w:lvlJc w:val="left"/>
      <w:pPr>
        <w:ind w:left="5760" w:hanging="359"/>
      </w:pPr>
    </w:lvl>
    <w:lvl w:ilvl="8" w:tplc="11006BEA">
      <w:start w:val="1"/>
      <w:numFmt w:val="lowerRoman"/>
      <w:lvlText w:val="%9."/>
      <w:lvlJc w:val="right"/>
      <w:pPr>
        <w:ind w:left="6480" w:hanging="179"/>
      </w:pPr>
    </w:lvl>
  </w:abstractNum>
  <w:abstractNum w:abstractNumId="33" w15:restartNumberingAfterBreak="0">
    <w:nsid w:val="26955B7D"/>
    <w:multiLevelType w:val="hybridMultilevel"/>
    <w:tmpl w:val="DEBEB9EA"/>
    <w:lvl w:ilvl="0" w:tplc="9F8E7A9C">
      <w:start w:val="1"/>
      <w:numFmt w:val="decimal"/>
      <w:lvlText w:val="%1)"/>
      <w:lvlJc w:val="left"/>
      <w:pPr>
        <w:ind w:left="1069" w:hanging="360"/>
      </w:pPr>
      <w:rPr>
        <w:rFonts w:ascii="Times New Roman" w:eastAsia="Times New Roman" w:hAnsi="Times New Roman" w:cs="Times New Roman"/>
      </w:rPr>
    </w:lvl>
    <w:lvl w:ilvl="1" w:tplc="04190019">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34" w15:restartNumberingAfterBreak="0">
    <w:nsid w:val="26A96D61"/>
    <w:multiLevelType w:val="hybridMultilevel"/>
    <w:tmpl w:val="D6A40DD0"/>
    <w:lvl w:ilvl="0" w:tplc="5B3A4680">
      <w:start w:val="1"/>
      <w:numFmt w:val="bullet"/>
      <w:lvlText w:val="o"/>
      <w:lvlJc w:val="left"/>
      <w:pPr>
        <w:ind w:left="720" w:hanging="358"/>
      </w:pPr>
      <w:rPr>
        <w:rFonts w:ascii="Courier New" w:hAnsi="Courier New" w:hint="default"/>
      </w:rPr>
    </w:lvl>
    <w:lvl w:ilvl="1" w:tplc="2D2A0200">
      <w:start w:val="1"/>
      <w:numFmt w:val="lowerLetter"/>
      <w:lvlText w:val="%2."/>
      <w:lvlJc w:val="left"/>
      <w:pPr>
        <w:ind w:left="1440" w:hanging="358"/>
      </w:pPr>
      <w:rPr>
        <w:rFonts w:cs="Times New Roman"/>
      </w:rPr>
    </w:lvl>
    <w:lvl w:ilvl="2" w:tplc="285CD5EC">
      <w:start w:val="1"/>
      <w:numFmt w:val="lowerRoman"/>
      <w:lvlText w:val="%3."/>
      <w:lvlJc w:val="right"/>
      <w:pPr>
        <w:ind w:left="2160" w:hanging="178"/>
      </w:pPr>
      <w:rPr>
        <w:rFonts w:cs="Times New Roman"/>
      </w:rPr>
    </w:lvl>
    <w:lvl w:ilvl="3" w:tplc="649AE382">
      <w:start w:val="1"/>
      <w:numFmt w:val="decimal"/>
      <w:lvlText w:val="%4."/>
      <w:lvlJc w:val="left"/>
      <w:pPr>
        <w:ind w:left="2880" w:hanging="358"/>
      </w:pPr>
      <w:rPr>
        <w:rFonts w:cs="Times New Roman"/>
      </w:rPr>
    </w:lvl>
    <w:lvl w:ilvl="4" w:tplc="9D368948">
      <w:start w:val="1"/>
      <w:numFmt w:val="lowerLetter"/>
      <w:lvlText w:val="%5."/>
      <w:lvlJc w:val="left"/>
      <w:pPr>
        <w:ind w:left="3600" w:hanging="358"/>
      </w:pPr>
      <w:rPr>
        <w:rFonts w:cs="Times New Roman"/>
      </w:rPr>
    </w:lvl>
    <w:lvl w:ilvl="5" w:tplc="10C826D2">
      <w:start w:val="1"/>
      <w:numFmt w:val="lowerRoman"/>
      <w:lvlText w:val="%6."/>
      <w:lvlJc w:val="right"/>
      <w:pPr>
        <w:ind w:left="4320" w:hanging="178"/>
      </w:pPr>
      <w:rPr>
        <w:rFonts w:cs="Times New Roman"/>
      </w:rPr>
    </w:lvl>
    <w:lvl w:ilvl="6" w:tplc="9A4CDB30">
      <w:start w:val="1"/>
      <w:numFmt w:val="decimal"/>
      <w:lvlText w:val="%7."/>
      <w:lvlJc w:val="left"/>
      <w:pPr>
        <w:ind w:left="5040" w:hanging="358"/>
      </w:pPr>
      <w:rPr>
        <w:rFonts w:cs="Times New Roman"/>
      </w:rPr>
    </w:lvl>
    <w:lvl w:ilvl="7" w:tplc="5D54BBFC">
      <w:start w:val="1"/>
      <w:numFmt w:val="lowerLetter"/>
      <w:lvlText w:val="%8."/>
      <w:lvlJc w:val="left"/>
      <w:pPr>
        <w:ind w:left="5760" w:hanging="358"/>
      </w:pPr>
      <w:rPr>
        <w:rFonts w:cs="Times New Roman"/>
      </w:rPr>
    </w:lvl>
    <w:lvl w:ilvl="8" w:tplc="450AFA3C">
      <w:start w:val="1"/>
      <w:numFmt w:val="lowerRoman"/>
      <w:lvlText w:val="%9."/>
      <w:lvlJc w:val="right"/>
      <w:pPr>
        <w:ind w:left="6480" w:hanging="178"/>
      </w:pPr>
      <w:rPr>
        <w:rFonts w:cs="Times New Roman"/>
      </w:rPr>
    </w:lvl>
  </w:abstractNum>
  <w:abstractNum w:abstractNumId="35" w15:restartNumberingAfterBreak="0">
    <w:nsid w:val="29C23B39"/>
    <w:multiLevelType w:val="hybridMultilevel"/>
    <w:tmpl w:val="79EE3632"/>
    <w:lvl w:ilvl="0" w:tplc="8D463EF2">
      <w:start w:val="1"/>
      <w:numFmt w:val="bullet"/>
      <w:lvlText w:val=""/>
      <w:lvlJc w:val="left"/>
      <w:pPr>
        <w:ind w:left="1429" w:hanging="358"/>
      </w:pPr>
      <w:rPr>
        <w:rFonts w:ascii="Symbol" w:hAnsi="Symbol" w:hint="default"/>
      </w:rPr>
    </w:lvl>
    <w:lvl w:ilvl="1" w:tplc="51D0FE76">
      <w:start w:val="1"/>
      <w:numFmt w:val="bullet"/>
      <w:lvlText w:val="o"/>
      <w:lvlJc w:val="left"/>
      <w:pPr>
        <w:ind w:left="2149" w:hanging="358"/>
      </w:pPr>
      <w:rPr>
        <w:rFonts w:ascii="Courier New" w:hAnsi="Courier New" w:cs="Times New Roman" w:hint="default"/>
      </w:rPr>
    </w:lvl>
    <w:lvl w:ilvl="2" w:tplc="BA2A56A8">
      <w:start w:val="1"/>
      <w:numFmt w:val="bullet"/>
      <w:lvlText w:val=""/>
      <w:lvlJc w:val="left"/>
      <w:pPr>
        <w:ind w:left="2869" w:hanging="358"/>
      </w:pPr>
      <w:rPr>
        <w:rFonts w:ascii="Wingdings" w:hAnsi="Wingdings" w:hint="default"/>
      </w:rPr>
    </w:lvl>
    <w:lvl w:ilvl="3" w:tplc="CDB4260A">
      <w:start w:val="1"/>
      <w:numFmt w:val="bullet"/>
      <w:lvlText w:val=""/>
      <w:lvlJc w:val="left"/>
      <w:pPr>
        <w:ind w:left="3589" w:hanging="358"/>
      </w:pPr>
      <w:rPr>
        <w:rFonts w:ascii="Symbol" w:hAnsi="Symbol" w:hint="default"/>
      </w:rPr>
    </w:lvl>
    <w:lvl w:ilvl="4" w:tplc="9F60953A">
      <w:start w:val="1"/>
      <w:numFmt w:val="bullet"/>
      <w:lvlText w:val="o"/>
      <w:lvlJc w:val="left"/>
      <w:pPr>
        <w:ind w:left="4309" w:hanging="358"/>
      </w:pPr>
      <w:rPr>
        <w:rFonts w:ascii="Courier New" w:hAnsi="Courier New" w:cs="Times New Roman" w:hint="default"/>
      </w:rPr>
    </w:lvl>
    <w:lvl w:ilvl="5" w:tplc="4B90698C">
      <w:start w:val="1"/>
      <w:numFmt w:val="bullet"/>
      <w:lvlText w:val=""/>
      <w:lvlJc w:val="left"/>
      <w:pPr>
        <w:ind w:left="5029" w:hanging="358"/>
      </w:pPr>
      <w:rPr>
        <w:rFonts w:ascii="Wingdings" w:hAnsi="Wingdings" w:hint="default"/>
      </w:rPr>
    </w:lvl>
    <w:lvl w:ilvl="6" w:tplc="9A3675D0">
      <w:start w:val="1"/>
      <w:numFmt w:val="bullet"/>
      <w:lvlText w:val=""/>
      <w:lvlJc w:val="left"/>
      <w:pPr>
        <w:ind w:left="5749" w:hanging="358"/>
      </w:pPr>
      <w:rPr>
        <w:rFonts w:ascii="Symbol" w:hAnsi="Symbol" w:hint="default"/>
      </w:rPr>
    </w:lvl>
    <w:lvl w:ilvl="7" w:tplc="1A5A3D3C">
      <w:start w:val="1"/>
      <w:numFmt w:val="bullet"/>
      <w:lvlText w:val="o"/>
      <w:lvlJc w:val="left"/>
      <w:pPr>
        <w:ind w:left="6469" w:hanging="358"/>
      </w:pPr>
      <w:rPr>
        <w:rFonts w:ascii="Courier New" w:hAnsi="Courier New" w:cs="Times New Roman" w:hint="default"/>
      </w:rPr>
    </w:lvl>
    <w:lvl w:ilvl="8" w:tplc="8696BF60">
      <w:start w:val="1"/>
      <w:numFmt w:val="bullet"/>
      <w:lvlText w:val=""/>
      <w:lvlJc w:val="left"/>
      <w:pPr>
        <w:ind w:left="7189" w:hanging="358"/>
      </w:pPr>
      <w:rPr>
        <w:rFonts w:ascii="Wingdings" w:hAnsi="Wingdings" w:hint="default"/>
      </w:rPr>
    </w:lvl>
  </w:abstractNum>
  <w:abstractNum w:abstractNumId="36" w15:restartNumberingAfterBreak="0">
    <w:nsid w:val="2A1D5857"/>
    <w:multiLevelType w:val="hybridMultilevel"/>
    <w:tmpl w:val="95B4886C"/>
    <w:lvl w:ilvl="0" w:tplc="2C028EC2">
      <w:start w:val="1"/>
      <w:numFmt w:val="bullet"/>
      <w:lvlText w:val=""/>
      <w:lvlJc w:val="left"/>
      <w:pPr>
        <w:ind w:left="720" w:hanging="359"/>
      </w:pPr>
      <w:rPr>
        <w:rFonts w:ascii="Wingdings" w:hAnsi="Wingdings"/>
      </w:rPr>
    </w:lvl>
    <w:lvl w:ilvl="1" w:tplc="231A03CA">
      <w:start w:val="1"/>
      <w:numFmt w:val="bullet"/>
      <w:lvlText w:val="o"/>
      <w:lvlJc w:val="left"/>
      <w:pPr>
        <w:ind w:left="1440" w:hanging="359"/>
      </w:pPr>
      <w:rPr>
        <w:rFonts w:ascii="Courier New" w:hAnsi="Courier New"/>
      </w:rPr>
    </w:lvl>
    <w:lvl w:ilvl="2" w:tplc="CFDEF370">
      <w:start w:val="1"/>
      <w:numFmt w:val="bullet"/>
      <w:lvlText w:val=""/>
      <w:lvlJc w:val="left"/>
      <w:pPr>
        <w:ind w:left="2160" w:hanging="359"/>
      </w:pPr>
      <w:rPr>
        <w:rFonts w:ascii="Wingdings" w:hAnsi="Wingdings"/>
      </w:rPr>
    </w:lvl>
    <w:lvl w:ilvl="3" w:tplc="C45C9B40">
      <w:start w:val="1"/>
      <w:numFmt w:val="bullet"/>
      <w:lvlText w:val=""/>
      <w:lvlJc w:val="left"/>
      <w:pPr>
        <w:ind w:left="2880" w:hanging="359"/>
      </w:pPr>
      <w:rPr>
        <w:rFonts w:ascii="Symbol" w:hAnsi="Symbol"/>
      </w:rPr>
    </w:lvl>
    <w:lvl w:ilvl="4" w:tplc="93966F1A">
      <w:start w:val="1"/>
      <w:numFmt w:val="bullet"/>
      <w:lvlText w:val="o"/>
      <w:lvlJc w:val="left"/>
      <w:pPr>
        <w:ind w:left="3600" w:hanging="359"/>
      </w:pPr>
      <w:rPr>
        <w:rFonts w:ascii="Courier New" w:hAnsi="Courier New"/>
      </w:rPr>
    </w:lvl>
    <w:lvl w:ilvl="5" w:tplc="D8501380">
      <w:start w:val="1"/>
      <w:numFmt w:val="bullet"/>
      <w:lvlText w:val=""/>
      <w:lvlJc w:val="left"/>
      <w:pPr>
        <w:ind w:left="4320" w:hanging="359"/>
      </w:pPr>
      <w:rPr>
        <w:rFonts w:ascii="Wingdings" w:hAnsi="Wingdings"/>
      </w:rPr>
    </w:lvl>
    <w:lvl w:ilvl="6" w:tplc="67B052A6">
      <w:start w:val="1"/>
      <w:numFmt w:val="bullet"/>
      <w:lvlText w:val=""/>
      <w:lvlJc w:val="left"/>
      <w:pPr>
        <w:ind w:left="5040" w:hanging="359"/>
      </w:pPr>
      <w:rPr>
        <w:rFonts w:ascii="Symbol" w:hAnsi="Symbol"/>
      </w:rPr>
    </w:lvl>
    <w:lvl w:ilvl="7" w:tplc="32C89CDA">
      <w:start w:val="1"/>
      <w:numFmt w:val="bullet"/>
      <w:lvlText w:val="o"/>
      <w:lvlJc w:val="left"/>
      <w:pPr>
        <w:ind w:left="5760" w:hanging="359"/>
      </w:pPr>
      <w:rPr>
        <w:rFonts w:ascii="Courier New" w:hAnsi="Courier New"/>
      </w:rPr>
    </w:lvl>
    <w:lvl w:ilvl="8" w:tplc="E84E9B04">
      <w:start w:val="1"/>
      <w:numFmt w:val="bullet"/>
      <w:lvlText w:val=""/>
      <w:lvlJc w:val="left"/>
      <w:pPr>
        <w:ind w:left="6480" w:hanging="359"/>
      </w:pPr>
      <w:rPr>
        <w:rFonts w:ascii="Wingdings" w:hAnsi="Wingdings"/>
      </w:rPr>
    </w:lvl>
  </w:abstractNum>
  <w:abstractNum w:abstractNumId="37" w15:restartNumberingAfterBreak="0">
    <w:nsid w:val="2BB32D15"/>
    <w:multiLevelType w:val="hybridMultilevel"/>
    <w:tmpl w:val="6D5CD9FE"/>
    <w:lvl w:ilvl="0" w:tplc="6FD26116">
      <w:start w:val="1"/>
      <w:numFmt w:val="decimal"/>
      <w:lvlText w:val="%1."/>
      <w:lvlJc w:val="left"/>
      <w:pPr>
        <w:ind w:left="720" w:hanging="358"/>
      </w:pPr>
      <w:rPr>
        <w:rFonts w:hint="default"/>
      </w:rPr>
    </w:lvl>
    <w:lvl w:ilvl="1" w:tplc="F306E7D6">
      <w:start w:val="1"/>
      <w:numFmt w:val="lowerLetter"/>
      <w:lvlText w:val="%2."/>
      <w:lvlJc w:val="left"/>
      <w:pPr>
        <w:ind w:left="1440" w:hanging="358"/>
      </w:pPr>
      <w:rPr>
        <w:rFonts w:cs="Times New Roman"/>
      </w:rPr>
    </w:lvl>
    <w:lvl w:ilvl="2" w:tplc="AAE8F20E">
      <w:start w:val="1"/>
      <w:numFmt w:val="lowerRoman"/>
      <w:lvlText w:val="%3."/>
      <w:lvlJc w:val="right"/>
      <w:pPr>
        <w:ind w:left="2160" w:hanging="178"/>
      </w:pPr>
      <w:rPr>
        <w:rFonts w:cs="Times New Roman"/>
      </w:rPr>
    </w:lvl>
    <w:lvl w:ilvl="3" w:tplc="B0D68AF4">
      <w:start w:val="1"/>
      <w:numFmt w:val="decimal"/>
      <w:lvlText w:val="%4."/>
      <w:lvlJc w:val="left"/>
      <w:pPr>
        <w:ind w:left="2880" w:hanging="358"/>
      </w:pPr>
      <w:rPr>
        <w:rFonts w:cs="Times New Roman"/>
      </w:rPr>
    </w:lvl>
    <w:lvl w:ilvl="4" w:tplc="5BD08E48">
      <w:start w:val="1"/>
      <w:numFmt w:val="lowerLetter"/>
      <w:lvlText w:val="%5."/>
      <w:lvlJc w:val="left"/>
      <w:pPr>
        <w:ind w:left="3600" w:hanging="358"/>
      </w:pPr>
      <w:rPr>
        <w:rFonts w:cs="Times New Roman"/>
      </w:rPr>
    </w:lvl>
    <w:lvl w:ilvl="5" w:tplc="DA44EC02">
      <w:start w:val="1"/>
      <w:numFmt w:val="lowerRoman"/>
      <w:lvlText w:val="%6."/>
      <w:lvlJc w:val="right"/>
      <w:pPr>
        <w:ind w:left="4320" w:hanging="178"/>
      </w:pPr>
      <w:rPr>
        <w:rFonts w:cs="Times New Roman"/>
      </w:rPr>
    </w:lvl>
    <w:lvl w:ilvl="6" w:tplc="CAF83DBE">
      <w:start w:val="1"/>
      <w:numFmt w:val="decimal"/>
      <w:lvlText w:val="%7."/>
      <w:lvlJc w:val="left"/>
      <w:pPr>
        <w:ind w:left="5040" w:hanging="358"/>
      </w:pPr>
      <w:rPr>
        <w:rFonts w:cs="Times New Roman"/>
      </w:rPr>
    </w:lvl>
    <w:lvl w:ilvl="7" w:tplc="F91ADBCE">
      <w:start w:val="1"/>
      <w:numFmt w:val="lowerLetter"/>
      <w:lvlText w:val="%8."/>
      <w:lvlJc w:val="left"/>
      <w:pPr>
        <w:ind w:left="5760" w:hanging="358"/>
      </w:pPr>
      <w:rPr>
        <w:rFonts w:cs="Times New Roman"/>
      </w:rPr>
    </w:lvl>
    <w:lvl w:ilvl="8" w:tplc="F9BEB76A">
      <w:start w:val="1"/>
      <w:numFmt w:val="lowerRoman"/>
      <w:lvlText w:val="%9."/>
      <w:lvlJc w:val="right"/>
      <w:pPr>
        <w:ind w:left="6480" w:hanging="178"/>
      </w:pPr>
      <w:rPr>
        <w:rFonts w:cs="Times New Roman"/>
      </w:rPr>
    </w:lvl>
  </w:abstractNum>
  <w:abstractNum w:abstractNumId="38" w15:restartNumberingAfterBreak="0">
    <w:nsid w:val="2C3108E3"/>
    <w:multiLevelType w:val="hybridMultilevel"/>
    <w:tmpl w:val="5EB6D6E2"/>
    <w:lvl w:ilvl="0" w:tplc="5898445A">
      <w:start w:val="1"/>
      <w:numFmt w:val="decimal"/>
      <w:lvlText w:val="%1"/>
      <w:lvlJc w:val="left"/>
      <w:pPr>
        <w:ind w:left="1069" w:hanging="358"/>
      </w:pPr>
      <w:rPr>
        <w:rFonts w:ascii="Times New Roman" w:eastAsia="Times New Roman" w:hAnsi="Times New Roman" w:cs="Times New Roman"/>
        <w:b w:val="0"/>
        <w:i w:val="0"/>
        <w:sz w:val="24"/>
        <w:szCs w:val="24"/>
      </w:rPr>
    </w:lvl>
    <w:lvl w:ilvl="1" w:tplc="A16405D2">
      <w:start w:val="1"/>
      <w:numFmt w:val="lowerLetter"/>
      <w:lvlText w:val="%2."/>
      <w:lvlJc w:val="left"/>
      <w:pPr>
        <w:ind w:left="1789" w:hanging="358"/>
      </w:pPr>
      <w:rPr>
        <w:rFonts w:cs="Times New Roman"/>
      </w:rPr>
    </w:lvl>
    <w:lvl w:ilvl="2" w:tplc="98AC6D30">
      <w:start w:val="1"/>
      <w:numFmt w:val="lowerRoman"/>
      <w:lvlText w:val="%3."/>
      <w:lvlJc w:val="right"/>
      <w:pPr>
        <w:ind w:left="2509" w:hanging="178"/>
      </w:pPr>
      <w:rPr>
        <w:rFonts w:cs="Times New Roman"/>
      </w:rPr>
    </w:lvl>
    <w:lvl w:ilvl="3" w:tplc="6B74C100">
      <w:start w:val="1"/>
      <w:numFmt w:val="decimal"/>
      <w:lvlText w:val="%4."/>
      <w:lvlJc w:val="left"/>
      <w:pPr>
        <w:ind w:left="3229" w:hanging="358"/>
      </w:pPr>
      <w:rPr>
        <w:rFonts w:cs="Times New Roman"/>
      </w:rPr>
    </w:lvl>
    <w:lvl w:ilvl="4" w:tplc="C2EC7572">
      <w:start w:val="1"/>
      <w:numFmt w:val="lowerLetter"/>
      <w:lvlText w:val="%5."/>
      <w:lvlJc w:val="left"/>
      <w:pPr>
        <w:ind w:left="3949" w:hanging="358"/>
      </w:pPr>
      <w:rPr>
        <w:rFonts w:cs="Times New Roman"/>
      </w:rPr>
    </w:lvl>
    <w:lvl w:ilvl="5" w:tplc="FB64D710">
      <w:start w:val="1"/>
      <w:numFmt w:val="lowerRoman"/>
      <w:lvlText w:val="%6."/>
      <w:lvlJc w:val="right"/>
      <w:pPr>
        <w:ind w:left="4669" w:hanging="178"/>
      </w:pPr>
      <w:rPr>
        <w:rFonts w:cs="Times New Roman"/>
      </w:rPr>
    </w:lvl>
    <w:lvl w:ilvl="6" w:tplc="1666CC0A">
      <w:start w:val="1"/>
      <w:numFmt w:val="decimal"/>
      <w:lvlText w:val="%7."/>
      <w:lvlJc w:val="left"/>
      <w:pPr>
        <w:ind w:left="5389" w:hanging="358"/>
      </w:pPr>
      <w:rPr>
        <w:rFonts w:cs="Times New Roman"/>
      </w:rPr>
    </w:lvl>
    <w:lvl w:ilvl="7" w:tplc="55FAC878">
      <w:start w:val="1"/>
      <w:numFmt w:val="lowerLetter"/>
      <w:lvlText w:val="%8."/>
      <w:lvlJc w:val="left"/>
      <w:pPr>
        <w:ind w:left="6109" w:hanging="358"/>
      </w:pPr>
      <w:rPr>
        <w:rFonts w:cs="Times New Roman"/>
      </w:rPr>
    </w:lvl>
    <w:lvl w:ilvl="8" w:tplc="4C9EB2CC">
      <w:start w:val="1"/>
      <w:numFmt w:val="lowerRoman"/>
      <w:lvlText w:val="%9."/>
      <w:lvlJc w:val="right"/>
      <w:pPr>
        <w:ind w:left="6829" w:hanging="178"/>
      </w:pPr>
      <w:rPr>
        <w:rFonts w:cs="Times New Roman"/>
      </w:rPr>
    </w:lvl>
  </w:abstractNum>
  <w:abstractNum w:abstractNumId="39" w15:restartNumberingAfterBreak="0">
    <w:nsid w:val="2DF66D8E"/>
    <w:multiLevelType w:val="hybridMultilevel"/>
    <w:tmpl w:val="4BEAD204"/>
    <w:lvl w:ilvl="0" w:tplc="7752064E">
      <w:start w:val="1"/>
      <w:numFmt w:val="decimal"/>
      <w:suff w:val="space"/>
      <w:lvlText w:val="%1."/>
      <w:lvlJc w:val="left"/>
      <w:rPr>
        <w:rFonts w:cs="Times New Roman" w:hint="default"/>
        <w:sz w:val="24"/>
        <w:szCs w:val="24"/>
      </w:rPr>
    </w:lvl>
    <w:lvl w:ilvl="1" w:tplc="32C89D9A">
      <w:start w:val="1"/>
      <w:numFmt w:val="decimal"/>
      <w:lvlText w:val=""/>
      <w:lvlJc w:val="left"/>
      <w:rPr>
        <w:rFonts w:cs="Times New Roman" w:hint="default"/>
      </w:rPr>
    </w:lvl>
    <w:lvl w:ilvl="2" w:tplc="99E0C700">
      <w:start w:val="1"/>
      <w:numFmt w:val="decimal"/>
      <w:lvlText w:val=""/>
      <w:lvlJc w:val="left"/>
      <w:rPr>
        <w:rFonts w:cs="Times New Roman" w:hint="default"/>
      </w:rPr>
    </w:lvl>
    <w:lvl w:ilvl="3" w:tplc="E8209474">
      <w:start w:val="1"/>
      <w:numFmt w:val="decimal"/>
      <w:lvlText w:val=""/>
      <w:lvlJc w:val="left"/>
      <w:rPr>
        <w:rFonts w:cs="Times New Roman" w:hint="default"/>
      </w:rPr>
    </w:lvl>
    <w:lvl w:ilvl="4" w:tplc="A78AE75C">
      <w:start w:val="1"/>
      <w:numFmt w:val="decimal"/>
      <w:lvlText w:val=""/>
      <w:lvlJc w:val="left"/>
      <w:rPr>
        <w:rFonts w:cs="Times New Roman" w:hint="default"/>
      </w:rPr>
    </w:lvl>
    <w:lvl w:ilvl="5" w:tplc="3648DC1E">
      <w:start w:val="1"/>
      <w:numFmt w:val="decimal"/>
      <w:lvlText w:val=""/>
      <w:lvlJc w:val="left"/>
      <w:rPr>
        <w:rFonts w:cs="Times New Roman" w:hint="default"/>
      </w:rPr>
    </w:lvl>
    <w:lvl w:ilvl="6" w:tplc="13B0980A">
      <w:start w:val="1"/>
      <w:numFmt w:val="decimal"/>
      <w:lvlText w:val=""/>
      <w:lvlJc w:val="left"/>
      <w:rPr>
        <w:rFonts w:cs="Times New Roman" w:hint="default"/>
      </w:rPr>
    </w:lvl>
    <w:lvl w:ilvl="7" w:tplc="28BE7052">
      <w:start w:val="1"/>
      <w:numFmt w:val="decimal"/>
      <w:lvlText w:val=""/>
      <w:lvlJc w:val="left"/>
      <w:rPr>
        <w:rFonts w:cs="Times New Roman" w:hint="default"/>
      </w:rPr>
    </w:lvl>
    <w:lvl w:ilvl="8" w:tplc="7D42D848">
      <w:start w:val="1"/>
      <w:numFmt w:val="decimal"/>
      <w:lvlText w:val=""/>
      <w:lvlJc w:val="left"/>
      <w:rPr>
        <w:rFonts w:cs="Times New Roman" w:hint="default"/>
      </w:rPr>
    </w:lvl>
  </w:abstractNum>
  <w:abstractNum w:abstractNumId="40" w15:restartNumberingAfterBreak="0">
    <w:nsid w:val="2DFF466A"/>
    <w:multiLevelType w:val="hybridMultilevel"/>
    <w:tmpl w:val="08144562"/>
    <w:lvl w:ilvl="0" w:tplc="4EEC331E">
      <w:start w:val="1"/>
      <w:numFmt w:val="upperRoman"/>
      <w:lvlText w:val="%1."/>
      <w:lvlJc w:val="right"/>
      <w:pPr>
        <w:ind w:left="720" w:hanging="359"/>
      </w:pPr>
    </w:lvl>
    <w:lvl w:ilvl="1" w:tplc="8AA668EE">
      <w:start w:val="1"/>
      <w:numFmt w:val="lowerLetter"/>
      <w:lvlText w:val="%2."/>
      <w:lvlJc w:val="left"/>
      <w:pPr>
        <w:ind w:left="1440" w:hanging="359"/>
      </w:pPr>
    </w:lvl>
    <w:lvl w:ilvl="2" w:tplc="DC72B726">
      <w:start w:val="1"/>
      <w:numFmt w:val="lowerRoman"/>
      <w:lvlText w:val="%3."/>
      <w:lvlJc w:val="right"/>
      <w:pPr>
        <w:ind w:left="2160" w:hanging="179"/>
      </w:pPr>
    </w:lvl>
    <w:lvl w:ilvl="3" w:tplc="A87666C4">
      <w:start w:val="1"/>
      <w:numFmt w:val="decimal"/>
      <w:lvlText w:val="%4."/>
      <w:lvlJc w:val="left"/>
      <w:pPr>
        <w:ind w:left="2880" w:hanging="359"/>
      </w:pPr>
    </w:lvl>
    <w:lvl w:ilvl="4" w:tplc="D04ED324">
      <w:start w:val="1"/>
      <w:numFmt w:val="lowerLetter"/>
      <w:lvlText w:val="%5."/>
      <w:lvlJc w:val="left"/>
      <w:pPr>
        <w:ind w:left="3600" w:hanging="359"/>
      </w:pPr>
    </w:lvl>
    <w:lvl w:ilvl="5" w:tplc="CBD42BBA">
      <w:start w:val="1"/>
      <w:numFmt w:val="lowerRoman"/>
      <w:lvlText w:val="%6."/>
      <w:lvlJc w:val="right"/>
      <w:pPr>
        <w:ind w:left="4320" w:hanging="179"/>
      </w:pPr>
    </w:lvl>
    <w:lvl w:ilvl="6" w:tplc="DAB04B20">
      <w:start w:val="1"/>
      <w:numFmt w:val="decimal"/>
      <w:lvlText w:val="%7."/>
      <w:lvlJc w:val="left"/>
      <w:pPr>
        <w:ind w:left="5040" w:hanging="359"/>
      </w:pPr>
    </w:lvl>
    <w:lvl w:ilvl="7" w:tplc="64D80B16">
      <w:start w:val="1"/>
      <w:numFmt w:val="lowerLetter"/>
      <w:lvlText w:val="%8."/>
      <w:lvlJc w:val="left"/>
      <w:pPr>
        <w:ind w:left="5760" w:hanging="359"/>
      </w:pPr>
    </w:lvl>
    <w:lvl w:ilvl="8" w:tplc="BF3AC832">
      <w:start w:val="1"/>
      <w:numFmt w:val="lowerRoman"/>
      <w:lvlText w:val="%9."/>
      <w:lvlJc w:val="right"/>
      <w:pPr>
        <w:ind w:left="6480" w:hanging="179"/>
      </w:pPr>
    </w:lvl>
  </w:abstractNum>
  <w:abstractNum w:abstractNumId="41" w15:restartNumberingAfterBreak="0">
    <w:nsid w:val="2F226F9F"/>
    <w:multiLevelType w:val="hybridMultilevel"/>
    <w:tmpl w:val="E3EEAD64"/>
    <w:lvl w:ilvl="0" w:tplc="4BBA71FE">
      <w:start w:val="1"/>
      <w:numFmt w:val="bullet"/>
      <w:lvlText w:val=""/>
      <w:lvlJc w:val="left"/>
      <w:pPr>
        <w:tabs>
          <w:tab w:val="left" w:pos="1571"/>
        </w:tabs>
        <w:ind w:left="1571" w:hanging="359"/>
      </w:pPr>
      <w:rPr>
        <w:rFonts w:ascii="Symbol" w:hAnsi="Symbol"/>
      </w:rPr>
    </w:lvl>
    <w:lvl w:ilvl="1" w:tplc="7AA22A92">
      <w:start w:val="1"/>
      <w:numFmt w:val="bullet"/>
      <w:lvlText w:val="o"/>
      <w:lvlJc w:val="left"/>
      <w:pPr>
        <w:ind w:left="2291" w:hanging="359"/>
      </w:pPr>
      <w:rPr>
        <w:rFonts w:ascii="Courier New" w:hAnsi="Courier New"/>
      </w:rPr>
    </w:lvl>
    <w:lvl w:ilvl="2" w:tplc="8CF4CEDE">
      <w:start w:val="1"/>
      <w:numFmt w:val="bullet"/>
      <w:lvlText w:val=""/>
      <w:lvlJc w:val="left"/>
      <w:pPr>
        <w:ind w:left="3011" w:hanging="359"/>
      </w:pPr>
      <w:rPr>
        <w:rFonts w:ascii="Wingdings" w:hAnsi="Wingdings"/>
      </w:rPr>
    </w:lvl>
    <w:lvl w:ilvl="3" w:tplc="8F985BEA">
      <w:start w:val="1"/>
      <w:numFmt w:val="bullet"/>
      <w:lvlText w:val=""/>
      <w:lvlJc w:val="left"/>
      <w:pPr>
        <w:ind w:left="3731" w:hanging="359"/>
      </w:pPr>
      <w:rPr>
        <w:rFonts w:ascii="Symbol" w:hAnsi="Symbol"/>
      </w:rPr>
    </w:lvl>
    <w:lvl w:ilvl="4" w:tplc="A5982B1A">
      <w:start w:val="1"/>
      <w:numFmt w:val="bullet"/>
      <w:lvlText w:val="o"/>
      <w:lvlJc w:val="left"/>
      <w:pPr>
        <w:ind w:left="4451" w:hanging="359"/>
      </w:pPr>
      <w:rPr>
        <w:rFonts w:ascii="Courier New" w:hAnsi="Courier New"/>
      </w:rPr>
    </w:lvl>
    <w:lvl w:ilvl="5" w:tplc="DE88BEC0">
      <w:start w:val="1"/>
      <w:numFmt w:val="bullet"/>
      <w:lvlText w:val=""/>
      <w:lvlJc w:val="left"/>
      <w:pPr>
        <w:ind w:left="5171" w:hanging="359"/>
      </w:pPr>
      <w:rPr>
        <w:rFonts w:ascii="Wingdings" w:hAnsi="Wingdings"/>
      </w:rPr>
    </w:lvl>
    <w:lvl w:ilvl="6" w:tplc="502E57B6">
      <w:start w:val="1"/>
      <w:numFmt w:val="bullet"/>
      <w:lvlText w:val=""/>
      <w:lvlJc w:val="left"/>
      <w:pPr>
        <w:ind w:left="5891" w:hanging="359"/>
      </w:pPr>
      <w:rPr>
        <w:rFonts w:ascii="Symbol" w:hAnsi="Symbol"/>
      </w:rPr>
    </w:lvl>
    <w:lvl w:ilvl="7" w:tplc="52945C76">
      <w:start w:val="1"/>
      <w:numFmt w:val="bullet"/>
      <w:lvlText w:val="o"/>
      <w:lvlJc w:val="left"/>
      <w:pPr>
        <w:ind w:left="6611" w:hanging="359"/>
      </w:pPr>
      <w:rPr>
        <w:rFonts w:ascii="Courier New" w:hAnsi="Courier New"/>
      </w:rPr>
    </w:lvl>
    <w:lvl w:ilvl="8" w:tplc="AD32DFE4">
      <w:start w:val="1"/>
      <w:numFmt w:val="bullet"/>
      <w:lvlText w:val=""/>
      <w:lvlJc w:val="left"/>
      <w:pPr>
        <w:ind w:left="7331" w:hanging="359"/>
      </w:pPr>
      <w:rPr>
        <w:rFonts w:ascii="Wingdings" w:hAnsi="Wingdings"/>
      </w:rPr>
    </w:lvl>
  </w:abstractNum>
  <w:abstractNum w:abstractNumId="42" w15:restartNumberingAfterBreak="0">
    <w:nsid w:val="2FDE0826"/>
    <w:multiLevelType w:val="hybridMultilevel"/>
    <w:tmpl w:val="8E7EEEB4"/>
    <w:lvl w:ilvl="0" w:tplc="08BA1654">
      <w:start w:val="1"/>
      <w:numFmt w:val="decimal"/>
      <w:lvlText w:val="%1."/>
      <w:lvlJc w:val="left"/>
      <w:pPr>
        <w:ind w:left="1429" w:hanging="358"/>
      </w:pPr>
    </w:lvl>
    <w:lvl w:ilvl="1" w:tplc="E4BE0BFA">
      <w:start w:val="1"/>
      <w:numFmt w:val="lowerLetter"/>
      <w:lvlText w:val="%2."/>
      <w:lvlJc w:val="left"/>
      <w:pPr>
        <w:ind w:left="2149" w:hanging="358"/>
      </w:pPr>
    </w:lvl>
    <w:lvl w:ilvl="2" w:tplc="CCFA3138">
      <w:start w:val="1"/>
      <w:numFmt w:val="lowerRoman"/>
      <w:lvlText w:val="%3."/>
      <w:lvlJc w:val="right"/>
      <w:pPr>
        <w:ind w:left="2869" w:hanging="178"/>
      </w:pPr>
    </w:lvl>
    <w:lvl w:ilvl="3" w:tplc="A726E0F2">
      <w:start w:val="1"/>
      <w:numFmt w:val="decimal"/>
      <w:lvlText w:val="%4."/>
      <w:lvlJc w:val="left"/>
      <w:pPr>
        <w:ind w:left="3589" w:hanging="358"/>
      </w:pPr>
    </w:lvl>
    <w:lvl w:ilvl="4" w:tplc="2DC0728A">
      <w:start w:val="1"/>
      <w:numFmt w:val="lowerLetter"/>
      <w:lvlText w:val="%5."/>
      <w:lvlJc w:val="left"/>
      <w:pPr>
        <w:ind w:left="4309" w:hanging="358"/>
      </w:pPr>
    </w:lvl>
    <w:lvl w:ilvl="5" w:tplc="72DCF86C">
      <w:start w:val="1"/>
      <w:numFmt w:val="lowerRoman"/>
      <w:lvlText w:val="%6."/>
      <w:lvlJc w:val="right"/>
      <w:pPr>
        <w:ind w:left="5029" w:hanging="178"/>
      </w:pPr>
    </w:lvl>
    <w:lvl w:ilvl="6" w:tplc="0B82CBD2">
      <w:start w:val="1"/>
      <w:numFmt w:val="decimal"/>
      <w:lvlText w:val="%7."/>
      <w:lvlJc w:val="left"/>
      <w:pPr>
        <w:ind w:left="5749" w:hanging="358"/>
      </w:pPr>
    </w:lvl>
    <w:lvl w:ilvl="7" w:tplc="B6C647B8">
      <w:start w:val="1"/>
      <w:numFmt w:val="lowerLetter"/>
      <w:lvlText w:val="%8."/>
      <w:lvlJc w:val="left"/>
      <w:pPr>
        <w:ind w:left="6469" w:hanging="358"/>
      </w:pPr>
    </w:lvl>
    <w:lvl w:ilvl="8" w:tplc="E86AD21C">
      <w:start w:val="1"/>
      <w:numFmt w:val="lowerRoman"/>
      <w:lvlText w:val="%9."/>
      <w:lvlJc w:val="right"/>
      <w:pPr>
        <w:ind w:left="7189" w:hanging="178"/>
      </w:pPr>
    </w:lvl>
  </w:abstractNum>
  <w:abstractNum w:abstractNumId="43" w15:restartNumberingAfterBreak="0">
    <w:nsid w:val="307E7DFA"/>
    <w:multiLevelType w:val="hybridMultilevel"/>
    <w:tmpl w:val="77AEEB70"/>
    <w:lvl w:ilvl="0" w:tplc="0419000F">
      <w:start w:val="1"/>
      <w:numFmt w:val="decimal"/>
      <w:lvlText w:val="%1."/>
      <w:lvlJc w:val="left"/>
      <w:pPr>
        <w:ind w:left="786" w:hanging="360"/>
      </w:pPr>
      <w:rPr>
        <w:rFonts w:cs="Times New Roman"/>
        <w:color w:val="000000"/>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44" w15:restartNumberingAfterBreak="0">
    <w:nsid w:val="30E158F6"/>
    <w:multiLevelType w:val="hybridMultilevel"/>
    <w:tmpl w:val="20D03562"/>
    <w:lvl w:ilvl="0" w:tplc="7ED4EAA6">
      <w:start w:val="1"/>
      <w:numFmt w:val="decimal"/>
      <w:lvlText w:val="%1."/>
      <w:lvlJc w:val="left"/>
      <w:pPr>
        <w:ind w:left="720" w:hanging="358"/>
      </w:pPr>
      <w:rPr>
        <w:rFonts w:cs="Times New Roman"/>
      </w:rPr>
    </w:lvl>
    <w:lvl w:ilvl="1" w:tplc="6AFA8466">
      <w:start w:val="1"/>
      <w:numFmt w:val="lowerLetter"/>
      <w:lvlText w:val="%2."/>
      <w:lvlJc w:val="left"/>
      <w:pPr>
        <w:ind w:left="1440" w:hanging="358"/>
      </w:pPr>
      <w:rPr>
        <w:rFonts w:cs="Times New Roman"/>
      </w:rPr>
    </w:lvl>
    <w:lvl w:ilvl="2" w:tplc="C1707AB0">
      <w:start w:val="1"/>
      <w:numFmt w:val="lowerRoman"/>
      <w:lvlText w:val="%3."/>
      <w:lvlJc w:val="right"/>
      <w:pPr>
        <w:ind w:left="2160" w:hanging="178"/>
      </w:pPr>
      <w:rPr>
        <w:rFonts w:cs="Times New Roman"/>
      </w:rPr>
    </w:lvl>
    <w:lvl w:ilvl="3" w:tplc="3EBAAEAA">
      <w:start w:val="1"/>
      <w:numFmt w:val="decimal"/>
      <w:lvlText w:val="%4."/>
      <w:lvlJc w:val="left"/>
      <w:pPr>
        <w:ind w:left="2880" w:hanging="358"/>
      </w:pPr>
      <w:rPr>
        <w:rFonts w:cs="Times New Roman"/>
      </w:rPr>
    </w:lvl>
    <w:lvl w:ilvl="4" w:tplc="5286767E">
      <w:start w:val="1"/>
      <w:numFmt w:val="lowerLetter"/>
      <w:lvlText w:val="%5."/>
      <w:lvlJc w:val="left"/>
      <w:pPr>
        <w:ind w:left="3600" w:hanging="358"/>
      </w:pPr>
      <w:rPr>
        <w:rFonts w:cs="Times New Roman"/>
      </w:rPr>
    </w:lvl>
    <w:lvl w:ilvl="5" w:tplc="4FB4FAEE">
      <w:start w:val="1"/>
      <w:numFmt w:val="lowerRoman"/>
      <w:lvlText w:val="%6."/>
      <w:lvlJc w:val="right"/>
      <w:pPr>
        <w:ind w:left="4320" w:hanging="178"/>
      </w:pPr>
      <w:rPr>
        <w:rFonts w:cs="Times New Roman"/>
      </w:rPr>
    </w:lvl>
    <w:lvl w:ilvl="6" w:tplc="47B0A1D8">
      <w:start w:val="1"/>
      <w:numFmt w:val="decimal"/>
      <w:lvlText w:val="%7."/>
      <w:lvlJc w:val="left"/>
      <w:pPr>
        <w:ind w:left="5040" w:hanging="358"/>
      </w:pPr>
      <w:rPr>
        <w:rFonts w:cs="Times New Roman"/>
      </w:rPr>
    </w:lvl>
    <w:lvl w:ilvl="7" w:tplc="83363EE0">
      <w:start w:val="1"/>
      <w:numFmt w:val="lowerLetter"/>
      <w:lvlText w:val="%8."/>
      <w:lvlJc w:val="left"/>
      <w:pPr>
        <w:ind w:left="5760" w:hanging="358"/>
      </w:pPr>
      <w:rPr>
        <w:rFonts w:cs="Times New Roman"/>
      </w:rPr>
    </w:lvl>
    <w:lvl w:ilvl="8" w:tplc="A44EAE1C">
      <w:start w:val="1"/>
      <w:numFmt w:val="lowerRoman"/>
      <w:lvlText w:val="%9."/>
      <w:lvlJc w:val="right"/>
      <w:pPr>
        <w:ind w:left="6480" w:hanging="178"/>
      </w:pPr>
      <w:rPr>
        <w:rFonts w:cs="Times New Roman"/>
      </w:rPr>
    </w:lvl>
  </w:abstractNum>
  <w:abstractNum w:abstractNumId="45" w15:restartNumberingAfterBreak="0">
    <w:nsid w:val="31EC7168"/>
    <w:multiLevelType w:val="hybridMultilevel"/>
    <w:tmpl w:val="F574EA6E"/>
    <w:lvl w:ilvl="0" w:tplc="39FCFFBE">
      <w:start w:val="1"/>
      <w:numFmt w:val="bullet"/>
      <w:lvlText w:val=""/>
      <w:lvlJc w:val="left"/>
      <w:pPr>
        <w:ind w:left="1429" w:hanging="358"/>
      </w:pPr>
      <w:rPr>
        <w:rFonts w:ascii="Symbol" w:hAnsi="Symbol" w:hint="default"/>
      </w:rPr>
    </w:lvl>
    <w:lvl w:ilvl="1" w:tplc="B418ABD6">
      <w:start w:val="1"/>
      <w:numFmt w:val="bullet"/>
      <w:lvlText w:val="o"/>
      <w:lvlJc w:val="left"/>
      <w:pPr>
        <w:ind w:left="2149" w:hanging="358"/>
      </w:pPr>
      <w:rPr>
        <w:rFonts w:ascii="Courier New" w:hAnsi="Courier New" w:hint="default"/>
      </w:rPr>
    </w:lvl>
    <w:lvl w:ilvl="2" w:tplc="DC8A209C">
      <w:start w:val="1"/>
      <w:numFmt w:val="bullet"/>
      <w:lvlText w:val=""/>
      <w:lvlJc w:val="left"/>
      <w:pPr>
        <w:ind w:left="2869" w:hanging="358"/>
      </w:pPr>
      <w:rPr>
        <w:rFonts w:ascii="Wingdings" w:hAnsi="Wingdings" w:hint="default"/>
      </w:rPr>
    </w:lvl>
    <w:lvl w:ilvl="3" w:tplc="881C2FAC">
      <w:start w:val="1"/>
      <w:numFmt w:val="bullet"/>
      <w:lvlText w:val=""/>
      <w:lvlJc w:val="left"/>
      <w:pPr>
        <w:ind w:left="3589" w:hanging="358"/>
      </w:pPr>
      <w:rPr>
        <w:rFonts w:ascii="Symbol" w:hAnsi="Symbol" w:hint="default"/>
      </w:rPr>
    </w:lvl>
    <w:lvl w:ilvl="4" w:tplc="663C9ADE">
      <w:start w:val="1"/>
      <w:numFmt w:val="bullet"/>
      <w:lvlText w:val="o"/>
      <w:lvlJc w:val="left"/>
      <w:pPr>
        <w:ind w:left="4309" w:hanging="358"/>
      </w:pPr>
      <w:rPr>
        <w:rFonts w:ascii="Courier New" w:hAnsi="Courier New" w:hint="default"/>
      </w:rPr>
    </w:lvl>
    <w:lvl w:ilvl="5" w:tplc="D41CBB22">
      <w:start w:val="1"/>
      <w:numFmt w:val="bullet"/>
      <w:lvlText w:val=""/>
      <w:lvlJc w:val="left"/>
      <w:pPr>
        <w:ind w:left="5029" w:hanging="358"/>
      </w:pPr>
      <w:rPr>
        <w:rFonts w:ascii="Wingdings" w:hAnsi="Wingdings" w:hint="default"/>
      </w:rPr>
    </w:lvl>
    <w:lvl w:ilvl="6" w:tplc="AA726114">
      <w:start w:val="1"/>
      <w:numFmt w:val="bullet"/>
      <w:lvlText w:val=""/>
      <w:lvlJc w:val="left"/>
      <w:pPr>
        <w:ind w:left="5749" w:hanging="358"/>
      </w:pPr>
      <w:rPr>
        <w:rFonts w:ascii="Symbol" w:hAnsi="Symbol" w:hint="default"/>
      </w:rPr>
    </w:lvl>
    <w:lvl w:ilvl="7" w:tplc="A21C9BDE">
      <w:start w:val="1"/>
      <w:numFmt w:val="bullet"/>
      <w:lvlText w:val="o"/>
      <w:lvlJc w:val="left"/>
      <w:pPr>
        <w:ind w:left="6469" w:hanging="358"/>
      </w:pPr>
      <w:rPr>
        <w:rFonts w:ascii="Courier New" w:hAnsi="Courier New" w:hint="default"/>
      </w:rPr>
    </w:lvl>
    <w:lvl w:ilvl="8" w:tplc="1988E46A">
      <w:start w:val="1"/>
      <w:numFmt w:val="bullet"/>
      <w:lvlText w:val=""/>
      <w:lvlJc w:val="left"/>
      <w:pPr>
        <w:ind w:left="7189" w:hanging="358"/>
      </w:pPr>
      <w:rPr>
        <w:rFonts w:ascii="Wingdings" w:hAnsi="Wingdings" w:hint="default"/>
      </w:rPr>
    </w:lvl>
  </w:abstractNum>
  <w:abstractNum w:abstractNumId="46" w15:restartNumberingAfterBreak="0">
    <w:nsid w:val="3266277B"/>
    <w:multiLevelType w:val="hybridMultilevel"/>
    <w:tmpl w:val="A5DEAA28"/>
    <w:lvl w:ilvl="0" w:tplc="598813D2">
      <w:start w:val="1"/>
      <w:numFmt w:val="decimal"/>
      <w:suff w:val="space"/>
      <w:lvlText w:val="%1"/>
      <w:lvlJc w:val="left"/>
      <w:pPr>
        <w:ind w:left="1429" w:hanging="358"/>
      </w:pPr>
      <w:rPr>
        <w:rFonts w:cs="Times New Roman" w:hint="default"/>
      </w:rPr>
    </w:lvl>
    <w:lvl w:ilvl="1" w:tplc="D6E22338">
      <w:start w:val="1"/>
      <w:numFmt w:val="lowerLetter"/>
      <w:lvlText w:val="%2."/>
      <w:lvlJc w:val="left"/>
      <w:pPr>
        <w:ind w:left="2149" w:hanging="358"/>
      </w:pPr>
      <w:rPr>
        <w:rFonts w:cs="Times New Roman"/>
      </w:rPr>
    </w:lvl>
    <w:lvl w:ilvl="2" w:tplc="9FD07D26">
      <w:start w:val="1"/>
      <w:numFmt w:val="lowerRoman"/>
      <w:lvlText w:val="%3."/>
      <w:lvlJc w:val="right"/>
      <w:pPr>
        <w:ind w:left="2869" w:hanging="178"/>
      </w:pPr>
      <w:rPr>
        <w:rFonts w:cs="Times New Roman"/>
      </w:rPr>
    </w:lvl>
    <w:lvl w:ilvl="3" w:tplc="AA24D87E">
      <w:start w:val="1"/>
      <w:numFmt w:val="decimal"/>
      <w:lvlText w:val="%4."/>
      <w:lvlJc w:val="left"/>
      <w:pPr>
        <w:ind w:left="3589" w:hanging="358"/>
      </w:pPr>
      <w:rPr>
        <w:rFonts w:cs="Times New Roman"/>
      </w:rPr>
    </w:lvl>
    <w:lvl w:ilvl="4" w:tplc="F1528E34">
      <w:start w:val="1"/>
      <w:numFmt w:val="lowerLetter"/>
      <w:lvlText w:val="%5."/>
      <w:lvlJc w:val="left"/>
      <w:pPr>
        <w:ind w:left="4309" w:hanging="358"/>
      </w:pPr>
      <w:rPr>
        <w:rFonts w:cs="Times New Roman"/>
      </w:rPr>
    </w:lvl>
    <w:lvl w:ilvl="5" w:tplc="D9507726">
      <w:start w:val="1"/>
      <w:numFmt w:val="lowerRoman"/>
      <w:lvlText w:val="%6."/>
      <w:lvlJc w:val="right"/>
      <w:pPr>
        <w:ind w:left="5029" w:hanging="178"/>
      </w:pPr>
      <w:rPr>
        <w:rFonts w:cs="Times New Roman"/>
      </w:rPr>
    </w:lvl>
    <w:lvl w:ilvl="6" w:tplc="5426C368">
      <w:start w:val="1"/>
      <w:numFmt w:val="decimal"/>
      <w:lvlText w:val="%7."/>
      <w:lvlJc w:val="left"/>
      <w:pPr>
        <w:ind w:left="5749" w:hanging="358"/>
      </w:pPr>
      <w:rPr>
        <w:rFonts w:cs="Times New Roman"/>
      </w:rPr>
    </w:lvl>
    <w:lvl w:ilvl="7" w:tplc="EB722D8A">
      <w:start w:val="1"/>
      <w:numFmt w:val="lowerLetter"/>
      <w:lvlText w:val="%8."/>
      <w:lvlJc w:val="left"/>
      <w:pPr>
        <w:ind w:left="6469" w:hanging="358"/>
      </w:pPr>
      <w:rPr>
        <w:rFonts w:cs="Times New Roman"/>
      </w:rPr>
    </w:lvl>
    <w:lvl w:ilvl="8" w:tplc="6CDEDD04">
      <w:start w:val="1"/>
      <w:numFmt w:val="lowerRoman"/>
      <w:lvlText w:val="%9."/>
      <w:lvlJc w:val="right"/>
      <w:pPr>
        <w:ind w:left="7189" w:hanging="178"/>
      </w:pPr>
      <w:rPr>
        <w:rFonts w:cs="Times New Roman"/>
      </w:rPr>
    </w:lvl>
  </w:abstractNum>
  <w:abstractNum w:abstractNumId="47" w15:restartNumberingAfterBreak="0">
    <w:nsid w:val="32CC6B34"/>
    <w:multiLevelType w:val="hybridMultilevel"/>
    <w:tmpl w:val="928813F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15:restartNumberingAfterBreak="0">
    <w:nsid w:val="341D7C4D"/>
    <w:multiLevelType w:val="hybridMultilevel"/>
    <w:tmpl w:val="1F320420"/>
    <w:lvl w:ilvl="0" w:tplc="DBD65332">
      <w:start w:val="1"/>
      <w:numFmt w:val="decimal"/>
      <w:lvlText w:val="%1."/>
      <w:lvlJc w:val="left"/>
      <w:pPr>
        <w:ind w:left="1070"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49" w15:restartNumberingAfterBreak="0">
    <w:nsid w:val="351D5509"/>
    <w:multiLevelType w:val="hybridMultilevel"/>
    <w:tmpl w:val="F8DCB9DE"/>
    <w:lvl w:ilvl="0" w:tplc="3F92143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36CC7742"/>
    <w:multiLevelType w:val="hybridMultilevel"/>
    <w:tmpl w:val="F42CBC78"/>
    <w:lvl w:ilvl="0" w:tplc="C7E66B26">
      <w:start w:val="1"/>
      <w:numFmt w:val="decimal"/>
      <w:lvlText w:val="%1."/>
      <w:lvlJc w:val="left"/>
      <w:pPr>
        <w:ind w:left="360" w:hanging="358"/>
      </w:pPr>
      <w:rPr>
        <w:rFonts w:cs="Times New Roman" w:hint="default"/>
        <w:sz w:val="20"/>
        <w:szCs w:val="20"/>
      </w:rPr>
    </w:lvl>
    <w:lvl w:ilvl="1" w:tplc="0308B3B4">
      <w:start w:val="1"/>
      <w:numFmt w:val="lowerLetter"/>
      <w:lvlText w:val="%2."/>
      <w:lvlJc w:val="left"/>
      <w:pPr>
        <w:ind w:left="1440" w:hanging="358"/>
      </w:pPr>
      <w:rPr>
        <w:rFonts w:cs="Times New Roman"/>
      </w:rPr>
    </w:lvl>
    <w:lvl w:ilvl="2" w:tplc="91C6F0B6">
      <w:start w:val="1"/>
      <w:numFmt w:val="lowerRoman"/>
      <w:lvlText w:val="%3."/>
      <w:lvlJc w:val="right"/>
      <w:pPr>
        <w:ind w:left="2160" w:hanging="178"/>
      </w:pPr>
      <w:rPr>
        <w:rFonts w:cs="Times New Roman"/>
      </w:rPr>
    </w:lvl>
    <w:lvl w:ilvl="3" w:tplc="2D2C67B8">
      <w:start w:val="1"/>
      <w:numFmt w:val="decimal"/>
      <w:lvlText w:val="%4."/>
      <w:lvlJc w:val="left"/>
      <w:pPr>
        <w:ind w:left="2880" w:hanging="358"/>
      </w:pPr>
      <w:rPr>
        <w:rFonts w:cs="Times New Roman"/>
      </w:rPr>
    </w:lvl>
    <w:lvl w:ilvl="4" w:tplc="6DE0B8BA">
      <w:start w:val="1"/>
      <w:numFmt w:val="lowerLetter"/>
      <w:lvlText w:val="%5."/>
      <w:lvlJc w:val="left"/>
      <w:pPr>
        <w:ind w:left="3600" w:hanging="358"/>
      </w:pPr>
      <w:rPr>
        <w:rFonts w:cs="Times New Roman"/>
      </w:rPr>
    </w:lvl>
    <w:lvl w:ilvl="5" w:tplc="3A2E6A14">
      <w:start w:val="1"/>
      <w:numFmt w:val="lowerRoman"/>
      <w:lvlText w:val="%6."/>
      <w:lvlJc w:val="right"/>
      <w:pPr>
        <w:ind w:left="4320" w:hanging="178"/>
      </w:pPr>
      <w:rPr>
        <w:rFonts w:cs="Times New Roman"/>
      </w:rPr>
    </w:lvl>
    <w:lvl w:ilvl="6" w:tplc="FF48025E">
      <w:start w:val="1"/>
      <w:numFmt w:val="decimal"/>
      <w:lvlText w:val="%7."/>
      <w:lvlJc w:val="left"/>
      <w:pPr>
        <w:ind w:left="5040" w:hanging="358"/>
      </w:pPr>
      <w:rPr>
        <w:rFonts w:cs="Times New Roman"/>
      </w:rPr>
    </w:lvl>
    <w:lvl w:ilvl="7" w:tplc="447E27A0">
      <w:start w:val="1"/>
      <w:numFmt w:val="lowerLetter"/>
      <w:lvlText w:val="%8."/>
      <w:lvlJc w:val="left"/>
      <w:pPr>
        <w:ind w:left="5760" w:hanging="358"/>
      </w:pPr>
      <w:rPr>
        <w:rFonts w:cs="Times New Roman"/>
      </w:rPr>
    </w:lvl>
    <w:lvl w:ilvl="8" w:tplc="71CAF6A8">
      <w:start w:val="1"/>
      <w:numFmt w:val="lowerRoman"/>
      <w:lvlText w:val="%9."/>
      <w:lvlJc w:val="right"/>
      <w:pPr>
        <w:ind w:left="6480" w:hanging="178"/>
      </w:pPr>
      <w:rPr>
        <w:rFonts w:cs="Times New Roman"/>
      </w:rPr>
    </w:lvl>
  </w:abstractNum>
  <w:abstractNum w:abstractNumId="51" w15:restartNumberingAfterBreak="0">
    <w:nsid w:val="37643BCE"/>
    <w:multiLevelType w:val="hybridMultilevel"/>
    <w:tmpl w:val="07B6321A"/>
    <w:lvl w:ilvl="0" w:tplc="88C8F5A6">
      <w:start w:val="1"/>
      <w:numFmt w:val="decimal"/>
      <w:lvlText w:val="%1."/>
      <w:lvlJc w:val="left"/>
      <w:pPr>
        <w:ind w:left="1069" w:hanging="358"/>
      </w:pPr>
      <w:rPr>
        <w:rFonts w:ascii="Times New Roman" w:hAnsi="Times New Roman" w:cs="Times New Roman" w:hint="default"/>
      </w:rPr>
    </w:lvl>
    <w:lvl w:ilvl="1" w:tplc="A2729286">
      <w:start w:val="1"/>
      <w:numFmt w:val="lowerLetter"/>
      <w:lvlText w:val="%2."/>
      <w:lvlJc w:val="left"/>
      <w:pPr>
        <w:ind w:left="1789" w:hanging="358"/>
      </w:pPr>
      <w:rPr>
        <w:rFonts w:cs="Times New Roman"/>
      </w:rPr>
    </w:lvl>
    <w:lvl w:ilvl="2" w:tplc="84845022">
      <w:start w:val="1"/>
      <w:numFmt w:val="lowerRoman"/>
      <w:lvlText w:val="%3."/>
      <w:lvlJc w:val="right"/>
      <w:pPr>
        <w:ind w:left="2509" w:hanging="178"/>
      </w:pPr>
      <w:rPr>
        <w:rFonts w:cs="Times New Roman"/>
      </w:rPr>
    </w:lvl>
    <w:lvl w:ilvl="3" w:tplc="9B103C86">
      <w:start w:val="1"/>
      <w:numFmt w:val="decimal"/>
      <w:lvlText w:val="%4."/>
      <w:lvlJc w:val="left"/>
      <w:pPr>
        <w:ind w:left="3229" w:hanging="358"/>
      </w:pPr>
      <w:rPr>
        <w:rFonts w:cs="Times New Roman"/>
      </w:rPr>
    </w:lvl>
    <w:lvl w:ilvl="4" w:tplc="33F6AA86">
      <w:start w:val="1"/>
      <w:numFmt w:val="lowerLetter"/>
      <w:lvlText w:val="%5."/>
      <w:lvlJc w:val="left"/>
      <w:pPr>
        <w:ind w:left="3949" w:hanging="358"/>
      </w:pPr>
      <w:rPr>
        <w:rFonts w:cs="Times New Roman"/>
      </w:rPr>
    </w:lvl>
    <w:lvl w:ilvl="5" w:tplc="6F4AFE10">
      <w:start w:val="1"/>
      <w:numFmt w:val="lowerRoman"/>
      <w:lvlText w:val="%6."/>
      <w:lvlJc w:val="right"/>
      <w:pPr>
        <w:ind w:left="4669" w:hanging="178"/>
      </w:pPr>
      <w:rPr>
        <w:rFonts w:cs="Times New Roman"/>
      </w:rPr>
    </w:lvl>
    <w:lvl w:ilvl="6" w:tplc="6BBC6DA8">
      <w:start w:val="1"/>
      <w:numFmt w:val="decimal"/>
      <w:lvlText w:val="%7."/>
      <w:lvlJc w:val="left"/>
      <w:pPr>
        <w:ind w:left="5389" w:hanging="358"/>
      </w:pPr>
      <w:rPr>
        <w:rFonts w:cs="Times New Roman"/>
      </w:rPr>
    </w:lvl>
    <w:lvl w:ilvl="7" w:tplc="1F5673EE">
      <w:start w:val="1"/>
      <w:numFmt w:val="lowerLetter"/>
      <w:lvlText w:val="%8."/>
      <w:lvlJc w:val="left"/>
      <w:pPr>
        <w:ind w:left="6109" w:hanging="358"/>
      </w:pPr>
      <w:rPr>
        <w:rFonts w:cs="Times New Roman"/>
      </w:rPr>
    </w:lvl>
    <w:lvl w:ilvl="8" w:tplc="D74C3BAA">
      <w:start w:val="1"/>
      <w:numFmt w:val="lowerRoman"/>
      <w:lvlText w:val="%9."/>
      <w:lvlJc w:val="right"/>
      <w:pPr>
        <w:ind w:left="6829" w:hanging="178"/>
      </w:pPr>
      <w:rPr>
        <w:rFonts w:cs="Times New Roman"/>
      </w:rPr>
    </w:lvl>
  </w:abstractNum>
  <w:abstractNum w:abstractNumId="52" w15:restartNumberingAfterBreak="0">
    <w:nsid w:val="37B13041"/>
    <w:multiLevelType w:val="hybridMultilevel"/>
    <w:tmpl w:val="B6B0F36C"/>
    <w:lvl w:ilvl="0" w:tplc="00E81DB4">
      <w:start w:val="1"/>
      <w:numFmt w:val="bullet"/>
      <w:lvlText w:val=""/>
      <w:lvlJc w:val="left"/>
      <w:pPr>
        <w:ind w:left="1429" w:hanging="358"/>
      </w:pPr>
      <w:rPr>
        <w:rFonts w:ascii="Symbol" w:hAnsi="Symbol" w:hint="default"/>
      </w:rPr>
    </w:lvl>
    <w:lvl w:ilvl="1" w:tplc="CF0A52A8">
      <w:start w:val="1"/>
      <w:numFmt w:val="bullet"/>
      <w:lvlText w:val="o"/>
      <w:lvlJc w:val="left"/>
      <w:pPr>
        <w:ind w:left="2149" w:hanging="358"/>
      </w:pPr>
      <w:rPr>
        <w:rFonts w:ascii="Courier New" w:hAnsi="Courier New" w:hint="default"/>
      </w:rPr>
    </w:lvl>
    <w:lvl w:ilvl="2" w:tplc="87764446">
      <w:start w:val="1"/>
      <w:numFmt w:val="bullet"/>
      <w:lvlText w:val=""/>
      <w:lvlJc w:val="left"/>
      <w:pPr>
        <w:ind w:left="2869" w:hanging="358"/>
      </w:pPr>
      <w:rPr>
        <w:rFonts w:ascii="Wingdings" w:hAnsi="Wingdings" w:hint="default"/>
      </w:rPr>
    </w:lvl>
    <w:lvl w:ilvl="3" w:tplc="BE7C195C">
      <w:start w:val="1"/>
      <w:numFmt w:val="bullet"/>
      <w:lvlText w:val=""/>
      <w:lvlJc w:val="left"/>
      <w:pPr>
        <w:ind w:left="3589" w:hanging="358"/>
      </w:pPr>
      <w:rPr>
        <w:rFonts w:ascii="Symbol" w:hAnsi="Symbol" w:hint="default"/>
      </w:rPr>
    </w:lvl>
    <w:lvl w:ilvl="4" w:tplc="50C895A4">
      <w:start w:val="1"/>
      <w:numFmt w:val="bullet"/>
      <w:lvlText w:val="o"/>
      <w:lvlJc w:val="left"/>
      <w:pPr>
        <w:ind w:left="4309" w:hanging="358"/>
      </w:pPr>
      <w:rPr>
        <w:rFonts w:ascii="Courier New" w:hAnsi="Courier New" w:hint="default"/>
      </w:rPr>
    </w:lvl>
    <w:lvl w:ilvl="5" w:tplc="3224D564">
      <w:start w:val="1"/>
      <w:numFmt w:val="bullet"/>
      <w:lvlText w:val=""/>
      <w:lvlJc w:val="left"/>
      <w:pPr>
        <w:ind w:left="5029" w:hanging="358"/>
      </w:pPr>
      <w:rPr>
        <w:rFonts w:ascii="Wingdings" w:hAnsi="Wingdings" w:hint="default"/>
      </w:rPr>
    </w:lvl>
    <w:lvl w:ilvl="6" w:tplc="EF04316A">
      <w:start w:val="1"/>
      <w:numFmt w:val="bullet"/>
      <w:lvlText w:val=""/>
      <w:lvlJc w:val="left"/>
      <w:pPr>
        <w:ind w:left="5749" w:hanging="358"/>
      </w:pPr>
      <w:rPr>
        <w:rFonts w:ascii="Symbol" w:hAnsi="Symbol" w:hint="default"/>
      </w:rPr>
    </w:lvl>
    <w:lvl w:ilvl="7" w:tplc="2D080B5A">
      <w:start w:val="1"/>
      <w:numFmt w:val="bullet"/>
      <w:lvlText w:val="o"/>
      <w:lvlJc w:val="left"/>
      <w:pPr>
        <w:ind w:left="6469" w:hanging="358"/>
      </w:pPr>
      <w:rPr>
        <w:rFonts w:ascii="Courier New" w:hAnsi="Courier New" w:hint="default"/>
      </w:rPr>
    </w:lvl>
    <w:lvl w:ilvl="8" w:tplc="F7E469F2">
      <w:start w:val="1"/>
      <w:numFmt w:val="bullet"/>
      <w:lvlText w:val=""/>
      <w:lvlJc w:val="left"/>
      <w:pPr>
        <w:ind w:left="7189" w:hanging="358"/>
      </w:pPr>
      <w:rPr>
        <w:rFonts w:ascii="Wingdings" w:hAnsi="Wingdings" w:hint="default"/>
      </w:rPr>
    </w:lvl>
  </w:abstractNum>
  <w:abstractNum w:abstractNumId="53" w15:restartNumberingAfterBreak="0">
    <w:nsid w:val="39DA0E6C"/>
    <w:multiLevelType w:val="hybridMultilevel"/>
    <w:tmpl w:val="9EB4E88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15:restartNumberingAfterBreak="0">
    <w:nsid w:val="3A8D705F"/>
    <w:multiLevelType w:val="hybridMultilevel"/>
    <w:tmpl w:val="8D6CE342"/>
    <w:lvl w:ilvl="0" w:tplc="E72E4E54">
      <w:start w:val="1"/>
      <w:numFmt w:val="decimal"/>
      <w:lvlText w:val="%1."/>
      <w:lvlJc w:val="left"/>
      <w:pPr>
        <w:ind w:left="720" w:hanging="358"/>
      </w:pPr>
      <w:rPr>
        <w:rFonts w:cs="Times New Roman"/>
      </w:rPr>
    </w:lvl>
    <w:lvl w:ilvl="1" w:tplc="423C77CC">
      <w:start w:val="1"/>
      <w:numFmt w:val="lowerLetter"/>
      <w:lvlText w:val="%2."/>
      <w:lvlJc w:val="left"/>
      <w:pPr>
        <w:ind w:left="1440" w:hanging="358"/>
      </w:pPr>
      <w:rPr>
        <w:rFonts w:cs="Times New Roman"/>
      </w:rPr>
    </w:lvl>
    <w:lvl w:ilvl="2" w:tplc="5766392C">
      <w:start w:val="1"/>
      <w:numFmt w:val="lowerRoman"/>
      <w:lvlText w:val="%3."/>
      <w:lvlJc w:val="right"/>
      <w:pPr>
        <w:ind w:left="2160" w:hanging="178"/>
      </w:pPr>
      <w:rPr>
        <w:rFonts w:cs="Times New Roman"/>
      </w:rPr>
    </w:lvl>
    <w:lvl w:ilvl="3" w:tplc="B0507156">
      <w:start w:val="1"/>
      <w:numFmt w:val="decimal"/>
      <w:lvlText w:val="%4."/>
      <w:lvlJc w:val="left"/>
      <w:pPr>
        <w:ind w:left="2880" w:hanging="358"/>
      </w:pPr>
      <w:rPr>
        <w:rFonts w:cs="Times New Roman"/>
      </w:rPr>
    </w:lvl>
    <w:lvl w:ilvl="4" w:tplc="650C14C0">
      <w:start w:val="1"/>
      <w:numFmt w:val="lowerLetter"/>
      <w:lvlText w:val="%5."/>
      <w:lvlJc w:val="left"/>
      <w:pPr>
        <w:ind w:left="3600" w:hanging="358"/>
      </w:pPr>
      <w:rPr>
        <w:rFonts w:cs="Times New Roman"/>
      </w:rPr>
    </w:lvl>
    <w:lvl w:ilvl="5" w:tplc="4670A7DA">
      <w:start w:val="1"/>
      <w:numFmt w:val="lowerRoman"/>
      <w:lvlText w:val="%6."/>
      <w:lvlJc w:val="right"/>
      <w:pPr>
        <w:ind w:left="4320" w:hanging="178"/>
      </w:pPr>
      <w:rPr>
        <w:rFonts w:cs="Times New Roman"/>
      </w:rPr>
    </w:lvl>
    <w:lvl w:ilvl="6" w:tplc="00EA612E">
      <w:start w:val="1"/>
      <w:numFmt w:val="decimal"/>
      <w:lvlText w:val="%7."/>
      <w:lvlJc w:val="left"/>
      <w:pPr>
        <w:ind w:left="5040" w:hanging="358"/>
      </w:pPr>
      <w:rPr>
        <w:rFonts w:cs="Times New Roman"/>
      </w:rPr>
    </w:lvl>
    <w:lvl w:ilvl="7" w:tplc="ABC29D82">
      <w:start w:val="1"/>
      <w:numFmt w:val="lowerLetter"/>
      <w:lvlText w:val="%8."/>
      <w:lvlJc w:val="left"/>
      <w:pPr>
        <w:ind w:left="5760" w:hanging="358"/>
      </w:pPr>
      <w:rPr>
        <w:rFonts w:cs="Times New Roman"/>
      </w:rPr>
    </w:lvl>
    <w:lvl w:ilvl="8" w:tplc="23CEE93E">
      <w:start w:val="1"/>
      <w:numFmt w:val="lowerRoman"/>
      <w:lvlText w:val="%9."/>
      <w:lvlJc w:val="right"/>
      <w:pPr>
        <w:ind w:left="6480" w:hanging="178"/>
      </w:pPr>
      <w:rPr>
        <w:rFonts w:cs="Times New Roman"/>
      </w:rPr>
    </w:lvl>
  </w:abstractNum>
  <w:abstractNum w:abstractNumId="55" w15:restartNumberingAfterBreak="0">
    <w:nsid w:val="3B876BBF"/>
    <w:multiLevelType w:val="hybridMultilevel"/>
    <w:tmpl w:val="825434CA"/>
    <w:lvl w:ilvl="0" w:tplc="788E48D2">
      <w:start w:val="1"/>
      <w:numFmt w:val="decimal"/>
      <w:lvlText w:val="%1."/>
      <w:lvlJc w:val="left"/>
      <w:pPr>
        <w:ind w:left="720" w:hanging="358"/>
      </w:pPr>
    </w:lvl>
    <w:lvl w:ilvl="1" w:tplc="05D8AB12">
      <w:start w:val="1"/>
      <w:numFmt w:val="lowerLetter"/>
      <w:lvlText w:val="%2."/>
      <w:lvlJc w:val="left"/>
      <w:pPr>
        <w:ind w:left="1440" w:hanging="358"/>
      </w:pPr>
    </w:lvl>
    <w:lvl w:ilvl="2" w:tplc="52BA3D38">
      <w:start w:val="1"/>
      <w:numFmt w:val="lowerRoman"/>
      <w:lvlText w:val="%3."/>
      <w:lvlJc w:val="right"/>
      <w:pPr>
        <w:ind w:left="2160" w:hanging="178"/>
      </w:pPr>
    </w:lvl>
    <w:lvl w:ilvl="3" w:tplc="E49CB1A4">
      <w:start w:val="1"/>
      <w:numFmt w:val="decimal"/>
      <w:lvlText w:val="%4."/>
      <w:lvlJc w:val="left"/>
      <w:pPr>
        <w:ind w:left="2880" w:hanging="358"/>
      </w:pPr>
    </w:lvl>
    <w:lvl w:ilvl="4" w:tplc="838024C0">
      <w:start w:val="1"/>
      <w:numFmt w:val="lowerLetter"/>
      <w:lvlText w:val="%5."/>
      <w:lvlJc w:val="left"/>
      <w:pPr>
        <w:ind w:left="3600" w:hanging="358"/>
      </w:pPr>
    </w:lvl>
    <w:lvl w:ilvl="5" w:tplc="26BEC296">
      <w:start w:val="1"/>
      <w:numFmt w:val="lowerRoman"/>
      <w:lvlText w:val="%6."/>
      <w:lvlJc w:val="right"/>
      <w:pPr>
        <w:ind w:left="4320" w:hanging="178"/>
      </w:pPr>
    </w:lvl>
    <w:lvl w:ilvl="6" w:tplc="A7F03F60">
      <w:start w:val="1"/>
      <w:numFmt w:val="decimal"/>
      <w:lvlText w:val="%7."/>
      <w:lvlJc w:val="left"/>
      <w:pPr>
        <w:ind w:left="5040" w:hanging="358"/>
      </w:pPr>
    </w:lvl>
    <w:lvl w:ilvl="7" w:tplc="C2EED7DE">
      <w:start w:val="1"/>
      <w:numFmt w:val="lowerLetter"/>
      <w:lvlText w:val="%8."/>
      <w:lvlJc w:val="left"/>
      <w:pPr>
        <w:ind w:left="5760" w:hanging="358"/>
      </w:pPr>
    </w:lvl>
    <w:lvl w:ilvl="8" w:tplc="0D026742">
      <w:start w:val="1"/>
      <w:numFmt w:val="lowerRoman"/>
      <w:lvlText w:val="%9."/>
      <w:lvlJc w:val="right"/>
      <w:pPr>
        <w:ind w:left="6480" w:hanging="178"/>
      </w:pPr>
    </w:lvl>
  </w:abstractNum>
  <w:abstractNum w:abstractNumId="56" w15:restartNumberingAfterBreak="0">
    <w:nsid w:val="3B8A64C4"/>
    <w:multiLevelType w:val="hybridMultilevel"/>
    <w:tmpl w:val="24D0B9B6"/>
    <w:lvl w:ilvl="0" w:tplc="F5A0A694">
      <w:start w:val="1"/>
      <w:numFmt w:val="bullet"/>
      <w:lvlText w:val=""/>
      <w:lvlJc w:val="left"/>
      <w:pPr>
        <w:ind w:left="1429" w:hanging="358"/>
      </w:pPr>
      <w:rPr>
        <w:rFonts w:ascii="Symbol" w:hAnsi="Symbol" w:hint="default"/>
      </w:rPr>
    </w:lvl>
    <w:lvl w:ilvl="1" w:tplc="0AB4D662">
      <w:start w:val="1"/>
      <w:numFmt w:val="bullet"/>
      <w:lvlText w:val="o"/>
      <w:lvlJc w:val="left"/>
      <w:pPr>
        <w:ind w:left="2149" w:hanging="358"/>
      </w:pPr>
      <w:rPr>
        <w:rFonts w:ascii="Courier New" w:hAnsi="Courier New" w:hint="default"/>
      </w:rPr>
    </w:lvl>
    <w:lvl w:ilvl="2" w:tplc="ED580D9E">
      <w:start w:val="1"/>
      <w:numFmt w:val="bullet"/>
      <w:lvlText w:val=""/>
      <w:lvlJc w:val="left"/>
      <w:pPr>
        <w:ind w:left="2869" w:hanging="358"/>
      </w:pPr>
      <w:rPr>
        <w:rFonts w:ascii="Wingdings" w:hAnsi="Wingdings" w:hint="default"/>
      </w:rPr>
    </w:lvl>
    <w:lvl w:ilvl="3" w:tplc="D040A556">
      <w:start w:val="1"/>
      <w:numFmt w:val="bullet"/>
      <w:lvlText w:val=""/>
      <w:lvlJc w:val="left"/>
      <w:pPr>
        <w:ind w:left="3589" w:hanging="358"/>
      </w:pPr>
      <w:rPr>
        <w:rFonts w:ascii="Symbol" w:hAnsi="Symbol" w:hint="default"/>
      </w:rPr>
    </w:lvl>
    <w:lvl w:ilvl="4" w:tplc="7D7440BA">
      <w:start w:val="1"/>
      <w:numFmt w:val="bullet"/>
      <w:lvlText w:val="o"/>
      <w:lvlJc w:val="left"/>
      <w:pPr>
        <w:ind w:left="4309" w:hanging="358"/>
      </w:pPr>
      <w:rPr>
        <w:rFonts w:ascii="Courier New" w:hAnsi="Courier New" w:hint="default"/>
      </w:rPr>
    </w:lvl>
    <w:lvl w:ilvl="5" w:tplc="8536E9EE">
      <w:start w:val="1"/>
      <w:numFmt w:val="bullet"/>
      <w:lvlText w:val=""/>
      <w:lvlJc w:val="left"/>
      <w:pPr>
        <w:ind w:left="5029" w:hanging="358"/>
      </w:pPr>
      <w:rPr>
        <w:rFonts w:ascii="Wingdings" w:hAnsi="Wingdings" w:hint="default"/>
      </w:rPr>
    </w:lvl>
    <w:lvl w:ilvl="6" w:tplc="E4A4E5F2">
      <w:start w:val="1"/>
      <w:numFmt w:val="bullet"/>
      <w:lvlText w:val=""/>
      <w:lvlJc w:val="left"/>
      <w:pPr>
        <w:ind w:left="5749" w:hanging="358"/>
      </w:pPr>
      <w:rPr>
        <w:rFonts w:ascii="Symbol" w:hAnsi="Symbol" w:hint="default"/>
      </w:rPr>
    </w:lvl>
    <w:lvl w:ilvl="7" w:tplc="14742B9C">
      <w:start w:val="1"/>
      <w:numFmt w:val="bullet"/>
      <w:lvlText w:val="o"/>
      <w:lvlJc w:val="left"/>
      <w:pPr>
        <w:ind w:left="6469" w:hanging="358"/>
      </w:pPr>
      <w:rPr>
        <w:rFonts w:ascii="Courier New" w:hAnsi="Courier New" w:hint="default"/>
      </w:rPr>
    </w:lvl>
    <w:lvl w:ilvl="8" w:tplc="5F940FFC">
      <w:start w:val="1"/>
      <w:numFmt w:val="bullet"/>
      <w:lvlText w:val=""/>
      <w:lvlJc w:val="left"/>
      <w:pPr>
        <w:ind w:left="7189" w:hanging="358"/>
      </w:pPr>
      <w:rPr>
        <w:rFonts w:ascii="Wingdings" w:hAnsi="Wingdings" w:hint="default"/>
      </w:rPr>
    </w:lvl>
  </w:abstractNum>
  <w:abstractNum w:abstractNumId="57" w15:restartNumberingAfterBreak="0">
    <w:nsid w:val="3BFB481D"/>
    <w:multiLevelType w:val="hybridMultilevel"/>
    <w:tmpl w:val="ABEE4EDC"/>
    <w:lvl w:ilvl="0" w:tplc="E062A06E">
      <w:start w:val="1"/>
      <w:numFmt w:val="decimal"/>
      <w:lvlText w:val="%1."/>
      <w:lvlJc w:val="left"/>
      <w:pPr>
        <w:ind w:left="1069" w:hanging="358"/>
      </w:pPr>
      <w:rPr>
        <w:rFonts w:cs="Times New Roman"/>
      </w:rPr>
    </w:lvl>
    <w:lvl w:ilvl="1" w:tplc="1D44FE34">
      <w:start w:val="1"/>
      <w:numFmt w:val="lowerLetter"/>
      <w:lvlText w:val="%2."/>
      <w:lvlJc w:val="left"/>
      <w:pPr>
        <w:ind w:left="1789" w:hanging="358"/>
      </w:pPr>
      <w:rPr>
        <w:rFonts w:cs="Times New Roman"/>
      </w:rPr>
    </w:lvl>
    <w:lvl w:ilvl="2" w:tplc="C2583C68">
      <w:start w:val="1"/>
      <w:numFmt w:val="lowerRoman"/>
      <w:lvlText w:val="%3."/>
      <w:lvlJc w:val="right"/>
      <w:pPr>
        <w:ind w:left="2509" w:hanging="178"/>
      </w:pPr>
      <w:rPr>
        <w:rFonts w:cs="Times New Roman"/>
      </w:rPr>
    </w:lvl>
    <w:lvl w:ilvl="3" w:tplc="AE9411D2">
      <w:start w:val="1"/>
      <w:numFmt w:val="decimal"/>
      <w:lvlText w:val="%4."/>
      <w:lvlJc w:val="left"/>
      <w:pPr>
        <w:ind w:left="3229" w:hanging="358"/>
      </w:pPr>
      <w:rPr>
        <w:rFonts w:cs="Times New Roman"/>
      </w:rPr>
    </w:lvl>
    <w:lvl w:ilvl="4" w:tplc="03843D92">
      <w:start w:val="1"/>
      <w:numFmt w:val="lowerLetter"/>
      <w:lvlText w:val="%5."/>
      <w:lvlJc w:val="left"/>
      <w:pPr>
        <w:ind w:left="3949" w:hanging="358"/>
      </w:pPr>
      <w:rPr>
        <w:rFonts w:cs="Times New Roman"/>
      </w:rPr>
    </w:lvl>
    <w:lvl w:ilvl="5" w:tplc="5C1AABC4">
      <w:start w:val="1"/>
      <w:numFmt w:val="lowerRoman"/>
      <w:lvlText w:val="%6."/>
      <w:lvlJc w:val="right"/>
      <w:pPr>
        <w:ind w:left="4669" w:hanging="178"/>
      </w:pPr>
      <w:rPr>
        <w:rFonts w:cs="Times New Roman"/>
      </w:rPr>
    </w:lvl>
    <w:lvl w:ilvl="6" w:tplc="E82211C8">
      <w:start w:val="1"/>
      <w:numFmt w:val="decimal"/>
      <w:lvlText w:val="%7."/>
      <w:lvlJc w:val="left"/>
      <w:pPr>
        <w:ind w:left="5389" w:hanging="358"/>
      </w:pPr>
      <w:rPr>
        <w:rFonts w:cs="Times New Roman"/>
      </w:rPr>
    </w:lvl>
    <w:lvl w:ilvl="7" w:tplc="88AEE456">
      <w:start w:val="1"/>
      <w:numFmt w:val="lowerLetter"/>
      <w:lvlText w:val="%8."/>
      <w:lvlJc w:val="left"/>
      <w:pPr>
        <w:ind w:left="6109" w:hanging="358"/>
      </w:pPr>
      <w:rPr>
        <w:rFonts w:cs="Times New Roman"/>
      </w:rPr>
    </w:lvl>
    <w:lvl w:ilvl="8" w:tplc="72FA3DC2">
      <w:start w:val="1"/>
      <w:numFmt w:val="lowerRoman"/>
      <w:lvlText w:val="%9."/>
      <w:lvlJc w:val="right"/>
      <w:pPr>
        <w:ind w:left="6829" w:hanging="178"/>
      </w:pPr>
      <w:rPr>
        <w:rFonts w:cs="Times New Roman"/>
      </w:rPr>
    </w:lvl>
  </w:abstractNum>
  <w:abstractNum w:abstractNumId="58" w15:restartNumberingAfterBreak="0">
    <w:nsid w:val="3C0B32A6"/>
    <w:multiLevelType w:val="multilevel"/>
    <w:tmpl w:val="EEA268A0"/>
    <w:lvl w:ilvl="0">
      <w:start w:val="1"/>
      <w:numFmt w:val="decimal"/>
      <w:lvlText w:val="%1."/>
      <w:lvlJc w:val="left"/>
      <w:pPr>
        <w:ind w:left="1429" w:hanging="358"/>
      </w:pPr>
      <w:rPr>
        <w:rFonts w:cs="Times New Roman"/>
      </w:rPr>
    </w:lvl>
    <w:lvl w:ilvl="1">
      <w:start w:val="1"/>
      <w:numFmt w:val="decimal"/>
      <w:lvlText w:val="%1.%2"/>
      <w:lvlJc w:val="left"/>
      <w:pPr>
        <w:ind w:left="1429" w:hanging="358"/>
      </w:pPr>
      <w:rPr>
        <w:rFonts w:cs="Times New Roman"/>
      </w:rPr>
    </w:lvl>
    <w:lvl w:ilvl="2">
      <w:start w:val="1"/>
      <w:numFmt w:val="decimal"/>
      <w:lvlText w:val="%1.%2.%3"/>
      <w:lvlJc w:val="left"/>
      <w:pPr>
        <w:ind w:left="1789" w:hanging="718"/>
      </w:pPr>
      <w:rPr>
        <w:rFonts w:cs="Times New Roman"/>
      </w:rPr>
    </w:lvl>
    <w:lvl w:ilvl="3">
      <w:start w:val="1"/>
      <w:numFmt w:val="decimal"/>
      <w:lvlText w:val="%1.%2.%3.%4"/>
      <w:lvlJc w:val="left"/>
      <w:pPr>
        <w:ind w:left="1789" w:hanging="718"/>
      </w:pPr>
      <w:rPr>
        <w:rFonts w:cs="Times New Roman"/>
      </w:rPr>
    </w:lvl>
    <w:lvl w:ilvl="4">
      <w:start w:val="1"/>
      <w:numFmt w:val="decimal"/>
      <w:lvlText w:val="%1.%2.%3.%4.%5"/>
      <w:lvlJc w:val="left"/>
      <w:pPr>
        <w:ind w:left="2149" w:hanging="1078"/>
      </w:pPr>
      <w:rPr>
        <w:rFonts w:cs="Times New Roman"/>
      </w:rPr>
    </w:lvl>
    <w:lvl w:ilvl="5">
      <w:start w:val="1"/>
      <w:numFmt w:val="decimal"/>
      <w:lvlText w:val="%1.%2.%3.%4.%5.%6"/>
      <w:lvlJc w:val="left"/>
      <w:pPr>
        <w:ind w:left="2149" w:hanging="1078"/>
      </w:pPr>
      <w:rPr>
        <w:rFonts w:cs="Times New Roman"/>
      </w:rPr>
    </w:lvl>
    <w:lvl w:ilvl="6">
      <w:start w:val="1"/>
      <w:numFmt w:val="decimal"/>
      <w:lvlText w:val="%1.%2.%3.%4.%5.%6.%7"/>
      <w:lvlJc w:val="left"/>
      <w:pPr>
        <w:ind w:left="2509" w:hanging="1438"/>
      </w:pPr>
      <w:rPr>
        <w:rFonts w:cs="Times New Roman"/>
      </w:rPr>
    </w:lvl>
    <w:lvl w:ilvl="7">
      <w:start w:val="1"/>
      <w:numFmt w:val="decimal"/>
      <w:lvlText w:val="%1.%2.%3.%4.%5.%6.%7.%8"/>
      <w:lvlJc w:val="left"/>
      <w:pPr>
        <w:ind w:left="2509" w:hanging="1438"/>
      </w:pPr>
      <w:rPr>
        <w:rFonts w:cs="Times New Roman"/>
      </w:rPr>
    </w:lvl>
    <w:lvl w:ilvl="8">
      <w:start w:val="1"/>
      <w:numFmt w:val="decimal"/>
      <w:lvlText w:val="%1.%2.%3.%4.%5.%6.%7.%8.%9"/>
      <w:lvlJc w:val="left"/>
      <w:pPr>
        <w:ind w:left="2869" w:hanging="1798"/>
      </w:pPr>
      <w:rPr>
        <w:rFonts w:cs="Times New Roman"/>
      </w:rPr>
    </w:lvl>
  </w:abstractNum>
  <w:abstractNum w:abstractNumId="59" w15:restartNumberingAfterBreak="0">
    <w:nsid w:val="3C915473"/>
    <w:multiLevelType w:val="hybridMultilevel"/>
    <w:tmpl w:val="19A8A368"/>
    <w:lvl w:ilvl="0" w:tplc="3E48D216">
      <w:start w:val="1"/>
      <w:numFmt w:val="bullet"/>
      <w:lvlText w:val=""/>
      <w:lvlJc w:val="left"/>
      <w:pPr>
        <w:tabs>
          <w:tab w:val="left" w:pos="1571"/>
        </w:tabs>
        <w:ind w:left="1571" w:hanging="359"/>
      </w:pPr>
      <w:rPr>
        <w:rFonts w:ascii="Symbol" w:hAnsi="Symbol"/>
      </w:rPr>
    </w:lvl>
    <w:lvl w:ilvl="1" w:tplc="5562014E">
      <w:start w:val="1"/>
      <w:numFmt w:val="bullet"/>
      <w:lvlText w:val="o"/>
      <w:lvlJc w:val="left"/>
      <w:pPr>
        <w:ind w:left="2291" w:hanging="359"/>
      </w:pPr>
      <w:rPr>
        <w:rFonts w:ascii="Courier New" w:hAnsi="Courier New"/>
      </w:rPr>
    </w:lvl>
    <w:lvl w:ilvl="2" w:tplc="7D4425CE">
      <w:start w:val="1"/>
      <w:numFmt w:val="bullet"/>
      <w:lvlText w:val=""/>
      <w:lvlJc w:val="left"/>
      <w:pPr>
        <w:ind w:left="3011" w:hanging="359"/>
      </w:pPr>
      <w:rPr>
        <w:rFonts w:ascii="Wingdings" w:hAnsi="Wingdings"/>
      </w:rPr>
    </w:lvl>
    <w:lvl w:ilvl="3" w:tplc="D19026A6">
      <w:start w:val="1"/>
      <w:numFmt w:val="bullet"/>
      <w:lvlText w:val=""/>
      <w:lvlJc w:val="left"/>
      <w:pPr>
        <w:ind w:left="3731" w:hanging="359"/>
      </w:pPr>
      <w:rPr>
        <w:rFonts w:ascii="Symbol" w:hAnsi="Symbol"/>
      </w:rPr>
    </w:lvl>
    <w:lvl w:ilvl="4" w:tplc="F5BAA6A6">
      <w:start w:val="1"/>
      <w:numFmt w:val="bullet"/>
      <w:lvlText w:val="o"/>
      <w:lvlJc w:val="left"/>
      <w:pPr>
        <w:ind w:left="4451" w:hanging="359"/>
      </w:pPr>
      <w:rPr>
        <w:rFonts w:ascii="Courier New" w:hAnsi="Courier New"/>
      </w:rPr>
    </w:lvl>
    <w:lvl w:ilvl="5" w:tplc="CB62F586">
      <w:start w:val="1"/>
      <w:numFmt w:val="bullet"/>
      <w:lvlText w:val=""/>
      <w:lvlJc w:val="left"/>
      <w:pPr>
        <w:ind w:left="5171" w:hanging="359"/>
      </w:pPr>
      <w:rPr>
        <w:rFonts w:ascii="Wingdings" w:hAnsi="Wingdings"/>
      </w:rPr>
    </w:lvl>
    <w:lvl w:ilvl="6" w:tplc="CE3A1400">
      <w:start w:val="1"/>
      <w:numFmt w:val="bullet"/>
      <w:lvlText w:val=""/>
      <w:lvlJc w:val="left"/>
      <w:pPr>
        <w:ind w:left="5891" w:hanging="359"/>
      </w:pPr>
      <w:rPr>
        <w:rFonts w:ascii="Symbol" w:hAnsi="Symbol"/>
      </w:rPr>
    </w:lvl>
    <w:lvl w:ilvl="7" w:tplc="B1080F66">
      <w:start w:val="1"/>
      <w:numFmt w:val="bullet"/>
      <w:lvlText w:val="o"/>
      <w:lvlJc w:val="left"/>
      <w:pPr>
        <w:ind w:left="6611" w:hanging="359"/>
      </w:pPr>
      <w:rPr>
        <w:rFonts w:ascii="Courier New" w:hAnsi="Courier New"/>
      </w:rPr>
    </w:lvl>
    <w:lvl w:ilvl="8" w:tplc="05A27AEE">
      <w:start w:val="1"/>
      <w:numFmt w:val="bullet"/>
      <w:lvlText w:val=""/>
      <w:lvlJc w:val="left"/>
      <w:pPr>
        <w:ind w:left="7331" w:hanging="359"/>
      </w:pPr>
      <w:rPr>
        <w:rFonts w:ascii="Wingdings" w:hAnsi="Wingdings"/>
      </w:rPr>
    </w:lvl>
  </w:abstractNum>
  <w:abstractNum w:abstractNumId="60" w15:restartNumberingAfterBreak="0">
    <w:nsid w:val="3D43038F"/>
    <w:multiLevelType w:val="hybridMultilevel"/>
    <w:tmpl w:val="607E602E"/>
    <w:lvl w:ilvl="0" w:tplc="1F66FDB4">
      <w:start w:val="1"/>
      <w:numFmt w:val="bullet"/>
      <w:lvlText w:val=""/>
      <w:lvlJc w:val="left"/>
      <w:pPr>
        <w:ind w:left="720" w:hanging="358"/>
      </w:pPr>
      <w:rPr>
        <w:rFonts w:ascii="Symbol" w:hAnsi="Symbol" w:hint="default"/>
      </w:rPr>
    </w:lvl>
    <w:lvl w:ilvl="1" w:tplc="A3825782">
      <w:start w:val="1"/>
      <w:numFmt w:val="bullet"/>
      <w:lvlText w:val="o"/>
      <w:lvlJc w:val="left"/>
      <w:pPr>
        <w:ind w:left="1440" w:hanging="358"/>
      </w:pPr>
      <w:rPr>
        <w:rFonts w:ascii="Courier New" w:hAnsi="Courier New" w:hint="default"/>
      </w:rPr>
    </w:lvl>
    <w:lvl w:ilvl="2" w:tplc="8F8A0DD2">
      <w:start w:val="1"/>
      <w:numFmt w:val="bullet"/>
      <w:lvlText w:val=""/>
      <w:lvlJc w:val="left"/>
      <w:pPr>
        <w:ind w:left="2160" w:hanging="358"/>
      </w:pPr>
      <w:rPr>
        <w:rFonts w:ascii="Wingdings" w:hAnsi="Wingdings" w:hint="default"/>
      </w:rPr>
    </w:lvl>
    <w:lvl w:ilvl="3" w:tplc="8F72993A">
      <w:start w:val="1"/>
      <w:numFmt w:val="bullet"/>
      <w:lvlText w:val=""/>
      <w:lvlJc w:val="left"/>
      <w:pPr>
        <w:ind w:left="2880" w:hanging="358"/>
      </w:pPr>
      <w:rPr>
        <w:rFonts w:ascii="Symbol" w:hAnsi="Symbol" w:hint="default"/>
      </w:rPr>
    </w:lvl>
    <w:lvl w:ilvl="4" w:tplc="CA5CB3C8">
      <w:start w:val="1"/>
      <w:numFmt w:val="bullet"/>
      <w:lvlText w:val="o"/>
      <w:lvlJc w:val="left"/>
      <w:pPr>
        <w:ind w:left="3600" w:hanging="358"/>
      </w:pPr>
      <w:rPr>
        <w:rFonts w:ascii="Courier New" w:hAnsi="Courier New" w:hint="default"/>
      </w:rPr>
    </w:lvl>
    <w:lvl w:ilvl="5" w:tplc="9F561496">
      <w:start w:val="1"/>
      <w:numFmt w:val="bullet"/>
      <w:lvlText w:val=""/>
      <w:lvlJc w:val="left"/>
      <w:pPr>
        <w:ind w:left="4320" w:hanging="358"/>
      </w:pPr>
      <w:rPr>
        <w:rFonts w:ascii="Wingdings" w:hAnsi="Wingdings" w:hint="default"/>
      </w:rPr>
    </w:lvl>
    <w:lvl w:ilvl="6" w:tplc="11206A9E">
      <w:start w:val="1"/>
      <w:numFmt w:val="bullet"/>
      <w:lvlText w:val=""/>
      <w:lvlJc w:val="left"/>
      <w:pPr>
        <w:ind w:left="5040" w:hanging="358"/>
      </w:pPr>
      <w:rPr>
        <w:rFonts w:ascii="Symbol" w:hAnsi="Symbol" w:hint="default"/>
      </w:rPr>
    </w:lvl>
    <w:lvl w:ilvl="7" w:tplc="A34E5664">
      <w:start w:val="1"/>
      <w:numFmt w:val="bullet"/>
      <w:lvlText w:val="o"/>
      <w:lvlJc w:val="left"/>
      <w:pPr>
        <w:ind w:left="5760" w:hanging="358"/>
      </w:pPr>
      <w:rPr>
        <w:rFonts w:ascii="Courier New" w:hAnsi="Courier New" w:hint="default"/>
      </w:rPr>
    </w:lvl>
    <w:lvl w:ilvl="8" w:tplc="9F0C0378">
      <w:start w:val="1"/>
      <w:numFmt w:val="bullet"/>
      <w:lvlText w:val=""/>
      <w:lvlJc w:val="left"/>
      <w:pPr>
        <w:ind w:left="6480" w:hanging="358"/>
      </w:pPr>
      <w:rPr>
        <w:rFonts w:ascii="Wingdings" w:hAnsi="Wingdings" w:hint="default"/>
      </w:rPr>
    </w:lvl>
  </w:abstractNum>
  <w:abstractNum w:abstractNumId="61" w15:restartNumberingAfterBreak="0">
    <w:nsid w:val="3DA46F48"/>
    <w:multiLevelType w:val="hybridMultilevel"/>
    <w:tmpl w:val="A15CB3B6"/>
    <w:lvl w:ilvl="0" w:tplc="94D8A788">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15:restartNumberingAfterBreak="0">
    <w:nsid w:val="3E005798"/>
    <w:multiLevelType w:val="hybridMultilevel"/>
    <w:tmpl w:val="44087DD2"/>
    <w:lvl w:ilvl="0" w:tplc="3D868E54">
      <w:start w:val="1"/>
      <w:numFmt w:val="decimal"/>
      <w:lvlText w:val="%1."/>
      <w:lvlJc w:val="left"/>
      <w:pPr>
        <w:ind w:left="720" w:hanging="358"/>
      </w:pPr>
      <w:rPr>
        <w:rFonts w:cs="Times New Roman"/>
      </w:rPr>
    </w:lvl>
    <w:lvl w:ilvl="1" w:tplc="96F847EA">
      <w:start w:val="1"/>
      <w:numFmt w:val="lowerLetter"/>
      <w:lvlText w:val="%2."/>
      <w:lvlJc w:val="left"/>
      <w:pPr>
        <w:ind w:left="1440" w:hanging="358"/>
      </w:pPr>
      <w:rPr>
        <w:rFonts w:cs="Times New Roman"/>
      </w:rPr>
    </w:lvl>
    <w:lvl w:ilvl="2" w:tplc="2C32D544">
      <w:start w:val="1"/>
      <w:numFmt w:val="lowerRoman"/>
      <w:lvlText w:val="%3."/>
      <w:lvlJc w:val="right"/>
      <w:pPr>
        <w:ind w:left="2160" w:hanging="178"/>
      </w:pPr>
      <w:rPr>
        <w:rFonts w:cs="Times New Roman"/>
      </w:rPr>
    </w:lvl>
    <w:lvl w:ilvl="3" w:tplc="35AA4D1E">
      <w:start w:val="1"/>
      <w:numFmt w:val="decimal"/>
      <w:lvlText w:val="%4."/>
      <w:lvlJc w:val="left"/>
      <w:pPr>
        <w:ind w:left="2880" w:hanging="358"/>
      </w:pPr>
      <w:rPr>
        <w:rFonts w:cs="Times New Roman"/>
      </w:rPr>
    </w:lvl>
    <w:lvl w:ilvl="4" w:tplc="01B8521E">
      <w:start w:val="1"/>
      <w:numFmt w:val="lowerLetter"/>
      <w:lvlText w:val="%5."/>
      <w:lvlJc w:val="left"/>
      <w:pPr>
        <w:ind w:left="3600" w:hanging="358"/>
      </w:pPr>
      <w:rPr>
        <w:rFonts w:cs="Times New Roman"/>
      </w:rPr>
    </w:lvl>
    <w:lvl w:ilvl="5" w:tplc="D3A2AE88">
      <w:start w:val="1"/>
      <w:numFmt w:val="lowerRoman"/>
      <w:lvlText w:val="%6."/>
      <w:lvlJc w:val="right"/>
      <w:pPr>
        <w:ind w:left="4320" w:hanging="178"/>
      </w:pPr>
      <w:rPr>
        <w:rFonts w:cs="Times New Roman"/>
      </w:rPr>
    </w:lvl>
    <w:lvl w:ilvl="6" w:tplc="0D6C3D9E">
      <w:start w:val="1"/>
      <w:numFmt w:val="decimal"/>
      <w:lvlText w:val="%7."/>
      <w:lvlJc w:val="left"/>
      <w:pPr>
        <w:ind w:left="5040" w:hanging="358"/>
      </w:pPr>
      <w:rPr>
        <w:rFonts w:cs="Times New Roman"/>
      </w:rPr>
    </w:lvl>
    <w:lvl w:ilvl="7" w:tplc="4936319A">
      <w:start w:val="1"/>
      <w:numFmt w:val="lowerLetter"/>
      <w:lvlText w:val="%8."/>
      <w:lvlJc w:val="left"/>
      <w:pPr>
        <w:ind w:left="5760" w:hanging="358"/>
      </w:pPr>
      <w:rPr>
        <w:rFonts w:cs="Times New Roman"/>
      </w:rPr>
    </w:lvl>
    <w:lvl w:ilvl="8" w:tplc="52061BD4">
      <w:start w:val="1"/>
      <w:numFmt w:val="lowerRoman"/>
      <w:lvlText w:val="%9."/>
      <w:lvlJc w:val="right"/>
      <w:pPr>
        <w:ind w:left="6480" w:hanging="178"/>
      </w:pPr>
      <w:rPr>
        <w:rFonts w:cs="Times New Roman"/>
      </w:rPr>
    </w:lvl>
  </w:abstractNum>
  <w:abstractNum w:abstractNumId="63" w15:restartNumberingAfterBreak="0">
    <w:nsid w:val="3E11446D"/>
    <w:multiLevelType w:val="hybridMultilevel"/>
    <w:tmpl w:val="87DC7DA0"/>
    <w:lvl w:ilvl="0" w:tplc="D68673B8">
      <w:start w:val="1"/>
      <w:numFmt w:val="decimal"/>
      <w:lvlText w:val="%1."/>
      <w:lvlJc w:val="left"/>
      <w:pPr>
        <w:ind w:left="360" w:hanging="358"/>
      </w:pPr>
      <w:rPr>
        <w:rFonts w:cs="Times New Roman"/>
      </w:rPr>
    </w:lvl>
    <w:lvl w:ilvl="1" w:tplc="F3828444">
      <w:start w:val="1"/>
      <w:numFmt w:val="lowerLetter"/>
      <w:lvlText w:val="%2."/>
      <w:lvlJc w:val="left"/>
      <w:pPr>
        <w:ind w:left="1080" w:hanging="358"/>
      </w:pPr>
      <w:rPr>
        <w:rFonts w:cs="Times New Roman"/>
      </w:rPr>
    </w:lvl>
    <w:lvl w:ilvl="2" w:tplc="C4B6EFAE">
      <w:start w:val="1"/>
      <w:numFmt w:val="lowerRoman"/>
      <w:lvlText w:val="%3."/>
      <w:lvlJc w:val="right"/>
      <w:pPr>
        <w:ind w:left="1800" w:hanging="178"/>
      </w:pPr>
      <w:rPr>
        <w:rFonts w:cs="Times New Roman"/>
      </w:rPr>
    </w:lvl>
    <w:lvl w:ilvl="3" w:tplc="83503664">
      <w:start w:val="1"/>
      <w:numFmt w:val="decimal"/>
      <w:lvlText w:val="%4."/>
      <w:lvlJc w:val="left"/>
      <w:pPr>
        <w:ind w:left="2520" w:hanging="358"/>
      </w:pPr>
      <w:rPr>
        <w:rFonts w:cs="Times New Roman"/>
      </w:rPr>
    </w:lvl>
    <w:lvl w:ilvl="4" w:tplc="29225278">
      <w:start w:val="1"/>
      <w:numFmt w:val="lowerLetter"/>
      <w:lvlText w:val="%5."/>
      <w:lvlJc w:val="left"/>
      <w:pPr>
        <w:ind w:left="3240" w:hanging="358"/>
      </w:pPr>
      <w:rPr>
        <w:rFonts w:cs="Times New Roman"/>
      </w:rPr>
    </w:lvl>
    <w:lvl w:ilvl="5" w:tplc="28E68D74">
      <w:start w:val="1"/>
      <w:numFmt w:val="lowerRoman"/>
      <w:lvlText w:val="%6."/>
      <w:lvlJc w:val="right"/>
      <w:pPr>
        <w:ind w:left="3960" w:hanging="178"/>
      </w:pPr>
      <w:rPr>
        <w:rFonts w:cs="Times New Roman"/>
      </w:rPr>
    </w:lvl>
    <w:lvl w:ilvl="6" w:tplc="3CF04288">
      <w:start w:val="1"/>
      <w:numFmt w:val="decimal"/>
      <w:lvlText w:val="%7."/>
      <w:lvlJc w:val="left"/>
      <w:pPr>
        <w:ind w:left="4680" w:hanging="358"/>
      </w:pPr>
      <w:rPr>
        <w:rFonts w:cs="Times New Roman"/>
      </w:rPr>
    </w:lvl>
    <w:lvl w:ilvl="7" w:tplc="F0FEEA1C">
      <w:start w:val="1"/>
      <w:numFmt w:val="lowerLetter"/>
      <w:lvlText w:val="%8."/>
      <w:lvlJc w:val="left"/>
      <w:pPr>
        <w:ind w:left="5400" w:hanging="358"/>
      </w:pPr>
      <w:rPr>
        <w:rFonts w:cs="Times New Roman"/>
      </w:rPr>
    </w:lvl>
    <w:lvl w:ilvl="8" w:tplc="F2043946">
      <w:start w:val="1"/>
      <w:numFmt w:val="lowerRoman"/>
      <w:lvlText w:val="%9."/>
      <w:lvlJc w:val="right"/>
      <w:pPr>
        <w:ind w:left="6120" w:hanging="178"/>
      </w:pPr>
      <w:rPr>
        <w:rFonts w:cs="Times New Roman"/>
      </w:rPr>
    </w:lvl>
  </w:abstractNum>
  <w:abstractNum w:abstractNumId="64" w15:restartNumberingAfterBreak="0">
    <w:nsid w:val="3F4A2B96"/>
    <w:multiLevelType w:val="hybridMultilevel"/>
    <w:tmpl w:val="926233C0"/>
    <w:lvl w:ilvl="0" w:tplc="9D601C7C">
      <w:start w:val="1"/>
      <w:numFmt w:val="decimal"/>
      <w:lvlText w:val="%1."/>
      <w:lvlJc w:val="left"/>
      <w:pPr>
        <w:ind w:left="720" w:hanging="358"/>
      </w:pPr>
      <w:rPr>
        <w:rFonts w:cs="Times New Roman"/>
      </w:rPr>
    </w:lvl>
    <w:lvl w:ilvl="1" w:tplc="2EFCEB0A">
      <w:start w:val="1"/>
      <w:numFmt w:val="lowerLetter"/>
      <w:lvlText w:val="%2."/>
      <w:lvlJc w:val="left"/>
      <w:pPr>
        <w:ind w:left="1440" w:hanging="358"/>
      </w:pPr>
      <w:rPr>
        <w:rFonts w:cs="Times New Roman"/>
      </w:rPr>
    </w:lvl>
    <w:lvl w:ilvl="2" w:tplc="5EA2C440">
      <w:start w:val="1"/>
      <w:numFmt w:val="lowerRoman"/>
      <w:lvlText w:val="%3."/>
      <w:lvlJc w:val="right"/>
      <w:pPr>
        <w:ind w:left="2160" w:hanging="178"/>
      </w:pPr>
      <w:rPr>
        <w:rFonts w:cs="Times New Roman"/>
      </w:rPr>
    </w:lvl>
    <w:lvl w:ilvl="3" w:tplc="3EA8FF82">
      <w:start w:val="1"/>
      <w:numFmt w:val="decimal"/>
      <w:lvlText w:val="%4."/>
      <w:lvlJc w:val="left"/>
      <w:pPr>
        <w:ind w:left="2880" w:hanging="358"/>
      </w:pPr>
      <w:rPr>
        <w:rFonts w:cs="Times New Roman"/>
      </w:rPr>
    </w:lvl>
    <w:lvl w:ilvl="4" w:tplc="A8A68ED2">
      <w:start w:val="1"/>
      <w:numFmt w:val="lowerLetter"/>
      <w:lvlText w:val="%5."/>
      <w:lvlJc w:val="left"/>
      <w:pPr>
        <w:ind w:left="3600" w:hanging="358"/>
      </w:pPr>
      <w:rPr>
        <w:rFonts w:cs="Times New Roman"/>
      </w:rPr>
    </w:lvl>
    <w:lvl w:ilvl="5" w:tplc="944A6E7C">
      <w:start w:val="1"/>
      <w:numFmt w:val="lowerRoman"/>
      <w:lvlText w:val="%6."/>
      <w:lvlJc w:val="right"/>
      <w:pPr>
        <w:ind w:left="4320" w:hanging="178"/>
      </w:pPr>
      <w:rPr>
        <w:rFonts w:cs="Times New Roman"/>
      </w:rPr>
    </w:lvl>
    <w:lvl w:ilvl="6" w:tplc="17DEF846">
      <w:start w:val="1"/>
      <w:numFmt w:val="decimal"/>
      <w:lvlText w:val="%7."/>
      <w:lvlJc w:val="left"/>
      <w:pPr>
        <w:ind w:left="5040" w:hanging="358"/>
      </w:pPr>
      <w:rPr>
        <w:rFonts w:cs="Times New Roman"/>
      </w:rPr>
    </w:lvl>
    <w:lvl w:ilvl="7" w:tplc="37F2883E">
      <w:start w:val="1"/>
      <w:numFmt w:val="lowerLetter"/>
      <w:lvlText w:val="%8."/>
      <w:lvlJc w:val="left"/>
      <w:pPr>
        <w:ind w:left="5760" w:hanging="358"/>
      </w:pPr>
      <w:rPr>
        <w:rFonts w:cs="Times New Roman"/>
      </w:rPr>
    </w:lvl>
    <w:lvl w:ilvl="8" w:tplc="556EB8B4">
      <w:start w:val="1"/>
      <w:numFmt w:val="lowerRoman"/>
      <w:lvlText w:val="%9."/>
      <w:lvlJc w:val="right"/>
      <w:pPr>
        <w:ind w:left="6480" w:hanging="178"/>
      </w:pPr>
      <w:rPr>
        <w:rFonts w:cs="Times New Roman"/>
      </w:rPr>
    </w:lvl>
  </w:abstractNum>
  <w:abstractNum w:abstractNumId="65" w15:restartNumberingAfterBreak="0">
    <w:nsid w:val="41E94787"/>
    <w:multiLevelType w:val="hybridMultilevel"/>
    <w:tmpl w:val="B7DAC07C"/>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6" w15:restartNumberingAfterBreak="0">
    <w:nsid w:val="424518C7"/>
    <w:multiLevelType w:val="hybridMultilevel"/>
    <w:tmpl w:val="8C529BB6"/>
    <w:lvl w:ilvl="0" w:tplc="021C4682">
      <w:start w:val="1"/>
      <w:numFmt w:val="bullet"/>
      <w:suff w:val="space"/>
      <w:lvlText w:val=""/>
      <w:lvlJc w:val="left"/>
      <w:pPr>
        <w:ind w:left="1429" w:hanging="358"/>
      </w:pPr>
      <w:rPr>
        <w:rFonts w:ascii="Symbol" w:hAnsi="Symbol" w:hint="default"/>
      </w:rPr>
    </w:lvl>
    <w:lvl w:ilvl="1" w:tplc="389E5878">
      <w:start w:val="1"/>
      <w:numFmt w:val="bullet"/>
      <w:lvlText w:val="o"/>
      <w:lvlJc w:val="left"/>
      <w:pPr>
        <w:ind w:left="2149" w:hanging="358"/>
      </w:pPr>
      <w:rPr>
        <w:rFonts w:ascii="Courier New" w:hAnsi="Courier New" w:hint="default"/>
      </w:rPr>
    </w:lvl>
    <w:lvl w:ilvl="2" w:tplc="7CDEEB86">
      <w:start w:val="1"/>
      <w:numFmt w:val="bullet"/>
      <w:lvlText w:val=""/>
      <w:lvlJc w:val="left"/>
      <w:pPr>
        <w:ind w:left="2869" w:hanging="358"/>
      </w:pPr>
      <w:rPr>
        <w:rFonts w:ascii="Wingdings" w:hAnsi="Wingdings" w:hint="default"/>
      </w:rPr>
    </w:lvl>
    <w:lvl w:ilvl="3" w:tplc="105E42EE">
      <w:start w:val="1"/>
      <w:numFmt w:val="bullet"/>
      <w:lvlText w:val=""/>
      <w:lvlJc w:val="left"/>
      <w:pPr>
        <w:ind w:left="3589" w:hanging="358"/>
      </w:pPr>
      <w:rPr>
        <w:rFonts w:ascii="Symbol" w:hAnsi="Symbol" w:hint="default"/>
      </w:rPr>
    </w:lvl>
    <w:lvl w:ilvl="4" w:tplc="F35A6560">
      <w:start w:val="1"/>
      <w:numFmt w:val="bullet"/>
      <w:lvlText w:val="o"/>
      <w:lvlJc w:val="left"/>
      <w:pPr>
        <w:ind w:left="4309" w:hanging="358"/>
      </w:pPr>
      <w:rPr>
        <w:rFonts w:ascii="Courier New" w:hAnsi="Courier New" w:hint="default"/>
      </w:rPr>
    </w:lvl>
    <w:lvl w:ilvl="5" w:tplc="95824236">
      <w:start w:val="1"/>
      <w:numFmt w:val="bullet"/>
      <w:lvlText w:val=""/>
      <w:lvlJc w:val="left"/>
      <w:pPr>
        <w:ind w:left="5029" w:hanging="358"/>
      </w:pPr>
      <w:rPr>
        <w:rFonts w:ascii="Wingdings" w:hAnsi="Wingdings" w:hint="default"/>
      </w:rPr>
    </w:lvl>
    <w:lvl w:ilvl="6" w:tplc="A1B8A4A2">
      <w:start w:val="1"/>
      <w:numFmt w:val="bullet"/>
      <w:lvlText w:val=""/>
      <w:lvlJc w:val="left"/>
      <w:pPr>
        <w:ind w:left="5749" w:hanging="358"/>
      </w:pPr>
      <w:rPr>
        <w:rFonts w:ascii="Symbol" w:hAnsi="Symbol" w:hint="default"/>
      </w:rPr>
    </w:lvl>
    <w:lvl w:ilvl="7" w:tplc="4BC64F2A">
      <w:start w:val="1"/>
      <w:numFmt w:val="bullet"/>
      <w:lvlText w:val="o"/>
      <w:lvlJc w:val="left"/>
      <w:pPr>
        <w:ind w:left="6469" w:hanging="358"/>
      </w:pPr>
      <w:rPr>
        <w:rFonts w:ascii="Courier New" w:hAnsi="Courier New" w:hint="default"/>
      </w:rPr>
    </w:lvl>
    <w:lvl w:ilvl="8" w:tplc="8564C970">
      <w:start w:val="1"/>
      <w:numFmt w:val="bullet"/>
      <w:lvlText w:val=""/>
      <w:lvlJc w:val="left"/>
      <w:pPr>
        <w:ind w:left="7189" w:hanging="358"/>
      </w:pPr>
      <w:rPr>
        <w:rFonts w:ascii="Wingdings" w:hAnsi="Wingdings" w:hint="default"/>
      </w:rPr>
    </w:lvl>
  </w:abstractNum>
  <w:abstractNum w:abstractNumId="67" w15:restartNumberingAfterBreak="0">
    <w:nsid w:val="44344F1F"/>
    <w:multiLevelType w:val="hybridMultilevel"/>
    <w:tmpl w:val="4252CE42"/>
    <w:lvl w:ilvl="0" w:tplc="69821822">
      <w:start w:val="1"/>
      <w:numFmt w:val="decimal"/>
      <w:lvlText w:val="%1."/>
      <w:lvlJc w:val="left"/>
      <w:pPr>
        <w:ind w:left="720" w:hanging="358"/>
      </w:pPr>
      <w:rPr>
        <w:rFonts w:cs="Times New Roman" w:hint="default"/>
      </w:rPr>
    </w:lvl>
    <w:lvl w:ilvl="1" w:tplc="356E060E">
      <w:start w:val="1"/>
      <w:numFmt w:val="lowerLetter"/>
      <w:lvlText w:val="%2."/>
      <w:lvlJc w:val="left"/>
      <w:pPr>
        <w:ind w:left="1440" w:hanging="358"/>
      </w:pPr>
      <w:rPr>
        <w:rFonts w:cs="Times New Roman"/>
      </w:rPr>
    </w:lvl>
    <w:lvl w:ilvl="2" w:tplc="88C0AD58">
      <w:start w:val="1"/>
      <w:numFmt w:val="lowerRoman"/>
      <w:lvlText w:val="%3."/>
      <w:lvlJc w:val="right"/>
      <w:pPr>
        <w:ind w:left="2160" w:hanging="178"/>
      </w:pPr>
      <w:rPr>
        <w:rFonts w:cs="Times New Roman"/>
      </w:rPr>
    </w:lvl>
    <w:lvl w:ilvl="3" w:tplc="BAB2AD0E">
      <w:start w:val="1"/>
      <w:numFmt w:val="decimal"/>
      <w:lvlText w:val="%4."/>
      <w:lvlJc w:val="left"/>
      <w:pPr>
        <w:ind w:left="2880" w:hanging="358"/>
      </w:pPr>
      <w:rPr>
        <w:rFonts w:cs="Times New Roman"/>
      </w:rPr>
    </w:lvl>
    <w:lvl w:ilvl="4" w:tplc="5DA27EAA">
      <w:start w:val="1"/>
      <w:numFmt w:val="lowerLetter"/>
      <w:lvlText w:val="%5."/>
      <w:lvlJc w:val="left"/>
      <w:pPr>
        <w:ind w:left="3600" w:hanging="358"/>
      </w:pPr>
      <w:rPr>
        <w:rFonts w:cs="Times New Roman"/>
      </w:rPr>
    </w:lvl>
    <w:lvl w:ilvl="5" w:tplc="C6A437D6">
      <w:start w:val="1"/>
      <w:numFmt w:val="lowerRoman"/>
      <w:lvlText w:val="%6."/>
      <w:lvlJc w:val="right"/>
      <w:pPr>
        <w:ind w:left="4320" w:hanging="178"/>
      </w:pPr>
      <w:rPr>
        <w:rFonts w:cs="Times New Roman"/>
      </w:rPr>
    </w:lvl>
    <w:lvl w:ilvl="6" w:tplc="8AD23B24">
      <w:start w:val="1"/>
      <w:numFmt w:val="decimal"/>
      <w:lvlText w:val="%7."/>
      <w:lvlJc w:val="left"/>
      <w:pPr>
        <w:ind w:left="5040" w:hanging="358"/>
      </w:pPr>
      <w:rPr>
        <w:rFonts w:cs="Times New Roman"/>
      </w:rPr>
    </w:lvl>
    <w:lvl w:ilvl="7" w:tplc="264ECFAE">
      <w:start w:val="1"/>
      <w:numFmt w:val="lowerLetter"/>
      <w:lvlText w:val="%8."/>
      <w:lvlJc w:val="left"/>
      <w:pPr>
        <w:ind w:left="5760" w:hanging="358"/>
      </w:pPr>
      <w:rPr>
        <w:rFonts w:cs="Times New Roman"/>
      </w:rPr>
    </w:lvl>
    <w:lvl w:ilvl="8" w:tplc="C2A4BF30">
      <w:start w:val="1"/>
      <w:numFmt w:val="lowerRoman"/>
      <w:lvlText w:val="%9."/>
      <w:lvlJc w:val="right"/>
      <w:pPr>
        <w:ind w:left="6480" w:hanging="178"/>
      </w:pPr>
      <w:rPr>
        <w:rFonts w:cs="Times New Roman"/>
      </w:rPr>
    </w:lvl>
  </w:abstractNum>
  <w:abstractNum w:abstractNumId="68" w15:restartNumberingAfterBreak="0">
    <w:nsid w:val="443603C4"/>
    <w:multiLevelType w:val="hybridMultilevel"/>
    <w:tmpl w:val="BF188382"/>
    <w:lvl w:ilvl="0" w:tplc="03702990">
      <w:start w:val="6"/>
      <w:numFmt w:val="decimal"/>
      <w:lvlText w:val="%1)"/>
      <w:lvlJc w:val="left"/>
      <w:pPr>
        <w:ind w:left="1353" w:hanging="360"/>
      </w:pPr>
      <w:rPr>
        <w:rFonts w:cs="Times New Roman" w:hint="default"/>
      </w:rPr>
    </w:lvl>
    <w:lvl w:ilvl="1" w:tplc="04190019" w:tentative="1">
      <w:start w:val="1"/>
      <w:numFmt w:val="lowerLetter"/>
      <w:lvlText w:val="%2."/>
      <w:lvlJc w:val="left"/>
      <w:pPr>
        <w:ind w:left="2231" w:hanging="360"/>
      </w:pPr>
      <w:rPr>
        <w:rFonts w:cs="Times New Roman"/>
      </w:rPr>
    </w:lvl>
    <w:lvl w:ilvl="2" w:tplc="0419001B" w:tentative="1">
      <w:start w:val="1"/>
      <w:numFmt w:val="lowerRoman"/>
      <w:lvlText w:val="%3."/>
      <w:lvlJc w:val="right"/>
      <w:pPr>
        <w:ind w:left="2951" w:hanging="180"/>
      </w:pPr>
      <w:rPr>
        <w:rFonts w:cs="Times New Roman"/>
      </w:rPr>
    </w:lvl>
    <w:lvl w:ilvl="3" w:tplc="0419000F" w:tentative="1">
      <w:start w:val="1"/>
      <w:numFmt w:val="decimal"/>
      <w:lvlText w:val="%4."/>
      <w:lvlJc w:val="left"/>
      <w:pPr>
        <w:ind w:left="3671" w:hanging="360"/>
      </w:pPr>
      <w:rPr>
        <w:rFonts w:cs="Times New Roman"/>
      </w:rPr>
    </w:lvl>
    <w:lvl w:ilvl="4" w:tplc="04190019" w:tentative="1">
      <w:start w:val="1"/>
      <w:numFmt w:val="lowerLetter"/>
      <w:lvlText w:val="%5."/>
      <w:lvlJc w:val="left"/>
      <w:pPr>
        <w:ind w:left="4391" w:hanging="360"/>
      </w:pPr>
      <w:rPr>
        <w:rFonts w:cs="Times New Roman"/>
      </w:rPr>
    </w:lvl>
    <w:lvl w:ilvl="5" w:tplc="0419001B" w:tentative="1">
      <w:start w:val="1"/>
      <w:numFmt w:val="lowerRoman"/>
      <w:lvlText w:val="%6."/>
      <w:lvlJc w:val="right"/>
      <w:pPr>
        <w:ind w:left="5111" w:hanging="180"/>
      </w:pPr>
      <w:rPr>
        <w:rFonts w:cs="Times New Roman"/>
      </w:rPr>
    </w:lvl>
    <w:lvl w:ilvl="6" w:tplc="0419000F" w:tentative="1">
      <w:start w:val="1"/>
      <w:numFmt w:val="decimal"/>
      <w:lvlText w:val="%7."/>
      <w:lvlJc w:val="left"/>
      <w:pPr>
        <w:ind w:left="5831" w:hanging="360"/>
      </w:pPr>
      <w:rPr>
        <w:rFonts w:cs="Times New Roman"/>
      </w:rPr>
    </w:lvl>
    <w:lvl w:ilvl="7" w:tplc="04190019" w:tentative="1">
      <w:start w:val="1"/>
      <w:numFmt w:val="lowerLetter"/>
      <w:lvlText w:val="%8."/>
      <w:lvlJc w:val="left"/>
      <w:pPr>
        <w:ind w:left="6551" w:hanging="360"/>
      </w:pPr>
      <w:rPr>
        <w:rFonts w:cs="Times New Roman"/>
      </w:rPr>
    </w:lvl>
    <w:lvl w:ilvl="8" w:tplc="0419001B" w:tentative="1">
      <w:start w:val="1"/>
      <w:numFmt w:val="lowerRoman"/>
      <w:lvlText w:val="%9."/>
      <w:lvlJc w:val="right"/>
      <w:pPr>
        <w:ind w:left="7271" w:hanging="180"/>
      </w:pPr>
      <w:rPr>
        <w:rFonts w:cs="Times New Roman"/>
      </w:rPr>
    </w:lvl>
  </w:abstractNum>
  <w:abstractNum w:abstractNumId="69" w15:restartNumberingAfterBreak="0">
    <w:nsid w:val="44535DF5"/>
    <w:multiLevelType w:val="hybridMultilevel"/>
    <w:tmpl w:val="81F65B84"/>
    <w:lvl w:ilvl="0" w:tplc="2B12A278">
      <w:start w:val="1"/>
      <w:numFmt w:val="bullet"/>
      <w:lvlText w:val=""/>
      <w:lvlJc w:val="left"/>
      <w:pPr>
        <w:ind w:left="1429" w:hanging="358"/>
      </w:pPr>
      <w:rPr>
        <w:rFonts w:ascii="Symbol" w:hAnsi="Symbol" w:hint="default"/>
      </w:rPr>
    </w:lvl>
    <w:lvl w:ilvl="1" w:tplc="740C6F24">
      <w:start w:val="1"/>
      <w:numFmt w:val="bullet"/>
      <w:lvlText w:val="o"/>
      <w:lvlJc w:val="left"/>
      <w:pPr>
        <w:ind w:left="2149" w:hanging="358"/>
      </w:pPr>
      <w:rPr>
        <w:rFonts w:ascii="Courier New" w:hAnsi="Courier New" w:cs="Times New Roman" w:hint="default"/>
      </w:rPr>
    </w:lvl>
    <w:lvl w:ilvl="2" w:tplc="4CCCB4C0">
      <w:start w:val="1"/>
      <w:numFmt w:val="bullet"/>
      <w:lvlText w:val=""/>
      <w:lvlJc w:val="left"/>
      <w:pPr>
        <w:ind w:left="2869" w:hanging="358"/>
      </w:pPr>
      <w:rPr>
        <w:rFonts w:ascii="Wingdings" w:hAnsi="Wingdings" w:hint="default"/>
      </w:rPr>
    </w:lvl>
    <w:lvl w:ilvl="3" w:tplc="CB004E9C">
      <w:start w:val="1"/>
      <w:numFmt w:val="bullet"/>
      <w:lvlText w:val=""/>
      <w:lvlJc w:val="left"/>
      <w:pPr>
        <w:ind w:left="3589" w:hanging="358"/>
      </w:pPr>
      <w:rPr>
        <w:rFonts w:ascii="Symbol" w:hAnsi="Symbol" w:hint="default"/>
      </w:rPr>
    </w:lvl>
    <w:lvl w:ilvl="4" w:tplc="0F30E300">
      <w:start w:val="1"/>
      <w:numFmt w:val="bullet"/>
      <w:lvlText w:val="o"/>
      <w:lvlJc w:val="left"/>
      <w:pPr>
        <w:ind w:left="4309" w:hanging="358"/>
      </w:pPr>
      <w:rPr>
        <w:rFonts w:ascii="Courier New" w:hAnsi="Courier New" w:cs="Times New Roman" w:hint="default"/>
      </w:rPr>
    </w:lvl>
    <w:lvl w:ilvl="5" w:tplc="FCBC538C">
      <w:start w:val="1"/>
      <w:numFmt w:val="bullet"/>
      <w:lvlText w:val=""/>
      <w:lvlJc w:val="left"/>
      <w:pPr>
        <w:ind w:left="5029" w:hanging="358"/>
      </w:pPr>
      <w:rPr>
        <w:rFonts w:ascii="Wingdings" w:hAnsi="Wingdings" w:hint="default"/>
      </w:rPr>
    </w:lvl>
    <w:lvl w:ilvl="6" w:tplc="893AD5DC">
      <w:start w:val="1"/>
      <w:numFmt w:val="bullet"/>
      <w:lvlText w:val=""/>
      <w:lvlJc w:val="left"/>
      <w:pPr>
        <w:ind w:left="5749" w:hanging="358"/>
      </w:pPr>
      <w:rPr>
        <w:rFonts w:ascii="Symbol" w:hAnsi="Symbol" w:hint="default"/>
      </w:rPr>
    </w:lvl>
    <w:lvl w:ilvl="7" w:tplc="05D2B198">
      <w:start w:val="1"/>
      <w:numFmt w:val="bullet"/>
      <w:lvlText w:val="o"/>
      <w:lvlJc w:val="left"/>
      <w:pPr>
        <w:ind w:left="6469" w:hanging="358"/>
      </w:pPr>
      <w:rPr>
        <w:rFonts w:ascii="Courier New" w:hAnsi="Courier New" w:cs="Times New Roman" w:hint="default"/>
      </w:rPr>
    </w:lvl>
    <w:lvl w:ilvl="8" w:tplc="83C6DEA2">
      <w:start w:val="1"/>
      <w:numFmt w:val="bullet"/>
      <w:lvlText w:val=""/>
      <w:lvlJc w:val="left"/>
      <w:pPr>
        <w:ind w:left="7189" w:hanging="358"/>
      </w:pPr>
      <w:rPr>
        <w:rFonts w:ascii="Wingdings" w:hAnsi="Wingdings" w:hint="default"/>
      </w:rPr>
    </w:lvl>
  </w:abstractNum>
  <w:abstractNum w:abstractNumId="70" w15:restartNumberingAfterBreak="0">
    <w:nsid w:val="454B1B59"/>
    <w:multiLevelType w:val="hybridMultilevel"/>
    <w:tmpl w:val="71AE92CC"/>
    <w:lvl w:ilvl="0" w:tplc="E4FC31AE">
      <w:start w:val="1"/>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71" w15:restartNumberingAfterBreak="0">
    <w:nsid w:val="47177F46"/>
    <w:multiLevelType w:val="hybridMultilevel"/>
    <w:tmpl w:val="CE006284"/>
    <w:lvl w:ilvl="0" w:tplc="0419000F">
      <w:start w:val="1"/>
      <w:numFmt w:val="decimal"/>
      <w:lvlText w:val="%1."/>
      <w:lvlJc w:val="left"/>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2" w15:restartNumberingAfterBreak="0">
    <w:nsid w:val="473D33B1"/>
    <w:multiLevelType w:val="hybridMultilevel"/>
    <w:tmpl w:val="70B6697A"/>
    <w:lvl w:ilvl="0" w:tplc="D9A87A60">
      <w:start w:val="1"/>
      <w:numFmt w:val="decimal"/>
      <w:lvlText w:val="%1."/>
      <w:lvlJc w:val="left"/>
      <w:pPr>
        <w:ind w:left="720" w:hanging="358"/>
      </w:pPr>
      <w:rPr>
        <w:rFonts w:cs="Times New Roman"/>
      </w:rPr>
    </w:lvl>
    <w:lvl w:ilvl="1" w:tplc="2F1CD0E4">
      <w:start w:val="1"/>
      <w:numFmt w:val="lowerLetter"/>
      <w:lvlText w:val="%2."/>
      <w:lvlJc w:val="left"/>
      <w:pPr>
        <w:ind w:left="1440" w:hanging="358"/>
      </w:pPr>
      <w:rPr>
        <w:rFonts w:cs="Times New Roman"/>
      </w:rPr>
    </w:lvl>
    <w:lvl w:ilvl="2" w:tplc="666EF2D6">
      <w:start w:val="1"/>
      <w:numFmt w:val="lowerRoman"/>
      <w:lvlText w:val="%3."/>
      <w:lvlJc w:val="right"/>
      <w:pPr>
        <w:ind w:left="2160" w:hanging="178"/>
      </w:pPr>
      <w:rPr>
        <w:rFonts w:cs="Times New Roman"/>
      </w:rPr>
    </w:lvl>
    <w:lvl w:ilvl="3" w:tplc="A4FE4614">
      <w:start w:val="1"/>
      <w:numFmt w:val="decimal"/>
      <w:lvlText w:val="%4."/>
      <w:lvlJc w:val="left"/>
      <w:pPr>
        <w:ind w:left="2880" w:hanging="358"/>
      </w:pPr>
      <w:rPr>
        <w:rFonts w:cs="Times New Roman"/>
      </w:rPr>
    </w:lvl>
    <w:lvl w:ilvl="4" w:tplc="C95C72BE">
      <w:start w:val="1"/>
      <w:numFmt w:val="lowerLetter"/>
      <w:lvlText w:val="%5."/>
      <w:lvlJc w:val="left"/>
      <w:pPr>
        <w:ind w:left="3600" w:hanging="358"/>
      </w:pPr>
      <w:rPr>
        <w:rFonts w:cs="Times New Roman"/>
      </w:rPr>
    </w:lvl>
    <w:lvl w:ilvl="5" w:tplc="3EF6B9AA">
      <w:start w:val="1"/>
      <w:numFmt w:val="lowerRoman"/>
      <w:lvlText w:val="%6."/>
      <w:lvlJc w:val="right"/>
      <w:pPr>
        <w:ind w:left="4320" w:hanging="178"/>
      </w:pPr>
      <w:rPr>
        <w:rFonts w:cs="Times New Roman"/>
      </w:rPr>
    </w:lvl>
    <w:lvl w:ilvl="6" w:tplc="595467E4">
      <w:start w:val="1"/>
      <w:numFmt w:val="decimal"/>
      <w:lvlText w:val="%7."/>
      <w:lvlJc w:val="left"/>
      <w:pPr>
        <w:ind w:left="5040" w:hanging="358"/>
      </w:pPr>
      <w:rPr>
        <w:rFonts w:cs="Times New Roman"/>
      </w:rPr>
    </w:lvl>
    <w:lvl w:ilvl="7" w:tplc="2D44ED78">
      <w:start w:val="1"/>
      <w:numFmt w:val="lowerLetter"/>
      <w:lvlText w:val="%8."/>
      <w:lvlJc w:val="left"/>
      <w:pPr>
        <w:ind w:left="5760" w:hanging="358"/>
      </w:pPr>
      <w:rPr>
        <w:rFonts w:cs="Times New Roman"/>
      </w:rPr>
    </w:lvl>
    <w:lvl w:ilvl="8" w:tplc="C07246B0">
      <w:start w:val="1"/>
      <w:numFmt w:val="lowerRoman"/>
      <w:lvlText w:val="%9."/>
      <w:lvlJc w:val="right"/>
      <w:pPr>
        <w:ind w:left="6480" w:hanging="178"/>
      </w:pPr>
      <w:rPr>
        <w:rFonts w:cs="Times New Roman"/>
      </w:rPr>
    </w:lvl>
  </w:abstractNum>
  <w:abstractNum w:abstractNumId="73" w15:restartNumberingAfterBreak="0">
    <w:nsid w:val="48645B20"/>
    <w:multiLevelType w:val="hybridMultilevel"/>
    <w:tmpl w:val="BC4C1F08"/>
    <w:lvl w:ilvl="0" w:tplc="5AE2F5D6">
      <w:start w:val="1"/>
      <w:numFmt w:val="decimal"/>
      <w:suff w:val="space"/>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4" w15:restartNumberingAfterBreak="0">
    <w:nsid w:val="48E65F05"/>
    <w:multiLevelType w:val="hybridMultilevel"/>
    <w:tmpl w:val="3F88CAA4"/>
    <w:lvl w:ilvl="0" w:tplc="A03820A6">
      <w:start w:val="1"/>
      <w:numFmt w:val="decimal"/>
      <w:lvlText w:val="%1."/>
      <w:lvlJc w:val="left"/>
      <w:pPr>
        <w:ind w:left="1428" w:hanging="359"/>
      </w:pPr>
    </w:lvl>
    <w:lvl w:ilvl="1" w:tplc="E79E4DDA">
      <w:start w:val="1"/>
      <w:numFmt w:val="lowerLetter"/>
      <w:lvlText w:val="%2."/>
      <w:lvlJc w:val="left"/>
      <w:pPr>
        <w:ind w:left="2148" w:hanging="359"/>
      </w:pPr>
    </w:lvl>
    <w:lvl w:ilvl="2" w:tplc="FD14A50E">
      <w:start w:val="1"/>
      <w:numFmt w:val="lowerRoman"/>
      <w:lvlText w:val="%3."/>
      <w:lvlJc w:val="right"/>
      <w:pPr>
        <w:ind w:left="2868" w:hanging="179"/>
      </w:pPr>
    </w:lvl>
    <w:lvl w:ilvl="3" w:tplc="89340DCE">
      <w:start w:val="1"/>
      <w:numFmt w:val="decimal"/>
      <w:lvlText w:val="%4."/>
      <w:lvlJc w:val="left"/>
      <w:pPr>
        <w:ind w:left="3588" w:hanging="359"/>
      </w:pPr>
    </w:lvl>
    <w:lvl w:ilvl="4" w:tplc="D53CDFAA">
      <w:start w:val="1"/>
      <w:numFmt w:val="lowerLetter"/>
      <w:lvlText w:val="%5."/>
      <w:lvlJc w:val="left"/>
      <w:pPr>
        <w:ind w:left="4308" w:hanging="359"/>
      </w:pPr>
    </w:lvl>
    <w:lvl w:ilvl="5" w:tplc="40E268BE">
      <w:start w:val="1"/>
      <w:numFmt w:val="lowerRoman"/>
      <w:lvlText w:val="%6."/>
      <w:lvlJc w:val="right"/>
      <w:pPr>
        <w:ind w:left="5028" w:hanging="179"/>
      </w:pPr>
    </w:lvl>
    <w:lvl w:ilvl="6" w:tplc="C64E42E6">
      <w:start w:val="1"/>
      <w:numFmt w:val="decimal"/>
      <w:lvlText w:val="%7."/>
      <w:lvlJc w:val="left"/>
      <w:pPr>
        <w:ind w:left="5748" w:hanging="359"/>
      </w:pPr>
    </w:lvl>
    <w:lvl w:ilvl="7" w:tplc="F7783714">
      <w:start w:val="1"/>
      <w:numFmt w:val="lowerLetter"/>
      <w:lvlText w:val="%8."/>
      <w:lvlJc w:val="left"/>
      <w:pPr>
        <w:ind w:left="6468" w:hanging="359"/>
      </w:pPr>
    </w:lvl>
    <w:lvl w:ilvl="8" w:tplc="6D76BA5E">
      <w:start w:val="1"/>
      <w:numFmt w:val="lowerRoman"/>
      <w:lvlText w:val="%9."/>
      <w:lvlJc w:val="right"/>
      <w:pPr>
        <w:ind w:left="7188" w:hanging="179"/>
      </w:pPr>
    </w:lvl>
  </w:abstractNum>
  <w:abstractNum w:abstractNumId="75" w15:restartNumberingAfterBreak="0">
    <w:nsid w:val="49020CA3"/>
    <w:multiLevelType w:val="hybridMultilevel"/>
    <w:tmpl w:val="F8CEB7B6"/>
    <w:lvl w:ilvl="0" w:tplc="78F018EC">
      <w:start w:val="1"/>
      <w:numFmt w:val="decimal"/>
      <w:lvlText w:val="%1."/>
      <w:lvlJc w:val="left"/>
      <w:pPr>
        <w:ind w:left="1069" w:hanging="358"/>
      </w:pPr>
      <w:rPr>
        <w:rFonts w:ascii="Times New Roman" w:eastAsia="Calibri" w:hAnsi="Times New Roman" w:cs="Times New Roman"/>
      </w:rPr>
    </w:lvl>
    <w:lvl w:ilvl="1" w:tplc="9CC8452A">
      <w:start w:val="1"/>
      <w:numFmt w:val="lowerLetter"/>
      <w:lvlText w:val="%2."/>
      <w:lvlJc w:val="left"/>
      <w:pPr>
        <w:ind w:left="1789" w:hanging="358"/>
      </w:pPr>
      <w:rPr>
        <w:rFonts w:cs="Times New Roman"/>
      </w:rPr>
    </w:lvl>
    <w:lvl w:ilvl="2" w:tplc="C6A677E2">
      <w:start w:val="1"/>
      <w:numFmt w:val="lowerRoman"/>
      <w:lvlText w:val="%3."/>
      <w:lvlJc w:val="right"/>
      <w:pPr>
        <w:ind w:left="2509" w:hanging="178"/>
      </w:pPr>
      <w:rPr>
        <w:rFonts w:cs="Times New Roman"/>
      </w:rPr>
    </w:lvl>
    <w:lvl w:ilvl="3" w:tplc="A99A2376">
      <w:start w:val="1"/>
      <w:numFmt w:val="decimal"/>
      <w:lvlText w:val="%4."/>
      <w:lvlJc w:val="left"/>
      <w:pPr>
        <w:ind w:left="3229" w:hanging="358"/>
      </w:pPr>
      <w:rPr>
        <w:rFonts w:cs="Times New Roman"/>
      </w:rPr>
    </w:lvl>
    <w:lvl w:ilvl="4" w:tplc="C27EF6C0">
      <w:start w:val="1"/>
      <w:numFmt w:val="lowerLetter"/>
      <w:lvlText w:val="%5."/>
      <w:lvlJc w:val="left"/>
      <w:pPr>
        <w:ind w:left="3949" w:hanging="358"/>
      </w:pPr>
      <w:rPr>
        <w:rFonts w:cs="Times New Roman"/>
      </w:rPr>
    </w:lvl>
    <w:lvl w:ilvl="5" w:tplc="B6BA74A6">
      <w:start w:val="1"/>
      <w:numFmt w:val="lowerRoman"/>
      <w:lvlText w:val="%6."/>
      <w:lvlJc w:val="right"/>
      <w:pPr>
        <w:ind w:left="4669" w:hanging="178"/>
      </w:pPr>
      <w:rPr>
        <w:rFonts w:cs="Times New Roman"/>
      </w:rPr>
    </w:lvl>
    <w:lvl w:ilvl="6" w:tplc="88965236">
      <w:start w:val="1"/>
      <w:numFmt w:val="decimal"/>
      <w:lvlText w:val="%7."/>
      <w:lvlJc w:val="left"/>
      <w:pPr>
        <w:ind w:left="5389" w:hanging="358"/>
      </w:pPr>
      <w:rPr>
        <w:rFonts w:cs="Times New Roman"/>
      </w:rPr>
    </w:lvl>
    <w:lvl w:ilvl="7" w:tplc="5D445C84">
      <w:start w:val="1"/>
      <w:numFmt w:val="lowerLetter"/>
      <w:lvlText w:val="%8."/>
      <w:lvlJc w:val="left"/>
      <w:pPr>
        <w:ind w:left="6109" w:hanging="358"/>
      </w:pPr>
      <w:rPr>
        <w:rFonts w:cs="Times New Roman"/>
      </w:rPr>
    </w:lvl>
    <w:lvl w:ilvl="8" w:tplc="C3F061DA">
      <w:start w:val="1"/>
      <w:numFmt w:val="lowerRoman"/>
      <w:lvlText w:val="%9."/>
      <w:lvlJc w:val="right"/>
      <w:pPr>
        <w:ind w:left="6829" w:hanging="178"/>
      </w:pPr>
      <w:rPr>
        <w:rFonts w:cs="Times New Roman"/>
      </w:rPr>
    </w:lvl>
  </w:abstractNum>
  <w:abstractNum w:abstractNumId="76" w15:restartNumberingAfterBreak="0">
    <w:nsid w:val="49226266"/>
    <w:multiLevelType w:val="hybridMultilevel"/>
    <w:tmpl w:val="825EDFF2"/>
    <w:lvl w:ilvl="0" w:tplc="D76CC770">
      <w:start w:val="1"/>
      <w:numFmt w:val="decimal"/>
      <w:lvlText w:val="%1."/>
      <w:lvlJc w:val="left"/>
      <w:pPr>
        <w:ind w:left="1428" w:hanging="358"/>
      </w:pPr>
    </w:lvl>
    <w:lvl w:ilvl="1" w:tplc="906867EA">
      <w:start w:val="1"/>
      <w:numFmt w:val="lowerLetter"/>
      <w:lvlText w:val="%2."/>
      <w:lvlJc w:val="left"/>
      <w:pPr>
        <w:ind w:left="2148" w:hanging="358"/>
      </w:pPr>
    </w:lvl>
    <w:lvl w:ilvl="2" w:tplc="1C0AF27E">
      <w:start w:val="1"/>
      <w:numFmt w:val="lowerRoman"/>
      <w:lvlText w:val="%3."/>
      <w:lvlJc w:val="right"/>
      <w:pPr>
        <w:ind w:left="2868" w:hanging="178"/>
      </w:pPr>
    </w:lvl>
    <w:lvl w:ilvl="3" w:tplc="4BEE5DDA">
      <w:start w:val="1"/>
      <w:numFmt w:val="decimal"/>
      <w:lvlText w:val="%4."/>
      <w:lvlJc w:val="left"/>
      <w:pPr>
        <w:ind w:left="3588" w:hanging="358"/>
      </w:pPr>
    </w:lvl>
    <w:lvl w:ilvl="4" w:tplc="E4008CD4">
      <w:start w:val="1"/>
      <w:numFmt w:val="lowerLetter"/>
      <w:lvlText w:val="%5."/>
      <w:lvlJc w:val="left"/>
      <w:pPr>
        <w:ind w:left="4308" w:hanging="358"/>
      </w:pPr>
    </w:lvl>
    <w:lvl w:ilvl="5" w:tplc="17FECD6A">
      <w:start w:val="1"/>
      <w:numFmt w:val="lowerRoman"/>
      <w:lvlText w:val="%6."/>
      <w:lvlJc w:val="right"/>
      <w:pPr>
        <w:ind w:left="5028" w:hanging="178"/>
      </w:pPr>
    </w:lvl>
    <w:lvl w:ilvl="6" w:tplc="DB060390">
      <w:start w:val="1"/>
      <w:numFmt w:val="decimal"/>
      <w:lvlText w:val="%7."/>
      <w:lvlJc w:val="left"/>
      <w:pPr>
        <w:ind w:left="5748" w:hanging="358"/>
      </w:pPr>
    </w:lvl>
    <w:lvl w:ilvl="7" w:tplc="F0AA7170">
      <w:start w:val="1"/>
      <w:numFmt w:val="lowerLetter"/>
      <w:lvlText w:val="%8."/>
      <w:lvlJc w:val="left"/>
      <w:pPr>
        <w:ind w:left="6468" w:hanging="358"/>
      </w:pPr>
    </w:lvl>
    <w:lvl w:ilvl="8" w:tplc="411E7310">
      <w:start w:val="1"/>
      <w:numFmt w:val="lowerRoman"/>
      <w:lvlText w:val="%9."/>
      <w:lvlJc w:val="right"/>
      <w:pPr>
        <w:ind w:left="7188" w:hanging="178"/>
      </w:pPr>
    </w:lvl>
  </w:abstractNum>
  <w:abstractNum w:abstractNumId="77" w15:restartNumberingAfterBreak="0">
    <w:nsid w:val="493703CE"/>
    <w:multiLevelType w:val="hybridMultilevel"/>
    <w:tmpl w:val="24B220C2"/>
    <w:lvl w:ilvl="0" w:tplc="1A22DF00">
      <w:start w:val="1"/>
      <w:numFmt w:val="decimal"/>
      <w:lvlText w:val="%1."/>
      <w:lvlJc w:val="left"/>
      <w:pPr>
        <w:ind w:left="1429" w:hanging="358"/>
      </w:pPr>
      <w:rPr>
        <w:rFonts w:cs="Times New Roman"/>
      </w:rPr>
    </w:lvl>
    <w:lvl w:ilvl="1" w:tplc="943068B0">
      <w:start w:val="1"/>
      <w:numFmt w:val="lowerLetter"/>
      <w:lvlText w:val="%2."/>
      <w:lvlJc w:val="left"/>
      <w:pPr>
        <w:ind w:left="2149" w:hanging="358"/>
      </w:pPr>
      <w:rPr>
        <w:rFonts w:cs="Times New Roman"/>
      </w:rPr>
    </w:lvl>
    <w:lvl w:ilvl="2" w:tplc="9FDE9EEA">
      <w:start w:val="1"/>
      <w:numFmt w:val="lowerRoman"/>
      <w:lvlText w:val="%3."/>
      <w:lvlJc w:val="right"/>
      <w:pPr>
        <w:ind w:left="2869" w:hanging="178"/>
      </w:pPr>
      <w:rPr>
        <w:rFonts w:cs="Times New Roman"/>
      </w:rPr>
    </w:lvl>
    <w:lvl w:ilvl="3" w:tplc="120810D6">
      <w:start w:val="1"/>
      <w:numFmt w:val="decimal"/>
      <w:lvlText w:val="%4."/>
      <w:lvlJc w:val="left"/>
      <w:pPr>
        <w:ind w:left="3589" w:hanging="358"/>
      </w:pPr>
      <w:rPr>
        <w:rFonts w:cs="Times New Roman"/>
      </w:rPr>
    </w:lvl>
    <w:lvl w:ilvl="4" w:tplc="373ECCA8">
      <w:start w:val="1"/>
      <w:numFmt w:val="lowerLetter"/>
      <w:lvlText w:val="%5."/>
      <w:lvlJc w:val="left"/>
      <w:pPr>
        <w:ind w:left="4309" w:hanging="358"/>
      </w:pPr>
      <w:rPr>
        <w:rFonts w:cs="Times New Roman"/>
      </w:rPr>
    </w:lvl>
    <w:lvl w:ilvl="5" w:tplc="FCEC93A6">
      <w:start w:val="1"/>
      <w:numFmt w:val="lowerRoman"/>
      <w:lvlText w:val="%6."/>
      <w:lvlJc w:val="right"/>
      <w:pPr>
        <w:ind w:left="5029" w:hanging="178"/>
      </w:pPr>
      <w:rPr>
        <w:rFonts w:cs="Times New Roman"/>
      </w:rPr>
    </w:lvl>
    <w:lvl w:ilvl="6" w:tplc="D43ED1BA">
      <w:start w:val="1"/>
      <w:numFmt w:val="decimal"/>
      <w:lvlText w:val="%7."/>
      <w:lvlJc w:val="left"/>
      <w:pPr>
        <w:ind w:left="5749" w:hanging="358"/>
      </w:pPr>
      <w:rPr>
        <w:rFonts w:cs="Times New Roman"/>
      </w:rPr>
    </w:lvl>
    <w:lvl w:ilvl="7" w:tplc="712C2076">
      <w:start w:val="1"/>
      <w:numFmt w:val="lowerLetter"/>
      <w:lvlText w:val="%8."/>
      <w:lvlJc w:val="left"/>
      <w:pPr>
        <w:ind w:left="6469" w:hanging="358"/>
      </w:pPr>
      <w:rPr>
        <w:rFonts w:cs="Times New Roman"/>
      </w:rPr>
    </w:lvl>
    <w:lvl w:ilvl="8" w:tplc="9DDA643E">
      <w:start w:val="1"/>
      <w:numFmt w:val="lowerRoman"/>
      <w:lvlText w:val="%9."/>
      <w:lvlJc w:val="right"/>
      <w:pPr>
        <w:ind w:left="7189" w:hanging="178"/>
      </w:pPr>
      <w:rPr>
        <w:rFonts w:cs="Times New Roman"/>
      </w:rPr>
    </w:lvl>
  </w:abstractNum>
  <w:abstractNum w:abstractNumId="78" w15:restartNumberingAfterBreak="0">
    <w:nsid w:val="49434537"/>
    <w:multiLevelType w:val="hybridMultilevel"/>
    <w:tmpl w:val="3B5CB1F8"/>
    <w:lvl w:ilvl="0" w:tplc="28BE88E6">
      <w:start w:val="1"/>
      <w:numFmt w:val="decimal"/>
      <w:lvlText w:val="%1)"/>
      <w:lvlJc w:val="left"/>
      <w:pPr>
        <w:ind w:left="927" w:hanging="358"/>
      </w:pPr>
      <w:rPr>
        <w:rFonts w:cs="Times New Roman" w:hint="default"/>
      </w:rPr>
    </w:lvl>
    <w:lvl w:ilvl="1" w:tplc="76308E4A">
      <w:start w:val="1"/>
      <w:numFmt w:val="lowerLetter"/>
      <w:lvlText w:val="%2."/>
      <w:lvlJc w:val="left"/>
      <w:pPr>
        <w:ind w:left="1647" w:hanging="358"/>
      </w:pPr>
      <w:rPr>
        <w:rFonts w:cs="Times New Roman"/>
      </w:rPr>
    </w:lvl>
    <w:lvl w:ilvl="2" w:tplc="18EEA670">
      <w:start w:val="1"/>
      <w:numFmt w:val="lowerRoman"/>
      <w:lvlText w:val="%3."/>
      <w:lvlJc w:val="right"/>
      <w:pPr>
        <w:ind w:left="2367" w:hanging="178"/>
      </w:pPr>
      <w:rPr>
        <w:rFonts w:cs="Times New Roman"/>
      </w:rPr>
    </w:lvl>
    <w:lvl w:ilvl="3" w:tplc="A7283CA2">
      <w:start w:val="1"/>
      <w:numFmt w:val="decimal"/>
      <w:lvlText w:val="%4."/>
      <w:lvlJc w:val="left"/>
      <w:pPr>
        <w:ind w:left="3087" w:hanging="358"/>
      </w:pPr>
      <w:rPr>
        <w:rFonts w:cs="Times New Roman"/>
      </w:rPr>
    </w:lvl>
    <w:lvl w:ilvl="4" w:tplc="73C01B36">
      <w:start w:val="1"/>
      <w:numFmt w:val="lowerLetter"/>
      <w:lvlText w:val="%5."/>
      <w:lvlJc w:val="left"/>
      <w:pPr>
        <w:ind w:left="3807" w:hanging="358"/>
      </w:pPr>
      <w:rPr>
        <w:rFonts w:cs="Times New Roman"/>
      </w:rPr>
    </w:lvl>
    <w:lvl w:ilvl="5" w:tplc="6942A940">
      <w:start w:val="1"/>
      <w:numFmt w:val="lowerRoman"/>
      <w:lvlText w:val="%6."/>
      <w:lvlJc w:val="right"/>
      <w:pPr>
        <w:ind w:left="4527" w:hanging="178"/>
      </w:pPr>
      <w:rPr>
        <w:rFonts w:cs="Times New Roman"/>
      </w:rPr>
    </w:lvl>
    <w:lvl w:ilvl="6" w:tplc="6DACF5A0">
      <w:start w:val="1"/>
      <w:numFmt w:val="decimal"/>
      <w:lvlText w:val="%7."/>
      <w:lvlJc w:val="left"/>
      <w:pPr>
        <w:ind w:left="5247" w:hanging="358"/>
      </w:pPr>
      <w:rPr>
        <w:rFonts w:cs="Times New Roman"/>
      </w:rPr>
    </w:lvl>
    <w:lvl w:ilvl="7" w:tplc="BEC2898A">
      <w:start w:val="1"/>
      <w:numFmt w:val="lowerLetter"/>
      <w:lvlText w:val="%8."/>
      <w:lvlJc w:val="left"/>
      <w:pPr>
        <w:ind w:left="5967" w:hanging="358"/>
      </w:pPr>
      <w:rPr>
        <w:rFonts w:cs="Times New Roman"/>
      </w:rPr>
    </w:lvl>
    <w:lvl w:ilvl="8" w:tplc="E5184722">
      <w:start w:val="1"/>
      <w:numFmt w:val="lowerRoman"/>
      <w:lvlText w:val="%9."/>
      <w:lvlJc w:val="right"/>
      <w:pPr>
        <w:ind w:left="6687" w:hanging="178"/>
      </w:pPr>
      <w:rPr>
        <w:rFonts w:cs="Times New Roman"/>
      </w:rPr>
    </w:lvl>
  </w:abstractNum>
  <w:abstractNum w:abstractNumId="79" w15:restartNumberingAfterBreak="0">
    <w:nsid w:val="4CF808AF"/>
    <w:multiLevelType w:val="hybridMultilevel"/>
    <w:tmpl w:val="92D2FC82"/>
    <w:lvl w:ilvl="0" w:tplc="A88EEEFA">
      <w:start w:val="1"/>
      <w:numFmt w:val="decimal"/>
      <w:lvlText w:val="%1."/>
      <w:lvlJc w:val="left"/>
      <w:pPr>
        <w:ind w:left="927" w:hanging="358"/>
      </w:pPr>
      <w:rPr>
        <w:rFonts w:cs="Times New Roman"/>
      </w:rPr>
    </w:lvl>
    <w:lvl w:ilvl="1" w:tplc="7FA8D5BE">
      <w:start w:val="1"/>
      <w:numFmt w:val="lowerLetter"/>
      <w:lvlText w:val="%2."/>
      <w:lvlJc w:val="left"/>
      <w:pPr>
        <w:ind w:left="1647" w:hanging="358"/>
      </w:pPr>
      <w:rPr>
        <w:rFonts w:cs="Times New Roman"/>
      </w:rPr>
    </w:lvl>
    <w:lvl w:ilvl="2" w:tplc="8D5CA42C">
      <w:start w:val="1"/>
      <w:numFmt w:val="lowerRoman"/>
      <w:lvlText w:val="%3."/>
      <w:lvlJc w:val="right"/>
      <w:pPr>
        <w:ind w:left="2367" w:hanging="178"/>
      </w:pPr>
      <w:rPr>
        <w:rFonts w:cs="Times New Roman"/>
      </w:rPr>
    </w:lvl>
    <w:lvl w:ilvl="3" w:tplc="DDB0593C">
      <w:start w:val="1"/>
      <w:numFmt w:val="decimal"/>
      <w:lvlText w:val="%4."/>
      <w:lvlJc w:val="left"/>
      <w:pPr>
        <w:ind w:left="3087" w:hanging="358"/>
      </w:pPr>
      <w:rPr>
        <w:rFonts w:cs="Times New Roman"/>
      </w:rPr>
    </w:lvl>
    <w:lvl w:ilvl="4" w:tplc="C3BED294">
      <w:start w:val="1"/>
      <w:numFmt w:val="lowerLetter"/>
      <w:lvlText w:val="%5."/>
      <w:lvlJc w:val="left"/>
      <w:pPr>
        <w:ind w:left="3807" w:hanging="358"/>
      </w:pPr>
      <w:rPr>
        <w:rFonts w:cs="Times New Roman"/>
      </w:rPr>
    </w:lvl>
    <w:lvl w:ilvl="5" w:tplc="09A41510">
      <w:start w:val="1"/>
      <w:numFmt w:val="lowerRoman"/>
      <w:lvlText w:val="%6."/>
      <w:lvlJc w:val="right"/>
      <w:pPr>
        <w:ind w:left="4527" w:hanging="178"/>
      </w:pPr>
      <w:rPr>
        <w:rFonts w:cs="Times New Roman"/>
      </w:rPr>
    </w:lvl>
    <w:lvl w:ilvl="6" w:tplc="5F9C4570">
      <w:start w:val="1"/>
      <w:numFmt w:val="decimal"/>
      <w:lvlText w:val="%7."/>
      <w:lvlJc w:val="left"/>
      <w:pPr>
        <w:ind w:left="5247" w:hanging="358"/>
      </w:pPr>
      <w:rPr>
        <w:rFonts w:cs="Times New Roman"/>
      </w:rPr>
    </w:lvl>
    <w:lvl w:ilvl="7" w:tplc="35069B9A">
      <w:start w:val="1"/>
      <w:numFmt w:val="lowerLetter"/>
      <w:lvlText w:val="%8."/>
      <w:lvlJc w:val="left"/>
      <w:pPr>
        <w:ind w:left="5967" w:hanging="358"/>
      </w:pPr>
      <w:rPr>
        <w:rFonts w:cs="Times New Roman"/>
      </w:rPr>
    </w:lvl>
    <w:lvl w:ilvl="8" w:tplc="DB920440">
      <w:start w:val="1"/>
      <w:numFmt w:val="lowerRoman"/>
      <w:lvlText w:val="%9."/>
      <w:lvlJc w:val="right"/>
      <w:pPr>
        <w:ind w:left="6687" w:hanging="178"/>
      </w:pPr>
      <w:rPr>
        <w:rFonts w:cs="Times New Roman"/>
      </w:rPr>
    </w:lvl>
  </w:abstractNum>
  <w:abstractNum w:abstractNumId="80" w15:restartNumberingAfterBreak="0">
    <w:nsid w:val="4E140BFF"/>
    <w:multiLevelType w:val="hybridMultilevel"/>
    <w:tmpl w:val="AEC41106"/>
    <w:lvl w:ilvl="0" w:tplc="61545960">
      <w:start w:val="1"/>
      <w:numFmt w:val="decimal"/>
      <w:lvlText w:val="%1."/>
      <w:lvlJc w:val="left"/>
      <w:pPr>
        <w:ind w:left="720" w:hanging="358"/>
      </w:pPr>
      <w:rPr>
        <w:rFonts w:cs="Times New Roman"/>
      </w:rPr>
    </w:lvl>
    <w:lvl w:ilvl="1" w:tplc="1A7A1112">
      <w:start w:val="1"/>
      <w:numFmt w:val="lowerLetter"/>
      <w:lvlText w:val="%2."/>
      <w:lvlJc w:val="left"/>
      <w:pPr>
        <w:ind w:left="1440" w:hanging="358"/>
      </w:pPr>
      <w:rPr>
        <w:rFonts w:cs="Times New Roman"/>
      </w:rPr>
    </w:lvl>
    <w:lvl w:ilvl="2" w:tplc="4DF4F27E">
      <w:start w:val="1"/>
      <w:numFmt w:val="lowerRoman"/>
      <w:lvlText w:val="%3."/>
      <w:lvlJc w:val="right"/>
      <w:pPr>
        <w:ind w:left="2160" w:hanging="178"/>
      </w:pPr>
      <w:rPr>
        <w:rFonts w:cs="Times New Roman"/>
      </w:rPr>
    </w:lvl>
    <w:lvl w:ilvl="3" w:tplc="6B1EEE80">
      <w:start w:val="1"/>
      <w:numFmt w:val="decimal"/>
      <w:lvlText w:val="%4."/>
      <w:lvlJc w:val="left"/>
      <w:pPr>
        <w:ind w:left="2880" w:hanging="358"/>
      </w:pPr>
      <w:rPr>
        <w:rFonts w:cs="Times New Roman"/>
      </w:rPr>
    </w:lvl>
    <w:lvl w:ilvl="4" w:tplc="3FCAB73A">
      <w:start w:val="1"/>
      <w:numFmt w:val="lowerLetter"/>
      <w:lvlText w:val="%5."/>
      <w:lvlJc w:val="left"/>
      <w:pPr>
        <w:ind w:left="3600" w:hanging="358"/>
      </w:pPr>
      <w:rPr>
        <w:rFonts w:cs="Times New Roman"/>
      </w:rPr>
    </w:lvl>
    <w:lvl w:ilvl="5" w:tplc="A73ADD3E">
      <w:start w:val="1"/>
      <w:numFmt w:val="lowerRoman"/>
      <w:lvlText w:val="%6."/>
      <w:lvlJc w:val="right"/>
      <w:pPr>
        <w:ind w:left="4320" w:hanging="178"/>
      </w:pPr>
      <w:rPr>
        <w:rFonts w:cs="Times New Roman"/>
      </w:rPr>
    </w:lvl>
    <w:lvl w:ilvl="6" w:tplc="148A2F08">
      <w:start w:val="1"/>
      <w:numFmt w:val="decimal"/>
      <w:lvlText w:val="%7."/>
      <w:lvlJc w:val="left"/>
      <w:pPr>
        <w:ind w:left="5040" w:hanging="358"/>
      </w:pPr>
      <w:rPr>
        <w:rFonts w:cs="Times New Roman"/>
      </w:rPr>
    </w:lvl>
    <w:lvl w:ilvl="7" w:tplc="B6C09A60">
      <w:start w:val="1"/>
      <w:numFmt w:val="lowerLetter"/>
      <w:lvlText w:val="%8."/>
      <w:lvlJc w:val="left"/>
      <w:pPr>
        <w:ind w:left="5760" w:hanging="358"/>
      </w:pPr>
      <w:rPr>
        <w:rFonts w:cs="Times New Roman"/>
      </w:rPr>
    </w:lvl>
    <w:lvl w:ilvl="8" w:tplc="04CA047A">
      <w:start w:val="1"/>
      <w:numFmt w:val="lowerRoman"/>
      <w:lvlText w:val="%9."/>
      <w:lvlJc w:val="right"/>
      <w:pPr>
        <w:ind w:left="6480" w:hanging="178"/>
      </w:pPr>
      <w:rPr>
        <w:rFonts w:cs="Times New Roman"/>
      </w:rPr>
    </w:lvl>
  </w:abstractNum>
  <w:abstractNum w:abstractNumId="81" w15:restartNumberingAfterBreak="0">
    <w:nsid w:val="4EC8126C"/>
    <w:multiLevelType w:val="hybridMultilevel"/>
    <w:tmpl w:val="D974DD8C"/>
    <w:lvl w:ilvl="0" w:tplc="D2DA85E0">
      <w:start w:val="1"/>
      <w:numFmt w:val="bullet"/>
      <w:suff w:val="space"/>
      <w:lvlText w:val=""/>
      <w:lvlJc w:val="left"/>
      <w:pPr>
        <w:ind w:left="1429" w:hanging="719"/>
      </w:pPr>
      <w:rPr>
        <w:rFonts w:ascii="Symbol" w:eastAsia="SimSun" w:hAnsi="Symbol"/>
      </w:rPr>
    </w:lvl>
    <w:lvl w:ilvl="1" w:tplc="87C62064">
      <w:start w:val="1"/>
      <w:numFmt w:val="bullet"/>
      <w:lvlText w:val="o"/>
      <w:lvlJc w:val="left"/>
      <w:pPr>
        <w:ind w:left="2149" w:hanging="359"/>
      </w:pPr>
      <w:rPr>
        <w:rFonts w:ascii="Courier New" w:eastAsia="SimSun" w:hAnsi="Courier New"/>
      </w:rPr>
    </w:lvl>
    <w:lvl w:ilvl="2" w:tplc="E9AE7FCE">
      <w:start w:val="1"/>
      <w:numFmt w:val="bullet"/>
      <w:lvlText w:val=""/>
      <w:lvlJc w:val="left"/>
      <w:pPr>
        <w:ind w:left="2869" w:hanging="359"/>
      </w:pPr>
      <w:rPr>
        <w:rFonts w:ascii="Wingdings" w:eastAsia="SimSun" w:hAnsi="Wingdings"/>
      </w:rPr>
    </w:lvl>
    <w:lvl w:ilvl="3" w:tplc="7D327138">
      <w:start w:val="1"/>
      <w:numFmt w:val="bullet"/>
      <w:lvlText w:val=""/>
      <w:lvlJc w:val="left"/>
      <w:pPr>
        <w:ind w:left="3589" w:hanging="359"/>
      </w:pPr>
      <w:rPr>
        <w:rFonts w:ascii="Symbol" w:eastAsia="SimSun" w:hAnsi="Symbol"/>
      </w:rPr>
    </w:lvl>
    <w:lvl w:ilvl="4" w:tplc="CFC68AC8">
      <w:start w:val="1"/>
      <w:numFmt w:val="bullet"/>
      <w:lvlText w:val="o"/>
      <w:lvlJc w:val="left"/>
      <w:pPr>
        <w:ind w:left="4309" w:hanging="359"/>
      </w:pPr>
      <w:rPr>
        <w:rFonts w:ascii="Courier New" w:eastAsia="SimSun" w:hAnsi="Courier New"/>
      </w:rPr>
    </w:lvl>
    <w:lvl w:ilvl="5" w:tplc="93F815CA">
      <w:start w:val="1"/>
      <w:numFmt w:val="bullet"/>
      <w:lvlText w:val=""/>
      <w:lvlJc w:val="left"/>
      <w:pPr>
        <w:ind w:left="5029" w:hanging="359"/>
      </w:pPr>
      <w:rPr>
        <w:rFonts w:ascii="Wingdings" w:eastAsia="SimSun" w:hAnsi="Wingdings"/>
      </w:rPr>
    </w:lvl>
    <w:lvl w:ilvl="6" w:tplc="37E22AB6">
      <w:start w:val="1"/>
      <w:numFmt w:val="bullet"/>
      <w:lvlText w:val=""/>
      <w:lvlJc w:val="left"/>
      <w:pPr>
        <w:ind w:left="5749" w:hanging="359"/>
      </w:pPr>
      <w:rPr>
        <w:rFonts w:ascii="Symbol" w:eastAsia="SimSun" w:hAnsi="Symbol"/>
      </w:rPr>
    </w:lvl>
    <w:lvl w:ilvl="7" w:tplc="05723BAA">
      <w:start w:val="1"/>
      <w:numFmt w:val="bullet"/>
      <w:lvlText w:val="o"/>
      <w:lvlJc w:val="left"/>
      <w:pPr>
        <w:ind w:left="6469" w:hanging="359"/>
      </w:pPr>
      <w:rPr>
        <w:rFonts w:ascii="Courier New" w:eastAsia="SimSun" w:hAnsi="Courier New"/>
      </w:rPr>
    </w:lvl>
    <w:lvl w:ilvl="8" w:tplc="59604486">
      <w:start w:val="1"/>
      <w:numFmt w:val="bullet"/>
      <w:lvlText w:val=""/>
      <w:lvlJc w:val="left"/>
      <w:pPr>
        <w:ind w:left="7189" w:hanging="359"/>
      </w:pPr>
      <w:rPr>
        <w:rFonts w:ascii="Wingdings" w:eastAsia="SimSun" w:hAnsi="Wingdings"/>
      </w:rPr>
    </w:lvl>
  </w:abstractNum>
  <w:abstractNum w:abstractNumId="82" w15:restartNumberingAfterBreak="0">
    <w:nsid w:val="4F650BD0"/>
    <w:multiLevelType w:val="hybridMultilevel"/>
    <w:tmpl w:val="D35AD3FC"/>
    <w:lvl w:ilvl="0" w:tplc="E1E223F2">
      <w:start w:val="1"/>
      <w:numFmt w:val="bullet"/>
      <w:lvlText w:val=""/>
      <w:lvlJc w:val="left"/>
      <w:pPr>
        <w:ind w:left="1789" w:hanging="358"/>
      </w:pPr>
      <w:rPr>
        <w:rFonts w:ascii="Symbol" w:hAnsi="Symbol" w:hint="default"/>
      </w:rPr>
    </w:lvl>
    <w:lvl w:ilvl="1" w:tplc="6F962548">
      <w:start w:val="1"/>
      <w:numFmt w:val="bullet"/>
      <w:lvlText w:val="o"/>
      <w:lvlJc w:val="left"/>
      <w:pPr>
        <w:ind w:left="2509" w:hanging="358"/>
      </w:pPr>
      <w:rPr>
        <w:rFonts w:ascii="Courier New" w:hAnsi="Courier New" w:hint="default"/>
      </w:rPr>
    </w:lvl>
    <w:lvl w:ilvl="2" w:tplc="C64AB46E">
      <w:start w:val="1"/>
      <w:numFmt w:val="bullet"/>
      <w:lvlText w:val=""/>
      <w:lvlJc w:val="left"/>
      <w:pPr>
        <w:ind w:left="3229" w:hanging="358"/>
      </w:pPr>
      <w:rPr>
        <w:rFonts w:ascii="Wingdings" w:hAnsi="Wingdings" w:hint="default"/>
      </w:rPr>
    </w:lvl>
    <w:lvl w:ilvl="3" w:tplc="94785932">
      <w:start w:val="1"/>
      <w:numFmt w:val="bullet"/>
      <w:lvlText w:val=""/>
      <w:lvlJc w:val="left"/>
      <w:pPr>
        <w:ind w:left="3949" w:hanging="358"/>
      </w:pPr>
      <w:rPr>
        <w:rFonts w:ascii="Symbol" w:hAnsi="Symbol" w:hint="default"/>
      </w:rPr>
    </w:lvl>
    <w:lvl w:ilvl="4" w:tplc="578AA1CE">
      <w:start w:val="1"/>
      <w:numFmt w:val="bullet"/>
      <w:lvlText w:val="o"/>
      <w:lvlJc w:val="left"/>
      <w:pPr>
        <w:ind w:left="4669" w:hanging="358"/>
      </w:pPr>
      <w:rPr>
        <w:rFonts w:ascii="Courier New" w:hAnsi="Courier New" w:hint="default"/>
      </w:rPr>
    </w:lvl>
    <w:lvl w:ilvl="5" w:tplc="E5663CA0">
      <w:start w:val="1"/>
      <w:numFmt w:val="bullet"/>
      <w:lvlText w:val=""/>
      <w:lvlJc w:val="left"/>
      <w:pPr>
        <w:ind w:left="5389" w:hanging="358"/>
      </w:pPr>
      <w:rPr>
        <w:rFonts w:ascii="Wingdings" w:hAnsi="Wingdings" w:hint="default"/>
      </w:rPr>
    </w:lvl>
    <w:lvl w:ilvl="6" w:tplc="1A8602A2">
      <w:start w:val="1"/>
      <w:numFmt w:val="bullet"/>
      <w:lvlText w:val=""/>
      <w:lvlJc w:val="left"/>
      <w:pPr>
        <w:ind w:left="6109" w:hanging="358"/>
      </w:pPr>
      <w:rPr>
        <w:rFonts w:ascii="Symbol" w:hAnsi="Symbol" w:hint="default"/>
      </w:rPr>
    </w:lvl>
    <w:lvl w:ilvl="7" w:tplc="410E09D6">
      <w:start w:val="1"/>
      <w:numFmt w:val="bullet"/>
      <w:lvlText w:val="o"/>
      <w:lvlJc w:val="left"/>
      <w:pPr>
        <w:ind w:left="6829" w:hanging="358"/>
      </w:pPr>
      <w:rPr>
        <w:rFonts w:ascii="Courier New" w:hAnsi="Courier New" w:hint="default"/>
      </w:rPr>
    </w:lvl>
    <w:lvl w:ilvl="8" w:tplc="B1F6D708">
      <w:start w:val="1"/>
      <w:numFmt w:val="bullet"/>
      <w:lvlText w:val=""/>
      <w:lvlJc w:val="left"/>
      <w:pPr>
        <w:ind w:left="7549" w:hanging="358"/>
      </w:pPr>
      <w:rPr>
        <w:rFonts w:ascii="Wingdings" w:hAnsi="Wingdings" w:hint="default"/>
      </w:rPr>
    </w:lvl>
  </w:abstractNum>
  <w:abstractNum w:abstractNumId="83" w15:restartNumberingAfterBreak="0">
    <w:nsid w:val="52137AF3"/>
    <w:multiLevelType w:val="hybridMultilevel"/>
    <w:tmpl w:val="33CEC81A"/>
    <w:lvl w:ilvl="0" w:tplc="0ED6A066">
      <w:start w:val="1"/>
      <w:numFmt w:val="decimal"/>
      <w:lvlText w:val="%1."/>
      <w:lvlJc w:val="left"/>
      <w:pPr>
        <w:ind w:left="720" w:hanging="359"/>
      </w:pPr>
      <w:rPr>
        <w:rFonts w:ascii="Times New Roman" w:eastAsia="Times New Roman" w:hAnsi="Times New Roman" w:cs="Times New Roman"/>
        <w:sz w:val="24"/>
      </w:rPr>
    </w:lvl>
    <w:lvl w:ilvl="1" w:tplc="04B60918">
      <w:start w:val="1"/>
      <w:numFmt w:val="lowerLetter"/>
      <w:lvlText w:val="%2."/>
      <w:lvlJc w:val="left"/>
      <w:pPr>
        <w:ind w:left="1440" w:hanging="359"/>
      </w:pPr>
      <w:rPr>
        <w:rFonts w:ascii="Times New Roman" w:eastAsia="Times New Roman" w:hAnsi="Times New Roman" w:cs="Times New Roman"/>
        <w:sz w:val="24"/>
      </w:rPr>
    </w:lvl>
    <w:lvl w:ilvl="2" w:tplc="2454EDD6">
      <w:start w:val="1"/>
      <w:numFmt w:val="lowerRoman"/>
      <w:lvlText w:val="%3."/>
      <w:lvlJc w:val="right"/>
      <w:pPr>
        <w:ind w:left="2160" w:hanging="179"/>
      </w:pPr>
      <w:rPr>
        <w:rFonts w:ascii="Times New Roman" w:eastAsia="Times New Roman" w:hAnsi="Times New Roman" w:cs="Times New Roman"/>
        <w:sz w:val="24"/>
      </w:rPr>
    </w:lvl>
    <w:lvl w:ilvl="3" w:tplc="D4149F88">
      <w:start w:val="1"/>
      <w:numFmt w:val="decimal"/>
      <w:lvlText w:val="%4."/>
      <w:lvlJc w:val="left"/>
      <w:pPr>
        <w:ind w:left="2880" w:hanging="359"/>
      </w:pPr>
      <w:rPr>
        <w:rFonts w:ascii="Times New Roman" w:eastAsia="Times New Roman" w:hAnsi="Times New Roman" w:cs="Times New Roman"/>
        <w:sz w:val="24"/>
      </w:rPr>
    </w:lvl>
    <w:lvl w:ilvl="4" w:tplc="C2408F56">
      <w:start w:val="1"/>
      <w:numFmt w:val="lowerLetter"/>
      <w:lvlText w:val="%5."/>
      <w:lvlJc w:val="left"/>
      <w:pPr>
        <w:ind w:left="3600" w:hanging="359"/>
      </w:pPr>
      <w:rPr>
        <w:rFonts w:ascii="Times New Roman" w:eastAsia="Times New Roman" w:hAnsi="Times New Roman" w:cs="Times New Roman"/>
        <w:sz w:val="24"/>
      </w:rPr>
    </w:lvl>
    <w:lvl w:ilvl="5" w:tplc="3C6C54A8">
      <w:start w:val="1"/>
      <w:numFmt w:val="lowerRoman"/>
      <w:lvlText w:val="%6."/>
      <w:lvlJc w:val="right"/>
      <w:pPr>
        <w:ind w:left="4320" w:hanging="179"/>
      </w:pPr>
      <w:rPr>
        <w:rFonts w:ascii="Times New Roman" w:eastAsia="Times New Roman" w:hAnsi="Times New Roman" w:cs="Times New Roman"/>
        <w:sz w:val="24"/>
      </w:rPr>
    </w:lvl>
    <w:lvl w:ilvl="6" w:tplc="2D906110">
      <w:start w:val="1"/>
      <w:numFmt w:val="decimal"/>
      <w:lvlText w:val="%7."/>
      <w:lvlJc w:val="left"/>
      <w:pPr>
        <w:ind w:left="5040" w:hanging="359"/>
      </w:pPr>
      <w:rPr>
        <w:rFonts w:ascii="Times New Roman" w:eastAsia="Times New Roman" w:hAnsi="Times New Roman" w:cs="Times New Roman"/>
        <w:sz w:val="24"/>
      </w:rPr>
    </w:lvl>
    <w:lvl w:ilvl="7" w:tplc="25E0760A">
      <w:start w:val="1"/>
      <w:numFmt w:val="lowerLetter"/>
      <w:lvlText w:val="%8."/>
      <w:lvlJc w:val="left"/>
      <w:pPr>
        <w:ind w:left="5760" w:hanging="359"/>
      </w:pPr>
      <w:rPr>
        <w:rFonts w:ascii="Times New Roman" w:eastAsia="Times New Roman" w:hAnsi="Times New Roman" w:cs="Times New Roman"/>
        <w:sz w:val="24"/>
      </w:rPr>
    </w:lvl>
    <w:lvl w:ilvl="8" w:tplc="D2E052A2">
      <w:start w:val="1"/>
      <w:numFmt w:val="lowerRoman"/>
      <w:lvlText w:val="%9."/>
      <w:lvlJc w:val="right"/>
      <w:pPr>
        <w:ind w:left="6480" w:hanging="179"/>
      </w:pPr>
      <w:rPr>
        <w:rFonts w:ascii="Times New Roman" w:eastAsia="Times New Roman" w:hAnsi="Times New Roman" w:cs="Times New Roman"/>
        <w:sz w:val="24"/>
      </w:rPr>
    </w:lvl>
  </w:abstractNum>
  <w:abstractNum w:abstractNumId="84" w15:restartNumberingAfterBreak="0">
    <w:nsid w:val="52595D3C"/>
    <w:multiLevelType w:val="hybridMultilevel"/>
    <w:tmpl w:val="32BE0096"/>
    <w:lvl w:ilvl="0" w:tplc="D166DF08">
      <w:start w:val="1"/>
      <w:numFmt w:val="bullet"/>
      <w:lvlText w:val=""/>
      <w:lvlJc w:val="left"/>
      <w:pPr>
        <w:tabs>
          <w:tab w:val="left" w:pos="1571"/>
        </w:tabs>
        <w:ind w:left="1571" w:hanging="359"/>
      </w:pPr>
      <w:rPr>
        <w:rFonts w:ascii="Symbol" w:hAnsi="Symbol"/>
      </w:rPr>
    </w:lvl>
    <w:lvl w:ilvl="1" w:tplc="D1986E8C">
      <w:start w:val="1"/>
      <w:numFmt w:val="bullet"/>
      <w:lvlText w:val="o"/>
      <w:lvlJc w:val="left"/>
      <w:pPr>
        <w:ind w:left="2291" w:hanging="359"/>
      </w:pPr>
      <w:rPr>
        <w:rFonts w:ascii="Courier New" w:hAnsi="Courier New"/>
      </w:rPr>
    </w:lvl>
    <w:lvl w:ilvl="2" w:tplc="75526AB4">
      <w:start w:val="1"/>
      <w:numFmt w:val="bullet"/>
      <w:lvlText w:val=""/>
      <w:lvlJc w:val="left"/>
      <w:pPr>
        <w:ind w:left="3011" w:hanging="359"/>
      </w:pPr>
      <w:rPr>
        <w:rFonts w:ascii="Wingdings" w:hAnsi="Wingdings"/>
      </w:rPr>
    </w:lvl>
    <w:lvl w:ilvl="3" w:tplc="07C2FD20">
      <w:start w:val="1"/>
      <w:numFmt w:val="bullet"/>
      <w:lvlText w:val=""/>
      <w:lvlJc w:val="left"/>
      <w:pPr>
        <w:ind w:left="3731" w:hanging="359"/>
      </w:pPr>
      <w:rPr>
        <w:rFonts w:ascii="Symbol" w:hAnsi="Symbol"/>
      </w:rPr>
    </w:lvl>
    <w:lvl w:ilvl="4" w:tplc="66761846">
      <w:start w:val="1"/>
      <w:numFmt w:val="bullet"/>
      <w:lvlText w:val="o"/>
      <w:lvlJc w:val="left"/>
      <w:pPr>
        <w:ind w:left="4451" w:hanging="359"/>
      </w:pPr>
      <w:rPr>
        <w:rFonts w:ascii="Courier New" w:hAnsi="Courier New"/>
      </w:rPr>
    </w:lvl>
    <w:lvl w:ilvl="5" w:tplc="9864C87A">
      <w:start w:val="1"/>
      <w:numFmt w:val="bullet"/>
      <w:lvlText w:val=""/>
      <w:lvlJc w:val="left"/>
      <w:pPr>
        <w:ind w:left="5171" w:hanging="359"/>
      </w:pPr>
      <w:rPr>
        <w:rFonts w:ascii="Wingdings" w:hAnsi="Wingdings"/>
      </w:rPr>
    </w:lvl>
    <w:lvl w:ilvl="6" w:tplc="A9605512">
      <w:start w:val="1"/>
      <w:numFmt w:val="bullet"/>
      <w:lvlText w:val=""/>
      <w:lvlJc w:val="left"/>
      <w:pPr>
        <w:ind w:left="5891" w:hanging="359"/>
      </w:pPr>
      <w:rPr>
        <w:rFonts w:ascii="Symbol" w:hAnsi="Symbol"/>
      </w:rPr>
    </w:lvl>
    <w:lvl w:ilvl="7" w:tplc="217C142C">
      <w:start w:val="1"/>
      <w:numFmt w:val="bullet"/>
      <w:lvlText w:val="o"/>
      <w:lvlJc w:val="left"/>
      <w:pPr>
        <w:ind w:left="6611" w:hanging="359"/>
      </w:pPr>
      <w:rPr>
        <w:rFonts w:ascii="Courier New" w:hAnsi="Courier New"/>
      </w:rPr>
    </w:lvl>
    <w:lvl w:ilvl="8" w:tplc="20628FBC">
      <w:start w:val="1"/>
      <w:numFmt w:val="bullet"/>
      <w:lvlText w:val=""/>
      <w:lvlJc w:val="left"/>
      <w:pPr>
        <w:ind w:left="7331" w:hanging="359"/>
      </w:pPr>
      <w:rPr>
        <w:rFonts w:ascii="Wingdings" w:hAnsi="Wingdings"/>
      </w:rPr>
    </w:lvl>
  </w:abstractNum>
  <w:abstractNum w:abstractNumId="85" w15:restartNumberingAfterBreak="0">
    <w:nsid w:val="528A4346"/>
    <w:multiLevelType w:val="hybridMultilevel"/>
    <w:tmpl w:val="27A44AF2"/>
    <w:lvl w:ilvl="0" w:tplc="949CCFB6">
      <w:start w:val="1"/>
      <w:numFmt w:val="bullet"/>
      <w:lvlText w:val=""/>
      <w:lvlJc w:val="left"/>
      <w:pPr>
        <w:ind w:left="1429" w:hanging="358"/>
      </w:pPr>
      <w:rPr>
        <w:rFonts w:ascii="Symbol" w:hAnsi="Symbol" w:hint="default"/>
      </w:rPr>
    </w:lvl>
    <w:lvl w:ilvl="1" w:tplc="2BAA747C">
      <w:start w:val="1"/>
      <w:numFmt w:val="lowerLetter"/>
      <w:lvlText w:val="%2."/>
      <w:lvlJc w:val="left"/>
      <w:pPr>
        <w:ind w:left="2149" w:hanging="358"/>
      </w:pPr>
      <w:rPr>
        <w:rFonts w:cs="Times New Roman"/>
      </w:rPr>
    </w:lvl>
    <w:lvl w:ilvl="2" w:tplc="333279AE">
      <w:start w:val="1"/>
      <w:numFmt w:val="lowerRoman"/>
      <w:lvlText w:val="%3."/>
      <w:lvlJc w:val="right"/>
      <w:pPr>
        <w:ind w:left="2869" w:hanging="178"/>
      </w:pPr>
      <w:rPr>
        <w:rFonts w:cs="Times New Roman"/>
      </w:rPr>
    </w:lvl>
    <w:lvl w:ilvl="3" w:tplc="8E1068F0">
      <w:start w:val="1"/>
      <w:numFmt w:val="decimal"/>
      <w:lvlText w:val="%4."/>
      <w:lvlJc w:val="left"/>
      <w:pPr>
        <w:ind w:left="3589" w:hanging="358"/>
      </w:pPr>
      <w:rPr>
        <w:rFonts w:cs="Times New Roman"/>
      </w:rPr>
    </w:lvl>
    <w:lvl w:ilvl="4" w:tplc="151E6FD6">
      <w:start w:val="1"/>
      <w:numFmt w:val="lowerLetter"/>
      <w:lvlText w:val="%5."/>
      <w:lvlJc w:val="left"/>
      <w:pPr>
        <w:ind w:left="4309" w:hanging="358"/>
      </w:pPr>
      <w:rPr>
        <w:rFonts w:cs="Times New Roman"/>
      </w:rPr>
    </w:lvl>
    <w:lvl w:ilvl="5" w:tplc="ED7078B4">
      <w:start w:val="1"/>
      <w:numFmt w:val="lowerRoman"/>
      <w:lvlText w:val="%6."/>
      <w:lvlJc w:val="right"/>
      <w:pPr>
        <w:ind w:left="5029" w:hanging="178"/>
      </w:pPr>
      <w:rPr>
        <w:rFonts w:cs="Times New Roman"/>
      </w:rPr>
    </w:lvl>
    <w:lvl w:ilvl="6" w:tplc="FDF8BF5E">
      <w:start w:val="1"/>
      <w:numFmt w:val="decimal"/>
      <w:lvlText w:val="%7."/>
      <w:lvlJc w:val="left"/>
      <w:pPr>
        <w:ind w:left="5749" w:hanging="358"/>
      </w:pPr>
      <w:rPr>
        <w:rFonts w:cs="Times New Roman"/>
      </w:rPr>
    </w:lvl>
    <w:lvl w:ilvl="7" w:tplc="EF9E33E8">
      <w:start w:val="1"/>
      <w:numFmt w:val="lowerLetter"/>
      <w:lvlText w:val="%8."/>
      <w:lvlJc w:val="left"/>
      <w:pPr>
        <w:ind w:left="6469" w:hanging="358"/>
      </w:pPr>
      <w:rPr>
        <w:rFonts w:cs="Times New Roman"/>
      </w:rPr>
    </w:lvl>
    <w:lvl w:ilvl="8" w:tplc="99A6F946">
      <w:start w:val="1"/>
      <w:numFmt w:val="lowerRoman"/>
      <w:lvlText w:val="%9."/>
      <w:lvlJc w:val="right"/>
      <w:pPr>
        <w:ind w:left="7189" w:hanging="178"/>
      </w:pPr>
      <w:rPr>
        <w:rFonts w:cs="Times New Roman"/>
      </w:rPr>
    </w:lvl>
  </w:abstractNum>
  <w:abstractNum w:abstractNumId="86" w15:restartNumberingAfterBreak="0">
    <w:nsid w:val="538C7205"/>
    <w:multiLevelType w:val="hybridMultilevel"/>
    <w:tmpl w:val="0A6AFAB8"/>
    <w:lvl w:ilvl="0" w:tplc="1B9468B0">
      <w:start w:val="1"/>
      <w:numFmt w:val="decimal"/>
      <w:lvlText w:val="%1."/>
      <w:lvlJc w:val="left"/>
      <w:pPr>
        <w:ind w:left="502" w:hanging="358"/>
      </w:pPr>
      <w:rPr>
        <w:rFonts w:cs="Times New Roman"/>
      </w:rPr>
    </w:lvl>
    <w:lvl w:ilvl="1" w:tplc="ABD8EBA2">
      <w:start w:val="1"/>
      <w:numFmt w:val="lowerLetter"/>
      <w:lvlText w:val="%2."/>
      <w:lvlJc w:val="left"/>
      <w:pPr>
        <w:ind w:left="1222" w:hanging="358"/>
      </w:pPr>
      <w:rPr>
        <w:rFonts w:cs="Times New Roman"/>
      </w:rPr>
    </w:lvl>
    <w:lvl w:ilvl="2" w:tplc="2BAE3AEE">
      <w:start w:val="1"/>
      <w:numFmt w:val="lowerRoman"/>
      <w:lvlText w:val="%3."/>
      <w:lvlJc w:val="right"/>
      <w:pPr>
        <w:ind w:left="1942" w:hanging="178"/>
      </w:pPr>
      <w:rPr>
        <w:rFonts w:cs="Times New Roman"/>
      </w:rPr>
    </w:lvl>
    <w:lvl w:ilvl="3" w:tplc="205E33BE">
      <w:start w:val="1"/>
      <w:numFmt w:val="decimal"/>
      <w:lvlText w:val="%4."/>
      <w:lvlJc w:val="left"/>
      <w:pPr>
        <w:ind w:left="2662" w:hanging="358"/>
      </w:pPr>
      <w:rPr>
        <w:rFonts w:cs="Times New Roman"/>
      </w:rPr>
    </w:lvl>
    <w:lvl w:ilvl="4" w:tplc="78CA6280">
      <w:start w:val="1"/>
      <w:numFmt w:val="lowerLetter"/>
      <w:lvlText w:val="%5."/>
      <w:lvlJc w:val="left"/>
      <w:pPr>
        <w:ind w:left="3382" w:hanging="358"/>
      </w:pPr>
      <w:rPr>
        <w:rFonts w:cs="Times New Roman"/>
      </w:rPr>
    </w:lvl>
    <w:lvl w:ilvl="5" w:tplc="4E903B12">
      <w:start w:val="1"/>
      <w:numFmt w:val="lowerRoman"/>
      <w:lvlText w:val="%6."/>
      <w:lvlJc w:val="right"/>
      <w:pPr>
        <w:ind w:left="4102" w:hanging="178"/>
      </w:pPr>
      <w:rPr>
        <w:rFonts w:cs="Times New Roman"/>
      </w:rPr>
    </w:lvl>
    <w:lvl w:ilvl="6" w:tplc="70A85C52">
      <w:start w:val="1"/>
      <w:numFmt w:val="decimal"/>
      <w:lvlText w:val="%7."/>
      <w:lvlJc w:val="left"/>
      <w:pPr>
        <w:ind w:left="4822" w:hanging="358"/>
      </w:pPr>
      <w:rPr>
        <w:rFonts w:cs="Times New Roman"/>
      </w:rPr>
    </w:lvl>
    <w:lvl w:ilvl="7" w:tplc="351CD6A8">
      <w:start w:val="1"/>
      <w:numFmt w:val="lowerLetter"/>
      <w:lvlText w:val="%8."/>
      <w:lvlJc w:val="left"/>
      <w:pPr>
        <w:ind w:left="5542" w:hanging="358"/>
      </w:pPr>
      <w:rPr>
        <w:rFonts w:cs="Times New Roman"/>
      </w:rPr>
    </w:lvl>
    <w:lvl w:ilvl="8" w:tplc="692667E4">
      <w:start w:val="1"/>
      <w:numFmt w:val="lowerRoman"/>
      <w:lvlText w:val="%9."/>
      <w:lvlJc w:val="right"/>
      <w:pPr>
        <w:ind w:left="6262" w:hanging="178"/>
      </w:pPr>
      <w:rPr>
        <w:rFonts w:cs="Times New Roman"/>
      </w:rPr>
    </w:lvl>
  </w:abstractNum>
  <w:abstractNum w:abstractNumId="87" w15:restartNumberingAfterBreak="0">
    <w:nsid w:val="53B218AB"/>
    <w:multiLevelType w:val="hybridMultilevel"/>
    <w:tmpl w:val="3386F34C"/>
    <w:lvl w:ilvl="0" w:tplc="371A4860">
      <w:start w:val="1"/>
      <w:numFmt w:val="bullet"/>
      <w:lvlText w:val=""/>
      <w:lvlJc w:val="left"/>
      <w:pPr>
        <w:tabs>
          <w:tab w:val="left" w:pos="1571"/>
        </w:tabs>
        <w:ind w:left="1571" w:hanging="359"/>
      </w:pPr>
      <w:rPr>
        <w:rFonts w:ascii="Symbol" w:hAnsi="Symbol"/>
      </w:rPr>
    </w:lvl>
    <w:lvl w:ilvl="1" w:tplc="EBFCCB80">
      <w:start w:val="1"/>
      <w:numFmt w:val="bullet"/>
      <w:lvlText w:val="o"/>
      <w:lvlJc w:val="left"/>
      <w:pPr>
        <w:ind w:left="2291" w:hanging="359"/>
      </w:pPr>
      <w:rPr>
        <w:rFonts w:ascii="Courier New" w:hAnsi="Courier New"/>
      </w:rPr>
    </w:lvl>
    <w:lvl w:ilvl="2" w:tplc="8752FEEE">
      <w:start w:val="1"/>
      <w:numFmt w:val="bullet"/>
      <w:lvlText w:val=""/>
      <w:lvlJc w:val="left"/>
      <w:pPr>
        <w:ind w:left="3011" w:hanging="359"/>
      </w:pPr>
      <w:rPr>
        <w:rFonts w:ascii="Wingdings" w:hAnsi="Wingdings"/>
      </w:rPr>
    </w:lvl>
    <w:lvl w:ilvl="3" w:tplc="B82E52FC">
      <w:start w:val="1"/>
      <w:numFmt w:val="bullet"/>
      <w:lvlText w:val=""/>
      <w:lvlJc w:val="left"/>
      <w:pPr>
        <w:ind w:left="3731" w:hanging="359"/>
      </w:pPr>
      <w:rPr>
        <w:rFonts w:ascii="Symbol" w:hAnsi="Symbol"/>
      </w:rPr>
    </w:lvl>
    <w:lvl w:ilvl="4" w:tplc="069E5302">
      <w:start w:val="1"/>
      <w:numFmt w:val="bullet"/>
      <w:lvlText w:val="o"/>
      <w:lvlJc w:val="left"/>
      <w:pPr>
        <w:ind w:left="4451" w:hanging="359"/>
      </w:pPr>
      <w:rPr>
        <w:rFonts w:ascii="Courier New" w:hAnsi="Courier New"/>
      </w:rPr>
    </w:lvl>
    <w:lvl w:ilvl="5" w:tplc="0C347DE8">
      <w:start w:val="1"/>
      <w:numFmt w:val="bullet"/>
      <w:lvlText w:val=""/>
      <w:lvlJc w:val="left"/>
      <w:pPr>
        <w:ind w:left="5171" w:hanging="359"/>
      </w:pPr>
      <w:rPr>
        <w:rFonts w:ascii="Wingdings" w:hAnsi="Wingdings"/>
      </w:rPr>
    </w:lvl>
    <w:lvl w:ilvl="6" w:tplc="CB449B60">
      <w:start w:val="1"/>
      <w:numFmt w:val="bullet"/>
      <w:lvlText w:val=""/>
      <w:lvlJc w:val="left"/>
      <w:pPr>
        <w:ind w:left="5891" w:hanging="359"/>
      </w:pPr>
      <w:rPr>
        <w:rFonts w:ascii="Symbol" w:hAnsi="Symbol"/>
      </w:rPr>
    </w:lvl>
    <w:lvl w:ilvl="7" w:tplc="54026ADE">
      <w:start w:val="1"/>
      <w:numFmt w:val="bullet"/>
      <w:lvlText w:val="o"/>
      <w:lvlJc w:val="left"/>
      <w:pPr>
        <w:ind w:left="6611" w:hanging="359"/>
      </w:pPr>
      <w:rPr>
        <w:rFonts w:ascii="Courier New" w:hAnsi="Courier New"/>
      </w:rPr>
    </w:lvl>
    <w:lvl w:ilvl="8" w:tplc="4D3C6AD4">
      <w:start w:val="1"/>
      <w:numFmt w:val="bullet"/>
      <w:lvlText w:val=""/>
      <w:lvlJc w:val="left"/>
      <w:pPr>
        <w:ind w:left="7331" w:hanging="359"/>
      </w:pPr>
      <w:rPr>
        <w:rFonts w:ascii="Wingdings" w:hAnsi="Wingdings"/>
      </w:rPr>
    </w:lvl>
  </w:abstractNum>
  <w:abstractNum w:abstractNumId="88" w15:restartNumberingAfterBreak="0">
    <w:nsid w:val="544F205F"/>
    <w:multiLevelType w:val="hybridMultilevel"/>
    <w:tmpl w:val="15AA7062"/>
    <w:lvl w:ilvl="0" w:tplc="F146D330">
      <w:start w:val="1"/>
      <w:numFmt w:val="bullet"/>
      <w:lvlText w:val=""/>
      <w:lvlJc w:val="left"/>
      <w:pPr>
        <w:ind w:left="1429" w:hanging="358"/>
      </w:pPr>
      <w:rPr>
        <w:rFonts w:ascii="Symbol" w:hAnsi="Symbol" w:hint="default"/>
      </w:rPr>
    </w:lvl>
    <w:lvl w:ilvl="1" w:tplc="721611AA">
      <w:start w:val="1"/>
      <w:numFmt w:val="bullet"/>
      <w:lvlText w:val="o"/>
      <w:lvlJc w:val="left"/>
      <w:pPr>
        <w:ind w:left="2149" w:hanging="358"/>
      </w:pPr>
      <w:rPr>
        <w:rFonts w:ascii="Courier New" w:hAnsi="Courier New" w:hint="default"/>
      </w:rPr>
    </w:lvl>
    <w:lvl w:ilvl="2" w:tplc="E73CA0C4">
      <w:start w:val="1"/>
      <w:numFmt w:val="bullet"/>
      <w:lvlText w:val=""/>
      <w:lvlJc w:val="left"/>
      <w:pPr>
        <w:ind w:left="2869" w:hanging="358"/>
      </w:pPr>
      <w:rPr>
        <w:rFonts w:ascii="Wingdings" w:hAnsi="Wingdings" w:hint="default"/>
      </w:rPr>
    </w:lvl>
    <w:lvl w:ilvl="3" w:tplc="1A8A7BDA">
      <w:start w:val="1"/>
      <w:numFmt w:val="bullet"/>
      <w:lvlText w:val=""/>
      <w:lvlJc w:val="left"/>
      <w:pPr>
        <w:ind w:left="3589" w:hanging="358"/>
      </w:pPr>
      <w:rPr>
        <w:rFonts w:ascii="Symbol" w:hAnsi="Symbol" w:hint="default"/>
      </w:rPr>
    </w:lvl>
    <w:lvl w:ilvl="4" w:tplc="CF244D44">
      <w:start w:val="1"/>
      <w:numFmt w:val="bullet"/>
      <w:lvlText w:val="o"/>
      <w:lvlJc w:val="left"/>
      <w:pPr>
        <w:ind w:left="4309" w:hanging="358"/>
      </w:pPr>
      <w:rPr>
        <w:rFonts w:ascii="Courier New" w:hAnsi="Courier New" w:hint="default"/>
      </w:rPr>
    </w:lvl>
    <w:lvl w:ilvl="5" w:tplc="B4022656">
      <w:start w:val="1"/>
      <w:numFmt w:val="bullet"/>
      <w:lvlText w:val=""/>
      <w:lvlJc w:val="left"/>
      <w:pPr>
        <w:ind w:left="5029" w:hanging="358"/>
      </w:pPr>
      <w:rPr>
        <w:rFonts w:ascii="Wingdings" w:hAnsi="Wingdings" w:hint="default"/>
      </w:rPr>
    </w:lvl>
    <w:lvl w:ilvl="6" w:tplc="068A58D2">
      <w:start w:val="1"/>
      <w:numFmt w:val="bullet"/>
      <w:lvlText w:val=""/>
      <w:lvlJc w:val="left"/>
      <w:pPr>
        <w:ind w:left="5749" w:hanging="358"/>
      </w:pPr>
      <w:rPr>
        <w:rFonts w:ascii="Symbol" w:hAnsi="Symbol" w:hint="default"/>
      </w:rPr>
    </w:lvl>
    <w:lvl w:ilvl="7" w:tplc="E990C47E">
      <w:start w:val="1"/>
      <w:numFmt w:val="bullet"/>
      <w:lvlText w:val="o"/>
      <w:lvlJc w:val="left"/>
      <w:pPr>
        <w:ind w:left="6469" w:hanging="358"/>
      </w:pPr>
      <w:rPr>
        <w:rFonts w:ascii="Courier New" w:hAnsi="Courier New" w:hint="default"/>
      </w:rPr>
    </w:lvl>
    <w:lvl w:ilvl="8" w:tplc="A67A2B3E">
      <w:start w:val="1"/>
      <w:numFmt w:val="bullet"/>
      <w:lvlText w:val=""/>
      <w:lvlJc w:val="left"/>
      <w:pPr>
        <w:ind w:left="7189" w:hanging="358"/>
      </w:pPr>
      <w:rPr>
        <w:rFonts w:ascii="Wingdings" w:hAnsi="Wingdings" w:hint="default"/>
      </w:rPr>
    </w:lvl>
  </w:abstractNum>
  <w:abstractNum w:abstractNumId="89" w15:restartNumberingAfterBreak="0">
    <w:nsid w:val="57B3293D"/>
    <w:multiLevelType w:val="hybridMultilevel"/>
    <w:tmpl w:val="877AB586"/>
    <w:lvl w:ilvl="0" w:tplc="6AB8700A">
      <w:start w:val="1"/>
      <w:numFmt w:val="decimal"/>
      <w:lvlText w:val="%1."/>
      <w:lvlJc w:val="left"/>
      <w:pPr>
        <w:ind w:left="927" w:hanging="358"/>
      </w:pPr>
      <w:rPr>
        <w:rFonts w:cs="Times New Roman" w:hint="default"/>
      </w:rPr>
    </w:lvl>
    <w:lvl w:ilvl="1" w:tplc="CDEEB8EC">
      <w:start w:val="1"/>
      <w:numFmt w:val="lowerLetter"/>
      <w:lvlText w:val="%2."/>
      <w:lvlJc w:val="left"/>
      <w:pPr>
        <w:ind w:left="1647" w:hanging="358"/>
      </w:pPr>
      <w:rPr>
        <w:rFonts w:cs="Times New Roman"/>
      </w:rPr>
    </w:lvl>
    <w:lvl w:ilvl="2" w:tplc="DE60A1BC">
      <w:start w:val="1"/>
      <w:numFmt w:val="lowerRoman"/>
      <w:lvlText w:val="%3."/>
      <w:lvlJc w:val="right"/>
      <w:pPr>
        <w:ind w:left="2367" w:hanging="178"/>
      </w:pPr>
      <w:rPr>
        <w:rFonts w:cs="Times New Roman"/>
      </w:rPr>
    </w:lvl>
    <w:lvl w:ilvl="3" w:tplc="28324936">
      <w:start w:val="1"/>
      <w:numFmt w:val="decimal"/>
      <w:lvlText w:val="%4."/>
      <w:lvlJc w:val="left"/>
      <w:pPr>
        <w:ind w:left="3087" w:hanging="358"/>
      </w:pPr>
      <w:rPr>
        <w:rFonts w:cs="Times New Roman"/>
      </w:rPr>
    </w:lvl>
    <w:lvl w:ilvl="4" w:tplc="F8DCB1D8">
      <w:start w:val="1"/>
      <w:numFmt w:val="lowerLetter"/>
      <w:lvlText w:val="%5."/>
      <w:lvlJc w:val="left"/>
      <w:pPr>
        <w:ind w:left="3807" w:hanging="358"/>
      </w:pPr>
      <w:rPr>
        <w:rFonts w:cs="Times New Roman"/>
      </w:rPr>
    </w:lvl>
    <w:lvl w:ilvl="5" w:tplc="5E7ADB64">
      <w:start w:val="1"/>
      <w:numFmt w:val="lowerRoman"/>
      <w:lvlText w:val="%6."/>
      <w:lvlJc w:val="right"/>
      <w:pPr>
        <w:ind w:left="4527" w:hanging="178"/>
      </w:pPr>
      <w:rPr>
        <w:rFonts w:cs="Times New Roman"/>
      </w:rPr>
    </w:lvl>
    <w:lvl w:ilvl="6" w:tplc="4104A736">
      <w:start w:val="1"/>
      <w:numFmt w:val="decimal"/>
      <w:lvlText w:val="%7."/>
      <w:lvlJc w:val="left"/>
      <w:pPr>
        <w:ind w:left="5247" w:hanging="358"/>
      </w:pPr>
      <w:rPr>
        <w:rFonts w:cs="Times New Roman"/>
      </w:rPr>
    </w:lvl>
    <w:lvl w:ilvl="7" w:tplc="5D867938">
      <w:start w:val="1"/>
      <w:numFmt w:val="lowerLetter"/>
      <w:lvlText w:val="%8."/>
      <w:lvlJc w:val="left"/>
      <w:pPr>
        <w:ind w:left="5967" w:hanging="358"/>
      </w:pPr>
      <w:rPr>
        <w:rFonts w:cs="Times New Roman"/>
      </w:rPr>
    </w:lvl>
    <w:lvl w:ilvl="8" w:tplc="EA9AD174">
      <w:start w:val="1"/>
      <w:numFmt w:val="lowerRoman"/>
      <w:lvlText w:val="%9."/>
      <w:lvlJc w:val="right"/>
      <w:pPr>
        <w:ind w:left="6687" w:hanging="178"/>
      </w:pPr>
      <w:rPr>
        <w:rFonts w:cs="Times New Roman"/>
      </w:rPr>
    </w:lvl>
  </w:abstractNum>
  <w:abstractNum w:abstractNumId="90" w15:restartNumberingAfterBreak="0">
    <w:nsid w:val="581A357D"/>
    <w:multiLevelType w:val="hybridMultilevel"/>
    <w:tmpl w:val="9A1E114A"/>
    <w:lvl w:ilvl="0" w:tplc="BA6C73C4">
      <w:start w:val="1"/>
      <w:numFmt w:val="decimal"/>
      <w:lvlText w:val="%1."/>
      <w:lvlJc w:val="left"/>
      <w:pPr>
        <w:ind w:left="1429" w:hanging="358"/>
      </w:pPr>
    </w:lvl>
    <w:lvl w:ilvl="1" w:tplc="86D4FDCA">
      <w:start w:val="1"/>
      <w:numFmt w:val="lowerLetter"/>
      <w:lvlText w:val="%2."/>
      <w:lvlJc w:val="left"/>
      <w:pPr>
        <w:ind w:left="2149" w:hanging="358"/>
      </w:pPr>
    </w:lvl>
    <w:lvl w:ilvl="2" w:tplc="E06AF452">
      <w:start w:val="1"/>
      <w:numFmt w:val="lowerRoman"/>
      <w:lvlText w:val="%3."/>
      <w:lvlJc w:val="right"/>
      <w:pPr>
        <w:ind w:left="2869" w:hanging="178"/>
      </w:pPr>
    </w:lvl>
    <w:lvl w:ilvl="3" w:tplc="9FE4923A">
      <w:start w:val="1"/>
      <w:numFmt w:val="decimal"/>
      <w:lvlText w:val="%4."/>
      <w:lvlJc w:val="left"/>
      <w:pPr>
        <w:ind w:left="3589" w:hanging="358"/>
      </w:pPr>
    </w:lvl>
    <w:lvl w:ilvl="4" w:tplc="5B5E77CA">
      <w:start w:val="1"/>
      <w:numFmt w:val="lowerLetter"/>
      <w:lvlText w:val="%5."/>
      <w:lvlJc w:val="left"/>
      <w:pPr>
        <w:ind w:left="4309" w:hanging="358"/>
      </w:pPr>
    </w:lvl>
    <w:lvl w:ilvl="5" w:tplc="FADEC0DC">
      <w:start w:val="1"/>
      <w:numFmt w:val="lowerRoman"/>
      <w:lvlText w:val="%6."/>
      <w:lvlJc w:val="right"/>
      <w:pPr>
        <w:ind w:left="5029" w:hanging="178"/>
      </w:pPr>
    </w:lvl>
    <w:lvl w:ilvl="6" w:tplc="603E8AEA">
      <w:start w:val="1"/>
      <w:numFmt w:val="decimal"/>
      <w:lvlText w:val="%7."/>
      <w:lvlJc w:val="left"/>
      <w:pPr>
        <w:ind w:left="5749" w:hanging="358"/>
      </w:pPr>
    </w:lvl>
    <w:lvl w:ilvl="7" w:tplc="D1702B54">
      <w:start w:val="1"/>
      <w:numFmt w:val="lowerLetter"/>
      <w:lvlText w:val="%8."/>
      <w:lvlJc w:val="left"/>
      <w:pPr>
        <w:ind w:left="6469" w:hanging="358"/>
      </w:pPr>
    </w:lvl>
    <w:lvl w:ilvl="8" w:tplc="A48AC024">
      <w:start w:val="1"/>
      <w:numFmt w:val="lowerRoman"/>
      <w:lvlText w:val="%9."/>
      <w:lvlJc w:val="right"/>
      <w:pPr>
        <w:ind w:left="7189" w:hanging="178"/>
      </w:pPr>
    </w:lvl>
  </w:abstractNum>
  <w:abstractNum w:abstractNumId="91" w15:restartNumberingAfterBreak="0">
    <w:nsid w:val="58376F04"/>
    <w:multiLevelType w:val="hybridMultilevel"/>
    <w:tmpl w:val="91829CA0"/>
    <w:lvl w:ilvl="0" w:tplc="37344724">
      <w:start w:val="1"/>
      <w:numFmt w:val="decimal"/>
      <w:suff w:val="space"/>
      <w:lvlText w:val="%1."/>
      <w:lvlJc w:val="left"/>
      <w:pPr>
        <w:ind w:firstLine="360"/>
      </w:pPr>
      <w:rPr>
        <w:rFonts w:ascii="Times New Roman" w:hAnsi="Times New Roman" w:cs="Times New Roman" w:hint="default"/>
      </w:rPr>
    </w:lvl>
    <w:lvl w:ilvl="1" w:tplc="A5FE8A1A">
      <w:start w:val="1"/>
      <w:numFmt w:val="lowerLetter"/>
      <w:lvlText w:val="%2."/>
      <w:lvlJc w:val="left"/>
      <w:pPr>
        <w:ind w:left="1440" w:hanging="358"/>
      </w:pPr>
      <w:rPr>
        <w:rFonts w:cs="Times New Roman"/>
      </w:rPr>
    </w:lvl>
    <w:lvl w:ilvl="2" w:tplc="73062424">
      <w:start w:val="1"/>
      <w:numFmt w:val="lowerRoman"/>
      <w:lvlText w:val="%3."/>
      <w:lvlJc w:val="right"/>
      <w:pPr>
        <w:ind w:left="2160" w:hanging="178"/>
      </w:pPr>
      <w:rPr>
        <w:rFonts w:cs="Times New Roman"/>
      </w:rPr>
    </w:lvl>
    <w:lvl w:ilvl="3" w:tplc="C952FCB0">
      <w:start w:val="1"/>
      <w:numFmt w:val="decimal"/>
      <w:lvlText w:val="%4."/>
      <w:lvlJc w:val="left"/>
      <w:pPr>
        <w:ind w:left="2880" w:hanging="358"/>
      </w:pPr>
      <w:rPr>
        <w:rFonts w:cs="Times New Roman"/>
      </w:rPr>
    </w:lvl>
    <w:lvl w:ilvl="4" w:tplc="7764A950">
      <w:start w:val="1"/>
      <w:numFmt w:val="lowerLetter"/>
      <w:lvlText w:val="%5."/>
      <w:lvlJc w:val="left"/>
      <w:pPr>
        <w:ind w:left="3600" w:hanging="358"/>
      </w:pPr>
      <w:rPr>
        <w:rFonts w:cs="Times New Roman"/>
      </w:rPr>
    </w:lvl>
    <w:lvl w:ilvl="5" w:tplc="DC94C848">
      <w:start w:val="1"/>
      <w:numFmt w:val="lowerRoman"/>
      <w:lvlText w:val="%6."/>
      <w:lvlJc w:val="right"/>
      <w:pPr>
        <w:ind w:left="4320" w:hanging="178"/>
      </w:pPr>
      <w:rPr>
        <w:rFonts w:cs="Times New Roman"/>
      </w:rPr>
    </w:lvl>
    <w:lvl w:ilvl="6" w:tplc="073CF56C">
      <w:start w:val="1"/>
      <w:numFmt w:val="decimal"/>
      <w:lvlText w:val="%7."/>
      <w:lvlJc w:val="left"/>
      <w:pPr>
        <w:ind w:left="5040" w:hanging="358"/>
      </w:pPr>
      <w:rPr>
        <w:rFonts w:cs="Times New Roman"/>
      </w:rPr>
    </w:lvl>
    <w:lvl w:ilvl="7" w:tplc="B01240CE">
      <w:start w:val="1"/>
      <w:numFmt w:val="lowerLetter"/>
      <w:lvlText w:val="%8."/>
      <w:lvlJc w:val="left"/>
      <w:pPr>
        <w:ind w:left="5760" w:hanging="358"/>
      </w:pPr>
      <w:rPr>
        <w:rFonts w:cs="Times New Roman"/>
      </w:rPr>
    </w:lvl>
    <w:lvl w:ilvl="8" w:tplc="81225F16">
      <w:start w:val="1"/>
      <w:numFmt w:val="lowerRoman"/>
      <w:lvlText w:val="%9."/>
      <w:lvlJc w:val="right"/>
      <w:pPr>
        <w:ind w:left="6480" w:hanging="178"/>
      </w:pPr>
      <w:rPr>
        <w:rFonts w:cs="Times New Roman"/>
      </w:rPr>
    </w:lvl>
  </w:abstractNum>
  <w:abstractNum w:abstractNumId="92" w15:restartNumberingAfterBreak="0">
    <w:nsid w:val="58807B16"/>
    <w:multiLevelType w:val="hybridMultilevel"/>
    <w:tmpl w:val="B7B2B6E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3" w15:restartNumberingAfterBreak="0">
    <w:nsid w:val="59A442F7"/>
    <w:multiLevelType w:val="hybridMultilevel"/>
    <w:tmpl w:val="A24EFCEE"/>
    <w:lvl w:ilvl="0" w:tplc="BC3CDB18">
      <w:start w:val="1"/>
      <w:numFmt w:val="bullet"/>
      <w:lvlText w:val=""/>
      <w:lvlJc w:val="left"/>
      <w:pPr>
        <w:ind w:left="1429" w:hanging="358"/>
      </w:pPr>
      <w:rPr>
        <w:rFonts w:ascii="Symbol" w:hAnsi="Symbol" w:hint="default"/>
      </w:rPr>
    </w:lvl>
    <w:lvl w:ilvl="1" w:tplc="BCA483E0">
      <w:start w:val="1"/>
      <w:numFmt w:val="decimal"/>
      <w:lvlText w:val="%2)"/>
      <w:lvlJc w:val="left"/>
      <w:pPr>
        <w:ind w:left="2149" w:hanging="358"/>
      </w:pPr>
      <w:rPr>
        <w:rFonts w:ascii="Times New Roman" w:hAnsi="Times New Roman" w:cs="Times New Roman" w:hint="default"/>
        <w:sz w:val="20"/>
      </w:rPr>
    </w:lvl>
    <w:lvl w:ilvl="2" w:tplc="9FF88136">
      <w:start w:val="1"/>
      <w:numFmt w:val="decimal"/>
      <w:lvlText w:val="%3."/>
      <w:lvlJc w:val="left"/>
      <w:pPr>
        <w:ind w:left="2869" w:hanging="358"/>
      </w:pPr>
      <w:rPr>
        <w:rFonts w:cs="Times New Roman" w:hint="default"/>
      </w:rPr>
    </w:lvl>
    <w:lvl w:ilvl="3" w:tplc="929A85C8">
      <w:start w:val="1"/>
      <w:numFmt w:val="bullet"/>
      <w:lvlText w:val=""/>
      <w:lvlJc w:val="left"/>
      <w:pPr>
        <w:ind w:left="3589" w:hanging="358"/>
      </w:pPr>
      <w:rPr>
        <w:rFonts w:ascii="Symbol" w:hAnsi="Symbol" w:hint="default"/>
      </w:rPr>
    </w:lvl>
    <w:lvl w:ilvl="4" w:tplc="AAAAA86E">
      <w:start w:val="1"/>
      <w:numFmt w:val="bullet"/>
      <w:lvlText w:val="o"/>
      <w:lvlJc w:val="left"/>
      <w:pPr>
        <w:ind w:left="4309" w:hanging="358"/>
      </w:pPr>
      <w:rPr>
        <w:rFonts w:ascii="Courier New" w:hAnsi="Courier New" w:hint="default"/>
      </w:rPr>
    </w:lvl>
    <w:lvl w:ilvl="5" w:tplc="34585FEA">
      <w:start w:val="1"/>
      <w:numFmt w:val="bullet"/>
      <w:lvlText w:val=""/>
      <w:lvlJc w:val="left"/>
      <w:pPr>
        <w:ind w:left="5029" w:hanging="358"/>
      </w:pPr>
      <w:rPr>
        <w:rFonts w:ascii="Wingdings" w:hAnsi="Wingdings" w:hint="default"/>
      </w:rPr>
    </w:lvl>
    <w:lvl w:ilvl="6" w:tplc="145A0E90">
      <w:start w:val="1"/>
      <w:numFmt w:val="bullet"/>
      <w:lvlText w:val=""/>
      <w:lvlJc w:val="left"/>
      <w:pPr>
        <w:ind w:left="5749" w:hanging="358"/>
      </w:pPr>
      <w:rPr>
        <w:rFonts w:ascii="Symbol" w:hAnsi="Symbol" w:hint="default"/>
      </w:rPr>
    </w:lvl>
    <w:lvl w:ilvl="7" w:tplc="1F4C13FC">
      <w:start w:val="1"/>
      <w:numFmt w:val="bullet"/>
      <w:lvlText w:val="o"/>
      <w:lvlJc w:val="left"/>
      <w:pPr>
        <w:ind w:left="6469" w:hanging="358"/>
      </w:pPr>
      <w:rPr>
        <w:rFonts w:ascii="Courier New" w:hAnsi="Courier New" w:hint="default"/>
      </w:rPr>
    </w:lvl>
    <w:lvl w:ilvl="8" w:tplc="03CCEB1E">
      <w:start w:val="1"/>
      <w:numFmt w:val="bullet"/>
      <w:lvlText w:val=""/>
      <w:lvlJc w:val="left"/>
      <w:pPr>
        <w:ind w:left="7189" w:hanging="358"/>
      </w:pPr>
      <w:rPr>
        <w:rFonts w:ascii="Wingdings" w:hAnsi="Wingdings" w:hint="default"/>
      </w:rPr>
    </w:lvl>
  </w:abstractNum>
  <w:abstractNum w:abstractNumId="94" w15:restartNumberingAfterBreak="0">
    <w:nsid w:val="59B36448"/>
    <w:multiLevelType w:val="hybridMultilevel"/>
    <w:tmpl w:val="E640E27E"/>
    <w:lvl w:ilvl="0" w:tplc="ADC858FC">
      <w:start w:val="1"/>
      <w:numFmt w:val="decimal"/>
      <w:lvlText w:val="%1."/>
      <w:lvlJc w:val="left"/>
      <w:pPr>
        <w:ind w:left="1069" w:hanging="358"/>
      </w:pPr>
      <w:rPr>
        <w:rFonts w:cs="Times New Roman" w:hint="default"/>
      </w:rPr>
    </w:lvl>
    <w:lvl w:ilvl="1" w:tplc="1804DA20">
      <w:start w:val="1"/>
      <w:numFmt w:val="lowerLetter"/>
      <w:lvlText w:val="%2."/>
      <w:lvlJc w:val="left"/>
      <w:pPr>
        <w:ind w:left="1789" w:hanging="358"/>
      </w:pPr>
      <w:rPr>
        <w:rFonts w:cs="Times New Roman"/>
      </w:rPr>
    </w:lvl>
    <w:lvl w:ilvl="2" w:tplc="A82065C6">
      <w:start w:val="1"/>
      <w:numFmt w:val="lowerRoman"/>
      <w:lvlText w:val="%3."/>
      <w:lvlJc w:val="right"/>
      <w:pPr>
        <w:ind w:left="2509" w:hanging="178"/>
      </w:pPr>
      <w:rPr>
        <w:rFonts w:cs="Times New Roman"/>
      </w:rPr>
    </w:lvl>
    <w:lvl w:ilvl="3" w:tplc="D164950C">
      <w:start w:val="1"/>
      <w:numFmt w:val="decimal"/>
      <w:lvlText w:val="%4."/>
      <w:lvlJc w:val="left"/>
      <w:pPr>
        <w:ind w:left="3229" w:hanging="358"/>
      </w:pPr>
      <w:rPr>
        <w:rFonts w:cs="Times New Roman"/>
      </w:rPr>
    </w:lvl>
    <w:lvl w:ilvl="4" w:tplc="58F42278">
      <w:start w:val="1"/>
      <w:numFmt w:val="lowerLetter"/>
      <w:lvlText w:val="%5."/>
      <w:lvlJc w:val="left"/>
      <w:pPr>
        <w:ind w:left="3949" w:hanging="358"/>
      </w:pPr>
      <w:rPr>
        <w:rFonts w:cs="Times New Roman"/>
      </w:rPr>
    </w:lvl>
    <w:lvl w:ilvl="5" w:tplc="CD3E5DFA">
      <w:start w:val="1"/>
      <w:numFmt w:val="lowerRoman"/>
      <w:lvlText w:val="%6."/>
      <w:lvlJc w:val="right"/>
      <w:pPr>
        <w:ind w:left="4669" w:hanging="178"/>
      </w:pPr>
      <w:rPr>
        <w:rFonts w:cs="Times New Roman"/>
      </w:rPr>
    </w:lvl>
    <w:lvl w:ilvl="6" w:tplc="930CA6A8">
      <w:start w:val="1"/>
      <w:numFmt w:val="decimal"/>
      <w:lvlText w:val="%7."/>
      <w:lvlJc w:val="left"/>
      <w:pPr>
        <w:ind w:left="5389" w:hanging="358"/>
      </w:pPr>
      <w:rPr>
        <w:rFonts w:cs="Times New Roman"/>
      </w:rPr>
    </w:lvl>
    <w:lvl w:ilvl="7" w:tplc="2BEC8978">
      <w:start w:val="1"/>
      <w:numFmt w:val="lowerLetter"/>
      <w:lvlText w:val="%8."/>
      <w:lvlJc w:val="left"/>
      <w:pPr>
        <w:ind w:left="6109" w:hanging="358"/>
      </w:pPr>
      <w:rPr>
        <w:rFonts w:cs="Times New Roman"/>
      </w:rPr>
    </w:lvl>
    <w:lvl w:ilvl="8" w:tplc="35A674E8">
      <w:start w:val="1"/>
      <w:numFmt w:val="lowerRoman"/>
      <w:lvlText w:val="%9."/>
      <w:lvlJc w:val="right"/>
      <w:pPr>
        <w:ind w:left="6829" w:hanging="178"/>
      </w:pPr>
      <w:rPr>
        <w:rFonts w:cs="Times New Roman"/>
      </w:rPr>
    </w:lvl>
  </w:abstractNum>
  <w:abstractNum w:abstractNumId="95" w15:restartNumberingAfterBreak="0">
    <w:nsid w:val="5A694122"/>
    <w:multiLevelType w:val="hybridMultilevel"/>
    <w:tmpl w:val="E690B1D4"/>
    <w:lvl w:ilvl="0" w:tplc="C9B47258">
      <w:start w:val="1"/>
      <w:numFmt w:val="decimal"/>
      <w:lvlText w:val="%1."/>
      <w:lvlJc w:val="left"/>
      <w:pPr>
        <w:ind w:left="720" w:hanging="358"/>
      </w:pPr>
      <w:rPr>
        <w:rFonts w:cs="Times New Roman" w:hint="default"/>
      </w:rPr>
    </w:lvl>
    <w:lvl w:ilvl="1" w:tplc="3A7CFAFE">
      <w:start w:val="1"/>
      <w:numFmt w:val="lowerLetter"/>
      <w:lvlText w:val="%2."/>
      <w:lvlJc w:val="left"/>
      <w:pPr>
        <w:ind w:left="1440" w:hanging="358"/>
      </w:pPr>
      <w:rPr>
        <w:rFonts w:cs="Times New Roman"/>
      </w:rPr>
    </w:lvl>
    <w:lvl w:ilvl="2" w:tplc="714E3B2E">
      <w:start w:val="1"/>
      <w:numFmt w:val="lowerRoman"/>
      <w:lvlText w:val="%3."/>
      <w:lvlJc w:val="right"/>
      <w:pPr>
        <w:ind w:left="2160" w:hanging="178"/>
      </w:pPr>
      <w:rPr>
        <w:rFonts w:cs="Times New Roman"/>
      </w:rPr>
    </w:lvl>
    <w:lvl w:ilvl="3" w:tplc="C2EE9516">
      <w:start w:val="1"/>
      <w:numFmt w:val="decimal"/>
      <w:lvlText w:val="%4."/>
      <w:lvlJc w:val="left"/>
      <w:pPr>
        <w:ind w:left="2880" w:hanging="358"/>
      </w:pPr>
      <w:rPr>
        <w:rFonts w:cs="Times New Roman"/>
      </w:rPr>
    </w:lvl>
    <w:lvl w:ilvl="4" w:tplc="0FFEF18A">
      <w:start w:val="1"/>
      <w:numFmt w:val="lowerLetter"/>
      <w:lvlText w:val="%5."/>
      <w:lvlJc w:val="left"/>
      <w:pPr>
        <w:ind w:left="3600" w:hanging="358"/>
      </w:pPr>
      <w:rPr>
        <w:rFonts w:cs="Times New Roman"/>
      </w:rPr>
    </w:lvl>
    <w:lvl w:ilvl="5" w:tplc="D6EEE334">
      <w:start w:val="1"/>
      <w:numFmt w:val="lowerRoman"/>
      <w:lvlText w:val="%6."/>
      <w:lvlJc w:val="right"/>
      <w:pPr>
        <w:ind w:left="4320" w:hanging="178"/>
      </w:pPr>
      <w:rPr>
        <w:rFonts w:cs="Times New Roman"/>
      </w:rPr>
    </w:lvl>
    <w:lvl w:ilvl="6" w:tplc="D12E7BCC">
      <w:start w:val="1"/>
      <w:numFmt w:val="decimal"/>
      <w:lvlText w:val="%7."/>
      <w:lvlJc w:val="left"/>
      <w:pPr>
        <w:ind w:left="5040" w:hanging="358"/>
      </w:pPr>
      <w:rPr>
        <w:rFonts w:cs="Times New Roman"/>
      </w:rPr>
    </w:lvl>
    <w:lvl w:ilvl="7" w:tplc="C71AC1C4">
      <w:start w:val="1"/>
      <w:numFmt w:val="lowerLetter"/>
      <w:lvlText w:val="%8."/>
      <w:lvlJc w:val="left"/>
      <w:pPr>
        <w:ind w:left="5760" w:hanging="358"/>
      </w:pPr>
      <w:rPr>
        <w:rFonts w:cs="Times New Roman"/>
      </w:rPr>
    </w:lvl>
    <w:lvl w:ilvl="8" w:tplc="317A60F4">
      <w:start w:val="1"/>
      <w:numFmt w:val="lowerRoman"/>
      <w:lvlText w:val="%9."/>
      <w:lvlJc w:val="right"/>
      <w:pPr>
        <w:ind w:left="6480" w:hanging="178"/>
      </w:pPr>
      <w:rPr>
        <w:rFonts w:cs="Times New Roman"/>
      </w:rPr>
    </w:lvl>
  </w:abstractNum>
  <w:abstractNum w:abstractNumId="96" w15:restartNumberingAfterBreak="0">
    <w:nsid w:val="5A828821"/>
    <w:multiLevelType w:val="singleLevel"/>
    <w:tmpl w:val="5A828821"/>
    <w:lvl w:ilvl="0">
      <w:start w:val="1"/>
      <w:numFmt w:val="decimal"/>
      <w:suff w:val="space"/>
      <w:lvlText w:val="%1."/>
      <w:lvlJc w:val="left"/>
    </w:lvl>
  </w:abstractNum>
  <w:abstractNum w:abstractNumId="97" w15:restartNumberingAfterBreak="0">
    <w:nsid w:val="5D443EF9"/>
    <w:multiLevelType w:val="hybridMultilevel"/>
    <w:tmpl w:val="205E0CE0"/>
    <w:lvl w:ilvl="0" w:tplc="712ABD0E">
      <w:start w:val="1"/>
      <w:numFmt w:val="decimal"/>
      <w:lvlText w:val="%1."/>
      <w:lvlJc w:val="left"/>
      <w:pPr>
        <w:ind w:left="720" w:hanging="358"/>
      </w:pPr>
      <w:rPr>
        <w:rFonts w:cs="Times New Roman"/>
      </w:rPr>
    </w:lvl>
    <w:lvl w:ilvl="1" w:tplc="62D056F8">
      <w:start w:val="1"/>
      <w:numFmt w:val="lowerLetter"/>
      <w:lvlText w:val="%2."/>
      <w:lvlJc w:val="left"/>
      <w:pPr>
        <w:ind w:left="1440" w:hanging="358"/>
      </w:pPr>
      <w:rPr>
        <w:rFonts w:cs="Times New Roman"/>
      </w:rPr>
    </w:lvl>
    <w:lvl w:ilvl="2" w:tplc="EEBADF96">
      <w:start w:val="1"/>
      <w:numFmt w:val="lowerRoman"/>
      <w:lvlText w:val="%3."/>
      <w:lvlJc w:val="right"/>
      <w:pPr>
        <w:ind w:left="2160" w:hanging="178"/>
      </w:pPr>
      <w:rPr>
        <w:rFonts w:cs="Times New Roman"/>
      </w:rPr>
    </w:lvl>
    <w:lvl w:ilvl="3" w:tplc="3CF26174">
      <w:start w:val="1"/>
      <w:numFmt w:val="decimal"/>
      <w:lvlText w:val="%4."/>
      <w:lvlJc w:val="left"/>
      <w:pPr>
        <w:ind w:left="2880" w:hanging="358"/>
      </w:pPr>
      <w:rPr>
        <w:rFonts w:cs="Times New Roman"/>
      </w:rPr>
    </w:lvl>
    <w:lvl w:ilvl="4" w:tplc="FD4C0A34">
      <w:start w:val="1"/>
      <w:numFmt w:val="lowerLetter"/>
      <w:lvlText w:val="%5."/>
      <w:lvlJc w:val="left"/>
      <w:pPr>
        <w:ind w:left="3600" w:hanging="358"/>
      </w:pPr>
      <w:rPr>
        <w:rFonts w:cs="Times New Roman"/>
      </w:rPr>
    </w:lvl>
    <w:lvl w:ilvl="5" w:tplc="DD6E89E2">
      <w:start w:val="1"/>
      <w:numFmt w:val="lowerRoman"/>
      <w:lvlText w:val="%6."/>
      <w:lvlJc w:val="right"/>
      <w:pPr>
        <w:ind w:left="4320" w:hanging="178"/>
      </w:pPr>
      <w:rPr>
        <w:rFonts w:cs="Times New Roman"/>
      </w:rPr>
    </w:lvl>
    <w:lvl w:ilvl="6" w:tplc="2278BF0A">
      <w:start w:val="1"/>
      <w:numFmt w:val="decimal"/>
      <w:lvlText w:val="%7."/>
      <w:lvlJc w:val="left"/>
      <w:pPr>
        <w:ind w:left="5040" w:hanging="358"/>
      </w:pPr>
      <w:rPr>
        <w:rFonts w:cs="Times New Roman"/>
      </w:rPr>
    </w:lvl>
    <w:lvl w:ilvl="7" w:tplc="57EC947E">
      <w:start w:val="1"/>
      <w:numFmt w:val="lowerLetter"/>
      <w:lvlText w:val="%8."/>
      <w:lvlJc w:val="left"/>
      <w:pPr>
        <w:ind w:left="5760" w:hanging="358"/>
      </w:pPr>
      <w:rPr>
        <w:rFonts w:cs="Times New Roman"/>
      </w:rPr>
    </w:lvl>
    <w:lvl w:ilvl="8" w:tplc="26BE9C02">
      <w:start w:val="1"/>
      <w:numFmt w:val="lowerRoman"/>
      <w:lvlText w:val="%9."/>
      <w:lvlJc w:val="right"/>
      <w:pPr>
        <w:ind w:left="6480" w:hanging="178"/>
      </w:pPr>
      <w:rPr>
        <w:rFonts w:cs="Times New Roman"/>
      </w:rPr>
    </w:lvl>
  </w:abstractNum>
  <w:abstractNum w:abstractNumId="98" w15:restartNumberingAfterBreak="0">
    <w:nsid w:val="5D5C5B39"/>
    <w:multiLevelType w:val="hybridMultilevel"/>
    <w:tmpl w:val="E30251DE"/>
    <w:lvl w:ilvl="0" w:tplc="2F08AD56">
      <w:start w:val="1"/>
      <w:numFmt w:val="decimal"/>
      <w:lvlText w:val="%1."/>
      <w:lvlJc w:val="left"/>
      <w:pPr>
        <w:ind w:left="2138" w:hanging="358"/>
      </w:pPr>
      <w:rPr>
        <w:rFonts w:cs="Times New Roman"/>
      </w:rPr>
    </w:lvl>
    <w:lvl w:ilvl="1" w:tplc="67186DC2">
      <w:start w:val="1"/>
      <w:numFmt w:val="lowerLetter"/>
      <w:lvlText w:val="%2."/>
      <w:lvlJc w:val="left"/>
      <w:pPr>
        <w:ind w:left="2858" w:hanging="358"/>
      </w:pPr>
      <w:rPr>
        <w:rFonts w:cs="Times New Roman"/>
      </w:rPr>
    </w:lvl>
    <w:lvl w:ilvl="2" w:tplc="28303AEA">
      <w:start w:val="1"/>
      <w:numFmt w:val="lowerRoman"/>
      <w:lvlText w:val="%3."/>
      <w:lvlJc w:val="right"/>
      <w:pPr>
        <w:ind w:left="3578" w:hanging="178"/>
      </w:pPr>
      <w:rPr>
        <w:rFonts w:cs="Times New Roman"/>
      </w:rPr>
    </w:lvl>
    <w:lvl w:ilvl="3" w:tplc="9BF8EEF0">
      <w:start w:val="1"/>
      <w:numFmt w:val="decimal"/>
      <w:lvlText w:val="%4."/>
      <w:lvlJc w:val="left"/>
      <w:pPr>
        <w:ind w:left="4298" w:hanging="358"/>
      </w:pPr>
      <w:rPr>
        <w:rFonts w:cs="Times New Roman"/>
      </w:rPr>
    </w:lvl>
    <w:lvl w:ilvl="4" w:tplc="0BB21ACC">
      <w:start w:val="1"/>
      <w:numFmt w:val="lowerLetter"/>
      <w:lvlText w:val="%5."/>
      <w:lvlJc w:val="left"/>
      <w:pPr>
        <w:ind w:left="5018" w:hanging="358"/>
      </w:pPr>
      <w:rPr>
        <w:rFonts w:cs="Times New Roman"/>
      </w:rPr>
    </w:lvl>
    <w:lvl w:ilvl="5" w:tplc="44168C62">
      <w:start w:val="1"/>
      <w:numFmt w:val="lowerRoman"/>
      <w:lvlText w:val="%6."/>
      <w:lvlJc w:val="right"/>
      <w:pPr>
        <w:ind w:left="5738" w:hanging="178"/>
      </w:pPr>
      <w:rPr>
        <w:rFonts w:cs="Times New Roman"/>
      </w:rPr>
    </w:lvl>
    <w:lvl w:ilvl="6" w:tplc="190E79A2">
      <w:start w:val="1"/>
      <w:numFmt w:val="decimal"/>
      <w:lvlText w:val="%7."/>
      <w:lvlJc w:val="left"/>
      <w:pPr>
        <w:ind w:left="6458" w:hanging="358"/>
      </w:pPr>
      <w:rPr>
        <w:rFonts w:cs="Times New Roman"/>
      </w:rPr>
    </w:lvl>
    <w:lvl w:ilvl="7" w:tplc="A3F22E24">
      <w:start w:val="1"/>
      <w:numFmt w:val="lowerLetter"/>
      <w:lvlText w:val="%8."/>
      <w:lvlJc w:val="left"/>
      <w:pPr>
        <w:ind w:left="7178" w:hanging="358"/>
      </w:pPr>
      <w:rPr>
        <w:rFonts w:cs="Times New Roman"/>
      </w:rPr>
    </w:lvl>
    <w:lvl w:ilvl="8" w:tplc="8CF07AA2">
      <w:start w:val="1"/>
      <w:numFmt w:val="lowerRoman"/>
      <w:lvlText w:val="%9."/>
      <w:lvlJc w:val="right"/>
      <w:pPr>
        <w:ind w:left="7898" w:hanging="178"/>
      </w:pPr>
      <w:rPr>
        <w:rFonts w:cs="Times New Roman"/>
      </w:rPr>
    </w:lvl>
  </w:abstractNum>
  <w:abstractNum w:abstractNumId="99" w15:restartNumberingAfterBreak="0">
    <w:nsid w:val="5FA17F10"/>
    <w:multiLevelType w:val="multilevel"/>
    <w:tmpl w:val="BD6A3C54"/>
    <w:lvl w:ilvl="0">
      <w:start w:val="1"/>
      <w:numFmt w:val="decimal"/>
      <w:lvlText w:val="%1)"/>
      <w:lvlJc w:val="left"/>
      <w:pPr>
        <w:ind w:left="708"/>
      </w:pPr>
      <w:rPr>
        <w:rFonts w:eastAsia="Times New Roman" w:cs="Times New Roman"/>
        <w:b w:val="0"/>
        <w:i w:val="0"/>
        <w:strike w:val="0"/>
        <w:dstrike w:val="0"/>
        <w:color w:val="000000"/>
        <w:position w:val="0"/>
        <w:sz w:val="24"/>
        <w:szCs w:val="24"/>
        <w:u w:val="none" w:color="000000"/>
        <w:vertAlign w:val="baseline"/>
      </w:rPr>
    </w:lvl>
    <w:lvl w:ilvl="1">
      <w:start w:val="1"/>
      <w:numFmt w:val="lowerLetter"/>
      <w:lvlText w:val="%2"/>
      <w:lvlJc w:val="left"/>
      <w:pPr>
        <w:ind w:left="1788"/>
      </w:pPr>
      <w:rPr>
        <w:rFonts w:eastAsia="Times New Roman" w:cs="Times New Roman"/>
        <w:b w:val="0"/>
        <w:i w:val="0"/>
        <w:strike w:val="0"/>
        <w:dstrike w:val="0"/>
        <w:color w:val="000000"/>
        <w:position w:val="0"/>
        <w:sz w:val="24"/>
        <w:szCs w:val="24"/>
        <w:u w:val="none" w:color="000000"/>
        <w:vertAlign w:val="baseline"/>
      </w:rPr>
    </w:lvl>
    <w:lvl w:ilvl="2">
      <w:start w:val="1"/>
      <w:numFmt w:val="lowerRoman"/>
      <w:lvlText w:val="%3"/>
      <w:lvlJc w:val="left"/>
      <w:pPr>
        <w:ind w:left="2508"/>
      </w:pPr>
      <w:rPr>
        <w:rFonts w:eastAsia="Times New Roman" w:cs="Times New Roman"/>
        <w:b w:val="0"/>
        <w:i w:val="0"/>
        <w:strike w:val="0"/>
        <w:dstrike w:val="0"/>
        <w:color w:val="000000"/>
        <w:position w:val="0"/>
        <w:sz w:val="24"/>
        <w:szCs w:val="24"/>
        <w:u w:val="none" w:color="000000"/>
        <w:vertAlign w:val="baseline"/>
      </w:rPr>
    </w:lvl>
    <w:lvl w:ilvl="3">
      <w:start w:val="1"/>
      <w:numFmt w:val="decimal"/>
      <w:lvlText w:val="%4"/>
      <w:lvlJc w:val="left"/>
      <w:pPr>
        <w:ind w:left="3228"/>
      </w:pPr>
      <w:rPr>
        <w:rFonts w:eastAsia="Times New Roman" w:cs="Times New Roman"/>
        <w:b w:val="0"/>
        <w:i w:val="0"/>
        <w:strike w:val="0"/>
        <w:dstrike w:val="0"/>
        <w:color w:val="000000"/>
        <w:position w:val="0"/>
        <w:sz w:val="24"/>
        <w:szCs w:val="24"/>
        <w:u w:val="none" w:color="000000"/>
        <w:vertAlign w:val="baseline"/>
      </w:rPr>
    </w:lvl>
    <w:lvl w:ilvl="4">
      <w:start w:val="1"/>
      <w:numFmt w:val="lowerLetter"/>
      <w:lvlText w:val="%5"/>
      <w:lvlJc w:val="left"/>
      <w:pPr>
        <w:ind w:left="3948"/>
      </w:pPr>
      <w:rPr>
        <w:rFonts w:eastAsia="Times New Roman" w:cs="Times New Roman"/>
        <w:b w:val="0"/>
        <w:i w:val="0"/>
        <w:strike w:val="0"/>
        <w:dstrike w:val="0"/>
        <w:color w:val="000000"/>
        <w:position w:val="0"/>
        <w:sz w:val="24"/>
        <w:szCs w:val="24"/>
        <w:u w:val="none" w:color="000000"/>
        <w:vertAlign w:val="baseline"/>
      </w:rPr>
    </w:lvl>
    <w:lvl w:ilvl="5">
      <w:start w:val="1"/>
      <w:numFmt w:val="lowerRoman"/>
      <w:lvlText w:val="%6"/>
      <w:lvlJc w:val="left"/>
      <w:pPr>
        <w:ind w:left="4668"/>
      </w:pPr>
      <w:rPr>
        <w:rFonts w:eastAsia="Times New Roman" w:cs="Times New Roman"/>
        <w:b w:val="0"/>
        <w:i w:val="0"/>
        <w:strike w:val="0"/>
        <w:dstrike w:val="0"/>
        <w:color w:val="000000"/>
        <w:position w:val="0"/>
        <w:sz w:val="24"/>
        <w:szCs w:val="24"/>
        <w:u w:val="none" w:color="000000"/>
        <w:vertAlign w:val="baseline"/>
      </w:rPr>
    </w:lvl>
    <w:lvl w:ilvl="6">
      <w:start w:val="1"/>
      <w:numFmt w:val="decimal"/>
      <w:lvlText w:val="%7"/>
      <w:lvlJc w:val="left"/>
      <w:pPr>
        <w:ind w:left="5388"/>
      </w:pPr>
      <w:rPr>
        <w:rFonts w:eastAsia="Times New Roman" w:cs="Times New Roman"/>
        <w:b w:val="0"/>
        <w:i w:val="0"/>
        <w:strike w:val="0"/>
        <w:dstrike w:val="0"/>
        <w:color w:val="000000"/>
        <w:position w:val="0"/>
        <w:sz w:val="24"/>
        <w:szCs w:val="24"/>
        <w:u w:val="none" w:color="000000"/>
        <w:vertAlign w:val="baseline"/>
      </w:rPr>
    </w:lvl>
    <w:lvl w:ilvl="7">
      <w:start w:val="1"/>
      <w:numFmt w:val="lowerLetter"/>
      <w:lvlText w:val="%8"/>
      <w:lvlJc w:val="left"/>
      <w:pPr>
        <w:ind w:left="6108"/>
      </w:pPr>
      <w:rPr>
        <w:rFonts w:eastAsia="Times New Roman" w:cs="Times New Roman"/>
        <w:b w:val="0"/>
        <w:i w:val="0"/>
        <w:strike w:val="0"/>
        <w:dstrike w:val="0"/>
        <w:color w:val="000000"/>
        <w:position w:val="0"/>
        <w:sz w:val="24"/>
        <w:szCs w:val="24"/>
        <w:u w:val="none" w:color="000000"/>
        <w:vertAlign w:val="baseline"/>
      </w:rPr>
    </w:lvl>
    <w:lvl w:ilvl="8">
      <w:start w:val="1"/>
      <w:numFmt w:val="lowerRoman"/>
      <w:lvlText w:val="%9"/>
      <w:lvlJc w:val="left"/>
      <w:pPr>
        <w:ind w:left="6828"/>
      </w:pPr>
      <w:rPr>
        <w:rFonts w:eastAsia="Times New Roman" w:cs="Times New Roman"/>
        <w:b w:val="0"/>
        <w:i w:val="0"/>
        <w:strike w:val="0"/>
        <w:dstrike w:val="0"/>
        <w:color w:val="000000"/>
        <w:position w:val="0"/>
        <w:sz w:val="24"/>
        <w:szCs w:val="24"/>
        <w:u w:val="none" w:color="000000"/>
        <w:vertAlign w:val="baseline"/>
      </w:rPr>
    </w:lvl>
  </w:abstractNum>
  <w:abstractNum w:abstractNumId="100" w15:restartNumberingAfterBreak="0">
    <w:nsid w:val="60712BC2"/>
    <w:multiLevelType w:val="hybridMultilevel"/>
    <w:tmpl w:val="F04AEFC2"/>
    <w:lvl w:ilvl="0" w:tplc="6D72482A">
      <w:start w:val="1"/>
      <w:numFmt w:val="decimal"/>
      <w:suff w:val="space"/>
      <w:lvlText w:val="%1."/>
      <w:lvlJc w:val="left"/>
      <w:pPr>
        <w:ind w:left="0" w:firstLine="57"/>
      </w:pPr>
      <w:rPr>
        <w:rFonts w:hint="default"/>
      </w:rPr>
    </w:lvl>
    <w:lvl w:ilvl="1" w:tplc="EFAA061E">
      <w:start w:val="1"/>
      <w:numFmt w:val="lowerLetter"/>
      <w:lvlText w:val="%2."/>
      <w:lvlJc w:val="left"/>
      <w:pPr>
        <w:ind w:left="1222" w:hanging="358"/>
      </w:pPr>
    </w:lvl>
    <w:lvl w:ilvl="2" w:tplc="20A0E5AA">
      <w:start w:val="1"/>
      <w:numFmt w:val="lowerRoman"/>
      <w:lvlText w:val="%3."/>
      <w:lvlJc w:val="right"/>
      <w:pPr>
        <w:ind w:left="1942" w:hanging="178"/>
      </w:pPr>
    </w:lvl>
    <w:lvl w:ilvl="3" w:tplc="525CFADE">
      <w:start w:val="1"/>
      <w:numFmt w:val="decimal"/>
      <w:lvlText w:val="%4."/>
      <w:lvlJc w:val="left"/>
      <w:pPr>
        <w:ind w:left="2662" w:hanging="358"/>
      </w:pPr>
    </w:lvl>
    <w:lvl w:ilvl="4" w:tplc="C8DC1DB6">
      <w:start w:val="1"/>
      <w:numFmt w:val="lowerLetter"/>
      <w:lvlText w:val="%5."/>
      <w:lvlJc w:val="left"/>
      <w:pPr>
        <w:ind w:left="3382" w:hanging="358"/>
      </w:pPr>
    </w:lvl>
    <w:lvl w:ilvl="5" w:tplc="4F2471FE">
      <w:start w:val="1"/>
      <w:numFmt w:val="lowerRoman"/>
      <w:lvlText w:val="%6."/>
      <w:lvlJc w:val="right"/>
      <w:pPr>
        <w:ind w:left="4102" w:hanging="178"/>
      </w:pPr>
    </w:lvl>
    <w:lvl w:ilvl="6" w:tplc="B8368FBA">
      <w:start w:val="1"/>
      <w:numFmt w:val="decimal"/>
      <w:lvlText w:val="%7."/>
      <w:lvlJc w:val="left"/>
      <w:pPr>
        <w:ind w:left="4822" w:hanging="358"/>
      </w:pPr>
    </w:lvl>
    <w:lvl w:ilvl="7" w:tplc="767E37FE">
      <w:start w:val="1"/>
      <w:numFmt w:val="lowerLetter"/>
      <w:lvlText w:val="%8."/>
      <w:lvlJc w:val="left"/>
      <w:pPr>
        <w:ind w:left="5542" w:hanging="358"/>
      </w:pPr>
    </w:lvl>
    <w:lvl w:ilvl="8" w:tplc="9C3ADDA2">
      <w:start w:val="1"/>
      <w:numFmt w:val="lowerRoman"/>
      <w:lvlText w:val="%9."/>
      <w:lvlJc w:val="right"/>
      <w:pPr>
        <w:ind w:left="6262" w:hanging="178"/>
      </w:pPr>
    </w:lvl>
  </w:abstractNum>
  <w:abstractNum w:abstractNumId="101" w15:restartNumberingAfterBreak="0">
    <w:nsid w:val="61AB2039"/>
    <w:multiLevelType w:val="hybridMultilevel"/>
    <w:tmpl w:val="D77074B0"/>
    <w:lvl w:ilvl="0" w:tplc="56DA3C92">
      <w:start w:val="1"/>
      <w:numFmt w:val="decimal"/>
      <w:lvlText w:val="%1)"/>
      <w:lvlJc w:val="left"/>
      <w:pPr>
        <w:ind w:left="1068" w:hanging="360"/>
      </w:pPr>
      <w:rPr>
        <w:rFonts w:cs="Times New Roman" w:hint="default"/>
      </w:rPr>
    </w:lvl>
    <w:lvl w:ilvl="1" w:tplc="04190019">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02" w15:restartNumberingAfterBreak="0">
    <w:nsid w:val="62343393"/>
    <w:multiLevelType w:val="hybridMultilevel"/>
    <w:tmpl w:val="BBD20A74"/>
    <w:lvl w:ilvl="0" w:tplc="4ED46E46">
      <w:start w:val="1"/>
      <w:numFmt w:val="decimal"/>
      <w:lvlText w:val="%1."/>
      <w:lvlJc w:val="left"/>
      <w:pPr>
        <w:ind w:left="720" w:hanging="358"/>
      </w:pPr>
      <w:rPr>
        <w:rFonts w:cs="Times New Roman"/>
      </w:rPr>
    </w:lvl>
    <w:lvl w:ilvl="1" w:tplc="064C1364">
      <w:start w:val="1"/>
      <w:numFmt w:val="lowerLetter"/>
      <w:lvlText w:val="%2."/>
      <w:lvlJc w:val="left"/>
      <w:pPr>
        <w:ind w:left="1440" w:hanging="358"/>
      </w:pPr>
      <w:rPr>
        <w:rFonts w:cs="Times New Roman"/>
      </w:rPr>
    </w:lvl>
    <w:lvl w:ilvl="2" w:tplc="3B56C286">
      <w:start w:val="1"/>
      <w:numFmt w:val="lowerRoman"/>
      <w:lvlText w:val="%3."/>
      <w:lvlJc w:val="right"/>
      <w:pPr>
        <w:ind w:left="2160" w:hanging="178"/>
      </w:pPr>
      <w:rPr>
        <w:rFonts w:cs="Times New Roman"/>
      </w:rPr>
    </w:lvl>
    <w:lvl w:ilvl="3" w:tplc="2A5EB328">
      <w:start w:val="1"/>
      <w:numFmt w:val="decimal"/>
      <w:lvlText w:val="%4."/>
      <w:lvlJc w:val="left"/>
      <w:pPr>
        <w:ind w:left="2880" w:hanging="358"/>
      </w:pPr>
      <w:rPr>
        <w:rFonts w:cs="Times New Roman"/>
      </w:rPr>
    </w:lvl>
    <w:lvl w:ilvl="4" w:tplc="99D88ABC">
      <w:start w:val="1"/>
      <w:numFmt w:val="lowerLetter"/>
      <w:lvlText w:val="%5."/>
      <w:lvlJc w:val="left"/>
      <w:pPr>
        <w:ind w:left="3600" w:hanging="358"/>
      </w:pPr>
      <w:rPr>
        <w:rFonts w:cs="Times New Roman"/>
      </w:rPr>
    </w:lvl>
    <w:lvl w:ilvl="5" w:tplc="DC94C6CE">
      <w:start w:val="1"/>
      <w:numFmt w:val="lowerRoman"/>
      <w:lvlText w:val="%6."/>
      <w:lvlJc w:val="right"/>
      <w:pPr>
        <w:ind w:left="4320" w:hanging="178"/>
      </w:pPr>
      <w:rPr>
        <w:rFonts w:cs="Times New Roman"/>
      </w:rPr>
    </w:lvl>
    <w:lvl w:ilvl="6" w:tplc="464E74A2">
      <w:start w:val="1"/>
      <w:numFmt w:val="decimal"/>
      <w:lvlText w:val="%7."/>
      <w:lvlJc w:val="left"/>
      <w:pPr>
        <w:ind w:left="5040" w:hanging="358"/>
      </w:pPr>
      <w:rPr>
        <w:rFonts w:cs="Times New Roman"/>
      </w:rPr>
    </w:lvl>
    <w:lvl w:ilvl="7" w:tplc="D15A053E">
      <w:start w:val="1"/>
      <w:numFmt w:val="lowerLetter"/>
      <w:lvlText w:val="%8."/>
      <w:lvlJc w:val="left"/>
      <w:pPr>
        <w:ind w:left="5760" w:hanging="358"/>
      </w:pPr>
      <w:rPr>
        <w:rFonts w:cs="Times New Roman"/>
      </w:rPr>
    </w:lvl>
    <w:lvl w:ilvl="8" w:tplc="7B086546">
      <w:start w:val="1"/>
      <w:numFmt w:val="lowerRoman"/>
      <w:lvlText w:val="%9."/>
      <w:lvlJc w:val="right"/>
      <w:pPr>
        <w:ind w:left="6480" w:hanging="178"/>
      </w:pPr>
      <w:rPr>
        <w:rFonts w:cs="Times New Roman"/>
      </w:rPr>
    </w:lvl>
  </w:abstractNum>
  <w:abstractNum w:abstractNumId="103" w15:restartNumberingAfterBreak="0">
    <w:nsid w:val="6295283E"/>
    <w:multiLevelType w:val="hybridMultilevel"/>
    <w:tmpl w:val="FB162670"/>
    <w:lvl w:ilvl="0" w:tplc="F18C4ADA">
      <w:start w:val="1"/>
      <w:numFmt w:val="bullet"/>
      <w:lvlText w:val=""/>
      <w:lvlJc w:val="left"/>
      <w:pPr>
        <w:ind w:left="1429" w:hanging="358"/>
      </w:pPr>
      <w:rPr>
        <w:rFonts w:ascii="Symbol" w:hAnsi="Symbol" w:hint="default"/>
      </w:rPr>
    </w:lvl>
    <w:lvl w:ilvl="1" w:tplc="F40AD002">
      <w:start w:val="1"/>
      <w:numFmt w:val="bullet"/>
      <w:lvlText w:val="o"/>
      <w:lvlJc w:val="left"/>
      <w:pPr>
        <w:ind w:left="1440" w:hanging="358"/>
      </w:pPr>
      <w:rPr>
        <w:rFonts w:ascii="Courier New" w:hAnsi="Courier New" w:cs="Courier New" w:hint="default"/>
      </w:rPr>
    </w:lvl>
    <w:lvl w:ilvl="2" w:tplc="70389A86">
      <w:start w:val="1"/>
      <w:numFmt w:val="bullet"/>
      <w:lvlText w:val=""/>
      <w:lvlJc w:val="left"/>
      <w:pPr>
        <w:ind w:left="2160" w:hanging="358"/>
      </w:pPr>
      <w:rPr>
        <w:rFonts w:ascii="Wingdings" w:hAnsi="Wingdings" w:hint="default"/>
      </w:rPr>
    </w:lvl>
    <w:lvl w:ilvl="3" w:tplc="7758EB5C">
      <w:start w:val="1"/>
      <w:numFmt w:val="bullet"/>
      <w:lvlText w:val=""/>
      <w:lvlJc w:val="left"/>
      <w:pPr>
        <w:ind w:left="2880" w:hanging="358"/>
      </w:pPr>
      <w:rPr>
        <w:rFonts w:ascii="Symbol" w:hAnsi="Symbol" w:hint="default"/>
      </w:rPr>
    </w:lvl>
    <w:lvl w:ilvl="4" w:tplc="B5447820">
      <w:start w:val="1"/>
      <w:numFmt w:val="bullet"/>
      <w:lvlText w:val="o"/>
      <w:lvlJc w:val="left"/>
      <w:pPr>
        <w:ind w:left="3600" w:hanging="358"/>
      </w:pPr>
      <w:rPr>
        <w:rFonts w:ascii="Courier New" w:hAnsi="Courier New" w:cs="Courier New" w:hint="default"/>
      </w:rPr>
    </w:lvl>
    <w:lvl w:ilvl="5" w:tplc="EC981C58">
      <w:start w:val="1"/>
      <w:numFmt w:val="bullet"/>
      <w:lvlText w:val=""/>
      <w:lvlJc w:val="left"/>
      <w:pPr>
        <w:ind w:left="4320" w:hanging="358"/>
      </w:pPr>
      <w:rPr>
        <w:rFonts w:ascii="Wingdings" w:hAnsi="Wingdings" w:hint="default"/>
      </w:rPr>
    </w:lvl>
    <w:lvl w:ilvl="6" w:tplc="D56AE1C0">
      <w:start w:val="1"/>
      <w:numFmt w:val="bullet"/>
      <w:lvlText w:val=""/>
      <w:lvlJc w:val="left"/>
      <w:pPr>
        <w:ind w:left="5040" w:hanging="358"/>
      </w:pPr>
      <w:rPr>
        <w:rFonts w:ascii="Symbol" w:hAnsi="Symbol" w:hint="default"/>
      </w:rPr>
    </w:lvl>
    <w:lvl w:ilvl="7" w:tplc="0100D418">
      <w:start w:val="1"/>
      <w:numFmt w:val="bullet"/>
      <w:lvlText w:val="o"/>
      <w:lvlJc w:val="left"/>
      <w:pPr>
        <w:ind w:left="5760" w:hanging="358"/>
      </w:pPr>
      <w:rPr>
        <w:rFonts w:ascii="Courier New" w:hAnsi="Courier New" w:cs="Courier New" w:hint="default"/>
      </w:rPr>
    </w:lvl>
    <w:lvl w:ilvl="8" w:tplc="26025F22">
      <w:start w:val="1"/>
      <w:numFmt w:val="bullet"/>
      <w:lvlText w:val=""/>
      <w:lvlJc w:val="left"/>
      <w:pPr>
        <w:ind w:left="6480" w:hanging="358"/>
      </w:pPr>
      <w:rPr>
        <w:rFonts w:ascii="Wingdings" w:hAnsi="Wingdings" w:hint="default"/>
      </w:rPr>
    </w:lvl>
  </w:abstractNum>
  <w:abstractNum w:abstractNumId="104" w15:restartNumberingAfterBreak="0">
    <w:nsid w:val="63CA044A"/>
    <w:multiLevelType w:val="hybridMultilevel"/>
    <w:tmpl w:val="14DC9564"/>
    <w:lvl w:ilvl="0" w:tplc="EFBCA3CA">
      <w:start w:val="1"/>
      <w:numFmt w:val="bullet"/>
      <w:suff w:val="space"/>
      <w:lvlText w:val="‒"/>
      <w:lvlJc w:val="left"/>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5" w15:restartNumberingAfterBreak="0">
    <w:nsid w:val="640019C8"/>
    <w:multiLevelType w:val="hybridMultilevel"/>
    <w:tmpl w:val="A45A86CC"/>
    <w:lvl w:ilvl="0" w:tplc="E036172C">
      <w:start w:val="1"/>
      <w:numFmt w:val="decimal"/>
      <w:lvlText w:val="%1."/>
      <w:lvlJc w:val="left"/>
      <w:pPr>
        <w:ind w:left="1287" w:hanging="358"/>
      </w:pPr>
      <w:rPr>
        <w:rFonts w:cs="Times New Roman"/>
      </w:rPr>
    </w:lvl>
    <w:lvl w:ilvl="1" w:tplc="7A7E93D6">
      <w:start w:val="1"/>
      <w:numFmt w:val="lowerLetter"/>
      <w:lvlText w:val="%2."/>
      <w:lvlJc w:val="left"/>
      <w:pPr>
        <w:ind w:left="2007" w:hanging="358"/>
      </w:pPr>
      <w:rPr>
        <w:rFonts w:cs="Times New Roman"/>
      </w:rPr>
    </w:lvl>
    <w:lvl w:ilvl="2" w:tplc="2592D48E">
      <w:start w:val="1"/>
      <w:numFmt w:val="lowerRoman"/>
      <w:lvlText w:val="%3."/>
      <w:lvlJc w:val="right"/>
      <w:pPr>
        <w:ind w:left="2727" w:hanging="178"/>
      </w:pPr>
      <w:rPr>
        <w:rFonts w:cs="Times New Roman"/>
      </w:rPr>
    </w:lvl>
    <w:lvl w:ilvl="3" w:tplc="F0627878">
      <w:start w:val="1"/>
      <w:numFmt w:val="decimal"/>
      <w:lvlText w:val="%4."/>
      <w:lvlJc w:val="left"/>
      <w:pPr>
        <w:ind w:left="3447" w:hanging="358"/>
      </w:pPr>
      <w:rPr>
        <w:rFonts w:cs="Times New Roman"/>
      </w:rPr>
    </w:lvl>
    <w:lvl w:ilvl="4" w:tplc="17708FF6">
      <w:start w:val="1"/>
      <w:numFmt w:val="lowerLetter"/>
      <w:lvlText w:val="%5."/>
      <w:lvlJc w:val="left"/>
      <w:pPr>
        <w:ind w:left="4167" w:hanging="358"/>
      </w:pPr>
      <w:rPr>
        <w:rFonts w:cs="Times New Roman"/>
      </w:rPr>
    </w:lvl>
    <w:lvl w:ilvl="5" w:tplc="54522542">
      <w:start w:val="1"/>
      <w:numFmt w:val="lowerRoman"/>
      <w:lvlText w:val="%6."/>
      <w:lvlJc w:val="right"/>
      <w:pPr>
        <w:ind w:left="4887" w:hanging="178"/>
      </w:pPr>
      <w:rPr>
        <w:rFonts w:cs="Times New Roman"/>
      </w:rPr>
    </w:lvl>
    <w:lvl w:ilvl="6" w:tplc="DD129E5E">
      <w:start w:val="1"/>
      <w:numFmt w:val="decimal"/>
      <w:lvlText w:val="%7."/>
      <w:lvlJc w:val="left"/>
      <w:pPr>
        <w:ind w:left="5607" w:hanging="358"/>
      </w:pPr>
      <w:rPr>
        <w:rFonts w:cs="Times New Roman"/>
      </w:rPr>
    </w:lvl>
    <w:lvl w:ilvl="7" w:tplc="19844BAC">
      <w:start w:val="1"/>
      <w:numFmt w:val="lowerLetter"/>
      <w:lvlText w:val="%8."/>
      <w:lvlJc w:val="left"/>
      <w:pPr>
        <w:ind w:left="6327" w:hanging="358"/>
      </w:pPr>
      <w:rPr>
        <w:rFonts w:cs="Times New Roman"/>
      </w:rPr>
    </w:lvl>
    <w:lvl w:ilvl="8" w:tplc="58FACE3C">
      <w:start w:val="1"/>
      <w:numFmt w:val="lowerRoman"/>
      <w:lvlText w:val="%9."/>
      <w:lvlJc w:val="right"/>
      <w:pPr>
        <w:ind w:left="7047" w:hanging="178"/>
      </w:pPr>
      <w:rPr>
        <w:rFonts w:cs="Times New Roman"/>
      </w:rPr>
    </w:lvl>
  </w:abstractNum>
  <w:abstractNum w:abstractNumId="106" w15:restartNumberingAfterBreak="0">
    <w:nsid w:val="645B13EF"/>
    <w:multiLevelType w:val="singleLevel"/>
    <w:tmpl w:val="645B13EF"/>
    <w:lvl w:ilvl="0">
      <w:start w:val="5"/>
      <w:numFmt w:val="upperLetter"/>
      <w:suff w:val="nothing"/>
      <w:lvlText w:val="%1-"/>
      <w:lvlJc w:val="left"/>
    </w:lvl>
  </w:abstractNum>
  <w:abstractNum w:abstractNumId="107" w15:restartNumberingAfterBreak="0">
    <w:nsid w:val="6655257A"/>
    <w:multiLevelType w:val="hybridMultilevel"/>
    <w:tmpl w:val="D28E0F10"/>
    <w:lvl w:ilvl="0" w:tplc="5086A32C">
      <w:start w:val="1"/>
      <w:numFmt w:val="decimal"/>
      <w:lvlText w:val="%1."/>
      <w:lvlJc w:val="left"/>
      <w:pPr>
        <w:ind w:left="1429" w:hanging="358"/>
      </w:pPr>
      <w:rPr>
        <w:rFonts w:cs="Times New Roman"/>
      </w:rPr>
    </w:lvl>
    <w:lvl w:ilvl="1" w:tplc="6132285C">
      <w:start w:val="1"/>
      <w:numFmt w:val="lowerLetter"/>
      <w:lvlText w:val="%2."/>
      <w:lvlJc w:val="left"/>
      <w:pPr>
        <w:ind w:left="2149" w:hanging="358"/>
      </w:pPr>
      <w:rPr>
        <w:rFonts w:cs="Times New Roman"/>
      </w:rPr>
    </w:lvl>
    <w:lvl w:ilvl="2" w:tplc="C21A0E74">
      <w:start w:val="1"/>
      <w:numFmt w:val="lowerRoman"/>
      <w:lvlText w:val="%3."/>
      <w:lvlJc w:val="right"/>
      <w:pPr>
        <w:ind w:left="2869" w:hanging="178"/>
      </w:pPr>
      <w:rPr>
        <w:rFonts w:cs="Times New Roman"/>
      </w:rPr>
    </w:lvl>
    <w:lvl w:ilvl="3" w:tplc="FB58EB5C">
      <w:start w:val="1"/>
      <w:numFmt w:val="decimal"/>
      <w:lvlText w:val="%4."/>
      <w:lvlJc w:val="left"/>
      <w:pPr>
        <w:ind w:left="3589" w:hanging="358"/>
      </w:pPr>
      <w:rPr>
        <w:rFonts w:cs="Times New Roman"/>
      </w:rPr>
    </w:lvl>
    <w:lvl w:ilvl="4" w:tplc="BA7E1744">
      <w:start w:val="1"/>
      <w:numFmt w:val="lowerLetter"/>
      <w:lvlText w:val="%5."/>
      <w:lvlJc w:val="left"/>
      <w:pPr>
        <w:ind w:left="4309" w:hanging="358"/>
      </w:pPr>
      <w:rPr>
        <w:rFonts w:cs="Times New Roman"/>
      </w:rPr>
    </w:lvl>
    <w:lvl w:ilvl="5" w:tplc="FA38DC3C">
      <w:start w:val="1"/>
      <w:numFmt w:val="lowerRoman"/>
      <w:lvlText w:val="%6."/>
      <w:lvlJc w:val="right"/>
      <w:pPr>
        <w:ind w:left="5029" w:hanging="178"/>
      </w:pPr>
      <w:rPr>
        <w:rFonts w:cs="Times New Roman"/>
      </w:rPr>
    </w:lvl>
    <w:lvl w:ilvl="6" w:tplc="AAD09486">
      <w:start w:val="1"/>
      <w:numFmt w:val="decimal"/>
      <w:lvlText w:val="%7."/>
      <w:lvlJc w:val="left"/>
      <w:pPr>
        <w:ind w:left="5749" w:hanging="358"/>
      </w:pPr>
      <w:rPr>
        <w:rFonts w:cs="Times New Roman"/>
      </w:rPr>
    </w:lvl>
    <w:lvl w:ilvl="7" w:tplc="53F2CD66">
      <w:start w:val="1"/>
      <w:numFmt w:val="lowerLetter"/>
      <w:lvlText w:val="%8."/>
      <w:lvlJc w:val="left"/>
      <w:pPr>
        <w:ind w:left="6469" w:hanging="358"/>
      </w:pPr>
      <w:rPr>
        <w:rFonts w:cs="Times New Roman"/>
      </w:rPr>
    </w:lvl>
    <w:lvl w:ilvl="8" w:tplc="5844B0FE">
      <w:start w:val="1"/>
      <w:numFmt w:val="lowerRoman"/>
      <w:lvlText w:val="%9."/>
      <w:lvlJc w:val="right"/>
      <w:pPr>
        <w:ind w:left="7189" w:hanging="178"/>
      </w:pPr>
      <w:rPr>
        <w:rFonts w:cs="Times New Roman"/>
      </w:rPr>
    </w:lvl>
  </w:abstractNum>
  <w:abstractNum w:abstractNumId="108" w15:restartNumberingAfterBreak="0">
    <w:nsid w:val="67626CB9"/>
    <w:multiLevelType w:val="hybridMultilevel"/>
    <w:tmpl w:val="A6DE161E"/>
    <w:lvl w:ilvl="0" w:tplc="04021DDE">
      <w:start w:val="1"/>
      <w:numFmt w:val="bullet"/>
      <w:suff w:val="space"/>
      <w:lvlText w:val=""/>
      <w:lvlJc w:val="left"/>
      <w:pPr>
        <w:ind w:left="1430" w:hanging="358"/>
      </w:pPr>
      <w:rPr>
        <w:rFonts w:ascii="Symbol" w:hAnsi="Symbol" w:hint="default"/>
      </w:rPr>
    </w:lvl>
    <w:lvl w:ilvl="1" w:tplc="3E6044FC">
      <w:start w:val="1"/>
      <w:numFmt w:val="bullet"/>
      <w:lvlText w:val="o"/>
      <w:lvlJc w:val="left"/>
      <w:pPr>
        <w:ind w:left="2150" w:hanging="358"/>
      </w:pPr>
      <w:rPr>
        <w:rFonts w:ascii="Courier New" w:hAnsi="Courier New" w:hint="default"/>
      </w:rPr>
    </w:lvl>
    <w:lvl w:ilvl="2" w:tplc="DBF83A44">
      <w:start w:val="1"/>
      <w:numFmt w:val="bullet"/>
      <w:lvlText w:val=""/>
      <w:lvlJc w:val="left"/>
      <w:pPr>
        <w:ind w:left="2870" w:hanging="358"/>
      </w:pPr>
      <w:rPr>
        <w:rFonts w:ascii="Wingdings" w:hAnsi="Wingdings" w:hint="default"/>
      </w:rPr>
    </w:lvl>
    <w:lvl w:ilvl="3" w:tplc="C55A8AE6">
      <w:start w:val="1"/>
      <w:numFmt w:val="bullet"/>
      <w:lvlText w:val=""/>
      <w:lvlJc w:val="left"/>
      <w:pPr>
        <w:ind w:left="3590" w:hanging="358"/>
      </w:pPr>
      <w:rPr>
        <w:rFonts w:ascii="Symbol" w:hAnsi="Symbol" w:hint="default"/>
      </w:rPr>
    </w:lvl>
    <w:lvl w:ilvl="4" w:tplc="1966BE02">
      <w:start w:val="1"/>
      <w:numFmt w:val="bullet"/>
      <w:lvlText w:val="o"/>
      <w:lvlJc w:val="left"/>
      <w:pPr>
        <w:ind w:left="4310" w:hanging="358"/>
      </w:pPr>
      <w:rPr>
        <w:rFonts w:ascii="Courier New" w:hAnsi="Courier New" w:hint="default"/>
      </w:rPr>
    </w:lvl>
    <w:lvl w:ilvl="5" w:tplc="D5A82BE6">
      <w:start w:val="1"/>
      <w:numFmt w:val="bullet"/>
      <w:lvlText w:val=""/>
      <w:lvlJc w:val="left"/>
      <w:pPr>
        <w:ind w:left="5030" w:hanging="358"/>
      </w:pPr>
      <w:rPr>
        <w:rFonts w:ascii="Wingdings" w:hAnsi="Wingdings" w:hint="default"/>
      </w:rPr>
    </w:lvl>
    <w:lvl w:ilvl="6" w:tplc="79F66C1C">
      <w:start w:val="1"/>
      <w:numFmt w:val="bullet"/>
      <w:lvlText w:val=""/>
      <w:lvlJc w:val="left"/>
      <w:pPr>
        <w:ind w:left="5750" w:hanging="358"/>
      </w:pPr>
      <w:rPr>
        <w:rFonts w:ascii="Symbol" w:hAnsi="Symbol" w:hint="default"/>
      </w:rPr>
    </w:lvl>
    <w:lvl w:ilvl="7" w:tplc="E3860C40">
      <w:start w:val="1"/>
      <w:numFmt w:val="bullet"/>
      <w:lvlText w:val="o"/>
      <w:lvlJc w:val="left"/>
      <w:pPr>
        <w:ind w:left="6470" w:hanging="358"/>
      </w:pPr>
      <w:rPr>
        <w:rFonts w:ascii="Courier New" w:hAnsi="Courier New" w:hint="default"/>
      </w:rPr>
    </w:lvl>
    <w:lvl w:ilvl="8" w:tplc="51FA3794">
      <w:start w:val="1"/>
      <w:numFmt w:val="bullet"/>
      <w:lvlText w:val=""/>
      <w:lvlJc w:val="left"/>
      <w:pPr>
        <w:ind w:left="7190" w:hanging="358"/>
      </w:pPr>
      <w:rPr>
        <w:rFonts w:ascii="Wingdings" w:hAnsi="Wingdings" w:hint="default"/>
      </w:rPr>
    </w:lvl>
  </w:abstractNum>
  <w:abstractNum w:abstractNumId="109" w15:restartNumberingAfterBreak="0">
    <w:nsid w:val="685604E0"/>
    <w:multiLevelType w:val="hybridMultilevel"/>
    <w:tmpl w:val="54083BD6"/>
    <w:lvl w:ilvl="0" w:tplc="F0CC6C8A">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0" w15:restartNumberingAfterBreak="0">
    <w:nsid w:val="6876380D"/>
    <w:multiLevelType w:val="hybridMultilevel"/>
    <w:tmpl w:val="1A5231D6"/>
    <w:lvl w:ilvl="0" w:tplc="DE04D42C">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11" w15:restartNumberingAfterBreak="0">
    <w:nsid w:val="68901B39"/>
    <w:multiLevelType w:val="hybridMultilevel"/>
    <w:tmpl w:val="3F4256FC"/>
    <w:lvl w:ilvl="0" w:tplc="87901D38">
      <w:start w:val="1"/>
      <w:numFmt w:val="decimal"/>
      <w:lvlText w:val="%1."/>
      <w:lvlJc w:val="left"/>
      <w:pPr>
        <w:ind w:left="720" w:hanging="358"/>
      </w:pPr>
      <w:rPr>
        <w:rFonts w:cs="Times New Roman" w:hint="default"/>
      </w:rPr>
    </w:lvl>
    <w:lvl w:ilvl="1" w:tplc="60287476">
      <w:start w:val="1"/>
      <w:numFmt w:val="lowerLetter"/>
      <w:lvlText w:val="%2."/>
      <w:lvlJc w:val="left"/>
      <w:pPr>
        <w:ind w:left="1440" w:hanging="358"/>
      </w:pPr>
      <w:rPr>
        <w:rFonts w:cs="Times New Roman"/>
      </w:rPr>
    </w:lvl>
    <w:lvl w:ilvl="2" w:tplc="2F22B398">
      <w:start w:val="1"/>
      <w:numFmt w:val="lowerRoman"/>
      <w:lvlText w:val="%3."/>
      <w:lvlJc w:val="right"/>
      <w:pPr>
        <w:ind w:left="2160" w:hanging="178"/>
      </w:pPr>
      <w:rPr>
        <w:rFonts w:cs="Times New Roman"/>
      </w:rPr>
    </w:lvl>
    <w:lvl w:ilvl="3" w:tplc="40008B9E">
      <w:start w:val="1"/>
      <w:numFmt w:val="decimal"/>
      <w:lvlText w:val="%4."/>
      <w:lvlJc w:val="left"/>
      <w:pPr>
        <w:ind w:left="2880" w:hanging="358"/>
      </w:pPr>
      <w:rPr>
        <w:rFonts w:cs="Times New Roman"/>
      </w:rPr>
    </w:lvl>
    <w:lvl w:ilvl="4" w:tplc="D59C6B66">
      <w:start w:val="1"/>
      <w:numFmt w:val="lowerLetter"/>
      <w:lvlText w:val="%5."/>
      <w:lvlJc w:val="left"/>
      <w:pPr>
        <w:ind w:left="3600" w:hanging="358"/>
      </w:pPr>
      <w:rPr>
        <w:rFonts w:cs="Times New Roman"/>
      </w:rPr>
    </w:lvl>
    <w:lvl w:ilvl="5" w:tplc="B9F6B714">
      <w:start w:val="1"/>
      <w:numFmt w:val="lowerRoman"/>
      <w:lvlText w:val="%6."/>
      <w:lvlJc w:val="right"/>
      <w:pPr>
        <w:ind w:left="4320" w:hanging="178"/>
      </w:pPr>
      <w:rPr>
        <w:rFonts w:cs="Times New Roman"/>
      </w:rPr>
    </w:lvl>
    <w:lvl w:ilvl="6" w:tplc="33104210">
      <w:start w:val="1"/>
      <w:numFmt w:val="decimal"/>
      <w:lvlText w:val="%7."/>
      <w:lvlJc w:val="left"/>
      <w:pPr>
        <w:ind w:left="5040" w:hanging="358"/>
      </w:pPr>
      <w:rPr>
        <w:rFonts w:cs="Times New Roman"/>
      </w:rPr>
    </w:lvl>
    <w:lvl w:ilvl="7" w:tplc="F4C48AAE">
      <w:start w:val="1"/>
      <w:numFmt w:val="lowerLetter"/>
      <w:lvlText w:val="%8."/>
      <w:lvlJc w:val="left"/>
      <w:pPr>
        <w:ind w:left="5760" w:hanging="358"/>
      </w:pPr>
      <w:rPr>
        <w:rFonts w:cs="Times New Roman"/>
      </w:rPr>
    </w:lvl>
    <w:lvl w:ilvl="8" w:tplc="A2C86A66">
      <w:start w:val="1"/>
      <w:numFmt w:val="lowerRoman"/>
      <w:lvlText w:val="%9."/>
      <w:lvlJc w:val="right"/>
      <w:pPr>
        <w:ind w:left="6480" w:hanging="178"/>
      </w:pPr>
      <w:rPr>
        <w:rFonts w:cs="Times New Roman"/>
      </w:rPr>
    </w:lvl>
  </w:abstractNum>
  <w:abstractNum w:abstractNumId="112" w15:restartNumberingAfterBreak="0">
    <w:nsid w:val="691E0023"/>
    <w:multiLevelType w:val="hybridMultilevel"/>
    <w:tmpl w:val="7F0EC864"/>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3" w15:restartNumberingAfterBreak="0">
    <w:nsid w:val="69827FD1"/>
    <w:multiLevelType w:val="hybridMultilevel"/>
    <w:tmpl w:val="6B4CAF3A"/>
    <w:lvl w:ilvl="0" w:tplc="949CC8FE">
      <w:start w:val="1"/>
      <w:numFmt w:val="decimal"/>
      <w:lvlText w:val="%1)"/>
      <w:lvlJc w:val="left"/>
      <w:pPr>
        <w:ind w:left="758" w:hanging="360"/>
      </w:pPr>
      <w:rPr>
        <w:rFonts w:cs="Times New Roman" w:hint="default"/>
      </w:rPr>
    </w:lvl>
    <w:lvl w:ilvl="1" w:tplc="04190019" w:tentative="1">
      <w:start w:val="1"/>
      <w:numFmt w:val="lowerLetter"/>
      <w:lvlText w:val="%2."/>
      <w:lvlJc w:val="left"/>
      <w:pPr>
        <w:ind w:left="1478" w:hanging="360"/>
      </w:pPr>
      <w:rPr>
        <w:rFonts w:cs="Times New Roman"/>
      </w:rPr>
    </w:lvl>
    <w:lvl w:ilvl="2" w:tplc="0419001B" w:tentative="1">
      <w:start w:val="1"/>
      <w:numFmt w:val="lowerRoman"/>
      <w:lvlText w:val="%3."/>
      <w:lvlJc w:val="right"/>
      <w:pPr>
        <w:ind w:left="2198" w:hanging="180"/>
      </w:pPr>
      <w:rPr>
        <w:rFonts w:cs="Times New Roman"/>
      </w:rPr>
    </w:lvl>
    <w:lvl w:ilvl="3" w:tplc="0419000F" w:tentative="1">
      <w:start w:val="1"/>
      <w:numFmt w:val="decimal"/>
      <w:lvlText w:val="%4."/>
      <w:lvlJc w:val="left"/>
      <w:pPr>
        <w:ind w:left="2918" w:hanging="360"/>
      </w:pPr>
      <w:rPr>
        <w:rFonts w:cs="Times New Roman"/>
      </w:rPr>
    </w:lvl>
    <w:lvl w:ilvl="4" w:tplc="04190019" w:tentative="1">
      <w:start w:val="1"/>
      <w:numFmt w:val="lowerLetter"/>
      <w:lvlText w:val="%5."/>
      <w:lvlJc w:val="left"/>
      <w:pPr>
        <w:ind w:left="3638" w:hanging="360"/>
      </w:pPr>
      <w:rPr>
        <w:rFonts w:cs="Times New Roman"/>
      </w:rPr>
    </w:lvl>
    <w:lvl w:ilvl="5" w:tplc="0419001B" w:tentative="1">
      <w:start w:val="1"/>
      <w:numFmt w:val="lowerRoman"/>
      <w:lvlText w:val="%6."/>
      <w:lvlJc w:val="right"/>
      <w:pPr>
        <w:ind w:left="4358" w:hanging="180"/>
      </w:pPr>
      <w:rPr>
        <w:rFonts w:cs="Times New Roman"/>
      </w:rPr>
    </w:lvl>
    <w:lvl w:ilvl="6" w:tplc="0419000F" w:tentative="1">
      <w:start w:val="1"/>
      <w:numFmt w:val="decimal"/>
      <w:lvlText w:val="%7."/>
      <w:lvlJc w:val="left"/>
      <w:pPr>
        <w:ind w:left="5078" w:hanging="360"/>
      </w:pPr>
      <w:rPr>
        <w:rFonts w:cs="Times New Roman"/>
      </w:rPr>
    </w:lvl>
    <w:lvl w:ilvl="7" w:tplc="04190019" w:tentative="1">
      <w:start w:val="1"/>
      <w:numFmt w:val="lowerLetter"/>
      <w:lvlText w:val="%8."/>
      <w:lvlJc w:val="left"/>
      <w:pPr>
        <w:ind w:left="5798" w:hanging="360"/>
      </w:pPr>
      <w:rPr>
        <w:rFonts w:cs="Times New Roman"/>
      </w:rPr>
    </w:lvl>
    <w:lvl w:ilvl="8" w:tplc="0419001B" w:tentative="1">
      <w:start w:val="1"/>
      <w:numFmt w:val="lowerRoman"/>
      <w:lvlText w:val="%9."/>
      <w:lvlJc w:val="right"/>
      <w:pPr>
        <w:ind w:left="6518" w:hanging="180"/>
      </w:pPr>
      <w:rPr>
        <w:rFonts w:cs="Times New Roman"/>
      </w:rPr>
    </w:lvl>
  </w:abstractNum>
  <w:abstractNum w:abstractNumId="114" w15:restartNumberingAfterBreak="0">
    <w:nsid w:val="6A727696"/>
    <w:multiLevelType w:val="hybridMultilevel"/>
    <w:tmpl w:val="4C40C5C4"/>
    <w:lvl w:ilvl="0" w:tplc="AC361A6C">
      <w:start w:val="1"/>
      <w:numFmt w:val="decimal"/>
      <w:lvlText w:val="%1"/>
      <w:lvlJc w:val="left"/>
      <w:pPr>
        <w:ind w:left="1070" w:hanging="358"/>
      </w:pPr>
      <w:rPr>
        <w:rFonts w:cs="Times New Roman" w:hint="default"/>
      </w:rPr>
    </w:lvl>
    <w:lvl w:ilvl="1" w:tplc="DFFAF3F2">
      <w:start w:val="1"/>
      <w:numFmt w:val="lowerLetter"/>
      <w:lvlText w:val="%2."/>
      <w:lvlJc w:val="left"/>
      <w:pPr>
        <w:ind w:left="1440" w:hanging="358"/>
      </w:pPr>
      <w:rPr>
        <w:rFonts w:cs="Times New Roman"/>
      </w:rPr>
    </w:lvl>
    <w:lvl w:ilvl="2" w:tplc="47C84D66">
      <w:start w:val="1"/>
      <w:numFmt w:val="lowerRoman"/>
      <w:lvlText w:val="%3."/>
      <w:lvlJc w:val="right"/>
      <w:pPr>
        <w:ind w:left="2160" w:hanging="178"/>
      </w:pPr>
      <w:rPr>
        <w:rFonts w:cs="Times New Roman"/>
      </w:rPr>
    </w:lvl>
    <w:lvl w:ilvl="3" w:tplc="A34C14B8">
      <w:start w:val="1"/>
      <w:numFmt w:val="decimal"/>
      <w:lvlText w:val="%4."/>
      <w:lvlJc w:val="left"/>
      <w:pPr>
        <w:ind w:left="2880" w:hanging="358"/>
      </w:pPr>
      <w:rPr>
        <w:rFonts w:cs="Times New Roman"/>
      </w:rPr>
    </w:lvl>
    <w:lvl w:ilvl="4" w:tplc="3436537E">
      <w:start w:val="1"/>
      <w:numFmt w:val="lowerLetter"/>
      <w:lvlText w:val="%5."/>
      <w:lvlJc w:val="left"/>
      <w:pPr>
        <w:ind w:left="3600" w:hanging="358"/>
      </w:pPr>
      <w:rPr>
        <w:rFonts w:cs="Times New Roman"/>
      </w:rPr>
    </w:lvl>
    <w:lvl w:ilvl="5" w:tplc="95382A20">
      <w:start w:val="1"/>
      <w:numFmt w:val="lowerRoman"/>
      <w:lvlText w:val="%6."/>
      <w:lvlJc w:val="right"/>
      <w:pPr>
        <w:ind w:left="4320" w:hanging="178"/>
      </w:pPr>
      <w:rPr>
        <w:rFonts w:cs="Times New Roman"/>
      </w:rPr>
    </w:lvl>
    <w:lvl w:ilvl="6" w:tplc="5A920FF8">
      <w:start w:val="1"/>
      <w:numFmt w:val="decimal"/>
      <w:lvlText w:val="%7."/>
      <w:lvlJc w:val="left"/>
      <w:pPr>
        <w:ind w:left="5040" w:hanging="358"/>
      </w:pPr>
      <w:rPr>
        <w:rFonts w:cs="Times New Roman"/>
      </w:rPr>
    </w:lvl>
    <w:lvl w:ilvl="7" w:tplc="13309F10">
      <w:start w:val="1"/>
      <w:numFmt w:val="lowerLetter"/>
      <w:lvlText w:val="%8."/>
      <w:lvlJc w:val="left"/>
      <w:pPr>
        <w:ind w:left="5760" w:hanging="358"/>
      </w:pPr>
      <w:rPr>
        <w:rFonts w:cs="Times New Roman"/>
      </w:rPr>
    </w:lvl>
    <w:lvl w:ilvl="8" w:tplc="D5B8A530">
      <w:start w:val="1"/>
      <w:numFmt w:val="lowerRoman"/>
      <w:lvlText w:val="%9."/>
      <w:lvlJc w:val="right"/>
      <w:pPr>
        <w:ind w:left="6480" w:hanging="178"/>
      </w:pPr>
      <w:rPr>
        <w:rFonts w:cs="Times New Roman"/>
      </w:rPr>
    </w:lvl>
  </w:abstractNum>
  <w:abstractNum w:abstractNumId="115" w15:restartNumberingAfterBreak="0">
    <w:nsid w:val="6C572468"/>
    <w:multiLevelType w:val="hybridMultilevel"/>
    <w:tmpl w:val="E2906750"/>
    <w:lvl w:ilvl="0" w:tplc="842611E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16" w15:restartNumberingAfterBreak="0">
    <w:nsid w:val="6C9F67D7"/>
    <w:multiLevelType w:val="hybridMultilevel"/>
    <w:tmpl w:val="D8E2D396"/>
    <w:lvl w:ilvl="0" w:tplc="C5F25E58">
      <w:start w:val="1"/>
      <w:numFmt w:val="bullet"/>
      <w:lvlText w:val=""/>
      <w:lvlJc w:val="left"/>
      <w:pPr>
        <w:ind w:left="1429" w:hanging="358"/>
      </w:pPr>
      <w:rPr>
        <w:rFonts w:ascii="Symbol" w:hAnsi="Symbol" w:hint="default"/>
      </w:rPr>
    </w:lvl>
    <w:lvl w:ilvl="1" w:tplc="B69ACCEC">
      <w:start w:val="1"/>
      <w:numFmt w:val="bullet"/>
      <w:lvlText w:val="o"/>
      <w:lvlJc w:val="left"/>
      <w:pPr>
        <w:ind w:left="2149" w:hanging="358"/>
      </w:pPr>
      <w:rPr>
        <w:rFonts w:ascii="Courier New" w:hAnsi="Courier New" w:hint="default"/>
      </w:rPr>
    </w:lvl>
    <w:lvl w:ilvl="2" w:tplc="11A8A238">
      <w:start w:val="1"/>
      <w:numFmt w:val="bullet"/>
      <w:lvlText w:val=""/>
      <w:lvlJc w:val="left"/>
      <w:pPr>
        <w:ind w:left="2869" w:hanging="358"/>
      </w:pPr>
      <w:rPr>
        <w:rFonts w:ascii="Wingdings" w:hAnsi="Wingdings" w:hint="default"/>
      </w:rPr>
    </w:lvl>
    <w:lvl w:ilvl="3" w:tplc="C2966808">
      <w:start w:val="1"/>
      <w:numFmt w:val="bullet"/>
      <w:lvlText w:val=""/>
      <w:lvlJc w:val="left"/>
      <w:pPr>
        <w:ind w:left="3589" w:hanging="358"/>
      </w:pPr>
      <w:rPr>
        <w:rFonts w:ascii="Symbol" w:hAnsi="Symbol" w:hint="default"/>
      </w:rPr>
    </w:lvl>
    <w:lvl w:ilvl="4" w:tplc="5D2A8538">
      <w:start w:val="1"/>
      <w:numFmt w:val="bullet"/>
      <w:lvlText w:val="o"/>
      <w:lvlJc w:val="left"/>
      <w:pPr>
        <w:ind w:left="4309" w:hanging="358"/>
      </w:pPr>
      <w:rPr>
        <w:rFonts w:ascii="Courier New" w:hAnsi="Courier New" w:hint="default"/>
      </w:rPr>
    </w:lvl>
    <w:lvl w:ilvl="5" w:tplc="5BB21D08">
      <w:start w:val="1"/>
      <w:numFmt w:val="bullet"/>
      <w:lvlText w:val=""/>
      <w:lvlJc w:val="left"/>
      <w:pPr>
        <w:ind w:left="5029" w:hanging="358"/>
      </w:pPr>
      <w:rPr>
        <w:rFonts w:ascii="Wingdings" w:hAnsi="Wingdings" w:hint="default"/>
      </w:rPr>
    </w:lvl>
    <w:lvl w:ilvl="6" w:tplc="2E862C14">
      <w:start w:val="1"/>
      <w:numFmt w:val="bullet"/>
      <w:lvlText w:val=""/>
      <w:lvlJc w:val="left"/>
      <w:pPr>
        <w:ind w:left="5749" w:hanging="358"/>
      </w:pPr>
      <w:rPr>
        <w:rFonts w:ascii="Symbol" w:hAnsi="Symbol" w:hint="default"/>
      </w:rPr>
    </w:lvl>
    <w:lvl w:ilvl="7" w:tplc="842621B0">
      <w:start w:val="1"/>
      <w:numFmt w:val="bullet"/>
      <w:lvlText w:val="o"/>
      <w:lvlJc w:val="left"/>
      <w:pPr>
        <w:ind w:left="6469" w:hanging="358"/>
      </w:pPr>
      <w:rPr>
        <w:rFonts w:ascii="Courier New" w:hAnsi="Courier New" w:hint="default"/>
      </w:rPr>
    </w:lvl>
    <w:lvl w:ilvl="8" w:tplc="9E4A0ACA">
      <w:start w:val="1"/>
      <w:numFmt w:val="bullet"/>
      <w:lvlText w:val=""/>
      <w:lvlJc w:val="left"/>
      <w:pPr>
        <w:ind w:left="7189" w:hanging="358"/>
      </w:pPr>
      <w:rPr>
        <w:rFonts w:ascii="Wingdings" w:hAnsi="Wingdings" w:hint="default"/>
      </w:rPr>
    </w:lvl>
  </w:abstractNum>
  <w:abstractNum w:abstractNumId="117" w15:restartNumberingAfterBreak="0">
    <w:nsid w:val="6DA05DA3"/>
    <w:multiLevelType w:val="hybridMultilevel"/>
    <w:tmpl w:val="F57091EC"/>
    <w:lvl w:ilvl="0" w:tplc="B8C0376C">
      <w:start w:val="1"/>
      <w:numFmt w:val="decimal"/>
      <w:lvlText w:val="%1."/>
      <w:lvlJc w:val="left"/>
      <w:pPr>
        <w:ind w:left="1287" w:hanging="358"/>
      </w:pPr>
      <w:rPr>
        <w:rFonts w:cs="Times New Roman"/>
      </w:rPr>
    </w:lvl>
    <w:lvl w:ilvl="1" w:tplc="78F2683C">
      <w:start w:val="1"/>
      <w:numFmt w:val="lowerLetter"/>
      <w:lvlText w:val="%2."/>
      <w:lvlJc w:val="left"/>
      <w:pPr>
        <w:ind w:left="2007" w:hanging="358"/>
      </w:pPr>
      <w:rPr>
        <w:rFonts w:cs="Times New Roman"/>
      </w:rPr>
    </w:lvl>
    <w:lvl w:ilvl="2" w:tplc="385A47AC">
      <w:start w:val="1"/>
      <w:numFmt w:val="lowerRoman"/>
      <w:lvlText w:val="%3."/>
      <w:lvlJc w:val="right"/>
      <w:pPr>
        <w:ind w:left="2727" w:hanging="178"/>
      </w:pPr>
      <w:rPr>
        <w:rFonts w:cs="Times New Roman"/>
      </w:rPr>
    </w:lvl>
    <w:lvl w:ilvl="3" w:tplc="26D65A16">
      <w:start w:val="1"/>
      <w:numFmt w:val="decimal"/>
      <w:lvlText w:val="%4."/>
      <w:lvlJc w:val="left"/>
      <w:pPr>
        <w:ind w:left="3447" w:hanging="358"/>
      </w:pPr>
      <w:rPr>
        <w:rFonts w:cs="Times New Roman"/>
      </w:rPr>
    </w:lvl>
    <w:lvl w:ilvl="4" w:tplc="936E67A0">
      <w:start w:val="1"/>
      <w:numFmt w:val="lowerLetter"/>
      <w:lvlText w:val="%5."/>
      <w:lvlJc w:val="left"/>
      <w:pPr>
        <w:ind w:left="4167" w:hanging="358"/>
      </w:pPr>
      <w:rPr>
        <w:rFonts w:cs="Times New Roman"/>
      </w:rPr>
    </w:lvl>
    <w:lvl w:ilvl="5" w:tplc="D6A64AB6">
      <w:start w:val="1"/>
      <w:numFmt w:val="lowerRoman"/>
      <w:lvlText w:val="%6."/>
      <w:lvlJc w:val="right"/>
      <w:pPr>
        <w:ind w:left="4887" w:hanging="178"/>
      </w:pPr>
      <w:rPr>
        <w:rFonts w:cs="Times New Roman"/>
      </w:rPr>
    </w:lvl>
    <w:lvl w:ilvl="6" w:tplc="AD528F74">
      <w:start w:val="1"/>
      <w:numFmt w:val="decimal"/>
      <w:lvlText w:val="%7."/>
      <w:lvlJc w:val="left"/>
      <w:pPr>
        <w:ind w:left="5607" w:hanging="358"/>
      </w:pPr>
      <w:rPr>
        <w:rFonts w:cs="Times New Roman"/>
      </w:rPr>
    </w:lvl>
    <w:lvl w:ilvl="7" w:tplc="F92802EE">
      <w:start w:val="1"/>
      <w:numFmt w:val="lowerLetter"/>
      <w:lvlText w:val="%8."/>
      <w:lvlJc w:val="left"/>
      <w:pPr>
        <w:ind w:left="6327" w:hanging="358"/>
      </w:pPr>
      <w:rPr>
        <w:rFonts w:cs="Times New Roman"/>
      </w:rPr>
    </w:lvl>
    <w:lvl w:ilvl="8" w:tplc="A0627744">
      <w:start w:val="1"/>
      <w:numFmt w:val="lowerRoman"/>
      <w:lvlText w:val="%9."/>
      <w:lvlJc w:val="right"/>
      <w:pPr>
        <w:ind w:left="7047" w:hanging="178"/>
      </w:pPr>
      <w:rPr>
        <w:rFonts w:cs="Times New Roman"/>
      </w:rPr>
    </w:lvl>
  </w:abstractNum>
  <w:abstractNum w:abstractNumId="118" w15:restartNumberingAfterBreak="0">
    <w:nsid w:val="6DFB0C87"/>
    <w:multiLevelType w:val="hybridMultilevel"/>
    <w:tmpl w:val="9DEAB452"/>
    <w:lvl w:ilvl="0" w:tplc="2F02A5A2">
      <w:start w:val="1"/>
      <w:numFmt w:val="decimal"/>
      <w:lvlText w:val="%1."/>
      <w:lvlJc w:val="left"/>
      <w:pPr>
        <w:ind w:left="720" w:hanging="358"/>
      </w:pPr>
      <w:rPr>
        <w:rFonts w:cs="Times New Roman"/>
      </w:rPr>
    </w:lvl>
    <w:lvl w:ilvl="1" w:tplc="E5CC7436">
      <w:start w:val="1"/>
      <w:numFmt w:val="lowerLetter"/>
      <w:lvlText w:val="%2."/>
      <w:lvlJc w:val="left"/>
      <w:pPr>
        <w:ind w:left="1440" w:hanging="358"/>
      </w:pPr>
      <w:rPr>
        <w:rFonts w:cs="Times New Roman"/>
      </w:rPr>
    </w:lvl>
    <w:lvl w:ilvl="2" w:tplc="9E0A4F2C">
      <w:start w:val="1"/>
      <w:numFmt w:val="lowerRoman"/>
      <w:lvlText w:val="%3."/>
      <w:lvlJc w:val="right"/>
      <w:pPr>
        <w:ind w:left="2160" w:hanging="178"/>
      </w:pPr>
      <w:rPr>
        <w:rFonts w:cs="Times New Roman"/>
      </w:rPr>
    </w:lvl>
    <w:lvl w:ilvl="3" w:tplc="D818BFD2">
      <w:start w:val="1"/>
      <w:numFmt w:val="decimal"/>
      <w:lvlText w:val="%4."/>
      <w:lvlJc w:val="left"/>
      <w:pPr>
        <w:ind w:left="2880" w:hanging="358"/>
      </w:pPr>
      <w:rPr>
        <w:rFonts w:cs="Times New Roman"/>
      </w:rPr>
    </w:lvl>
    <w:lvl w:ilvl="4" w:tplc="83003D9E">
      <w:start w:val="1"/>
      <w:numFmt w:val="lowerLetter"/>
      <w:lvlText w:val="%5."/>
      <w:lvlJc w:val="left"/>
      <w:pPr>
        <w:ind w:left="3600" w:hanging="358"/>
      </w:pPr>
      <w:rPr>
        <w:rFonts w:cs="Times New Roman"/>
      </w:rPr>
    </w:lvl>
    <w:lvl w:ilvl="5" w:tplc="2BCA40CC">
      <w:start w:val="1"/>
      <w:numFmt w:val="lowerRoman"/>
      <w:lvlText w:val="%6."/>
      <w:lvlJc w:val="right"/>
      <w:pPr>
        <w:ind w:left="4320" w:hanging="178"/>
      </w:pPr>
      <w:rPr>
        <w:rFonts w:cs="Times New Roman"/>
      </w:rPr>
    </w:lvl>
    <w:lvl w:ilvl="6" w:tplc="394A1D0C">
      <w:start w:val="1"/>
      <w:numFmt w:val="decimal"/>
      <w:lvlText w:val="%7."/>
      <w:lvlJc w:val="left"/>
      <w:pPr>
        <w:ind w:left="5040" w:hanging="358"/>
      </w:pPr>
      <w:rPr>
        <w:rFonts w:cs="Times New Roman"/>
      </w:rPr>
    </w:lvl>
    <w:lvl w:ilvl="7" w:tplc="B5C28B1C">
      <w:start w:val="1"/>
      <w:numFmt w:val="lowerLetter"/>
      <w:lvlText w:val="%8."/>
      <w:lvlJc w:val="left"/>
      <w:pPr>
        <w:ind w:left="5760" w:hanging="358"/>
      </w:pPr>
      <w:rPr>
        <w:rFonts w:cs="Times New Roman"/>
      </w:rPr>
    </w:lvl>
    <w:lvl w:ilvl="8" w:tplc="40489EDC">
      <w:start w:val="1"/>
      <w:numFmt w:val="lowerRoman"/>
      <w:lvlText w:val="%9."/>
      <w:lvlJc w:val="right"/>
      <w:pPr>
        <w:ind w:left="6480" w:hanging="178"/>
      </w:pPr>
      <w:rPr>
        <w:rFonts w:cs="Times New Roman"/>
      </w:rPr>
    </w:lvl>
  </w:abstractNum>
  <w:abstractNum w:abstractNumId="119" w15:restartNumberingAfterBreak="0">
    <w:nsid w:val="6F3801D3"/>
    <w:multiLevelType w:val="hybridMultilevel"/>
    <w:tmpl w:val="706A244E"/>
    <w:lvl w:ilvl="0" w:tplc="426A5B9A">
      <w:start w:val="1"/>
      <w:numFmt w:val="bullet"/>
      <w:lvlText w:val=""/>
      <w:lvlJc w:val="left"/>
      <w:pPr>
        <w:ind w:left="1429" w:hanging="358"/>
      </w:pPr>
      <w:rPr>
        <w:rFonts w:ascii="Symbol" w:hAnsi="Symbol" w:hint="default"/>
      </w:rPr>
    </w:lvl>
    <w:lvl w:ilvl="1" w:tplc="A5D66B90">
      <w:start w:val="1"/>
      <w:numFmt w:val="bullet"/>
      <w:lvlText w:val="o"/>
      <w:lvlJc w:val="left"/>
      <w:pPr>
        <w:ind w:left="2149" w:hanging="358"/>
      </w:pPr>
      <w:rPr>
        <w:rFonts w:ascii="Courier New" w:hAnsi="Courier New" w:cs="Times New Roman" w:hint="default"/>
      </w:rPr>
    </w:lvl>
    <w:lvl w:ilvl="2" w:tplc="F91C3624">
      <w:start w:val="1"/>
      <w:numFmt w:val="bullet"/>
      <w:lvlText w:val=""/>
      <w:lvlJc w:val="left"/>
      <w:pPr>
        <w:ind w:left="2869" w:hanging="358"/>
      </w:pPr>
      <w:rPr>
        <w:rFonts w:ascii="Wingdings" w:hAnsi="Wingdings" w:hint="default"/>
      </w:rPr>
    </w:lvl>
    <w:lvl w:ilvl="3" w:tplc="7B30712C">
      <w:start w:val="1"/>
      <w:numFmt w:val="bullet"/>
      <w:lvlText w:val=""/>
      <w:lvlJc w:val="left"/>
      <w:pPr>
        <w:ind w:left="3589" w:hanging="358"/>
      </w:pPr>
      <w:rPr>
        <w:rFonts w:ascii="Symbol" w:hAnsi="Symbol" w:hint="default"/>
      </w:rPr>
    </w:lvl>
    <w:lvl w:ilvl="4" w:tplc="45B0BF70">
      <w:start w:val="1"/>
      <w:numFmt w:val="bullet"/>
      <w:lvlText w:val="o"/>
      <w:lvlJc w:val="left"/>
      <w:pPr>
        <w:ind w:left="4309" w:hanging="358"/>
      </w:pPr>
      <w:rPr>
        <w:rFonts w:ascii="Courier New" w:hAnsi="Courier New" w:cs="Times New Roman" w:hint="default"/>
      </w:rPr>
    </w:lvl>
    <w:lvl w:ilvl="5" w:tplc="C9F420FE">
      <w:start w:val="1"/>
      <w:numFmt w:val="bullet"/>
      <w:lvlText w:val=""/>
      <w:lvlJc w:val="left"/>
      <w:pPr>
        <w:ind w:left="5029" w:hanging="358"/>
      </w:pPr>
      <w:rPr>
        <w:rFonts w:ascii="Wingdings" w:hAnsi="Wingdings" w:hint="default"/>
      </w:rPr>
    </w:lvl>
    <w:lvl w:ilvl="6" w:tplc="F984BF7C">
      <w:start w:val="1"/>
      <w:numFmt w:val="bullet"/>
      <w:lvlText w:val=""/>
      <w:lvlJc w:val="left"/>
      <w:pPr>
        <w:ind w:left="5749" w:hanging="358"/>
      </w:pPr>
      <w:rPr>
        <w:rFonts w:ascii="Symbol" w:hAnsi="Symbol" w:hint="default"/>
      </w:rPr>
    </w:lvl>
    <w:lvl w:ilvl="7" w:tplc="8A960BD8">
      <w:start w:val="1"/>
      <w:numFmt w:val="bullet"/>
      <w:lvlText w:val="o"/>
      <w:lvlJc w:val="left"/>
      <w:pPr>
        <w:ind w:left="6469" w:hanging="358"/>
      </w:pPr>
      <w:rPr>
        <w:rFonts w:ascii="Courier New" w:hAnsi="Courier New" w:cs="Times New Roman" w:hint="default"/>
      </w:rPr>
    </w:lvl>
    <w:lvl w:ilvl="8" w:tplc="9B1E3B92">
      <w:start w:val="1"/>
      <w:numFmt w:val="bullet"/>
      <w:lvlText w:val=""/>
      <w:lvlJc w:val="left"/>
      <w:pPr>
        <w:ind w:left="7189" w:hanging="358"/>
      </w:pPr>
      <w:rPr>
        <w:rFonts w:ascii="Wingdings" w:hAnsi="Wingdings" w:hint="default"/>
      </w:rPr>
    </w:lvl>
  </w:abstractNum>
  <w:abstractNum w:abstractNumId="120" w15:restartNumberingAfterBreak="0">
    <w:nsid w:val="71657499"/>
    <w:multiLevelType w:val="hybridMultilevel"/>
    <w:tmpl w:val="C4E4F6E2"/>
    <w:lvl w:ilvl="0" w:tplc="D99E2C20">
      <w:start w:val="1"/>
      <w:numFmt w:val="bullet"/>
      <w:lvlText w:val=""/>
      <w:lvlJc w:val="left"/>
      <w:pPr>
        <w:ind w:left="1429" w:hanging="358"/>
      </w:pPr>
      <w:rPr>
        <w:rFonts w:ascii="Symbol" w:hAnsi="Symbol" w:hint="default"/>
      </w:rPr>
    </w:lvl>
    <w:lvl w:ilvl="1" w:tplc="1B668500">
      <w:start w:val="1"/>
      <w:numFmt w:val="bullet"/>
      <w:lvlText w:val="o"/>
      <w:lvlJc w:val="left"/>
      <w:pPr>
        <w:ind w:left="2149" w:hanging="358"/>
      </w:pPr>
      <w:rPr>
        <w:rFonts w:ascii="Courier New" w:hAnsi="Courier New" w:hint="default"/>
      </w:rPr>
    </w:lvl>
    <w:lvl w:ilvl="2" w:tplc="D7902D94">
      <w:start w:val="1"/>
      <w:numFmt w:val="bullet"/>
      <w:lvlText w:val=""/>
      <w:lvlJc w:val="left"/>
      <w:pPr>
        <w:ind w:left="2869" w:hanging="358"/>
      </w:pPr>
      <w:rPr>
        <w:rFonts w:ascii="Wingdings" w:hAnsi="Wingdings" w:hint="default"/>
      </w:rPr>
    </w:lvl>
    <w:lvl w:ilvl="3" w:tplc="F39C6312">
      <w:start w:val="1"/>
      <w:numFmt w:val="bullet"/>
      <w:lvlText w:val=""/>
      <w:lvlJc w:val="left"/>
      <w:pPr>
        <w:ind w:left="3589" w:hanging="358"/>
      </w:pPr>
      <w:rPr>
        <w:rFonts w:ascii="Symbol" w:hAnsi="Symbol" w:hint="default"/>
      </w:rPr>
    </w:lvl>
    <w:lvl w:ilvl="4" w:tplc="31587D50">
      <w:start w:val="1"/>
      <w:numFmt w:val="bullet"/>
      <w:lvlText w:val="o"/>
      <w:lvlJc w:val="left"/>
      <w:pPr>
        <w:ind w:left="4309" w:hanging="358"/>
      </w:pPr>
      <w:rPr>
        <w:rFonts w:ascii="Courier New" w:hAnsi="Courier New" w:hint="default"/>
      </w:rPr>
    </w:lvl>
    <w:lvl w:ilvl="5" w:tplc="D472A300">
      <w:start w:val="1"/>
      <w:numFmt w:val="bullet"/>
      <w:lvlText w:val=""/>
      <w:lvlJc w:val="left"/>
      <w:pPr>
        <w:ind w:left="5029" w:hanging="358"/>
      </w:pPr>
      <w:rPr>
        <w:rFonts w:ascii="Wingdings" w:hAnsi="Wingdings" w:hint="default"/>
      </w:rPr>
    </w:lvl>
    <w:lvl w:ilvl="6" w:tplc="A014AA24">
      <w:start w:val="1"/>
      <w:numFmt w:val="bullet"/>
      <w:lvlText w:val=""/>
      <w:lvlJc w:val="left"/>
      <w:pPr>
        <w:ind w:left="5749" w:hanging="358"/>
      </w:pPr>
      <w:rPr>
        <w:rFonts w:ascii="Symbol" w:hAnsi="Symbol" w:hint="default"/>
      </w:rPr>
    </w:lvl>
    <w:lvl w:ilvl="7" w:tplc="C3B2FF4E">
      <w:start w:val="1"/>
      <w:numFmt w:val="bullet"/>
      <w:lvlText w:val="o"/>
      <w:lvlJc w:val="left"/>
      <w:pPr>
        <w:ind w:left="6469" w:hanging="358"/>
      </w:pPr>
      <w:rPr>
        <w:rFonts w:ascii="Courier New" w:hAnsi="Courier New" w:hint="default"/>
      </w:rPr>
    </w:lvl>
    <w:lvl w:ilvl="8" w:tplc="D910B310">
      <w:start w:val="1"/>
      <w:numFmt w:val="bullet"/>
      <w:lvlText w:val=""/>
      <w:lvlJc w:val="left"/>
      <w:pPr>
        <w:ind w:left="7189" w:hanging="358"/>
      </w:pPr>
      <w:rPr>
        <w:rFonts w:ascii="Wingdings" w:hAnsi="Wingdings" w:hint="default"/>
      </w:rPr>
    </w:lvl>
  </w:abstractNum>
  <w:abstractNum w:abstractNumId="121" w15:restartNumberingAfterBreak="0">
    <w:nsid w:val="72A449CC"/>
    <w:multiLevelType w:val="hybridMultilevel"/>
    <w:tmpl w:val="D19CF12E"/>
    <w:lvl w:ilvl="0" w:tplc="0419000F">
      <w:start w:val="1"/>
      <w:numFmt w:val="decimal"/>
      <w:lvlText w:val="%1."/>
      <w:lvlJc w:val="left"/>
      <w:pPr>
        <w:tabs>
          <w:tab w:val="num" w:pos="720"/>
        </w:tabs>
        <w:ind w:left="720" w:hanging="360"/>
      </w:pPr>
      <w:rPr>
        <w:rFonts w:hint="default"/>
      </w:rPr>
    </w:lvl>
    <w:lvl w:ilvl="1" w:tplc="684A650A">
      <w:start w:val="1"/>
      <w:numFmt w:val="bullet"/>
      <w:lvlText w:val=""/>
      <w:lvlJc w:val="left"/>
      <w:pPr>
        <w:tabs>
          <w:tab w:val="num" w:pos="1440"/>
        </w:tabs>
        <w:ind w:left="1440" w:hanging="360"/>
      </w:pPr>
      <w:rPr>
        <w:rFonts w:ascii="Wingdings" w:hAnsi="Wingdings" w:cs="Wingdings" w:hint="default"/>
      </w:rPr>
    </w:lvl>
    <w:lvl w:ilvl="2" w:tplc="B8C85C88">
      <w:start w:val="1"/>
      <w:numFmt w:val="bullet"/>
      <w:lvlText w:val=""/>
      <w:lvlJc w:val="left"/>
      <w:pPr>
        <w:tabs>
          <w:tab w:val="num" w:pos="2160"/>
        </w:tabs>
        <w:ind w:left="2160" w:hanging="360"/>
      </w:pPr>
      <w:rPr>
        <w:rFonts w:ascii="Wingdings" w:hAnsi="Wingdings" w:cs="Wingdings" w:hint="default"/>
      </w:rPr>
    </w:lvl>
    <w:lvl w:ilvl="3" w:tplc="5290BB4C">
      <w:start w:val="1"/>
      <w:numFmt w:val="bullet"/>
      <w:lvlText w:val=""/>
      <w:lvlJc w:val="left"/>
      <w:pPr>
        <w:tabs>
          <w:tab w:val="num" w:pos="2880"/>
        </w:tabs>
        <w:ind w:left="2880" w:hanging="360"/>
      </w:pPr>
      <w:rPr>
        <w:rFonts w:ascii="Wingdings" w:hAnsi="Wingdings" w:cs="Wingdings" w:hint="default"/>
      </w:rPr>
    </w:lvl>
    <w:lvl w:ilvl="4" w:tplc="CD1ADB2C">
      <w:start w:val="1"/>
      <w:numFmt w:val="bullet"/>
      <w:lvlText w:val=""/>
      <w:lvlJc w:val="left"/>
      <w:pPr>
        <w:tabs>
          <w:tab w:val="num" w:pos="3600"/>
        </w:tabs>
        <w:ind w:left="3600" w:hanging="360"/>
      </w:pPr>
      <w:rPr>
        <w:rFonts w:ascii="Wingdings" w:hAnsi="Wingdings" w:cs="Wingdings" w:hint="default"/>
      </w:rPr>
    </w:lvl>
    <w:lvl w:ilvl="5" w:tplc="A2FACD56">
      <w:start w:val="1"/>
      <w:numFmt w:val="bullet"/>
      <w:lvlText w:val=""/>
      <w:lvlJc w:val="left"/>
      <w:pPr>
        <w:tabs>
          <w:tab w:val="num" w:pos="4320"/>
        </w:tabs>
        <w:ind w:left="4320" w:hanging="360"/>
      </w:pPr>
      <w:rPr>
        <w:rFonts w:ascii="Wingdings" w:hAnsi="Wingdings" w:cs="Wingdings" w:hint="default"/>
      </w:rPr>
    </w:lvl>
    <w:lvl w:ilvl="6" w:tplc="F4260046">
      <w:start w:val="1"/>
      <w:numFmt w:val="bullet"/>
      <w:lvlText w:val=""/>
      <w:lvlJc w:val="left"/>
      <w:pPr>
        <w:tabs>
          <w:tab w:val="num" w:pos="5040"/>
        </w:tabs>
        <w:ind w:left="5040" w:hanging="360"/>
      </w:pPr>
      <w:rPr>
        <w:rFonts w:ascii="Wingdings" w:hAnsi="Wingdings" w:cs="Wingdings" w:hint="default"/>
      </w:rPr>
    </w:lvl>
    <w:lvl w:ilvl="7" w:tplc="D10A15BC">
      <w:start w:val="1"/>
      <w:numFmt w:val="bullet"/>
      <w:lvlText w:val=""/>
      <w:lvlJc w:val="left"/>
      <w:pPr>
        <w:tabs>
          <w:tab w:val="num" w:pos="5760"/>
        </w:tabs>
        <w:ind w:left="5760" w:hanging="360"/>
      </w:pPr>
      <w:rPr>
        <w:rFonts w:ascii="Wingdings" w:hAnsi="Wingdings" w:cs="Wingdings" w:hint="default"/>
      </w:rPr>
    </w:lvl>
    <w:lvl w:ilvl="8" w:tplc="3872FF8A">
      <w:start w:val="1"/>
      <w:numFmt w:val="bullet"/>
      <w:lvlText w:val=""/>
      <w:lvlJc w:val="left"/>
      <w:pPr>
        <w:tabs>
          <w:tab w:val="num" w:pos="6480"/>
        </w:tabs>
        <w:ind w:left="6480" w:hanging="360"/>
      </w:pPr>
      <w:rPr>
        <w:rFonts w:ascii="Wingdings" w:hAnsi="Wingdings" w:cs="Wingdings" w:hint="default"/>
      </w:rPr>
    </w:lvl>
  </w:abstractNum>
  <w:abstractNum w:abstractNumId="122" w15:restartNumberingAfterBreak="0">
    <w:nsid w:val="7450630D"/>
    <w:multiLevelType w:val="hybridMultilevel"/>
    <w:tmpl w:val="75BAC364"/>
    <w:lvl w:ilvl="0" w:tplc="561E4C68">
      <w:start w:val="1"/>
      <w:numFmt w:val="decimal"/>
      <w:lvlText w:val="%1."/>
      <w:lvlJc w:val="left"/>
      <w:pPr>
        <w:ind w:left="1069" w:hanging="359"/>
      </w:pPr>
    </w:lvl>
    <w:lvl w:ilvl="1" w:tplc="C65C2C98">
      <w:start w:val="1"/>
      <w:numFmt w:val="lowerLetter"/>
      <w:lvlText w:val="%2."/>
      <w:lvlJc w:val="left"/>
      <w:pPr>
        <w:ind w:left="1789" w:hanging="359"/>
      </w:pPr>
    </w:lvl>
    <w:lvl w:ilvl="2" w:tplc="1E5AA7B8">
      <w:start w:val="1"/>
      <w:numFmt w:val="lowerRoman"/>
      <w:lvlText w:val="%3."/>
      <w:lvlJc w:val="right"/>
      <w:pPr>
        <w:ind w:left="2509" w:hanging="179"/>
      </w:pPr>
    </w:lvl>
    <w:lvl w:ilvl="3" w:tplc="EB909480">
      <w:start w:val="1"/>
      <w:numFmt w:val="decimal"/>
      <w:lvlText w:val="%4."/>
      <w:lvlJc w:val="left"/>
      <w:pPr>
        <w:ind w:left="3229" w:hanging="359"/>
      </w:pPr>
    </w:lvl>
    <w:lvl w:ilvl="4" w:tplc="6156A294">
      <w:start w:val="1"/>
      <w:numFmt w:val="lowerLetter"/>
      <w:lvlText w:val="%5."/>
      <w:lvlJc w:val="left"/>
      <w:pPr>
        <w:ind w:left="3949" w:hanging="359"/>
      </w:pPr>
    </w:lvl>
    <w:lvl w:ilvl="5" w:tplc="75188810">
      <w:start w:val="1"/>
      <w:numFmt w:val="lowerRoman"/>
      <w:lvlText w:val="%6."/>
      <w:lvlJc w:val="right"/>
      <w:pPr>
        <w:ind w:left="4669" w:hanging="179"/>
      </w:pPr>
    </w:lvl>
    <w:lvl w:ilvl="6" w:tplc="5372ACB2">
      <w:start w:val="1"/>
      <w:numFmt w:val="decimal"/>
      <w:lvlText w:val="%7."/>
      <w:lvlJc w:val="left"/>
      <w:pPr>
        <w:ind w:left="5389" w:hanging="359"/>
      </w:pPr>
    </w:lvl>
    <w:lvl w:ilvl="7" w:tplc="B8A64CAA">
      <w:start w:val="1"/>
      <w:numFmt w:val="lowerLetter"/>
      <w:lvlText w:val="%8."/>
      <w:lvlJc w:val="left"/>
      <w:pPr>
        <w:ind w:left="6109" w:hanging="359"/>
      </w:pPr>
    </w:lvl>
    <w:lvl w:ilvl="8" w:tplc="A554248C">
      <w:start w:val="1"/>
      <w:numFmt w:val="lowerRoman"/>
      <w:lvlText w:val="%9."/>
      <w:lvlJc w:val="right"/>
      <w:pPr>
        <w:ind w:left="6829" w:hanging="179"/>
      </w:pPr>
    </w:lvl>
  </w:abstractNum>
  <w:abstractNum w:abstractNumId="123" w15:restartNumberingAfterBreak="0">
    <w:nsid w:val="7503491B"/>
    <w:multiLevelType w:val="hybridMultilevel"/>
    <w:tmpl w:val="B59A845C"/>
    <w:lvl w:ilvl="0" w:tplc="3496CF94">
      <w:start w:val="1"/>
      <w:numFmt w:val="decimal"/>
      <w:lvlText w:val="%1."/>
      <w:lvlJc w:val="left"/>
      <w:pPr>
        <w:ind w:left="1069" w:hanging="358"/>
      </w:pPr>
      <w:rPr>
        <w:rFonts w:cs="Times New Roman"/>
      </w:rPr>
    </w:lvl>
    <w:lvl w:ilvl="1" w:tplc="F2AEC5AA">
      <w:start w:val="1"/>
      <w:numFmt w:val="lowerLetter"/>
      <w:lvlText w:val="%2."/>
      <w:lvlJc w:val="left"/>
      <w:pPr>
        <w:ind w:left="1789" w:hanging="358"/>
      </w:pPr>
      <w:rPr>
        <w:rFonts w:cs="Times New Roman"/>
      </w:rPr>
    </w:lvl>
    <w:lvl w:ilvl="2" w:tplc="9AE49760">
      <w:start w:val="1"/>
      <w:numFmt w:val="lowerRoman"/>
      <w:lvlText w:val="%3."/>
      <w:lvlJc w:val="right"/>
      <w:pPr>
        <w:ind w:left="2509" w:hanging="178"/>
      </w:pPr>
      <w:rPr>
        <w:rFonts w:cs="Times New Roman"/>
      </w:rPr>
    </w:lvl>
    <w:lvl w:ilvl="3" w:tplc="D0445426">
      <w:start w:val="1"/>
      <w:numFmt w:val="decimal"/>
      <w:lvlText w:val="%4."/>
      <w:lvlJc w:val="left"/>
      <w:pPr>
        <w:ind w:left="3229" w:hanging="358"/>
      </w:pPr>
      <w:rPr>
        <w:rFonts w:cs="Times New Roman"/>
      </w:rPr>
    </w:lvl>
    <w:lvl w:ilvl="4" w:tplc="986C00A2">
      <w:start w:val="1"/>
      <w:numFmt w:val="lowerLetter"/>
      <w:lvlText w:val="%5."/>
      <w:lvlJc w:val="left"/>
      <w:pPr>
        <w:ind w:left="3949" w:hanging="358"/>
      </w:pPr>
      <w:rPr>
        <w:rFonts w:cs="Times New Roman"/>
      </w:rPr>
    </w:lvl>
    <w:lvl w:ilvl="5" w:tplc="AF6AE17A">
      <w:start w:val="1"/>
      <w:numFmt w:val="lowerRoman"/>
      <w:lvlText w:val="%6."/>
      <w:lvlJc w:val="right"/>
      <w:pPr>
        <w:ind w:left="4669" w:hanging="178"/>
      </w:pPr>
      <w:rPr>
        <w:rFonts w:cs="Times New Roman"/>
      </w:rPr>
    </w:lvl>
    <w:lvl w:ilvl="6" w:tplc="8418F654">
      <w:start w:val="1"/>
      <w:numFmt w:val="decimal"/>
      <w:lvlText w:val="%7."/>
      <w:lvlJc w:val="left"/>
      <w:pPr>
        <w:ind w:left="5389" w:hanging="358"/>
      </w:pPr>
      <w:rPr>
        <w:rFonts w:cs="Times New Roman"/>
      </w:rPr>
    </w:lvl>
    <w:lvl w:ilvl="7" w:tplc="B08EC30C">
      <w:start w:val="1"/>
      <w:numFmt w:val="lowerLetter"/>
      <w:lvlText w:val="%8."/>
      <w:lvlJc w:val="left"/>
      <w:pPr>
        <w:ind w:left="6109" w:hanging="358"/>
      </w:pPr>
      <w:rPr>
        <w:rFonts w:cs="Times New Roman"/>
      </w:rPr>
    </w:lvl>
    <w:lvl w:ilvl="8" w:tplc="1AF8052A">
      <w:start w:val="1"/>
      <w:numFmt w:val="lowerRoman"/>
      <w:lvlText w:val="%9."/>
      <w:lvlJc w:val="right"/>
      <w:pPr>
        <w:ind w:left="6829" w:hanging="178"/>
      </w:pPr>
      <w:rPr>
        <w:rFonts w:cs="Times New Roman"/>
      </w:rPr>
    </w:lvl>
  </w:abstractNum>
  <w:abstractNum w:abstractNumId="124" w15:restartNumberingAfterBreak="0">
    <w:nsid w:val="751442DD"/>
    <w:multiLevelType w:val="hybridMultilevel"/>
    <w:tmpl w:val="B5C6F7F4"/>
    <w:lvl w:ilvl="0" w:tplc="07FCA340">
      <w:start w:val="1"/>
      <w:numFmt w:val="decimal"/>
      <w:suff w:val="space"/>
      <w:lvlText w:val="%1."/>
      <w:lvlJc w:val="left"/>
      <w:pPr>
        <w:ind w:left="1429" w:hanging="358"/>
      </w:pPr>
      <w:rPr>
        <w:rFonts w:cs="Times New Roman" w:hint="default"/>
        <w:sz w:val="24"/>
        <w:szCs w:val="24"/>
      </w:rPr>
    </w:lvl>
    <w:lvl w:ilvl="1" w:tplc="36000F5A">
      <w:start w:val="1"/>
      <w:numFmt w:val="lowerLetter"/>
      <w:lvlText w:val="%2."/>
      <w:lvlJc w:val="left"/>
      <w:pPr>
        <w:ind w:left="2149" w:hanging="358"/>
      </w:pPr>
      <w:rPr>
        <w:rFonts w:cs="Times New Roman"/>
      </w:rPr>
    </w:lvl>
    <w:lvl w:ilvl="2" w:tplc="3580F6FE">
      <w:start w:val="1"/>
      <w:numFmt w:val="lowerRoman"/>
      <w:lvlText w:val="%3."/>
      <w:lvlJc w:val="right"/>
      <w:pPr>
        <w:ind w:left="2869" w:hanging="178"/>
      </w:pPr>
      <w:rPr>
        <w:rFonts w:cs="Times New Roman"/>
      </w:rPr>
    </w:lvl>
    <w:lvl w:ilvl="3" w:tplc="369EA07A">
      <w:start w:val="1"/>
      <w:numFmt w:val="decimal"/>
      <w:lvlText w:val="%4."/>
      <w:lvlJc w:val="left"/>
      <w:pPr>
        <w:ind w:left="3589" w:hanging="358"/>
      </w:pPr>
      <w:rPr>
        <w:rFonts w:cs="Times New Roman"/>
      </w:rPr>
    </w:lvl>
    <w:lvl w:ilvl="4" w:tplc="F5764C42">
      <w:start w:val="1"/>
      <w:numFmt w:val="lowerLetter"/>
      <w:lvlText w:val="%5."/>
      <w:lvlJc w:val="left"/>
      <w:pPr>
        <w:ind w:left="4309" w:hanging="358"/>
      </w:pPr>
      <w:rPr>
        <w:rFonts w:cs="Times New Roman"/>
      </w:rPr>
    </w:lvl>
    <w:lvl w:ilvl="5" w:tplc="F90AA952">
      <w:start w:val="1"/>
      <w:numFmt w:val="lowerRoman"/>
      <w:lvlText w:val="%6."/>
      <w:lvlJc w:val="right"/>
      <w:pPr>
        <w:ind w:left="5029" w:hanging="178"/>
      </w:pPr>
      <w:rPr>
        <w:rFonts w:cs="Times New Roman"/>
      </w:rPr>
    </w:lvl>
    <w:lvl w:ilvl="6" w:tplc="1F263482">
      <w:start w:val="1"/>
      <w:numFmt w:val="decimal"/>
      <w:lvlText w:val="%7."/>
      <w:lvlJc w:val="left"/>
      <w:pPr>
        <w:ind w:left="5749" w:hanging="358"/>
      </w:pPr>
      <w:rPr>
        <w:rFonts w:cs="Times New Roman"/>
      </w:rPr>
    </w:lvl>
    <w:lvl w:ilvl="7" w:tplc="DA58197E">
      <w:start w:val="1"/>
      <w:numFmt w:val="lowerLetter"/>
      <w:lvlText w:val="%8."/>
      <w:lvlJc w:val="left"/>
      <w:pPr>
        <w:ind w:left="6469" w:hanging="358"/>
      </w:pPr>
      <w:rPr>
        <w:rFonts w:cs="Times New Roman"/>
      </w:rPr>
    </w:lvl>
    <w:lvl w:ilvl="8" w:tplc="40BA9EC4">
      <w:start w:val="1"/>
      <w:numFmt w:val="lowerRoman"/>
      <w:lvlText w:val="%9."/>
      <w:lvlJc w:val="right"/>
      <w:pPr>
        <w:ind w:left="7189" w:hanging="178"/>
      </w:pPr>
      <w:rPr>
        <w:rFonts w:cs="Times New Roman"/>
      </w:rPr>
    </w:lvl>
  </w:abstractNum>
  <w:abstractNum w:abstractNumId="125" w15:restartNumberingAfterBreak="0">
    <w:nsid w:val="759701E2"/>
    <w:multiLevelType w:val="hybridMultilevel"/>
    <w:tmpl w:val="91D882A0"/>
    <w:lvl w:ilvl="0" w:tplc="698A483C">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26" w15:restartNumberingAfterBreak="0">
    <w:nsid w:val="76835F13"/>
    <w:multiLevelType w:val="hybridMultilevel"/>
    <w:tmpl w:val="DC425FE6"/>
    <w:lvl w:ilvl="0" w:tplc="7E563D26">
      <w:start w:val="1"/>
      <w:numFmt w:val="decimal"/>
      <w:lvlText w:val="%1."/>
      <w:lvlJc w:val="left"/>
      <w:pPr>
        <w:ind w:left="360" w:hanging="360"/>
      </w:pPr>
      <w:rPr>
        <w:rFonts w:cs="Times New Roman"/>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7" w15:restartNumberingAfterBreak="0">
    <w:nsid w:val="77D905B8"/>
    <w:multiLevelType w:val="hybridMultilevel"/>
    <w:tmpl w:val="46FA50C8"/>
    <w:lvl w:ilvl="0" w:tplc="7A5E0884">
      <w:start w:val="1"/>
      <w:numFmt w:val="decimal"/>
      <w:lvlText w:val="%1."/>
      <w:lvlJc w:val="left"/>
      <w:pPr>
        <w:ind w:left="360" w:hanging="358"/>
      </w:pPr>
      <w:rPr>
        <w:rFonts w:cs="Times New Roman"/>
      </w:rPr>
    </w:lvl>
    <w:lvl w:ilvl="1" w:tplc="EFE0FC8E">
      <w:start w:val="1"/>
      <w:numFmt w:val="lowerLetter"/>
      <w:lvlText w:val="%2."/>
      <w:lvlJc w:val="left"/>
      <w:pPr>
        <w:ind w:left="1080" w:hanging="358"/>
      </w:pPr>
      <w:rPr>
        <w:rFonts w:cs="Times New Roman"/>
      </w:rPr>
    </w:lvl>
    <w:lvl w:ilvl="2" w:tplc="961AE130">
      <w:start w:val="1"/>
      <w:numFmt w:val="lowerRoman"/>
      <w:lvlText w:val="%3."/>
      <w:lvlJc w:val="right"/>
      <w:pPr>
        <w:ind w:left="1800" w:hanging="178"/>
      </w:pPr>
      <w:rPr>
        <w:rFonts w:cs="Times New Roman"/>
      </w:rPr>
    </w:lvl>
    <w:lvl w:ilvl="3" w:tplc="92D45232">
      <w:start w:val="1"/>
      <w:numFmt w:val="decimal"/>
      <w:lvlText w:val="%4."/>
      <w:lvlJc w:val="left"/>
      <w:pPr>
        <w:ind w:left="2520" w:hanging="358"/>
      </w:pPr>
      <w:rPr>
        <w:rFonts w:cs="Times New Roman"/>
      </w:rPr>
    </w:lvl>
    <w:lvl w:ilvl="4" w:tplc="C19E6E0A">
      <w:start w:val="1"/>
      <w:numFmt w:val="lowerLetter"/>
      <w:lvlText w:val="%5."/>
      <w:lvlJc w:val="left"/>
      <w:pPr>
        <w:ind w:left="3240" w:hanging="358"/>
      </w:pPr>
      <w:rPr>
        <w:rFonts w:cs="Times New Roman"/>
      </w:rPr>
    </w:lvl>
    <w:lvl w:ilvl="5" w:tplc="F5FEBB5E">
      <w:start w:val="1"/>
      <w:numFmt w:val="lowerRoman"/>
      <w:lvlText w:val="%6."/>
      <w:lvlJc w:val="right"/>
      <w:pPr>
        <w:ind w:left="3960" w:hanging="178"/>
      </w:pPr>
      <w:rPr>
        <w:rFonts w:cs="Times New Roman"/>
      </w:rPr>
    </w:lvl>
    <w:lvl w:ilvl="6" w:tplc="78165E88">
      <w:start w:val="1"/>
      <w:numFmt w:val="decimal"/>
      <w:lvlText w:val="%7."/>
      <w:lvlJc w:val="left"/>
      <w:pPr>
        <w:ind w:left="4680" w:hanging="358"/>
      </w:pPr>
      <w:rPr>
        <w:rFonts w:cs="Times New Roman"/>
      </w:rPr>
    </w:lvl>
    <w:lvl w:ilvl="7" w:tplc="F6DE36FE">
      <w:start w:val="1"/>
      <w:numFmt w:val="lowerLetter"/>
      <w:lvlText w:val="%8."/>
      <w:lvlJc w:val="left"/>
      <w:pPr>
        <w:ind w:left="5400" w:hanging="358"/>
      </w:pPr>
      <w:rPr>
        <w:rFonts w:cs="Times New Roman"/>
      </w:rPr>
    </w:lvl>
    <w:lvl w:ilvl="8" w:tplc="2FF4083E">
      <w:start w:val="1"/>
      <w:numFmt w:val="lowerRoman"/>
      <w:lvlText w:val="%9."/>
      <w:lvlJc w:val="right"/>
      <w:pPr>
        <w:ind w:left="6120" w:hanging="178"/>
      </w:pPr>
      <w:rPr>
        <w:rFonts w:cs="Times New Roman"/>
      </w:rPr>
    </w:lvl>
  </w:abstractNum>
  <w:abstractNum w:abstractNumId="128" w15:restartNumberingAfterBreak="0">
    <w:nsid w:val="78996861"/>
    <w:multiLevelType w:val="hybridMultilevel"/>
    <w:tmpl w:val="5E14B1F4"/>
    <w:lvl w:ilvl="0" w:tplc="557E2346">
      <w:start w:val="1"/>
      <w:numFmt w:val="decimal"/>
      <w:suff w:val="space"/>
      <w:lvlText w:val="%1."/>
      <w:lvlJc w:val="left"/>
    </w:lvl>
    <w:lvl w:ilvl="1" w:tplc="8BB40F8A">
      <w:start w:val="1"/>
      <w:numFmt w:val="bullet"/>
      <w:lvlText w:val="o"/>
      <w:lvlJc w:val="left"/>
      <w:pPr>
        <w:ind w:left="1440" w:hanging="359"/>
      </w:pPr>
      <w:rPr>
        <w:rFonts w:ascii="Courier New" w:eastAsia="Courier New" w:hAnsi="Courier New" w:cs="Courier New" w:hint="default"/>
      </w:rPr>
    </w:lvl>
    <w:lvl w:ilvl="2" w:tplc="725CA7F4">
      <w:start w:val="1"/>
      <w:numFmt w:val="bullet"/>
      <w:lvlText w:val="§"/>
      <w:lvlJc w:val="left"/>
      <w:pPr>
        <w:ind w:left="2160" w:hanging="359"/>
      </w:pPr>
      <w:rPr>
        <w:rFonts w:ascii="Wingdings" w:eastAsia="Wingdings" w:hAnsi="Wingdings" w:cs="Wingdings" w:hint="default"/>
      </w:rPr>
    </w:lvl>
    <w:lvl w:ilvl="3" w:tplc="AF504698">
      <w:start w:val="1"/>
      <w:numFmt w:val="bullet"/>
      <w:lvlText w:val="·"/>
      <w:lvlJc w:val="left"/>
      <w:pPr>
        <w:ind w:left="2880" w:hanging="359"/>
      </w:pPr>
      <w:rPr>
        <w:rFonts w:ascii="Symbol" w:eastAsia="Symbol" w:hAnsi="Symbol" w:cs="Symbol" w:hint="default"/>
      </w:rPr>
    </w:lvl>
    <w:lvl w:ilvl="4" w:tplc="C3E4B350">
      <w:start w:val="1"/>
      <w:numFmt w:val="bullet"/>
      <w:lvlText w:val="o"/>
      <w:lvlJc w:val="left"/>
      <w:pPr>
        <w:ind w:left="3600" w:hanging="359"/>
      </w:pPr>
      <w:rPr>
        <w:rFonts w:ascii="Courier New" w:eastAsia="Courier New" w:hAnsi="Courier New" w:cs="Courier New" w:hint="default"/>
      </w:rPr>
    </w:lvl>
    <w:lvl w:ilvl="5" w:tplc="85381DBA">
      <w:start w:val="1"/>
      <w:numFmt w:val="bullet"/>
      <w:lvlText w:val="§"/>
      <w:lvlJc w:val="left"/>
      <w:pPr>
        <w:ind w:left="4320" w:hanging="359"/>
      </w:pPr>
      <w:rPr>
        <w:rFonts w:ascii="Wingdings" w:eastAsia="Wingdings" w:hAnsi="Wingdings" w:cs="Wingdings" w:hint="default"/>
      </w:rPr>
    </w:lvl>
    <w:lvl w:ilvl="6" w:tplc="B91C1AE0">
      <w:start w:val="1"/>
      <w:numFmt w:val="bullet"/>
      <w:lvlText w:val="·"/>
      <w:lvlJc w:val="left"/>
      <w:pPr>
        <w:ind w:left="5040" w:hanging="359"/>
      </w:pPr>
      <w:rPr>
        <w:rFonts w:ascii="Symbol" w:eastAsia="Symbol" w:hAnsi="Symbol" w:cs="Symbol" w:hint="default"/>
      </w:rPr>
    </w:lvl>
    <w:lvl w:ilvl="7" w:tplc="4E20B386">
      <w:start w:val="1"/>
      <w:numFmt w:val="bullet"/>
      <w:lvlText w:val="o"/>
      <w:lvlJc w:val="left"/>
      <w:pPr>
        <w:ind w:left="5760" w:hanging="359"/>
      </w:pPr>
      <w:rPr>
        <w:rFonts w:ascii="Courier New" w:eastAsia="Courier New" w:hAnsi="Courier New" w:cs="Courier New" w:hint="default"/>
      </w:rPr>
    </w:lvl>
    <w:lvl w:ilvl="8" w:tplc="8AB6123A">
      <w:start w:val="1"/>
      <w:numFmt w:val="bullet"/>
      <w:lvlText w:val="§"/>
      <w:lvlJc w:val="left"/>
      <w:pPr>
        <w:ind w:left="6480" w:hanging="359"/>
      </w:pPr>
      <w:rPr>
        <w:rFonts w:ascii="Wingdings" w:eastAsia="Wingdings" w:hAnsi="Wingdings" w:cs="Wingdings" w:hint="default"/>
      </w:rPr>
    </w:lvl>
  </w:abstractNum>
  <w:abstractNum w:abstractNumId="129" w15:restartNumberingAfterBreak="0">
    <w:nsid w:val="78FE0002"/>
    <w:multiLevelType w:val="hybridMultilevel"/>
    <w:tmpl w:val="E92CEBDA"/>
    <w:lvl w:ilvl="0" w:tplc="A86E2E2C">
      <w:start w:val="1"/>
      <w:numFmt w:val="bullet"/>
      <w:lvlText w:val="-"/>
      <w:lvlJc w:val="left"/>
      <w:pPr>
        <w:ind w:left="1429" w:hanging="358"/>
      </w:pPr>
      <w:rPr>
        <w:rFonts w:ascii="Times New Roman" w:hAnsi="Times New Roman" w:cs="Times New Roman" w:hint="default"/>
      </w:rPr>
    </w:lvl>
    <w:lvl w:ilvl="1" w:tplc="CDB2CC1C">
      <w:start w:val="1"/>
      <w:numFmt w:val="bullet"/>
      <w:lvlText w:val="o"/>
      <w:lvlJc w:val="left"/>
      <w:pPr>
        <w:ind w:left="2149" w:hanging="358"/>
      </w:pPr>
      <w:rPr>
        <w:rFonts w:ascii="Courier New" w:hAnsi="Courier New" w:cs="Courier New" w:hint="default"/>
      </w:rPr>
    </w:lvl>
    <w:lvl w:ilvl="2" w:tplc="0186F328">
      <w:start w:val="1"/>
      <w:numFmt w:val="bullet"/>
      <w:lvlText w:val=""/>
      <w:lvlJc w:val="left"/>
      <w:pPr>
        <w:ind w:left="2869" w:hanging="358"/>
      </w:pPr>
      <w:rPr>
        <w:rFonts w:ascii="Wingdings" w:hAnsi="Wingdings" w:hint="default"/>
      </w:rPr>
    </w:lvl>
    <w:lvl w:ilvl="3" w:tplc="E5E6570E">
      <w:start w:val="1"/>
      <w:numFmt w:val="bullet"/>
      <w:lvlText w:val=""/>
      <w:lvlJc w:val="left"/>
      <w:pPr>
        <w:ind w:left="3589" w:hanging="358"/>
      </w:pPr>
      <w:rPr>
        <w:rFonts w:ascii="Symbol" w:hAnsi="Symbol" w:hint="default"/>
      </w:rPr>
    </w:lvl>
    <w:lvl w:ilvl="4" w:tplc="50B00570">
      <w:start w:val="1"/>
      <w:numFmt w:val="bullet"/>
      <w:lvlText w:val="o"/>
      <w:lvlJc w:val="left"/>
      <w:pPr>
        <w:ind w:left="4309" w:hanging="358"/>
      </w:pPr>
      <w:rPr>
        <w:rFonts w:ascii="Courier New" w:hAnsi="Courier New" w:cs="Courier New" w:hint="default"/>
      </w:rPr>
    </w:lvl>
    <w:lvl w:ilvl="5" w:tplc="DBEC9C82">
      <w:start w:val="1"/>
      <w:numFmt w:val="bullet"/>
      <w:lvlText w:val=""/>
      <w:lvlJc w:val="left"/>
      <w:pPr>
        <w:ind w:left="5029" w:hanging="358"/>
      </w:pPr>
      <w:rPr>
        <w:rFonts w:ascii="Wingdings" w:hAnsi="Wingdings" w:hint="default"/>
      </w:rPr>
    </w:lvl>
    <w:lvl w:ilvl="6" w:tplc="A2C051B8">
      <w:start w:val="1"/>
      <w:numFmt w:val="bullet"/>
      <w:lvlText w:val=""/>
      <w:lvlJc w:val="left"/>
      <w:pPr>
        <w:ind w:left="5749" w:hanging="358"/>
      </w:pPr>
      <w:rPr>
        <w:rFonts w:ascii="Symbol" w:hAnsi="Symbol" w:hint="default"/>
      </w:rPr>
    </w:lvl>
    <w:lvl w:ilvl="7" w:tplc="666EE5C2">
      <w:start w:val="1"/>
      <w:numFmt w:val="bullet"/>
      <w:lvlText w:val="o"/>
      <w:lvlJc w:val="left"/>
      <w:pPr>
        <w:ind w:left="6469" w:hanging="358"/>
      </w:pPr>
      <w:rPr>
        <w:rFonts w:ascii="Courier New" w:hAnsi="Courier New" w:cs="Courier New" w:hint="default"/>
      </w:rPr>
    </w:lvl>
    <w:lvl w:ilvl="8" w:tplc="C55CF884">
      <w:start w:val="1"/>
      <w:numFmt w:val="bullet"/>
      <w:lvlText w:val=""/>
      <w:lvlJc w:val="left"/>
      <w:pPr>
        <w:ind w:left="7189" w:hanging="358"/>
      </w:pPr>
      <w:rPr>
        <w:rFonts w:ascii="Wingdings" w:hAnsi="Wingdings" w:hint="default"/>
      </w:rPr>
    </w:lvl>
  </w:abstractNum>
  <w:abstractNum w:abstractNumId="130" w15:restartNumberingAfterBreak="0">
    <w:nsid w:val="79F34239"/>
    <w:multiLevelType w:val="hybridMultilevel"/>
    <w:tmpl w:val="A2C870A4"/>
    <w:lvl w:ilvl="0" w:tplc="B39E4E48">
      <w:start w:val="1"/>
      <w:numFmt w:val="decimal"/>
      <w:lvlText w:val="%1."/>
      <w:lvlJc w:val="left"/>
      <w:pPr>
        <w:ind w:left="720" w:hanging="360"/>
      </w:pPr>
      <w:rPr>
        <w:rFonts w:cs="Times New Roman" w:hint="default"/>
        <w:color w:val="000000"/>
        <w:sz w:val="27"/>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1" w15:restartNumberingAfterBreak="0">
    <w:nsid w:val="7AE97CC7"/>
    <w:multiLevelType w:val="hybridMultilevel"/>
    <w:tmpl w:val="DF067030"/>
    <w:lvl w:ilvl="0" w:tplc="27868B2E">
      <w:start w:val="1"/>
      <w:numFmt w:val="decimal"/>
      <w:lvlText w:val="%1."/>
      <w:lvlJc w:val="left"/>
      <w:pPr>
        <w:ind w:left="1699" w:hanging="99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2" w15:restartNumberingAfterBreak="0">
    <w:nsid w:val="7CD26A03"/>
    <w:multiLevelType w:val="hybridMultilevel"/>
    <w:tmpl w:val="952C3A68"/>
    <w:lvl w:ilvl="0" w:tplc="1D4A0ECE">
      <w:start w:val="1"/>
      <w:numFmt w:val="decimal"/>
      <w:lvlText w:val="%1."/>
      <w:lvlJc w:val="left"/>
      <w:pPr>
        <w:ind w:left="720" w:hanging="358"/>
      </w:pPr>
      <w:rPr>
        <w:rFonts w:cs="Times New Roman"/>
      </w:rPr>
    </w:lvl>
    <w:lvl w:ilvl="1" w:tplc="36F4A262">
      <w:start w:val="1"/>
      <w:numFmt w:val="lowerLetter"/>
      <w:lvlText w:val="%2."/>
      <w:lvlJc w:val="left"/>
      <w:pPr>
        <w:ind w:left="1440" w:hanging="358"/>
      </w:pPr>
      <w:rPr>
        <w:rFonts w:cs="Times New Roman"/>
      </w:rPr>
    </w:lvl>
    <w:lvl w:ilvl="2" w:tplc="2AC0626C">
      <w:start w:val="1"/>
      <w:numFmt w:val="lowerRoman"/>
      <w:lvlText w:val="%3."/>
      <w:lvlJc w:val="right"/>
      <w:pPr>
        <w:ind w:left="2160" w:hanging="178"/>
      </w:pPr>
      <w:rPr>
        <w:rFonts w:cs="Times New Roman"/>
      </w:rPr>
    </w:lvl>
    <w:lvl w:ilvl="3" w:tplc="3536E64E">
      <w:start w:val="1"/>
      <w:numFmt w:val="decimal"/>
      <w:lvlText w:val="%4."/>
      <w:lvlJc w:val="left"/>
      <w:pPr>
        <w:ind w:left="2880" w:hanging="358"/>
      </w:pPr>
      <w:rPr>
        <w:rFonts w:cs="Times New Roman"/>
      </w:rPr>
    </w:lvl>
    <w:lvl w:ilvl="4" w:tplc="E20C60A0">
      <w:start w:val="1"/>
      <w:numFmt w:val="lowerLetter"/>
      <w:lvlText w:val="%5."/>
      <w:lvlJc w:val="left"/>
      <w:pPr>
        <w:ind w:left="3600" w:hanging="358"/>
      </w:pPr>
      <w:rPr>
        <w:rFonts w:cs="Times New Roman"/>
      </w:rPr>
    </w:lvl>
    <w:lvl w:ilvl="5" w:tplc="78F86742">
      <w:start w:val="1"/>
      <w:numFmt w:val="lowerRoman"/>
      <w:lvlText w:val="%6."/>
      <w:lvlJc w:val="right"/>
      <w:pPr>
        <w:ind w:left="4320" w:hanging="178"/>
      </w:pPr>
      <w:rPr>
        <w:rFonts w:cs="Times New Roman"/>
      </w:rPr>
    </w:lvl>
    <w:lvl w:ilvl="6" w:tplc="BA68C0BE">
      <w:start w:val="1"/>
      <w:numFmt w:val="decimal"/>
      <w:lvlText w:val="%7."/>
      <w:lvlJc w:val="left"/>
      <w:pPr>
        <w:ind w:left="5040" w:hanging="358"/>
      </w:pPr>
      <w:rPr>
        <w:rFonts w:cs="Times New Roman"/>
      </w:rPr>
    </w:lvl>
    <w:lvl w:ilvl="7" w:tplc="E1CC04D4">
      <w:start w:val="1"/>
      <w:numFmt w:val="lowerLetter"/>
      <w:lvlText w:val="%8."/>
      <w:lvlJc w:val="left"/>
      <w:pPr>
        <w:ind w:left="5760" w:hanging="358"/>
      </w:pPr>
      <w:rPr>
        <w:rFonts w:cs="Times New Roman"/>
      </w:rPr>
    </w:lvl>
    <w:lvl w:ilvl="8" w:tplc="7578D616">
      <w:start w:val="1"/>
      <w:numFmt w:val="lowerRoman"/>
      <w:lvlText w:val="%9."/>
      <w:lvlJc w:val="right"/>
      <w:pPr>
        <w:ind w:left="6480" w:hanging="178"/>
      </w:pPr>
      <w:rPr>
        <w:rFonts w:cs="Times New Roman"/>
      </w:rPr>
    </w:lvl>
  </w:abstractNum>
  <w:abstractNum w:abstractNumId="133" w15:restartNumberingAfterBreak="0">
    <w:nsid w:val="7D3F2907"/>
    <w:multiLevelType w:val="hybridMultilevel"/>
    <w:tmpl w:val="51823722"/>
    <w:lvl w:ilvl="0" w:tplc="77D4A23E">
      <w:start w:val="1"/>
      <w:numFmt w:val="bullet"/>
      <w:suff w:val="space"/>
      <w:lvlText w:val=""/>
      <w:lvlJc w:val="left"/>
      <w:pPr>
        <w:ind w:firstLine="567"/>
      </w:pPr>
      <w:rPr>
        <w:rFonts w:ascii="Symbol" w:hAnsi="Symbol" w:hint="default"/>
      </w:rPr>
    </w:lvl>
    <w:lvl w:ilvl="1" w:tplc="8E32AE30">
      <w:start w:val="1"/>
      <w:numFmt w:val="bullet"/>
      <w:lvlText w:val="o"/>
      <w:lvlJc w:val="left"/>
      <w:pPr>
        <w:ind w:left="2148" w:hanging="358"/>
      </w:pPr>
      <w:rPr>
        <w:rFonts w:ascii="Courier New" w:hAnsi="Courier New" w:hint="default"/>
      </w:rPr>
    </w:lvl>
    <w:lvl w:ilvl="2" w:tplc="DC703E9E">
      <w:start w:val="1"/>
      <w:numFmt w:val="bullet"/>
      <w:lvlText w:val=""/>
      <w:lvlJc w:val="left"/>
      <w:pPr>
        <w:ind w:left="2868" w:hanging="358"/>
      </w:pPr>
      <w:rPr>
        <w:rFonts w:ascii="Wingdings" w:hAnsi="Wingdings" w:hint="default"/>
      </w:rPr>
    </w:lvl>
    <w:lvl w:ilvl="3" w:tplc="C88672EE">
      <w:start w:val="1"/>
      <w:numFmt w:val="bullet"/>
      <w:lvlText w:val=""/>
      <w:lvlJc w:val="left"/>
      <w:pPr>
        <w:ind w:left="3588" w:hanging="358"/>
      </w:pPr>
      <w:rPr>
        <w:rFonts w:ascii="Symbol" w:hAnsi="Symbol" w:hint="default"/>
      </w:rPr>
    </w:lvl>
    <w:lvl w:ilvl="4" w:tplc="80302366">
      <w:start w:val="1"/>
      <w:numFmt w:val="bullet"/>
      <w:lvlText w:val="o"/>
      <w:lvlJc w:val="left"/>
      <w:pPr>
        <w:ind w:left="4308" w:hanging="358"/>
      </w:pPr>
      <w:rPr>
        <w:rFonts w:ascii="Courier New" w:hAnsi="Courier New" w:hint="default"/>
      </w:rPr>
    </w:lvl>
    <w:lvl w:ilvl="5" w:tplc="85824594">
      <w:start w:val="1"/>
      <w:numFmt w:val="bullet"/>
      <w:lvlText w:val=""/>
      <w:lvlJc w:val="left"/>
      <w:pPr>
        <w:ind w:left="5028" w:hanging="358"/>
      </w:pPr>
      <w:rPr>
        <w:rFonts w:ascii="Wingdings" w:hAnsi="Wingdings" w:hint="default"/>
      </w:rPr>
    </w:lvl>
    <w:lvl w:ilvl="6" w:tplc="BB1A5A58">
      <w:start w:val="1"/>
      <w:numFmt w:val="bullet"/>
      <w:lvlText w:val=""/>
      <w:lvlJc w:val="left"/>
      <w:pPr>
        <w:ind w:left="5748" w:hanging="358"/>
      </w:pPr>
      <w:rPr>
        <w:rFonts w:ascii="Symbol" w:hAnsi="Symbol" w:hint="default"/>
      </w:rPr>
    </w:lvl>
    <w:lvl w:ilvl="7" w:tplc="47A0163A">
      <w:start w:val="1"/>
      <w:numFmt w:val="bullet"/>
      <w:lvlText w:val="o"/>
      <w:lvlJc w:val="left"/>
      <w:pPr>
        <w:ind w:left="6468" w:hanging="358"/>
      </w:pPr>
      <w:rPr>
        <w:rFonts w:ascii="Courier New" w:hAnsi="Courier New" w:hint="default"/>
      </w:rPr>
    </w:lvl>
    <w:lvl w:ilvl="8" w:tplc="EE861FBA">
      <w:start w:val="1"/>
      <w:numFmt w:val="bullet"/>
      <w:lvlText w:val=""/>
      <w:lvlJc w:val="left"/>
      <w:pPr>
        <w:ind w:left="7188" w:hanging="358"/>
      </w:pPr>
      <w:rPr>
        <w:rFonts w:ascii="Wingdings" w:hAnsi="Wingdings" w:hint="default"/>
      </w:rPr>
    </w:lvl>
  </w:abstractNum>
  <w:abstractNum w:abstractNumId="134" w15:restartNumberingAfterBreak="0">
    <w:nsid w:val="7E4E5CEE"/>
    <w:multiLevelType w:val="hybridMultilevel"/>
    <w:tmpl w:val="DB26D7BA"/>
    <w:lvl w:ilvl="0" w:tplc="7FC05478">
      <w:start w:val="1"/>
      <w:numFmt w:val="bullet"/>
      <w:lvlText w:val=""/>
      <w:lvlJc w:val="left"/>
      <w:pPr>
        <w:ind w:left="1429" w:hanging="358"/>
      </w:pPr>
      <w:rPr>
        <w:rFonts w:ascii="Symbol" w:hAnsi="Symbol" w:hint="default"/>
      </w:rPr>
    </w:lvl>
    <w:lvl w:ilvl="1" w:tplc="0C906BAC">
      <w:start w:val="1"/>
      <w:numFmt w:val="bullet"/>
      <w:lvlText w:val="o"/>
      <w:lvlJc w:val="left"/>
      <w:pPr>
        <w:ind w:left="2149" w:hanging="358"/>
      </w:pPr>
      <w:rPr>
        <w:rFonts w:ascii="Courier New" w:hAnsi="Courier New" w:cs="Times New Roman" w:hint="default"/>
      </w:rPr>
    </w:lvl>
    <w:lvl w:ilvl="2" w:tplc="2F0C2B78">
      <w:start w:val="1"/>
      <w:numFmt w:val="bullet"/>
      <w:lvlText w:val=""/>
      <w:lvlJc w:val="left"/>
      <w:pPr>
        <w:ind w:left="2869" w:hanging="358"/>
      </w:pPr>
      <w:rPr>
        <w:rFonts w:ascii="Wingdings" w:hAnsi="Wingdings" w:hint="default"/>
      </w:rPr>
    </w:lvl>
    <w:lvl w:ilvl="3" w:tplc="F20C37EE">
      <w:start w:val="1"/>
      <w:numFmt w:val="bullet"/>
      <w:lvlText w:val=""/>
      <w:lvlJc w:val="left"/>
      <w:pPr>
        <w:ind w:left="3589" w:hanging="358"/>
      </w:pPr>
      <w:rPr>
        <w:rFonts w:ascii="Symbol" w:hAnsi="Symbol" w:hint="default"/>
      </w:rPr>
    </w:lvl>
    <w:lvl w:ilvl="4" w:tplc="03287A40">
      <w:start w:val="1"/>
      <w:numFmt w:val="bullet"/>
      <w:lvlText w:val="o"/>
      <w:lvlJc w:val="left"/>
      <w:pPr>
        <w:ind w:left="4309" w:hanging="358"/>
      </w:pPr>
      <w:rPr>
        <w:rFonts w:ascii="Courier New" w:hAnsi="Courier New" w:cs="Times New Roman" w:hint="default"/>
      </w:rPr>
    </w:lvl>
    <w:lvl w:ilvl="5" w:tplc="5694C6CC">
      <w:start w:val="1"/>
      <w:numFmt w:val="bullet"/>
      <w:lvlText w:val=""/>
      <w:lvlJc w:val="left"/>
      <w:pPr>
        <w:ind w:left="5029" w:hanging="358"/>
      </w:pPr>
      <w:rPr>
        <w:rFonts w:ascii="Wingdings" w:hAnsi="Wingdings" w:hint="default"/>
      </w:rPr>
    </w:lvl>
    <w:lvl w:ilvl="6" w:tplc="04269B8E">
      <w:start w:val="1"/>
      <w:numFmt w:val="bullet"/>
      <w:lvlText w:val=""/>
      <w:lvlJc w:val="left"/>
      <w:pPr>
        <w:ind w:left="5749" w:hanging="358"/>
      </w:pPr>
      <w:rPr>
        <w:rFonts w:ascii="Symbol" w:hAnsi="Symbol" w:hint="default"/>
      </w:rPr>
    </w:lvl>
    <w:lvl w:ilvl="7" w:tplc="1B7499A6">
      <w:start w:val="1"/>
      <w:numFmt w:val="bullet"/>
      <w:lvlText w:val="o"/>
      <w:lvlJc w:val="left"/>
      <w:pPr>
        <w:ind w:left="6469" w:hanging="358"/>
      </w:pPr>
      <w:rPr>
        <w:rFonts w:ascii="Courier New" w:hAnsi="Courier New" w:cs="Times New Roman" w:hint="default"/>
      </w:rPr>
    </w:lvl>
    <w:lvl w:ilvl="8" w:tplc="08283214">
      <w:start w:val="1"/>
      <w:numFmt w:val="bullet"/>
      <w:lvlText w:val=""/>
      <w:lvlJc w:val="left"/>
      <w:pPr>
        <w:ind w:left="7189" w:hanging="358"/>
      </w:pPr>
      <w:rPr>
        <w:rFonts w:ascii="Wingdings" w:hAnsi="Wingdings" w:hint="default"/>
      </w:rPr>
    </w:lvl>
  </w:abstractNum>
  <w:num w:numId="1">
    <w:abstractNumId w:val="6"/>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9"/>
  </w:num>
  <w:num w:numId="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119"/>
  </w:num>
  <w:num w:numId="8">
    <w:abstractNumId w:val="134"/>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7"/>
  </w:num>
  <w:num w:numId="11">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9"/>
  </w:num>
  <w:num w:numId="13">
    <w:abstractNumId w:val="108"/>
  </w:num>
  <w:num w:numId="14">
    <w:abstractNumId w:val="4"/>
  </w:num>
  <w:num w:numId="15">
    <w:abstractNumId w:val="103"/>
  </w:num>
  <w:num w:numId="1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6"/>
  </w:num>
  <w:num w:numId="18">
    <w:abstractNumId w:val="66"/>
  </w:num>
  <w:num w:numId="19">
    <w:abstractNumId w:val="60"/>
  </w:num>
  <w:num w:numId="20">
    <w:abstractNumId w:val="111"/>
  </w:num>
  <w:num w:numId="21">
    <w:abstractNumId w:val="51"/>
  </w:num>
  <w:num w:numId="22">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0"/>
  </w:num>
  <w:num w:numId="26">
    <w:abstractNumId w:val="56"/>
  </w:num>
  <w:num w:numId="27">
    <w:abstractNumId w:val="88"/>
  </w:num>
  <w:num w:numId="28">
    <w:abstractNumId w:val="116"/>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5"/>
  </w:num>
  <w:num w:numId="33">
    <w:abstractNumId w:val="25"/>
  </w:num>
  <w:num w:numId="34">
    <w:abstractNumId w:val="50"/>
  </w:num>
  <w:num w:numId="35">
    <w:abstractNumId w:val="30"/>
  </w:num>
  <w:num w:numId="36">
    <w:abstractNumId w:val="105"/>
  </w:num>
  <w:num w:numId="37">
    <w:abstractNumId w:val="79"/>
  </w:num>
  <w:num w:numId="38">
    <w:abstractNumId w:val="89"/>
  </w:num>
  <w:num w:numId="39">
    <w:abstractNumId w:val="117"/>
  </w:num>
  <w:num w:numId="40">
    <w:abstractNumId w:val="14"/>
  </w:num>
  <w:num w:numId="41">
    <w:abstractNumId w:val="114"/>
  </w:num>
  <w:num w:numId="42">
    <w:abstractNumId w:val="82"/>
  </w:num>
  <w:num w:numId="43">
    <w:abstractNumId w:val="124"/>
  </w:num>
  <w:num w:numId="44">
    <w:abstractNumId w:val="133"/>
  </w:num>
  <w:num w:numId="45">
    <w:abstractNumId w:val="91"/>
  </w:num>
  <w:num w:numId="46">
    <w:abstractNumId w:val="64"/>
  </w:num>
  <w:num w:numId="47">
    <w:abstractNumId w:val="3"/>
  </w:num>
  <w:num w:numId="48">
    <w:abstractNumId w:val="29"/>
  </w:num>
  <w:num w:numId="49">
    <w:abstractNumId w:val="127"/>
  </w:num>
  <w:num w:numId="50">
    <w:abstractNumId w:val="63"/>
  </w:num>
  <w:num w:numId="51">
    <w:abstractNumId w:val="107"/>
  </w:num>
  <w:num w:numId="52">
    <w:abstractNumId w:val="9"/>
  </w:num>
  <w:num w:numId="53">
    <w:abstractNumId w:val="77"/>
  </w:num>
  <w:num w:numId="54">
    <w:abstractNumId w:val="85"/>
  </w:num>
  <w:num w:numId="55">
    <w:abstractNumId w:val="21"/>
  </w:num>
  <w:num w:numId="56">
    <w:abstractNumId w:val="62"/>
  </w:num>
  <w:num w:numId="57">
    <w:abstractNumId w:val="37"/>
  </w:num>
  <w:num w:numId="58">
    <w:abstractNumId w:val="132"/>
  </w:num>
  <w:num w:numId="59">
    <w:abstractNumId w:val="54"/>
  </w:num>
  <w:num w:numId="60">
    <w:abstractNumId w:val="97"/>
  </w:num>
  <w:num w:numId="61">
    <w:abstractNumId w:val="24"/>
  </w:num>
  <w:num w:numId="62">
    <w:abstractNumId w:val="52"/>
  </w:num>
  <w:num w:numId="63">
    <w:abstractNumId w:val="93"/>
  </w:num>
  <w:num w:numId="64">
    <w:abstractNumId w:val="76"/>
  </w:num>
  <w:num w:numId="65">
    <w:abstractNumId w:val="42"/>
  </w:num>
  <w:num w:numId="66">
    <w:abstractNumId w:val="72"/>
  </w:num>
  <w:num w:numId="67">
    <w:abstractNumId w:val="34"/>
  </w:num>
  <w:num w:numId="68">
    <w:abstractNumId w:val="80"/>
  </w:num>
  <w:num w:numId="69">
    <w:abstractNumId w:val="16"/>
  </w:num>
  <w:num w:numId="70">
    <w:abstractNumId w:val="118"/>
  </w:num>
  <w:num w:numId="71">
    <w:abstractNumId w:val="31"/>
  </w:num>
  <w:num w:numId="72">
    <w:abstractNumId w:val="15"/>
  </w:num>
  <w:num w:numId="73">
    <w:abstractNumId w:val="45"/>
  </w:num>
  <w:num w:numId="74">
    <w:abstractNumId w:val="26"/>
  </w:num>
  <w:num w:numId="75">
    <w:abstractNumId w:val="55"/>
  </w:num>
  <w:num w:numId="76">
    <w:abstractNumId w:val="94"/>
  </w:num>
  <w:num w:numId="77">
    <w:abstractNumId w:val="86"/>
  </w:num>
  <w:num w:numId="78">
    <w:abstractNumId w:val="129"/>
  </w:num>
  <w:num w:numId="79">
    <w:abstractNumId w:val="90"/>
  </w:num>
  <w:num w:numId="80">
    <w:abstractNumId w:val="100"/>
  </w:num>
  <w:num w:numId="81">
    <w:abstractNumId w:val="38"/>
  </w:num>
  <w:num w:numId="82">
    <w:abstractNumId w:val="78"/>
  </w:num>
  <w:num w:numId="83">
    <w:abstractNumId w:val="95"/>
  </w:num>
  <w:num w:numId="84">
    <w:abstractNumId w:val="59"/>
  </w:num>
  <w:num w:numId="85">
    <w:abstractNumId w:val="41"/>
  </w:num>
  <w:num w:numId="86">
    <w:abstractNumId w:val="87"/>
  </w:num>
  <w:num w:numId="87">
    <w:abstractNumId w:val="84"/>
  </w:num>
  <w:num w:numId="88">
    <w:abstractNumId w:val="32"/>
  </w:num>
  <w:num w:numId="89">
    <w:abstractNumId w:val="81"/>
  </w:num>
  <w:num w:numId="90">
    <w:abstractNumId w:val="12"/>
  </w:num>
  <w:num w:numId="91">
    <w:abstractNumId w:val="5"/>
  </w:num>
  <w:num w:numId="92">
    <w:abstractNumId w:val="128"/>
  </w:num>
  <w:num w:numId="93">
    <w:abstractNumId w:val="74"/>
  </w:num>
  <w:num w:numId="94">
    <w:abstractNumId w:val="22"/>
  </w:num>
  <w:num w:numId="95">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40"/>
  </w:num>
  <w:num w:numId="97">
    <w:abstractNumId w:val="36"/>
  </w:num>
  <w:num w:numId="98">
    <w:abstractNumId w:val="83"/>
  </w:num>
  <w:num w:numId="99">
    <w:abstractNumId w:val="27"/>
  </w:num>
  <w:num w:numId="100">
    <w:abstractNumId w:val="61"/>
  </w:num>
  <w:num w:numId="101">
    <w:abstractNumId w:val="106"/>
  </w:num>
  <w:num w:numId="102">
    <w:abstractNumId w:val="96"/>
  </w:num>
  <w:num w:numId="103">
    <w:abstractNumId w:val="47"/>
  </w:num>
  <w:num w:numId="104">
    <w:abstractNumId w:val="2"/>
  </w:num>
  <w:num w:numId="105">
    <w:abstractNumId w:val="0"/>
  </w:num>
  <w:num w:numId="106">
    <w:abstractNumId w:val="131"/>
  </w:num>
  <w:num w:numId="107">
    <w:abstractNumId w:val="109"/>
  </w:num>
  <w:num w:numId="108">
    <w:abstractNumId w:val="126"/>
  </w:num>
  <w:num w:numId="109">
    <w:abstractNumId w:val="130"/>
  </w:num>
  <w:num w:numId="110">
    <w:abstractNumId w:val="23"/>
  </w:num>
  <w:num w:numId="111">
    <w:abstractNumId w:val="53"/>
  </w:num>
  <w:num w:numId="112">
    <w:abstractNumId w:val="48"/>
  </w:num>
  <w:num w:numId="113">
    <w:abstractNumId w:val="18"/>
  </w:num>
  <w:num w:numId="114">
    <w:abstractNumId w:val="65"/>
  </w:num>
  <w:num w:numId="115">
    <w:abstractNumId w:val="104"/>
  </w:num>
  <w:num w:numId="116">
    <w:abstractNumId w:val="71"/>
  </w:num>
  <w:num w:numId="117">
    <w:abstractNumId w:val="49"/>
  </w:num>
  <w:num w:numId="11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10"/>
  </w:num>
  <w:num w:numId="120">
    <w:abstractNumId w:val="115"/>
  </w:num>
  <w:num w:numId="121">
    <w:abstractNumId w:val="70"/>
  </w:num>
  <w:num w:numId="12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8"/>
  </w:num>
  <w:num w:numId="124">
    <w:abstractNumId w:val="33"/>
  </w:num>
  <w:num w:numId="125">
    <w:abstractNumId w:val="125"/>
  </w:num>
  <w:num w:numId="126">
    <w:abstractNumId w:val="101"/>
  </w:num>
  <w:num w:numId="127">
    <w:abstractNumId w:val="68"/>
  </w:num>
  <w:num w:numId="128">
    <w:abstractNumId w:val="99"/>
  </w:num>
  <w:num w:numId="129">
    <w:abstractNumId w:val="113"/>
  </w:num>
  <w:num w:numId="130">
    <w:abstractNumId w:val="1"/>
  </w:num>
  <w:num w:numId="131">
    <w:abstractNumId w:val="13"/>
  </w:num>
  <w:num w:numId="132">
    <w:abstractNumId w:val="121"/>
  </w:num>
  <w:num w:numId="133">
    <w:abstractNumId w:val="112"/>
  </w:num>
  <w:num w:numId="134">
    <w:abstractNumId w:val="73"/>
  </w:num>
  <w:num w:numId="135">
    <w:abstractNumId w:val="11"/>
  </w:num>
  <w:num w:numId="136">
    <w:abstractNumId w:val="92"/>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711"/>
    <w:rsid w:val="000D1C8F"/>
    <w:rsid w:val="0013377E"/>
    <w:rsid w:val="00161824"/>
    <w:rsid w:val="002B3394"/>
    <w:rsid w:val="002B7398"/>
    <w:rsid w:val="00306ED2"/>
    <w:rsid w:val="003658B5"/>
    <w:rsid w:val="003F05A9"/>
    <w:rsid w:val="0041409A"/>
    <w:rsid w:val="00500AB2"/>
    <w:rsid w:val="00517711"/>
    <w:rsid w:val="005B1DF7"/>
    <w:rsid w:val="005E1201"/>
    <w:rsid w:val="006F5AE9"/>
    <w:rsid w:val="008A2A0D"/>
    <w:rsid w:val="008F687A"/>
    <w:rsid w:val="00A17BCD"/>
    <w:rsid w:val="00B15924"/>
    <w:rsid w:val="00BD6187"/>
    <w:rsid w:val="00C20E35"/>
    <w:rsid w:val="00D6563D"/>
    <w:rsid w:val="00F815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metricconverter"/>
  <w:smartTagType w:namespaceuri="urn:schemas-microsoft-com:office:smarttags" w:name="PersonName"/>
  <w:shapeDefaults>
    <o:shapedefaults v:ext="edit" spidmax="1085"/>
    <o:shapelayout v:ext="edit">
      <o:idmap v:ext="edit" data="1"/>
    </o:shapelayout>
  </w:shapeDefaults>
  <w:decimalSymbol w:val="."/>
  <w:listSeparator w:val=";"/>
  <w15:docId w15:val="{9D13D35B-612E-4422-B949-3C2CA3BBC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ru-RU"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pacing w:after="160" w:line="259" w:lineRule="auto"/>
    </w:pPr>
    <w:rPr>
      <w:rFonts w:eastAsia="Times New Roman"/>
    </w:rPr>
  </w:style>
  <w:style w:type="paragraph" w:styleId="1">
    <w:name w:val="heading 1"/>
    <w:basedOn w:val="a"/>
    <w:link w:val="10"/>
    <w:uiPriority w:val="9"/>
    <w:qFormat/>
    <w:pPr>
      <w:spacing w:before="100" w:beforeAutospacing="1" w:after="100" w:afterAutospacing="1" w:line="240" w:lineRule="auto"/>
      <w:outlineLvl w:val="0"/>
    </w:pPr>
    <w:rPr>
      <w:rFonts w:ascii="Times New Roman" w:hAnsi="Times New Roman" w:cs="Times New Roman"/>
      <w:b/>
      <w:bCs/>
      <w:sz w:val="48"/>
      <w:szCs w:val="48"/>
      <w:lang w:eastAsia="ru-RU"/>
    </w:rPr>
  </w:style>
  <w:style w:type="paragraph" w:styleId="2">
    <w:name w:val="heading 2"/>
    <w:link w:val="20"/>
    <w:uiPriority w:val="9"/>
    <w:qFormat/>
    <w:pPr>
      <w:keepNext/>
      <w:keepLines/>
      <w:spacing w:after="360" w:line="360" w:lineRule="auto"/>
      <w:jc w:val="center"/>
      <w:outlineLvl w:val="1"/>
    </w:pPr>
    <w:rPr>
      <w:rFonts w:ascii="Times New Roman" w:eastAsia="Times New Roman" w:hAnsi="Times New Roman"/>
      <w:b/>
      <w:bCs/>
      <w:sz w:val="28"/>
      <w:szCs w:val="28"/>
    </w:rPr>
  </w:style>
  <w:style w:type="paragraph" w:styleId="3">
    <w:name w:val="heading 3"/>
    <w:basedOn w:val="a"/>
    <w:next w:val="a"/>
    <w:link w:val="30"/>
    <w:uiPriority w:val="9"/>
    <w:unhideWhenUsed/>
    <w:qFormat/>
    <w:pPr>
      <w:keepNext/>
      <w:keepLines/>
      <w:spacing w:before="200" w:after="0"/>
      <w:outlineLvl w:val="2"/>
    </w:pPr>
    <w:rPr>
      <w:rFonts w:ascii="Cambria" w:eastAsia="Cambria" w:hAnsi="Cambria" w:cs="Cambria"/>
      <w:b/>
      <w:bCs/>
      <w:color w:val="4F81BD" w:themeColor="accent1"/>
      <w:lang w:eastAsia="ru-RU"/>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after="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table" w:customStyle="1" w:styleId="Lined">
    <w:name w:val="Lined"/>
    <w:basedOn w:val="a1"/>
    <w:uiPriority w:val="99"/>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1"/>
    <w:uiPriority w:val="99"/>
    <w:pPr>
      <w:spacing w:after="0" w:line="240" w:lineRule="auto"/>
    </w:pPr>
    <w:rPr>
      <w:color w:val="404040"/>
      <w:sz w:val="20"/>
      <w:szCs w:val="20"/>
      <w:lang w:eastAsia="ru-RU"/>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character" w:customStyle="1" w:styleId="FootnoteTextChar">
    <w:name w:val="Footnote Text Char"/>
    <w:uiPriority w:val="99"/>
    <w:rPr>
      <w:sz w:val="18"/>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9">
    <w:name w:val="TOC Heading"/>
    <w:uiPriority w:val="39"/>
    <w:unhideWhenUsed/>
  </w:style>
  <w:style w:type="character" w:styleId="aa">
    <w:name w:val="Hyperlink"/>
    <w:uiPriority w:val="99"/>
    <w:rPr>
      <w:color w:val="0000FF"/>
      <w:u w:val="single"/>
    </w:rPr>
  </w:style>
  <w:style w:type="paragraph" w:styleId="ab">
    <w:name w:val="header"/>
    <w:basedOn w:val="a"/>
    <w:link w:val="ac"/>
    <w:uiPriority w:val="99"/>
    <w:pPr>
      <w:tabs>
        <w:tab w:val="center" w:pos="4677"/>
        <w:tab w:val="right" w:pos="9355"/>
      </w:tabs>
      <w:spacing w:after="0" w:line="240" w:lineRule="auto"/>
    </w:pPr>
    <w:rPr>
      <w:rFonts w:ascii="Times New Roman" w:eastAsia="MS Mincho" w:hAnsi="Times New Roman" w:cs="Times New Roman"/>
      <w:sz w:val="24"/>
      <w:szCs w:val="24"/>
      <w:lang w:eastAsia="ja-JP"/>
    </w:rPr>
  </w:style>
  <w:style w:type="character" w:customStyle="1" w:styleId="ac">
    <w:name w:val="Верхний колонтитул Знак"/>
    <w:basedOn w:val="a0"/>
    <w:link w:val="ab"/>
    <w:uiPriority w:val="99"/>
    <w:rPr>
      <w:rFonts w:ascii="Times New Roman" w:eastAsia="MS Mincho" w:hAnsi="Times New Roman" w:cs="Times New Roman"/>
      <w:sz w:val="24"/>
      <w:szCs w:val="24"/>
      <w:lang w:eastAsia="ja-JP"/>
    </w:rPr>
  </w:style>
  <w:style w:type="character" w:styleId="ad">
    <w:name w:val="page number"/>
    <w:basedOn w:val="a0"/>
    <w:uiPriority w:val="99"/>
    <w:rPr>
      <w:rFonts w:cs="Times New Roman"/>
    </w:rPr>
  </w:style>
  <w:style w:type="paragraph" w:styleId="ae">
    <w:name w:val="No Spacing"/>
    <w:uiPriority w:val="99"/>
    <w:qFormat/>
    <w:pPr>
      <w:spacing w:after="0" w:line="240" w:lineRule="auto"/>
    </w:pPr>
    <w:rPr>
      <w:lang w:eastAsia="zh-CN"/>
    </w:rPr>
  </w:style>
  <w:style w:type="paragraph" w:styleId="af">
    <w:name w:val="Body Text"/>
    <w:basedOn w:val="a"/>
    <w:link w:val="af0"/>
    <w:pPr>
      <w:spacing w:after="0" w:line="360" w:lineRule="auto"/>
      <w:jc w:val="center"/>
    </w:pPr>
    <w:rPr>
      <w:rFonts w:ascii="Arial Black" w:hAnsi="Arial Black" w:cs="Times New Roman"/>
      <w:b/>
      <w:sz w:val="28"/>
      <w:szCs w:val="20"/>
      <w:lang w:eastAsia="ru-RU"/>
    </w:rPr>
  </w:style>
  <w:style w:type="character" w:customStyle="1" w:styleId="af0">
    <w:name w:val="Основной текст Знак"/>
    <w:basedOn w:val="a0"/>
    <w:link w:val="af"/>
    <w:rPr>
      <w:rFonts w:ascii="Arial Black" w:eastAsia="Times New Roman" w:hAnsi="Arial Black" w:cs="Times New Roman"/>
      <w:b/>
      <w:sz w:val="28"/>
      <w:szCs w:val="20"/>
      <w:lang w:eastAsia="ru-RU"/>
    </w:rPr>
  </w:style>
  <w:style w:type="table" w:styleId="af1">
    <w:name w:val="Table Grid"/>
    <w:basedOn w:val="a1"/>
    <w:uiPriority w:val="39"/>
    <w:pPr>
      <w:spacing w:after="0" w:line="240" w:lineRule="auto"/>
    </w:pPr>
    <w:rPr>
      <w:lang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a0"/>
    <w:uiPriority w:val="99"/>
    <w:rPr>
      <w:rFonts w:ascii="TimesNewRomanPSMT" w:hAnsi="TimesNewRomanPSMT" w:hint="default"/>
      <w:b w:val="0"/>
      <w:bCs w:val="0"/>
      <w:i w:val="0"/>
      <w:iCs w:val="0"/>
      <w:color w:val="000000"/>
      <w:sz w:val="16"/>
      <w:szCs w:val="16"/>
    </w:rPr>
  </w:style>
  <w:style w:type="paragraph" w:customStyle="1" w:styleId="msonormalbullet1gif">
    <w:name w:val="msonormalbullet1.gif"/>
    <w:basedOn w:val="a"/>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msonormalbullet2gif">
    <w:name w:val="msonormalbullet2.gif"/>
    <w:basedOn w:val="a"/>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Default">
    <w:name w:val="Default"/>
    <w:pPr>
      <w:spacing w:after="0" w:line="240" w:lineRule="auto"/>
    </w:pPr>
    <w:rPr>
      <w:rFonts w:ascii="Times New Roman" w:hAnsi="Times New Roman" w:cs="Times New Roman"/>
      <w:color w:val="000000"/>
      <w:sz w:val="24"/>
      <w:szCs w:val="24"/>
      <w:lang w:eastAsia="ru-RU"/>
    </w:rPr>
  </w:style>
  <w:style w:type="paragraph" w:customStyle="1" w:styleId="formattext">
    <w:name w:val="formattext"/>
    <w:basedOn w:val="a"/>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f2">
    <w:name w:val="Balloon Text"/>
    <w:basedOn w:val="a"/>
    <w:link w:val="af3"/>
    <w:uiPriority w:val="99"/>
    <w:unhideWhenUsed/>
    <w:pPr>
      <w:spacing w:after="0" w:line="240" w:lineRule="auto"/>
    </w:pPr>
    <w:rPr>
      <w:rFonts w:ascii="Tahoma" w:eastAsia="MS Mincho" w:hAnsi="Tahoma" w:cs="Tahoma"/>
      <w:sz w:val="16"/>
      <w:szCs w:val="16"/>
      <w:lang w:eastAsia="ja-JP"/>
    </w:rPr>
  </w:style>
  <w:style w:type="character" w:customStyle="1" w:styleId="af3">
    <w:name w:val="Текст выноски Знак"/>
    <w:basedOn w:val="a0"/>
    <w:link w:val="af2"/>
    <w:uiPriority w:val="99"/>
    <w:rPr>
      <w:rFonts w:ascii="Tahoma" w:eastAsia="MS Mincho" w:hAnsi="Tahoma" w:cs="Tahoma"/>
      <w:sz w:val="16"/>
      <w:szCs w:val="16"/>
      <w:lang w:eastAsia="ja-JP"/>
    </w:rPr>
  </w:style>
  <w:style w:type="paragraph" w:styleId="af4">
    <w:name w:val="List Paragraph"/>
    <w:link w:val="af5"/>
    <w:uiPriority w:val="34"/>
    <w:qFormat/>
    <w:pPr>
      <w:ind w:left="720"/>
    </w:pPr>
    <w:rPr>
      <w:rFonts w:eastAsia="Times New Roman"/>
    </w:rPr>
  </w:style>
  <w:style w:type="character" w:customStyle="1" w:styleId="10">
    <w:name w:val="Заголовок 1 Знак"/>
    <w:basedOn w:val="a0"/>
    <w:link w:val="1"/>
    <w:uiPriority w:val="9"/>
    <w:rPr>
      <w:rFonts w:ascii="Times New Roman" w:eastAsia="Times New Roman" w:hAnsi="Times New Roman" w:cs="Times New Roman"/>
      <w:b/>
      <w:bCs/>
      <w:sz w:val="48"/>
      <w:szCs w:val="48"/>
      <w:lang w:eastAsia="ru-RU"/>
    </w:rPr>
  </w:style>
  <w:style w:type="paragraph" w:styleId="af6">
    <w:name w:val="Normal (Web)"/>
    <w:aliases w:val="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Обычный (веб) Знак Знак"/>
    <w:basedOn w:val="a"/>
    <w:link w:val="af7"/>
    <w:uiPriority w:val="99"/>
    <w:unhideWhenUsed/>
    <w:qFormat/>
    <w:pPr>
      <w:spacing w:before="100" w:beforeAutospacing="1" w:after="100" w:afterAutospacing="1" w:line="240" w:lineRule="auto"/>
    </w:pPr>
    <w:rPr>
      <w:rFonts w:ascii="Times New Roman" w:hAnsi="Times New Roman" w:cs="Times New Roman"/>
      <w:sz w:val="24"/>
      <w:szCs w:val="24"/>
      <w:lang w:eastAsia="ru-RU"/>
    </w:rPr>
  </w:style>
  <w:style w:type="character" w:customStyle="1" w:styleId="apple-converted-space">
    <w:name w:val="apple-converted-space"/>
    <w:basedOn w:val="a0"/>
    <w:rPr>
      <w:rFonts w:cs="Times New Roman"/>
    </w:rPr>
  </w:style>
  <w:style w:type="character" w:styleId="af8">
    <w:name w:val="Emphasis"/>
    <w:basedOn w:val="a0"/>
    <w:uiPriority w:val="20"/>
    <w:qFormat/>
    <w:rPr>
      <w:rFonts w:cs="Times New Roman"/>
      <w:i/>
      <w:iCs/>
    </w:rPr>
  </w:style>
  <w:style w:type="character" w:customStyle="1" w:styleId="s41">
    <w:name w:val="s41"/>
    <w:basedOn w:val="a0"/>
    <w:rPr>
      <w:rFonts w:cs="Times New Roman"/>
    </w:rPr>
  </w:style>
  <w:style w:type="character" w:customStyle="1" w:styleId="extended-textshort">
    <w:name w:val="extended-text__short"/>
    <w:basedOn w:val="a0"/>
    <w:rPr>
      <w:rFonts w:cs="Times New Roman"/>
    </w:rPr>
  </w:style>
  <w:style w:type="paragraph" w:customStyle="1" w:styleId="af9">
    <w:name w:val="ттекст"/>
    <w:basedOn w:val="a"/>
    <w:pPr>
      <w:widowControl w:val="0"/>
      <w:spacing w:after="0" w:line="360" w:lineRule="auto"/>
      <w:ind w:firstLine="709"/>
      <w:jc w:val="both"/>
    </w:pPr>
    <w:rPr>
      <w:rFonts w:ascii="Times New Roman" w:hAnsi="Times New Roman" w:cs="Times New Roman"/>
      <w:sz w:val="28"/>
      <w:szCs w:val="28"/>
    </w:rPr>
  </w:style>
  <w:style w:type="paragraph" w:customStyle="1" w:styleId="afa">
    <w:name w:val="таблица"/>
    <w:basedOn w:val="a"/>
    <w:pPr>
      <w:widowControl w:val="0"/>
      <w:spacing w:after="0" w:line="240" w:lineRule="auto"/>
      <w:jc w:val="both"/>
    </w:pPr>
    <w:rPr>
      <w:rFonts w:ascii="Times New Roman" w:hAnsi="Times New Roman" w:cs="Times New Roman"/>
      <w:sz w:val="24"/>
      <w:szCs w:val="24"/>
      <w:lang w:eastAsia="ru-RU"/>
    </w:rPr>
  </w:style>
  <w:style w:type="table" w:customStyle="1" w:styleId="12">
    <w:name w:val="Сетка таблицы1"/>
    <w:basedOn w:val="a1"/>
    <w:next w:val="af1"/>
    <w:uiPriority w:val="39"/>
    <w:pPr>
      <w:spacing w:after="0" w:line="240" w:lineRule="auto"/>
    </w:pPr>
    <w:rPr>
      <w:rFonts w:eastAsia="Malgun Gothic" w:cs="Times New Roman"/>
      <w:lang w:eastAsia="ko-K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b">
    <w:name w:val="endnote text"/>
    <w:basedOn w:val="a"/>
    <w:link w:val="afc"/>
    <w:uiPriority w:val="99"/>
    <w:unhideWhenUsed/>
    <w:pPr>
      <w:spacing w:after="0" w:line="240" w:lineRule="auto"/>
      <w:jc w:val="both"/>
    </w:pPr>
    <w:rPr>
      <w:rFonts w:ascii="Times New Roman" w:eastAsia="Calibri" w:hAnsi="Times New Roman"/>
      <w:sz w:val="20"/>
      <w:szCs w:val="20"/>
      <w:lang w:eastAsia="ko-KR"/>
    </w:rPr>
  </w:style>
  <w:style w:type="character" w:customStyle="1" w:styleId="afc">
    <w:name w:val="Текст концевой сноски Знак"/>
    <w:basedOn w:val="a0"/>
    <w:link w:val="afb"/>
    <w:uiPriority w:val="99"/>
    <w:rPr>
      <w:rFonts w:ascii="Times New Roman" w:eastAsia="Calibri" w:hAnsi="Times New Roman"/>
      <w:sz w:val="20"/>
      <w:szCs w:val="20"/>
      <w:lang w:eastAsia="ko-KR"/>
    </w:rPr>
  </w:style>
  <w:style w:type="character" w:styleId="afd">
    <w:name w:val="endnote reference"/>
    <w:basedOn w:val="a0"/>
    <w:uiPriority w:val="99"/>
    <w:semiHidden/>
    <w:unhideWhenUsed/>
    <w:rPr>
      <w:vertAlign w:val="superscript"/>
    </w:rPr>
  </w:style>
  <w:style w:type="character" w:customStyle="1" w:styleId="20">
    <w:name w:val="Заголовок 2 Знак"/>
    <w:basedOn w:val="a0"/>
    <w:link w:val="2"/>
    <w:uiPriority w:val="9"/>
    <w:semiHidden/>
    <w:rPr>
      <w:rFonts w:ascii="Cambria" w:eastAsia="Cambria" w:hAnsi="Cambria" w:cs="Cambria"/>
      <w:b/>
      <w:bCs/>
      <w:color w:val="4F81BD" w:themeColor="accent1"/>
      <w:sz w:val="26"/>
      <w:szCs w:val="26"/>
    </w:rPr>
  </w:style>
  <w:style w:type="character" w:customStyle="1" w:styleId="30">
    <w:name w:val="Заголовок 3 Знак"/>
    <w:basedOn w:val="a0"/>
    <w:link w:val="3"/>
    <w:uiPriority w:val="9"/>
    <w:rPr>
      <w:rFonts w:ascii="Cambria" w:eastAsia="Cambria" w:hAnsi="Cambria" w:cs="Cambria"/>
      <w:b/>
      <w:bCs/>
      <w:color w:val="4F81BD" w:themeColor="accent1"/>
      <w:lang w:eastAsia="ru-RU"/>
    </w:rPr>
  </w:style>
  <w:style w:type="paragraph" w:styleId="HTML">
    <w:name w:val="HTML Preformatted"/>
    <w:basedOn w:val="a"/>
    <w:link w:val="HTML0"/>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0">
    <w:name w:val="Стандартный HTML Знак"/>
    <w:basedOn w:val="a0"/>
    <w:link w:val="HTML"/>
    <w:uiPriority w:val="99"/>
    <w:rPr>
      <w:rFonts w:ascii="Courier New" w:eastAsia="Times New Roman" w:hAnsi="Courier New" w:cs="Courier New"/>
      <w:sz w:val="20"/>
      <w:szCs w:val="20"/>
      <w:lang w:eastAsia="ru-RU"/>
    </w:rPr>
  </w:style>
  <w:style w:type="paragraph" w:styleId="afe">
    <w:name w:val="footer"/>
    <w:basedOn w:val="a"/>
    <w:link w:val="aff"/>
    <w:uiPriority w:val="99"/>
    <w:unhideWhenUsed/>
    <w:pPr>
      <w:tabs>
        <w:tab w:val="center" w:pos="4677"/>
        <w:tab w:val="right" w:pos="9355"/>
      </w:tabs>
      <w:spacing w:after="0" w:line="240" w:lineRule="auto"/>
    </w:pPr>
    <w:rPr>
      <w:rFonts w:cs="Times New Roman"/>
    </w:rPr>
  </w:style>
  <w:style w:type="character" w:customStyle="1" w:styleId="aff">
    <w:name w:val="Нижний колонтитул Знак"/>
    <w:basedOn w:val="a0"/>
    <w:link w:val="afe"/>
    <w:uiPriority w:val="99"/>
    <w:rPr>
      <w:rFonts w:eastAsia="Times New Roman" w:cs="Times New Roman"/>
    </w:rPr>
  </w:style>
  <w:style w:type="character" w:customStyle="1" w:styleId="hl">
    <w:name w:val="hl"/>
    <w:basedOn w:val="a0"/>
    <w:rPr>
      <w:rFonts w:cs="Times New Roman"/>
    </w:rPr>
  </w:style>
  <w:style w:type="character" w:customStyle="1" w:styleId="js-phone-number">
    <w:name w:val="js-phone-number"/>
    <w:basedOn w:val="a0"/>
    <w:uiPriority w:val="99"/>
  </w:style>
  <w:style w:type="paragraph" w:customStyle="1" w:styleId="aff0">
    <w:name w:val="табличный"/>
    <w:basedOn w:val="a"/>
    <w:pPr>
      <w:keepNext/>
      <w:spacing w:before="120" w:after="120" w:line="240" w:lineRule="auto"/>
      <w:jc w:val="right"/>
      <w:outlineLvl w:val="0"/>
    </w:pPr>
    <w:rPr>
      <w:rFonts w:ascii="Times New Roman" w:hAnsi="Times New Roman" w:cs="Arial"/>
      <w:bCs/>
      <w:i/>
      <w:sz w:val="20"/>
      <w:szCs w:val="20"/>
      <w:lang w:eastAsia="ru-RU"/>
    </w:rPr>
  </w:style>
  <w:style w:type="paragraph" w:customStyle="1" w:styleId="13">
    <w:name w:val="табл1"/>
    <w:basedOn w:val="a"/>
    <w:pPr>
      <w:keepNext/>
      <w:spacing w:before="120" w:after="120" w:line="240" w:lineRule="auto"/>
      <w:jc w:val="center"/>
    </w:pPr>
    <w:rPr>
      <w:rFonts w:ascii="Times New Roman" w:hAnsi="Times New Roman" w:cs="Times New Roman"/>
      <w:sz w:val="18"/>
      <w:szCs w:val="20"/>
      <w:lang w:eastAsia="ru-RU"/>
    </w:rPr>
  </w:style>
  <w:style w:type="paragraph" w:customStyle="1" w:styleId="aff1">
    <w:name w:val="табл."/>
    <w:basedOn w:val="afa"/>
    <w:pPr>
      <w:widowControl/>
      <w:spacing w:before="60" w:after="60"/>
      <w:jc w:val="left"/>
      <w:outlineLvl w:val="0"/>
    </w:pPr>
    <w:rPr>
      <w:sz w:val="18"/>
      <w:szCs w:val="20"/>
    </w:rPr>
  </w:style>
  <w:style w:type="character" w:customStyle="1" w:styleId="word">
    <w:name w:val="word"/>
    <w:basedOn w:val="a0"/>
    <w:rPr>
      <w:rFonts w:cs="Times New Roman"/>
    </w:rPr>
  </w:style>
  <w:style w:type="character" w:customStyle="1" w:styleId="af7">
    <w:name w:val="Обычный (веб) Знак"/>
    <w:aliases w:val="Знак4 Знак1,Знак4 Знак Знак Знак,Знак4 Знак Знак1,Обычный (Web)1 Знак,Обычный (веб) Знак1 Знак,Обычный (веб) Знак Знак1 Знак,Знак Знак1 Знак Знак1,Обычный (веб) Знак Знак Знак Знак1,Знак Знак1 Знак Знак Знак"/>
    <w:link w:val="af6"/>
    <w:uiPriority w:val="99"/>
    <w:rPr>
      <w:rFonts w:ascii="Times New Roman" w:eastAsia="Times New Roman" w:hAnsi="Times New Roman" w:cs="Times New Roman"/>
      <w:sz w:val="24"/>
      <w:szCs w:val="24"/>
      <w:lang w:eastAsia="ru-RU"/>
    </w:rPr>
  </w:style>
  <w:style w:type="paragraph" w:styleId="aff2">
    <w:name w:val="footnote text"/>
    <w:basedOn w:val="a"/>
    <w:link w:val="aff3"/>
    <w:uiPriority w:val="99"/>
    <w:semiHidden/>
    <w:unhideWhenUsed/>
    <w:pPr>
      <w:spacing w:line="256" w:lineRule="auto"/>
    </w:pPr>
    <w:rPr>
      <w:rFonts w:cs="Times New Roman"/>
      <w:sz w:val="20"/>
      <w:szCs w:val="20"/>
    </w:rPr>
  </w:style>
  <w:style w:type="character" w:customStyle="1" w:styleId="aff3">
    <w:name w:val="Текст сноски Знак"/>
    <w:basedOn w:val="a0"/>
    <w:link w:val="aff2"/>
    <w:uiPriority w:val="99"/>
    <w:semiHidden/>
    <w:rPr>
      <w:rFonts w:ascii="Calibri" w:eastAsia="Times New Roman" w:hAnsi="Calibri" w:cs="Times New Roman"/>
      <w:sz w:val="20"/>
      <w:szCs w:val="20"/>
    </w:rPr>
  </w:style>
  <w:style w:type="character" w:styleId="aff4">
    <w:name w:val="footnote reference"/>
    <w:basedOn w:val="a0"/>
    <w:uiPriority w:val="99"/>
    <w:semiHidden/>
    <w:unhideWhenUsed/>
    <w:rPr>
      <w:rFonts w:ascii="Times New Roman" w:hAnsi="Times New Roman" w:cs="Times New Roman" w:hint="default"/>
      <w:vertAlign w:val="superscript"/>
    </w:rPr>
  </w:style>
  <w:style w:type="character" w:customStyle="1" w:styleId="InternetLink">
    <w:name w:val="Internet Link"/>
    <w:uiPriority w:val="99"/>
    <w:rPr>
      <w:u w:val="single"/>
    </w:rPr>
  </w:style>
  <w:style w:type="character" w:styleId="aff5">
    <w:name w:val="annotation reference"/>
    <w:basedOn w:val="a0"/>
    <w:uiPriority w:val="99"/>
    <w:rPr>
      <w:sz w:val="16"/>
      <w:szCs w:val="16"/>
    </w:rPr>
  </w:style>
  <w:style w:type="character" w:customStyle="1" w:styleId="3f3f3f3f3f3f3f3f3f3f3f3f3f3f3f3f3f3f3f">
    <w:name w:val="Т3fе3fк3fс3fт3f п3fр3fи3fм3fе3fч3fа3fн3fи3fя3f З3fн3fа3fк3f"/>
    <w:basedOn w:val="a0"/>
    <w:uiPriority w:val="99"/>
    <w:rPr>
      <w:rFonts w:ascii="Helvetica" w:eastAsia="Times New Roman" w:cs="Helvetica"/>
      <w:lang w:eastAsia="en-US"/>
    </w:rPr>
  </w:style>
  <w:style w:type="character" w:customStyle="1" w:styleId="3f3f3f3f3f3f3f3f3f3f3f3f3f3f3f3f">
    <w:name w:val="Т3fе3fк3fс3fт3f в3fы3fн3fо3fс3fк3fи3f З3fн3fа3fк3f"/>
    <w:basedOn w:val="a0"/>
    <w:uiPriority w:val="99"/>
    <w:rPr>
      <w:rFonts w:ascii="Segoe UI" w:eastAsia="Times New Roman" w:cs="Segoe UI"/>
      <w:sz w:val="18"/>
      <w:szCs w:val="18"/>
      <w:lang w:val="en-US" w:eastAsia="en-US"/>
    </w:rPr>
  </w:style>
  <w:style w:type="character" w:customStyle="1" w:styleId="3f3f3f3f3f3f3f3f3f3f3f3f3f3f3f3f3f3f3f3f3f">
    <w:name w:val="В3fе3fр3fх3fн3fи3fй3f к3fо3fл3fо3fн3fт3fи3fт3fу3fл3f З3fн3fа3fк3f"/>
    <w:basedOn w:val="a0"/>
    <w:uiPriority w:val="99"/>
    <w:rPr>
      <w:lang w:val="en-US" w:eastAsia="en-US"/>
    </w:rPr>
  </w:style>
  <w:style w:type="character" w:customStyle="1" w:styleId="3f3f3f3f3f3f3f3f3f3f3f3f3f3f3f3f3f3f3f3f">
    <w:name w:val="Н3fи3fж3fн3fи3fй3f к3fо3fл3fо3fн3fт3fи3fт3fу3fл3f З3fн3fа3fк3f"/>
    <w:basedOn w:val="a0"/>
    <w:uiPriority w:val="99"/>
    <w:rPr>
      <w:lang w:val="en-US" w:eastAsia="en-US"/>
    </w:rPr>
  </w:style>
  <w:style w:type="paragraph" w:customStyle="1" w:styleId="Heading">
    <w:name w:val="Heading"/>
    <w:basedOn w:val="a"/>
    <w:next w:val="TextBody"/>
    <w:uiPriority w:val="99"/>
    <w:pPr>
      <w:keepNext/>
      <w:spacing w:before="240" w:after="120" w:line="240" w:lineRule="auto"/>
    </w:pPr>
    <w:rPr>
      <w:rFonts w:ascii="Liberation Sans" w:hAnsi="Times New Roman" w:cs="Liberation Sans"/>
      <w:sz w:val="28"/>
      <w:szCs w:val="28"/>
      <w:lang w:val="en-US"/>
    </w:rPr>
  </w:style>
  <w:style w:type="paragraph" w:customStyle="1" w:styleId="TextBody">
    <w:name w:val="Text Body"/>
    <w:basedOn w:val="a"/>
    <w:uiPriority w:val="99"/>
    <w:pPr>
      <w:spacing w:after="140" w:line="288" w:lineRule="auto"/>
    </w:pPr>
    <w:rPr>
      <w:rFonts w:ascii="Times New Roman" w:eastAsia="Calibri" w:hAnsi="Times New Roman" w:cs="Times New Roman"/>
      <w:sz w:val="24"/>
      <w:szCs w:val="24"/>
      <w:lang w:val="en-US"/>
    </w:rPr>
  </w:style>
  <w:style w:type="paragraph" w:styleId="aff6">
    <w:name w:val="List"/>
    <w:basedOn w:val="TextBody"/>
    <w:uiPriority w:val="99"/>
    <w:rPr>
      <w:rFonts w:eastAsia="Times New Roman"/>
    </w:rPr>
  </w:style>
  <w:style w:type="paragraph" w:styleId="aff7">
    <w:name w:val="caption"/>
    <w:basedOn w:val="a"/>
    <w:qFormat/>
    <w:pPr>
      <w:spacing w:before="120" w:after="120" w:line="240" w:lineRule="auto"/>
    </w:pPr>
    <w:rPr>
      <w:rFonts w:ascii="Times New Roman" w:hAnsi="Times New Roman" w:cs="Times New Roman"/>
      <w:i/>
      <w:iCs/>
      <w:sz w:val="24"/>
      <w:szCs w:val="24"/>
      <w:lang w:val="en-US"/>
    </w:rPr>
  </w:style>
  <w:style w:type="paragraph" w:customStyle="1" w:styleId="Index">
    <w:name w:val="Index"/>
    <w:basedOn w:val="a"/>
    <w:uiPriority w:val="99"/>
    <w:pPr>
      <w:spacing w:after="0" w:line="240" w:lineRule="auto"/>
    </w:pPr>
    <w:rPr>
      <w:rFonts w:ascii="Times New Roman" w:hAnsi="Times New Roman" w:cs="Times New Roman"/>
      <w:sz w:val="24"/>
      <w:szCs w:val="24"/>
      <w:lang w:val="en-US"/>
    </w:rPr>
  </w:style>
  <w:style w:type="paragraph" w:styleId="aff8">
    <w:name w:val="Plain Text"/>
    <w:basedOn w:val="a"/>
    <w:link w:val="aff9"/>
    <w:uiPriority w:val="99"/>
    <w:pPr>
      <w:spacing w:after="0" w:line="240" w:lineRule="auto"/>
    </w:pPr>
    <w:rPr>
      <w:rFonts w:ascii="Helvetica" w:eastAsia="Arial Unicode MS" w:hAnsi="Times New Roman" w:cs="Helvetica"/>
      <w:color w:val="000000"/>
      <w:lang w:eastAsia="ru-RU"/>
    </w:rPr>
  </w:style>
  <w:style w:type="character" w:customStyle="1" w:styleId="aff9">
    <w:name w:val="Текст Знак"/>
    <w:basedOn w:val="a0"/>
    <w:link w:val="aff8"/>
    <w:uiPriority w:val="99"/>
    <w:rPr>
      <w:rFonts w:ascii="Helvetica" w:eastAsia="Arial Unicode MS" w:hAnsi="Times New Roman" w:cs="Helvetica"/>
      <w:color w:val="000000"/>
      <w:lang w:eastAsia="ru-RU"/>
    </w:rPr>
  </w:style>
  <w:style w:type="paragraph" w:styleId="affa">
    <w:name w:val="annotation text"/>
    <w:basedOn w:val="a"/>
    <w:link w:val="affb"/>
    <w:uiPriority w:val="99"/>
    <w:pPr>
      <w:spacing w:line="240" w:lineRule="auto"/>
    </w:pPr>
    <w:rPr>
      <w:rFonts w:ascii="Helvetica" w:hAnsi="Times New Roman" w:cs="Helvetica"/>
      <w:sz w:val="20"/>
      <w:szCs w:val="20"/>
    </w:rPr>
  </w:style>
  <w:style w:type="character" w:customStyle="1" w:styleId="affb">
    <w:name w:val="Текст примечания Знак"/>
    <w:basedOn w:val="a0"/>
    <w:link w:val="affa"/>
    <w:uiPriority w:val="99"/>
    <w:rPr>
      <w:rFonts w:ascii="Helvetica" w:eastAsia="Times New Roman" w:hAnsi="Times New Roman" w:cs="Helvetica"/>
      <w:sz w:val="20"/>
      <w:szCs w:val="20"/>
    </w:rPr>
  </w:style>
  <w:style w:type="paragraph" w:customStyle="1" w:styleId="ConsPlusCell">
    <w:name w:val="ConsPlusCell"/>
    <w:uiPriority w:val="99"/>
    <w:pPr>
      <w:widowControl w:val="0"/>
      <w:spacing w:after="0" w:line="240" w:lineRule="auto"/>
    </w:pPr>
    <w:rPr>
      <w:lang w:eastAsia="ru-RU"/>
    </w:rPr>
  </w:style>
  <w:style w:type="character" w:customStyle="1" w:styleId="blk">
    <w:name w:val="blk"/>
    <w:basedOn w:val="a0"/>
    <w:rPr>
      <w:rFonts w:cs="Times New Roman"/>
    </w:rPr>
  </w:style>
  <w:style w:type="character" w:customStyle="1" w:styleId="tooltip">
    <w:name w:val="tooltip"/>
    <w:basedOn w:val="a0"/>
    <w:rPr>
      <w:rFonts w:cs="Times New Roman"/>
    </w:rPr>
  </w:style>
  <w:style w:type="paragraph" w:styleId="affc">
    <w:name w:val="Body Text Indent"/>
    <w:basedOn w:val="a"/>
    <w:link w:val="affd"/>
    <w:uiPriority w:val="99"/>
    <w:semiHidden/>
    <w:unhideWhenUsed/>
    <w:pPr>
      <w:spacing w:after="120"/>
      <w:ind w:left="283"/>
    </w:pPr>
  </w:style>
  <w:style w:type="character" w:customStyle="1" w:styleId="affd">
    <w:name w:val="Основной текст с отступом Знак"/>
    <w:basedOn w:val="a0"/>
    <w:link w:val="affc"/>
    <w:uiPriority w:val="99"/>
    <w:semiHidden/>
  </w:style>
  <w:style w:type="paragraph" w:customStyle="1" w:styleId="52">
    <w:name w:val="заголовок 5"/>
    <w:basedOn w:val="a"/>
    <w:next w:val="a"/>
    <w:pPr>
      <w:keepNext/>
      <w:spacing w:after="0" w:line="360" w:lineRule="auto"/>
    </w:pPr>
    <w:rPr>
      <w:rFonts w:ascii="Times New Roman" w:hAnsi="Times New Roman" w:cs="Times New Roman"/>
      <w:sz w:val="20"/>
      <w:szCs w:val="24"/>
      <w:lang w:eastAsia="ru-RU"/>
    </w:rPr>
  </w:style>
  <w:style w:type="character" w:styleId="affe">
    <w:name w:val="Strong"/>
    <w:basedOn w:val="a0"/>
    <w:uiPriority w:val="22"/>
    <w:qFormat/>
    <w:rPr>
      <w:b/>
      <w:bCs/>
    </w:rPr>
  </w:style>
  <w:style w:type="paragraph" w:customStyle="1" w:styleId="ConsPlusNormal">
    <w:name w:val="ConsPlusNormal"/>
    <w:pPr>
      <w:widowControl w:val="0"/>
      <w:spacing w:after="0" w:line="240" w:lineRule="auto"/>
      <w:ind w:firstLine="794"/>
      <w:jc w:val="both"/>
    </w:pPr>
    <w:rPr>
      <w:rFonts w:eastAsia="Times New Roman"/>
      <w:szCs w:val="20"/>
      <w:lang w:eastAsia="ru-RU"/>
    </w:rPr>
  </w:style>
  <w:style w:type="character" w:customStyle="1" w:styleId="bookmark">
    <w:name w:val="bookmark"/>
    <w:basedOn w:val="a0"/>
  </w:style>
  <w:style w:type="character" w:customStyle="1" w:styleId="no-white-space">
    <w:name w:val="no-white-space"/>
    <w:basedOn w:val="a0"/>
    <w:rPr>
      <w:rFonts w:cs="Times New Roman"/>
    </w:rPr>
  </w:style>
  <w:style w:type="paragraph" w:customStyle="1" w:styleId="Standard">
    <w:name w:val="Standard"/>
    <w:pPr>
      <w:widowControl w:val="0"/>
      <w:spacing w:after="0" w:line="240" w:lineRule="auto"/>
    </w:pPr>
    <w:rPr>
      <w:rFonts w:ascii="Times New Roman" w:eastAsia="SimSun" w:hAnsi="Times New Roman" w:cs="Mangal"/>
      <w:sz w:val="24"/>
      <w:szCs w:val="24"/>
      <w:lang w:eastAsia="zh-CN" w:bidi="hi-IN"/>
    </w:rPr>
  </w:style>
  <w:style w:type="paragraph" w:customStyle="1" w:styleId="afff">
    <w:name w:val="Текстовый блок"/>
    <w:pPr>
      <w:spacing w:after="0" w:line="240" w:lineRule="auto"/>
    </w:pPr>
    <w:rPr>
      <w:rFonts w:ascii="Arial Unicode MS" w:eastAsia="Arial Unicode MS" w:hAnsi="Arial Unicode MS" w:cs="Arial Unicode MS"/>
      <w:color w:val="000000"/>
      <w:lang w:eastAsia="zh-CN" w:bidi="hi-IN"/>
    </w:rPr>
  </w:style>
  <w:style w:type="character" w:customStyle="1" w:styleId="shorttext">
    <w:name w:val="short_text"/>
    <w:basedOn w:val="a0"/>
  </w:style>
  <w:style w:type="character" w:customStyle="1" w:styleId="1-FNCiaeniinee-FNReferencianotaalpieSUPERS">
    <w:name w:val="Знак сноски;Знак сноски 1;Знак сноски-FN;Ciae niinee-FN;Referencia nota al pie;SUPERS"/>
    <w:rPr>
      <w:vertAlign w:val="superscript"/>
    </w:rPr>
  </w:style>
  <w:style w:type="paragraph" w:customStyle="1" w:styleId="FootnoteFussnotesinglespace-FNftfnFOOTNOTESFOOTNOTESftftfnfootnotetext">
    <w:name w:val="Текст сноски;Footnote;Fussnote;single space;Текст сноски Знак Знак Знак;Текст сноски Знак Знак;Текст сноски-FN;ft Знак;fn;FOOTNOTES Знак;FOOTNOTES;ft Знак Знак;ft Знак Знак Знак;fn Знак;footnote text Знак Знак"/>
    <w:pPr>
      <w:spacing w:after="0" w:line="240" w:lineRule="auto"/>
    </w:pPr>
    <w:rPr>
      <w:rFonts w:ascii="Times New Roman" w:eastAsia="Times New Roman" w:hAnsi="Times New Roman"/>
      <w:sz w:val="20"/>
      <w:szCs w:val="20"/>
      <w:lang w:eastAsia="ru-RU"/>
    </w:rPr>
  </w:style>
  <w:style w:type="paragraph" w:customStyle="1" w:styleId="afff0">
    <w:name w:val="Книга_обычный"/>
    <w:pPr>
      <w:spacing w:after="0" w:line="240" w:lineRule="auto"/>
      <w:ind w:firstLine="340"/>
      <w:jc w:val="both"/>
    </w:pPr>
    <w:rPr>
      <w:rFonts w:ascii="Times New Roman" w:eastAsia="Times New Roman" w:hAnsi="Times New Roman"/>
      <w:sz w:val="21"/>
      <w:szCs w:val="20"/>
      <w:lang w:val="en-US"/>
    </w:rPr>
  </w:style>
  <w:style w:type="paragraph" w:customStyle="1" w:styleId="afff1">
    <w:name w:val="ВГУЭС статья на конференцию"/>
    <w:pPr>
      <w:spacing w:after="160" w:line="240" w:lineRule="auto"/>
      <w:ind w:firstLine="709"/>
      <w:jc w:val="both"/>
    </w:pPr>
    <w:rPr>
      <w:rFonts w:eastAsia="Times New Roman"/>
    </w:rPr>
  </w:style>
  <w:style w:type="character" w:customStyle="1" w:styleId="af5">
    <w:name w:val="Абзац списка Знак"/>
    <w:link w:val="af4"/>
    <w:uiPriority w:val="34"/>
    <w:rsid w:val="005E1201"/>
    <w:rPr>
      <w:rFonts w:eastAsia="Times New Roman"/>
    </w:rPr>
  </w:style>
  <w:style w:type="paragraph" w:customStyle="1" w:styleId="14">
    <w:name w:val="Заголовок оглавления1"/>
    <w:basedOn w:val="1"/>
    <w:next w:val="a"/>
    <w:uiPriority w:val="39"/>
    <w:semiHidden/>
    <w:unhideWhenUsed/>
    <w:qFormat/>
    <w:rsid w:val="005E1201"/>
    <w:pPr>
      <w:keepNext/>
      <w:keepLines/>
      <w:pBdr>
        <w:top w:val="none" w:sz="0" w:space="0" w:color="auto"/>
        <w:left w:val="none" w:sz="0" w:space="0" w:color="auto"/>
        <w:bottom w:val="none" w:sz="0" w:space="0" w:color="auto"/>
        <w:right w:val="none" w:sz="0" w:space="0" w:color="auto"/>
        <w:between w:val="none" w:sz="0" w:space="0" w:color="auto"/>
      </w:pBdr>
      <w:spacing w:before="480" w:beforeAutospacing="0" w:after="0" w:afterAutospacing="0" w:line="276" w:lineRule="auto"/>
      <w:outlineLvl w:val="9"/>
    </w:pPr>
    <w:rPr>
      <w:rFonts w:ascii="Cambria" w:hAnsi="Cambria"/>
      <w:color w:val="365F91"/>
      <w:sz w:val="28"/>
      <w:szCs w:val="28"/>
      <w:lang w:eastAsia="en-US"/>
    </w:rPr>
  </w:style>
  <w:style w:type="character" w:styleId="afff2">
    <w:name w:val="FollowedHyperlink"/>
    <w:basedOn w:val="a0"/>
    <w:uiPriority w:val="99"/>
    <w:rsid w:val="005E1201"/>
    <w:rPr>
      <w:rFonts w:cs="Times New Roman"/>
      <w:color w:val="800080"/>
      <w:u w:val="single"/>
    </w:rPr>
  </w:style>
  <w:style w:type="paragraph" w:customStyle="1" w:styleId="1-21">
    <w:name w:val="Средняя сетка 1 - Акцент 21"/>
    <w:basedOn w:val="a"/>
    <w:uiPriority w:val="34"/>
    <w:qFormat/>
    <w:rsid w:val="005E1201"/>
    <w:pPr>
      <w:pBdr>
        <w:top w:val="none" w:sz="0" w:space="0" w:color="auto"/>
        <w:left w:val="none" w:sz="0" w:space="0" w:color="auto"/>
        <w:bottom w:val="none" w:sz="0" w:space="0" w:color="auto"/>
        <w:right w:val="none" w:sz="0" w:space="0" w:color="auto"/>
        <w:between w:val="none" w:sz="0" w:space="0" w:color="auto"/>
      </w:pBdr>
      <w:spacing w:after="0" w:line="240" w:lineRule="auto"/>
      <w:ind w:left="720"/>
      <w:contextualSpacing/>
    </w:pPr>
    <w:rPr>
      <w:rFonts w:ascii="Times New Roman" w:hAnsi="Times New Roman" w:cs="Times New Roman"/>
      <w:sz w:val="24"/>
      <w:szCs w:val="24"/>
      <w:lang w:eastAsia="ru-RU"/>
    </w:rPr>
  </w:style>
  <w:style w:type="table" w:customStyle="1" w:styleId="24">
    <w:name w:val="Сетка таблицы2"/>
    <w:basedOn w:val="a1"/>
    <w:next w:val="af1"/>
    <w:uiPriority w:val="39"/>
    <w:rsid w:val="003F05A9"/>
    <w:pPr>
      <w:pBdr>
        <w:top w:val="none" w:sz="0" w:space="0" w:color="auto"/>
        <w:left w:val="none" w:sz="0" w:space="0" w:color="auto"/>
        <w:bottom w:val="none" w:sz="0" w:space="0" w:color="auto"/>
        <w:right w:val="none" w:sz="0" w:space="0" w:color="auto"/>
        <w:between w:val="none" w:sz="0" w:space="0" w:color="auto"/>
      </w:pBd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
    <w:basedOn w:val="a1"/>
    <w:next w:val="af1"/>
    <w:uiPriority w:val="59"/>
    <w:rsid w:val="003F05A9"/>
    <w:pPr>
      <w:pBdr>
        <w:top w:val="none" w:sz="0" w:space="0" w:color="auto"/>
        <w:left w:val="none" w:sz="0" w:space="0" w:color="auto"/>
        <w:bottom w:val="none" w:sz="0" w:space="0" w:color="auto"/>
        <w:right w:val="none" w:sz="0" w:space="0" w:color="auto"/>
        <w:between w:val="none" w:sz="0" w:space="0" w:color="auto"/>
      </w:pBd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1"/>
    <w:next w:val="af1"/>
    <w:uiPriority w:val="39"/>
    <w:rsid w:val="003F05A9"/>
    <w:pPr>
      <w:pBdr>
        <w:top w:val="none" w:sz="0" w:space="0" w:color="auto"/>
        <w:left w:val="none" w:sz="0" w:space="0" w:color="auto"/>
        <w:bottom w:val="none" w:sz="0" w:space="0" w:color="auto"/>
        <w:right w:val="none" w:sz="0" w:space="0" w:color="auto"/>
        <w:between w:val="none" w:sz="0" w:space="0" w:color="auto"/>
      </w:pBd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
    <w:name w:val="Сетка таблицы5"/>
    <w:basedOn w:val="a1"/>
    <w:next w:val="af1"/>
    <w:uiPriority w:val="39"/>
    <w:rsid w:val="003F05A9"/>
    <w:pPr>
      <w:pBdr>
        <w:top w:val="none" w:sz="0" w:space="0" w:color="auto"/>
        <w:left w:val="none" w:sz="0" w:space="0" w:color="auto"/>
        <w:bottom w:val="none" w:sz="0" w:space="0" w:color="auto"/>
        <w:right w:val="none" w:sz="0" w:space="0" w:color="auto"/>
        <w:between w:val="none" w:sz="0" w:space="0" w:color="auto"/>
      </w:pBdr>
      <w:spacing w:after="0" w:line="240" w:lineRule="auto"/>
    </w:pPr>
    <w:rPr>
      <w:rFonts w:eastAsia="Malgun Gothic" w:cs="Times New Roman"/>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Сетка таблицы6"/>
    <w:basedOn w:val="a1"/>
    <w:next w:val="af1"/>
    <w:uiPriority w:val="59"/>
    <w:rsid w:val="00306ED2"/>
    <w:pPr>
      <w:pBdr>
        <w:top w:val="none" w:sz="0" w:space="0" w:color="auto"/>
        <w:left w:val="none" w:sz="0" w:space="0" w:color="auto"/>
        <w:bottom w:val="none" w:sz="0" w:space="0" w:color="auto"/>
        <w:right w:val="none" w:sz="0" w:space="0" w:color="auto"/>
        <w:between w:val="none" w:sz="0" w:space="0" w:color="auto"/>
      </w:pBd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
    <w:name w:val="Сетка таблицы7"/>
    <w:basedOn w:val="a1"/>
    <w:next w:val="af1"/>
    <w:uiPriority w:val="39"/>
    <w:rsid w:val="0013377E"/>
    <w:pPr>
      <w:pBdr>
        <w:top w:val="none" w:sz="0" w:space="0" w:color="auto"/>
        <w:left w:val="none" w:sz="0" w:space="0" w:color="auto"/>
        <w:bottom w:val="none" w:sz="0" w:space="0" w:color="auto"/>
        <w:right w:val="none" w:sz="0" w:space="0" w:color="auto"/>
        <w:between w:val="none" w:sz="0" w:space="0" w:color="auto"/>
      </w:pBd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
    <w:name w:val="Сетка таблицы8"/>
    <w:basedOn w:val="a1"/>
    <w:next w:val="af1"/>
    <w:uiPriority w:val="39"/>
    <w:rsid w:val="0013377E"/>
    <w:pPr>
      <w:pBdr>
        <w:top w:val="none" w:sz="0" w:space="0" w:color="auto"/>
        <w:left w:val="none" w:sz="0" w:space="0" w:color="auto"/>
        <w:bottom w:val="none" w:sz="0" w:space="0" w:color="auto"/>
        <w:right w:val="none" w:sz="0" w:space="0" w:color="auto"/>
        <w:between w:val="none" w:sz="0" w:space="0" w:color="auto"/>
      </w:pBd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www.consultant.ru/document/cons_doc_LAW_19109/" TargetMode="External"/><Relationship Id="rId299" Type="http://schemas.openxmlformats.org/officeDocument/2006/relationships/oleObject" Target="embeddings/oleObject7.bin"/><Relationship Id="rId21" Type="http://schemas.openxmlformats.org/officeDocument/2006/relationships/hyperlink" Target="http://standartgost.ru/51303-2013" TargetMode="External"/><Relationship Id="rId63" Type="http://schemas.openxmlformats.org/officeDocument/2006/relationships/hyperlink" Target="http://www.vl.ru/vladivostok/cafe/cafee?catering=1" TargetMode="External"/><Relationship Id="rId159" Type="http://schemas.openxmlformats.org/officeDocument/2006/relationships/image" Target="media/image24.png"/><Relationship Id="rId324" Type="http://schemas.openxmlformats.org/officeDocument/2006/relationships/hyperlink" Target="http://www.easttime.ru" TargetMode="External"/><Relationship Id="rId366" Type="http://schemas.openxmlformats.org/officeDocument/2006/relationships/hyperlink" Target="http://zabgu.ru/files/html_document/pdf_files/fixed/ocenka_stepeni_udovletvorennosti_rabotodatelej/otchet_rabotodateli_2015.pdf" TargetMode="External"/><Relationship Id="rId170" Type="http://schemas.openxmlformats.org/officeDocument/2006/relationships/hyperlink" Target="http://www.consultant.ru/document/cons_doc_LAW_172962/" TargetMode="External"/><Relationship Id="rId226" Type="http://schemas.openxmlformats.org/officeDocument/2006/relationships/hyperlink" Target="https://www.edscience.ru/jour/article/view/235/230" TargetMode="External"/><Relationship Id="rId433" Type="http://schemas.openxmlformats.org/officeDocument/2006/relationships/image" Target="media/image100.wmf"/><Relationship Id="rId268" Type="http://schemas.openxmlformats.org/officeDocument/2006/relationships/hyperlink" Target="http://scbist.com/zh-d-stati/20206-lekciya-servis-v-passazhirskih-perevozkah.html" TargetMode="External"/><Relationship Id="rId475" Type="http://schemas.openxmlformats.org/officeDocument/2006/relationships/hyperlink" Target="mailto:natalya.odiyako@vvsu.ru" TargetMode="External"/><Relationship Id="rId32" Type="http://schemas.openxmlformats.org/officeDocument/2006/relationships/chart" Target="charts/chart8.xml"/><Relationship Id="rId74" Type="http://schemas.openxmlformats.org/officeDocument/2006/relationships/oleObject" Target="embeddings/oleObject2.bin"/><Relationship Id="rId128" Type="http://schemas.openxmlformats.org/officeDocument/2006/relationships/hyperlink" Target="mailto:Natalya.ivanenko@vvsu.ru" TargetMode="External"/><Relationship Id="rId335" Type="http://schemas.openxmlformats.org/officeDocument/2006/relationships/package" Target="embeddings/_____Microsoft_Excel40.xlsx"/><Relationship Id="rId377" Type="http://schemas.openxmlformats.org/officeDocument/2006/relationships/hyperlink" Target="https://cyberleninka.ru/journal/n/vestnik-kurskoy-gosudarstvennoy-selskohozyaystvennoy-akademii" TargetMode="External"/><Relationship Id="rId5" Type="http://schemas.openxmlformats.org/officeDocument/2006/relationships/footnotes" Target="footnotes.xml"/><Relationship Id="rId181" Type="http://schemas.openxmlformats.org/officeDocument/2006/relationships/chart" Target="charts/chart38.xml"/><Relationship Id="rId237" Type="http://schemas.openxmlformats.org/officeDocument/2006/relationships/hyperlink" Target="http://ru.valdaiclub.com/files/11701/" TargetMode="External"/><Relationship Id="rId402" Type="http://schemas.openxmlformats.org/officeDocument/2006/relationships/oleObject" Target="embeddings/oleObject18.bin"/><Relationship Id="rId279" Type="http://schemas.openxmlformats.org/officeDocument/2006/relationships/hyperlink" Target="https://cyberleninka.ru/journal/n/izvestiya-rossiyskogo-gosudarstvennogo-pedagogicheskogo-universiteta-im-a-i-gertsena" TargetMode="External"/><Relationship Id="rId444" Type="http://schemas.openxmlformats.org/officeDocument/2006/relationships/oleObject" Target="embeddings/oleObject39.bin"/><Relationship Id="rId486" Type="http://schemas.openxmlformats.org/officeDocument/2006/relationships/hyperlink" Target="http://sportprimorsky.ru/engine/download.php?id=1610" TargetMode="External"/><Relationship Id="rId43" Type="http://schemas.openxmlformats.org/officeDocument/2006/relationships/image" Target="media/image1.png"/><Relationship Id="rId139" Type="http://schemas.openxmlformats.org/officeDocument/2006/relationships/hyperlink" Target="http://docs.cntd.ru/document/1200124943" TargetMode="External"/><Relationship Id="rId290" Type="http://schemas.openxmlformats.org/officeDocument/2006/relationships/image" Target="media/image42.png"/><Relationship Id="rId304" Type="http://schemas.openxmlformats.org/officeDocument/2006/relationships/oleObject" Target="embeddings/oleObject9.bin"/><Relationship Id="rId346" Type="http://schemas.openxmlformats.org/officeDocument/2006/relationships/image" Target="media/image63.png"/><Relationship Id="rId388" Type="http://schemas.openxmlformats.org/officeDocument/2006/relationships/oleObject" Target="embeddings/oleObject11.bin"/><Relationship Id="rId85" Type="http://schemas.openxmlformats.org/officeDocument/2006/relationships/chart" Target="charts/chart26.xml"/><Relationship Id="rId150" Type="http://schemas.openxmlformats.org/officeDocument/2006/relationships/hyperlink" Target="https://ru.wikipedia.org/wiki/%D0%A1%D0%B2%D0%B0%D0%BB%D0%BA%D0%B0" TargetMode="External"/><Relationship Id="rId192" Type="http://schemas.openxmlformats.org/officeDocument/2006/relationships/hyperlink" Target="http://www.consultant.ru/document/cons_doc_LAW_121270/" TargetMode="External"/><Relationship Id="rId206" Type="http://schemas.openxmlformats.org/officeDocument/2006/relationships/hyperlink" Target="https://pravorub.ru/articles/71396.html" TargetMode="External"/><Relationship Id="rId413" Type="http://schemas.openxmlformats.org/officeDocument/2006/relationships/image" Target="media/image91.wmf"/><Relationship Id="rId248" Type="http://schemas.openxmlformats.org/officeDocument/2006/relationships/hyperlink" Target="https://popoffich.livejournal.com/144388.html" TargetMode="External"/><Relationship Id="rId455" Type="http://schemas.openxmlformats.org/officeDocument/2006/relationships/image" Target="media/image112.wmf"/><Relationship Id="rId12" Type="http://schemas.openxmlformats.org/officeDocument/2006/relationships/hyperlink" Target="http://zalog-vostok.ru/" TargetMode="External"/><Relationship Id="rId108" Type="http://schemas.openxmlformats.org/officeDocument/2006/relationships/hyperlink" Target="https://dic.academic.ru/dic.nsf/ruwiki/1073603" TargetMode="External"/><Relationship Id="rId315" Type="http://schemas.openxmlformats.org/officeDocument/2006/relationships/hyperlink" Target="https://e-w-e.ru/kakim-byl-interer-sovetskix-kvartir-nostalgiya-po-velikomu-i-moguchemu/" TargetMode="External"/><Relationship Id="rId357" Type="http://schemas.openxmlformats.org/officeDocument/2006/relationships/image" Target="media/image68.png"/><Relationship Id="rId54" Type="http://schemas.openxmlformats.org/officeDocument/2006/relationships/chart" Target="charts/chart18.xml"/><Relationship Id="rId96" Type="http://schemas.openxmlformats.org/officeDocument/2006/relationships/hyperlink" Target="http://chem21.info/page/004253040096177080136188007155215096047045184240/" TargetMode="External"/><Relationship Id="rId161" Type="http://schemas.openxmlformats.org/officeDocument/2006/relationships/hyperlink" Target="mailto:karolina14.08@mail.ru" TargetMode="External"/><Relationship Id="rId217" Type="http://schemas.openxmlformats.org/officeDocument/2006/relationships/hyperlink" Target="https://cyberleninka.ru/article/v/rossiyskie-studenty-v-kitayskih-vuzah" TargetMode="External"/><Relationship Id="rId399" Type="http://schemas.openxmlformats.org/officeDocument/2006/relationships/image" Target="media/image84.wmf"/><Relationship Id="rId259" Type="http://schemas.openxmlformats.org/officeDocument/2006/relationships/hyperlink" Target="mailto:sh-nadusha2010@yandex.ru" TargetMode="External"/><Relationship Id="rId424" Type="http://schemas.openxmlformats.org/officeDocument/2006/relationships/oleObject" Target="embeddings/oleObject29.bin"/><Relationship Id="rId466" Type="http://schemas.openxmlformats.org/officeDocument/2006/relationships/oleObject" Target="embeddings/oleObject50.bin"/><Relationship Id="rId23" Type="http://schemas.openxmlformats.org/officeDocument/2006/relationships/hyperlink" Target="http://www.consultant.ru/document/cons_doc_LAW_133133/22ad39bb36d3b8a63d493b0be82dc7170c9f82f6/" TargetMode="External"/><Relationship Id="rId119" Type="http://schemas.openxmlformats.org/officeDocument/2006/relationships/chart" Target="charts/chart34.xml"/><Relationship Id="rId270" Type="http://schemas.openxmlformats.org/officeDocument/2006/relationships/image" Target="media/image27.png"/><Relationship Id="rId326" Type="http://schemas.openxmlformats.org/officeDocument/2006/relationships/hyperlink" Target="https://ru.wikipedia.org/wiki/%D0%93%D0%B0%D1%81%D1%82%D1%80%D0%BE%D0%BD%D0%BE%D0%BC%D0%B8%D1%87%D0%B5%D1%81%D0%BA%D0%B8%D0%B9_%D1%82%D1%83%D1%80%D0%B8%D0%B7%D0%BC" TargetMode="External"/><Relationship Id="rId65" Type="http://schemas.openxmlformats.org/officeDocument/2006/relationships/hyperlink" Target="http://www.souz-hotel.com/tur-vihodnogo-dbya/" TargetMode="External"/><Relationship Id="rId130" Type="http://schemas.openxmlformats.org/officeDocument/2006/relationships/hyperlink" Target="http://botsad.ru/" TargetMode="External"/><Relationship Id="rId368" Type="http://schemas.openxmlformats.org/officeDocument/2006/relationships/hyperlink" Target="http://primstat.gks.ru/" TargetMode="External"/><Relationship Id="rId172" Type="http://schemas.openxmlformats.org/officeDocument/2006/relationships/hyperlink" Target="https://www.mikhprim.ru/" TargetMode="External"/><Relationship Id="rId228" Type="http://schemas.openxmlformats.org/officeDocument/2006/relationships/hyperlink" Target="https://inosmi.ru/social/20171220/241048517.html" TargetMode="External"/><Relationship Id="rId435" Type="http://schemas.openxmlformats.org/officeDocument/2006/relationships/image" Target="media/image101.wmf"/><Relationship Id="rId477" Type="http://schemas.openxmlformats.org/officeDocument/2006/relationships/hyperlink" Target="https://vc.ru/30588-bitkoin-mayning-i-potreblenie-energii" TargetMode="External"/><Relationship Id="rId281" Type="http://schemas.openxmlformats.org/officeDocument/2006/relationships/hyperlink" Target="mailto:metlaevatv@mail.ru" TargetMode="External"/><Relationship Id="rId337" Type="http://schemas.openxmlformats.org/officeDocument/2006/relationships/package" Target="embeddings/_____Microsoft_Excel41.xlsx"/><Relationship Id="rId34" Type="http://schemas.openxmlformats.org/officeDocument/2006/relationships/chart" Target="charts/chart10.xml"/><Relationship Id="rId76" Type="http://schemas.openxmlformats.org/officeDocument/2006/relationships/oleObject" Target="embeddings/oleObject3.bin"/><Relationship Id="rId141" Type="http://schemas.openxmlformats.org/officeDocument/2006/relationships/hyperlink" Target="mailto:vika8994@gmai.com" TargetMode="External"/><Relationship Id="rId379" Type="http://schemas.openxmlformats.org/officeDocument/2006/relationships/hyperlink" Target="http://sovman.ru/issue/2013-32/" TargetMode="External"/><Relationship Id="rId7" Type="http://schemas.openxmlformats.org/officeDocument/2006/relationships/chart" Target="charts/chart1.xml"/><Relationship Id="rId183" Type="http://schemas.openxmlformats.org/officeDocument/2006/relationships/hyperlink" Target="https://www.echr.coe.int/Documents/Annual_Report_2014_ENG.pdf" TargetMode="External"/><Relationship Id="rId239" Type="http://schemas.openxmlformats.org/officeDocument/2006/relationships/hyperlink" Target="mailto:ryazhnova.angeli@mail.ru" TargetMode="External"/><Relationship Id="rId390" Type="http://schemas.openxmlformats.org/officeDocument/2006/relationships/oleObject" Target="embeddings/oleObject12.bin"/><Relationship Id="rId404" Type="http://schemas.openxmlformats.org/officeDocument/2006/relationships/oleObject" Target="embeddings/oleObject19.bin"/><Relationship Id="rId446" Type="http://schemas.openxmlformats.org/officeDocument/2006/relationships/oleObject" Target="embeddings/oleObject40.bin"/><Relationship Id="rId250" Type="http://schemas.openxmlformats.org/officeDocument/2006/relationships/hyperlink" Target="http://www.bbc.com/news/world-asia-pacific-11341139" TargetMode="External"/><Relationship Id="rId292" Type="http://schemas.openxmlformats.org/officeDocument/2006/relationships/image" Target="media/image44.png"/><Relationship Id="rId306" Type="http://schemas.openxmlformats.org/officeDocument/2006/relationships/hyperlink" Target="http://docs.cntd.ru/document/902175518" TargetMode="External"/><Relationship Id="rId488" Type="http://schemas.openxmlformats.org/officeDocument/2006/relationships/hyperlink" Target="mailto:Irina.Tolstykh23@vvsu.ru" TargetMode="External"/><Relationship Id="rId45" Type="http://schemas.openxmlformats.org/officeDocument/2006/relationships/image" Target="media/image3.png"/><Relationship Id="rId87" Type="http://schemas.openxmlformats.org/officeDocument/2006/relationships/chart" Target="charts/chart28.xml"/><Relationship Id="rId110" Type="http://schemas.openxmlformats.org/officeDocument/2006/relationships/hyperlink" Target="http://files.stroyinf.ru/Data2/1/4294849/4294849657.htm" TargetMode="External"/><Relationship Id="rId348" Type="http://schemas.openxmlformats.org/officeDocument/2006/relationships/hyperlink" Target="https://www.cossa.ru/152/60581/" TargetMode="External"/><Relationship Id="rId152" Type="http://schemas.openxmlformats.org/officeDocument/2006/relationships/hyperlink" Target="http://uecs.ru/ekonomika-prirodopolzovaniyz/item/3398-2015-03-11-11-45-31" TargetMode="External"/><Relationship Id="rId194" Type="http://schemas.openxmlformats.org/officeDocument/2006/relationships/hyperlink" Target="http://www.un.org/ru/documents/decl_conv/conventions/dumping.shtml" TargetMode="External"/><Relationship Id="rId208" Type="http://schemas.openxmlformats.org/officeDocument/2006/relationships/hyperlink" Target="https://cyberleninka.ru/article/v/inostrannye-studenty-v-kitae-i-problemy-regulirovaniya-ih-prebyvaniya-v-strane" TargetMode="External"/><Relationship Id="rId415" Type="http://schemas.openxmlformats.org/officeDocument/2006/relationships/image" Target="media/image92.wmf"/><Relationship Id="rId457" Type="http://schemas.openxmlformats.org/officeDocument/2006/relationships/image" Target="media/image113.wmf"/><Relationship Id="rId261" Type="http://schemas.openxmlformats.org/officeDocument/2006/relationships/hyperlink" Target="http://docs.cntd.ru/document/9040995" TargetMode="External"/><Relationship Id="rId14" Type="http://schemas.openxmlformats.org/officeDocument/2006/relationships/hyperlink" Target="mailto:igor.dragilev@vvsu.ru" TargetMode="External"/><Relationship Id="rId56" Type="http://schemas.openxmlformats.org/officeDocument/2006/relationships/chart" Target="charts/chart20.xml"/><Relationship Id="rId317" Type="http://schemas.openxmlformats.org/officeDocument/2006/relationships/hyperlink" Target="https://rg.ru/gazeta/rg-spec/2014/10/23/22.html" TargetMode="External"/><Relationship Id="rId359" Type="http://schemas.openxmlformats.org/officeDocument/2006/relationships/hyperlink" Target="http://moluch.ru/archive/78/13556/" TargetMode="External"/><Relationship Id="rId98" Type="http://schemas.openxmlformats.org/officeDocument/2006/relationships/chart" Target="charts/chart32.xml"/><Relationship Id="rId121" Type="http://schemas.openxmlformats.org/officeDocument/2006/relationships/hyperlink" Target="http://ekobalans.ru/index.php?id=79" TargetMode="External"/><Relationship Id="rId163" Type="http://schemas.openxmlformats.org/officeDocument/2006/relationships/hyperlink" Target="http://www.consultant.ru" TargetMode="External"/><Relationship Id="rId219" Type="http://schemas.openxmlformats.org/officeDocument/2006/relationships/hyperlink" Target="https://www.laboratoryequipment.com/article/2013/04/chinese-russian-approaches-higher-education" TargetMode="External"/><Relationship Id="rId370" Type="http://schemas.openxmlformats.org/officeDocument/2006/relationships/hyperlink" Target="http://www.hrono.ru/dokum/195_dok/19510908gromy.php" TargetMode="External"/><Relationship Id="rId426" Type="http://schemas.openxmlformats.org/officeDocument/2006/relationships/oleObject" Target="embeddings/oleObject31.bin"/><Relationship Id="rId230" Type="http://schemas.openxmlformats.org/officeDocument/2006/relationships/hyperlink" Target="https://www.hotcourses.ru/study-abroad-info/latest-news/russian-students-choose-education-abroad/" TargetMode="External"/><Relationship Id="rId468" Type="http://schemas.openxmlformats.org/officeDocument/2006/relationships/oleObject" Target="embeddings/oleObject51.bin"/><Relationship Id="rId25" Type="http://schemas.openxmlformats.org/officeDocument/2006/relationships/hyperlink" Target="https://standartgost.ru/id/174489" TargetMode="External"/><Relationship Id="rId67" Type="http://schemas.openxmlformats.org/officeDocument/2006/relationships/hyperlink" Target="https://elibrary.ru/item.asp?id=26593744" TargetMode="External"/><Relationship Id="rId272" Type="http://schemas.openxmlformats.org/officeDocument/2006/relationships/image" Target="media/image29.jpeg"/><Relationship Id="rId328" Type="http://schemas.openxmlformats.org/officeDocument/2006/relationships/hyperlink" Target="http://www.VL.ru" TargetMode="External"/><Relationship Id="rId132" Type="http://schemas.openxmlformats.org/officeDocument/2006/relationships/chart" Target="charts/chart36.xml"/><Relationship Id="rId174" Type="http://schemas.openxmlformats.org/officeDocument/2006/relationships/hyperlink" Target="http://www.customs.gov.cn/publish/portal0/tab517/info63730.htm" TargetMode="External"/><Relationship Id="rId381" Type="http://schemas.openxmlformats.org/officeDocument/2006/relationships/image" Target="media/image72.png"/><Relationship Id="rId241" Type="http://schemas.openxmlformats.org/officeDocument/2006/relationships/hyperlink" Target="https://www.youtube.com/watch?v=TjIFxwQtw4k" TargetMode="External"/><Relationship Id="rId437" Type="http://schemas.openxmlformats.org/officeDocument/2006/relationships/image" Target="media/image102.png"/><Relationship Id="rId479" Type="http://schemas.openxmlformats.org/officeDocument/2006/relationships/hyperlink" Target="https://news.yandex.ru/quotes/60000.html" TargetMode="External"/><Relationship Id="rId36" Type="http://schemas.openxmlformats.org/officeDocument/2006/relationships/chart" Target="charts/chart12.xml"/><Relationship Id="rId283" Type="http://schemas.openxmlformats.org/officeDocument/2006/relationships/image" Target="media/image35.png"/><Relationship Id="rId339" Type="http://schemas.openxmlformats.org/officeDocument/2006/relationships/package" Target="embeddings/_____Microsoft_Excel42.xlsx"/><Relationship Id="rId490" Type="http://schemas.openxmlformats.org/officeDocument/2006/relationships/chart" Target="charts/chart41.xml"/><Relationship Id="rId78" Type="http://schemas.openxmlformats.org/officeDocument/2006/relationships/oleObject" Target="embeddings/oleObject4.bin"/><Relationship Id="rId101" Type="http://schemas.openxmlformats.org/officeDocument/2006/relationships/image" Target="media/image19.jpg"/><Relationship Id="rId143" Type="http://schemas.openxmlformats.org/officeDocument/2006/relationships/hyperlink" Target="http://ecosar.ru/ooo&#8211;ekos" TargetMode="External"/><Relationship Id="rId185" Type="http://schemas.openxmlformats.org/officeDocument/2006/relationships/hyperlink" Target="http://kremlin.ru/events/president/news/50118" TargetMode="External"/><Relationship Id="rId350" Type="http://schemas.openxmlformats.org/officeDocument/2006/relationships/hyperlink" Target="http://www.rfej.ru/rvv/id/E0030F842" TargetMode="External"/><Relationship Id="rId406" Type="http://schemas.openxmlformats.org/officeDocument/2006/relationships/oleObject" Target="embeddings/oleObject20.bin"/><Relationship Id="rId9" Type="http://schemas.openxmlformats.org/officeDocument/2006/relationships/chart" Target="charts/chart3.xml"/><Relationship Id="rId210" Type="http://schemas.openxmlformats.org/officeDocument/2006/relationships/hyperlink" Target="https://spbu.ru/news-events/novosti/ministerstvo-obrazovaniya-knr-i-spbgu-dogovorilis-o-rasshirenii-sotrudnichestva" TargetMode="External"/><Relationship Id="rId392" Type="http://schemas.openxmlformats.org/officeDocument/2006/relationships/oleObject" Target="embeddings/oleObject13.bin"/><Relationship Id="rId448" Type="http://schemas.openxmlformats.org/officeDocument/2006/relationships/oleObject" Target="embeddings/oleObject41.bin"/><Relationship Id="rId252" Type="http://schemas.openxmlformats.org/officeDocument/2006/relationships/hyperlink" Target="https://eadaily.com/ru/news/2018/03/16/kitay-i-yaponiya-voennye-shahmaty-s-mnogovekovoy-istoriey" TargetMode="External"/><Relationship Id="rId294" Type="http://schemas.openxmlformats.org/officeDocument/2006/relationships/hyperlink" Target="mailto:gresko_al@mail.ru" TargetMode="External"/><Relationship Id="rId308" Type="http://schemas.openxmlformats.org/officeDocument/2006/relationships/image" Target="media/image50.png"/><Relationship Id="rId47" Type="http://schemas.openxmlformats.org/officeDocument/2006/relationships/hyperlink" Target="http://www.consultant.ru/document/cons_doc_LAW_144624/" TargetMode="External"/><Relationship Id="rId89" Type="http://schemas.openxmlformats.org/officeDocument/2006/relationships/chart" Target="charts/chart30.xml"/><Relationship Id="rId112" Type="http://schemas.openxmlformats.org/officeDocument/2006/relationships/hyperlink" Target="http://files.stroyinf.ru/Data2/1/4293837/4293837763.pdf" TargetMode="External"/><Relationship Id="rId154" Type="http://schemas.openxmlformats.org/officeDocument/2006/relationships/hyperlink" Target="https://businessman.ru/ekologicheskoe-prosveschenie-naseleniya.html" TargetMode="External"/><Relationship Id="rId361" Type="http://schemas.openxmlformats.org/officeDocument/2006/relationships/hyperlink" Target="http://www.consultant.ru/document/cons_doc_LAW_305/" TargetMode="External"/><Relationship Id="rId196" Type="http://schemas.openxmlformats.org/officeDocument/2006/relationships/hyperlink" Target="http://www.consultant.ru/document/cons_doc_LAW_34823/" TargetMode="External"/><Relationship Id="rId417" Type="http://schemas.openxmlformats.org/officeDocument/2006/relationships/image" Target="media/image93.wmf"/><Relationship Id="rId459" Type="http://schemas.openxmlformats.org/officeDocument/2006/relationships/image" Target="media/image114.wmf"/><Relationship Id="rId16" Type="http://schemas.openxmlformats.org/officeDocument/2006/relationships/hyperlink" Target="mailto:isaevalex@list.ru" TargetMode="External"/><Relationship Id="rId221" Type="http://schemas.openxmlformats.org/officeDocument/2006/relationships/hyperlink" Target="https://www.hotcourses.ru/study-abroad-info/latest-news/russian-students-choose-education-abroad/" TargetMode="External"/><Relationship Id="rId263" Type="http://schemas.openxmlformats.org/officeDocument/2006/relationships/hyperlink" Target="http://journals.creativeconomy.ru/index.php/rp/article/view/244" TargetMode="External"/><Relationship Id="rId319" Type="http://schemas.openxmlformats.org/officeDocument/2006/relationships/hyperlink" Target="http://riarating.ru/regions/20171207/630078208.html" TargetMode="External"/><Relationship Id="rId470" Type="http://schemas.openxmlformats.org/officeDocument/2006/relationships/hyperlink" Target="http://www.rosminzdrav.ru" TargetMode="External"/><Relationship Id="rId58" Type="http://schemas.openxmlformats.org/officeDocument/2006/relationships/chart" Target="charts/chart22.xml"/><Relationship Id="rId123" Type="http://schemas.openxmlformats.org/officeDocument/2006/relationships/hyperlink" Target="mailto:natalya.ivanenko@vvsu.ru" TargetMode="External"/><Relationship Id="rId330" Type="http://schemas.openxmlformats.org/officeDocument/2006/relationships/hyperlink" Target="https://spb.hse.ru/press/129261265.html" TargetMode="External"/><Relationship Id="rId165" Type="http://schemas.openxmlformats.org/officeDocument/2006/relationships/hyperlink" Target="http://ex-jure.ru/law/news.php?newsid=936" TargetMode="External"/><Relationship Id="rId372" Type="http://schemas.openxmlformats.org/officeDocument/2006/relationships/hyperlink" Target="https://elibrary.ru/item.asp?id=20166578" TargetMode="External"/><Relationship Id="rId428" Type="http://schemas.openxmlformats.org/officeDocument/2006/relationships/oleObject" Target="embeddings/oleObject32.bin"/><Relationship Id="rId232" Type="http://schemas.openxmlformats.org/officeDocument/2006/relationships/hyperlink" Target="http://www.polisportal.ru/files/File/puvlication/LZ_soft_power.pdf" TargetMode="External"/><Relationship Id="rId274" Type="http://schemas.openxmlformats.org/officeDocument/2006/relationships/image" Target="media/image31.jpeg"/><Relationship Id="rId481" Type="http://schemas.openxmlformats.org/officeDocument/2006/relationships/hyperlink" Target="https://mining-cryptocurrency.ru/blockchain/" TargetMode="External"/><Relationship Id="rId27" Type="http://schemas.openxmlformats.org/officeDocument/2006/relationships/hyperlink" Target="mailto:arinaholodkova1997@mail.ru" TargetMode="External"/><Relationship Id="rId69" Type="http://schemas.openxmlformats.org/officeDocument/2006/relationships/hyperlink" Target="https://ru.wikipedia.org/w/index.php?title=%D0%9A%D0%B8%D0%B7%D0%BB%D1%8F%D1%80%D1%81%D0%BA%D0%B8%D0%B9_%D0%BA%D0%BE%D0%BD%D1%8C%D1%8F%D1%87%D0%BD%D1%8B%D0%B9_%D0%B7%D0%B0%D0%B2%D0%BE%D0%B4&amp;action=edit&amp;redlink=1" TargetMode="External"/><Relationship Id="rId134" Type="http://schemas.openxmlformats.org/officeDocument/2006/relationships/hyperlink" Target="http://www.consultant.ru/document/cons_doc_LAW_19109/" TargetMode="External"/><Relationship Id="rId80" Type="http://schemas.openxmlformats.org/officeDocument/2006/relationships/hyperlink" Target="mailto:gag17@yandex.ru" TargetMode="External"/><Relationship Id="rId176" Type="http://schemas.openxmlformats.org/officeDocument/2006/relationships/hyperlink" Target="https://elibrary.ru/item.asp?id=29730389" TargetMode="External"/><Relationship Id="rId341" Type="http://schemas.openxmlformats.org/officeDocument/2006/relationships/package" Target="embeddings/_____Microsoft_Excel43.xlsx"/><Relationship Id="rId383" Type="http://schemas.openxmlformats.org/officeDocument/2006/relationships/image" Target="media/image74.png"/><Relationship Id="rId439" Type="http://schemas.openxmlformats.org/officeDocument/2006/relationships/image" Target="media/image104.png"/><Relationship Id="rId201" Type="http://schemas.openxmlformats.org/officeDocument/2006/relationships/hyperlink" Target="https://pravo.ru/news/view/39433/" TargetMode="External"/><Relationship Id="rId243" Type="http://schemas.openxmlformats.org/officeDocument/2006/relationships/hyperlink" Target="http://www.tass.ru/turizm-v-rossii/3799857" TargetMode="External"/><Relationship Id="rId285" Type="http://schemas.openxmlformats.org/officeDocument/2006/relationships/image" Target="media/image37.png"/><Relationship Id="rId450" Type="http://schemas.openxmlformats.org/officeDocument/2006/relationships/oleObject" Target="embeddings/oleObject42.bin"/><Relationship Id="rId38" Type="http://schemas.openxmlformats.org/officeDocument/2006/relationships/chart" Target="charts/chart14.xml"/><Relationship Id="rId103" Type="http://schemas.openxmlformats.org/officeDocument/2006/relationships/hyperlink" Target="http://www.list-org.com/company/850639" TargetMode="External"/><Relationship Id="rId310" Type="http://schemas.openxmlformats.org/officeDocument/2006/relationships/image" Target="media/image52.png"/><Relationship Id="rId492" Type="http://schemas.openxmlformats.org/officeDocument/2006/relationships/chart" Target="charts/chart43.xml"/><Relationship Id="rId91" Type="http://schemas.openxmlformats.org/officeDocument/2006/relationships/image" Target="media/image16.png"/><Relationship Id="rId145" Type="http://schemas.openxmlformats.org/officeDocument/2006/relationships/hyperlink" Target="http://ecosar.ru/ooo&#8211;ekos" TargetMode="External"/><Relationship Id="rId187" Type="http://schemas.openxmlformats.org/officeDocument/2006/relationships/hyperlink" Target="http://minjust.ru/node/2624" TargetMode="External"/><Relationship Id="rId352" Type="http://schemas.openxmlformats.org/officeDocument/2006/relationships/hyperlink" Target="https://realty.rbc.ru/news/59d1d5c19a7947b9ddcfd543" TargetMode="External"/><Relationship Id="rId394" Type="http://schemas.openxmlformats.org/officeDocument/2006/relationships/oleObject" Target="embeddings/oleObject14.bin"/><Relationship Id="rId408" Type="http://schemas.openxmlformats.org/officeDocument/2006/relationships/oleObject" Target="embeddings/oleObject21.bin"/><Relationship Id="rId212" Type="http://schemas.openxmlformats.org/officeDocument/2006/relationships/hyperlink" Target="https://www.google.ru/url?sa=t&amp;rct=j&amp;q=&amp;esrc=s&amp;source=web&amp;cd=5&amp;ved=0ahUKEwjQnYSy0s_aAhWyxKYKHZwjC00QFghAMAQ&amp;url=https%3A%2F%2Fstatecon.rea.ru%2Fjour%2Farticle%2Fdownload%2F202%2F184&amp;usg=AOvVaw2970ir29dPaFBtP9UOP7pT" TargetMode="External"/><Relationship Id="rId254" Type="http://schemas.openxmlformats.org/officeDocument/2006/relationships/hyperlink" Target="http://tass.ru/mezhdunarodnaya-panorama/4908861" TargetMode="External"/><Relationship Id="rId49" Type="http://schemas.openxmlformats.org/officeDocument/2006/relationships/image" Target="media/image5.emf"/><Relationship Id="rId114" Type="http://schemas.openxmlformats.org/officeDocument/2006/relationships/hyperlink" Target="https://dic.academic.ru/dic.nsf/ruwiki/1073603" TargetMode="External"/><Relationship Id="rId296" Type="http://schemas.openxmlformats.org/officeDocument/2006/relationships/image" Target="media/image46.wmf"/><Relationship Id="rId461" Type="http://schemas.openxmlformats.org/officeDocument/2006/relationships/image" Target="media/image115.wmf"/><Relationship Id="rId60" Type="http://schemas.openxmlformats.org/officeDocument/2006/relationships/hyperlink" Target="mailto:kuskova.yuliya@mail.ru" TargetMode="External"/><Relationship Id="rId156" Type="http://schemas.openxmlformats.org/officeDocument/2006/relationships/hyperlink" Target="http://www.ecosibir.ru/utilizaciya-othodov/page121/" TargetMode="External"/><Relationship Id="rId198" Type="http://schemas.openxmlformats.org/officeDocument/2006/relationships/hyperlink" Target="http://www.un.org/ru/documents/decl_conv/conventions/juveniles_liberty.shtml" TargetMode="External"/><Relationship Id="rId321" Type="http://schemas.openxmlformats.org/officeDocument/2006/relationships/hyperlink" Target="mailto:gpavlidou@hotmail.com" TargetMode="External"/><Relationship Id="rId363" Type="http://schemas.openxmlformats.org/officeDocument/2006/relationships/hyperlink" Target="http://murzim.ru/%20nauka/pedagogika/%2028940-napravleniya-gosudarstvennoy-obrazovatelnoy" TargetMode="External"/><Relationship Id="rId419" Type="http://schemas.openxmlformats.org/officeDocument/2006/relationships/image" Target="media/image94.wmf"/><Relationship Id="rId223" Type="http://schemas.openxmlformats.org/officeDocument/2006/relationships/hyperlink" Target="https://statecon.rea.ru/jour/article/download/202/184" TargetMode="External"/><Relationship Id="rId430" Type="http://schemas.openxmlformats.org/officeDocument/2006/relationships/oleObject" Target="embeddings/oleObject33.bin"/><Relationship Id="rId18" Type="http://schemas.openxmlformats.org/officeDocument/2006/relationships/hyperlink" Target="mailto:step.vl@mail.ru" TargetMode="External"/><Relationship Id="rId265" Type="http://schemas.openxmlformats.org/officeDocument/2006/relationships/hyperlink" Target="http://01091979.blogspot.ru." TargetMode="External"/><Relationship Id="rId472" Type="http://schemas.openxmlformats.org/officeDocument/2006/relationships/hyperlink" Target="https://cran.r-project.org/" TargetMode="External"/><Relationship Id="rId125" Type="http://schemas.openxmlformats.org/officeDocument/2006/relationships/hyperlink" Target="http://www.consultant.ru/document/cons_doc_LAW_34823/" TargetMode="External"/><Relationship Id="rId167" Type="http://schemas.openxmlformats.org/officeDocument/2006/relationships/hyperlink" Target="https://www.lawmix.ru/comm/7944" TargetMode="External"/><Relationship Id="rId332" Type="http://schemas.openxmlformats.org/officeDocument/2006/relationships/image" Target="media/image57.png"/><Relationship Id="rId374" Type="http://schemas.openxmlformats.org/officeDocument/2006/relationships/image" Target="media/image69.png"/><Relationship Id="rId71" Type="http://schemas.openxmlformats.org/officeDocument/2006/relationships/image" Target="media/image10.png"/><Relationship Id="rId234" Type="http://schemas.openxmlformats.org/officeDocument/2006/relationships/hyperlink" Target="http://confucius.dvfu.ru/dvgu/missiya-i-tsel" TargetMode="External"/><Relationship Id="rId2" Type="http://schemas.openxmlformats.org/officeDocument/2006/relationships/styles" Target="styles.xml"/><Relationship Id="rId29" Type="http://schemas.openxmlformats.org/officeDocument/2006/relationships/hyperlink" Target="https://postnauka.ru/faq/28344" TargetMode="External"/><Relationship Id="rId276" Type="http://schemas.openxmlformats.org/officeDocument/2006/relationships/image" Target="media/image32.jpg"/><Relationship Id="rId441" Type="http://schemas.openxmlformats.org/officeDocument/2006/relationships/image" Target="media/image105.wmf"/><Relationship Id="rId483" Type="http://schemas.openxmlformats.org/officeDocument/2006/relationships/hyperlink" Target="http://cryptonovosti.com/budushhee-kriptovalyut-cherez-20-let" TargetMode="External"/><Relationship Id="rId40" Type="http://schemas.openxmlformats.org/officeDocument/2006/relationships/chart" Target="charts/chart16.xml"/><Relationship Id="rId136" Type="http://schemas.openxmlformats.org/officeDocument/2006/relationships/hyperlink" Target="http://environmental_law.academic.ru/702/%D1%80%D0%B0%D1%81%D0%BF%D1%80%D0%BE%D1%81%D1%82%D1%80%D0%B0%D0%BD%D0%B5%D0%BD%D0%B8%D0%B5_%D1%8D%D0%BA%D0%BE%D0%BB%D0%BE%D0%B3%D0%B8%D1%87%D0%B5%D1%81%D0%BA%D0%B8%D1%85_%D0%B7%D0%BD%D0%B0%D0%BD%D0%B8%D0%B9" TargetMode="External"/><Relationship Id="rId178" Type="http://schemas.openxmlformats.org/officeDocument/2006/relationships/hyperlink" Target="https://elibrary.ru/contents.asp?issueid=1771019" TargetMode="External"/><Relationship Id="rId301" Type="http://schemas.openxmlformats.org/officeDocument/2006/relationships/image" Target="media/image48.wmf"/><Relationship Id="rId343" Type="http://schemas.openxmlformats.org/officeDocument/2006/relationships/hyperlink" Target="https://ru.wikipedia.org/wiki/%D0%9A%D0%BE%D0%B2%D0%BE%D1%80%D0%BA%D0%B8%D0%BD%D0%B3" TargetMode="External"/><Relationship Id="rId82" Type="http://schemas.openxmlformats.org/officeDocument/2006/relationships/image" Target="media/image15.png"/><Relationship Id="rId203" Type="http://schemas.openxmlformats.org/officeDocument/2006/relationships/hyperlink" Target="mailto:ponomareva.margarita.00@mail.ru" TargetMode="External"/><Relationship Id="rId385" Type="http://schemas.openxmlformats.org/officeDocument/2006/relationships/image" Target="media/image76.png"/><Relationship Id="rId245" Type="http://schemas.openxmlformats.org/officeDocument/2006/relationships/hyperlink" Target="https://www.pglu.ru/" TargetMode="External"/><Relationship Id="rId287" Type="http://schemas.openxmlformats.org/officeDocument/2006/relationships/image" Target="media/image39.png"/><Relationship Id="rId410" Type="http://schemas.openxmlformats.org/officeDocument/2006/relationships/oleObject" Target="embeddings/oleObject22.bin"/><Relationship Id="rId452" Type="http://schemas.openxmlformats.org/officeDocument/2006/relationships/oleObject" Target="embeddings/oleObject43.bin"/><Relationship Id="rId494" Type="http://schemas.openxmlformats.org/officeDocument/2006/relationships/chart" Target="charts/chart45.xml"/><Relationship Id="rId105" Type="http://schemas.openxmlformats.org/officeDocument/2006/relationships/hyperlink" Target="http://files.stroyinf.ru/data2/1/4293852/4293852098.htm" TargetMode="External"/><Relationship Id="rId147" Type="http://schemas.openxmlformats.org/officeDocument/2006/relationships/hyperlink" Target="https://ru.wikipedia.org/wiki/%D0%9E%D0%BA%D1%80%D1%83%D0%B6%D0%B0%D1%8E%D1%89%D0%B0%D1%8F_%D1%81%D1%80%D0%B5%D0%B4%D0%B0" TargetMode="External"/><Relationship Id="rId312" Type="http://schemas.openxmlformats.org/officeDocument/2006/relationships/image" Target="media/image54.jpg"/><Relationship Id="rId354" Type="http://schemas.openxmlformats.org/officeDocument/2006/relationships/image" Target="media/image65.png"/><Relationship Id="rId51" Type="http://schemas.openxmlformats.org/officeDocument/2006/relationships/chart" Target="charts/chart17.xml"/><Relationship Id="rId93" Type="http://schemas.openxmlformats.org/officeDocument/2006/relationships/image" Target="media/image18.png"/><Relationship Id="rId189" Type="http://schemas.openxmlformats.org/officeDocument/2006/relationships/hyperlink" Target="mailto:Lets_chat@mail.ru" TargetMode="External"/><Relationship Id="rId396" Type="http://schemas.openxmlformats.org/officeDocument/2006/relationships/oleObject" Target="embeddings/oleObject15.bin"/><Relationship Id="rId214" Type="http://schemas.openxmlformats.org/officeDocument/2006/relationships/hyperlink" Target="https://sibac.info/studconf/science/ii/27289" TargetMode="External"/><Relationship Id="rId256" Type="http://schemas.openxmlformats.org/officeDocument/2006/relationships/hyperlink" Target="https://www.washingtonpost.com/opinions/japan-and-chinas-island-argument-is-a-us-concern/2013/02/05/fbc7ed62-6999-11e2-af53-7b2b2a7510a8_story.html?utm_term=.55a493df4ca8" TargetMode="External"/><Relationship Id="rId298" Type="http://schemas.openxmlformats.org/officeDocument/2006/relationships/oleObject" Target="embeddings/oleObject6.bin"/><Relationship Id="rId421" Type="http://schemas.openxmlformats.org/officeDocument/2006/relationships/image" Target="media/image95.wmf"/><Relationship Id="rId463" Type="http://schemas.openxmlformats.org/officeDocument/2006/relationships/image" Target="media/image116.wmf"/><Relationship Id="rId116" Type="http://schemas.openxmlformats.org/officeDocument/2006/relationships/hyperlink" Target="https://www.coca-colarussia.ru/stories/vladivostok-plant" TargetMode="External"/><Relationship Id="rId158" Type="http://schemas.openxmlformats.org/officeDocument/2006/relationships/image" Target="media/image23.png"/><Relationship Id="rId323" Type="http://schemas.openxmlformats.org/officeDocument/2006/relationships/hyperlink" Target="mailto:sh-nadusha2010@yandex.ru" TargetMode="External"/><Relationship Id="rId20" Type="http://schemas.openxmlformats.org/officeDocument/2006/relationships/chart" Target="charts/chart5.xml"/><Relationship Id="rId62" Type="http://schemas.openxmlformats.org/officeDocument/2006/relationships/chart" Target="charts/chart23.xml"/><Relationship Id="rId365" Type="http://schemas.openxmlformats.org/officeDocument/2006/relationships/hyperlink" Target="http://www.labourmarket.ru/conf10/reports/gavrilova.doc" TargetMode="External"/><Relationship Id="rId190" Type="http://schemas.openxmlformats.org/officeDocument/2006/relationships/hyperlink" Target="http://docs.cntd.ru/document/901764502" TargetMode="External"/><Relationship Id="rId204" Type="http://schemas.openxmlformats.org/officeDocument/2006/relationships/hyperlink" Target="http://www.consultant.ru/document/cons_doc_LAW_4172/" TargetMode="External"/><Relationship Id="rId225" Type="http://schemas.openxmlformats.org/officeDocument/2006/relationships/hyperlink" Target="https://xn--80abucjiibhv9a.xn--p1ai/m/%D0%BD%D0%BE%D0%B2%D0%BE%D1%81%D1%82%D0%B8/5691" TargetMode="External"/><Relationship Id="rId246" Type="http://schemas.openxmlformats.org/officeDocument/2006/relationships/hyperlink" Target="http://www.tass.ru/obschestvo/4698873" TargetMode="External"/><Relationship Id="rId267" Type="http://schemas.openxmlformats.org/officeDocument/2006/relationships/hyperlink" Target="http://zakonrus.ru/gost1/ost54128302-94.htm" TargetMode="External"/><Relationship Id="rId288" Type="http://schemas.openxmlformats.org/officeDocument/2006/relationships/image" Target="media/image40.png"/><Relationship Id="rId411" Type="http://schemas.openxmlformats.org/officeDocument/2006/relationships/image" Target="media/image90.wmf"/><Relationship Id="rId432" Type="http://schemas.openxmlformats.org/officeDocument/2006/relationships/oleObject" Target="embeddings/oleObject34.bin"/><Relationship Id="rId453" Type="http://schemas.openxmlformats.org/officeDocument/2006/relationships/image" Target="media/image111.wmf"/><Relationship Id="rId474" Type="http://schemas.openxmlformats.org/officeDocument/2006/relationships/hyperlink" Target="mailto:roman.borisov@vvsu.ru" TargetMode="External"/><Relationship Id="rId106" Type="http://schemas.openxmlformats.org/officeDocument/2006/relationships/hyperlink" Target="http://files.stroyinf.ru/Data2/1/4293837/4293837763.pdf" TargetMode="External"/><Relationship Id="rId127" Type="http://schemas.openxmlformats.org/officeDocument/2006/relationships/hyperlink" Target="http://www.consultant.ru/document/cons_doc_LAW_19109/" TargetMode="External"/><Relationship Id="rId313" Type="http://schemas.openxmlformats.org/officeDocument/2006/relationships/image" Target="media/image55.jpg"/><Relationship Id="rId495" Type="http://schemas.openxmlformats.org/officeDocument/2006/relationships/fontTable" Target="fontTable.xml"/><Relationship Id="rId10" Type="http://schemas.openxmlformats.org/officeDocument/2006/relationships/hyperlink" Target="https://elibrary.ru/contents.asp?issueid=1167679" TargetMode="External"/><Relationship Id="rId31" Type="http://schemas.openxmlformats.org/officeDocument/2006/relationships/chart" Target="charts/chart7.xml"/><Relationship Id="rId52" Type="http://schemas.openxmlformats.org/officeDocument/2006/relationships/image" Target="media/image6.png"/><Relationship Id="rId73" Type="http://schemas.openxmlformats.org/officeDocument/2006/relationships/image" Target="media/image11.png"/><Relationship Id="rId94" Type="http://schemas.openxmlformats.org/officeDocument/2006/relationships/hyperlink" Target="mailto:sima199973@gmail.com" TargetMode="External"/><Relationship Id="rId148" Type="http://schemas.openxmlformats.org/officeDocument/2006/relationships/hyperlink" Target="https://ru.wikipedia.org/wiki/%D0%92%D1%82%D0%BE%D1%80%D0%B8%D1%87%D0%BD%D0%BE%D0%B5_%D0%B8%D1%81%D0%BF%D0%BE%D0%BB%D1%8C%D0%B7%D0%BE%D0%B2%D0%B0%D0%BD%D0%B8%D0%B5" TargetMode="External"/><Relationship Id="rId169" Type="http://schemas.openxmlformats.org/officeDocument/2006/relationships/hyperlink" Target="http://www.consultant.ru/document/cons_doc_LAW_49025/" TargetMode="External"/><Relationship Id="rId334" Type="http://schemas.openxmlformats.org/officeDocument/2006/relationships/image" Target="media/image59.emf"/><Relationship Id="rId355" Type="http://schemas.openxmlformats.org/officeDocument/2006/relationships/image" Target="media/image66.png"/><Relationship Id="rId376" Type="http://schemas.openxmlformats.org/officeDocument/2006/relationships/image" Target="media/image71.png"/><Relationship Id="rId397" Type="http://schemas.openxmlformats.org/officeDocument/2006/relationships/image" Target="media/image83.wmf"/><Relationship Id="rId4" Type="http://schemas.openxmlformats.org/officeDocument/2006/relationships/webSettings" Target="webSettings.xml"/><Relationship Id="rId180" Type="http://schemas.openxmlformats.org/officeDocument/2006/relationships/hyperlink" Target="https://elibrary.ru/item.asp?id=28037689" TargetMode="External"/><Relationship Id="rId215" Type="http://schemas.openxmlformats.org/officeDocument/2006/relationships/hyperlink" Target="https://xn--80abucjiibhv9a.xn--p1ai/m/%D0%BD%D0%BE%D0%B2%D0%BE%D1%81%D1%82%D0%B8/5691" TargetMode="External"/><Relationship Id="rId236" Type="http://schemas.openxmlformats.org/officeDocument/2006/relationships/hyperlink" Target="http://usa.chinadaily.com.cn/epaper/2012-12/03/content_15980161.htm" TargetMode="External"/><Relationship Id="rId257" Type="http://schemas.openxmlformats.org/officeDocument/2006/relationships/hyperlink" Target="http://tass.ru/mezhdunarodnaya-panorama/4908861" TargetMode="External"/><Relationship Id="rId278" Type="http://schemas.openxmlformats.org/officeDocument/2006/relationships/image" Target="media/image34.jpg"/><Relationship Id="rId401" Type="http://schemas.openxmlformats.org/officeDocument/2006/relationships/image" Target="media/image85.wmf"/><Relationship Id="rId422" Type="http://schemas.openxmlformats.org/officeDocument/2006/relationships/oleObject" Target="embeddings/oleObject28.bin"/><Relationship Id="rId443" Type="http://schemas.openxmlformats.org/officeDocument/2006/relationships/image" Target="media/image106.wmf"/><Relationship Id="rId464" Type="http://schemas.openxmlformats.org/officeDocument/2006/relationships/oleObject" Target="embeddings/oleObject49.bin"/><Relationship Id="rId303" Type="http://schemas.openxmlformats.org/officeDocument/2006/relationships/image" Target="media/image49.wmf"/><Relationship Id="rId485" Type="http://schemas.openxmlformats.org/officeDocument/2006/relationships/hyperlink" Target="http://mitg.vvsu.ru/files/9C77C29F-A592-4420-BF37-D01760DA1016.docx" TargetMode="External"/><Relationship Id="rId42" Type="http://schemas.openxmlformats.org/officeDocument/2006/relationships/hyperlink" Target="http://zakupki.kontur.ru" TargetMode="External"/><Relationship Id="rId84" Type="http://schemas.openxmlformats.org/officeDocument/2006/relationships/chart" Target="charts/chart25.xml"/><Relationship Id="rId138" Type="http://schemas.openxmlformats.org/officeDocument/2006/relationships/hyperlink" Target="http://fzrf.su/zakon/ob-osobo-ohranyaemyh-prirodnyh-territoriyah-33-fz/st-13.php" TargetMode="External"/><Relationship Id="rId345" Type="http://schemas.openxmlformats.org/officeDocument/2006/relationships/hyperlink" Target="https://ru.wikipedia.org/wiki/%D0%9A%D0%BE%D0%B2%D0%BE%D1%80%D0%BA%D0%B8%D0%BD%D0%B3" TargetMode="External"/><Relationship Id="rId387" Type="http://schemas.openxmlformats.org/officeDocument/2006/relationships/image" Target="media/image78.wmf"/><Relationship Id="rId191" Type="http://schemas.openxmlformats.org/officeDocument/2006/relationships/hyperlink" Target="http://www.randewy.ru/prot/marpol.html" TargetMode="External"/><Relationship Id="rId205" Type="http://schemas.openxmlformats.org/officeDocument/2006/relationships/hyperlink" Target="mailto:amur_vl@mail.ru" TargetMode="External"/><Relationship Id="rId247" Type="http://schemas.openxmlformats.org/officeDocument/2006/relationships/hyperlink" Target="mailto:sokorutovaaa@bk.ru" TargetMode="External"/><Relationship Id="rId412" Type="http://schemas.openxmlformats.org/officeDocument/2006/relationships/oleObject" Target="embeddings/oleObject23.bin"/><Relationship Id="rId107" Type="http://schemas.openxmlformats.org/officeDocument/2006/relationships/hyperlink" Target="https://dic.academic.ru/dic.nsf/ruwiki/901061" TargetMode="External"/><Relationship Id="rId289" Type="http://schemas.openxmlformats.org/officeDocument/2006/relationships/image" Target="media/image41.png"/><Relationship Id="rId454" Type="http://schemas.openxmlformats.org/officeDocument/2006/relationships/oleObject" Target="embeddings/oleObject44.bin"/><Relationship Id="rId496" Type="http://schemas.openxmlformats.org/officeDocument/2006/relationships/theme" Target="theme/theme1.xml"/><Relationship Id="rId11" Type="http://schemas.openxmlformats.org/officeDocument/2006/relationships/hyperlink" Target="mailto:demchenko.denis.1996@mail.ru" TargetMode="External"/><Relationship Id="rId53" Type="http://schemas.openxmlformats.org/officeDocument/2006/relationships/hyperlink" Target="http://economy-ru.info/info/102141" TargetMode="External"/><Relationship Id="rId149" Type="http://schemas.openxmlformats.org/officeDocument/2006/relationships/hyperlink" Target="https://ru.wikipedia.org/wiki/%D0%9F%D0%B5%D1%80%D0%B5%D1%80%D0%B0%D0%B1%D0%BE%D1%82%D0%BA%D0%B0_%D0%BE%D1%82%D1%85%D0%BE%D0%B4%D0%BE%D0%B2" TargetMode="External"/><Relationship Id="rId314" Type="http://schemas.openxmlformats.org/officeDocument/2006/relationships/image" Target="media/image56.jpg"/><Relationship Id="rId356" Type="http://schemas.openxmlformats.org/officeDocument/2006/relationships/image" Target="media/image67.png"/><Relationship Id="rId398" Type="http://schemas.openxmlformats.org/officeDocument/2006/relationships/oleObject" Target="embeddings/oleObject16.bin"/><Relationship Id="rId95" Type="http://schemas.openxmlformats.org/officeDocument/2006/relationships/hyperlink" Target="http://biblioclub.ru/index.php?page=author_red&amp;id=29038" TargetMode="External"/><Relationship Id="rId160" Type="http://schemas.openxmlformats.org/officeDocument/2006/relationships/hyperlink" Target="http://profstandart.rosmintrud.ru/" TargetMode="External"/><Relationship Id="rId216" Type="http://schemas.openxmlformats.org/officeDocument/2006/relationships/hyperlink" Target="https://www.edscience.ru/jour/article/view/235/230" TargetMode="External"/><Relationship Id="rId423" Type="http://schemas.openxmlformats.org/officeDocument/2006/relationships/image" Target="media/image96.wmf"/><Relationship Id="rId258" Type="http://schemas.openxmlformats.org/officeDocument/2006/relationships/hyperlink" Target="https://www.nytimes.com/2013/01/07/opinion/why-china-and-japan-cant-get-along.html" TargetMode="External"/><Relationship Id="rId465" Type="http://schemas.openxmlformats.org/officeDocument/2006/relationships/image" Target="media/image117.wmf"/><Relationship Id="rId22" Type="http://schemas.openxmlformats.org/officeDocument/2006/relationships/hyperlink" Target="http://standartgost.ru/54393-2011" TargetMode="External"/><Relationship Id="rId64" Type="http://schemas.openxmlformats.org/officeDocument/2006/relationships/hyperlink" Target="https://primamedia.ru/news/600412/" TargetMode="External"/><Relationship Id="rId118" Type="http://schemas.openxmlformats.org/officeDocument/2006/relationships/hyperlink" Target="https://www.coca-colarussia.ru/stories/why-a-world-without-waste-is-possible" TargetMode="External"/><Relationship Id="rId325" Type="http://schemas.openxmlformats.org/officeDocument/2006/relationships/hyperlink" Target="mailto:Plum95@mail.ru" TargetMode="External"/><Relationship Id="rId367" Type="http://schemas.openxmlformats.org/officeDocument/2006/relationships/hyperlink" Target="http://www.consultant.ru/document/cons_doc_LAW_140174/" TargetMode="External"/><Relationship Id="rId171" Type="http://schemas.openxmlformats.org/officeDocument/2006/relationships/hyperlink" Target="http://www.bk.pk.ru/about/municipalprog/arkhitektur%D0%B0/" TargetMode="External"/><Relationship Id="rId227" Type="http://schemas.openxmlformats.org/officeDocument/2006/relationships/hyperlink" Target="http://www.demoscope.ru/weekly/2017/0715/demoscope715.pdf" TargetMode="External"/><Relationship Id="rId269" Type="http://schemas.openxmlformats.org/officeDocument/2006/relationships/image" Target="media/image26.png"/><Relationship Id="rId434" Type="http://schemas.openxmlformats.org/officeDocument/2006/relationships/oleObject" Target="embeddings/oleObject35.bin"/><Relationship Id="rId476" Type="http://schemas.openxmlformats.org/officeDocument/2006/relationships/image" Target="media/image120.png"/><Relationship Id="rId33" Type="http://schemas.openxmlformats.org/officeDocument/2006/relationships/chart" Target="charts/chart9.xml"/><Relationship Id="rId129" Type="http://schemas.openxmlformats.org/officeDocument/2006/relationships/hyperlink" Target="http://www.consultant.ru/document/cons_doc_LAW_6072/" TargetMode="External"/><Relationship Id="rId280" Type="http://schemas.openxmlformats.org/officeDocument/2006/relationships/hyperlink" Target="http://news.ifeng.com/a/20151205/46535263_0.shtml" TargetMode="External"/><Relationship Id="rId336" Type="http://schemas.openxmlformats.org/officeDocument/2006/relationships/image" Target="media/image60.emf"/><Relationship Id="rId75" Type="http://schemas.openxmlformats.org/officeDocument/2006/relationships/image" Target="media/image12.png"/><Relationship Id="rId140" Type="http://schemas.openxmlformats.org/officeDocument/2006/relationships/hyperlink" Target="mailto:vika8994@gmai.com" TargetMode="External"/><Relationship Id="rId182" Type="http://schemas.openxmlformats.org/officeDocument/2006/relationships/hyperlink" Target="https://www.echr.coe.int/Documents/Annual_report_2013_ENG.pdf/" TargetMode="External"/><Relationship Id="rId378" Type="http://schemas.openxmlformats.org/officeDocument/2006/relationships/hyperlink" Target="https://cyberleninka.ru/journal/n/izvestiya-baykalskogo-gosudarstvennogo-universiteta" TargetMode="External"/><Relationship Id="rId403" Type="http://schemas.openxmlformats.org/officeDocument/2006/relationships/image" Target="media/image86.wmf"/><Relationship Id="rId6" Type="http://schemas.openxmlformats.org/officeDocument/2006/relationships/endnotes" Target="endnotes.xml"/><Relationship Id="rId238" Type="http://schemas.openxmlformats.org/officeDocument/2006/relationships/hyperlink" Target="http://kremlin.ru/events/president/news/56046" TargetMode="External"/><Relationship Id="rId445" Type="http://schemas.openxmlformats.org/officeDocument/2006/relationships/image" Target="media/image107.wmf"/><Relationship Id="rId487" Type="http://schemas.openxmlformats.org/officeDocument/2006/relationships/hyperlink" Target="https://www.russiatourism.ru/data/File/news_file/2014/PISAREVSKIY_Osnovi%20turizma.pdf" TargetMode="External"/><Relationship Id="rId291" Type="http://schemas.openxmlformats.org/officeDocument/2006/relationships/image" Target="media/image43.png"/><Relationship Id="rId305" Type="http://schemas.openxmlformats.org/officeDocument/2006/relationships/hyperlink" Target="mailto:Natalya.ivanenko@vvsu.ru" TargetMode="External"/><Relationship Id="rId347" Type="http://schemas.openxmlformats.org/officeDocument/2006/relationships/image" Target="media/image64.png"/><Relationship Id="rId44" Type="http://schemas.openxmlformats.org/officeDocument/2006/relationships/image" Target="media/image2.png"/><Relationship Id="rId86" Type="http://schemas.openxmlformats.org/officeDocument/2006/relationships/chart" Target="charts/chart27.xml"/><Relationship Id="rId151" Type="http://schemas.openxmlformats.org/officeDocument/2006/relationships/hyperlink" Target="http://bigpicture.ru/?p=945033" TargetMode="External"/><Relationship Id="rId389" Type="http://schemas.openxmlformats.org/officeDocument/2006/relationships/image" Target="media/image79.wmf"/><Relationship Id="rId193" Type="http://schemas.openxmlformats.org/officeDocument/2006/relationships/hyperlink" Target="http://docs.cntd.ru/document/901764502" TargetMode="External"/><Relationship Id="rId207" Type="http://schemas.openxmlformats.org/officeDocument/2006/relationships/hyperlink" Target="http://unesdoc.unesco.org/images/0015/001579/157989e.pdf" TargetMode="External"/><Relationship Id="rId249" Type="http://schemas.openxmlformats.org/officeDocument/2006/relationships/hyperlink" Target="https://www.pravda.ru/world/asia/fareast/30-05-2013/1158832-senkaku-0/" TargetMode="External"/><Relationship Id="rId414" Type="http://schemas.openxmlformats.org/officeDocument/2006/relationships/oleObject" Target="embeddings/oleObject24.bin"/><Relationship Id="rId456" Type="http://schemas.openxmlformats.org/officeDocument/2006/relationships/oleObject" Target="embeddings/oleObject45.bin"/><Relationship Id="rId13" Type="http://schemas.openxmlformats.org/officeDocument/2006/relationships/hyperlink" Target="mailto:violetta.lysenko.97@mail.ru" TargetMode="External"/><Relationship Id="rId109" Type="http://schemas.openxmlformats.org/officeDocument/2006/relationships/hyperlink" Target="http://www.list-org.com/company/850639" TargetMode="External"/><Relationship Id="rId260" Type="http://schemas.openxmlformats.org/officeDocument/2006/relationships/hyperlink" Target="http://www.easttime.ru" TargetMode="External"/><Relationship Id="rId316" Type="http://schemas.openxmlformats.org/officeDocument/2006/relationships/hyperlink" Target="https://rg.ru/author-Inna-Zubareva/" TargetMode="External"/><Relationship Id="rId55" Type="http://schemas.openxmlformats.org/officeDocument/2006/relationships/chart" Target="charts/chart19.xml"/><Relationship Id="rId97" Type="http://schemas.openxmlformats.org/officeDocument/2006/relationships/hyperlink" Target="http://biblioclub.ru/index.php?page=author_red&amp;id=105428" TargetMode="External"/><Relationship Id="rId120" Type="http://schemas.openxmlformats.org/officeDocument/2006/relationships/chart" Target="charts/chart35.xml"/><Relationship Id="rId358" Type="http://schemas.openxmlformats.org/officeDocument/2006/relationships/hyperlink" Target="http://bda-expert.com/2015/04/rezultaty-i-osnovnye-napravleniya-deyatelnosti-ministerstva-obrazovaniya-i-nauki-rossijskoj-federacii-na-2016-2018-gody/" TargetMode="External"/><Relationship Id="rId162" Type="http://schemas.openxmlformats.org/officeDocument/2006/relationships/hyperlink" Target="http://www.consultant.ru/document/cons_doc_LAW_5142/" TargetMode="External"/><Relationship Id="rId218" Type="http://schemas.openxmlformats.org/officeDocument/2006/relationships/hyperlink" Target="http://ruchina.org/china-article/china/1513.html" TargetMode="External"/><Relationship Id="rId425" Type="http://schemas.openxmlformats.org/officeDocument/2006/relationships/oleObject" Target="embeddings/oleObject30.bin"/><Relationship Id="rId467" Type="http://schemas.openxmlformats.org/officeDocument/2006/relationships/image" Target="media/image118.wmf"/><Relationship Id="rId271" Type="http://schemas.openxmlformats.org/officeDocument/2006/relationships/image" Target="media/image28.jpg"/><Relationship Id="rId24" Type="http://schemas.openxmlformats.org/officeDocument/2006/relationships/hyperlink" Target="http://www.consultant.ru/document/cons_doc_LAW_163320/" TargetMode="External"/><Relationship Id="rId66" Type="http://schemas.openxmlformats.org/officeDocument/2006/relationships/image" Target="media/image8.png"/><Relationship Id="rId131" Type="http://schemas.openxmlformats.org/officeDocument/2006/relationships/image" Target="media/image22.png"/><Relationship Id="rId327" Type="http://schemas.openxmlformats.org/officeDocument/2006/relationships/hyperlink" Target="https://ru.wikipedia.org/wiki/%D0%90%D0%BD%D0%B3%D0%BB%D0%B8%D0%B9%D1%81%D0%BA%D0%B8%D0%B9_%D1%8F%D0%B7%D1%8B%D0%BA" TargetMode="External"/><Relationship Id="rId369" Type="http://schemas.openxmlformats.org/officeDocument/2006/relationships/hyperlink" Target="mailto:lero4ka150396@mail.ru" TargetMode="External"/><Relationship Id="rId173" Type="http://schemas.openxmlformats.org/officeDocument/2006/relationships/hyperlink" Target="http://www.nadezhdinsky.ru/" TargetMode="External"/><Relationship Id="rId229" Type="http://schemas.openxmlformats.org/officeDocument/2006/relationships/hyperlink" Target="https://laboratoryequipment.com/article/2013/04/chinese-russian-approaches-higher-education" TargetMode="External"/><Relationship Id="rId380" Type="http://schemas.openxmlformats.org/officeDocument/2006/relationships/hyperlink" Target="mailto:vvrunets@gmail.com" TargetMode="External"/><Relationship Id="rId436" Type="http://schemas.openxmlformats.org/officeDocument/2006/relationships/oleObject" Target="embeddings/oleObject36.bin"/><Relationship Id="rId240" Type="http://schemas.openxmlformats.org/officeDocument/2006/relationships/hyperlink" Target="http://politrussia.com/ecology/rossiya-i-kitay-809/" TargetMode="External"/><Relationship Id="rId478" Type="http://schemas.openxmlformats.org/officeDocument/2006/relationships/hyperlink" Target="http://bitcoin-evolution.com/bitcoin-network-complexity-history/" TargetMode="External"/><Relationship Id="rId35" Type="http://schemas.openxmlformats.org/officeDocument/2006/relationships/chart" Target="charts/chart11.xml"/><Relationship Id="rId77" Type="http://schemas.openxmlformats.org/officeDocument/2006/relationships/image" Target="media/image13.png"/><Relationship Id="rId100" Type="http://schemas.openxmlformats.org/officeDocument/2006/relationships/hyperlink" Target="http://ekobalans.ru/index.php?id=79" TargetMode="External"/><Relationship Id="rId282" Type="http://schemas.openxmlformats.org/officeDocument/2006/relationships/hyperlink" Target="Tel:89041127144" TargetMode="External"/><Relationship Id="rId338" Type="http://schemas.openxmlformats.org/officeDocument/2006/relationships/image" Target="media/image61.emf"/><Relationship Id="rId8" Type="http://schemas.openxmlformats.org/officeDocument/2006/relationships/chart" Target="charts/chart2.xml"/><Relationship Id="rId142" Type="http://schemas.openxmlformats.org/officeDocument/2006/relationships/hyperlink" Target="http://rpn.gov.ru/opendata/7703381225-control" TargetMode="External"/><Relationship Id="rId184" Type="http://schemas.openxmlformats.org/officeDocument/2006/relationships/hyperlink" Target="https://www.echr.coe.int/Documents/Annual_Report_2015_ENG.pdf" TargetMode="External"/><Relationship Id="rId391" Type="http://schemas.openxmlformats.org/officeDocument/2006/relationships/image" Target="media/image80.wmf"/><Relationship Id="rId405" Type="http://schemas.openxmlformats.org/officeDocument/2006/relationships/image" Target="media/image87.wmf"/><Relationship Id="rId447" Type="http://schemas.openxmlformats.org/officeDocument/2006/relationships/image" Target="media/image108.wmf"/><Relationship Id="rId251" Type="http://schemas.openxmlformats.org/officeDocument/2006/relationships/hyperlink" Target="http://www.pewresearch.org/" TargetMode="External"/><Relationship Id="rId489" Type="http://schemas.openxmlformats.org/officeDocument/2006/relationships/chart" Target="charts/chart40.xml"/><Relationship Id="rId46" Type="http://schemas.openxmlformats.org/officeDocument/2006/relationships/image" Target="media/image4.png"/><Relationship Id="rId293" Type="http://schemas.openxmlformats.org/officeDocument/2006/relationships/image" Target="media/image45.jpg"/><Relationship Id="rId307" Type="http://schemas.openxmlformats.org/officeDocument/2006/relationships/hyperlink" Target="http://rb.mchs.gov.ru/radiation_map?district=35" TargetMode="External"/><Relationship Id="rId349" Type="http://schemas.openxmlformats.org/officeDocument/2006/relationships/hyperlink" Target="http://www.vvsu.ru/latest/article/2145515181/vo_vgues_otkryt_kovorking" TargetMode="External"/><Relationship Id="rId88" Type="http://schemas.openxmlformats.org/officeDocument/2006/relationships/chart" Target="charts/chart29.xml"/><Relationship Id="rId111" Type="http://schemas.openxmlformats.org/officeDocument/2006/relationships/hyperlink" Target="http://files.stroyinf.ru/data2/1/4293852/4293852098.htm" TargetMode="External"/><Relationship Id="rId153" Type="http://schemas.openxmlformats.org/officeDocument/2006/relationships/hyperlink" Target="https://vuzlit.ru/1268606/ekologicheskoe_prosveschenie_obrazovanie" TargetMode="External"/><Relationship Id="rId195" Type="http://schemas.openxmlformats.org/officeDocument/2006/relationships/hyperlink" Target="http://www.consultant.ru/document/cons_doc_LAW_60683/" TargetMode="External"/><Relationship Id="rId209" Type="http://schemas.openxmlformats.org/officeDocument/2006/relationships/hyperlink" Target="https://www.google.ru/url?sa=t&amp;rct=j&amp;q=&amp;esrc=s&amp;source=web&amp;cd=5&amp;ved=0ahUKEwjQnYSy0s_aAhWyxKYKHZwjC00QFghAMAQ&amp;url=https%3A%2F%2Fstatecon.rea.ru%2Fjour%2Farticle%2Fdownload%2F202%2F184&amp;usg=AOvVaw2970ir29dPaFBtP9UOP7pT" TargetMode="External"/><Relationship Id="rId360" Type="http://schemas.openxmlformats.org/officeDocument/2006/relationships/hyperlink" Target="http://allvuzes.ru/catalog" TargetMode="External"/><Relationship Id="rId416" Type="http://schemas.openxmlformats.org/officeDocument/2006/relationships/oleObject" Target="embeddings/oleObject25.bin"/><Relationship Id="rId220" Type="http://schemas.openxmlformats.org/officeDocument/2006/relationships/hyperlink" Target="https://www.laboratoryequipment.com/article/2013/04/chinese-russian-approaches-higher-education" TargetMode="External"/><Relationship Id="rId458" Type="http://schemas.openxmlformats.org/officeDocument/2006/relationships/oleObject" Target="embeddings/oleObject46.bin"/><Relationship Id="rId15" Type="http://schemas.openxmlformats.org/officeDocument/2006/relationships/hyperlink" Target="https://yandex.ru/company/researches" TargetMode="External"/><Relationship Id="rId57" Type="http://schemas.openxmlformats.org/officeDocument/2006/relationships/chart" Target="charts/chart21.xml"/><Relationship Id="rId262" Type="http://schemas.openxmlformats.org/officeDocument/2006/relationships/image" Target="media/image25.png"/><Relationship Id="rId318" Type="http://schemas.openxmlformats.org/officeDocument/2006/relationships/hyperlink" Target="https://www.drive2.ru/c/471924685366362325/" TargetMode="External"/><Relationship Id="rId99" Type="http://schemas.openxmlformats.org/officeDocument/2006/relationships/chart" Target="charts/chart33.xml"/><Relationship Id="rId122" Type="http://schemas.openxmlformats.org/officeDocument/2006/relationships/hyperlink" Target="mailto:mia000@bk.ru" TargetMode="External"/><Relationship Id="rId164" Type="http://schemas.openxmlformats.org/officeDocument/2006/relationships/hyperlink" Target="mailto:anaandr96@mail.ru" TargetMode="External"/><Relationship Id="rId371" Type="http://schemas.openxmlformats.org/officeDocument/2006/relationships/hyperlink" Target="https://babel.hathitrust.org/cgi/pt?id=mdp.39015077178146;view=1up;seq=1" TargetMode="External"/><Relationship Id="rId427" Type="http://schemas.openxmlformats.org/officeDocument/2006/relationships/image" Target="media/image97.wmf"/><Relationship Id="rId469" Type="http://schemas.openxmlformats.org/officeDocument/2006/relationships/image" Target="media/image119.png"/><Relationship Id="rId26" Type="http://schemas.openxmlformats.org/officeDocument/2006/relationships/hyperlink" Target="mailto:dashuta.kuzmicheva@mail.ru" TargetMode="External"/><Relationship Id="rId231" Type="http://schemas.openxmlformats.org/officeDocument/2006/relationships/hyperlink" Target="mailto:Sergey.Demchenko@vvsu.ru" TargetMode="External"/><Relationship Id="rId273" Type="http://schemas.openxmlformats.org/officeDocument/2006/relationships/image" Target="media/image30.jpg"/><Relationship Id="rId329" Type="http://schemas.openxmlformats.org/officeDocument/2006/relationships/hyperlink" Target="http://futureruss.ru/wp-content/uploads/2015/08-.pdf" TargetMode="External"/><Relationship Id="rId480" Type="http://schemas.openxmlformats.org/officeDocument/2006/relationships/hyperlink" Target="https://www.vshu.ru/skolko-v-mire-bitkoinov/" TargetMode="External"/><Relationship Id="rId68" Type="http://schemas.openxmlformats.org/officeDocument/2006/relationships/hyperlink" Target="https://ru.wikipedia.org/w/index.php?title=%D0%94%D0%B5%D1%80%D0%B1%D0%B5%D0%BD%D1%82%D1%81%D0%BA%D0%B8%D0%B9_%D0%B7%D0%B0%D0%B2%D0%BE%D0%B4_%D0%B8%D0%B3%D1%80%D0%B8%D1%81%D1%82%D1%8B%D1%85_%D0%B2%D0%B8%D0%BD&amp;action=edit&amp;redlink=1" TargetMode="External"/><Relationship Id="rId133" Type="http://schemas.openxmlformats.org/officeDocument/2006/relationships/hyperlink" Target="http://www.consultant.ru/document/cons_doc_LAW_19109/" TargetMode="External"/><Relationship Id="rId175" Type="http://schemas.openxmlformats.org/officeDocument/2006/relationships/hyperlink" Target="http://old.erdc.ru/local/tpl/docs/ustav.pdf" TargetMode="External"/><Relationship Id="rId340" Type="http://schemas.openxmlformats.org/officeDocument/2006/relationships/image" Target="media/image62.emf"/><Relationship Id="rId200" Type="http://schemas.openxmlformats.org/officeDocument/2006/relationships/hyperlink" Target="http://www.cdep.ru/index.php?id=79" TargetMode="External"/><Relationship Id="rId382" Type="http://schemas.openxmlformats.org/officeDocument/2006/relationships/image" Target="media/image73.png"/><Relationship Id="rId438" Type="http://schemas.openxmlformats.org/officeDocument/2006/relationships/image" Target="media/image103.png"/><Relationship Id="rId242" Type="http://schemas.openxmlformats.org/officeDocument/2006/relationships/hyperlink" Target="http://www.visit-russia.ru/rossiysko-kitayskiy-turizm" TargetMode="External"/><Relationship Id="rId284" Type="http://schemas.openxmlformats.org/officeDocument/2006/relationships/image" Target="media/image36.png"/><Relationship Id="rId491" Type="http://schemas.openxmlformats.org/officeDocument/2006/relationships/chart" Target="charts/chart42.xml"/><Relationship Id="rId37" Type="http://schemas.openxmlformats.org/officeDocument/2006/relationships/chart" Target="charts/chart13.xml"/><Relationship Id="rId79" Type="http://schemas.openxmlformats.org/officeDocument/2006/relationships/hyperlink" Target="mailto:denlero4ka96@mail.ru" TargetMode="External"/><Relationship Id="rId102" Type="http://schemas.openxmlformats.org/officeDocument/2006/relationships/image" Target="media/image20.png"/><Relationship Id="rId144" Type="http://schemas.openxmlformats.org/officeDocument/2006/relationships/hyperlink" Target="http://rpn.gov.ru/opendata/7703381225-control" TargetMode="External"/><Relationship Id="rId90" Type="http://schemas.openxmlformats.org/officeDocument/2006/relationships/chart" Target="charts/chart31.xml"/><Relationship Id="rId186" Type="http://schemas.openxmlformats.org/officeDocument/2006/relationships/hyperlink" Target="http://sudact.ru/regular/doc/otvgZBn2yr5/" TargetMode="External"/><Relationship Id="rId351" Type="http://schemas.openxmlformats.org/officeDocument/2006/relationships/chart" Target="charts/chart39.xml"/><Relationship Id="rId393" Type="http://schemas.openxmlformats.org/officeDocument/2006/relationships/image" Target="media/image81.wmf"/><Relationship Id="rId407" Type="http://schemas.openxmlformats.org/officeDocument/2006/relationships/image" Target="media/image88.wmf"/><Relationship Id="rId449" Type="http://schemas.openxmlformats.org/officeDocument/2006/relationships/image" Target="media/image109.wmf"/><Relationship Id="rId211" Type="http://schemas.openxmlformats.org/officeDocument/2006/relationships/hyperlink" Target="https://www.google.ru/url?sa=t&amp;rct=j&amp;q=&amp;esrc=s&amp;source=web&amp;cd=5&amp;ved=0ahUKEwjQnYSy0s_aAhWyxKYKHZwjC00QFghAMAQ&amp;url=https%3A%2F%2Fstatecon.rea.ru%2Fjour%2Farticle%2Fdownload%2F202%2F184&amp;usg=AOvVaw2970ir29dPaFBtP9UOP7pT" TargetMode="External"/><Relationship Id="rId253" Type="http://schemas.openxmlformats.org/officeDocument/2006/relationships/hyperlink" Target="http://www.kyodonews.jp/english/" TargetMode="External"/><Relationship Id="rId295" Type="http://schemas.openxmlformats.org/officeDocument/2006/relationships/hyperlink" Target="mailto:svegegka5@mail.ru" TargetMode="External"/><Relationship Id="rId309" Type="http://schemas.openxmlformats.org/officeDocument/2006/relationships/image" Target="media/image51.png"/><Relationship Id="rId460" Type="http://schemas.openxmlformats.org/officeDocument/2006/relationships/oleObject" Target="embeddings/oleObject47.bin"/><Relationship Id="rId48" Type="http://schemas.openxmlformats.org/officeDocument/2006/relationships/hyperlink" Target="mailto:tsn-951128@mail.ru" TargetMode="External"/><Relationship Id="rId113" Type="http://schemas.openxmlformats.org/officeDocument/2006/relationships/hyperlink" Target="https://dic.academic.ru/dic.nsf/ruwiki/901061" TargetMode="External"/><Relationship Id="rId320" Type="http://schemas.openxmlformats.org/officeDocument/2006/relationships/hyperlink" Target="https://evge-chesnokov.livejournal.com/715414.html" TargetMode="External"/><Relationship Id="rId155" Type="http://schemas.openxmlformats.org/officeDocument/2006/relationships/hyperlink" Target="http://him.1september.ru/article.php?ID=200101001" TargetMode="External"/><Relationship Id="rId197" Type="http://schemas.openxmlformats.org/officeDocument/2006/relationships/hyperlink" Target="mailto:zaharzabara2@mail.ru" TargetMode="External"/><Relationship Id="rId362" Type="http://schemas.openxmlformats.org/officeDocument/2006/relationships/hyperlink" Target="http://&#1084;&#1080;&#1085;&#1086;&#1073;&#1088;&#1085;&#1072;&#1091;&#1082;&#1080;.&#1088;&#1092;/&#1076;&#1086;&#1082;&#1091;&#1084;&#1077;&#1085;&#1090;&#1099;/7951" TargetMode="External"/><Relationship Id="rId418" Type="http://schemas.openxmlformats.org/officeDocument/2006/relationships/oleObject" Target="embeddings/oleObject26.bin"/><Relationship Id="rId222" Type="http://schemas.openxmlformats.org/officeDocument/2006/relationships/hyperlink" Target="https://cyberleninka.ru/article/v/inostrannye-studenty-v-kitae-i-problemy-regulirovaniya-ih-prebyvaniya-v-strane" TargetMode="External"/><Relationship Id="rId264" Type="http://schemas.openxmlformats.org/officeDocument/2006/relationships/hyperlink" Target="http://www.remontpozitif.ru/publ/remont_i_zakon/zakony_o_remonte/blagoustrojstvo_i_soderzh%20anie_pridomovoj_territorii/48-1-0-1197" TargetMode="External"/><Relationship Id="rId471" Type="http://schemas.openxmlformats.org/officeDocument/2006/relationships/hyperlink" Target="http://www.gks.ru" TargetMode="External"/><Relationship Id="rId17" Type="http://schemas.openxmlformats.org/officeDocument/2006/relationships/hyperlink" Target="mailto:minyaylova96@mail.ru" TargetMode="External"/><Relationship Id="rId59" Type="http://schemas.openxmlformats.org/officeDocument/2006/relationships/hyperlink" Target="http://primorsky.ru/authorities/executive-agencies/departments/tourism/Documemts/Pril%2010.docx" TargetMode="External"/><Relationship Id="rId124" Type="http://schemas.openxmlformats.org/officeDocument/2006/relationships/hyperlink" Target="http://www.consultant.ru/document/cons_doc_LAW_221453/" TargetMode="External"/><Relationship Id="rId70" Type="http://schemas.openxmlformats.org/officeDocument/2006/relationships/image" Target="media/image9.png"/><Relationship Id="rId166" Type="http://schemas.openxmlformats.org/officeDocument/2006/relationships/hyperlink" Target="https://cyberleninka.ru/article/n/administrativnyy-dogovor-v-sisteme-organizatsii-gosudarstvenno-upravlencheskoy-deyatelnosti-rossiyskoy-federatsii" TargetMode="External"/><Relationship Id="rId331" Type="http://schemas.openxmlformats.org/officeDocument/2006/relationships/hyperlink" Target="http://turstat.com/bestgastronomictoursrussia2017" TargetMode="External"/><Relationship Id="rId373" Type="http://schemas.openxmlformats.org/officeDocument/2006/relationships/hyperlink" Target="http://www.vestnik.mgimo.ru/sites/default/files/vestnik/2011-19-4.pdf" TargetMode="External"/><Relationship Id="rId429" Type="http://schemas.openxmlformats.org/officeDocument/2006/relationships/image" Target="media/image98.wmf"/><Relationship Id="rId1" Type="http://schemas.openxmlformats.org/officeDocument/2006/relationships/numbering" Target="numbering.xml"/><Relationship Id="rId233" Type="http://schemas.openxmlformats.org/officeDocument/2006/relationships/hyperlink" Target="http://journals.sagepub.com/doi/abs/10.1111/1467-9256.12088" TargetMode="External"/><Relationship Id="rId440" Type="http://schemas.openxmlformats.org/officeDocument/2006/relationships/oleObject" Target="embeddings/oleObject37.bin"/><Relationship Id="rId28" Type="http://schemas.openxmlformats.org/officeDocument/2006/relationships/hyperlink" Target="mailto:Anna.Vershinina@vvsu.ru" TargetMode="External"/><Relationship Id="rId275" Type="http://schemas.openxmlformats.org/officeDocument/2006/relationships/hyperlink" Target="mailto:zouli2864@mail.ru" TargetMode="External"/><Relationship Id="rId300" Type="http://schemas.openxmlformats.org/officeDocument/2006/relationships/image" Target="media/image47.png"/><Relationship Id="rId482" Type="http://schemas.openxmlformats.org/officeDocument/2006/relationships/hyperlink" Target="https://forklog.com/cryptoscams-alert/" TargetMode="External"/><Relationship Id="rId81" Type="http://schemas.openxmlformats.org/officeDocument/2006/relationships/image" Target="media/image14.png"/><Relationship Id="rId135" Type="http://schemas.openxmlformats.org/officeDocument/2006/relationships/hyperlink" Target="https://www.gazeta-unp.ru/articles/51806-plata-za-negativnoe-vozdeystvie-na-okrujayushchuyu-sredu-v-2018-godu" TargetMode="External"/><Relationship Id="rId177" Type="http://schemas.openxmlformats.org/officeDocument/2006/relationships/hyperlink" Target="https://elibrary.ru/item.asp?id=27329472" TargetMode="External"/><Relationship Id="rId342" Type="http://schemas.openxmlformats.org/officeDocument/2006/relationships/hyperlink" Target="https://elibrary.ru/contents.asp?issueid=1407205" TargetMode="External"/><Relationship Id="rId384" Type="http://schemas.openxmlformats.org/officeDocument/2006/relationships/image" Target="media/image75.png"/><Relationship Id="rId202" Type="http://schemas.openxmlformats.org/officeDocument/2006/relationships/hyperlink" Target="http://taganrogsky.ros.sudrf.ru/modules.php?name=info_court&amp;id=10" TargetMode="External"/><Relationship Id="rId244" Type="http://schemas.openxmlformats.org/officeDocument/2006/relationships/hyperlink" Target="http://www.xn--b1ae2adf4f.xn--p1ai/article/42327-kitayskie-smi-tuppotok-iz-kitaya-v-possiyu-vypos-na-31.html" TargetMode="External"/><Relationship Id="rId39" Type="http://schemas.openxmlformats.org/officeDocument/2006/relationships/chart" Target="charts/chart15.xml"/><Relationship Id="rId286" Type="http://schemas.openxmlformats.org/officeDocument/2006/relationships/image" Target="media/image38.png"/><Relationship Id="rId451" Type="http://schemas.openxmlformats.org/officeDocument/2006/relationships/image" Target="media/image110.wmf"/><Relationship Id="rId493" Type="http://schemas.openxmlformats.org/officeDocument/2006/relationships/chart" Target="charts/chart44.xml"/><Relationship Id="rId50" Type="http://schemas.openxmlformats.org/officeDocument/2006/relationships/package" Target="embeddings/_________Microsoft_Visio17.vsdx"/><Relationship Id="rId104" Type="http://schemas.openxmlformats.org/officeDocument/2006/relationships/hyperlink" Target="http://files.stroyinf.ru/Data2/1/4294849/4294849657.htm" TargetMode="External"/><Relationship Id="rId146" Type="http://schemas.openxmlformats.org/officeDocument/2006/relationships/hyperlink" Target="mailto:Roma-vlad96@mail.ru" TargetMode="External"/><Relationship Id="rId188" Type="http://schemas.openxmlformats.org/officeDocument/2006/relationships/hyperlink" Target="http://www.consultant.ru/document/cons_doc_LAW_15287/" TargetMode="External"/><Relationship Id="rId311" Type="http://schemas.openxmlformats.org/officeDocument/2006/relationships/image" Target="media/image53.png"/><Relationship Id="rId353" Type="http://schemas.openxmlformats.org/officeDocument/2006/relationships/hyperlink" Target="http://www.arendator.ru/articles/155173-igor_shulinin_rynok_kovorkingov_v_rf_nahoditsya_v_faze_kamorkinga/" TargetMode="External"/><Relationship Id="rId395" Type="http://schemas.openxmlformats.org/officeDocument/2006/relationships/image" Target="media/image82.wmf"/><Relationship Id="rId409" Type="http://schemas.openxmlformats.org/officeDocument/2006/relationships/image" Target="media/image89.wmf"/><Relationship Id="rId92" Type="http://schemas.openxmlformats.org/officeDocument/2006/relationships/image" Target="media/image17.png"/><Relationship Id="rId213" Type="http://schemas.openxmlformats.org/officeDocument/2006/relationships/hyperlink" Target="https://www.google.ru/url?sa=t&amp;rct=j&amp;q=&amp;esrc=s&amp;source=web&amp;cd=5&amp;ved=0ahUKEwjQnYSy0s_aAhWyxKYKHZwjC00QFghAMAQ&amp;url=https%3A%2F%2Fstatecon.rea.ru%2Fjour%2Farticle%2Fdownload%2F202%2F184&amp;usg=AOvVaw2970ir29dPaFBtP9UOP7pT" TargetMode="External"/><Relationship Id="rId420" Type="http://schemas.openxmlformats.org/officeDocument/2006/relationships/oleObject" Target="embeddings/oleObject27.bin"/><Relationship Id="rId255" Type="http://schemas.openxmlformats.org/officeDocument/2006/relationships/hyperlink" Target="https://www.nytimes.com/2013/01/07/opinion/why-china-and-japan-cant-get-along.html" TargetMode="External"/><Relationship Id="rId297" Type="http://schemas.openxmlformats.org/officeDocument/2006/relationships/oleObject" Target="embeddings/oleObject5.bin"/><Relationship Id="rId462" Type="http://schemas.openxmlformats.org/officeDocument/2006/relationships/oleObject" Target="embeddings/oleObject48.bin"/><Relationship Id="rId115" Type="http://schemas.openxmlformats.org/officeDocument/2006/relationships/image" Target="media/image21.png"/><Relationship Id="rId157" Type="http://schemas.openxmlformats.org/officeDocument/2006/relationships/hyperlink" Target="http://base.garant.ru/2305985" TargetMode="External"/><Relationship Id="rId322" Type="http://schemas.openxmlformats.org/officeDocument/2006/relationships/hyperlink" Target="http://www.courts.ca.gov/2240.htm" TargetMode="External"/><Relationship Id="rId364" Type="http://schemas.openxmlformats.org/officeDocument/2006/relationships/hyperlink" Target="http://www.nstu.ru/static_files/23173/nstu_stud_companies.pdf" TargetMode="External"/><Relationship Id="rId61" Type="http://schemas.openxmlformats.org/officeDocument/2006/relationships/image" Target="media/image7.png"/><Relationship Id="rId199" Type="http://schemas.openxmlformats.org/officeDocument/2006/relationships/hyperlink" Target="http://www.un.org/ru/documents/decl_conv/conventions/beijing_rules.shtml" TargetMode="External"/><Relationship Id="rId19" Type="http://schemas.openxmlformats.org/officeDocument/2006/relationships/chart" Target="charts/chart4.xml"/><Relationship Id="rId224" Type="http://schemas.openxmlformats.org/officeDocument/2006/relationships/hyperlink" Target="https://sibac.info/studconf/science/ii/27289" TargetMode="External"/><Relationship Id="rId266" Type="http://schemas.openxmlformats.org/officeDocument/2006/relationships/hyperlink" Target="https://vuzlit.ru/249574/metody_analiza_assortimenta" TargetMode="External"/><Relationship Id="rId431" Type="http://schemas.openxmlformats.org/officeDocument/2006/relationships/image" Target="media/image99.wmf"/><Relationship Id="rId473" Type="http://schemas.openxmlformats.org/officeDocument/2006/relationships/hyperlink" Target="mailto:Vladimir.Gonchar@vvsu.ru" TargetMode="External"/><Relationship Id="rId30" Type="http://schemas.openxmlformats.org/officeDocument/2006/relationships/chart" Target="charts/chart6.xml"/><Relationship Id="rId126" Type="http://schemas.openxmlformats.org/officeDocument/2006/relationships/hyperlink" Target="http://www.consultant.ru/document/cons_doc_LAW_210004/" TargetMode="External"/><Relationship Id="rId168" Type="http://schemas.openxmlformats.org/officeDocument/2006/relationships/hyperlink" Target="http://www.consultant.ru/document/cons_doc_LAW_28165/" TargetMode="External"/><Relationship Id="rId333" Type="http://schemas.openxmlformats.org/officeDocument/2006/relationships/image" Target="media/image58.png"/><Relationship Id="rId72" Type="http://schemas.openxmlformats.org/officeDocument/2006/relationships/oleObject" Target="embeddings/oleObject1.bin"/><Relationship Id="rId375" Type="http://schemas.openxmlformats.org/officeDocument/2006/relationships/image" Target="media/image70.png"/><Relationship Id="rId3" Type="http://schemas.openxmlformats.org/officeDocument/2006/relationships/settings" Target="settings.xml"/><Relationship Id="rId235" Type="http://schemas.openxmlformats.org/officeDocument/2006/relationships/hyperlink" Target="http://russian.news.cn/2015-12/04/c_134882882.htm" TargetMode="External"/><Relationship Id="rId277" Type="http://schemas.openxmlformats.org/officeDocument/2006/relationships/image" Target="media/image33.jpg"/><Relationship Id="rId400" Type="http://schemas.openxmlformats.org/officeDocument/2006/relationships/oleObject" Target="embeddings/oleObject17.bin"/><Relationship Id="rId442" Type="http://schemas.openxmlformats.org/officeDocument/2006/relationships/oleObject" Target="embeddings/oleObject38.bin"/><Relationship Id="rId484" Type="http://schemas.openxmlformats.org/officeDocument/2006/relationships/hyperlink" Target="http://www.primorsky.ru/news/125439/" TargetMode="External"/><Relationship Id="rId137" Type="http://schemas.openxmlformats.org/officeDocument/2006/relationships/chart" Target="charts/chart37.xml"/><Relationship Id="rId302" Type="http://schemas.openxmlformats.org/officeDocument/2006/relationships/oleObject" Target="embeddings/oleObject8.bin"/><Relationship Id="rId344" Type="http://schemas.openxmlformats.org/officeDocument/2006/relationships/hyperlink" Target="https://ru.wikipedia.org/wiki/%D0%9A%D0%BE%D0%B2%D0%BE%D1%80%D0%BA%D0%B8%D0%BD%D0%B3" TargetMode="External"/><Relationship Id="rId41" Type="http://schemas.openxmlformats.org/officeDocument/2006/relationships/hyperlink" Target="http://zakupki.gov.ru" TargetMode="External"/><Relationship Id="rId83" Type="http://schemas.openxmlformats.org/officeDocument/2006/relationships/chart" Target="charts/chart24.xml"/><Relationship Id="rId179" Type="http://schemas.openxmlformats.org/officeDocument/2006/relationships/hyperlink" Target="https://elibrary.ru/contents.asp?issueid=1771019&amp;selid=28390752" TargetMode="External"/><Relationship Id="rId386" Type="http://schemas.openxmlformats.org/officeDocument/2006/relationships/image" Target="media/image77.png"/></Relationships>
</file>

<file path=word/_rels/endnotes.xml.rels><?xml version="1.0" encoding="UTF-8" standalone="yes"?>
<Relationships xmlns="http://schemas.openxmlformats.org/package/2006/relationships"><Relationship Id="rId13" Type="http://schemas.openxmlformats.org/officeDocument/2006/relationships/hyperlink" Target="http://docs.cntd.ru/document/1200072835" TargetMode="External"/><Relationship Id="rId18" Type="http://schemas.openxmlformats.org/officeDocument/2006/relationships/image" Target="media/image125.png"/><Relationship Id="rId26" Type="http://schemas.openxmlformats.org/officeDocument/2006/relationships/image" Target="media/image131.png"/><Relationship Id="rId39" Type="http://schemas.openxmlformats.org/officeDocument/2006/relationships/hyperlink" Target="http://kartadostupnosti.ru/" TargetMode="External"/><Relationship Id="rId21" Type="http://schemas.openxmlformats.org/officeDocument/2006/relationships/image" Target="media/image128.png"/><Relationship Id="rId34" Type="http://schemas.openxmlformats.org/officeDocument/2006/relationships/hyperlink" Target="mailto:zehel95@mail.ru" TargetMode="External"/><Relationship Id="rId7" Type="http://schemas.openxmlformats.org/officeDocument/2006/relationships/image" Target="media/image121.png"/><Relationship Id="rId2" Type="http://schemas.openxmlformats.org/officeDocument/2006/relationships/hyperlink" Target="http://www.mlit.go.jp/common/001211721.pdf" TargetMode="External"/><Relationship Id="rId16" Type="http://schemas.openxmlformats.org/officeDocument/2006/relationships/image" Target="media/image123.png"/><Relationship Id="rId20" Type="http://schemas.openxmlformats.org/officeDocument/2006/relationships/image" Target="media/image127.png"/><Relationship Id="rId29" Type="http://schemas.openxmlformats.org/officeDocument/2006/relationships/chart" Target="charts/chart51.xml"/><Relationship Id="rId41" Type="http://schemas.openxmlformats.org/officeDocument/2006/relationships/hyperlink" Target="http://www.sagetraveling.com/" TargetMode="External"/><Relationship Id="rId1" Type="http://schemas.openxmlformats.org/officeDocument/2006/relationships/hyperlink" Target="http://www.e-vesti.ru/ru/prospects-of-japanese-inbound-tourism-in-russia/" TargetMode="External"/><Relationship Id="rId6" Type="http://schemas.openxmlformats.org/officeDocument/2006/relationships/chart" Target="charts/chart49.xml"/><Relationship Id="rId11" Type="http://schemas.openxmlformats.org/officeDocument/2006/relationships/hyperlink" Target="http://www.landimprovement.ru/docum/bigtrees_suppor" TargetMode="External"/><Relationship Id="rId24" Type="http://schemas.openxmlformats.org/officeDocument/2006/relationships/hyperlink" Target="http://www.dissercat.com/content/potrebitelskii-rynok-i-problemy-ego-stanovleniya" TargetMode="External"/><Relationship Id="rId32" Type="http://schemas.openxmlformats.org/officeDocument/2006/relationships/hyperlink" Target="mailto:zehel95@mail.ru" TargetMode="External"/><Relationship Id="rId37" Type="http://schemas.openxmlformats.org/officeDocument/2006/relationships/image" Target="media/image133.png"/><Relationship Id="rId40" Type="http://schemas.openxmlformats.org/officeDocument/2006/relationships/hyperlink" Target="https://wheelmap.org/map" TargetMode="External"/><Relationship Id="rId5" Type="http://schemas.openxmlformats.org/officeDocument/2006/relationships/chart" Target="charts/chart48.xml"/><Relationship Id="rId15" Type="http://schemas.openxmlformats.org/officeDocument/2006/relationships/hyperlink" Target="Tel:89041127144" TargetMode="External"/><Relationship Id="rId23" Type="http://schemas.openxmlformats.org/officeDocument/2006/relationships/hyperlink" Target="http://naukarus.com/sostoyanie-i-problemy-razvitiya-potrebitelskogo-rynka-primorskogo-kraya" TargetMode="External"/><Relationship Id="rId28" Type="http://schemas.openxmlformats.org/officeDocument/2006/relationships/chart" Target="charts/chart50.xml"/><Relationship Id="rId36" Type="http://schemas.openxmlformats.org/officeDocument/2006/relationships/image" Target="media/image132.png"/><Relationship Id="rId10" Type="http://schemas.openxmlformats.org/officeDocument/2006/relationships/hyperlink" Target="http://base.garant.ru/12132859/" TargetMode="External"/><Relationship Id="rId19" Type="http://schemas.openxmlformats.org/officeDocument/2006/relationships/image" Target="media/image126.png"/><Relationship Id="rId31" Type="http://schemas.openxmlformats.org/officeDocument/2006/relationships/hyperlink" Target="mailto:alincur71@mail.ru" TargetMode="External"/><Relationship Id="rId4" Type="http://schemas.openxmlformats.org/officeDocument/2006/relationships/chart" Target="charts/chart47.xml"/><Relationship Id="rId9" Type="http://schemas.openxmlformats.org/officeDocument/2006/relationships/hyperlink" Target="http://www.consultant.ru/document/cons_doc_LAW_34823/" TargetMode="External"/><Relationship Id="rId14" Type="http://schemas.openxmlformats.org/officeDocument/2006/relationships/hyperlink" Target="mailto:metlaevatv@mail.ru" TargetMode="External"/><Relationship Id="rId22" Type="http://schemas.openxmlformats.org/officeDocument/2006/relationships/image" Target="media/image129.png"/><Relationship Id="rId27" Type="http://schemas.openxmlformats.org/officeDocument/2006/relationships/hyperlink" Target="mailto:Natalya.ivanenko@vvsu.ru" TargetMode="External"/><Relationship Id="rId30" Type="http://schemas.openxmlformats.org/officeDocument/2006/relationships/hyperlink" Target="mailto:alincur71@mail.ru" TargetMode="External"/><Relationship Id="rId35" Type="http://schemas.openxmlformats.org/officeDocument/2006/relationships/hyperlink" Target="mailto:larisa.chernyavina@vvsu.ru" TargetMode="External"/><Relationship Id="rId8" Type="http://schemas.openxmlformats.org/officeDocument/2006/relationships/image" Target="media/image122.png"/><Relationship Id="rId3" Type="http://schemas.openxmlformats.org/officeDocument/2006/relationships/chart" Target="charts/chart46.xml"/><Relationship Id="rId12" Type="http://schemas.openxmlformats.org/officeDocument/2006/relationships/hyperlink" Target="http://docs.cntd.ru/document/1200072835" TargetMode="External"/><Relationship Id="rId17" Type="http://schemas.openxmlformats.org/officeDocument/2006/relationships/image" Target="media/image124.png"/><Relationship Id="rId25" Type="http://schemas.openxmlformats.org/officeDocument/2006/relationships/image" Target="media/image130.png"/><Relationship Id="rId33" Type="http://schemas.openxmlformats.org/officeDocument/2006/relationships/hyperlink" Target="mailto:larisa.chernyavina@vvsu.ru" TargetMode="External"/><Relationship Id="rId38" Type="http://schemas.openxmlformats.org/officeDocument/2006/relationships/image" Target="media/image134.png"/></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Excel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_____Microsoft_Excel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_____Microsoft_Excel6.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_____Microsoft_Excel7.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_____Microsoft_Excel8.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package" Target="../embeddings/_____Microsoft_Excel9.xlsx"/><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package" Target="../embeddings/_____Microsoft_Excel10.xlsx"/><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package" Target="../embeddings/_____Microsoft_Excel11.xlsx"/><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package" Target="../embeddings/_____Microsoft_Excel12.xlsx"/><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2" Type="http://schemas.openxmlformats.org/officeDocument/2006/relationships/package" Target="../embeddings/_____Microsoft_Excel13.xlsx"/><Relationship Id="rId1" Type="http://schemas.openxmlformats.org/officeDocument/2006/relationships/themeOverride" Target="../theme/themeOverride13.xml"/></Relationships>
</file>

<file path=word/charts/_rels/chart14.xml.rels><?xml version="1.0" encoding="UTF-8" standalone="yes"?>
<Relationships xmlns="http://schemas.openxmlformats.org/package/2006/relationships"><Relationship Id="rId2" Type="http://schemas.openxmlformats.org/officeDocument/2006/relationships/package" Target="../embeddings/_____Microsoft_Excel14.xlsx"/><Relationship Id="rId1" Type="http://schemas.openxmlformats.org/officeDocument/2006/relationships/themeOverride" Target="../theme/themeOverride14.xml"/></Relationships>
</file>

<file path=word/charts/_rels/chart15.xml.rels><?xml version="1.0" encoding="UTF-8" standalone="yes"?>
<Relationships xmlns="http://schemas.openxmlformats.org/package/2006/relationships"><Relationship Id="rId2" Type="http://schemas.openxmlformats.org/officeDocument/2006/relationships/package" Target="../embeddings/_____Microsoft_Excel15.xlsx"/><Relationship Id="rId1" Type="http://schemas.openxmlformats.org/officeDocument/2006/relationships/themeOverride" Target="../theme/themeOverride15.xml"/></Relationships>
</file>

<file path=word/charts/_rels/chart16.xml.rels><?xml version="1.0" encoding="UTF-8" standalone="yes"?>
<Relationships xmlns="http://schemas.openxmlformats.org/package/2006/relationships"><Relationship Id="rId2" Type="http://schemas.openxmlformats.org/officeDocument/2006/relationships/package" Target="../embeddings/_____Microsoft_Excel16.xlsx"/><Relationship Id="rId1" Type="http://schemas.openxmlformats.org/officeDocument/2006/relationships/themeOverride" Target="../theme/themeOverride16.xml"/></Relationships>
</file>

<file path=word/charts/_rels/chart17.xml.rels><?xml version="1.0" encoding="UTF-8" standalone="yes"?>
<Relationships xmlns="http://schemas.openxmlformats.org/package/2006/relationships"><Relationship Id="rId2" Type="http://schemas.openxmlformats.org/officeDocument/2006/relationships/package" Target="../embeddings/_____Microsoft_Excel18.xlsx"/><Relationship Id="rId1" Type="http://schemas.openxmlformats.org/officeDocument/2006/relationships/themeOverride" Target="../theme/themeOverride17.xml"/></Relationships>
</file>

<file path=word/charts/_rels/chart18.xml.rels><?xml version="1.0" encoding="UTF-8" standalone="yes"?>
<Relationships xmlns="http://schemas.openxmlformats.org/package/2006/relationships"><Relationship Id="rId2" Type="http://schemas.openxmlformats.org/officeDocument/2006/relationships/package" Target="../embeddings/_____Microsoft_Excel19.xlsx"/><Relationship Id="rId1" Type="http://schemas.openxmlformats.org/officeDocument/2006/relationships/themeOverride" Target="../theme/themeOverride18.xml"/></Relationships>
</file>

<file path=word/charts/_rels/chart19.xml.rels><?xml version="1.0" encoding="UTF-8" standalone="yes"?>
<Relationships xmlns="http://schemas.openxmlformats.org/package/2006/relationships"><Relationship Id="rId2" Type="http://schemas.openxmlformats.org/officeDocument/2006/relationships/package" Target="../embeddings/_____Microsoft_Excel20.xlsx"/><Relationship Id="rId1" Type="http://schemas.openxmlformats.org/officeDocument/2006/relationships/themeOverride" Target="../theme/themeOverride19.xml"/></Relationships>
</file>

<file path=word/charts/_rels/chart20.xml.rels><?xml version="1.0" encoding="UTF-8" standalone="yes"?>
<Relationships xmlns="http://schemas.openxmlformats.org/package/2006/relationships"><Relationship Id="rId2" Type="http://schemas.openxmlformats.org/officeDocument/2006/relationships/package" Target="../embeddings/_____Microsoft_Excel21.xlsx"/><Relationship Id="rId1" Type="http://schemas.openxmlformats.org/officeDocument/2006/relationships/themeOverride" Target="../theme/themeOverride20.xml"/></Relationships>
</file>

<file path=word/charts/_rels/chart21.xml.rels><?xml version="1.0" encoding="UTF-8" standalone="yes"?>
<Relationships xmlns="http://schemas.openxmlformats.org/package/2006/relationships"><Relationship Id="rId1" Type="http://schemas.openxmlformats.org/officeDocument/2006/relationships/package" Target="../embeddings/_____Microsoft_Excel22.xlsx"/></Relationships>
</file>

<file path=word/charts/_rels/chart22.xml.rels><?xml version="1.0" encoding="UTF-8" standalone="yes"?>
<Relationships xmlns="http://schemas.openxmlformats.org/package/2006/relationships"><Relationship Id="rId1" Type="http://schemas.openxmlformats.org/officeDocument/2006/relationships/package" Target="../embeddings/_____Microsoft_Excel23.xlsx"/></Relationships>
</file>

<file path=word/charts/_rels/chart23.xml.rels><?xml version="1.0" encoding="UTF-8" standalone="yes"?>
<Relationships xmlns="http://schemas.openxmlformats.org/package/2006/relationships"><Relationship Id="rId2" Type="http://schemas.openxmlformats.org/officeDocument/2006/relationships/package" Target="../embeddings/_____Microsoft_Excel24.xlsx"/><Relationship Id="rId1" Type="http://schemas.openxmlformats.org/officeDocument/2006/relationships/themeOverride" Target="../theme/themeOverride21.xml"/></Relationships>
</file>

<file path=word/charts/_rels/chart24.xml.rels><?xml version="1.0" encoding="UTF-8" standalone="yes"?>
<Relationships xmlns="http://schemas.openxmlformats.org/package/2006/relationships"><Relationship Id="rId2" Type="http://schemas.openxmlformats.org/officeDocument/2006/relationships/package" Target="../embeddings/_____Microsoft_Excel25.xlsx"/><Relationship Id="rId1" Type="http://schemas.openxmlformats.org/officeDocument/2006/relationships/themeOverride" Target="../theme/themeOverride22.xml"/></Relationships>
</file>

<file path=word/charts/_rels/chart25.xml.rels><?xml version="1.0" encoding="UTF-8" standalone="yes"?>
<Relationships xmlns="http://schemas.openxmlformats.org/package/2006/relationships"><Relationship Id="rId2" Type="http://schemas.openxmlformats.org/officeDocument/2006/relationships/package" Target="../embeddings/_____Microsoft_Excel26.xlsx"/><Relationship Id="rId1" Type="http://schemas.openxmlformats.org/officeDocument/2006/relationships/themeOverride" Target="../theme/themeOverride23.xml"/></Relationships>
</file>

<file path=word/charts/_rels/chart26.xml.rels><?xml version="1.0" encoding="UTF-8" standalone="yes"?>
<Relationships xmlns="http://schemas.openxmlformats.org/package/2006/relationships"><Relationship Id="rId2" Type="http://schemas.openxmlformats.org/officeDocument/2006/relationships/package" Target="../embeddings/_____Microsoft_Excel27.xlsx"/><Relationship Id="rId1" Type="http://schemas.openxmlformats.org/officeDocument/2006/relationships/themeOverride" Target="../theme/themeOverride24.xml"/></Relationships>
</file>

<file path=word/charts/_rels/chart27.xml.rels><?xml version="1.0" encoding="UTF-8" standalone="yes"?>
<Relationships xmlns="http://schemas.openxmlformats.org/package/2006/relationships"><Relationship Id="rId2" Type="http://schemas.openxmlformats.org/officeDocument/2006/relationships/package" Target="../embeddings/_____Microsoft_Excel28.xlsx"/><Relationship Id="rId1" Type="http://schemas.openxmlformats.org/officeDocument/2006/relationships/themeOverride" Target="../theme/themeOverride25.xml"/></Relationships>
</file>

<file path=word/charts/_rels/chart28.xml.rels><?xml version="1.0" encoding="UTF-8" standalone="yes"?>
<Relationships xmlns="http://schemas.openxmlformats.org/package/2006/relationships"><Relationship Id="rId2" Type="http://schemas.openxmlformats.org/officeDocument/2006/relationships/package" Target="../embeddings/_____Microsoft_Excel29.xlsx"/><Relationship Id="rId1" Type="http://schemas.openxmlformats.org/officeDocument/2006/relationships/themeOverride" Target="../theme/themeOverride26.xml"/></Relationships>
</file>

<file path=word/charts/_rels/chart29.xml.rels><?xml version="1.0" encoding="UTF-8" standalone="yes"?>
<Relationships xmlns="http://schemas.openxmlformats.org/package/2006/relationships"><Relationship Id="rId2" Type="http://schemas.openxmlformats.org/officeDocument/2006/relationships/package" Target="../embeddings/_____Microsoft_Excel30.xlsx"/><Relationship Id="rId1" Type="http://schemas.openxmlformats.org/officeDocument/2006/relationships/themeOverride" Target="../theme/themeOverride27.xml"/></Relationships>
</file>

<file path=word/charts/_rels/chart30.xml.rels><?xml version="1.0" encoding="UTF-8" standalone="yes"?>
<Relationships xmlns="http://schemas.openxmlformats.org/package/2006/relationships"><Relationship Id="rId2" Type="http://schemas.openxmlformats.org/officeDocument/2006/relationships/package" Target="../embeddings/_____Microsoft_Excel31.xlsx"/><Relationship Id="rId1" Type="http://schemas.openxmlformats.org/officeDocument/2006/relationships/themeOverride" Target="../theme/themeOverride28.xml"/></Relationships>
</file>

<file path=word/charts/_rels/chart31.xml.rels><?xml version="1.0" encoding="UTF-8" standalone="yes"?>
<Relationships xmlns="http://schemas.openxmlformats.org/package/2006/relationships"><Relationship Id="rId2" Type="http://schemas.openxmlformats.org/officeDocument/2006/relationships/package" Target="../embeddings/_____Microsoft_Excel32.xlsx"/><Relationship Id="rId1" Type="http://schemas.openxmlformats.org/officeDocument/2006/relationships/themeOverride" Target="../theme/themeOverride29.xml"/></Relationships>
</file>

<file path=word/charts/_rels/chart32.xml.rels><?xml version="1.0" encoding="UTF-8" standalone="yes"?>
<Relationships xmlns="http://schemas.openxmlformats.org/package/2006/relationships"><Relationship Id="rId2" Type="http://schemas.openxmlformats.org/officeDocument/2006/relationships/package" Target="../embeddings/_____Microsoft_Excel33.xlsx"/><Relationship Id="rId1" Type="http://schemas.openxmlformats.org/officeDocument/2006/relationships/themeOverride" Target="../theme/themeOverride30.xml"/></Relationships>
</file>

<file path=word/charts/_rels/chart33.xml.rels><?xml version="1.0" encoding="UTF-8" standalone="yes"?>
<Relationships xmlns="http://schemas.openxmlformats.org/package/2006/relationships"><Relationship Id="rId2" Type="http://schemas.openxmlformats.org/officeDocument/2006/relationships/package" Target="../embeddings/_____Microsoft_Excel34.xlsx"/><Relationship Id="rId1" Type="http://schemas.openxmlformats.org/officeDocument/2006/relationships/themeOverride" Target="../theme/themeOverride31.xml"/></Relationships>
</file>

<file path=word/charts/_rels/chart34.xml.rels><?xml version="1.0" encoding="UTF-8" standalone="yes"?>
<Relationships xmlns="http://schemas.openxmlformats.org/package/2006/relationships"><Relationship Id="rId2" Type="http://schemas.openxmlformats.org/officeDocument/2006/relationships/package" Target="../embeddings/_____Microsoft_Excel35.xlsx"/><Relationship Id="rId1" Type="http://schemas.openxmlformats.org/officeDocument/2006/relationships/themeOverride" Target="../theme/themeOverride32.xml"/></Relationships>
</file>

<file path=word/charts/_rels/chart35.xml.rels><?xml version="1.0" encoding="UTF-8" standalone="yes"?>
<Relationships xmlns="http://schemas.openxmlformats.org/package/2006/relationships"><Relationship Id="rId2" Type="http://schemas.openxmlformats.org/officeDocument/2006/relationships/package" Target="../embeddings/_____Microsoft_Excel36.xlsx"/><Relationship Id="rId1" Type="http://schemas.openxmlformats.org/officeDocument/2006/relationships/themeOverride" Target="../theme/themeOverride33.xml"/></Relationships>
</file>

<file path=word/charts/_rels/chart36.xml.rels><?xml version="1.0" encoding="UTF-8" standalone="yes"?>
<Relationships xmlns="http://schemas.openxmlformats.org/package/2006/relationships"><Relationship Id="rId1" Type="http://schemas.openxmlformats.org/officeDocument/2006/relationships/package" Target="../embeddings/_____Microsoft_Excel37.xlsx"/></Relationships>
</file>

<file path=word/charts/_rels/chart37.xml.rels><?xml version="1.0" encoding="UTF-8" standalone="yes"?>
<Relationships xmlns="http://schemas.openxmlformats.org/package/2006/relationships"><Relationship Id="rId1" Type="http://schemas.openxmlformats.org/officeDocument/2006/relationships/package" Target="../embeddings/_____Microsoft_Excel38.xlsx"/></Relationships>
</file>

<file path=word/charts/_rels/chart38.xml.rels><?xml version="1.0" encoding="UTF-8" standalone="yes"?>
<Relationships xmlns="http://schemas.openxmlformats.org/package/2006/relationships"><Relationship Id="rId2" Type="http://schemas.openxmlformats.org/officeDocument/2006/relationships/package" Target="../embeddings/_____Microsoft_Excel39.xlsx"/><Relationship Id="rId1" Type="http://schemas.openxmlformats.org/officeDocument/2006/relationships/themeOverride" Target="../theme/themeOverride34.xml"/></Relationships>
</file>

<file path=word/charts/_rels/chart39.xml.rels><?xml version="1.0" encoding="UTF-8" standalone="yes"?>
<Relationships xmlns="http://schemas.openxmlformats.org/package/2006/relationships"><Relationship Id="rId2" Type="http://schemas.openxmlformats.org/officeDocument/2006/relationships/oleObject" Target="../embeddings/oleObject10.bin"/><Relationship Id="rId1" Type="http://schemas.openxmlformats.org/officeDocument/2006/relationships/themeOverride" Target="../theme/themeOverride35.xml"/></Relationships>
</file>

<file path=word/charts/_rels/chart40.xml.rels><?xml version="1.0" encoding="UTF-8" standalone="yes"?>
<Relationships xmlns="http://schemas.openxmlformats.org/package/2006/relationships"><Relationship Id="rId1" Type="http://schemas.openxmlformats.org/officeDocument/2006/relationships/package" Target="../embeddings/_____Microsoft_Excel44.xlsx"/></Relationships>
</file>

<file path=word/charts/_rels/chart41.xml.rels><?xml version="1.0" encoding="UTF-8" standalone="yes"?>
<Relationships xmlns="http://schemas.openxmlformats.org/package/2006/relationships"><Relationship Id="rId1" Type="http://schemas.openxmlformats.org/officeDocument/2006/relationships/package" Target="../embeddings/_____Microsoft_Excel45.xlsx"/></Relationships>
</file>

<file path=word/charts/_rels/chart42.xml.rels><?xml version="1.0" encoding="UTF-8" standalone="yes"?>
<Relationships xmlns="http://schemas.openxmlformats.org/package/2006/relationships"><Relationship Id="rId1" Type="http://schemas.openxmlformats.org/officeDocument/2006/relationships/package" Target="../embeddings/_____Microsoft_Excel46.xlsx"/></Relationships>
</file>

<file path=word/charts/_rels/chart43.xml.rels><?xml version="1.0" encoding="UTF-8" standalone="yes"?>
<Relationships xmlns="http://schemas.openxmlformats.org/package/2006/relationships"><Relationship Id="rId1" Type="http://schemas.openxmlformats.org/officeDocument/2006/relationships/package" Target="../embeddings/_____Microsoft_Excel47.xlsx"/></Relationships>
</file>

<file path=word/charts/_rels/chart44.xml.rels><?xml version="1.0" encoding="UTF-8" standalone="yes"?>
<Relationships xmlns="http://schemas.openxmlformats.org/package/2006/relationships"><Relationship Id="rId1" Type="http://schemas.openxmlformats.org/officeDocument/2006/relationships/package" Target="../embeddings/_____Microsoft_Excel48.xlsx"/></Relationships>
</file>

<file path=word/charts/_rels/chart45.xml.rels><?xml version="1.0" encoding="UTF-8" standalone="yes"?>
<Relationships xmlns="http://schemas.openxmlformats.org/package/2006/relationships"><Relationship Id="rId1" Type="http://schemas.openxmlformats.org/officeDocument/2006/relationships/package" Target="../embeddings/_____Microsoft_Excel49.xlsx"/></Relationships>
</file>

<file path=word/charts/_rels/chart46.xml.rels><?xml version="1.0" encoding="UTF-8" standalone="yes"?>
<Relationships xmlns="http://schemas.openxmlformats.org/package/2006/relationships"><Relationship Id="rId2" Type="http://schemas.openxmlformats.org/officeDocument/2006/relationships/package" Target="../embeddings/_____Microsoft_Excel50.xlsx"/><Relationship Id="rId1" Type="http://schemas.openxmlformats.org/officeDocument/2006/relationships/themeOverride" Target="../theme/themeOverride36.xml"/></Relationships>
</file>

<file path=word/charts/_rels/chart47.xml.rels><?xml version="1.0" encoding="UTF-8" standalone="yes"?>
<Relationships xmlns="http://schemas.openxmlformats.org/package/2006/relationships"><Relationship Id="rId2" Type="http://schemas.openxmlformats.org/officeDocument/2006/relationships/package" Target="../embeddings/_____Microsoft_Excel51.xlsx"/><Relationship Id="rId1" Type="http://schemas.openxmlformats.org/officeDocument/2006/relationships/themeOverride" Target="../theme/themeOverride37.xml"/></Relationships>
</file>

<file path=word/charts/_rels/chart48.xml.rels><?xml version="1.0" encoding="UTF-8" standalone="yes"?>
<Relationships xmlns="http://schemas.openxmlformats.org/package/2006/relationships"><Relationship Id="rId2" Type="http://schemas.openxmlformats.org/officeDocument/2006/relationships/oleObject" Target="file:///C:\Users\user-v\Downloads\yyy\loginova\anketa.xls" TargetMode="External"/><Relationship Id="rId1" Type="http://schemas.openxmlformats.org/officeDocument/2006/relationships/themeOverride" Target="../theme/themeOverride38.xml"/></Relationships>
</file>

<file path=word/charts/_rels/chart49.xml.rels><?xml version="1.0" encoding="UTF-8" standalone="yes"?>
<Relationships xmlns="http://schemas.openxmlformats.org/package/2006/relationships"><Relationship Id="rId2" Type="http://schemas.openxmlformats.org/officeDocument/2006/relationships/oleObject" Target="file:///C:\Users\user-v\Downloads\yyy\loginova\anketa.xls" TargetMode="External"/><Relationship Id="rId1" Type="http://schemas.openxmlformats.org/officeDocument/2006/relationships/themeOverride" Target="../theme/themeOverride39.xml"/></Relationships>
</file>

<file path=word/charts/_rels/chart50.xml.rels><?xml version="1.0" encoding="UTF-8" standalone="yes"?>
<Relationships xmlns="http://schemas.openxmlformats.org/package/2006/relationships"><Relationship Id="rId2" Type="http://schemas.openxmlformats.org/officeDocument/2006/relationships/package" Target="../embeddings/_____Microsoft_Excel52.xlsx"/><Relationship Id="rId1" Type="http://schemas.openxmlformats.org/officeDocument/2006/relationships/themeOverride" Target="../theme/themeOverride40.xml"/></Relationships>
</file>

<file path=word/charts/_rels/chart51.xml.rels><?xml version="1.0" encoding="UTF-8" standalone="yes"?>
<Relationships xmlns="http://schemas.openxmlformats.org/package/2006/relationships"><Relationship Id="rId2" Type="http://schemas.openxmlformats.org/officeDocument/2006/relationships/package" Target="../embeddings/_____Microsoft_Excel53.xlsx"/><Relationship Id="rId1" Type="http://schemas.openxmlformats.org/officeDocument/2006/relationships/themeOverride" Target="../theme/themeOverride4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0"/>
          <c:order val="0"/>
          <c:spPr>
            <a:pattFill prst="wdUpDiag">
              <a:fgClr>
                <a:schemeClr val="tx1"/>
              </a:fgClr>
              <a:bgClr>
                <a:schemeClr val="bg1"/>
              </a:bgClr>
            </a:pattFill>
            <a:ln>
              <a:solidFill>
                <a:schemeClr val="tx1"/>
              </a:solidFill>
            </a:ln>
          </c:spPr>
          <c:invertIfNegative val="0"/>
          <c:dLbls>
            <c:numFmt formatCode="0%" sourceLinked="0"/>
            <c:spPr>
              <a:noFill/>
              <a:ln>
                <a:noFill/>
              </a:ln>
            </c:spPr>
            <c:txPr>
              <a:bodyPr/>
              <a:lstStyle/>
              <a:p>
                <a:pPr>
                  <a:defRPr sz="1000" b="0" i="0" u="none" strike="noStrike">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Расчеты!$C$485:$C$492</c:f>
              <c:strCache>
                <c:ptCount val="8"/>
                <c:pt idx="0">
                  <c:v>хорошая заработная плата</c:v>
                </c:pt>
                <c:pt idx="1">
                  <c:v>возможность карьерного роста</c:v>
                </c:pt>
                <c:pt idx="2">
                  <c:v>стабильность и уверенность в завтрашнем дне</c:v>
                </c:pt>
                <c:pt idx="3">
                  <c:v>хороший коллектив</c:v>
                </c:pt>
                <c:pt idx="4">
                  <c:v>перспектива работы за рубежом</c:v>
                </c:pt>
                <c:pt idx="5">
                  <c:v>возможность постоянно повышать квалификацию</c:v>
                </c:pt>
                <c:pt idx="6">
                  <c:v>социальные гарантии</c:v>
                </c:pt>
                <c:pt idx="7">
                  <c:v>престижность организации</c:v>
                </c:pt>
              </c:strCache>
            </c:strRef>
          </c:cat>
          <c:val>
            <c:numRef>
              <c:f>Расчеты!$G$485:$G$492</c:f>
              <c:numCache>
                <c:formatCode>0.00</c:formatCode>
                <c:ptCount val="8"/>
                <c:pt idx="0">
                  <c:v>0.92531876138433511</c:v>
                </c:pt>
                <c:pt idx="1">
                  <c:v>0.68306010928961747</c:v>
                </c:pt>
                <c:pt idx="2">
                  <c:v>0.50637522768670307</c:v>
                </c:pt>
                <c:pt idx="3">
                  <c:v>0.44080145719489983</c:v>
                </c:pt>
                <c:pt idx="4">
                  <c:v>0.34790528233151186</c:v>
                </c:pt>
                <c:pt idx="5">
                  <c:v>0.32969034608378872</c:v>
                </c:pt>
                <c:pt idx="6">
                  <c:v>0.2896174863387978</c:v>
                </c:pt>
                <c:pt idx="7">
                  <c:v>0.26958105646630237</c:v>
                </c:pt>
              </c:numCache>
            </c:numRef>
          </c:val>
        </c:ser>
        <c:dLbls>
          <c:showLegendKey val="0"/>
          <c:showVal val="0"/>
          <c:showCatName val="0"/>
          <c:showSerName val="0"/>
          <c:showPercent val="0"/>
          <c:showBubbleSize val="0"/>
        </c:dLbls>
        <c:gapWidth val="62"/>
        <c:axId val="230921200"/>
        <c:axId val="230919520"/>
      </c:barChart>
      <c:catAx>
        <c:axId val="230921200"/>
        <c:scaling>
          <c:orientation val="minMax"/>
        </c:scaling>
        <c:delete val="0"/>
        <c:axPos val="l"/>
        <c:numFmt formatCode="General" sourceLinked="1"/>
        <c:majorTickMark val="out"/>
        <c:minorTickMark val="none"/>
        <c:tickLblPos val="nextTo"/>
        <c:txPr>
          <a:bodyPr rot="0" vert="horz"/>
          <a:lstStyle/>
          <a:p>
            <a:pPr>
              <a:defRPr sz="1000" b="0" i="0" u="none" strike="noStrike">
                <a:solidFill>
                  <a:srgbClr val="000000"/>
                </a:solidFill>
                <a:latin typeface="Times New Roman"/>
                <a:ea typeface="Times New Roman"/>
                <a:cs typeface="Times New Roman"/>
              </a:defRPr>
            </a:pPr>
            <a:endParaRPr lang="ru-RU"/>
          </a:p>
        </c:txPr>
        <c:crossAx val="230919520"/>
        <c:crosses val="autoZero"/>
        <c:auto val="1"/>
        <c:lblAlgn val="ctr"/>
        <c:lblOffset val="100"/>
        <c:noMultiLvlLbl val="0"/>
      </c:catAx>
      <c:valAx>
        <c:axId val="230919520"/>
        <c:scaling>
          <c:orientation val="minMax"/>
        </c:scaling>
        <c:delete val="0"/>
        <c:axPos val="b"/>
        <c:majorGridlines/>
        <c:numFmt formatCode="0.00" sourceLinked="1"/>
        <c:majorTickMark val="out"/>
        <c:minorTickMark val="none"/>
        <c:tickLblPos val="nextTo"/>
        <c:txPr>
          <a:bodyPr rot="0" vert="horz"/>
          <a:lstStyle/>
          <a:p>
            <a:pPr>
              <a:defRPr sz="1000" b="0" i="0" u="none" strike="noStrike">
                <a:solidFill>
                  <a:srgbClr val="000000"/>
                </a:solidFill>
                <a:latin typeface="Times New Roman"/>
                <a:ea typeface="Times New Roman"/>
                <a:cs typeface="Times New Roman"/>
              </a:defRPr>
            </a:pPr>
            <a:endParaRPr lang="ru-RU"/>
          </a:p>
        </c:txPr>
        <c:crossAx val="230921200"/>
        <c:crosses val="autoZero"/>
        <c:crossBetween val="between"/>
      </c:valAx>
    </c:plotArea>
    <c:plotVisOnly val="1"/>
    <c:dispBlanksAs val="gap"/>
    <c:showDLblsOverMax val="0"/>
  </c:chart>
  <c:spPr>
    <a:ln>
      <a:noFill/>
    </a:ln>
  </c:spPr>
  <c:txPr>
    <a:bodyPr/>
    <a:lstStyle/>
    <a:p>
      <a:pPr>
        <a:defRPr sz="1000" b="0" i="0" u="none" strike="noStrike">
          <a:solidFill>
            <a:srgbClr val="000000"/>
          </a:solidFill>
          <a:latin typeface="Calibri"/>
          <a:ea typeface="Calibri"/>
          <a:cs typeface="Calibri"/>
        </a:defRPr>
      </a:pPr>
      <a:endParaRPr lang="ru-RU"/>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0"/>
          <c:order val="0"/>
          <c:tx>
            <c:strRef>
              <c:f>Расчеты!$E$527</c:f>
              <c:strCache>
                <c:ptCount val="1"/>
                <c:pt idx="0">
                  <c:v>Рассматриваемый анкетный опрос студентов Приморского края(осень 2017 года)</c:v>
                </c:pt>
              </c:strCache>
            </c:strRef>
          </c:tx>
          <c:spPr>
            <a:pattFill prst="wdDnDiag">
              <a:fgClr>
                <a:schemeClr val="tx1"/>
              </a:fgClr>
              <a:bgClr>
                <a:schemeClr val="bg1"/>
              </a:bgClr>
            </a:pattFill>
            <a:ln>
              <a:solidFill>
                <a:schemeClr val="tx1"/>
              </a:solidFill>
            </a:ln>
          </c:spPr>
          <c:invertIfNegative val="0"/>
          <c:dLbls>
            <c:numFmt formatCode="0%" sourceLinked="0"/>
            <c:spPr>
              <a:noFill/>
              <a:ln w="25400">
                <a:noFill/>
              </a:ln>
            </c:spPr>
            <c:txPr>
              <a:bodyPr/>
              <a:lstStyle/>
              <a:p>
                <a:pPr>
                  <a:defRPr sz="1000" b="0" i="0" u="none" strike="noStrike">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Расчеты!$C$512:$C$516</c:f>
              <c:strCache>
                <c:ptCount val="5"/>
                <c:pt idx="0">
                  <c:v>Инициативность и предприимчивость</c:v>
                </c:pt>
                <c:pt idx="1">
                  <c:v>Образование</c:v>
                </c:pt>
                <c:pt idx="2">
                  <c:v>Связи, знакомства</c:v>
                </c:pt>
                <c:pt idx="3">
                  <c:v>Удача, счастливый случай</c:v>
                </c:pt>
                <c:pt idx="4">
                  <c:v>Богатство</c:v>
                </c:pt>
              </c:strCache>
            </c:strRef>
          </c:cat>
          <c:val>
            <c:numRef>
              <c:f>Расчеты!$E$512:$E$516</c:f>
              <c:numCache>
                <c:formatCode>0.00</c:formatCode>
                <c:ptCount val="5"/>
                <c:pt idx="0">
                  <c:v>0.5161290322580645</c:v>
                </c:pt>
                <c:pt idx="1">
                  <c:v>0.17972350230414746</c:v>
                </c:pt>
                <c:pt idx="2">
                  <c:v>0.19815668202764977</c:v>
                </c:pt>
                <c:pt idx="3">
                  <c:v>6.4516129032258063E-2</c:v>
                </c:pt>
                <c:pt idx="4">
                  <c:v>4.1474654377880185E-2</c:v>
                </c:pt>
              </c:numCache>
            </c:numRef>
          </c:val>
        </c:ser>
        <c:ser>
          <c:idx val="1"/>
          <c:order val="1"/>
          <c:tx>
            <c:strRef>
              <c:f>Расчеты!$E$528</c:f>
              <c:strCache>
                <c:ptCount val="1"/>
                <c:pt idx="0">
                  <c:v>Опрос студентов Сврдловской области (2009 год)</c:v>
                </c:pt>
              </c:strCache>
            </c:strRef>
          </c:tx>
          <c:spPr>
            <a:pattFill prst="smConfetti">
              <a:fgClr>
                <a:schemeClr val="tx1"/>
              </a:fgClr>
              <a:bgClr>
                <a:schemeClr val="bg1"/>
              </a:bgClr>
            </a:pattFill>
            <a:ln>
              <a:solidFill>
                <a:schemeClr val="tx1"/>
              </a:solidFill>
            </a:ln>
          </c:spPr>
          <c:invertIfNegative val="0"/>
          <c:dLbls>
            <c:numFmt formatCode="0%" sourceLinked="0"/>
            <c:spPr>
              <a:noFill/>
              <a:ln>
                <a:noFill/>
              </a:ln>
            </c:spPr>
            <c:txPr>
              <a:bodyPr/>
              <a:lstStyle/>
              <a:p>
                <a:pPr>
                  <a:defRPr sz="1000" b="0" i="0" u="none" strike="noStrike">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val>
            <c:numRef>
              <c:f>Расчеты!$G$512:$G$516</c:f>
              <c:numCache>
                <c:formatCode>0.00</c:formatCode>
                <c:ptCount val="5"/>
                <c:pt idx="0">
                  <c:v>0.33</c:v>
                </c:pt>
                <c:pt idx="1">
                  <c:v>0.3</c:v>
                </c:pt>
                <c:pt idx="2">
                  <c:v>0.26</c:v>
                </c:pt>
                <c:pt idx="3">
                  <c:v>0.05</c:v>
                </c:pt>
                <c:pt idx="4">
                  <c:v>0.06</c:v>
                </c:pt>
              </c:numCache>
            </c:numRef>
          </c:val>
        </c:ser>
        <c:dLbls>
          <c:showLegendKey val="0"/>
          <c:showVal val="0"/>
          <c:showCatName val="0"/>
          <c:showSerName val="0"/>
          <c:showPercent val="0"/>
          <c:showBubbleSize val="0"/>
        </c:dLbls>
        <c:gapWidth val="75"/>
        <c:axId val="229564672"/>
        <c:axId val="229565232"/>
      </c:barChart>
      <c:catAx>
        <c:axId val="229564672"/>
        <c:scaling>
          <c:orientation val="minMax"/>
        </c:scaling>
        <c:delete val="0"/>
        <c:axPos val="l"/>
        <c:numFmt formatCode="General" sourceLinked="1"/>
        <c:majorTickMark val="out"/>
        <c:minorTickMark val="none"/>
        <c:tickLblPos val="nextTo"/>
        <c:txPr>
          <a:bodyPr rot="0" vert="horz"/>
          <a:lstStyle/>
          <a:p>
            <a:pPr>
              <a:defRPr sz="1000" b="0" i="0" u="none" strike="noStrike">
                <a:solidFill>
                  <a:srgbClr val="000000"/>
                </a:solidFill>
                <a:latin typeface="Times New Roman"/>
                <a:ea typeface="Times New Roman"/>
                <a:cs typeface="Times New Roman"/>
              </a:defRPr>
            </a:pPr>
            <a:endParaRPr lang="ru-RU"/>
          </a:p>
        </c:txPr>
        <c:crossAx val="229565232"/>
        <c:crosses val="autoZero"/>
        <c:auto val="1"/>
        <c:lblAlgn val="ctr"/>
        <c:lblOffset val="100"/>
        <c:noMultiLvlLbl val="0"/>
      </c:catAx>
      <c:valAx>
        <c:axId val="229565232"/>
        <c:scaling>
          <c:orientation val="minMax"/>
        </c:scaling>
        <c:delete val="0"/>
        <c:axPos val="b"/>
        <c:majorGridlines/>
        <c:numFmt formatCode="0.00" sourceLinked="1"/>
        <c:majorTickMark val="out"/>
        <c:minorTickMark val="none"/>
        <c:tickLblPos val="nextTo"/>
        <c:txPr>
          <a:bodyPr rot="0" vert="horz"/>
          <a:lstStyle/>
          <a:p>
            <a:pPr>
              <a:defRPr sz="1000" b="0" i="0" u="none" strike="noStrike">
                <a:solidFill>
                  <a:srgbClr val="000000"/>
                </a:solidFill>
                <a:latin typeface="Times New Roman"/>
                <a:ea typeface="Times New Roman"/>
                <a:cs typeface="Times New Roman"/>
              </a:defRPr>
            </a:pPr>
            <a:endParaRPr lang="ru-RU"/>
          </a:p>
        </c:txPr>
        <c:crossAx val="229564672"/>
        <c:crosses val="autoZero"/>
        <c:crossBetween val="between"/>
      </c:valAx>
    </c:plotArea>
    <c:legend>
      <c:legendPos val="b"/>
      <c:layout>
        <c:manualLayout>
          <c:xMode val="edge"/>
          <c:yMode val="edge"/>
          <c:x val="5.2483525600769146E-2"/>
          <c:y val="0.77293853936119661"/>
          <c:w val="0.89503294879846174"/>
          <c:h val="0.22706146063880342"/>
        </c:manualLayout>
      </c:layout>
      <c:overlay val="0"/>
      <c:txPr>
        <a:bodyPr/>
        <a:lstStyle/>
        <a:p>
          <a:pPr>
            <a:defRPr sz="900" b="0" i="0" u="none" strike="noStrike">
              <a:solidFill>
                <a:srgbClr val="000000"/>
              </a:solidFill>
              <a:latin typeface="Times New Roman"/>
              <a:ea typeface="Times New Roman"/>
              <a:cs typeface="Times New Roman"/>
            </a:defRPr>
          </a:pPr>
          <a:endParaRPr lang="ru-RU"/>
        </a:p>
      </c:txPr>
    </c:legend>
    <c:plotVisOnly val="1"/>
    <c:dispBlanksAs val="gap"/>
    <c:showDLblsOverMax val="0"/>
  </c:chart>
  <c:spPr>
    <a:ln>
      <a:noFill/>
    </a:ln>
  </c:spPr>
  <c:txPr>
    <a:bodyPr/>
    <a:lstStyle/>
    <a:p>
      <a:pPr>
        <a:defRPr sz="1000" b="0" i="0" u="none" strike="noStrike">
          <a:solidFill>
            <a:srgbClr val="000000"/>
          </a:solidFill>
          <a:latin typeface="Calibri"/>
          <a:ea typeface="Calibri"/>
          <a:cs typeface="Calibri"/>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0"/>
          <c:order val="0"/>
          <c:spPr>
            <a:pattFill prst="wdUpDiag">
              <a:fgClr>
                <a:schemeClr val="tx1"/>
              </a:fgClr>
              <a:bgClr>
                <a:schemeClr val="bg1"/>
              </a:bgClr>
            </a:pattFill>
            <a:ln>
              <a:solidFill>
                <a:schemeClr val="tx1"/>
              </a:solidFill>
            </a:ln>
          </c:spPr>
          <c:invertIfNegative val="0"/>
          <c:dLbls>
            <c:spPr>
              <a:noFill/>
              <a:ln>
                <a:noFill/>
              </a:ln>
              <a:effectLst/>
            </c:spPr>
            <c:txPr>
              <a:bodyPr/>
              <a:lstStyle/>
              <a:p>
                <a:pPr>
                  <a:defRPr sz="1000" b="0" i="0" u="none" strike="noStrike">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'Расчеты ИНТ'!$B$180:$B$188</c:f>
              <c:strCache>
                <c:ptCount val="9"/>
                <c:pt idx="0">
                  <c:v>Сделал(а) заказ – пришлют несоответствующий/бракованный товар</c:v>
                </c:pt>
                <c:pt idx="1">
                  <c:v>Осуществил(а) предоплату – не вышлют товар</c:v>
                </c:pt>
                <c:pt idx="2">
                  <c:v>Пришлют товар, который не подойдет по размеру</c:v>
                </c:pt>
                <c:pt idx="3">
                  <c:v>Пришлют товар низкого качества</c:v>
                </c:pt>
                <c:pt idx="4">
                  <c:v>Обещают оригинал – пришлют подделку</c:v>
                </c:pt>
                <c:pt idx="5">
                  <c:v>Откажут в возврате, если приобретенный товар не понравится или не подойдет по размеру</c:v>
                </c:pt>
                <c:pt idx="6">
                  <c:v>Украдут мои данные при оплате банковской картой</c:v>
                </c:pt>
                <c:pt idx="7">
                  <c:v>Отсутствие гарантии на купленный товар</c:v>
                </c:pt>
                <c:pt idx="8">
                  <c:v>Не вернут деньги при оформлении возврата</c:v>
                </c:pt>
              </c:strCache>
            </c:strRef>
          </c:cat>
          <c:val>
            <c:numRef>
              <c:f>'Расчеты ИНТ'!$G$180:$G$188</c:f>
              <c:numCache>
                <c:formatCode>0%</c:formatCode>
                <c:ptCount val="9"/>
                <c:pt idx="0">
                  <c:v>0.28780487804878047</c:v>
                </c:pt>
                <c:pt idx="1">
                  <c:v>0.26707317073170733</c:v>
                </c:pt>
                <c:pt idx="2">
                  <c:v>9.1463414634146339E-2</c:v>
                </c:pt>
                <c:pt idx="3">
                  <c:v>9.6341463414634149E-2</c:v>
                </c:pt>
                <c:pt idx="4">
                  <c:v>7.3170731707317069E-2</c:v>
                </c:pt>
                <c:pt idx="5">
                  <c:v>7.1951219512195116E-2</c:v>
                </c:pt>
                <c:pt idx="6">
                  <c:v>5.9756097560975607E-2</c:v>
                </c:pt>
                <c:pt idx="7">
                  <c:v>5.24390243902439E-2</c:v>
                </c:pt>
                <c:pt idx="8">
                  <c:v>0</c:v>
                </c:pt>
              </c:numCache>
            </c:numRef>
          </c:val>
        </c:ser>
        <c:dLbls>
          <c:showLegendKey val="0"/>
          <c:showVal val="0"/>
          <c:showCatName val="0"/>
          <c:showSerName val="0"/>
          <c:showPercent val="0"/>
          <c:showBubbleSize val="0"/>
        </c:dLbls>
        <c:gapWidth val="85"/>
        <c:axId val="229566912"/>
        <c:axId val="229566352"/>
      </c:barChart>
      <c:catAx>
        <c:axId val="229566912"/>
        <c:scaling>
          <c:orientation val="minMax"/>
        </c:scaling>
        <c:delete val="0"/>
        <c:axPos val="l"/>
        <c:numFmt formatCode="General" sourceLinked="1"/>
        <c:majorTickMark val="out"/>
        <c:minorTickMark val="none"/>
        <c:tickLblPos val="nextTo"/>
        <c:txPr>
          <a:bodyPr rot="0" vert="horz"/>
          <a:lstStyle/>
          <a:p>
            <a:pPr>
              <a:defRPr sz="1000" b="0" i="0" u="none" strike="noStrike">
                <a:solidFill>
                  <a:srgbClr val="000000"/>
                </a:solidFill>
                <a:latin typeface="Times New Roman"/>
                <a:ea typeface="Times New Roman"/>
                <a:cs typeface="Times New Roman"/>
              </a:defRPr>
            </a:pPr>
            <a:endParaRPr lang="ru-RU"/>
          </a:p>
        </c:txPr>
        <c:crossAx val="229566352"/>
        <c:crosses val="autoZero"/>
        <c:auto val="1"/>
        <c:lblAlgn val="ctr"/>
        <c:lblOffset val="100"/>
        <c:noMultiLvlLbl val="0"/>
      </c:catAx>
      <c:valAx>
        <c:axId val="229566352"/>
        <c:scaling>
          <c:orientation val="minMax"/>
          <c:max val="0.35000000000000003"/>
          <c:min val="0"/>
        </c:scaling>
        <c:delete val="0"/>
        <c:axPos val="b"/>
        <c:majorGridlines/>
        <c:numFmt formatCode="0%" sourceLinked="1"/>
        <c:majorTickMark val="out"/>
        <c:minorTickMark val="none"/>
        <c:tickLblPos val="nextTo"/>
        <c:txPr>
          <a:bodyPr rot="0" vert="horz"/>
          <a:lstStyle/>
          <a:p>
            <a:pPr>
              <a:defRPr sz="1000" b="0" i="0" u="none" strike="noStrike">
                <a:solidFill>
                  <a:srgbClr val="000000"/>
                </a:solidFill>
                <a:latin typeface="Times New Roman"/>
                <a:ea typeface="Times New Roman"/>
                <a:cs typeface="Times New Roman"/>
              </a:defRPr>
            </a:pPr>
            <a:endParaRPr lang="ru-RU"/>
          </a:p>
        </c:txPr>
        <c:crossAx val="229566912"/>
        <c:crosses val="autoZero"/>
        <c:crossBetween val="between"/>
      </c:valAx>
    </c:plotArea>
    <c:plotVisOnly val="1"/>
    <c:dispBlanksAs val="gap"/>
    <c:showDLblsOverMax val="0"/>
  </c:chart>
  <c:spPr>
    <a:ln>
      <a:noFill/>
    </a:ln>
  </c:spPr>
  <c:txPr>
    <a:bodyPr/>
    <a:lstStyle/>
    <a:p>
      <a:pPr>
        <a:defRPr sz="1000" b="0" i="0" u="none" strike="noStrike">
          <a:solidFill>
            <a:srgbClr val="000000"/>
          </a:solidFill>
          <a:latin typeface="Calibri"/>
          <a:ea typeface="Calibri"/>
          <a:cs typeface="Calibri"/>
        </a:defRPr>
      </a:pPr>
      <a:endParaRPr lang="ru-RU"/>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title>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8.3057800594308978E-2"/>
          <c:y val="0.14298823758141344"/>
          <c:w val="0.81038953831211624"/>
          <c:h val="0.57189413823272095"/>
        </c:manualLayout>
      </c:layout>
      <c:pie3DChart>
        <c:varyColors val="1"/>
        <c:ser>
          <c:idx val="0"/>
          <c:order val="0"/>
          <c:tx>
            <c:strRef>
              <c:f>Лист1!$B$1</c:f>
              <c:strCache>
                <c:ptCount val="1"/>
                <c:pt idx="0">
                  <c:v>   </c:v>
                </c:pt>
              </c:strCache>
            </c:strRef>
          </c:tx>
          <c:dPt>
            <c:idx val="0"/>
            <c:bubble3D val="0"/>
          </c:dPt>
          <c:dPt>
            <c:idx val="1"/>
            <c:bubble3D val="0"/>
          </c:dPt>
          <c:dPt>
            <c:idx val="2"/>
            <c:bubble3D val="0"/>
          </c:dPt>
          <c:dLbls>
            <c:dLbl>
              <c:idx val="0"/>
              <c:layout>
                <c:manualLayout>
                  <c:x val="6.0648883647253342E-2"/>
                  <c:y val="4.4933411101390104E-2"/>
                </c:manualLayout>
              </c:layout>
              <c:dLblPos val="bestFit"/>
              <c:showLegendKey val="0"/>
              <c:showVal val="0"/>
              <c:showCatName val="1"/>
              <c:showSerName val="0"/>
              <c:showPercent val="1"/>
              <c:showBubbleSize val="0"/>
              <c:extLst>
                <c:ext xmlns:c15="http://schemas.microsoft.com/office/drawing/2012/chart" uri="{CE6537A1-D6FC-4f65-9D91-7224C49458BB}"/>
              </c:extLst>
            </c:dLbl>
            <c:dLbl>
              <c:idx val="1"/>
              <c:layout>
                <c:manualLayout>
                  <c:x val="-0.18286505486373675"/>
                  <c:y val="-2.5802469135802468E-2"/>
                </c:manualLayout>
              </c:layout>
              <c:dLblPos val="bestFit"/>
              <c:showLegendKey val="0"/>
              <c:showVal val="0"/>
              <c:showCatName val="1"/>
              <c:showSerName val="0"/>
              <c:showPercent val="1"/>
              <c:showBubbleSize val="0"/>
              <c:extLst>
                <c:ext xmlns:c15="http://schemas.microsoft.com/office/drawing/2012/chart" uri="{CE6537A1-D6FC-4f65-9D91-7224C49458BB}"/>
              </c:extLst>
            </c:dLbl>
            <c:dLbl>
              <c:idx val="2"/>
              <c:layout>
                <c:manualLayout>
                  <c:x val="-2.4666481667765097E-2"/>
                  <c:y val="-4.0811218042189172E-2"/>
                </c:manualLayout>
              </c:layout>
              <c:dLblPos val="bestFit"/>
              <c:showLegendKey val="0"/>
              <c:showVal val="0"/>
              <c:showCatName val="1"/>
              <c:showSerName val="0"/>
              <c:showPercent val="1"/>
              <c:showBubbleSize val="0"/>
              <c:extLst>
                <c:ext xmlns:c15="http://schemas.microsoft.com/office/drawing/2012/chart" uri="{CE6537A1-D6FC-4f65-9D91-7224C49458BB}"/>
              </c:extLst>
            </c:dLbl>
            <c:spPr>
              <a:noFill/>
              <a:ln w="25396">
                <a:noFill/>
              </a:ln>
            </c:spPr>
            <c:txPr>
              <a:bodyPr wrap="square" lIns="38100" tIns="19050" rIns="38100" bIns="19050" anchor="ctr">
                <a:spAutoFit/>
              </a:bodyPr>
              <a:lstStyle/>
              <a:p>
                <a:pPr>
                  <a:defRPr sz="1000">
                    <a:latin typeface="Times New Roman"/>
                    <a:cs typeface="Times New Roman"/>
                  </a:defRPr>
                </a:pPr>
                <a:endParaRPr lang="ru-RU"/>
              </a:p>
            </c:txPr>
            <c:showLegendKey val="0"/>
            <c:showVal val="0"/>
            <c:showCatName val="1"/>
            <c:showSerName val="0"/>
            <c:showPercent val="1"/>
            <c:showBubbleSize val="0"/>
            <c:showLeaderLines val="1"/>
            <c:extLst>
              <c:ext xmlns:c15="http://schemas.microsoft.com/office/drawing/2012/chart" uri="{CE6537A1-D6FC-4f65-9D91-7224C49458BB}"/>
            </c:extLst>
          </c:dLbls>
          <c:cat>
            <c:strRef>
              <c:f>Лист1!$A$2:$A$4</c:f>
              <c:strCache>
                <c:ptCount val="3"/>
                <c:pt idx="0">
                  <c:v>Обращают внимание на содержание бирок</c:v>
                </c:pt>
                <c:pt idx="1">
                  <c:v>Смотрят на бирке лишь цену товара</c:v>
                </c:pt>
                <c:pt idx="2">
                  <c:v>Не обращают внимания на бирки</c:v>
                </c:pt>
              </c:strCache>
            </c:strRef>
          </c:cat>
          <c:val>
            <c:numRef>
              <c:f>Лист1!$B$2:$B$4</c:f>
              <c:numCache>
                <c:formatCode>0%</c:formatCode>
                <c:ptCount val="3"/>
                <c:pt idx="0">
                  <c:v>0.41</c:v>
                </c:pt>
                <c:pt idx="1">
                  <c:v>0.2</c:v>
                </c:pt>
                <c:pt idx="2">
                  <c:v>0.39</c:v>
                </c:pt>
              </c:numCache>
            </c:numRef>
          </c:val>
        </c:ser>
        <c:dLbls>
          <c:showLegendKey val="0"/>
          <c:showVal val="0"/>
          <c:showCatName val="0"/>
          <c:showSerName val="0"/>
          <c:showPercent val="0"/>
          <c:showBubbleSize val="0"/>
          <c:showLeaderLines val="1"/>
        </c:dLbls>
      </c:pie3DChart>
      <c:spPr>
        <a:noFill/>
        <a:ln w="25396">
          <a:noFill/>
        </a:ln>
      </c:spPr>
    </c:plotArea>
    <c:plotVisOnly val="1"/>
    <c:dispBlanksAs val="zero"/>
    <c:showDLblsOverMax val="0"/>
  </c:chart>
  <c:spPr>
    <a:ln>
      <a:noFill/>
    </a:ln>
  </c:sp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5"/>
    </mc:Choice>
    <mc:Fallback>
      <c:style val="25"/>
    </mc:Fallback>
  </mc:AlternateContent>
  <c:clrMapOvr bg1="lt1" tx1="dk1" bg2="lt2" tx2="dk2" accent1="accent1" accent2="accent2" accent3="accent3" accent4="accent4" accent5="accent5" accent6="accent6" hlink="hlink" folHlink="folHlink"/>
  <c:chart>
    <c:title>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Лист1!$B$1</c:f>
              <c:strCache>
                <c:ptCount val="1"/>
                <c:pt idx="0">
                  <c:v>   </c:v>
                </c:pt>
              </c:strCache>
            </c:strRef>
          </c:tx>
          <c:dPt>
            <c:idx val="0"/>
            <c:bubble3D val="0"/>
          </c:dPt>
          <c:dPt>
            <c:idx val="1"/>
            <c:bubble3D val="0"/>
          </c:dPt>
          <c:dLbls>
            <c:dLbl>
              <c:idx val="0"/>
              <c:layout>
                <c:manualLayout>
                  <c:x val="0.11174603174603175"/>
                  <c:y val="-8.4552845528455406E-2"/>
                </c:manualLayout>
              </c:layout>
              <c:dLblPos val="bestFit"/>
              <c:showLegendKey val="0"/>
              <c:showVal val="0"/>
              <c:showCatName val="1"/>
              <c:showSerName val="0"/>
              <c:showPercent val="1"/>
              <c:showBubbleSize val="0"/>
              <c:extLst>
                <c:ext xmlns:c15="http://schemas.microsoft.com/office/drawing/2012/chart" uri="{CE6537A1-D6FC-4f65-9D91-7224C49458BB}"/>
              </c:extLst>
            </c:dLbl>
            <c:dLbl>
              <c:idx val="1"/>
              <c:layout>
                <c:manualLayout>
                  <c:x val="-5.3333333333333344E-2"/>
                  <c:y val="0"/>
                </c:manualLayout>
              </c:layout>
              <c:dLblPos val="bestFit"/>
              <c:showLegendKey val="0"/>
              <c:showVal val="0"/>
              <c:showCatName val="1"/>
              <c:showSerName val="0"/>
              <c:showPercent val="1"/>
              <c:showBubbleSize val="0"/>
              <c:extLst>
                <c:ext xmlns:c15="http://schemas.microsoft.com/office/drawing/2012/chart" uri="{CE6537A1-D6FC-4f65-9D91-7224C49458BB}"/>
              </c:extLst>
            </c:dLbl>
            <c:spPr>
              <a:noFill/>
              <a:ln w="25398">
                <a:noFill/>
              </a:ln>
            </c:spPr>
            <c:txPr>
              <a:bodyPr wrap="square" lIns="38100" tIns="19050" rIns="38100" bIns="19050" anchor="ctr">
                <a:spAutoFit/>
              </a:bodyPr>
              <a:lstStyle/>
              <a:p>
                <a:pPr>
                  <a:defRPr sz="1000">
                    <a:latin typeface="Times New Roman"/>
                    <a:cs typeface="Times New Roman"/>
                  </a:defRPr>
                </a:pPr>
                <a:endParaRPr lang="ru-RU"/>
              </a:p>
            </c:txPr>
            <c:dLblPos val="outEnd"/>
            <c:showLegendKey val="0"/>
            <c:showVal val="0"/>
            <c:showCatName val="1"/>
            <c:showSerName val="0"/>
            <c:showPercent val="1"/>
            <c:showBubbleSize val="0"/>
            <c:showLeaderLines val="1"/>
            <c:extLst>
              <c:ext xmlns:c15="http://schemas.microsoft.com/office/drawing/2012/chart" uri="{CE6537A1-D6FC-4f65-9D91-7224C49458BB}"/>
            </c:extLst>
          </c:dLbls>
          <c:cat>
            <c:strRef>
              <c:f>Лист1!$A$2:$A$3</c:f>
              <c:strCache>
                <c:ptCount val="2"/>
                <c:pt idx="0">
                  <c:v>современные</c:v>
                </c:pt>
                <c:pt idx="1">
                  <c:v>традиционные</c:v>
                </c:pt>
              </c:strCache>
            </c:strRef>
          </c:cat>
          <c:val>
            <c:numRef>
              <c:f>Лист1!$B$2:$B$3</c:f>
              <c:numCache>
                <c:formatCode>0%</c:formatCode>
                <c:ptCount val="2"/>
                <c:pt idx="0">
                  <c:v>0.87</c:v>
                </c:pt>
                <c:pt idx="1">
                  <c:v>0.13</c:v>
                </c:pt>
              </c:numCache>
            </c:numRef>
          </c:val>
        </c:ser>
        <c:dLbls>
          <c:showLegendKey val="0"/>
          <c:showVal val="0"/>
          <c:showCatName val="0"/>
          <c:showSerName val="0"/>
          <c:showPercent val="0"/>
          <c:showBubbleSize val="0"/>
          <c:showLeaderLines val="1"/>
        </c:dLbls>
      </c:pie3DChart>
      <c:spPr>
        <a:noFill/>
        <a:ln w="25398">
          <a:noFill/>
        </a:ln>
      </c:spPr>
    </c:plotArea>
    <c:plotVisOnly val="1"/>
    <c:dispBlanksAs val="zero"/>
    <c:showDLblsOverMax val="0"/>
  </c:chart>
  <c:spPr>
    <a:ln>
      <a:noFill/>
    </a:ln>
  </c:sp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view3D>
      <c:rotX val="30"/>
      <c:rotY val="0"/>
      <c:rAngAx val="0"/>
      <c:perspective val="0"/>
    </c:view3D>
    <c:floor>
      <c:thickness val="0"/>
    </c:floor>
    <c:sideWall>
      <c:thickness val="0"/>
    </c:sideWall>
    <c:backWall>
      <c:thickness val="0"/>
    </c:backWall>
    <c:plotArea>
      <c:layout/>
      <c:pie3DChart>
        <c:varyColors val="1"/>
        <c:ser>
          <c:idx val="0"/>
          <c:order val="0"/>
          <c:tx>
            <c:strRef>
              <c:f>Лист1!$B$1</c:f>
              <c:strCache>
                <c:ptCount val="1"/>
                <c:pt idx="0">
                  <c:v>Столбец1</c:v>
                </c:pt>
              </c:strCache>
            </c:strRef>
          </c:tx>
          <c:spPr>
            <a:ln>
              <a:solidFill>
                <a:schemeClr val="tx1"/>
              </a:solidFill>
            </a:ln>
          </c:spPr>
          <c:dPt>
            <c:idx val="0"/>
            <c:bubble3D val="0"/>
            <c:spPr>
              <a:gradFill>
                <a:gsLst>
                  <a:gs pos="0">
                    <a:schemeClr val="dk1">
                      <a:tint val="88500"/>
                      <a:satMod val="103000"/>
                      <a:lumMod val="102000"/>
                      <a:tint val="94000"/>
                    </a:schemeClr>
                  </a:gs>
                  <a:gs pos="50000">
                    <a:schemeClr val="dk1">
                      <a:tint val="88500"/>
                      <a:satMod val="110000"/>
                      <a:lumMod val="100000"/>
                      <a:shade val="100000"/>
                    </a:schemeClr>
                  </a:gs>
                  <a:gs pos="100000">
                    <a:schemeClr val="dk1">
                      <a:tint val="88500"/>
                      <a:lumMod val="99000"/>
                      <a:satMod val="120000"/>
                      <a:shade val="78000"/>
                    </a:schemeClr>
                  </a:gs>
                </a:gsLst>
                <a:lin ang="5400000" scaled="0"/>
              </a:gradFill>
              <a:ln w="15871">
                <a:solidFill>
                  <a:schemeClr val="tx1"/>
                </a:solidFill>
              </a:ln>
            </c:spPr>
          </c:dPt>
          <c:dPt>
            <c:idx val="1"/>
            <c:bubble3D val="0"/>
            <c:spPr>
              <a:gradFill>
                <a:gsLst>
                  <a:gs pos="0">
                    <a:schemeClr val="dk1">
                      <a:tint val="55000"/>
                      <a:satMod val="103000"/>
                      <a:lumMod val="102000"/>
                      <a:tint val="94000"/>
                    </a:schemeClr>
                  </a:gs>
                  <a:gs pos="50000">
                    <a:schemeClr val="dk1">
                      <a:tint val="55000"/>
                      <a:satMod val="110000"/>
                      <a:lumMod val="100000"/>
                      <a:shade val="100000"/>
                    </a:schemeClr>
                  </a:gs>
                  <a:gs pos="100000">
                    <a:schemeClr val="dk1">
                      <a:tint val="55000"/>
                      <a:lumMod val="99000"/>
                      <a:satMod val="120000"/>
                      <a:shade val="78000"/>
                    </a:schemeClr>
                  </a:gs>
                </a:gsLst>
                <a:lin ang="5400000" scaled="0"/>
              </a:gradFill>
              <a:ln w="15871">
                <a:solidFill>
                  <a:schemeClr val="tx1"/>
                </a:solidFill>
              </a:ln>
            </c:spPr>
          </c:dPt>
          <c:dPt>
            <c:idx val="2"/>
            <c:bubble3D val="0"/>
            <c:spPr>
              <a:gradFill>
                <a:gsLst>
                  <a:gs pos="0">
                    <a:schemeClr val="dk1">
                      <a:tint val="75000"/>
                      <a:satMod val="103000"/>
                      <a:lumMod val="102000"/>
                      <a:tint val="94000"/>
                    </a:schemeClr>
                  </a:gs>
                  <a:gs pos="50000">
                    <a:schemeClr val="dk1">
                      <a:tint val="75000"/>
                      <a:satMod val="110000"/>
                      <a:lumMod val="100000"/>
                      <a:shade val="100000"/>
                    </a:schemeClr>
                  </a:gs>
                  <a:gs pos="100000">
                    <a:schemeClr val="dk1">
                      <a:tint val="75000"/>
                      <a:lumMod val="99000"/>
                      <a:satMod val="120000"/>
                      <a:shade val="78000"/>
                    </a:schemeClr>
                  </a:gs>
                </a:gsLst>
                <a:lin ang="5400000" scaled="0"/>
              </a:gradFill>
              <a:ln w="15871">
                <a:solidFill>
                  <a:schemeClr val="tx1"/>
                </a:solidFill>
              </a:ln>
            </c:spPr>
          </c:dPt>
          <c:dPt>
            <c:idx val="3"/>
            <c:bubble3D val="0"/>
            <c:spPr>
              <a:gradFill>
                <a:gsLst>
                  <a:gs pos="0">
                    <a:schemeClr val="dk1">
                      <a:tint val="98500"/>
                      <a:satMod val="103000"/>
                      <a:lumMod val="102000"/>
                      <a:tint val="94000"/>
                    </a:schemeClr>
                  </a:gs>
                  <a:gs pos="50000">
                    <a:schemeClr val="dk1">
                      <a:tint val="98500"/>
                      <a:satMod val="110000"/>
                      <a:lumMod val="100000"/>
                      <a:shade val="100000"/>
                    </a:schemeClr>
                  </a:gs>
                  <a:gs pos="100000">
                    <a:schemeClr val="dk1">
                      <a:tint val="98500"/>
                      <a:lumMod val="99000"/>
                      <a:satMod val="120000"/>
                      <a:shade val="78000"/>
                    </a:schemeClr>
                  </a:gs>
                </a:gsLst>
                <a:lin ang="5400000" scaled="0"/>
              </a:gradFill>
              <a:ln w="15871">
                <a:solidFill>
                  <a:schemeClr val="tx1"/>
                </a:solidFill>
              </a:ln>
            </c:spPr>
          </c:dPt>
          <c:dLbls>
            <c:spPr>
              <a:noFill/>
              <a:ln>
                <a:noFill/>
              </a:ln>
            </c:spPr>
            <c:txPr>
              <a:bodyPr rot="0" spcFirstLastPara="1" vertOverflow="ellipsis" vert="horz" wrap="square" anchor="ctr" anchorCtr="1"/>
              <a:lstStyle/>
              <a:p>
                <a:pPr>
                  <a:defRPr sz="1200" b="0" i="0" u="none" strike="noStrike">
                    <a:solidFill>
                      <a:schemeClr val="tx1"/>
                    </a:solidFill>
                    <a:latin typeface="Times New Roman"/>
                    <a:ea typeface="+mn-ea"/>
                    <a:cs typeface="Times New Roman"/>
                  </a:defRPr>
                </a:pPr>
                <a:endParaRPr lang="ru-RU"/>
              </a:p>
            </c:txPr>
            <c:dLblPos val="outEnd"/>
            <c:showLegendKey val="0"/>
            <c:showVal val="1"/>
            <c:showCatName val="0"/>
            <c:showSerName val="0"/>
            <c:showPercent val="1"/>
            <c:showBubbleSize val="0"/>
            <c:showLeaderLines val="1"/>
            <c:leaderLines>
              <c:spPr>
                <a:ln w="6348" cap="flat" cmpd="sng" algn="ctr">
                  <a:solidFill>
                    <a:schemeClr val="tx1"/>
                  </a:solidFill>
                  <a:prstDash val="solid"/>
                  <a:round/>
                </a:ln>
              </c:spPr>
            </c:leaderLines>
            <c:extLst>
              <c:ext xmlns:c15="http://schemas.microsoft.com/office/drawing/2012/chart" uri="{CE6537A1-D6FC-4f65-9D91-7224C49458BB}"/>
            </c:extLst>
          </c:dLbls>
          <c:cat>
            <c:strRef>
              <c:f>Лист1!$A$2:$A$5</c:f>
              <c:strCache>
                <c:ptCount val="4"/>
                <c:pt idx="0">
                  <c:v>Победы</c:v>
                </c:pt>
                <c:pt idx="1">
                  <c:v>Поражения</c:v>
                </c:pt>
                <c:pt idx="2">
                  <c:v>Не состоялись</c:v>
                </c:pt>
                <c:pt idx="3">
                  <c:v>Заявку ВГУЭС отклонили</c:v>
                </c:pt>
              </c:strCache>
            </c:strRef>
          </c:cat>
          <c:val>
            <c:numRef>
              <c:f>Лист1!$B$2:$B$5</c:f>
              <c:numCache>
                <c:formatCode>General</c:formatCode>
                <c:ptCount val="4"/>
                <c:pt idx="0">
                  <c:v>8</c:v>
                </c:pt>
                <c:pt idx="1">
                  <c:v>32</c:v>
                </c:pt>
                <c:pt idx="2">
                  <c:v>7</c:v>
                </c:pt>
                <c:pt idx="3">
                  <c:v>11</c:v>
                </c:pt>
              </c:numCache>
            </c:numRef>
          </c:val>
        </c:ser>
        <c:dLbls>
          <c:showLegendKey val="0"/>
          <c:showVal val="0"/>
          <c:showCatName val="0"/>
          <c:showSerName val="0"/>
          <c:showPercent val="0"/>
          <c:showBubbleSize val="0"/>
          <c:showLeaderLines val="1"/>
        </c:dLbls>
      </c:pie3DChart>
      <c:spPr>
        <a:noFill/>
        <a:ln w="25393">
          <a:noFill/>
        </a:ln>
      </c:spPr>
    </c:plotArea>
    <c:legend>
      <c:legendPos val="b"/>
      <c:legendEntry>
        <c:idx val="0"/>
        <c:txPr>
          <a:bodyPr rot="0" spcFirstLastPara="1" vertOverflow="ellipsis" vert="horz" wrap="square" anchor="ctr" anchorCtr="1"/>
          <a:lstStyle/>
          <a:p>
            <a:pPr>
              <a:defRPr sz="1200" b="0" i="0" u="none" strike="noStrike">
                <a:solidFill>
                  <a:schemeClr val="tx1"/>
                </a:solidFill>
                <a:latin typeface="Times New Roman"/>
                <a:ea typeface="+mn-ea"/>
                <a:cs typeface="Times New Roman"/>
              </a:defRPr>
            </a:pPr>
            <a:endParaRPr lang="ru-RU"/>
          </a:p>
        </c:txPr>
      </c:legendEntry>
      <c:legendEntry>
        <c:idx val="1"/>
        <c:txPr>
          <a:bodyPr rot="0" spcFirstLastPara="1" vertOverflow="ellipsis" vert="horz" wrap="square" anchor="ctr" anchorCtr="1"/>
          <a:lstStyle/>
          <a:p>
            <a:pPr>
              <a:defRPr sz="1200" b="0" i="0" u="none" strike="noStrike">
                <a:solidFill>
                  <a:schemeClr val="tx1"/>
                </a:solidFill>
                <a:latin typeface="Times New Roman"/>
                <a:ea typeface="+mn-ea"/>
                <a:cs typeface="Times New Roman"/>
              </a:defRPr>
            </a:pPr>
            <a:endParaRPr lang="ru-RU"/>
          </a:p>
        </c:txPr>
      </c:legendEntry>
      <c:legendEntry>
        <c:idx val="2"/>
        <c:txPr>
          <a:bodyPr rot="0" spcFirstLastPara="1" vertOverflow="ellipsis" vert="horz" wrap="square" anchor="ctr" anchorCtr="1"/>
          <a:lstStyle/>
          <a:p>
            <a:pPr>
              <a:defRPr sz="1200" b="0" i="0" u="none" strike="noStrike">
                <a:solidFill>
                  <a:schemeClr val="tx1"/>
                </a:solidFill>
                <a:latin typeface="Times New Roman"/>
                <a:ea typeface="+mn-ea"/>
                <a:cs typeface="Times New Roman"/>
              </a:defRPr>
            </a:pPr>
            <a:endParaRPr lang="ru-RU"/>
          </a:p>
        </c:txPr>
      </c:legendEntry>
      <c:layout>
        <c:manualLayout>
          <c:xMode val="edge"/>
          <c:yMode val="edge"/>
          <c:x val="7.4896078404707189E-2"/>
          <c:y val="0.82986103481250895"/>
          <c:w val="0.86330418542241794"/>
          <c:h val="0.10212537386315079"/>
        </c:manualLayout>
      </c:layout>
      <c:overlay val="0"/>
      <c:spPr>
        <a:noFill/>
        <a:ln>
          <a:noFill/>
        </a:ln>
      </c:spPr>
      <c:txPr>
        <a:bodyPr rot="0" spcFirstLastPara="1" vertOverflow="ellipsis" vert="horz" wrap="square" anchor="ctr" anchorCtr="1"/>
        <a:lstStyle/>
        <a:p>
          <a:pPr>
            <a:defRPr sz="1200" b="0" i="0" u="none" strike="noStrike">
              <a:solidFill>
                <a:schemeClr val="tx1"/>
              </a:solidFill>
              <a:latin typeface="Times New Roman"/>
              <a:ea typeface="+mn-ea"/>
              <a:cs typeface="Times New Roman"/>
            </a:defRPr>
          </a:pPr>
          <a:endParaRPr lang="ru-RU"/>
        </a:p>
      </c:txPr>
    </c:legend>
    <c:plotVisOnly val="1"/>
    <c:dispBlanksAs val="gap"/>
    <c:showDLblsOverMax val="0"/>
  </c:chart>
  <c:spPr>
    <a:solidFill>
      <a:schemeClr val="bg1"/>
    </a:solidFill>
    <a:ln>
      <a:noFill/>
    </a:ln>
  </c:spPr>
  <c:txPr>
    <a:bodyPr/>
    <a:lstStyle/>
    <a:p>
      <a:pPr>
        <a:defRPr/>
      </a:pPr>
      <a:endParaRPr lang="ru-RU"/>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Лист1!$B$1</c:f>
              <c:strCache>
                <c:ptCount val="1"/>
                <c:pt idx="0">
                  <c:v>Столбец1</c:v>
                </c:pt>
              </c:strCache>
            </c:strRef>
          </c:tx>
          <c:spPr>
            <a:solidFill>
              <a:schemeClr val="dk1">
                <a:tint val="88500"/>
              </a:schemeClr>
            </a:solidFill>
            <a:ln>
              <a:noFill/>
            </a:ln>
          </c:spPr>
          <c:invertIfNegative val="0"/>
          <c:dPt>
            <c:idx val="0"/>
            <c:invertIfNegative val="0"/>
            <c:bubble3D val="0"/>
          </c:dPt>
          <c:dPt>
            <c:idx val="1"/>
            <c:invertIfNegative val="0"/>
            <c:bubble3D val="0"/>
          </c:dPt>
          <c:dPt>
            <c:idx val="2"/>
            <c:invertIfNegative val="0"/>
            <c:bubble3D val="0"/>
          </c:dPt>
          <c:dLbls>
            <c:dLbl>
              <c:idx val="0"/>
              <c:layout>
                <c:manualLayout>
                  <c:x val="0"/>
                  <c:y val="-1.8175853018372657E-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
              <c:layout>
                <c:manualLayout>
                  <c:x val="-8.4875562720133283E-17"/>
                  <c:y val="-1.5093738282714661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2"/>
              <c:layout>
                <c:manualLayout>
                  <c:x val="0"/>
                  <c:y val="-7.7249718785152586E-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3"/>
              <c:layout>
                <c:manualLayout>
                  <c:x val="2.3148148148148147E-3"/>
                  <c:y val="-0.1428571428571429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4"/>
              <c:layout>
                <c:manualLayout>
                  <c:x val="0"/>
                  <c:y val="-7.1428571428571425E-2"/>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c:spPr>
            <c:txPr>
              <a:bodyPr rot="0" spcFirstLastPara="1" vertOverflow="ellipsis" vert="horz" wrap="square" lIns="38100" tIns="19050" rIns="38100" bIns="19050" anchor="ctr" anchorCtr="1">
                <a:spAutoFit/>
              </a:bodyPr>
              <a:lstStyle/>
              <a:p>
                <a:pPr>
                  <a:defRPr sz="1200" b="0" i="0" u="none" strike="noStrike">
                    <a:solidFill>
                      <a:sysClr val="windowText" lastClr="000000"/>
                    </a:solidFill>
                    <a:latin typeface="Times New Roman"/>
                    <a:ea typeface="+mn-ea"/>
                    <a:cs typeface="Times New Roman"/>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ВГУЭС проиграл</c:v>
                </c:pt>
                <c:pt idx="1">
                  <c:v>ВГУЭС победил</c:v>
                </c:pt>
                <c:pt idx="2">
                  <c:v>Закупки не состоялись</c:v>
                </c:pt>
              </c:strCache>
            </c:strRef>
          </c:cat>
          <c:val>
            <c:numRef>
              <c:f>Лист1!$B$2:$B$4</c:f>
              <c:numCache>
                <c:formatCode>#,##0</c:formatCode>
                <c:ptCount val="3"/>
                <c:pt idx="0">
                  <c:v>111</c:v>
                </c:pt>
                <c:pt idx="1">
                  <c:v>48</c:v>
                </c:pt>
                <c:pt idx="2">
                  <c:v>27</c:v>
                </c:pt>
              </c:numCache>
            </c:numRef>
          </c:val>
        </c:ser>
        <c:dLbls>
          <c:showLegendKey val="0"/>
          <c:showVal val="0"/>
          <c:showCatName val="0"/>
          <c:showSerName val="0"/>
          <c:showPercent val="0"/>
          <c:showBubbleSize val="0"/>
        </c:dLbls>
        <c:gapWidth val="150"/>
        <c:axId val="159638272"/>
        <c:axId val="159637712"/>
      </c:barChart>
      <c:catAx>
        <c:axId val="159638272"/>
        <c:scaling>
          <c:orientation val="minMax"/>
        </c:scaling>
        <c:delete val="0"/>
        <c:axPos val="b"/>
        <c:numFmt formatCode="General" sourceLinked="0"/>
        <c:majorTickMark val="none"/>
        <c:minorTickMark val="none"/>
        <c:tickLblPos val="nextTo"/>
        <c:spPr>
          <a:noFill/>
          <a:ln w="9523" cap="flat" cmpd="sng" algn="ctr">
            <a:solidFill>
              <a:schemeClr val="tx1">
                <a:lumMod val="15000"/>
                <a:lumOff val="85000"/>
              </a:schemeClr>
            </a:solidFill>
            <a:round/>
          </a:ln>
        </c:spPr>
        <c:txPr>
          <a:bodyPr rot="-60000000" spcFirstLastPara="1" vertOverflow="ellipsis" vert="horz" wrap="square" anchor="ctr" anchorCtr="1"/>
          <a:lstStyle/>
          <a:p>
            <a:pPr>
              <a:defRPr sz="1200" b="0" i="0" u="none" strike="noStrike">
                <a:solidFill>
                  <a:sysClr val="windowText" lastClr="000000"/>
                </a:solidFill>
                <a:latin typeface="Times New Roman"/>
                <a:ea typeface="+mn-ea"/>
                <a:cs typeface="Times New Roman"/>
              </a:defRPr>
            </a:pPr>
            <a:endParaRPr lang="ru-RU"/>
          </a:p>
        </c:txPr>
        <c:crossAx val="159637712"/>
        <c:crosses val="autoZero"/>
        <c:auto val="1"/>
        <c:lblAlgn val="ctr"/>
        <c:lblOffset val="100"/>
        <c:noMultiLvlLbl val="0"/>
      </c:catAx>
      <c:valAx>
        <c:axId val="159637712"/>
        <c:scaling>
          <c:orientation val="minMax"/>
        </c:scaling>
        <c:delete val="1"/>
        <c:axPos val="l"/>
        <c:numFmt formatCode="#,##0" sourceLinked="1"/>
        <c:majorTickMark val="out"/>
        <c:minorTickMark val="none"/>
        <c:tickLblPos val="nextTo"/>
        <c:crossAx val="159638272"/>
        <c:crosses val="autoZero"/>
        <c:crossBetween val="between"/>
      </c:valAx>
      <c:spPr>
        <a:noFill/>
        <a:ln w="25394">
          <a:noFill/>
        </a:ln>
      </c:spPr>
    </c:plotArea>
    <c:plotVisOnly val="1"/>
    <c:dispBlanksAs val="gap"/>
    <c:showDLblsOverMax val="0"/>
  </c:chart>
  <c:spPr>
    <a:solidFill>
      <a:schemeClr val="bg1"/>
    </a:solidFill>
    <a:ln>
      <a:noFill/>
    </a:ln>
  </c:spPr>
  <c:txPr>
    <a:bodyPr/>
    <a:lstStyle/>
    <a:p>
      <a:pPr>
        <a:defRPr/>
      </a:pPr>
      <a:endParaRPr lang="ru-RU"/>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9.089176393143783E-2"/>
          <c:y val="0.17993612366701983"/>
          <c:w val="0.88081241613287087"/>
          <c:h val="0.35987377182886021"/>
        </c:manualLayout>
      </c:layout>
      <c:barChart>
        <c:barDir val="col"/>
        <c:grouping val="clustered"/>
        <c:varyColors val="0"/>
        <c:ser>
          <c:idx val="0"/>
          <c:order val="0"/>
          <c:tx>
            <c:strRef>
              <c:f>Лист1!$B$1</c:f>
              <c:strCache>
                <c:ptCount val="1"/>
                <c:pt idx="0">
                  <c:v>Услуги в области образования</c:v>
                </c:pt>
              </c:strCache>
            </c:strRef>
          </c:tx>
          <c:spPr>
            <a:solidFill>
              <a:schemeClr val="dk1">
                <a:tint val="88500"/>
              </a:schemeClr>
            </a:solidFill>
            <a:ln>
              <a:noFill/>
            </a:ln>
          </c:spPr>
          <c:invertIfNegative val="0"/>
          <c:dLbls>
            <c:dLbl>
              <c:idx val="0"/>
              <c:layout>
                <c:manualLayout>
                  <c:x val="-2.6850099069702349E-3"/>
                  <c:y val="5.2003708180292669E-3"/>
                </c:manualLayout>
              </c:layout>
              <c:spPr>
                <a:noFill/>
                <a:ln>
                  <a:noFill/>
                </a:ln>
              </c:spPr>
              <c:txPr>
                <a:bodyPr rot="0" spcFirstLastPara="1" vertOverflow="ellipsis" vert="horz" wrap="square" lIns="38100" tIns="19050" rIns="38100" bIns="19050" anchor="ctr" anchorCtr="1">
                  <a:spAutoFit/>
                </a:bodyPr>
                <a:lstStyle/>
                <a:p>
                  <a:pPr>
                    <a:defRPr sz="1200" b="0" i="0" u="none" strike="noStrike">
                      <a:solidFill>
                        <a:schemeClr val="tx1">
                          <a:lumMod val="75000"/>
                          <a:lumOff val="25000"/>
                        </a:schemeClr>
                      </a:solidFill>
                      <a:latin typeface="Times New Roman"/>
                      <a:ea typeface="+mn-ea"/>
                      <a:cs typeface="Times New Roman"/>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spPr>
              <a:noFill/>
              <a:ln>
                <a:noFill/>
              </a:ln>
            </c:spPr>
            <c:txPr>
              <a:bodyPr rot="0" spcFirstLastPara="1" vertOverflow="ellipsis" vert="horz" wrap="square" lIns="38100" tIns="19050" rIns="38100" bIns="19050" anchor="ctr" anchorCtr="1">
                <a:spAutoFit/>
              </a:bodyPr>
              <a:lstStyle/>
              <a:p>
                <a:pPr>
                  <a:defRPr sz="2400" b="0" i="0" u="none" strike="noStrike">
                    <a:solidFill>
                      <a:schemeClr val="tx1">
                        <a:lumMod val="75000"/>
                        <a:lumOff val="25000"/>
                      </a:schemeClr>
                    </a:solidFill>
                    <a:latin typeface="Times New Roman"/>
                    <a:ea typeface="+mn-ea"/>
                    <a:cs typeface="Times New Roman"/>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Сумма выигранных контрактов</c:v>
                </c:pt>
              </c:strCache>
            </c:strRef>
          </c:cat>
          <c:val>
            <c:numRef>
              <c:f>Лист1!$B$2</c:f>
              <c:numCache>
                <c:formatCode>#,##0.00</c:formatCode>
                <c:ptCount val="1"/>
                <c:pt idx="0">
                  <c:v>44.96</c:v>
                </c:pt>
              </c:numCache>
            </c:numRef>
          </c:val>
        </c:ser>
        <c:ser>
          <c:idx val="1"/>
          <c:order val="1"/>
          <c:tx>
            <c:strRef>
              <c:f>Лист1!$C$1</c:f>
              <c:strCache>
                <c:ptCount val="1"/>
                <c:pt idx="0">
                  <c:v>Научные иследования</c:v>
                </c:pt>
              </c:strCache>
            </c:strRef>
          </c:tx>
          <c:spPr>
            <a:solidFill>
              <a:schemeClr val="dk1">
                <a:tint val="55000"/>
              </a:schemeClr>
            </a:solidFill>
            <a:ln>
              <a:noFill/>
            </a:ln>
          </c:spPr>
          <c:invertIfNegative val="0"/>
          <c:dLbls>
            <c:spPr>
              <a:noFill/>
              <a:ln>
                <a:noFill/>
              </a:ln>
            </c:spPr>
            <c:txPr>
              <a:bodyPr rot="0" spcFirstLastPara="1" vertOverflow="ellipsis" vert="horz" wrap="square" lIns="38100" tIns="19050" rIns="38100" bIns="19050" anchor="ctr" anchorCtr="1">
                <a:spAutoFit/>
              </a:bodyPr>
              <a:lstStyle/>
              <a:p>
                <a:pPr>
                  <a:defRPr sz="1200" b="0" i="0" u="none" strike="noStrike">
                    <a:solidFill>
                      <a:schemeClr val="tx1">
                        <a:lumMod val="75000"/>
                        <a:lumOff val="25000"/>
                      </a:schemeClr>
                    </a:solidFill>
                    <a:latin typeface="Times New Roman"/>
                    <a:ea typeface="+mn-ea"/>
                    <a:cs typeface="Times New Roman"/>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Сумма выигранных контрактов</c:v>
                </c:pt>
              </c:strCache>
            </c:strRef>
          </c:cat>
          <c:val>
            <c:numRef>
              <c:f>Лист1!$C$2</c:f>
              <c:numCache>
                <c:formatCode>#,##0.00</c:formatCode>
                <c:ptCount val="1"/>
                <c:pt idx="0">
                  <c:v>3.34</c:v>
                </c:pt>
              </c:numCache>
            </c:numRef>
          </c:val>
        </c:ser>
        <c:ser>
          <c:idx val="2"/>
          <c:order val="2"/>
          <c:tx>
            <c:strRef>
              <c:f>Лист1!$D$1</c:f>
              <c:strCache>
                <c:ptCount val="1"/>
                <c:pt idx="0">
                  <c:v>Организация отдыха</c:v>
                </c:pt>
              </c:strCache>
            </c:strRef>
          </c:tx>
          <c:spPr>
            <a:solidFill>
              <a:schemeClr val="dk1">
                <a:tint val="75000"/>
              </a:schemeClr>
            </a:solidFill>
            <a:ln>
              <a:noFill/>
            </a:ln>
          </c:spPr>
          <c:invertIfNegative val="0"/>
          <c:dLbls>
            <c:spPr>
              <a:noFill/>
              <a:ln>
                <a:noFill/>
              </a:ln>
            </c:spPr>
            <c:txPr>
              <a:bodyPr rot="0" spcFirstLastPara="1" vertOverflow="ellipsis" vert="horz" wrap="square" lIns="38100" tIns="19050" rIns="38100" bIns="19050" anchor="ctr" anchorCtr="1">
                <a:spAutoFit/>
              </a:bodyPr>
              <a:lstStyle/>
              <a:p>
                <a:pPr>
                  <a:defRPr sz="1200" b="0" i="0" u="none" strike="noStrike">
                    <a:solidFill>
                      <a:schemeClr val="tx1">
                        <a:lumMod val="75000"/>
                        <a:lumOff val="25000"/>
                      </a:schemeClr>
                    </a:solidFill>
                    <a:latin typeface="Times New Roman"/>
                    <a:ea typeface="+mn-ea"/>
                    <a:cs typeface="Times New Roman"/>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Сумма выигранных контрактов</c:v>
                </c:pt>
              </c:strCache>
            </c:strRef>
          </c:cat>
          <c:val>
            <c:numRef>
              <c:f>Лист1!$D$2</c:f>
              <c:numCache>
                <c:formatCode>#,##0.00</c:formatCode>
                <c:ptCount val="1"/>
                <c:pt idx="0">
                  <c:v>0.25</c:v>
                </c:pt>
              </c:numCache>
            </c:numRef>
          </c:val>
        </c:ser>
        <c:ser>
          <c:idx val="3"/>
          <c:order val="3"/>
          <c:tx>
            <c:strRef>
              <c:f>Лист1!$E$1</c:f>
              <c:strCache>
                <c:ptCount val="1"/>
                <c:pt idx="0">
                  <c:v>Организация спортивных мероприятий</c:v>
                </c:pt>
              </c:strCache>
            </c:strRef>
          </c:tx>
          <c:spPr>
            <a:solidFill>
              <a:schemeClr val="dk1">
                <a:tint val="98500"/>
              </a:schemeClr>
            </a:solidFill>
            <a:ln>
              <a:noFill/>
            </a:ln>
          </c:spPr>
          <c:invertIfNegative val="0"/>
          <c:dLbls>
            <c:spPr>
              <a:noFill/>
              <a:ln>
                <a:noFill/>
              </a:ln>
            </c:spPr>
            <c:txPr>
              <a:bodyPr rot="0" spcFirstLastPara="1" vertOverflow="ellipsis" vert="horz" wrap="square" lIns="38100" tIns="19050" rIns="38100" bIns="19050" anchor="ctr" anchorCtr="1">
                <a:spAutoFit/>
              </a:bodyPr>
              <a:lstStyle/>
              <a:p>
                <a:pPr>
                  <a:defRPr sz="1200" b="0" i="0" u="none" strike="noStrike">
                    <a:solidFill>
                      <a:schemeClr val="tx1">
                        <a:lumMod val="75000"/>
                        <a:lumOff val="25000"/>
                      </a:schemeClr>
                    </a:solidFill>
                    <a:latin typeface="Times New Roman"/>
                    <a:ea typeface="+mn-ea"/>
                    <a:cs typeface="Times New Roman"/>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Сумма выигранных контрактов</c:v>
                </c:pt>
              </c:strCache>
            </c:strRef>
          </c:cat>
          <c:val>
            <c:numRef>
              <c:f>Лист1!$E$2</c:f>
              <c:numCache>
                <c:formatCode>#,##0.00</c:formatCode>
                <c:ptCount val="1"/>
                <c:pt idx="0">
                  <c:v>0.13</c:v>
                </c:pt>
              </c:numCache>
            </c:numRef>
          </c:val>
        </c:ser>
        <c:dLbls>
          <c:showLegendKey val="0"/>
          <c:showVal val="0"/>
          <c:showCatName val="0"/>
          <c:showSerName val="0"/>
          <c:showPercent val="0"/>
          <c:showBubbleSize val="0"/>
        </c:dLbls>
        <c:gapWidth val="219"/>
        <c:overlap val="-27"/>
        <c:axId val="51814448"/>
        <c:axId val="51813888"/>
      </c:barChart>
      <c:catAx>
        <c:axId val="51814448"/>
        <c:scaling>
          <c:orientation val="minMax"/>
        </c:scaling>
        <c:delete val="1"/>
        <c:axPos val="b"/>
        <c:numFmt formatCode="General" sourceLinked="0"/>
        <c:majorTickMark val="out"/>
        <c:minorTickMark val="none"/>
        <c:tickLblPos val="nextTo"/>
        <c:crossAx val="51813888"/>
        <c:crosses val="autoZero"/>
        <c:auto val="1"/>
        <c:lblAlgn val="ctr"/>
        <c:lblOffset val="100"/>
        <c:noMultiLvlLbl val="0"/>
      </c:catAx>
      <c:valAx>
        <c:axId val="51813888"/>
        <c:scaling>
          <c:orientation val="minMax"/>
        </c:scaling>
        <c:delete val="1"/>
        <c:axPos val="l"/>
        <c:numFmt formatCode="#,##0.00" sourceLinked="1"/>
        <c:majorTickMark val="out"/>
        <c:minorTickMark val="none"/>
        <c:tickLblPos val="nextTo"/>
        <c:crossAx val="51814448"/>
        <c:crosses val="autoZero"/>
        <c:crossBetween val="between"/>
      </c:valAx>
      <c:spPr>
        <a:noFill/>
        <a:ln w="25399">
          <a:noFill/>
        </a:ln>
      </c:spPr>
    </c:plotArea>
    <c:legend>
      <c:legendPos val="b"/>
      <c:layout>
        <c:manualLayout>
          <c:xMode val="edge"/>
          <c:yMode val="edge"/>
          <c:x val="6.4255249343832027E-4"/>
          <c:y val="0.5170822950928603"/>
          <c:w val="0.98070866141732282"/>
          <c:h val="0.4829177049071397"/>
        </c:manualLayout>
      </c:layout>
      <c:overlay val="0"/>
      <c:spPr>
        <a:noFill/>
        <a:ln>
          <a:noFill/>
        </a:ln>
      </c:spPr>
      <c:txPr>
        <a:bodyPr rot="0" spcFirstLastPara="1" vertOverflow="ellipsis" vert="horz" wrap="square" anchor="ctr" anchorCtr="1"/>
        <a:lstStyle/>
        <a:p>
          <a:pPr>
            <a:lnSpc>
              <a:spcPct val="100000"/>
            </a:lnSpc>
            <a:defRPr sz="1200" b="0" i="0" u="none" strike="noStrike">
              <a:solidFill>
                <a:sysClr val="windowText" lastClr="000000"/>
              </a:solidFill>
              <a:latin typeface="Times New Roman"/>
              <a:ea typeface="+mn-ea"/>
              <a:cs typeface="Times New Roman"/>
            </a:defRPr>
          </a:pPr>
          <a:endParaRPr lang="ru-RU"/>
        </a:p>
      </c:txPr>
    </c:legend>
    <c:plotVisOnly val="1"/>
    <c:dispBlanksAs val="gap"/>
    <c:showDLblsOverMax val="0"/>
  </c:chart>
  <c:spPr>
    <a:solidFill>
      <a:schemeClr val="bg1"/>
    </a:solidFill>
    <a:ln>
      <a:noFill/>
    </a:ln>
  </c:spPr>
  <c:txPr>
    <a:bodyPr/>
    <a:lstStyle/>
    <a:p>
      <a:pPr>
        <a:defRPr/>
      </a:pPr>
      <a:endParaRPr lang="ru-RU"/>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view3D>
      <c:rotX val="30"/>
      <c:rotY val="0"/>
      <c:rAngAx val="0"/>
      <c:perspective val="0"/>
    </c:view3D>
    <c:floor>
      <c:thickness val="0"/>
    </c:floor>
    <c:sideWall>
      <c:thickness val="0"/>
    </c:sideWall>
    <c:backWall>
      <c:thickness val="0"/>
    </c:backWall>
    <c:plotArea>
      <c:layout>
        <c:manualLayout>
          <c:layoutTarget val="inner"/>
          <c:xMode val="edge"/>
          <c:yMode val="edge"/>
          <c:x val="0.15250312227155582"/>
          <c:y val="5.3080933944030476E-2"/>
          <c:w val="0.70527983814403417"/>
          <c:h val="0.61807830496313376"/>
        </c:manualLayout>
      </c:layout>
      <c:pie3DChart>
        <c:varyColors val="1"/>
        <c:ser>
          <c:idx val="0"/>
          <c:order val="0"/>
          <c:tx>
            <c:strRef>
              <c:f>Лист1!$B$1</c:f>
              <c:strCache>
                <c:ptCount val="1"/>
                <c:pt idx="0">
                  <c:v>Столбец1</c:v>
                </c:pt>
              </c:strCache>
            </c:strRef>
          </c:tx>
          <c:spPr>
            <a:ln w="15874">
              <a:solidFill>
                <a:schemeClr val="tx1"/>
              </a:solidFill>
            </a:ln>
          </c:spPr>
          <c:dPt>
            <c:idx val="0"/>
            <c:bubble3D val="0"/>
            <c:spPr>
              <a:gradFill>
                <a:gsLst>
                  <a:gs pos="0">
                    <a:schemeClr val="dk1">
                      <a:tint val="88500"/>
                      <a:satMod val="103000"/>
                      <a:lumMod val="102000"/>
                      <a:tint val="94000"/>
                    </a:schemeClr>
                  </a:gs>
                  <a:gs pos="50000">
                    <a:schemeClr val="dk1">
                      <a:tint val="88500"/>
                      <a:satMod val="110000"/>
                      <a:lumMod val="100000"/>
                      <a:shade val="100000"/>
                    </a:schemeClr>
                  </a:gs>
                  <a:gs pos="100000">
                    <a:schemeClr val="dk1">
                      <a:tint val="88500"/>
                      <a:lumMod val="99000"/>
                      <a:satMod val="120000"/>
                      <a:shade val="78000"/>
                    </a:schemeClr>
                  </a:gs>
                </a:gsLst>
                <a:lin ang="5400000" scaled="0"/>
              </a:gradFill>
              <a:ln w="15874">
                <a:solidFill>
                  <a:schemeClr val="tx1"/>
                </a:solidFill>
              </a:ln>
            </c:spPr>
          </c:dPt>
          <c:dPt>
            <c:idx val="1"/>
            <c:bubble3D val="0"/>
            <c:spPr>
              <a:gradFill>
                <a:gsLst>
                  <a:gs pos="0">
                    <a:schemeClr val="dk1">
                      <a:tint val="55000"/>
                      <a:satMod val="103000"/>
                      <a:lumMod val="102000"/>
                      <a:tint val="94000"/>
                    </a:schemeClr>
                  </a:gs>
                  <a:gs pos="50000">
                    <a:schemeClr val="dk1">
                      <a:tint val="55000"/>
                      <a:satMod val="110000"/>
                      <a:lumMod val="100000"/>
                      <a:shade val="100000"/>
                    </a:schemeClr>
                  </a:gs>
                  <a:gs pos="100000">
                    <a:schemeClr val="dk1">
                      <a:tint val="55000"/>
                      <a:lumMod val="99000"/>
                      <a:satMod val="120000"/>
                      <a:shade val="78000"/>
                    </a:schemeClr>
                  </a:gs>
                </a:gsLst>
                <a:lin ang="5400000" scaled="0"/>
              </a:gradFill>
              <a:ln w="15874">
                <a:solidFill>
                  <a:schemeClr val="tx1"/>
                </a:solidFill>
              </a:ln>
            </c:spPr>
          </c:dPt>
          <c:dPt>
            <c:idx val="2"/>
            <c:bubble3D val="0"/>
            <c:spPr>
              <a:gradFill>
                <a:gsLst>
                  <a:gs pos="0">
                    <a:schemeClr val="dk1">
                      <a:tint val="75000"/>
                      <a:satMod val="103000"/>
                      <a:lumMod val="102000"/>
                      <a:tint val="94000"/>
                    </a:schemeClr>
                  </a:gs>
                  <a:gs pos="50000">
                    <a:schemeClr val="dk1">
                      <a:tint val="75000"/>
                      <a:satMod val="110000"/>
                      <a:lumMod val="100000"/>
                      <a:shade val="100000"/>
                    </a:schemeClr>
                  </a:gs>
                  <a:gs pos="100000">
                    <a:schemeClr val="dk1">
                      <a:tint val="75000"/>
                      <a:lumMod val="99000"/>
                      <a:satMod val="120000"/>
                      <a:shade val="78000"/>
                    </a:schemeClr>
                  </a:gs>
                </a:gsLst>
                <a:lin ang="5400000" scaled="0"/>
              </a:gradFill>
              <a:ln w="15874">
                <a:solidFill>
                  <a:schemeClr val="tx1"/>
                </a:solidFill>
              </a:ln>
            </c:spPr>
          </c:dPt>
          <c:dLbls>
            <c:dLbl>
              <c:idx val="0"/>
              <c:layout>
                <c:manualLayout>
                  <c:x val="7.2002578810021811E-2"/>
                  <c:y val="0"/>
                </c:manualLayout>
              </c:layout>
              <c:dLblPos val="bestFit"/>
              <c:showLegendKey val="0"/>
              <c:showVal val="1"/>
              <c:showCatName val="0"/>
              <c:showSerName val="0"/>
              <c:showPercent val="1"/>
              <c:showBubbleSize val="0"/>
              <c:extLst>
                <c:ext xmlns:c15="http://schemas.microsoft.com/office/drawing/2012/chart" uri="{CE6537A1-D6FC-4f65-9D91-7224C49458BB}"/>
              </c:extLst>
            </c:dLbl>
            <c:dLbl>
              <c:idx val="1"/>
              <c:layout>
                <c:manualLayout>
                  <c:x val="-0.1095444213496759"/>
                  <c:y val="-0.22165312669249682"/>
                </c:manualLayout>
              </c:layout>
              <c:dLblPos val="bestFit"/>
              <c:showLegendKey val="0"/>
              <c:showVal val="1"/>
              <c:showCatName val="0"/>
              <c:showSerName val="0"/>
              <c:showPercent val="1"/>
              <c:showBubbleSize val="0"/>
              <c:extLst>
                <c:ext xmlns:c15="http://schemas.microsoft.com/office/drawing/2012/chart" uri="{CE6537A1-D6FC-4f65-9D91-7224C49458BB}"/>
              </c:extLst>
            </c:dLbl>
            <c:dLbl>
              <c:idx val="2"/>
              <c:layout>
                <c:manualLayout>
                  <c:x val="-0.13886211627647049"/>
                  <c:y val="0"/>
                </c:manualLayout>
              </c:layout>
              <c:dLblPos val="bestFit"/>
              <c:showLegendKey val="0"/>
              <c:showVal val="1"/>
              <c:showCatName val="0"/>
              <c:showSerName val="0"/>
              <c:showPercent val="1"/>
              <c:showBubbleSize val="0"/>
              <c:extLst>
                <c:ext xmlns:c15="http://schemas.microsoft.com/office/drawing/2012/chart" uri="{CE6537A1-D6FC-4f65-9D91-7224C49458BB}"/>
              </c:extLst>
            </c:dLbl>
            <c:spPr>
              <a:noFill/>
              <a:ln>
                <a:noFill/>
              </a:ln>
            </c:spPr>
            <c:txPr>
              <a:bodyPr rot="0" spcFirstLastPara="1" vertOverflow="ellipsis" vert="horz" wrap="square" anchor="ctr" anchorCtr="1"/>
              <a:lstStyle/>
              <a:p>
                <a:pPr>
                  <a:defRPr sz="1200" b="0" i="0" u="none" strike="noStrike">
                    <a:solidFill>
                      <a:schemeClr val="tx1"/>
                    </a:solidFill>
                    <a:latin typeface="Times New Roman"/>
                    <a:ea typeface="+mn-ea"/>
                    <a:cs typeface="Times New Roman"/>
                  </a:defRPr>
                </a:pPr>
                <a:endParaRPr lang="ru-RU"/>
              </a:p>
            </c:txPr>
            <c:dLblPos val="outEnd"/>
            <c:showLegendKey val="0"/>
            <c:showVal val="1"/>
            <c:showCatName val="0"/>
            <c:showSerName val="0"/>
            <c:showPercent val="1"/>
            <c:showBubbleSize val="0"/>
            <c:showLeaderLines val="1"/>
            <c:leaderLines>
              <c:spPr>
                <a:ln w="6350" cap="flat" cmpd="sng" algn="ctr">
                  <a:solidFill>
                    <a:schemeClr val="tx1"/>
                  </a:solidFill>
                  <a:prstDash val="solid"/>
                  <a:round/>
                </a:ln>
              </c:spPr>
            </c:leaderLines>
            <c:extLst>
              <c:ext xmlns:c15="http://schemas.microsoft.com/office/drawing/2012/chart" uri="{CE6537A1-D6FC-4f65-9D91-7224C49458BB}"/>
            </c:extLst>
          </c:dLbls>
          <c:cat>
            <c:strRef>
              <c:f>Лист1!$A$2:$A$4</c:f>
              <c:strCache>
                <c:ptCount val="3"/>
                <c:pt idx="0">
                  <c:v>Победы</c:v>
                </c:pt>
                <c:pt idx="1">
                  <c:v>Поражения</c:v>
                </c:pt>
                <c:pt idx="2">
                  <c:v>Не состоялись</c:v>
                </c:pt>
              </c:strCache>
            </c:strRef>
          </c:cat>
          <c:val>
            <c:numRef>
              <c:f>Лист1!$B$2:$B$4</c:f>
              <c:numCache>
                <c:formatCode>General</c:formatCode>
                <c:ptCount val="3"/>
                <c:pt idx="0">
                  <c:v>8</c:v>
                </c:pt>
                <c:pt idx="1">
                  <c:v>44</c:v>
                </c:pt>
                <c:pt idx="2">
                  <c:v>5</c:v>
                </c:pt>
              </c:numCache>
            </c:numRef>
          </c:val>
        </c:ser>
        <c:dLbls>
          <c:showLegendKey val="0"/>
          <c:showVal val="0"/>
          <c:showCatName val="0"/>
          <c:showSerName val="0"/>
          <c:showPercent val="0"/>
          <c:showBubbleSize val="0"/>
          <c:showLeaderLines val="1"/>
        </c:dLbls>
      </c:pie3DChart>
      <c:spPr>
        <a:noFill/>
        <a:ln w="25398">
          <a:noFill/>
        </a:ln>
      </c:spPr>
    </c:plotArea>
    <c:legend>
      <c:legendPos val="b"/>
      <c:legendEntry>
        <c:idx val="0"/>
        <c:txPr>
          <a:bodyPr rot="0" spcFirstLastPara="1" vertOverflow="ellipsis" vert="horz" wrap="square" anchor="ctr" anchorCtr="1"/>
          <a:lstStyle/>
          <a:p>
            <a:pPr>
              <a:defRPr sz="1200" b="0" i="0" u="none" strike="noStrike">
                <a:solidFill>
                  <a:schemeClr val="tx1"/>
                </a:solidFill>
                <a:latin typeface="Times New Roman"/>
                <a:ea typeface="+mn-ea"/>
                <a:cs typeface="Times New Roman"/>
              </a:defRPr>
            </a:pPr>
            <a:endParaRPr lang="ru-RU"/>
          </a:p>
        </c:txPr>
      </c:legendEntry>
      <c:legendEntry>
        <c:idx val="1"/>
        <c:txPr>
          <a:bodyPr rot="0" spcFirstLastPara="1" vertOverflow="ellipsis" vert="horz" wrap="square" anchor="ctr" anchorCtr="1"/>
          <a:lstStyle/>
          <a:p>
            <a:pPr>
              <a:defRPr sz="1200" b="0" i="0" u="none" strike="noStrike">
                <a:solidFill>
                  <a:schemeClr val="tx1"/>
                </a:solidFill>
                <a:latin typeface="Times New Roman"/>
                <a:ea typeface="+mn-ea"/>
                <a:cs typeface="Times New Roman"/>
              </a:defRPr>
            </a:pPr>
            <a:endParaRPr lang="ru-RU"/>
          </a:p>
        </c:txPr>
      </c:legendEntry>
      <c:legendEntry>
        <c:idx val="2"/>
        <c:txPr>
          <a:bodyPr rot="0" spcFirstLastPara="1" vertOverflow="ellipsis" vert="horz" wrap="square" anchor="ctr" anchorCtr="1"/>
          <a:lstStyle/>
          <a:p>
            <a:pPr>
              <a:defRPr sz="1200" b="0" i="0" u="none" strike="noStrike">
                <a:solidFill>
                  <a:schemeClr val="tx1"/>
                </a:solidFill>
                <a:latin typeface="Times New Roman"/>
                <a:ea typeface="+mn-ea"/>
                <a:cs typeface="Times New Roman"/>
              </a:defRPr>
            </a:pPr>
            <a:endParaRPr lang="ru-RU"/>
          </a:p>
        </c:txPr>
      </c:legendEntry>
      <c:layout>
        <c:manualLayout>
          <c:xMode val="edge"/>
          <c:yMode val="edge"/>
          <c:x val="0"/>
          <c:y val="0.72445635784888585"/>
          <c:w val="0.99281261495856321"/>
          <c:h val="0.2517339587870665"/>
        </c:manualLayout>
      </c:layout>
      <c:overlay val="0"/>
      <c:spPr>
        <a:noFill/>
        <a:ln>
          <a:noFill/>
        </a:ln>
      </c:spPr>
      <c:txPr>
        <a:bodyPr rot="0" spcFirstLastPara="1" vertOverflow="ellipsis" vert="horz" wrap="square" anchor="ctr" anchorCtr="1"/>
        <a:lstStyle/>
        <a:p>
          <a:pPr>
            <a:defRPr sz="1200" b="0" i="0" u="none" strike="noStrike">
              <a:solidFill>
                <a:schemeClr val="tx1"/>
              </a:solidFill>
              <a:latin typeface="Times New Roman"/>
              <a:ea typeface="+mn-ea"/>
              <a:cs typeface="Times New Roman"/>
            </a:defRPr>
          </a:pPr>
          <a:endParaRPr lang="ru-RU"/>
        </a:p>
      </c:txPr>
    </c:legend>
    <c:plotVisOnly val="1"/>
    <c:dispBlanksAs val="gap"/>
    <c:showDLblsOverMax val="0"/>
  </c:chart>
  <c:spPr>
    <a:solidFill>
      <a:schemeClr val="bg1"/>
    </a:solidFill>
    <a:ln>
      <a:noFill/>
    </a:ln>
  </c:spPr>
  <c:txPr>
    <a:bodyPr/>
    <a:lstStyle/>
    <a:p>
      <a:pPr>
        <a:defRPr/>
      </a:pPr>
      <a:endParaRPr lang="ru-RU"/>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Лист1!$B$1</c:f>
              <c:strCache>
                <c:ptCount val="1"/>
                <c:pt idx="0">
                  <c:v>Столбец1</c:v>
                </c:pt>
              </c:strCache>
            </c:strRef>
          </c:tx>
          <c:spPr>
            <a:solidFill>
              <a:schemeClr val="dk1">
                <a:tint val="88500"/>
              </a:schemeClr>
            </a:solidFill>
            <a:ln>
              <a:noFill/>
            </a:ln>
          </c:spPr>
          <c:invertIfNegative val="0"/>
          <c:dPt>
            <c:idx val="0"/>
            <c:invertIfNegative val="0"/>
            <c:bubble3D val="0"/>
          </c:dPt>
          <c:dPt>
            <c:idx val="1"/>
            <c:invertIfNegative val="0"/>
            <c:bubble3D val="0"/>
          </c:dPt>
          <c:dPt>
            <c:idx val="2"/>
            <c:invertIfNegative val="0"/>
            <c:bubble3D val="0"/>
          </c:dPt>
          <c:dLbls>
            <c:dLbl>
              <c:idx val="0"/>
              <c:layout>
                <c:manualLayout>
                  <c:x val="0"/>
                  <c:y val="-1.8175853018372657E-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
              <c:layout>
                <c:manualLayout>
                  <c:x val="-8.4875562720133283E-17"/>
                  <c:y val="-1.5093738282714661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2"/>
              <c:layout>
                <c:manualLayout>
                  <c:x val="0"/>
                  <c:y val="-7.7249718785152586E-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3"/>
              <c:layout>
                <c:manualLayout>
                  <c:x val="2.3148148148148147E-3"/>
                  <c:y val="-0.1428571428571429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4"/>
              <c:layout>
                <c:manualLayout>
                  <c:x val="0"/>
                  <c:y val="-7.1428571428571425E-2"/>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c:spPr>
            <c:txPr>
              <a:bodyPr rot="0" spcFirstLastPara="1" vertOverflow="ellipsis" vert="horz" wrap="square" lIns="38100" tIns="19050" rIns="38100" bIns="19050" anchor="ctr" anchorCtr="1">
                <a:spAutoFit/>
              </a:bodyPr>
              <a:lstStyle/>
              <a:p>
                <a:pPr>
                  <a:defRPr sz="1200" b="0" i="0" u="none" strike="noStrike">
                    <a:solidFill>
                      <a:sysClr val="windowText" lastClr="000000"/>
                    </a:solidFill>
                    <a:latin typeface="Times New Roman"/>
                    <a:ea typeface="+mn-ea"/>
                    <a:cs typeface="Times New Roman"/>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ВГУЭС победил</c:v>
                </c:pt>
                <c:pt idx="1">
                  <c:v>ВГУЭС проиграл</c:v>
                </c:pt>
                <c:pt idx="2">
                  <c:v>Закупки не состоялись</c:v>
                </c:pt>
              </c:strCache>
            </c:strRef>
          </c:cat>
          <c:val>
            <c:numRef>
              <c:f>Лист1!$B$2:$B$4</c:f>
              <c:numCache>
                <c:formatCode>#,##0.00\ _₽</c:formatCode>
                <c:ptCount val="3"/>
                <c:pt idx="0">
                  <c:v>40.799999999999997</c:v>
                </c:pt>
                <c:pt idx="1">
                  <c:v>30.4</c:v>
                </c:pt>
                <c:pt idx="2">
                  <c:v>1.3</c:v>
                </c:pt>
              </c:numCache>
            </c:numRef>
          </c:val>
        </c:ser>
        <c:dLbls>
          <c:showLegendKey val="0"/>
          <c:showVal val="0"/>
          <c:showCatName val="0"/>
          <c:showSerName val="0"/>
          <c:showPercent val="0"/>
          <c:showBubbleSize val="0"/>
        </c:dLbls>
        <c:gapWidth val="150"/>
        <c:axId val="96979136"/>
        <c:axId val="96979696"/>
      </c:barChart>
      <c:catAx>
        <c:axId val="96979136"/>
        <c:scaling>
          <c:orientation val="minMax"/>
        </c:scaling>
        <c:delete val="0"/>
        <c:axPos val="b"/>
        <c:numFmt formatCode="General" sourceLinked="0"/>
        <c:majorTickMark val="none"/>
        <c:minorTickMark val="none"/>
        <c:tickLblPos val="nextTo"/>
        <c:spPr>
          <a:noFill/>
          <a:ln w="9514" cap="flat" cmpd="sng" algn="ctr">
            <a:solidFill>
              <a:schemeClr val="tx1">
                <a:lumMod val="15000"/>
                <a:lumOff val="85000"/>
              </a:schemeClr>
            </a:solidFill>
            <a:round/>
          </a:ln>
        </c:spPr>
        <c:txPr>
          <a:bodyPr rot="-60000000" spcFirstLastPara="1" vertOverflow="ellipsis" vert="horz" wrap="square" anchor="ctr" anchorCtr="1"/>
          <a:lstStyle/>
          <a:p>
            <a:pPr>
              <a:defRPr sz="1200" b="0" i="0" u="none" strike="noStrike">
                <a:solidFill>
                  <a:sysClr val="windowText" lastClr="000000"/>
                </a:solidFill>
                <a:latin typeface="Times New Roman"/>
                <a:ea typeface="+mn-ea"/>
                <a:cs typeface="Times New Roman"/>
              </a:defRPr>
            </a:pPr>
            <a:endParaRPr lang="ru-RU"/>
          </a:p>
        </c:txPr>
        <c:crossAx val="96979696"/>
        <c:crosses val="autoZero"/>
        <c:auto val="1"/>
        <c:lblAlgn val="ctr"/>
        <c:lblOffset val="100"/>
        <c:noMultiLvlLbl val="0"/>
      </c:catAx>
      <c:valAx>
        <c:axId val="96979696"/>
        <c:scaling>
          <c:orientation val="minMax"/>
        </c:scaling>
        <c:delete val="1"/>
        <c:axPos val="l"/>
        <c:numFmt formatCode="#,##0.00\ _₽" sourceLinked="1"/>
        <c:majorTickMark val="out"/>
        <c:minorTickMark val="none"/>
        <c:tickLblPos val="nextTo"/>
        <c:crossAx val="96979136"/>
        <c:crosses val="autoZero"/>
        <c:crossBetween val="between"/>
      </c:valAx>
      <c:spPr>
        <a:noFill/>
        <a:ln w="25372">
          <a:noFill/>
        </a:ln>
      </c:spPr>
    </c:plotArea>
    <c:plotVisOnly val="1"/>
    <c:dispBlanksAs val="gap"/>
    <c:showDLblsOverMax val="0"/>
  </c:chart>
  <c:spPr>
    <a:solidFill>
      <a:schemeClr val="bg1"/>
    </a:solidFill>
    <a:ln>
      <a:noFill/>
    </a:ln>
  </c:spPr>
  <c:txPr>
    <a:bodyPr/>
    <a:lstStyle/>
    <a:p>
      <a:pPr>
        <a:defRPr/>
      </a:pPr>
      <a:endParaRPr lang="ru-RU"/>
    </a:p>
  </c:tx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2.2907122032486463E-2"/>
          <c:y val="0.11410788381742738"/>
          <c:w val="0.95418575593502708"/>
          <c:h val="0.3571446074427419"/>
        </c:manualLayout>
      </c:layout>
      <c:barChart>
        <c:barDir val="col"/>
        <c:grouping val="clustered"/>
        <c:varyColors val="0"/>
        <c:ser>
          <c:idx val="0"/>
          <c:order val="0"/>
          <c:tx>
            <c:strRef>
              <c:f>Лист1!$B$1</c:f>
              <c:strCache>
                <c:ptCount val="1"/>
                <c:pt idx="0">
                  <c:v>Услуги в области образования</c:v>
                </c:pt>
              </c:strCache>
            </c:strRef>
          </c:tx>
          <c:spPr>
            <a:solidFill>
              <a:schemeClr val="dk1">
                <a:tint val="88500"/>
              </a:schemeClr>
            </a:solidFill>
            <a:ln>
              <a:noFill/>
            </a:ln>
          </c:spPr>
          <c:invertIfNegative val="0"/>
          <c:dLbls>
            <c:spPr>
              <a:noFill/>
              <a:ln>
                <a:noFill/>
              </a:ln>
            </c:spPr>
            <c:txPr>
              <a:bodyPr rot="0" spcFirstLastPara="1" vertOverflow="ellipsis" vert="horz" wrap="square" lIns="38100" tIns="19050" rIns="38100" bIns="19050" anchor="ctr" anchorCtr="1">
                <a:spAutoFit/>
              </a:bodyPr>
              <a:lstStyle/>
              <a:p>
                <a:pPr>
                  <a:defRPr sz="1200" b="0" i="0" u="none" strike="noStrike">
                    <a:solidFill>
                      <a:sysClr val="windowText" lastClr="000000"/>
                    </a:solidFill>
                    <a:latin typeface="Times New Roman"/>
                    <a:ea typeface="+mn-ea"/>
                    <a:cs typeface="Times New Roman"/>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Сумма выигранных контрактов</c:v>
                </c:pt>
              </c:strCache>
            </c:strRef>
          </c:cat>
          <c:val>
            <c:numRef>
              <c:f>Лист1!$B$2</c:f>
              <c:numCache>
                <c:formatCode>#,##0.00</c:formatCode>
                <c:ptCount val="1"/>
                <c:pt idx="0">
                  <c:v>38.83</c:v>
                </c:pt>
              </c:numCache>
            </c:numRef>
          </c:val>
        </c:ser>
        <c:ser>
          <c:idx val="1"/>
          <c:order val="1"/>
          <c:tx>
            <c:strRef>
              <c:f>Лист1!$C$1</c:f>
              <c:strCache>
                <c:ptCount val="1"/>
                <c:pt idx="0">
                  <c:v>Научные иследования</c:v>
                </c:pt>
              </c:strCache>
            </c:strRef>
          </c:tx>
          <c:spPr>
            <a:solidFill>
              <a:schemeClr val="dk1">
                <a:tint val="55000"/>
              </a:schemeClr>
            </a:solidFill>
            <a:ln>
              <a:noFill/>
            </a:ln>
          </c:spPr>
          <c:invertIfNegative val="0"/>
          <c:dLbls>
            <c:spPr>
              <a:noFill/>
              <a:ln>
                <a:noFill/>
              </a:ln>
            </c:spPr>
            <c:txPr>
              <a:bodyPr rot="0" spcFirstLastPara="1" vertOverflow="ellipsis" vert="horz" wrap="square" lIns="38100" tIns="19050" rIns="38100" bIns="19050" anchor="ctr" anchorCtr="1">
                <a:spAutoFit/>
              </a:bodyPr>
              <a:lstStyle/>
              <a:p>
                <a:pPr>
                  <a:defRPr sz="1200" b="0" i="0" u="none" strike="noStrike">
                    <a:solidFill>
                      <a:sysClr val="windowText" lastClr="000000"/>
                    </a:solidFill>
                    <a:latin typeface="Times New Roman"/>
                    <a:ea typeface="+mn-ea"/>
                    <a:cs typeface="Times New Roman"/>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Сумма выигранных контрактов</c:v>
                </c:pt>
              </c:strCache>
            </c:strRef>
          </c:cat>
          <c:val>
            <c:numRef>
              <c:f>Лист1!$C$2</c:f>
              <c:numCache>
                <c:formatCode>#,##0.00</c:formatCode>
                <c:ptCount val="1"/>
                <c:pt idx="0">
                  <c:v>1.69</c:v>
                </c:pt>
              </c:numCache>
            </c:numRef>
          </c:val>
        </c:ser>
        <c:ser>
          <c:idx val="2"/>
          <c:order val="2"/>
          <c:tx>
            <c:strRef>
              <c:f>Лист1!$D$1</c:f>
              <c:strCache>
                <c:ptCount val="1"/>
                <c:pt idx="0">
                  <c:v>Маркетинговые и социальные исследования</c:v>
                </c:pt>
              </c:strCache>
            </c:strRef>
          </c:tx>
          <c:spPr>
            <a:solidFill>
              <a:schemeClr val="dk1">
                <a:tint val="75000"/>
              </a:schemeClr>
            </a:solidFill>
            <a:ln>
              <a:noFill/>
            </a:ln>
          </c:spPr>
          <c:invertIfNegative val="0"/>
          <c:dLbls>
            <c:spPr>
              <a:noFill/>
              <a:ln>
                <a:noFill/>
              </a:ln>
            </c:spPr>
            <c:txPr>
              <a:bodyPr rot="0" spcFirstLastPara="1" vertOverflow="ellipsis" vert="horz" wrap="square" lIns="38100" tIns="19050" rIns="38100" bIns="19050" anchor="ctr" anchorCtr="1">
                <a:spAutoFit/>
              </a:bodyPr>
              <a:lstStyle/>
              <a:p>
                <a:pPr>
                  <a:defRPr sz="1200" b="0" i="0" u="none" strike="noStrike">
                    <a:solidFill>
                      <a:sysClr val="windowText" lastClr="000000"/>
                    </a:solidFill>
                    <a:latin typeface="Times New Roman"/>
                    <a:ea typeface="+mn-ea"/>
                    <a:cs typeface="Times New Roman"/>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Сумма выигранных контрактов</c:v>
                </c:pt>
              </c:strCache>
            </c:strRef>
          </c:cat>
          <c:val>
            <c:numRef>
              <c:f>Лист1!$D$2</c:f>
              <c:numCache>
                <c:formatCode>#,##0.00</c:formatCode>
                <c:ptCount val="1"/>
                <c:pt idx="0">
                  <c:v>0.28999999999999998</c:v>
                </c:pt>
              </c:numCache>
            </c:numRef>
          </c:val>
        </c:ser>
        <c:dLbls>
          <c:showLegendKey val="0"/>
          <c:showVal val="0"/>
          <c:showCatName val="0"/>
          <c:showSerName val="0"/>
          <c:showPercent val="0"/>
          <c:showBubbleSize val="0"/>
        </c:dLbls>
        <c:gapWidth val="219"/>
        <c:overlap val="-27"/>
        <c:axId val="232262704"/>
        <c:axId val="3541392"/>
      </c:barChart>
      <c:catAx>
        <c:axId val="232262704"/>
        <c:scaling>
          <c:orientation val="minMax"/>
        </c:scaling>
        <c:delete val="1"/>
        <c:axPos val="b"/>
        <c:numFmt formatCode="General" sourceLinked="0"/>
        <c:majorTickMark val="out"/>
        <c:minorTickMark val="none"/>
        <c:tickLblPos val="nextTo"/>
        <c:crossAx val="3541392"/>
        <c:crosses val="autoZero"/>
        <c:auto val="1"/>
        <c:lblAlgn val="ctr"/>
        <c:lblOffset val="100"/>
        <c:noMultiLvlLbl val="0"/>
      </c:catAx>
      <c:valAx>
        <c:axId val="3541392"/>
        <c:scaling>
          <c:orientation val="minMax"/>
        </c:scaling>
        <c:delete val="1"/>
        <c:axPos val="l"/>
        <c:numFmt formatCode="#,##0.00" sourceLinked="1"/>
        <c:majorTickMark val="out"/>
        <c:minorTickMark val="none"/>
        <c:tickLblPos val="nextTo"/>
        <c:crossAx val="232262704"/>
        <c:crosses val="autoZero"/>
        <c:crossBetween val="between"/>
      </c:valAx>
      <c:spPr>
        <a:noFill/>
        <a:ln w="25398">
          <a:noFill/>
        </a:ln>
      </c:spPr>
    </c:plotArea>
    <c:legend>
      <c:legendPos val="b"/>
      <c:layout>
        <c:manualLayout>
          <c:xMode val="edge"/>
          <c:yMode val="edge"/>
          <c:x val="3.0307216382641168E-5"/>
          <c:y val="0.55141639209992366"/>
          <c:w val="0.99996969278361736"/>
          <c:h val="0.4174821764300739"/>
        </c:manualLayout>
      </c:layout>
      <c:overlay val="0"/>
      <c:spPr>
        <a:noFill/>
        <a:ln>
          <a:noFill/>
        </a:ln>
      </c:spPr>
      <c:txPr>
        <a:bodyPr rot="0" spcFirstLastPara="1" vertOverflow="ellipsis" vert="horz" wrap="square" anchor="ctr" anchorCtr="1"/>
        <a:lstStyle/>
        <a:p>
          <a:pPr>
            <a:defRPr sz="1200" b="0" i="0" u="none" strike="noStrike">
              <a:solidFill>
                <a:sysClr val="windowText" lastClr="000000"/>
              </a:solidFill>
              <a:latin typeface="Times New Roman"/>
              <a:ea typeface="+mn-ea"/>
              <a:cs typeface="Times New Roman"/>
            </a:defRPr>
          </a:pPr>
          <a:endParaRPr lang="ru-RU"/>
        </a:p>
      </c:txPr>
    </c:legend>
    <c:plotVisOnly val="1"/>
    <c:dispBlanksAs val="gap"/>
    <c:showDLblsOverMax val="0"/>
  </c:chart>
  <c:spPr>
    <a:solidFill>
      <a:schemeClr val="bg1"/>
    </a:solidFill>
    <a:ln>
      <a:noFill/>
    </a:ln>
  </c:spPr>
  <c:txPr>
    <a:bodyPr/>
    <a:lstStyle/>
    <a:p>
      <a:pPr>
        <a:defRPr/>
      </a:pPr>
      <a:endParaRPr lang="ru-RU"/>
    </a:p>
  </c:tx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view3D>
      <c:rotX val="30"/>
      <c:rotY val="70"/>
      <c:rAngAx val="0"/>
      <c:perspective val="0"/>
    </c:view3D>
    <c:floor>
      <c:thickness val="0"/>
    </c:floor>
    <c:sideWall>
      <c:thickness val="0"/>
    </c:sideWall>
    <c:backWall>
      <c:thickness val="0"/>
    </c:backWall>
    <c:plotArea>
      <c:layout>
        <c:manualLayout>
          <c:layoutTarget val="inner"/>
          <c:xMode val="edge"/>
          <c:yMode val="edge"/>
          <c:x val="0.16278920495870178"/>
          <c:y val="4.6766806082941287E-2"/>
          <c:w val="0.64613486269294518"/>
          <c:h val="0.56717494535593038"/>
        </c:manualLayout>
      </c:layout>
      <c:pie3DChart>
        <c:varyColors val="1"/>
        <c:ser>
          <c:idx val="0"/>
          <c:order val="0"/>
          <c:tx>
            <c:strRef>
              <c:f>Лист1!$B$1</c:f>
              <c:strCache>
                <c:ptCount val="1"/>
                <c:pt idx="0">
                  <c:v>Столбец1</c:v>
                </c:pt>
              </c:strCache>
            </c:strRef>
          </c:tx>
          <c:spPr>
            <a:ln w="15867">
              <a:solidFill>
                <a:schemeClr val="tx1"/>
              </a:solidFill>
            </a:ln>
          </c:spPr>
          <c:dPt>
            <c:idx val="0"/>
            <c:bubble3D val="0"/>
            <c:spPr>
              <a:gradFill>
                <a:gsLst>
                  <a:gs pos="0">
                    <a:schemeClr val="dk1">
                      <a:tint val="88500"/>
                      <a:satMod val="103000"/>
                      <a:lumMod val="102000"/>
                      <a:tint val="94000"/>
                    </a:schemeClr>
                  </a:gs>
                  <a:gs pos="50000">
                    <a:schemeClr val="dk1">
                      <a:tint val="88500"/>
                      <a:satMod val="110000"/>
                      <a:lumMod val="100000"/>
                      <a:shade val="100000"/>
                    </a:schemeClr>
                  </a:gs>
                  <a:gs pos="100000">
                    <a:schemeClr val="dk1">
                      <a:tint val="88500"/>
                      <a:lumMod val="99000"/>
                      <a:satMod val="120000"/>
                      <a:shade val="78000"/>
                    </a:schemeClr>
                  </a:gs>
                </a:gsLst>
                <a:lin ang="5400000" scaled="0"/>
              </a:gradFill>
              <a:ln w="15867">
                <a:solidFill>
                  <a:schemeClr val="tx1"/>
                </a:solidFill>
              </a:ln>
            </c:spPr>
          </c:dPt>
          <c:dPt>
            <c:idx val="1"/>
            <c:bubble3D val="0"/>
            <c:spPr>
              <a:gradFill>
                <a:gsLst>
                  <a:gs pos="0">
                    <a:schemeClr val="dk1">
                      <a:tint val="55000"/>
                      <a:satMod val="103000"/>
                      <a:lumMod val="102000"/>
                      <a:tint val="94000"/>
                    </a:schemeClr>
                  </a:gs>
                  <a:gs pos="50000">
                    <a:schemeClr val="dk1">
                      <a:tint val="55000"/>
                      <a:satMod val="110000"/>
                      <a:lumMod val="100000"/>
                      <a:shade val="100000"/>
                    </a:schemeClr>
                  </a:gs>
                  <a:gs pos="100000">
                    <a:schemeClr val="dk1">
                      <a:tint val="55000"/>
                      <a:lumMod val="99000"/>
                      <a:satMod val="120000"/>
                      <a:shade val="78000"/>
                    </a:schemeClr>
                  </a:gs>
                </a:gsLst>
                <a:lin ang="5400000" scaled="0"/>
              </a:gradFill>
              <a:ln w="15867">
                <a:solidFill>
                  <a:schemeClr val="tx1"/>
                </a:solidFill>
              </a:ln>
            </c:spPr>
          </c:dPt>
          <c:dPt>
            <c:idx val="2"/>
            <c:bubble3D val="0"/>
            <c:spPr>
              <a:gradFill>
                <a:gsLst>
                  <a:gs pos="0">
                    <a:schemeClr val="dk1">
                      <a:tint val="75000"/>
                      <a:satMod val="103000"/>
                      <a:lumMod val="102000"/>
                      <a:tint val="94000"/>
                    </a:schemeClr>
                  </a:gs>
                  <a:gs pos="50000">
                    <a:schemeClr val="dk1">
                      <a:tint val="75000"/>
                      <a:satMod val="110000"/>
                      <a:lumMod val="100000"/>
                      <a:shade val="100000"/>
                    </a:schemeClr>
                  </a:gs>
                  <a:gs pos="100000">
                    <a:schemeClr val="dk1">
                      <a:tint val="75000"/>
                      <a:lumMod val="99000"/>
                      <a:satMod val="120000"/>
                      <a:shade val="78000"/>
                    </a:schemeClr>
                  </a:gs>
                </a:gsLst>
                <a:lin ang="5400000" scaled="0"/>
              </a:gradFill>
              <a:ln w="15867">
                <a:solidFill>
                  <a:schemeClr val="tx1"/>
                </a:solidFill>
                <a:round/>
              </a:ln>
            </c:spPr>
          </c:dPt>
          <c:dLbls>
            <c:dLbl>
              <c:idx val="0"/>
              <c:layout>
                <c:manualLayout>
                  <c:x val="7.3917638071870004E-3"/>
                  <c:y val="-2.3910349294783231E-3"/>
                </c:manualLayout>
              </c:layout>
              <c:dLblPos val="bestFit"/>
              <c:showLegendKey val="0"/>
              <c:showVal val="1"/>
              <c:showCatName val="0"/>
              <c:showSerName val="0"/>
              <c:showPercent val="1"/>
              <c:showBubbleSize val="0"/>
              <c:extLst>
                <c:ext xmlns:c15="http://schemas.microsoft.com/office/drawing/2012/chart" uri="{CE6537A1-D6FC-4f65-9D91-7224C49458BB}"/>
              </c:extLst>
            </c:dLbl>
            <c:dLbl>
              <c:idx val="1"/>
              <c:layout>
                <c:manualLayout>
                  <c:x val="-0.11786984241392801"/>
                  <c:y val="0.13947154608527002"/>
                </c:manualLayout>
              </c:layout>
              <c:dLblPos val="bestFit"/>
              <c:showLegendKey val="0"/>
              <c:showVal val="1"/>
              <c:showCatName val="0"/>
              <c:showSerName val="0"/>
              <c:showPercent val="1"/>
              <c:showBubbleSize val="0"/>
              <c:extLst>
                <c:ext xmlns:c15="http://schemas.microsoft.com/office/drawing/2012/chart" uri="{CE6537A1-D6FC-4f65-9D91-7224C49458BB}"/>
              </c:extLst>
            </c:dLbl>
            <c:dLbl>
              <c:idx val="2"/>
              <c:layout>
                <c:manualLayout>
                  <c:x val="5.7857216654613006E-2"/>
                  <c:y val="2.8530670470756064E-2"/>
                </c:manualLayout>
              </c:layout>
              <c:dLblPos val="bestFit"/>
              <c:showLegendKey val="0"/>
              <c:showVal val="1"/>
              <c:showCatName val="0"/>
              <c:showSerName val="0"/>
              <c:showPercent val="1"/>
              <c:showBubbleSize val="0"/>
              <c:extLst>
                <c:ext xmlns:c15="http://schemas.microsoft.com/office/drawing/2012/chart" uri="{CE6537A1-D6FC-4f65-9D91-7224C49458BB}"/>
              </c:extLst>
            </c:dLbl>
            <c:spPr>
              <a:noFill/>
              <a:ln>
                <a:noFill/>
              </a:ln>
            </c:spPr>
            <c:txPr>
              <a:bodyPr rot="0" spcFirstLastPara="1" vertOverflow="ellipsis" vert="horz" wrap="square" anchor="ctr" anchorCtr="1"/>
              <a:lstStyle/>
              <a:p>
                <a:pPr>
                  <a:defRPr sz="1200" b="0" i="0" u="none" strike="noStrike">
                    <a:solidFill>
                      <a:schemeClr val="tx1"/>
                    </a:solidFill>
                    <a:latin typeface="Times New Roman"/>
                    <a:ea typeface="+mn-ea"/>
                    <a:cs typeface="Times New Roman"/>
                  </a:defRPr>
                </a:pPr>
                <a:endParaRPr lang="ru-RU"/>
              </a:p>
            </c:txPr>
            <c:dLblPos val="outEnd"/>
            <c:showLegendKey val="0"/>
            <c:showVal val="1"/>
            <c:showCatName val="0"/>
            <c:showSerName val="0"/>
            <c:showPercent val="1"/>
            <c:showBubbleSize val="0"/>
            <c:showLeaderLines val="1"/>
            <c:leaderLines>
              <c:spPr>
                <a:ln w="6347" cap="flat" cmpd="sng" algn="ctr">
                  <a:solidFill>
                    <a:schemeClr val="tx1"/>
                  </a:solidFill>
                  <a:prstDash val="solid"/>
                  <a:round/>
                </a:ln>
              </c:spPr>
            </c:leaderLines>
            <c:extLst>
              <c:ext xmlns:c15="http://schemas.microsoft.com/office/drawing/2012/chart" uri="{CE6537A1-D6FC-4f65-9D91-7224C49458BB}"/>
            </c:extLst>
          </c:dLbls>
          <c:cat>
            <c:strRef>
              <c:f>Лист1!$A$2:$A$4</c:f>
              <c:strCache>
                <c:ptCount val="3"/>
                <c:pt idx="0">
                  <c:v>Победы</c:v>
                </c:pt>
                <c:pt idx="1">
                  <c:v>Поражения</c:v>
                </c:pt>
                <c:pt idx="2">
                  <c:v>Не состоялись</c:v>
                </c:pt>
              </c:strCache>
            </c:strRef>
          </c:cat>
          <c:val>
            <c:numRef>
              <c:f>Лист1!$B$2:$B$4</c:f>
              <c:numCache>
                <c:formatCode>General</c:formatCode>
                <c:ptCount val="3"/>
                <c:pt idx="0">
                  <c:v>16</c:v>
                </c:pt>
                <c:pt idx="1">
                  <c:v>15</c:v>
                </c:pt>
                <c:pt idx="2">
                  <c:v>1</c:v>
                </c:pt>
              </c:numCache>
            </c:numRef>
          </c:val>
        </c:ser>
        <c:dLbls>
          <c:showLegendKey val="0"/>
          <c:showVal val="0"/>
          <c:showCatName val="0"/>
          <c:showSerName val="0"/>
          <c:showPercent val="0"/>
          <c:showBubbleSize val="0"/>
          <c:showLeaderLines val="1"/>
        </c:dLbls>
      </c:pie3DChart>
      <c:spPr>
        <a:noFill/>
        <a:ln w="25388">
          <a:noFill/>
        </a:ln>
      </c:spPr>
    </c:plotArea>
    <c:legend>
      <c:legendPos val="b"/>
      <c:legendEntry>
        <c:idx val="0"/>
        <c:txPr>
          <a:bodyPr rot="0" spcFirstLastPara="1" vertOverflow="ellipsis" vert="horz" wrap="square" anchor="ctr" anchorCtr="1"/>
          <a:lstStyle/>
          <a:p>
            <a:pPr>
              <a:defRPr sz="1200" b="0" i="0" u="none" strike="noStrike">
                <a:solidFill>
                  <a:schemeClr val="tx1"/>
                </a:solidFill>
                <a:latin typeface="Times New Roman"/>
                <a:ea typeface="+mn-ea"/>
                <a:cs typeface="Times New Roman"/>
              </a:defRPr>
            </a:pPr>
            <a:endParaRPr lang="ru-RU"/>
          </a:p>
        </c:txPr>
      </c:legendEntry>
      <c:legendEntry>
        <c:idx val="1"/>
        <c:txPr>
          <a:bodyPr rot="0" spcFirstLastPara="1" vertOverflow="ellipsis" vert="horz" wrap="square" anchor="ctr" anchorCtr="1"/>
          <a:lstStyle/>
          <a:p>
            <a:pPr>
              <a:defRPr sz="1200" b="0" i="0" u="none" strike="noStrike">
                <a:solidFill>
                  <a:schemeClr val="tx1"/>
                </a:solidFill>
                <a:latin typeface="Times New Roman"/>
                <a:ea typeface="+mn-ea"/>
                <a:cs typeface="Times New Roman"/>
              </a:defRPr>
            </a:pPr>
            <a:endParaRPr lang="ru-RU"/>
          </a:p>
        </c:txPr>
      </c:legendEntry>
      <c:legendEntry>
        <c:idx val="2"/>
        <c:txPr>
          <a:bodyPr rot="0" spcFirstLastPara="1" vertOverflow="ellipsis" vert="horz" wrap="square" anchor="ctr" anchorCtr="1"/>
          <a:lstStyle/>
          <a:p>
            <a:pPr>
              <a:defRPr sz="1200" b="0" i="0" u="none" strike="noStrike">
                <a:solidFill>
                  <a:schemeClr val="tx1"/>
                </a:solidFill>
                <a:latin typeface="Times New Roman"/>
                <a:ea typeface="+mn-ea"/>
                <a:cs typeface="Times New Roman"/>
              </a:defRPr>
            </a:pPr>
            <a:endParaRPr lang="ru-RU"/>
          </a:p>
        </c:txPr>
      </c:legendEntry>
      <c:layout>
        <c:manualLayout>
          <c:xMode val="edge"/>
          <c:yMode val="edge"/>
          <c:x val="7.4896125984251966E-2"/>
          <c:y val="0.82986084839953667"/>
          <c:w val="0.86178166929133848"/>
          <c:h val="0.14633000483878067"/>
        </c:manualLayout>
      </c:layout>
      <c:overlay val="0"/>
      <c:spPr>
        <a:noFill/>
        <a:ln>
          <a:noFill/>
        </a:ln>
      </c:spPr>
      <c:txPr>
        <a:bodyPr rot="0" spcFirstLastPara="1" vertOverflow="ellipsis" vert="horz" wrap="square" anchor="ctr" anchorCtr="1"/>
        <a:lstStyle/>
        <a:p>
          <a:pPr>
            <a:defRPr sz="1200" b="0" i="0" u="none" strike="noStrike">
              <a:solidFill>
                <a:schemeClr val="tx1"/>
              </a:solidFill>
              <a:latin typeface="Times New Roman"/>
              <a:ea typeface="+mn-ea"/>
              <a:cs typeface="Times New Roman"/>
            </a:defRPr>
          </a:pPr>
          <a:endParaRPr lang="ru-RU"/>
        </a:p>
      </c:txPr>
    </c:legend>
    <c:plotVisOnly val="1"/>
    <c:dispBlanksAs val="gap"/>
    <c:showDLblsOverMax val="0"/>
  </c:chart>
  <c:spPr>
    <a:solidFill>
      <a:schemeClr val="bg1"/>
    </a:solidFill>
    <a:ln>
      <a:noFill/>
    </a:ln>
  </c:spPr>
  <c:txPr>
    <a:bodyPr/>
    <a:lstStyle/>
    <a:p>
      <a:pPr>
        <a:defRPr/>
      </a:pPr>
      <a:endParaRPr lang="ru-RU"/>
    </a:p>
  </c:txPr>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Лист1!$B$1</c:f>
              <c:strCache>
                <c:ptCount val="1"/>
                <c:pt idx="0">
                  <c:v>Столбец1</c:v>
                </c:pt>
              </c:strCache>
            </c:strRef>
          </c:tx>
          <c:spPr>
            <a:solidFill>
              <a:schemeClr val="dk1">
                <a:tint val="88500"/>
              </a:schemeClr>
            </a:solidFill>
            <a:ln>
              <a:noFill/>
            </a:ln>
          </c:spPr>
          <c:invertIfNegative val="0"/>
          <c:dPt>
            <c:idx val="0"/>
            <c:invertIfNegative val="0"/>
            <c:bubble3D val="0"/>
          </c:dPt>
          <c:dPt>
            <c:idx val="1"/>
            <c:invertIfNegative val="0"/>
            <c:bubble3D val="0"/>
          </c:dPt>
          <c:dPt>
            <c:idx val="2"/>
            <c:invertIfNegative val="0"/>
            <c:bubble3D val="0"/>
          </c:dPt>
          <c:dLbls>
            <c:dLbl>
              <c:idx val="0"/>
              <c:layout>
                <c:manualLayout>
                  <c:x val="0"/>
                  <c:y val="-1.8175853018372657E-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
              <c:layout>
                <c:manualLayout>
                  <c:x val="-8.4875562720133283E-17"/>
                  <c:y val="-1.5093738282714661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2"/>
              <c:layout>
                <c:manualLayout>
                  <c:x val="0"/>
                  <c:y val="-7.7249718785152586E-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3"/>
              <c:layout>
                <c:manualLayout>
                  <c:x val="2.3148148148148147E-3"/>
                  <c:y val="-0.1428571428571429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4"/>
              <c:layout>
                <c:manualLayout>
                  <c:x val="0"/>
                  <c:y val="-7.1428571428571425E-2"/>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c:spPr>
            <c:txPr>
              <a:bodyPr rot="0" spcFirstLastPara="1" vertOverflow="ellipsis" vert="horz" wrap="square" lIns="38100" tIns="19050" rIns="38100" bIns="19050" anchor="ctr" anchorCtr="1">
                <a:spAutoFit/>
              </a:bodyPr>
              <a:lstStyle/>
              <a:p>
                <a:pPr>
                  <a:defRPr sz="1200" b="0" i="0" u="none" strike="noStrike">
                    <a:solidFill>
                      <a:sysClr val="windowText" lastClr="000000"/>
                    </a:solidFill>
                    <a:latin typeface="Times New Roman"/>
                    <a:ea typeface="+mn-ea"/>
                    <a:cs typeface="Times New Roman"/>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ВГУЭС победил</c:v>
                </c:pt>
                <c:pt idx="1">
                  <c:v>ВГУЭС проиграл</c:v>
                </c:pt>
                <c:pt idx="2">
                  <c:v>Закупки не состоялись</c:v>
                </c:pt>
              </c:strCache>
            </c:strRef>
          </c:cat>
          <c:val>
            <c:numRef>
              <c:f>Лист1!$B$2:$B$4</c:f>
              <c:numCache>
                <c:formatCode>#,##0.00\ _₽</c:formatCode>
                <c:ptCount val="3"/>
                <c:pt idx="0">
                  <c:v>41.89</c:v>
                </c:pt>
                <c:pt idx="1">
                  <c:v>37.96</c:v>
                </c:pt>
                <c:pt idx="2">
                  <c:v>0.2</c:v>
                </c:pt>
              </c:numCache>
            </c:numRef>
          </c:val>
        </c:ser>
        <c:dLbls>
          <c:showLegendKey val="0"/>
          <c:showVal val="0"/>
          <c:showCatName val="0"/>
          <c:showSerName val="0"/>
          <c:showPercent val="0"/>
          <c:showBubbleSize val="0"/>
        </c:dLbls>
        <c:gapWidth val="150"/>
        <c:axId val="239559712"/>
        <c:axId val="239560272"/>
      </c:barChart>
      <c:catAx>
        <c:axId val="239559712"/>
        <c:scaling>
          <c:orientation val="minMax"/>
        </c:scaling>
        <c:delete val="0"/>
        <c:axPos val="b"/>
        <c:numFmt formatCode="General" sourceLinked="0"/>
        <c:majorTickMark val="none"/>
        <c:minorTickMark val="none"/>
        <c:tickLblPos val="nextTo"/>
        <c:spPr>
          <a:noFill/>
          <a:ln w="9524" cap="flat" cmpd="sng" algn="ctr">
            <a:solidFill>
              <a:schemeClr val="tx1">
                <a:lumMod val="15000"/>
                <a:lumOff val="85000"/>
              </a:schemeClr>
            </a:solidFill>
            <a:round/>
          </a:ln>
        </c:spPr>
        <c:txPr>
          <a:bodyPr rot="-60000000" spcFirstLastPara="1" vertOverflow="ellipsis" vert="horz" wrap="square" anchor="ctr" anchorCtr="1"/>
          <a:lstStyle/>
          <a:p>
            <a:pPr>
              <a:defRPr sz="1200" b="0" i="0" u="none" strike="noStrike">
                <a:solidFill>
                  <a:sysClr val="windowText" lastClr="000000"/>
                </a:solidFill>
                <a:latin typeface="Times New Roman"/>
                <a:ea typeface="+mn-ea"/>
                <a:cs typeface="Times New Roman"/>
              </a:defRPr>
            </a:pPr>
            <a:endParaRPr lang="ru-RU"/>
          </a:p>
        </c:txPr>
        <c:crossAx val="239560272"/>
        <c:crosses val="autoZero"/>
        <c:auto val="1"/>
        <c:lblAlgn val="ctr"/>
        <c:lblOffset val="100"/>
        <c:noMultiLvlLbl val="0"/>
      </c:catAx>
      <c:valAx>
        <c:axId val="239560272"/>
        <c:scaling>
          <c:orientation val="minMax"/>
        </c:scaling>
        <c:delete val="1"/>
        <c:axPos val="l"/>
        <c:numFmt formatCode="#,##0.00\ _₽" sourceLinked="1"/>
        <c:majorTickMark val="out"/>
        <c:minorTickMark val="none"/>
        <c:tickLblPos val="nextTo"/>
        <c:crossAx val="239559712"/>
        <c:crosses val="autoZero"/>
        <c:crossBetween val="between"/>
      </c:valAx>
      <c:spPr>
        <a:noFill/>
        <a:ln w="25398">
          <a:noFill/>
        </a:ln>
      </c:spPr>
    </c:plotArea>
    <c:plotVisOnly val="1"/>
    <c:dispBlanksAs val="gap"/>
    <c:showDLblsOverMax val="0"/>
  </c:chart>
  <c:spPr>
    <a:solidFill>
      <a:schemeClr val="bg1"/>
    </a:solidFill>
    <a:ln>
      <a:noFill/>
      <a:round/>
    </a:ln>
  </c:spPr>
  <c:txPr>
    <a:bodyPr/>
    <a:lstStyle/>
    <a:p>
      <a:pPr>
        <a:defRPr/>
      </a:pPr>
      <a:endParaRPr lang="ru-RU"/>
    </a:p>
  </c:txPr>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Лист1!$B$1</c:f>
              <c:strCache>
                <c:ptCount val="1"/>
                <c:pt idx="0">
                  <c:v>Услуги в области образования</c:v>
                </c:pt>
              </c:strCache>
            </c:strRef>
          </c:tx>
          <c:spPr>
            <a:solidFill>
              <a:schemeClr val="dk1">
                <a:tint val="88500"/>
              </a:schemeClr>
            </a:solidFill>
            <a:ln>
              <a:noFill/>
            </a:ln>
          </c:spPr>
          <c:invertIfNegative val="0"/>
          <c:dLbls>
            <c:spPr>
              <a:noFill/>
              <a:ln>
                <a:noFill/>
              </a:ln>
            </c:spPr>
            <c:txPr>
              <a:bodyPr rot="0" spcFirstLastPara="1" vertOverflow="ellipsis" vert="horz" wrap="square" lIns="38100" tIns="19050" rIns="38100" bIns="19050" anchor="ctr" anchorCtr="1">
                <a:spAutoFit/>
              </a:bodyPr>
              <a:lstStyle/>
              <a:p>
                <a:pPr>
                  <a:defRPr sz="1200" b="0" i="0" u="none" strike="noStrike">
                    <a:solidFill>
                      <a:sysClr val="windowText" lastClr="000000"/>
                    </a:solidFill>
                    <a:latin typeface="Times New Roman"/>
                    <a:ea typeface="+mn-ea"/>
                    <a:cs typeface="Times New Roman"/>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Сумма выигранных контрактов</c:v>
                </c:pt>
              </c:strCache>
            </c:strRef>
          </c:cat>
          <c:val>
            <c:numRef>
              <c:f>Лист1!$B$2</c:f>
              <c:numCache>
                <c:formatCode>#,##0.0</c:formatCode>
                <c:ptCount val="1"/>
                <c:pt idx="0">
                  <c:v>38.799999999999997</c:v>
                </c:pt>
              </c:numCache>
            </c:numRef>
          </c:val>
        </c:ser>
        <c:ser>
          <c:idx val="1"/>
          <c:order val="1"/>
          <c:tx>
            <c:strRef>
              <c:f>Лист1!$C$1</c:f>
              <c:strCache>
                <c:ptCount val="1"/>
                <c:pt idx="0">
                  <c:v>Организация спортивных мероприятий</c:v>
                </c:pt>
              </c:strCache>
            </c:strRef>
          </c:tx>
          <c:spPr>
            <a:solidFill>
              <a:schemeClr val="dk1">
                <a:tint val="55000"/>
              </a:schemeClr>
            </a:solidFill>
            <a:ln>
              <a:noFill/>
            </a:ln>
          </c:spPr>
          <c:invertIfNegative val="0"/>
          <c:dLbls>
            <c:spPr>
              <a:noFill/>
              <a:ln>
                <a:noFill/>
              </a:ln>
            </c:spPr>
            <c:txPr>
              <a:bodyPr rot="0" spcFirstLastPara="1" vertOverflow="ellipsis" vert="horz" wrap="square" lIns="38100" tIns="19050" rIns="38100" bIns="19050" anchor="ctr" anchorCtr="1">
                <a:spAutoFit/>
              </a:bodyPr>
              <a:lstStyle/>
              <a:p>
                <a:pPr>
                  <a:defRPr sz="1200" b="0" i="0" u="none" strike="noStrike">
                    <a:solidFill>
                      <a:sysClr val="windowText" lastClr="000000"/>
                    </a:solidFill>
                    <a:latin typeface="Times New Roman"/>
                    <a:ea typeface="+mn-ea"/>
                    <a:cs typeface="Times New Roman"/>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Сумма выигранных контрактов</c:v>
                </c:pt>
              </c:strCache>
            </c:strRef>
          </c:cat>
          <c:val>
            <c:numRef>
              <c:f>Лист1!$C$2</c:f>
              <c:numCache>
                <c:formatCode>#,##0.0</c:formatCode>
                <c:ptCount val="1"/>
                <c:pt idx="0">
                  <c:v>1.4</c:v>
                </c:pt>
              </c:numCache>
            </c:numRef>
          </c:val>
        </c:ser>
        <c:ser>
          <c:idx val="2"/>
          <c:order val="2"/>
          <c:tx>
            <c:strRef>
              <c:f>Лист1!$D$1</c:f>
              <c:strCache>
                <c:ptCount val="1"/>
                <c:pt idx="0">
                  <c:v>Научные иследования</c:v>
                </c:pt>
              </c:strCache>
            </c:strRef>
          </c:tx>
          <c:spPr>
            <a:solidFill>
              <a:schemeClr val="dk1">
                <a:tint val="75000"/>
              </a:schemeClr>
            </a:solidFill>
            <a:ln>
              <a:noFill/>
            </a:ln>
          </c:spPr>
          <c:invertIfNegative val="0"/>
          <c:dLbls>
            <c:spPr>
              <a:noFill/>
              <a:ln>
                <a:noFill/>
              </a:ln>
            </c:spPr>
            <c:txPr>
              <a:bodyPr rot="0" spcFirstLastPara="1" vertOverflow="ellipsis" vert="horz" wrap="square" lIns="38100" tIns="19050" rIns="38100" bIns="19050" anchor="ctr" anchorCtr="1">
                <a:spAutoFit/>
              </a:bodyPr>
              <a:lstStyle/>
              <a:p>
                <a:pPr>
                  <a:defRPr sz="1200" b="0" i="0" u="none" strike="noStrike">
                    <a:solidFill>
                      <a:sysClr val="windowText" lastClr="000000"/>
                    </a:solidFill>
                    <a:latin typeface="Times New Roman"/>
                    <a:ea typeface="+mn-ea"/>
                    <a:cs typeface="Times New Roman"/>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Сумма выигранных контрактов</c:v>
                </c:pt>
              </c:strCache>
            </c:strRef>
          </c:cat>
          <c:val>
            <c:numRef>
              <c:f>Лист1!$D$2</c:f>
              <c:numCache>
                <c:formatCode>#,##0.0</c:formatCode>
                <c:ptCount val="1"/>
                <c:pt idx="0">
                  <c:v>0.7</c:v>
                </c:pt>
              </c:numCache>
            </c:numRef>
          </c:val>
        </c:ser>
        <c:dLbls>
          <c:showLegendKey val="0"/>
          <c:showVal val="0"/>
          <c:showCatName val="0"/>
          <c:showSerName val="0"/>
          <c:showPercent val="0"/>
          <c:showBubbleSize val="0"/>
        </c:dLbls>
        <c:gapWidth val="219"/>
        <c:overlap val="-27"/>
        <c:axId val="239563632"/>
        <c:axId val="239564192"/>
      </c:barChart>
      <c:catAx>
        <c:axId val="239563632"/>
        <c:scaling>
          <c:orientation val="minMax"/>
        </c:scaling>
        <c:delete val="1"/>
        <c:axPos val="b"/>
        <c:numFmt formatCode="General" sourceLinked="0"/>
        <c:majorTickMark val="out"/>
        <c:minorTickMark val="none"/>
        <c:tickLblPos val="nextTo"/>
        <c:crossAx val="239564192"/>
        <c:crosses val="autoZero"/>
        <c:auto val="1"/>
        <c:lblAlgn val="ctr"/>
        <c:lblOffset val="100"/>
        <c:noMultiLvlLbl val="0"/>
      </c:catAx>
      <c:valAx>
        <c:axId val="239564192"/>
        <c:scaling>
          <c:orientation val="minMax"/>
        </c:scaling>
        <c:delete val="1"/>
        <c:axPos val="l"/>
        <c:numFmt formatCode="#,##0.0" sourceLinked="1"/>
        <c:majorTickMark val="out"/>
        <c:minorTickMark val="none"/>
        <c:tickLblPos val="nextTo"/>
        <c:crossAx val="239563632"/>
        <c:crosses val="autoZero"/>
        <c:crossBetween val="between"/>
      </c:valAx>
      <c:spPr>
        <a:noFill/>
        <a:ln w="25396">
          <a:noFill/>
        </a:ln>
      </c:spPr>
    </c:plotArea>
    <c:legend>
      <c:legendPos val="b"/>
      <c:overlay val="0"/>
      <c:spPr>
        <a:noFill/>
        <a:ln>
          <a:noFill/>
        </a:ln>
      </c:spPr>
      <c:txPr>
        <a:bodyPr rot="0" spcFirstLastPara="1" vertOverflow="ellipsis" vert="horz" wrap="square" anchor="ctr" anchorCtr="1"/>
        <a:lstStyle/>
        <a:p>
          <a:pPr>
            <a:defRPr sz="1200" b="0" i="0" u="none" strike="noStrike">
              <a:solidFill>
                <a:sysClr val="windowText" lastClr="000000"/>
              </a:solidFill>
              <a:latin typeface="Times New Roman"/>
              <a:ea typeface="+mn-ea"/>
              <a:cs typeface="Times New Roman"/>
            </a:defRPr>
          </a:pPr>
          <a:endParaRPr lang="ru-RU"/>
        </a:p>
      </c:txPr>
    </c:legend>
    <c:plotVisOnly val="1"/>
    <c:dispBlanksAs val="gap"/>
    <c:showDLblsOverMax val="0"/>
  </c:chart>
  <c:spPr>
    <a:solidFill>
      <a:schemeClr val="bg1"/>
    </a:solidFill>
    <a:ln>
      <a:noFill/>
    </a:ln>
  </c:spPr>
  <c:txPr>
    <a:bodyPr/>
    <a:lstStyle/>
    <a:p>
      <a:pPr>
        <a:defRPr/>
      </a:pPr>
      <a:endParaRPr lang="ru-RU"/>
    </a:p>
  </c:txPr>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3974748308166198E-2"/>
          <c:y val="4.6766806082941287E-2"/>
          <c:w val="0.80461669691976667"/>
          <c:h val="0.56717494535593038"/>
        </c:manualLayout>
      </c:layout>
      <c:barChart>
        <c:barDir val="col"/>
        <c:grouping val="clustered"/>
        <c:varyColors val="0"/>
        <c:ser>
          <c:idx val="0"/>
          <c:order val="0"/>
          <c:tx>
            <c:strRef>
              <c:f>Лист1!$B$1</c:f>
              <c:strCache>
                <c:ptCount val="1"/>
                <c:pt idx="0">
                  <c:v>Столбец1</c:v>
                </c:pt>
              </c:strCache>
            </c:strRef>
          </c:tx>
          <c:spPr>
            <a:gradFill>
              <a:gsLst>
                <a:gs pos="0">
                  <a:schemeClr val="dk1">
                    <a:tint val="88500"/>
                    <a:satMod val="103000"/>
                    <a:lumMod val="102000"/>
                    <a:tint val="94000"/>
                  </a:schemeClr>
                </a:gs>
                <a:gs pos="50000">
                  <a:schemeClr val="dk1">
                    <a:tint val="88500"/>
                    <a:satMod val="110000"/>
                    <a:lumMod val="100000"/>
                    <a:shade val="100000"/>
                  </a:schemeClr>
                </a:gs>
                <a:gs pos="100000">
                  <a:schemeClr val="dk1">
                    <a:tint val="88500"/>
                    <a:lumMod val="99000"/>
                    <a:satMod val="120000"/>
                    <a:shade val="78000"/>
                  </a:schemeClr>
                </a:gs>
              </a:gsLst>
              <a:lin ang="5400000" scaled="0"/>
            </a:gradFill>
            <a:ln>
              <a:noFill/>
            </a:ln>
          </c:spPr>
          <c:invertIfNegative val="0"/>
          <c:dLbls>
            <c:dLbl>
              <c:idx val="0"/>
              <c:layout>
                <c:manualLayout>
                  <c:x val="-6.6657055523788389E-4"/>
                  <c:y val="-5.6213543611133955E-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
              <c:layout>
                <c:manualLayout>
                  <c:x val="1.2860640588072355E-3"/>
                  <c:y val="-5.773271720267671E-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2"/>
              <c:layout>
                <c:manualLayout>
                  <c:x val="2.57152067178649E-3"/>
                  <c:y val="-2.3095009885616944E-2"/>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c:spPr>
            <c:txPr>
              <a:bodyPr rot="0" spcFirstLastPara="1" vertOverflow="ellipsis" vert="horz" wrap="square" anchor="ctr" anchorCtr="1"/>
              <a:lstStyle/>
              <a:p>
                <a:pPr>
                  <a:defRPr sz="1200" b="0" i="0" u="none" strike="noStrike">
                    <a:solidFill>
                      <a:schemeClr val="tx1"/>
                    </a:solidFill>
                    <a:latin typeface="Times New Roman"/>
                    <a:ea typeface="+mn-ea"/>
                    <a:cs typeface="Times New Roman"/>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Лист1!$A$2:$A$4</c:f>
              <c:numCache>
                <c:formatCode>General</c:formatCode>
                <c:ptCount val="3"/>
                <c:pt idx="0">
                  <c:v>2015</c:v>
                </c:pt>
                <c:pt idx="1">
                  <c:v>2016</c:v>
                </c:pt>
                <c:pt idx="2">
                  <c:v>2017</c:v>
                </c:pt>
              </c:numCache>
            </c:numRef>
          </c:cat>
          <c:val>
            <c:numRef>
              <c:f>Лист1!$B$2:$B$4</c:f>
              <c:numCache>
                <c:formatCode>General</c:formatCode>
                <c:ptCount val="3"/>
                <c:pt idx="0" formatCode="0">
                  <c:v>8</c:v>
                </c:pt>
                <c:pt idx="1">
                  <c:v>8</c:v>
                </c:pt>
                <c:pt idx="2">
                  <c:v>16</c:v>
                </c:pt>
              </c:numCache>
            </c:numRef>
          </c:val>
        </c:ser>
        <c:dLbls>
          <c:showLegendKey val="0"/>
          <c:showVal val="0"/>
          <c:showCatName val="0"/>
          <c:showSerName val="0"/>
          <c:showPercent val="0"/>
          <c:showBubbleSize val="0"/>
        </c:dLbls>
        <c:gapWidth val="100"/>
        <c:axId val="239566432"/>
        <c:axId val="239566992"/>
      </c:barChart>
      <c:catAx>
        <c:axId val="239566432"/>
        <c:scaling>
          <c:orientation val="minMax"/>
        </c:scaling>
        <c:delete val="0"/>
        <c:axPos val="b"/>
        <c:numFmt formatCode="General" sourceLinked="1"/>
        <c:majorTickMark val="out"/>
        <c:minorTickMark val="none"/>
        <c:tickLblPos val="nextTo"/>
        <c:spPr>
          <a:noFill/>
          <a:ln w="6350" cap="flat" cmpd="sng" algn="ctr">
            <a:solidFill>
              <a:schemeClr val="tx1">
                <a:tint val="75000"/>
              </a:schemeClr>
            </a:solidFill>
            <a:prstDash val="solid"/>
            <a:round/>
          </a:ln>
        </c:spPr>
        <c:txPr>
          <a:bodyPr rot="-60000000" spcFirstLastPara="1" vertOverflow="ellipsis" vert="horz" wrap="square" anchor="ctr" anchorCtr="1"/>
          <a:lstStyle/>
          <a:p>
            <a:pPr>
              <a:defRPr sz="1200" b="0" i="0" u="none" strike="noStrike">
                <a:solidFill>
                  <a:schemeClr val="tx1"/>
                </a:solidFill>
                <a:latin typeface="Times New Roman"/>
                <a:ea typeface="+mn-ea"/>
                <a:cs typeface="Times New Roman"/>
              </a:defRPr>
            </a:pPr>
            <a:endParaRPr lang="ru-RU"/>
          </a:p>
        </c:txPr>
        <c:crossAx val="239566992"/>
        <c:crosses val="autoZero"/>
        <c:auto val="1"/>
        <c:lblAlgn val="ctr"/>
        <c:lblOffset val="100"/>
        <c:noMultiLvlLbl val="0"/>
      </c:catAx>
      <c:valAx>
        <c:axId val="239566992"/>
        <c:scaling>
          <c:orientation val="minMax"/>
        </c:scaling>
        <c:delete val="1"/>
        <c:axPos val="l"/>
        <c:numFmt formatCode="0" sourceLinked="1"/>
        <c:majorTickMark val="out"/>
        <c:minorTickMark val="none"/>
        <c:tickLblPos val="nextTo"/>
        <c:crossAx val="239566432"/>
        <c:crosses val="autoZero"/>
        <c:crossBetween val="between"/>
      </c:valAx>
      <c:spPr>
        <a:solidFill>
          <a:schemeClr val="bg1"/>
        </a:solidFill>
        <a:ln>
          <a:noFill/>
        </a:ln>
      </c:spPr>
    </c:plotArea>
    <c:plotVisOnly val="1"/>
    <c:dispBlanksAs val="gap"/>
    <c:showDLblsOverMax val="0"/>
  </c:chart>
  <c:spPr>
    <a:solidFill>
      <a:schemeClr val="bg1"/>
    </a:solidFill>
    <a:ln>
      <a:noFill/>
    </a:ln>
  </c:spPr>
  <c:txPr>
    <a:bodyPr/>
    <a:lstStyle/>
    <a:p>
      <a:pPr>
        <a:defRPr/>
      </a:pPr>
      <a:endParaRPr lang="ru-RU"/>
    </a:p>
  </c:txPr>
  <c:externalData r:id="rId2">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5.9580918721793441E-2"/>
          <c:y val="4.6766734803310873E-2"/>
          <c:w val="0.88525679339587504"/>
          <c:h val="0.56717494535593038"/>
        </c:manualLayout>
      </c:layout>
      <c:barChart>
        <c:barDir val="col"/>
        <c:grouping val="clustered"/>
        <c:varyColors val="0"/>
        <c:ser>
          <c:idx val="0"/>
          <c:order val="0"/>
          <c:tx>
            <c:strRef>
              <c:f>Лист1!$B$1</c:f>
              <c:strCache>
                <c:ptCount val="1"/>
                <c:pt idx="0">
                  <c:v>Столбец1</c:v>
                </c:pt>
              </c:strCache>
            </c:strRef>
          </c:tx>
          <c:spPr>
            <a:gradFill>
              <a:gsLst>
                <a:gs pos="0">
                  <a:schemeClr val="dk1">
                    <a:tint val="88500"/>
                    <a:satMod val="103000"/>
                    <a:lumMod val="102000"/>
                    <a:tint val="94000"/>
                  </a:schemeClr>
                </a:gs>
                <a:gs pos="50000">
                  <a:schemeClr val="dk1">
                    <a:tint val="88500"/>
                    <a:satMod val="110000"/>
                    <a:lumMod val="100000"/>
                    <a:shade val="100000"/>
                  </a:schemeClr>
                </a:gs>
                <a:gs pos="100000">
                  <a:schemeClr val="dk1">
                    <a:tint val="88500"/>
                    <a:lumMod val="99000"/>
                    <a:satMod val="120000"/>
                    <a:shade val="78000"/>
                  </a:schemeClr>
                </a:gs>
              </a:gsLst>
              <a:lin ang="5400000" scaled="0"/>
            </a:gradFill>
            <a:ln>
              <a:noFill/>
            </a:ln>
          </c:spPr>
          <c:invertIfNegative val="0"/>
          <c:dLbls>
            <c:dLbl>
              <c:idx val="0"/>
              <c:layout>
                <c:manualLayout>
                  <c:x val="-6.6657055523788389E-4"/>
                  <c:y val="-5.6213543611133955E-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
              <c:layout>
                <c:manualLayout>
                  <c:x val="1.2860640588072355E-3"/>
                  <c:y val="-5.773271720267671E-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2"/>
              <c:layout>
                <c:manualLayout>
                  <c:x val="-6.8166779479140842E-3"/>
                  <c:y val="5.1688842762058059E-3"/>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c:spPr>
            <c:txPr>
              <a:bodyPr rot="0" spcFirstLastPara="1" vertOverflow="ellipsis" vert="horz" wrap="square" anchor="ctr" anchorCtr="1"/>
              <a:lstStyle/>
              <a:p>
                <a:pPr>
                  <a:defRPr sz="1200" b="0" i="0" u="none" strike="noStrike">
                    <a:solidFill>
                      <a:schemeClr val="tx1"/>
                    </a:solidFill>
                    <a:latin typeface="Times New Roman"/>
                    <a:ea typeface="+mn-ea"/>
                    <a:cs typeface="Times New Roman"/>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Лист1!$A$2:$A$6</c:f>
              <c:numCache>
                <c:formatCode>General</c:formatCode>
                <c:ptCount val="5"/>
                <c:pt idx="0">
                  <c:v>2015</c:v>
                </c:pt>
                <c:pt idx="1">
                  <c:v>2016</c:v>
                </c:pt>
                <c:pt idx="2">
                  <c:v>2017</c:v>
                </c:pt>
                <c:pt idx="3">
                  <c:v>2018</c:v>
                </c:pt>
                <c:pt idx="4">
                  <c:v>2019</c:v>
                </c:pt>
              </c:numCache>
            </c:numRef>
          </c:cat>
          <c:val>
            <c:numRef>
              <c:f>Лист1!$B$2:$B$6</c:f>
              <c:numCache>
                <c:formatCode>General</c:formatCode>
                <c:ptCount val="5"/>
                <c:pt idx="0" formatCode="0">
                  <c:v>10</c:v>
                </c:pt>
                <c:pt idx="1">
                  <c:v>11</c:v>
                </c:pt>
                <c:pt idx="2">
                  <c:v>21</c:v>
                </c:pt>
                <c:pt idx="3">
                  <c:v>22</c:v>
                </c:pt>
                <c:pt idx="4">
                  <c:v>25</c:v>
                </c:pt>
              </c:numCache>
            </c:numRef>
          </c:val>
        </c:ser>
        <c:dLbls>
          <c:showLegendKey val="0"/>
          <c:showVal val="0"/>
          <c:showCatName val="0"/>
          <c:showSerName val="0"/>
          <c:showPercent val="0"/>
          <c:showBubbleSize val="0"/>
        </c:dLbls>
        <c:gapWidth val="100"/>
        <c:axId val="239569232"/>
        <c:axId val="239569792"/>
      </c:barChart>
      <c:catAx>
        <c:axId val="239569232"/>
        <c:scaling>
          <c:orientation val="minMax"/>
        </c:scaling>
        <c:delete val="0"/>
        <c:axPos val="b"/>
        <c:numFmt formatCode="General" sourceLinked="1"/>
        <c:majorTickMark val="out"/>
        <c:minorTickMark val="none"/>
        <c:tickLblPos val="nextTo"/>
        <c:spPr>
          <a:noFill/>
          <a:ln w="6350" cap="flat" cmpd="sng" algn="ctr">
            <a:solidFill>
              <a:schemeClr val="tx1">
                <a:tint val="75000"/>
              </a:schemeClr>
            </a:solidFill>
            <a:prstDash val="solid"/>
            <a:round/>
          </a:ln>
        </c:spPr>
        <c:txPr>
          <a:bodyPr rot="-60000000" spcFirstLastPara="1" vertOverflow="ellipsis" vert="horz" wrap="square" anchor="ctr" anchorCtr="1"/>
          <a:lstStyle/>
          <a:p>
            <a:pPr>
              <a:defRPr sz="1200" b="0" i="0" u="none" strike="noStrike">
                <a:solidFill>
                  <a:schemeClr val="tx1"/>
                </a:solidFill>
                <a:latin typeface="Times New Roman"/>
                <a:ea typeface="+mn-ea"/>
                <a:cs typeface="Times New Roman"/>
              </a:defRPr>
            </a:pPr>
            <a:endParaRPr lang="ru-RU"/>
          </a:p>
        </c:txPr>
        <c:crossAx val="239569792"/>
        <c:crosses val="autoZero"/>
        <c:auto val="1"/>
        <c:lblAlgn val="ctr"/>
        <c:lblOffset val="100"/>
        <c:noMultiLvlLbl val="0"/>
      </c:catAx>
      <c:valAx>
        <c:axId val="239569792"/>
        <c:scaling>
          <c:orientation val="minMax"/>
        </c:scaling>
        <c:delete val="1"/>
        <c:axPos val="l"/>
        <c:numFmt formatCode="0" sourceLinked="1"/>
        <c:majorTickMark val="out"/>
        <c:minorTickMark val="none"/>
        <c:tickLblPos val="nextTo"/>
        <c:crossAx val="239569232"/>
        <c:crosses val="autoZero"/>
        <c:crossBetween val="between"/>
      </c:valAx>
      <c:spPr>
        <a:solidFill>
          <a:schemeClr val="bg1"/>
        </a:solidFill>
        <a:ln>
          <a:noFill/>
        </a:ln>
      </c:spPr>
    </c:plotArea>
    <c:plotVisOnly val="1"/>
    <c:dispBlanksAs val="gap"/>
    <c:showDLblsOverMax val="0"/>
  </c:chart>
  <c:spPr>
    <a:solidFill>
      <a:schemeClr val="bg1"/>
    </a:solidFill>
    <a:ln>
      <a:noFill/>
    </a:ln>
  </c:spPr>
  <c:txPr>
    <a:bodyPr/>
    <a:lstStyle/>
    <a:p>
      <a:pPr>
        <a:defRPr/>
      </a:pPr>
      <a:endParaRPr lang="ru-RU"/>
    </a:p>
  </c:txPr>
  <c:externalData r:id="rId2">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Среднее!$B$1</c:f>
              <c:strCache>
                <c:ptCount val="1"/>
                <c:pt idx="0">
                  <c:v>Среднее</c:v>
                </c:pt>
              </c:strCache>
            </c:strRef>
          </c:tx>
          <c:spPr>
            <a:solidFill>
              <a:sysClr val="window" lastClr="FFFFFF">
                <a:lumMod val="50000"/>
              </a:sysClr>
            </a:solidFill>
            <a:ln w="19029">
              <a:noFill/>
            </a:ln>
          </c:spPr>
          <c:invertIfNegative val="0"/>
          <c:dPt>
            <c:idx val="0"/>
            <c:invertIfNegative val="0"/>
            <c:bubble3D val="0"/>
            <c:spPr>
              <a:solidFill>
                <a:srgbClr val="E7E6E6">
                  <a:lumMod val="50000"/>
                </a:srgbClr>
              </a:solidFill>
              <a:ln w="19029">
                <a:noFill/>
              </a:ln>
            </c:spPr>
          </c:dPt>
          <c:dPt>
            <c:idx val="2"/>
            <c:invertIfNegative val="0"/>
            <c:bubble3D val="0"/>
            <c:spPr>
              <a:solidFill>
                <a:srgbClr val="44546A">
                  <a:lumMod val="50000"/>
                </a:srgbClr>
              </a:solidFill>
              <a:ln w="19029">
                <a:noFill/>
              </a:ln>
            </c:spPr>
          </c:dPt>
          <c:dPt>
            <c:idx val="3"/>
            <c:invertIfNegative val="0"/>
            <c:bubble3D val="0"/>
            <c:spPr>
              <a:solidFill>
                <a:srgbClr val="E7E6E6">
                  <a:lumMod val="10000"/>
                </a:srgbClr>
              </a:solidFill>
              <a:ln w="19029">
                <a:noFill/>
                <a:round/>
              </a:ln>
            </c:spPr>
          </c:dPt>
          <c:dPt>
            <c:idx val="4"/>
            <c:invertIfNegative val="0"/>
            <c:bubble3D val="0"/>
            <c:spPr>
              <a:solidFill>
                <a:sysClr val="windowText" lastClr="000000">
                  <a:lumMod val="65000"/>
                  <a:lumOff val="35000"/>
                </a:sysClr>
              </a:solidFill>
              <a:ln w="19029">
                <a:noFill/>
              </a:ln>
            </c:spPr>
          </c:dPt>
          <c:dPt>
            <c:idx val="5"/>
            <c:invertIfNegative val="0"/>
            <c:bubble3D val="0"/>
            <c:spPr>
              <a:solidFill>
                <a:srgbClr val="E7E6E6">
                  <a:lumMod val="25000"/>
                </a:srgbClr>
              </a:solidFill>
              <a:ln w="19029">
                <a:noFill/>
              </a:ln>
            </c:spPr>
          </c:dPt>
          <c:dLbls>
            <c:spPr>
              <a:noFill/>
              <a:ln w="19029">
                <a:noFill/>
              </a:ln>
            </c:spPr>
            <c:txPr>
              <a:bodyPr rot="0" spcFirstLastPara="1" vertOverflow="ellipsis" vert="horz" wrap="square" anchor="ctr" anchorCtr="1"/>
              <a:lstStyle/>
              <a:p>
                <a:pPr>
                  <a:defRPr sz="900" b="0" i="0" u="none" strike="noStrike">
                    <a:solidFill>
                      <a:sysClr val="windowText" lastClr="000000"/>
                    </a:solidFill>
                    <a:latin typeface="Times New Roman"/>
                    <a:ea typeface="+mn-ea"/>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Среднее!$A$2:$A$7</c:f>
              <c:strCache>
                <c:ptCount val="6"/>
                <c:pt idx="0">
                  <c:v>1 камера</c:v>
                </c:pt>
                <c:pt idx="1">
                  <c:v>2 камера</c:v>
                </c:pt>
                <c:pt idx="2">
                  <c:v>3 камера</c:v>
                </c:pt>
                <c:pt idx="3">
                  <c:v>4 камера</c:v>
                </c:pt>
                <c:pt idx="4">
                  <c:v>5 камера</c:v>
                </c:pt>
                <c:pt idx="5">
                  <c:v>6 камера</c:v>
                </c:pt>
              </c:strCache>
            </c:strRef>
          </c:cat>
          <c:val>
            <c:numRef>
              <c:f>Среднее!$B$2:$B$7</c:f>
              <c:numCache>
                <c:formatCode>0%</c:formatCode>
                <c:ptCount val="6"/>
                <c:pt idx="0">
                  <c:v>0.55510159569444451</c:v>
                </c:pt>
                <c:pt idx="1">
                  <c:v>0.68372474263888894</c:v>
                </c:pt>
                <c:pt idx="2">
                  <c:v>0.49474999347222215</c:v>
                </c:pt>
                <c:pt idx="3">
                  <c:v>0.71862783388888885</c:v>
                </c:pt>
                <c:pt idx="4">
                  <c:v>0.80950597972222216</c:v>
                </c:pt>
                <c:pt idx="5">
                  <c:v>0.88010700069444436</c:v>
                </c:pt>
              </c:numCache>
            </c:numRef>
          </c:val>
        </c:ser>
        <c:dLbls>
          <c:showLegendKey val="0"/>
          <c:showVal val="0"/>
          <c:showCatName val="0"/>
          <c:showSerName val="0"/>
          <c:showPercent val="0"/>
          <c:showBubbleSize val="0"/>
        </c:dLbls>
        <c:gapWidth val="150"/>
        <c:axId val="239572032"/>
        <c:axId val="240606752"/>
      </c:barChart>
      <c:catAx>
        <c:axId val="239572032"/>
        <c:scaling>
          <c:orientation val="minMax"/>
        </c:scaling>
        <c:delete val="0"/>
        <c:axPos val="l"/>
        <c:numFmt formatCode="General" sourceLinked="1"/>
        <c:majorTickMark val="none"/>
        <c:minorTickMark val="none"/>
        <c:tickLblPos val="nextTo"/>
        <c:spPr>
          <a:ln w="4757">
            <a:noFill/>
          </a:ln>
        </c:spPr>
        <c:txPr>
          <a:bodyPr rot="-60000000" spcFirstLastPara="1" vertOverflow="ellipsis" vert="horz" wrap="square" anchor="ctr" anchorCtr="1"/>
          <a:lstStyle/>
          <a:p>
            <a:pPr>
              <a:defRPr sz="900" b="0" i="0" u="none" strike="noStrike">
                <a:solidFill>
                  <a:sysClr val="windowText" lastClr="000000"/>
                </a:solidFill>
                <a:latin typeface="Times New Roman"/>
                <a:ea typeface="+mn-ea"/>
                <a:cs typeface="Times New Roman"/>
              </a:defRPr>
            </a:pPr>
            <a:endParaRPr lang="ru-RU"/>
          </a:p>
        </c:txPr>
        <c:crossAx val="240606752"/>
        <c:crosses val="autoZero"/>
        <c:auto val="1"/>
        <c:lblAlgn val="ctr"/>
        <c:lblOffset val="100"/>
        <c:noMultiLvlLbl val="0"/>
      </c:catAx>
      <c:valAx>
        <c:axId val="240606752"/>
        <c:scaling>
          <c:orientation val="minMax"/>
        </c:scaling>
        <c:delete val="1"/>
        <c:axPos val="b"/>
        <c:numFmt formatCode="0%" sourceLinked="1"/>
        <c:majorTickMark val="out"/>
        <c:minorTickMark val="none"/>
        <c:tickLblPos val="nextTo"/>
        <c:crossAx val="239572032"/>
        <c:crosses val="autoZero"/>
        <c:crossBetween val="between"/>
      </c:valAx>
      <c:spPr>
        <a:noFill/>
        <a:ln w="19029">
          <a:noFill/>
        </a:ln>
      </c:spPr>
    </c:plotArea>
    <c:plotVisOnly val="1"/>
    <c:dispBlanksAs val="gap"/>
    <c:showDLblsOverMax val="0"/>
  </c:chart>
  <c:spPr>
    <a:solidFill>
      <a:schemeClr val="bg1"/>
    </a:solidFill>
    <a:ln>
      <a:noFill/>
    </a:ln>
  </c:spPr>
  <c:txPr>
    <a:bodyPr/>
    <a:lstStyle/>
    <a:p>
      <a:pPr>
        <a:defRPr sz="900">
          <a:solidFill>
            <a:sysClr val="windowText" lastClr="000000"/>
          </a:solidFill>
          <a:latin typeface="Times New Roman"/>
          <a:cs typeface="Times New Roman"/>
        </a:defRPr>
      </a:pPr>
      <a:endParaRPr lang="ru-RU"/>
    </a:p>
  </c:txPr>
  <c:externalData r:id="rId2">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0"/>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Потребители гостничных услуг, статистика по странам за 2017 год</c:v>
                </c:pt>
              </c:strCache>
            </c:strRef>
          </c:tx>
          <c:spPr>
            <a:solidFill>
              <a:sysClr val="windowText" lastClr="000000">
                <a:lumMod val="85000"/>
                <a:lumOff val="15000"/>
              </a:sysClr>
            </a:solidFill>
          </c:spPr>
          <c:invertIfNegative val="0"/>
          <c:dPt>
            <c:idx val="0"/>
            <c:invertIfNegative val="0"/>
            <c:bubble3D val="0"/>
            <c:spPr>
              <a:solidFill>
                <a:schemeClr val="tx1">
                  <a:lumMod val="65000"/>
                  <a:lumOff val="35000"/>
                </a:schemeClr>
              </a:solidFill>
            </c:spPr>
          </c:dPt>
          <c:dPt>
            <c:idx val="1"/>
            <c:invertIfNegative val="0"/>
            <c:bubble3D val="0"/>
            <c:spPr>
              <a:solidFill>
                <a:schemeClr val="tx1">
                  <a:lumMod val="65000"/>
                  <a:lumOff val="35000"/>
                </a:schemeClr>
              </a:solidFill>
            </c:spPr>
          </c:dPt>
          <c:dPt>
            <c:idx val="2"/>
            <c:invertIfNegative val="0"/>
            <c:bubble3D val="0"/>
            <c:spPr>
              <a:solidFill>
                <a:schemeClr val="tx1">
                  <a:lumMod val="65000"/>
                  <a:lumOff val="35000"/>
                </a:schemeClr>
              </a:solidFill>
            </c:spPr>
          </c:dPt>
          <c:dPt>
            <c:idx val="3"/>
            <c:invertIfNegative val="0"/>
            <c:bubble3D val="0"/>
            <c:spPr>
              <a:solidFill>
                <a:schemeClr val="tx1">
                  <a:lumMod val="65000"/>
                  <a:lumOff val="35000"/>
                </a:schemeClr>
              </a:solidFill>
            </c:spPr>
          </c:dPt>
          <c:dPt>
            <c:idx val="4"/>
            <c:invertIfNegative val="0"/>
            <c:bubble3D val="0"/>
            <c:spPr>
              <a:solidFill>
                <a:schemeClr val="tx1">
                  <a:lumMod val="65000"/>
                  <a:lumOff val="35000"/>
                </a:schemeClr>
              </a:solidFill>
            </c:spPr>
          </c:dPt>
          <c:dLbls>
            <c:spPr>
              <a:noFill/>
              <a:ln w="25172">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Лист1!$A$2:$A$6</c:f>
              <c:strCache>
                <c:ptCount val="5"/>
                <c:pt idx="0">
                  <c:v>Корея</c:v>
                </c:pt>
                <c:pt idx="1">
                  <c:v>Россия </c:v>
                </c:pt>
                <c:pt idx="2">
                  <c:v>Китай</c:v>
                </c:pt>
                <c:pt idx="3">
                  <c:v>Япония</c:v>
                </c:pt>
                <c:pt idx="4">
                  <c:v>Другие</c:v>
                </c:pt>
              </c:strCache>
            </c:strRef>
          </c:cat>
          <c:val>
            <c:numRef>
              <c:f>Лист1!$B$2:$B$6</c:f>
              <c:numCache>
                <c:formatCode>0.00%</c:formatCode>
                <c:ptCount val="5"/>
                <c:pt idx="0">
                  <c:v>0.20799999999999999</c:v>
                </c:pt>
                <c:pt idx="1">
                  <c:v>0.45700000000000002</c:v>
                </c:pt>
                <c:pt idx="2">
                  <c:v>0.106</c:v>
                </c:pt>
                <c:pt idx="3">
                  <c:v>2.5999999999999999E-2</c:v>
                </c:pt>
                <c:pt idx="4">
                  <c:v>0.20300000000000001</c:v>
                </c:pt>
              </c:numCache>
            </c:numRef>
          </c:val>
        </c:ser>
        <c:dLbls>
          <c:showLegendKey val="0"/>
          <c:showVal val="0"/>
          <c:showCatName val="0"/>
          <c:showSerName val="0"/>
          <c:showPercent val="0"/>
          <c:showBubbleSize val="0"/>
        </c:dLbls>
        <c:gapWidth val="150"/>
        <c:shape val="box"/>
        <c:axId val="240608432"/>
        <c:axId val="240608992"/>
        <c:axId val="0"/>
      </c:bar3DChart>
      <c:catAx>
        <c:axId val="240608432"/>
        <c:scaling>
          <c:orientation val="minMax"/>
        </c:scaling>
        <c:delete val="0"/>
        <c:axPos val="b"/>
        <c:numFmt formatCode="General" sourceLinked="1"/>
        <c:majorTickMark val="out"/>
        <c:minorTickMark val="none"/>
        <c:tickLblPos val="nextTo"/>
        <c:crossAx val="240608992"/>
        <c:crosses val="autoZero"/>
        <c:auto val="1"/>
        <c:lblAlgn val="ctr"/>
        <c:lblOffset val="100"/>
        <c:noMultiLvlLbl val="0"/>
      </c:catAx>
      <c:valAx>
        <c:axId val="240608992"/>
        <c:scaling>
          <c:orientation val="minMax"/>
        </c:scaling>
        <c:delete val="0"/>
        <c:axPos val="l"/>
        <c:majorGridlines/>
        <c:numFmt formatCode="0.00%" sourceLinked="1"/>
        <c:majorTickMark val="out"/>
        <c:minorTickMark val="none"/>
        <c:tickLblPos val="nextTo"/>
        <c:crossAx val="240608432"/>
        <c:crosses val="autoZero"/>
        <c:crossBetween val="between"/>
      </c:valAx>
      <c:spPr>
        <a:noFill/>
        <a:ln w="25173">
          <a:noFill/>
        </a:ln>
      </c:spPr>
    </c:plotArea>
    <c:plotVisOnly val="1"/>
    <c:dispBlanksAs val="gap"/>
    <c:showDLblsOverMax val="0"/>
  </c:chart>
  <c:spPr>
    <a:noFill/>
    <a:ln>
      <a:noFill/>
    </a:ln>
  </c:spPr>
  <c:externalData r:id="rId2">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676470588235294"/>
          <c:y val="0.16428571428571417"/>
          <c:w val="0.29117647058823531"/>
          <c:h val="0.70714285714285763"/>
        </c:manualLayout>
      </c:layout>
      <c:pieChart>
        <c:varyColors val="1"/>
        <c:ser>
          <c:idx val="0"/>
          <c:order val="0"/>
          <c:tx>
            <c:strRef>
              <c:f>Лист1!$B$1</c:f>
              <c:strCache>
                <c:ptCount val="1"/>
                <c:pt idx="0">
                  <c:v>Потреребители гостиничных услуг ГК Азимут Отель Владивосток</c:v>
                </c:pt>
              </c:strCache>
            </c:strRef>
          </c:tx>
          <c:spPr>
            <a:solidFill>
              <a:sysClr val="windowText" lastClr="000000">
                <a:lumMod val="85000"/>
                <a:lumOff val="15000"/>
              </a:sysClr>
            </a:solidFill>
          </c:spPr>
          <c:dPt>
            <c:idx val="0"/>
            <c:bubble3D val="0"/>
            <c:explosion val="6"/>
            <c:spPr>
              <a:solidFill>
                <a:sysClr val="windowText" lastClr="000000">
                  <a:lumMod val="75000"/>
                  <a:lumOff val="25000"/>
                </a:sysClr>
              </a:solidFill>
            </c:spPr>
          </c:dPt>
          <c:dPt>
            <c:idx val="1"/>
            <c:bubble3D val="0"/>
            <c:explosion val="6"/>
            <c:spPr>
              <a:solidFill>
                <a:sysClr val="windowText" lastClr="000000">
                  <a:lumMod val="75000"/>
                  <a:lumOff val="25000"/>
                </a:sysClr>
              </a:solidFill>
            </c:spPr>
          </c:dPt>
          <c:dPt>
            <c:idx val="2"/>
            <c:bubble3D val="0"/>
            <c:spPr>
              <a:solidFill>
                <a:sysClr val="windowText" lastClr="000000">
                  <a:lumMod val="75000"/>
                  <a:lumOff val="25000"/>
                </a:sysClr>
              </a:solidFill>
            </c:spPr>
          </c:dPt>
          <c:dLbls>
            <c:spPr>
              <a:solidFill>
                <a:sysClr val="window" lastClr="FFFFFF"/>
              </a:solidFill>
              <a:ln w="25198">
                <a:noFill/>
              </a:ln>
            </c:spPr>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Публиный сегмент</c:v>
                </c:pt>
                <c:pt idx="1">
                  <c:v>Корпоративный </c:v>
                </c:pt>
                <c:pt idx="2">
                  <c:v>Событийный сегмент</c:v>
                </c:pt>
              </c:strCache>
            </c:strRef>
          </c:cat>
          <c:val>
            <c:numRef>
              <c:f>Лист1!$B$2:$B$4</c:f>
              <c:numCache>
                <c:formatCode>0%</c:formatCode>
                <c:ptCount val="3"/>
                <c:pt idx="0">
                  <c:v>0.37</c:v>
                </c:pt>
                <c:pt idx="1">
                  <c:v>0.43</c:v>
                </c:pt>
                <c:pt idx="2">
                  <c:v>0.2</c:v>
                </c:pt>
              </c:numCache>
            </c:numRef>
          </c:val>
        </c:ser>
        <c:dLbls>
          <c:showLegendKey val="0"/>
          <c:showVal val="0"/>
          <c:showCatName val="0"/>
          <c:showSerName val="0"/>
          <c:showPercent val="0"/>
          <c:showBubbleSize val="0"/>
          <c:showLeaderLines val="1"/>
        </c:dLbls>
        <c:firstSliceAng val="0"/>
      </c:pieChart>
      <c:spPr>
        <a:noFill/>
        <a:ln w="25130">
          <a:noFill/>
        </a:ln>
      </c:spPr>
    </c:plotArea>
    <c:legend>
      <c:legendPos val="r"/>
      <c:layout>
        <c:manualLayout>
          <c:xMode val="edge"/>
          <c:yMode val="edge"/>
          <c:x val="0.63823523525834924"/>
          <c:y val="0.14285735559650789"/>
          <c:w val="0.34117656114100103"/>
          <c:h val="0.85714264440349208"/>
        </c:manualLayout>
      </c:layout>
      <c:overlay val="0"/>
    </c:legend>
    <c:plotVisOnly val="1"/>
    <c:dispBlanksAs val="zero"/>
    <c:showDLblsOverMax val="0"/>
  </c:chart>
  <c:spPr>
    <a:ln>
      <a:noFill/>
    </a:ln>
  </c:spPr>
  <c:externalData r:id="rId2">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13"/>
    </mc:Choice>
    <mc:Fallback>
      <c:style val="13"/>
    </mc:Fallback>
  </mc:AlternateContent>
  <c:chart>
    <c:autoTitleDeleted val="1"/>
    <c:plotArea>
      <c:layout/>
      <c:barChart>
        <c:barDir val="bar"/>
        <c:grouping val="clustered"/>
        <c:varyColors val="0"/>
        <c:ser>
          <c:idx val="0"/>
          <c:order val="0"/>
          <c:tx>
            <c:strRef>
              <c:f>Лист1!$B$1</c:f>
              <c:strCache>
                <c:ptCount val="1"/>
                <c:pt idx="0">
                  <c:v>Отзывы потребителей гостининых услуг</c:v>
                </c:pt>
              </c:strCache>
            </c:strRef>
          </c:tx>
          <c:spPr>
            <a:solidFill>
              <a:sysClr val="windowText" lastClr="000000">
                <a:lumMod val="85000"/>
                <a:lumOff val="15000"/>
              </a:sysClr>
            </a:solidFill>
          </c:spPr>
          <c:invertIfNegative val="0"/>
          <c:dLbls>
            <c:spPr>
              <a:noFill/>
              <a:ln w="21514">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Чистота</c:v>
                </c:pt>
                <c:pt idx="1">
                  <c:v>Комфорт</c:v>
                </c:pt>
                <c:pt idx="2">
                  <c:v>Персонал</c:v>
                </c:pt>
                <c:pt idx="3">
                  <c:v>Соотношение цена/качество </c:v>
                </c:pt>
                <c:pt idx="4">
                  <c:v>Бесплатный Wi-Fi</c:v>
                </c:pt>
                <c:pt idx="5">
                  <c:v>Месторасположение</c:v>
                </c:pt>
              </c:strCache>
            </c:strRef>
          </c:cat>
          <c:val>
            <c:numRef>
              <c:f>Лист1!$B$2:$B$7</c:f>
              <c:numCache>
                <c:formatCode>General</c:formatCode>
                <c:ptCount val="6"/>
                <c:pt idx="0">
                  <c:v>8.6999999999999993</c:v>
                </c:pt>
                <c:pt idx="1">
                  <c:v>8.1</c:v>
                </c:pt>
                <c:pt idx="2">
                  <c:v>8.5</c:v>
                </c:pt>
                <c:pt idx="3">
                  <c:v>7.5</c:v>
                </c:pt>
                <c:pt idx="4">
                  <c:v>8.1</c:v>
                </c:pt>
                <c:pt idx="5">
                  <c:v>8.6</c:v>
                </c:pt>
              </c:numCache>
            </c:numRef>
          </c:val>
        </c:ser>
        <c:dLbls>
          <c:showLegendKey val="0"/>
          <c:showVal val="0"/>
          <c:showCatName val="0"/>
          <c:showSerName val="0"/>
          <c:showPercent val="0"/>
          <c:showBubbleSize val="0"/>
        </c:dLbls>
        <c:gapWidth val="100"/>
        <c:axId val="240612912"/>
        <c:axId val="240613472"/>
      </c:barChart>
      <c:catAx>
        <c:axId val="240612912"/>
        <c:scaling>
          <c:orientation val="minMax"/>
        </c:scaling>
        <c:delete val="0"/>
        <c:axPos val="l"/>
        <c:numFmt formatCode="General" sourceLinked="1"/>
        <c:majorTickMark val="out"/>
        <c:minorTickMark val="none"/>
        <c:tickLblPos val="nextTo"/>
        <c:crossAx val="240613472"/>
        <c:crosses val="autoZero"/>
        <c:auto val="1"/>
        <c:lblAlgn val="ctr"/>
        <c:lblOffset val="100"/>
        <c:noMultiLvlLbl val="0"/>
      </c:catAx>
      <c:valAx>
        <c:axId val="240613472"/>
        <c:scaling>
          <c:orientation val="minMax"/>
        </c:scaling>
        <c:delete val="0"/>
        <c:axPos val="b"/>
        <c:majorGridlines/>
        <c:numFmt formatCode="General" sourceLinked="1"/>
        <c:majorTickMark val="out"/>
        <c:minorTickMark val="none"/>
        <c:tickLblPos val="nextTo"/>
        <c:crossAx val="240612912"/>
        <c:crosses val="autoZero"/>
        <c:crossBetween val="between"/>
      </c:valAx>
    </c:plotArea>
    <c:plotVisOnly val="1"/>
    <c:dispBlanksAs val="gap"/>
    <c:showDLblsOverMax val="0"/>
  </c:chart>
  <c:spPr>
    <a:ln>
      <a:noFill/>
    </a:ln>
  </c:spPr>
  <c:externalData r:id="rId2">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ru-RU"/>
  <c:roundedCorners val="1"/>
  <mc:AlternateContent xmlns:mc="http://schemas.openxmlformats.org/markup-compatibility/2006">
    <mc:Choice xmlns:c14="http://schemas.microsoft.com/office/drawing/2007/8/2/chart" Requires="c14">
      <c14:style val="101"/>
    </mc:Choice>
    <mc:Fallback>
      <c:style val="1"/>
    </mc:Fallback>
  </mc:AlternateContent>
  <c:chart>
    <c:autoTitleDeleted val="1"/>
    <c:view3D>
      <c:rotX val="30"/>
      <c:rotY val="0"/>
      <c:rAngAx val="1"/>
    </c:view3D>
    <c:floor>
      <c:thickness val="0"/>
    </c:floor>
    <c:sideWall>
      <c:thickness val="0"/>
    </c:sideWall>
    <c:backWall>
      <c:thickness val="0"/>
    </c:backWall>
    <c:plotArea>
      <c:layout>
        <c:manualLayout>
          <c:layoutTarget val="inner"/>
          <c:xMode val="edge"/>
          <c:yMode val="edge"/>
          <c:x val="6.5447620482846552E-2"/>
          <c:y val="0.12241263959652102"/>
          <c:w val="0.48108926575565786"/>
          <c:h val="0.70615511296382261"/>
        </c:manualLayout>
      </c:layout>
      <c:pie3DChart>
        <c:varyColors val="1"/>
        <c:ser>
          <c:idx val="0"/>
          <c:order val="0"/>
          <c:dLbls>
            <c:dLbl>
              <c:idx val="0"/>
              <c:layout>
                <c:manualLayout>
                  <c:x val="-0.1094105424321962"/>
                  <c:y val="-0.18763743073782568"/>
                </c:manualLayout>
              </c:layout>
              <c:showLegendKey val="1"/>
              <c:showVal val="1"/>
              <c:showCatName val="1"/>
              <c:showSerName val="1"/>
              <c:showPercent val="1"/>
              <c:showBubbleSize val="1"/>
              <c:extLst>
                <c:ext xmlns:c15="http://schemas.microsoft.com/office/drawing/2012/chart" uri="{CE6537A1-D6FC-4f65-9D91-7224C49458BB}"/>
              </c:extLst>
            </c:dLbl>
            <c:dLbl>
              <c:idx val="1"/>
              <c:layout>
                <c:manualLayout>
                  <c:x val="5.4648731408573931E-2"/>
                  <c:y val="4.9328156897054505E-2"/>
                </c:manualLayout>
              </c:layout>
              <c:showLegendKey val="1"/>
              <c:showVal val="1"/>
              <c:showCatName val="1"/>
              <c:showSerName val="1"/>
              <c:showPercent val="1"/>
              <c:showBubbleSize val="1"/>
              <c:extLst>
                <c:ext xmlns:c15="http://schemas.microsoft.com/office/drawing/2012/chart" uri="{CE6537A1-D6FC-4f65-9D91-7224C49458BB}"/>
              </c:extLst>
            </c:dLbl>
            <c:dLbl>
              <c:idx val="2"/>
              <c:layout>
                <c:manualLayout>
                  <c:x val="0"/>
                  <c:y val="8.5463247575336507E-2"/>
                </c:manualLayout>
              </c:layout>
              <c:showLegendKey val="1"/>
              <c:showVal val="1"/>
              <c:showCatName val="1"/>
              <c:showSerName val="1"/>
              <c:showPercent val="1"/>
              <c:showBubbleSize val="1"/>
              <c:extLst>
                <c:ext xmlns:c15="http://schemas.microsoft.com/office/drawing/2012/chart" uri="{CE6537A1-D6FC-4f65-9D91-7224C49458BB}"/>
              </c:extLst>
            </c:dLbl>
            <c:dLbl>
              <c:idx val="4"/>
              <c:layout>
                <c:manualLayout>
                  <c:x val="6.6639982502187209E-2"/>
                  <c:y val="-7.2684820647419074E-2"/>
                </c:manualLayout>
              </c:layout>
              <c:showLegendKey val="1"/>
              <c:showVal val="1"/>
              <c:showCatName val="1"/>
              <c:showSerName val="1"/>
              <c:showPercent val="1"/>
              <c:showBubbleSize val="1"/>
              <c:extLst>
                <c:ext xmlns:c15="http://schemas.microsoft.com/office/drawing/2012/chart" uri="{CE6537A1-D6FC-4f65-9D91-7224C49458BB}"/>
              </c:extLst>
            </c:dLbl>
            <c:spPr>
              <a:noFill/>
              <a:ln>
                <a:noFill/>
              </a:ln>
            </c:spPr>
            <c:txPr>
              <a:bodyPr/>
              <a:lstStyle/>
              <a:p>
                <a:pPr>
                  <a:defRPr lang="ru-RU"/>
                </a:pPr>
                <a:endParaRPr lang="ru-RU"/>
              </a:p>
            </c:txPr>
            <c:showLegendKey val="1"/>
            <c:showVal val="1"/>
            <c:showCatName val="1"/>
            <c:showSerName val="1"/>
            <c:showPercent val="1"/>
            <c:showBubbleSize val="1"/>
            <c:showLeaderLines val="1"/>
            <c:extLst>
              <c:ext xmlns:c15="http://schemas.microsoft.com/office/drawing/2012/chart" uri="{CE6537A1-D6FC-4f65-9D91-7224C49458BB}"/>
            </c:extLst>
          </c:dLbls>
          <c:cat>
            <c:strRef>
              <c:f>Лист1!$A$171:$A$175</c:f>
              <c:strCache>
                <c:ptCount val="5"/>
                <c:pt idx="0">
                  <c:v>Гостиницы</c:v>
                </c:pt>
                <c:pt idx="1">
                  <c:v>Санаторно-курортные организации</c:v>
                </c:pt>
                <c:pt idx="2">
                  <c:v>Дома отдыха, пансионаты</c:v>
                </c:pt>
                <c:pt idx="3">
                  <c:v>Турбазы, круизные суда, яхты, поезда</c:v>
                </c:pt>
                <c:pt idx="4">
                  <c:v>Организации гостиничного типа (мотели, хостелы, апартаменты и пр.)</c:v>
                </c:pt>
              </c:strCache>
            </c:strRef>
          </c:cat>
          <c:val>
            <c:numRef>
              <c:f>Лист1!$B$171:$B$175</c:f>
              <c:numCache>
                <c:formatCode>0%</c:formatCode>
                <c:ptCount val="5"/>
                <c:pt idx="0">
                  <c:v>0.44000000000000011</c:v>
                </c:pt>
                <c:pt idx="1">
                  <c:v>0.19000000000000006</c:v>
                </c:pt>
                <c:pt idx="2">
                  <c:v>0.19000000000000006</c:v>
                </c:pt>
                <c:pt idx="3">
                  <c:v>2.0000000000000021E-2</c:v>
                </c:pt>
                <c:pt idx="4">
                  <c:v>0.16000000000000006</c:v>
                </c:pt>
              </c:numCache>
            </c:numRef>
          </c:val>
        </c:ser>
        <c:dLbls>
          <c:showLegendKey val="1"/>
          <c:showVal val="1"/>
          <c:showCatName val="1"/>
          <c:showSerName val="1"/>
          <c:showPercent val="1"/>
          <c:showBubbleSize val="1"/>
          <c:showLeaderLines val="1"/>
        </c:dLbls>
      </c:pie3DChart>
    </c:plotArea>
    <c:legend>
      <c:legendPos val="r"/>
      <c:layout>
        <c:manualLayout>
          <c:xMode val="edge"/>
          <c:yMode val="edge"/>
          <c:x val="0.58601783628721049"/>
          <c:y val="9.7914843977836563E-2"/>
          <c:w val="0.40110925129574132"/>
          <c:h val="0.74413308630538977"/>
        </c:manualLayout>
      </c:layout>
      <c:overlay val="1"/>
      <c:txPr>
        <a:bodyPr/>
        <a:lstStyle/>
        <a:p>
          <a:pPr>
            <a:defRPr lang="ru-RU"/>
          </a:pPr>
          <a:endParaRPr lang="ru-RU"/>
        </a:p>
      </c:txPr>
    </c:legend>
    <c:plotVisOnly val="1"/>
    <c:dispBlanksAs val="zero"/>
    <c:showDLblsOverMax val="1"/>
  </c:chart>
  <c:spPr>
    <a:ln>
      <a:noFill/>
    </a:ln>
  </c:sp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ru-RU"/>
  <c:roundedCorners val="1"/>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manualLayout>
          <c:layoutTarget val="inner"/>
          <c:xMode val="edge"/>
          <c:yMode val="edge"/>
          <c:x val="9.4286269198421563E-2"/>
          <c:y val="8.4046326154727555E-2"/>
          <c:w val="0.88180848251297772"/>
          <c:h val="0.35674298282737382"/>
        </c:manualLayout>
      </c:layout>
      <c:barChart>
        <c:barDir val="col"/>
        <c:grouping val="clustered"/>
        <c:varyColors val="1"/>
        <c:ser>
          <c:idx val="7"/>
          <c:order val="7"/>
          <c:tx>
            <c:strRef>
              <c:f>Данные!$Q$13</c:f>
              <c:strCache>
                <c:ptCount val="1"/>
                <c:pt idx="0">
                  <c:v>    Крымский федеральный округ</c:v>
                </c:pt>
              </c:strCache>
            </c:strRef>
          </c:tx>
          <c:invertIfNegative val="1"/>
          <c:cat>
            <c:strRef>
              <c:f>Данные!$J$3:$P$3</c:f>
              <c:strCache>
                <c:ptCount val="7"/>
                <c:pt idx="0">
                  <c:v>2010</c:v>
                </c:pt>
                <c:pt idx="1">
                  <c:v>2011</c:v>
                </c:pt>
                <c:pt idx="2">
                  <c:v>2012</c:v>
                </c:pt>
                <c:pt idx="3">
                  <c:v>2013</c:v>
                </c:pt>
                <c:pt idx="4">
                  <c:v>2014</c:v>
                </c:pt>
                <c:pt idx="5">
                  <c:v>2015</c:v>
                </c:pt>
                <c:pt idx="6">
                  <c:v>2016</c:v>
                </c:pt>
              </c:strCache>
            </c:strRef>
          </c:cat>
          <c:val>
            <c:numRef>
              <c:f>Данные!$J$13:$P$13</c:f>
              <c:numCache>
                <c:formatCode>#,##0</c:formatCode>
                <c:ptCount val="7"/>
                <c:pt idx="0">
                  <c:v>0</c:v>
                </c:pt>
                <c:pt idx="1">
                  <c:v>0</c:v>
                </c:pt>
                <c:pt idx="2">
                  <c:v>0</c:v>
                </c:pt>
                <c:pt idx="3">
                  <c:v>0</c:v>
                </c:pt>
                <c:pt idx="4">
                  <c:v>451</c:v>
                </c:pt>
                <c:pt idx="5">
                  <c:v>1330</c:v>
                </c:pt>
                <c:pt idx="6">
                  <c:v>0</c:v>
                </c:pt>
              </c:numCache>
            </c:numRef>
          </c:val>
        </c:ser>
        <c:ser>
          <c:idx val="0"/>
          <c:order val="0"/>
          <c:tx>
            <c:strRef>
              <c:f>Данные!$Q$6</c:f>
              <c:strCache>
                <c:ptCount val="1"/>
                <c:pt idx="0">
                  <c:v>    Центральный федеральный округ</c:v>
                </c:pt>
              </c:strCache>
            </c:strRef>
          </c:tx>
          <c:invertIfNegative val="1"/>
          <c:cat>
            <c:strRef>
              <c:f>Данные!$J$3:$P$3</c:f>
              <c:strCache>
                <c:ptCount val="7"/>
                <c:pt idx="0">
                  <c:v>2010</c:v>
                </c:pt>
                <c:pt idx="1">
                  <c:v>2011</c:v>
                </c:pt>
                <c:pt idx="2">
                  <c:v>2012</c:v>
                </c:pt>
                <c:pt idx="3">
                  <c:v>2013</c:v>
                </c:pt>
                <c:pt idx="4">
                  <c:v>2014</c:v>
                </c:pt>
                <c:pt idx="5">
                  <c:v>2015</c:v>
                </c:pt>
                <c:pt idx="6">
                  <c:v>2016</c:v>
                </c:pt>
              </c:strCache>
            </c:strRef>
          </c:cat>
          <c:val>
            <c:numRef>
              <c:f>Данные!$J$6:$P$6</c:f>
              <c:numCache>
                <c:formatCode>#,##0</c:formatCode>
                <c:ptCount val="7"/>
                <c:pt idx="0">
                  <c:v>2067</c:v>
                </c:pt>
                <c:pt idx="1">
                  <c:v>2229</c:v>
                </c:pt>
                <c:pt idx="2">
                  <c:v>2306</c:v>
                </c:pt>
                <c:pt idx="3">
                  <c:v>2684</c:v>
                </c:pt>
                <c:pt idx="4">
                  <c:v>2786</c:v>
                </c:pt>
                <c:pt idx="5">
                  <c:v>3498</c:v>
                </c:pt>
                <c:pt idx="6">
                  <c:v>3792</c:v>
                </c:pt>
              </c:numCache>
            </c:numRef>
          </c:val>
        </c:ser>
        <c:ser>
          <c:idx val="1"/>
          <c:order val="1"/>
          <c:tx>
            <c:strRef>
              <c:f>Данные!$Q$7</c:f>
              <c:strCache>
                <c:ptCount val="1"/>
                <c:pt idx="0">
                  <c:v>    Северо-Западный федеральный округ</c:v>
                </c:pt>
              </c:strCache>
            </c:strRef>
          </c:tx>
          <c:invertIfNegative val="1"/>
          <c:cat>
            <c:strRef>
              <c:f>Данные!$J$3:$P$3</c:f>
              <c:strCache>
                <c:ptCount val="7"/>
                <c:pt idx="0">
                  <c:v>2010</c:v>
                </c:pt>
                <c:pt idx="1">
                  <c:v>2011</c:v>
                </c:pt>
                <c:pt idx="2">
                  <c:v>2012</c:v>
                </c:pt>
                <c:pt idx="3">
                  <c:v>2013</c:v>
                </c:pt>
                <c:pt idx="4">
                  <c:v>2014</c:v>
                </c:pt>
                <c:pt idx="5">
                  <c:v>2015</c:v>
                </c:pt>
                <c:pt idx="6">
                  <c:v>2016</c:v>
                </c:pt>
              </c:strCache>
            </c:strRef>
          </c:cat>
          <c:val>
            <c:numRef>
              <c:f>Данные!$J$7:$P$7</c:f>
              <c:numCache>
                <c:formatCode>#,##0</c:formatCode>
                <c:ptCount val="7"/>
                <c:pt idx="0">
                  <c:v>1454</c:v>
                </c:pt>
                <c:pt idx="1">
                  <c:v>1532</c:v>
                </c:pt>
                <c:pt idx="2">
                  <c:v>1561</c:v>
                </c:pt>
                <c:pt idx="3">
                  <c:v>1504</c:v>
                </c:pt>
                <c:pt idx="4">
                  <c:v>1556</c:v>
                </c:pt>
                <c:pt idx="5">
                  <c:v>1942</c:v>
                </c:pt>
                <c:pt idx="6">
                  <c:v>1881</c:v>
                </c:pt>
              </c:numCache>
            </c:numRef>
          </c:val>
        </c:ser>
        <c:ser>
          <c:idx val="2"/>
          <c:order val="2"/>
          <c:tx>
            <c:strRef>
              <c:f>Данные!$Q$8</c:f>
              <c:strCache>
                <c:ptCount val="1"/>
                <c:pt idx="0">
                  <c:v>    Южный федеральный округ </c:v>
                </c:pt>
              </c:strCache>
            </c:strRef>
          </c:tx>
          <c:invertIfNegative val="1"/>
          <c:cat>
            <c:strRef>
              <c:f>Данные!$J$3:$P$3</c:f>
              <c:strCache>
                <c:ptCount val="7"/>
                <c:pt idx="0">
                  <c:v>2010</c:v>
                </c:pt>
                <c:pt idx="1">
                  <c:v>2011</c:v>
                </c:pt>
                <c:pt idx="2">
                  <c:v>2012</c:v>
                </c:pt>
                <c:pt idx="3">
                  <c:v>2013</c:v>
                </c:pt>
                <c:pt idx="4">
                  <c:v>2014</c:v>
                </c:pt>
                <c:pt idx="5">
                  <c:v>2015</c:v>
                </c:pt>
                <c:pt idx="6">
                  <c:v>2016</c:v>
                </c:pt>
              </c:strCache>
            </c:strRef>
          </c:cat>
          <c:val>
            <c:numRef>
              <c:f>Данные!$J$8:$P$8</c:f>
              <c:numCache>
                <c:formatCode>#,##0</c:formatCode>
                <c:ptCount val="7"/>
                <c:pt idx="0">
                  <c:v>2106</c:v>
                </c:pt>
                <c:pt idx="1">
                  <c:v>2024</c:v>
                </c:pt>
                <c:pt idx="2">
                  <c:v>2447</c:v>
                </c:pt>
                <c:pt idx="3">
                  <c:v>2484</c:v>
                </c:pt>
                <c:pt idx="4">
                  <c:v>2607</c:v>
                </c:pt>
                <c:pt idx="5">
                  <c:v>4133</c:v>
                </c:pt>
                <c:pt idx="6">
                  <c:v>5600</c:v>
                </c:pt>
              </c:numCache>
            </c:numRef>
          </c:val>
        </c:ser>
        <c:ser>
          <c:idx val="3"/>
          <c:order val="3"/>
          <c:tx>
            <c:strRef>
              <c:f>Данные!$Q$9</c:f>
              <c:strCache>
                <c:ptCount val="1"/>
                <c:pt idx="0">
                  <c:v>    Северо-Кавказский федеральный округ</c:v>
                </c:pt>
              </c:strCache>
            </c:strRef>
          </c:tx>
          <c:invertIfNegative val="1"/>
          <c:cat>
            <c:strRef>
              <c:f>Данные!$J$3:$P$3</c:f>
              <c:strCache>
                <c:ptCount val="7"/>
                <c:pt idx="0">
                  <c:v>2010</c:v>
                </c:pt>
                <c:pt idx="1">
                  <c:v>2011</c:v>
                </c:pt>
                <c:pt idx="2">
                  <c:v>2012</c:v>
                </c:pt>
                <c:pt idx="3">
                  <c:v>2013</c:v>
                </c:pt>
                <c:pt idx="4">
                  <c:v>2014</c:v>
                </c:pt>
                <c:pt idx="5">
                  <c:v>2015</c:v>
                </c:pt>
                <c:pt idx="6">
                  <c:v>2016</c:v>
                </c:pt>
              </c:strCache>
            </c:strRef>
          </c:cat>
          <c:val>
            <c:numRef>
              <c:f>Данные!$J$9:$P$9</c:f>
              <c:numCache>
                <c:formatCode>#,##0</c:formatCode>
                <c:ptCount val="7"/>
                <c:pt idx="0">
                  <c:v>455</c:v>
                </c:pt>
                <c:pt idx="1">
                  <c:v>474</c:v>
                </c:pt>
                <c:pt idx="2">
                  <c:v>501</c:v>
                </c:pt>
                <c:pt idx="3">
                  <c:v>499</c:v>
                </c:pt>
                <c:pt idx="4">
                  <c:v>571</c:v>
                </c:pt>
                <c:pt idx="5">
                  <c:v>711</c:v>
                </c:pt>
                <c:pt idx="6">
                  <c:v>689</c:v>
                </c:pt>
              </c:numCache>
            </c:numRef>
          </c:val>
        </c:ser>
        <c:ser>
          <c:idx val="4"/>
          <c:order val="4"/>
          <c:tx>
            <c:strRef>
              <c:f>Данные!$Q$10</c:f>
              <c:strCache>
                <c:ptCount val="1"/>
                <c:pt idx="0">
                  <c:v>    Уральский федеральный округ</c:v>
                </c:pt>
              </c:strCache>
            </c:strRef>
          </c:tx>
          <c:invertIfNegative val="1"/>
          <c:cat>
            <c:strRef>
              <c:f>Данные!$J$3:$P$3</c:f>
              <c:strCache>
                <c:ptCount val="7"/>
                <c:pt idx="0">
                  <c:v>2010</c:v>
                </c:pt>
                <c:pt idx="1">
                  <c:v>2011</c:v>
                </c:pt>
                <c:pt idx="2">
                  <c:v>2012</c:v>
                </c:pt>
                <c:pt idx="3">
                  <c:v>2013</c:v>
                </c:pt>
                <c:pt idx="4">
                  <c:v>2014</c:v>
                </c:pt>
                <c:pt idx="5">
                  <c:v>2015</c:v>
                </c:pt>
                <c:pt idx="6">
                  <c:v>2016</c:v>
                </c:pt>
              </c:strCache>
            </c:strRef>
          </c:cat>
          <c:val>
            <c:numRef>
              <c:f>Данные!$J$10:$P$10</c:f>
              <c:numCache>
                <c:formatCode>#,##0</c:formatCode>
                <c:ptCount val="7"/>
                <c:pt idx="0">
                  <c:v>1303</c:v>
                </c:pt>
                <c:pt idx="1">
                  <c:v>1286</c:v>
                </c:pt>
                <c:pt idx="2">
                  <c:v>1336</c:v>
                </c:pt>
                <c:pt idx="3">
                  <c:v>1363</c:v>
                </c:pt>
                <c:pt idx="4">
                  <c:v>1409</c:v>
                </c:pt>
                <c:pt idx="5">
                  <c:v>1378</c:v>
                </c:pt>
                <c:pt idx="6">
                  <c:v>1312</c:v>
                </c:pt>
              </c:numCache>
            </c:numRef>
          </c:val>
        </c:ser>
        <c:ser>
          <c:idx val="5"/>
          <c:order val="5"/>
          <c:tx>
            <c:strRef>
              <c:f>Данные!$Q$11</c:f>
              <c:strCache>
                <c:ptCount val="1"/>
                <c:pt idx="0">
                  <c:v>    Сибирский федеральный округ</c:v>
                </c:pt>
              </c:strCache>
            </c:strRef>
          </c:tx>
          <c:invertIfNegative val="1"/>
          <c:cat>
            <c:strRef>
              <c:f>Данные!$J$3:$P$3</c:f>
              <c:strCache>
                <c:ptCount val="7"/>
                <c:pt idx="0">
                  <c:v>2010</c:v>
                </c:pt>
                <c:pt idx="1">
                  <c:v>2011</c:v>
                </c:pt>
                <c:pt idx="2">
                  <c:v>2012</c:v>
                </c:pt>
                <c:pt idx="3">
                  <c:v>2013</c:v>
                </c:pt>
                <c:pt idx="4">
                  <c:v>2014</c:v>
                </c:pt>
                <c:pt idx="5">
                  <c:v>2015</c:v>
                </c:pt>
                <c:pt idx="6">
                  <c:v>2016</c:v>
                </c:pt>
              </c:strCache>
            </c:strRef>
          </c:cat>
          <c:val>
            <c:numRef>
              <c:f>Данные!$J$11:$P$11</c:f>
              <c:numCache>
                <c:formatCode>#,##0</c:formatCode>
                <c:ptCount val="7"/>
                <c:pt idx="0">
                  <c:v>1950</c:v>
                </c:pt>
                <c:pt idx="1">
                  <c:v>2152</c:v>
                </c:pt>
                <c:pt idx="2">
                  <c:v>2320</c:v>
                </c:pt>
                <c:pt idx="3">
                  <c:v>2455</c:v>
                </c:pt>
                <c:pt idx="4">
                  <c:v>2343</c:v>
                </c:pt>
                <c:pt idx="5">
                  <c:v>2739</c:v>
                </c:pt>
                <c:pt idx="6">
                  <c:v>2592</c:v>
                </c:pt>
              </c:numCache>
            </c:numRef>
          </c:val>
        </c:ser>
        <c:ser>
          <c:idx val="6"/>
          <c:order val="6"/>
          <c:tx>
            <c:strRef>
              <c:f>Данные!$Q$12</c:f>
              <c:strCache>
                <c:ptCount val="1"/>
                <c:pt idx="0">
                  <c:v>    Дальневосточный федеральный округ</c:v>
                </c:pt>
              </c:strCache>
            </c:strRef>
          </c:tx>
          <c:invertIfNegative val="1"/>
          <c:cat>
            <c:strRef>
              <c:f>Данные!$J$3:$P$3</c:f>
              <c:strCache>
                <c:ptCount val="7"/>
                <c:pt idx="0">
                  <c:v>2010</c:v>
                </c:pt>
                <c:pt idx="1">
                  <c:v>2011</c:v>
                </c:pt>
                <c:pt idx="2">
                  <c:v>2012</c:v>
                </c:pt>
                <c:pt idx="3">
                  <c:v>2013</c:v>
                </c:pt>
                <c:pt idx="4">
                  <c:v>2014</c:v>
                </c:pt>
                <c:pt idx="5">
                  <c:v>2015</c:v>
                </c:pt>
                <c:pt idx="6">
                  <c:v>2016</c:v>
                </c:pt>
              </c:strCache>
            </c:strRef>
          </c:cat>
          <c:val>
            <c:numRef>
              <c:f>Данные!$J$12:$P$12</c:f>
              <c:numCache>
                <c:formatCode>#,##0</c:formatCode>
                <c:ptCount val="7"/>
                <c:pt idx="0">
                  <c:v>891</c:v>
                </c:pt>
                <c:pt idx="1">
                  <c:v>970</c:v>
                </c:pt>
                <c:pt idx="2">
                  <c:v>1001</c:v>
                </c:pt>
                <c:pt idx="3">
                  <c:v>1038</c:v>
                </c:pt>
                <c:pt idx="4">
                  <c:v>1084</c:v>
                </c:pt>
                <c:pt idx="5">
                  <c:v>1168</c:v>
                </c:pt>
                <c:pt idx="6">
                  <c:v>1120</c:v>
                </c:pt>
              </c:numCache>
            </c:numRef>
          </c:val>
        </c:ser>
        <c:dLbls>
          <c:showLegendKey val="0"/>
          <c:showVal val="0"/>
          <c:showCatName val="0"/>
          <c:showSerName val="0"/>
          <c:showPercent val="0"/>
          <c:showBubbleSize val="0"/>
        </c:dLbls>
        <c:gapWidth val="150"/>
        <c:axId val="240621312"/>
        <c:axId val="240621872"/>
      </c:barChart>
      <c:catAx>
        <c:axId val="240621312"/>
        <c:scaling>
          <c:orientation val="minMax"/>
        </c:scaling>
        <c:delete val="1"/>
        <c:axPos val="b"/>
        <c:numFmt formatCode="General" sourceLinked="0"/>
        <c:majorTickMark val="cross"/>
        <c:minorTickMark val="cross"/>
        <c:tickLblPos val="nextTo"/>
        <c:crossAx val="240621872"/>
        <c:crosses val="autoZero"/>
        <c:auto val="1"/>
        <c:lblAlgn val="ctr"/>
        <c:lblOffset val="100"/>
        <c:noMultiLvlLbl val="1"/>
      </c:catAx>
      <c:valAx>
        <c:axId val="240621872"/>
        <c:scaling>
          <c:orientation val="minMax"/>
        </c:scaling>
        <c:delete val="1"/>
        <c:axPos val="l"/>
        <c:majorGridlines/>
        <c:numFmt formatCode="#,##0" sourceLinked="1"/>
        <c:majorTickMark val="cross"/>
        <c:minorTickMark val="cross"/>
        <c:tickLblPos val="nextTo"/>
        <c:crossAx val="240621312"/>
        <c:crosses val="autoZero"/>
        <c:crossBetween val="between"/>
      </c:valAx>
    </c:plotArea>
    <c:legend>
      <c:legendPos val="b"/>
      <c:overlay val="1"/>
      <c:txPr>
        <a:bodyPr/>
        <a:lstStyle/>
        <a:p>
          <a:pPr>
            <a:defRPr lang="ru-RU"/>
          </a:pPr>
          <a:endParaRPr lang="ru-RU"/>
        </a:p>
      </c:txPr>
    </c:legend>
    <c:plotVisOnly val="1"/>
    <c:dispBlanksAs val="zero"/>
    <c:showDLblsOverMax val="1"/>
  </c:chart>
  <c:spPr>
    <a:ln>
      <a:noFill/>
    </a:ln>
  </c:spPr>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4760383386581494"/>
          <c:y val="0.10989010989011012"/>
          <c:w val="0.73642172523961669"/>
          <c:h val="0.49450549450549458"/>
        </c:manualLayout>
      </c:layout>
      <c:lineChart>
        <c:grouping val="standard"/>
        <c:varyColors val="0"/>
        <c:ser>
          <c:idx val="0"/>
          <c:order val="0"/>
          <c:tx>
            <c:strRef>
              <c:f>Sheet1!$A$2</c:f>
              <c:strCache>
                <c:ptCount val="1"/>
                <c:pt idx="0">
                  <c:v>Кол-во предприятий</c:v>
                </c:pt>
              </c:strCache>
            </c:strRef>
          </c:tx>
          <c:spPr>
            <a:ln w="12699">
              <a:solidFill>
                <a:srgbClr val="000080"/>
              </a:solidFill>
              <a:prstDash val="solid"/>
            </a:ln>
          </c:spPr>
          <c:marker>
            <c:symbol val="diamond"/>
            <c:size val="4"/>
            <c:spPr>
              <a:solidFill>
                <a:srgbClr val="000080"/>
              </a:solidFill>
              <a:ln>
                <a:solidFill>
                  <a:srgbClr val="000080"/>
                </a:solidFill>
                <a:prstDash val="solid"/>
              </a:ln>
            </c:spPr>
          </c:marker>
          <c:cat>
            <c:numRef>
              <c:f>Sheet1!$B$1:$D$1</c:f>
              <c:numCache>
                <c:formatCode>General</c:formatCode>
                <c:ptCount val="3"/>
                <c:pt idx="0">
                  <c:v>2006</c:v>
                </c:pt>
                <c:pt idx="1">
                  <c:v>2011</c:v>
                </c:pt>
                <c:pt idx="2">
                  <c:v>2016</c:v>
                </c:pt>
              </c:numCache>
            </c:numRef>
          </c:cat>
          <c:val>
            <c:numRef>
              <c:f>Sheet1!$B$2:$D$2</c:f>
              <c:numCache>
                <c:formatCode>General</c:formatCode>
                <c:ptCount val="3"/>
                <c:pt idx="0">
                  <c:v>450</c:v>
                </c:pt>
                <c:pt idx="1">
                  <c:v>641</c:v>
                </c:pt>
                <c:pt idx="2">
                  <c:v>683</c:v>
                </c:pt>
              </c:numCache>
            </c:numRef>
          </c:val>
          <c:smooth val="0"/>
        </c:ser>
        <c:dLbls>
          <c:showLegendKey val="0"/>
          <c:showVal val="0"/>
          <c:showCatName val="0"/>
          <c:showSerName val="0"/>
          <c:showPercent val="0"/>
          <c:showBubbleSize val="0"/>
        </c:dLbls>
        <c:marker val="1"/>
        <c:smooth val="0"/>
        <c:axId val="241561104"/>
        <c:axId val="241561664"/>
      </c:lineChart>
      <c:catAx>
        <c:axId val="241561104"/>
        <c:scaling>
          <c:orientation val="minMax"/>
        </c:scaling>
        <c:delete val="0"/>
        <c:axPos val="b"/>
        <c:numFmt formatCode="General" sourceLinked="1"/>
        <c:majorTickMark val="out"/>
        <c:minorTickMark val="none"/>
        <c:tickLblPos val="nextTo"/>
        <c:spPr>
          <a:ln w="3174">
            <a:solidFill>
              <a:srgbClr val="000000"/>
            </a:solidFill>
            <a:prstDash val="solid"/>
          </a:ln>
        </c:spPr>
        <c:txPr>
          <a:bodyPr rot="0" vert="horz"/>
          <a:lstStyle/>
          <a:p>
            <a:pPr>
              <a:defRPr sz="800" b="1" i="0" u="none" strike="noStrike">
                <a:solidFill>
                  <a:srgbClr val="000000"/>
                </a:solidFill>
                <a:latin typeface="Arial Cyr"/>
                <a:ea typeface="Arial Cyr"/>
                <a:cs typeface="Arial Cyr"/>
              </a:defRPr>
            </a:pPr>
            <a:endParaRPr lang="ru-RU"/>
          </a:p>
        </c:txPr>
        <c:crossAx val="241561664"/>
        <c:crosses val="autoZero"/>
        <c:auto val="0"/>
        <c:lblAlgn val="ctr"/>
        <c:lblOffset val="100"/>
        <c:tickMarkSkip val="1"/>
        <c:noMultiLvlLbl val="0"/>
      </c:catAx>
      <c:valAx>
        <c:axId val="241561664"/>
        <c:scaling>
          <c:orientation val="minMax"/>
          <c:max val="700"/>
          <c:min val="300"/>
        </c:scaling>
        <c:delete val="0"/>
        <c:axPos val="l"/>
        <c:majorGridlines>
          <c:spPr>
            <a:ln w="3174">
              <a:solidFill>
                <a:srgbClr val="000000"/>
              </a:solidFill>
              <a:prstDash val="solid"/>
            </a:ln>
          </c:spPr>
        </c:majorGridlines>
        <c:title>
          <c:tx>
            <c:rich>
              <a:bodyPr/>
              <a:lstStyle/>
              <a:p>
                <a:pPr>
                  <a:defRPr sz="800" b="0" i="0" u="none" strike="noStrike">
                    <a:solidFill>
                      <a:srgbClr val="000000"/>
                    </a:solidFill>
                    <a:latin typeface="Times New Roman"/>
                    <a:ea typeface="Times New Roman"/>
                    <a:cs typeface="Times New Roman"/>
                  </a:defRPr>
                </a:pPr>
                <a:r>
                  <a:rPr lang="ru-RU"/>
                  <a:t>кол-во предприятий</a:t>
                </a:r>
                <a:endParaRPr/>
              </a:p>
            </c:rich>
          </c:tx>
          <c:layout>
            <c:manualLayout>
              <c:xMode val="edge"/>
              <c:yMode val="edge"/>
              <c:x val="0.14004395415264137"/>
              <c:y val="1.8026855759052218E-2"/>
            </c:manualLayout>
          </c:layout>
          <c:overlay val="0"/>
          <c:spPr>
            <a:noFill/>
            <a:ln w="25397">
              <a:noFill/>
            </a:ln>
          </c:spPr>
        </c:title>
        <c:numFmt formatCode="General" sourceLinked="0"/>
        <c:majorTickMark val="out"/>
        <c:minorTickMark val="none"/>
        <c:tickLblPos val="nextTo"/>
        <c:spPr>
          <a:ln w="3174">
            <a:solidFill>
              <a:srgbClr val="000000"/>
            </a:solidFill>
            <a:prstDash val="solid"/>
          </a:ln>
        </c:spPr>
        <c:txPr>
          <a:bodyPr rot="0" vert="horz"/>
          <a:lstStyle/>
          <a:p>
            <a:pPr>
              <a:defRPr sz="800" b="1" i="0" u="none" strike="noStrike">
                <a:solidFill>
                  <a:srgbClr val="000000"/>
                </a:solidFill>
                <a:latin typeface="Arial Cyr"/>
                <a:ea typeface="Arial Cyr"/>
                <a:cs typeface="Arial Cyr"/>
              </a:defRPr>
            </a:pPr>
            <a:endParaRPr lang="ru-RU"/>
          </a:p>
        </c:txPr>
        <c:crossAx val="241561104"/>
        <c:crosses val="autoZero"/>
        <c:crossBetween val="between"/>
      </c:valAx>
      <c:dTable>
        <c:showHorzBorder val="1"/>
        <c:showVertBorder val="1"/>
        <c:showOutline val="1"/>
        <c:showKeys val="0"/>
        <c:spPr>
          <a:ln w="3174">
            <a:solidFill>
              <a:srgbClr val="000000"/>
            </a:solidFill>
            <a:prstDash val="solid"/>
          </a:ln>
        </c:spPr>
        <c:txPr>
          <a:bodyPr/>
          <a:lstStyle/>
          <a:p>
            <a:pPr>
              <a:defRPr sz="800" b="1" i="0" u="none" strike="noStrike">
                <a:solidFill>
                  <a:srgbClr val="000000"/>
                </a:solidFill>
                <a:latin typeface="Arial Cyr"/>
                <a:ea typeface="Arial Cyr"/>
                <a:cs typeface="Arial Cyr"/>
              </a:defRPr>
            </a:pPr>
            <a:endParaRPr lang="ru-RU"/>
          </a:p>
        </c:txPr>
      </c:dTable>
      <c:spPr>
        <a:solidFill>
          <a:srgbClr val="C0C0C0"/>
        </a:solidFill>
        <a:ln w="12699">
          <a:solidFill>
            <a:srgbClr val="808080"/>
          </a:solidFill>
          <a:prstDash val="solid"/>
        </a:ln>
      </c:spPr>
    </c:plotArea>
    <c:plotVisOnly val="1"/>
    <c:dispBlanksAs val="gap"/>
    <c:showDLblsOverMax val="0"/>
  </c:chart>
  <c:spPr>
    <a:noFill/>
    <a:ln>
      <a:noFill/>
    </a:ln>
  </c:spPr>
  <c:txPr>
    <a:bodyPr/>
    <a:lstStyle/>
    <a:p>
      <a:pPr>
        <a:defRPr sz="800" b="1" i="0" u="none" strike="noStrike">
          <a:solidFill>
            <a:srgbClr val="000000"/>
          </a:solidFill>
          <a:latin typeface="Arial Cyr"/>
          <a:ea typeface="Arial Cyr"/>
          <a:cs typeface="Arial Cyr"/>
        </a:defRPr>
      </a:pPr>
      <a:endParaRPr lang="ru-RU"/>
    </a:p>
  </c:txPr>
  <c:externalData r:id="rId2">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title>
      <c:layout>
        <c:manualLayout>
          <c:xMode val="edge"/>
          <c:yMode val="edge"/>
          <c:x val="0.49361697434879465"/>
          <c:y val="1.9736922419581273E-2"/>
        </c:manualLayout>
      </c:layout>
      <c:overlay val="0"/>
      <c:spPr>
        <a:noFill/>
        <a:ln w="25386">
          <a:noFill/>
        </a:ln>
      </c:spPr>
    </c:title>
    <c:autoTitleDeleted val="0"/>
    <c:plotArea>
      <c:layout>
        <c:manualLayout>
          <c:layoutTarget val="inner"/>
          <c:xMode val="edge"/>
          <c:yMode val="edge"/>
          <c:x val="0.10165448649773795"/>
          <c:y val="6.6524698733781917E-2"/>
          <c:w val="0.76155183371543667"/>
          <c:h val="0.58607138442588669"/>
        </c:manualLayout>
      </c:layout>
      <c:barChart>
        <c:barDir val="col"/>
        <c:grouping val="clustered"/>
        <c:varyColors val="0"/>
        <c:ser>
          <c:idx val="0"/>
          <c:order val="0"/>
          <c:tx>
            <c:strRef>
              <c:f>Лист1!$B$1</c:f>
              <c:strCache>
                <c:ptCount val="1"/>
                <c:pt idx="0">
                  <c:v>  </c:v>
                </c:pt>
              </c:strCache>
            </c:strRef>
          </c:tx>
          <c:invertIfNegative val="0"/>
          <c:cat>
            <c:strRef>
              <c:f>Лист1!$A$2:$A$6</c:f>
              <c:strCache>
                <c:ptCount val="5"/>
                <c:pt idx="0">
                  <c:v>Приемлемая цена</c:v>
                </c:pt>
                <c:pt idx="1">
                  <c:v>Наличие широкого ассортимента тематик экскурсий</c:v>
                </c:pt>
                <c:pt idx="2">
                  <c:v>Высокое качество экскурсий</c:v>
                </c:pt>
                <c:pt idx="3">
                  <c:v>Много свободного времени</c:v>
                </c:pt>
                <c:pt idx="4">
                  <c:v>Хороший способ провести время с близкими</c:v>
                </c:pt>
              </c:strCache>
            </c:strRef>
          </c:cat>
          <c:val>
            <c:numRef>
              <c:f>Лист1!$B$2:$B$6</c:f>
              <c:numCache>
                <c:formatCode>General</c:formatCode>
                <c:ptCount val="5"/>
                <c:pt idx="0">
                  <c:v>40</c:v>
                </c:pt>
                <c:pt idx="1">
                  <c:v>46</c:v>
                </c:pt>
                <c:pt idx="2">
                  <c:v>33</c:v>
                </c:pt>
                <c:pt idx="3">
                  <c:v>23</c:v>
                </c:pt>
                <c:pt idx="4">
                  <c:v>40</c:v>
                </c:pt>
              </c:numCache>
            </c:numRef>
          </c:val>
        </c:ser>
        <c:dLbls>
          <c:showLegendKey val="0"/>
          <c:showVal val="0"/>
          <c:showCatName val="0"/>
          <c:showSerName val="0"/>
          <c:showPercent val="0"/>
          <c:showBubbleSize val="0"/>
        </c:dLbls>
        <c:gapWidth val="150"/>
        <c:axId val="241566704"/>
        <c:axId val="241567264"/>
      </c:barChart>
      <c:catAx>
        <c:axId val="241566704"/>
        <c:scaling>
          <c:orientation val="minMax"/>
        </c:scaling>
        <c:delete val="0"/>
        <c:axPos val="b"/>
        <c:numFmt formatCode="General" sourceLinked="1"/>
        <c:majorTickMark val="out"/>
        <c:minorTickMark val="none"/>
        <c:tickLblPos val="nextTo"/>
        <c:crossAx val="241567264"/>
        <c:crosses val="autoZero"/>
        <c:auto val="1"/>
        <c:lblAlgn val="ctr"/>
        <c:lblOffset val="100"/>
        <c:noMultiLvlLbl val="0"/>
      </c:catAx>
      <c:valAx>
        <c:axId val="241567264"/>
        <c:scaling>
          <c:orientation val="minMax"/>
        </c:scaling>
        <c:delete val="0"/>
        <c:axPos val="l"/>
        <c:majorGridlines/>
        <c:numFmt formatCode="General" sourceLinked="1"/>
        <c:majorTickMark val="out"/>
        <c:minorTickMark val="none"/>
        <c:tickLblPos val="nextTo"/>
        <c:crossAx val="241566704"/>
        <c:crosses val="autoZero"/>
        <c:crossBetween val="between"/>
      </c:valAx>
    </c:plotArea>
    <c:plotVisOnly val="1"/>
    <c:dispBlanksAs val="gap"/>
    <c:showDLblsOverMax val="0"/>
  </c:chart>
  <c:spPr>
    <a:ln>
      <a:noFill/>
    </a:ln>
  </c:spPr>
  <c:externalData r:id="rId2">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title>
      <c:layout>
        <c:manualLayout>
          <c:xMode val="edge"/>
          <c:yMode val="edge"/>
          <c:x val="0.49242431977798284"/>
          <c:y val="2.3622047244094488E-2"/>
        </c:manualLayout>
      </c:layout>
      <c:overlay val="0"/>
      <c:spPr>
        <a:noFill/>
        <a:ln w="24886">
          <a:noFill/>
        </a:ln>
      </c:spPr>
    </c:title>
    <c:autoTitleDeleted val="0"/>
    <c:view3D>
      <c:rotX val="30"/>
      <c:rotY val="0"/>
      <c:rAngAx val="0"/>
    </c:view3D>
    <c:floor>
      <c:thickness val="0"/>
    </c:floor>
    <c:sideWall>
      <c:thickness val="0"/>
    </c:sideWall>
    <c:backWall>
      <c:thickness val="0"/>
    </c:backWall>
    <c:plotArea>
      <c:layout>
        <c:manualLayout>
          <c:layoutTarget val="inner"/>
          <c:xMode val="edge"/>
          <c:yMode val="edge"/>
          <c:x val="0.13029649895457984"/>
          <c:y val="0.15409995070413174"/>
          <c:w val="0.82450576093242556"/>
          <c:h val="0.56924257564251168"/>
        </c:manualLayout>
      </c:layout>
      <c:pie3DChart>
        <c:varyColors val="1"/>
        <c:ser>
          <c:idx val="0"/>
          <c:order val="0"/>
          <c:tx>
            <c:strRef>
              <c:f>Лист1!$B$1</c:f>
              <c:strCache>
                <c:ptCount val="1"/>
                <c:pt idx="0">
                  <c:v>  </c:v>
                </c:pt>
              </c:strCache>
            </c:strRef>
          </c:tx>
          <c:explosion val="25"/>
          <c:dPt>
            <c:idx val="0"/>
            <c:bubble3D val="0"/>
          </c:dPt>
          <c:dPt>
            <c:idx val="1"/>
            <c:bubble3D val="0"/>
          </c:dPt>
          <c:dPt>
            <c:idx val="2"/>
            <c:bubble3D val="0"/>
          </c:dPt>
          <c:dPt>
            <c:idx val="3"/>
            <c:bubble3D val="0"/>
          </c:dPt>
          <c:dLbls>
            <c:spPr>
              <a:noFill/>
              <a:ln w="24886">
                <a:noFill/>
              </a:ln>
            </c:spPr>
            <c:showLegendKey val="0"/>
            <c:showVal val="0"/>
            <c:showCatName val="0"/>
            <c:showSerName val="0"/>
            <c:showPercent val="1"/>
            <c:showBubbleSize val="0"/>
            <c:showLeaderLines val="0"/>
            <c:extLst>
              <c:ext xmlns:c15="http://schemas.microsoft.com/office/drawing/2012/chart" uri="{CE6537A1-D6FC-4f65-9D91-7224C49458BB}"/>
            </c:extLst>
          </c:dLbls>
          <c:cat>
            <c:strRef>
              <c:f>Лист1!$A$2:$A$5</c:f>
              <c:strCache>
                <c:ptCount val="4"/>
                <c:pt idx="0">
                  <c:v>До 1 часа</c:v>
                </c:pt>
                <c:pt idx="1">
                  <c:v>1-2 часа</c:v>
                </c:pt>
                <c:pt idx="2">
                  <c:v>3-5 часов</c:v>
                </c:pt>
                <c:pt idx="3">
                  <c:v>Более 5 часов</c:v>
                </c:pt>
              </c:strCache>
            </c:strRef>
          </c:cat>
          <c:val>
            <c:numRef>
              <c:f>Лист1!$B$2:$B$5</c:f>
              <c:numCache>
                <c:formatCode>General</c:formatCode>
                <c:ptCount val="4"/>
                <c:pt idx="0">
                  <c:v>20</c:v>
                </c:pt>
                <c:pt idx="1">
                  <c:v>68</c:v>
                </c:pt>
                <c:pt idx="2">
                  <c:v>15</c:v>
                </c:pt>
                <c:pt idx="3">
                  <c:v>5</c:v>
                </c:pt>
              </c:numCache>
            </c:numRef>
          </c:val>
        </c:ser>
        <c:dLbls>
          <c:showLegendKey val="0"/>
          <c:showVal val="0"/>
          <c:showCatName val="0"/>
          <c:showSerName val="0"/>
          <c:showPercent val="0"/>
          <c:showBubbleSize val="0"/>
          <c:showLeaderLines val="0"/>
        </c:dLbls>
      </c:pie3DChart>
      <c:spPr>
        <a:noFill/>
        <a:ln w="25358">
          <a:noFill/>
        </a:ln>
      </c:spPr>
    </c:plotArea>
    <c:legend>
      <c:legendPos val="r"/>
      <c:layout>
        <c:manualLayout>
          <c:xMode val="edge"/>
          <c:yMode val="edge"/>
          <c:x val="0.11868674769768492"/>
          <c:y val="0.83464566929133854"/>
          <c:w val="0.76010105968674113"/>
          <c:h val="0.16535433070866146"/>
        </c:manualLayout>
      </c:layout>
      <c:overlay val="0"/>
    </c:legend>
    <c:plotVisOnly val="1"/>
    <c:dispBlanksAs val="zero"/>
    <c:showDLblsOverMax val="0"/>
  </c:chart>
  <c:spPr>
    <a:ln>
      <a:noFill/>
    </a:ln>
  </c:spPr>
  <c:externalData r:id="rId2">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title>
      <c:layout>
        <c:manualLayout>
          <c:xMode val="edge"/>
          <c:yMode val="edge"/>
          <c:x val="0.49282304250975717"/>
          <c:y val="1.7699366526552601E-2"/>
        </c:manualLayout>
      </c:layout>
      <c:overlay val="0"/>
      <c:spPr>
        <a:noFill/>
        <a:ln w="25370">
          <a:noFill/>
        </a:ln>
      </c:spPr>
    </c:title>
    <c:autoTitleDeleted val="0"/>
    <c:view3D>
      <c:rotX val="30"/>
      <c:rotY val="0"/>
      <c:rAngAx val="0"/>
    </c:view3D>
    <c:floor>
      <c:thickness val="0"/>
    </c:floor>
    <c:sideWall>
      <c:thickness val="0"/>
    </c:sideWall>
    <c:backWall>
      <c:thickness val="0"/>
    </c:backWall>
    <c:plotArea>
      <c:layout>
        <c:manualLayout>
          <c:layoutTarget val="inner"/>
          <c:xMode val="edge"/>
          <c:yMode val="edge"/>
          <c:x val="9.0705027256208368E-2"/>
          <c:y val="0.16721117487432738"/>
          <c:w val="0.90929497274379212"/>
          <c:h val="0.5915218648516386"/>
        </c:manualLayout>
      </c:layout>
      <c:pie3DChart>
        <c:varyColors val="1"/>
        <c:ser>
          <c:idx val="0"/>
          <c:order val="0"/>
          <c:tx>
            <c:strRef>
              <c:f>Лист1!$B$1</c:f>
              <c:strCache>
                <c:ptCount val="1"/>
                <c:pt idx="0">
                  <c:v>  </c:v>
                </c:pt>
              </c:strCache>
            </c:strRef>
          </c:tx>
          <c:explosion val="25"/>
          <c:dPt>
            <c:idx val="0"/>
            <c:bubble3D val="0"/>
          </c:dPt>
          <c:dPt>
            <c:idx val="1"/>
            <c:bubble3D val="0"/>
          </c:dPt>
          <c:dPt>
            <c:idx val="2"/>
            <c:bubble3D val="0"/>
          </c:dPt>
          <c:dLbls>
            <c:spPr>
              <a:noFill/>
              <a:ln w="25370">
                <a:noFill/>
              </a:ln>
            </c:spPr>
            <c:showLegendKey val="0"/>
            <c:showVal val="0"/>
            <c:showCatName val="0"/>
            <c:showSerName val="0"/>
            <c:showPercent val="1"/>
            <c:showBubbleSize val="0"/>
            <c:showLeaderLines val="0"/>
            <c:extLst>
              <c:ext xmlns:c15="http://schemas.microsoft.com/office/drawing/2012/chart" uri="{CE6537A1-D6FC-4f65-9D91-7224C49458BB}"/>
            </c:extLst>
          </c:dLbls>
          <c:cat>
            <c:strRef>
              <c:f>Лист1!$A$2:$A$4</c:f>
              <c:strCache>
                <c:ptCount val="3"/>
                <c:pt idx="0">
                  <c:v>Автобусная</c:v>
                </c:pt>
                <c:pt idx="1">
                  <c:v>Пешеходная</c:v>
                </c:pt>
                <c:pt idx="2">
                  <c:v>Смешанная</c:v>
                </c:pt>
              </c:strCache>
            </c:strRef>
          </c:cat>
          <c:val>
            <c:numRef>
              <c:f>Лист1!$B$2:$B$4</c:f>
              <c:numCache>
                <c:formatCode>General</c:formatCode>
                <c:ptCount val="3"/>
                <c:pt idx="0">
                  <c:v>12</c:v>
                </c:pt>
                <c:pt idx="1">
                  <c:v>13</c:v>
                </c:pt>
                <c:pt idx="2">
                  <c:v>59</c:v>
                </c:pt>
              </c:numCache>
            </c:numRef>
          </c:val>
        </c:ser>
        <c:dLbls>
          <c:showLegendKey val="0"/>
          <c:showVal val="0"/>
          <c:showCatName val="0"/>
          <c:showSerName val="0"/>
          <c:showPercent val="0"/>
          <c:showBubbleSize val="0"/>
          <c:showLeaderLines val="0"/>
        </c:dLbls>
      </c:pie3DChart>
      <c:spPr>
        <a:noFill/>
        <a:ln w="25381">
          <a:noFill/>
        </a:ln>
      </c:spPr>
    </c:plotArea>
    <c:legend>
      <c:legendPos val="r"/>
      <c:layout>
        <c:manualLayout>
          <c:xMode val="edge"/>
          <c:yMode val="edge"/>
          <c:x val="0.16746399607850437"/>
          <c:y val="0.80531012570797067"/>
          <c:w val="0.66028703858826154"/>
          <c:h val="0.19468987429202922"/>
        </c:manualLayout>
      </c:layout>
      <c:overlay val="0"/>
    </c:legend>
    <c:plotVisOnly val="1"/>
    <c:dispBlanksAs val="zero"/>
    <c:showDLblsOverMax val="0"/>
  </c:chart>
  <c:spPr>
    <a:ln>
      <a:noFill/>
    </a:ln>
  </c:spPr>
  <c:externalData r:id="rId2">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title>
      <c:layout>
        <c:manualLayout>
          <c:xMode val="edge"/>
          <c:yMode val="edge"/>
          <c:x val="0.49234682785863892"/>
          <c:y val="1.7544028370499488E-2"/>
        </c:manualLayout>
      </c:layout>
      <c:overlay val="0"/>
      <c:spPr>
        <a:noFill/>
        <a:ln w="24851">
          <a:noFill/>
        </a:ln>
      </c:spPr>
    </c:title>
    <c:autoTitleDeleted val="0"/>
    <c:view3D>
      <c:rotX val="30"/>
      <c:rotY val="0"/>
      <c:rAngAx val="0"/>
    </c:view3D>
    <c:floor>
      <c:thickness val="0"/>
    </c:floor>
    <c:sideWall>
      <c:thickness val="0"/>
    </c:sideWall>
    <c:backWall>
      <c:thickness val="0"/>
    </c:backWall>
    <c:plotArea>
      <c:layout>
        <c:manualLayout>
          <c:layoutTarget val="inner"/>
          <c:xMode val="edge"/>
          <c:yMode val="edge"/>
          <c:x val="9.3973392810877271E-2"/>
          <c:y val="0.1026007075202557"/>
          <c:w val="0.90602660718912331"/>
          <c:h val="0.6056110920917499"/>
        </c:manualLayout>
      </c:layout>
      <c:pie3DChart>
        <c:varyColors val="1"/>
        <c:ser>
          <c:idx val="0"/>
          <c:order val="0"/>
          <c:tx>
            <c:strRef>
              <c:f>Лист1!$B$1</c:f>
              <c:strCache>
                <c:ptCount val="1"/>
                <c:pt idx="0">
                  <c:v>  </c:v>
                </c:pt>
              </c:strCache>
            </c:strRef>
          </c:tx>
          <c:explosion val="25"/>
          <c:dPt>
            <c:idx val="0"/>
            <c:bubble3D val="0"/>
          </c:dPt>
          <c:dPt>
            <c:idx val="1"/>
            <c:bubble3D val="0"/>
          </c:dPt>
          <c:dPt>
            <c:idx val="2"/>
            <c:bubble3D val="0"/>
          </c:dPt>
          <c:dPt>
            <c:idx val="3"/>
            <c:bubble3D val="0"/>
          </c:dPt>
          <c:dLbls>
            <c:spPr>
              <a:noFill/>
              <a:ln w="24851">
                <a:noFill/>
              </a:ln>
            </c:spPr>
            <c:showLegendKey val="0"/>
            <c:showVal val="0"/>
            <c:showCatName val="0"/>
            <c:showSerName val="0"/>
            <c:showPercent val="1"/>
            <c:showBubbleSize val="0"/>
            <c:showLeaderLines val="0"/>
            <c:extLst>
              <c:ext xmlns:c15="http://schemas.microsoft.com/office/drawing/2012/chart" uri="{CE6537A1-D6FC-4f65-9D91-7224C49458BB}"/>
            </c:extLst>
          </c:dLbls>
          <c:cat>
            <c:strRef>
              <c:f>Лист1!$A$2:$A$5</c:f>
              <c:strCache>
                <c:ptCount val="4"/>
                <c:pt idx="0">
                  <c:v>Лето</c:v>
                </c:pt>
                <c:pt idx="1">
                  <c:v>Осень</c:v>
                </c:pt>
                <c:pt idx="2">
                  <c:v>Зима</c:v>
                </c:pt>
                <c:pt idx="3">
                  <c:v>Весна</c:v>
                </c:pt>
              </c:strCache>
            </c:strRef>
          </c:cat>
          <c:val>
            <c:numRef>
              <c:f>Лист1!$B$2:$B$5</c:f>
              <c:numCache>
                <c:formatCode>General</c:formatCode>
                <c:ptCount val="4"/>
                <c:pt idx="0">
                  <c:v>68</c:v>
                </c:pt>
                <c:pt idx="1">
                  <c:v>36</c:v>
                </c:pt>
                <c:pt idx="2">
                  <c:v>4</c:v>
                </c:pt>
                <c:pt idx="3">
                  <c:v>37</c:v>
                </c:pt>
              </c:numCache>
            </c:numRef>
          </c:val>
        </c:ser>
        <c:dLbls>
          <c:showLegendKey val="0"/>
          <c:showVal val="0"/>
          <c:showCatName val="0"/>
          <c:showSerName val="0"/>
          <c:showPercent val="0"/>
          <c:showBubbleSize val="0"/>
          <c:showLeaderLines val="0"/>
        </c:dLbls>
      </c:pie3DChart>
      <c:spPr>
        <a:noFill/>
        <a:ln w="25373">
          <a:noFill/>
        </a:ln>
      </c:spPr>
    </c:plotArea>
    <c:legend>
      <c:legendPos val="r"/>
      <c:layout>
        <c:manualLayout>
          <c:xMode val="edge"/>
          <c:yMode val="edge"/>
          <c:x val="0.21938784167130626"/>
          <c:y val="0.78947406383362384"/>
          <c:w val="0.55867334764972565"/>
          <c:h val="0.21052593616637616"/>
        </c:manualLayout>
      </c:layout>
      <c:overlay val="0"/>
    </c:legend>
    <c:plotVisOnly val="1"/>
    <c:dispBlanksAs val="zero"/>
    <c:showDLblsOverMax val="0"/>
  </c:chart>
  <c:spPr>
    <a:ln>
      <a:noFill/>
    </a:ln>
  </c:spPr>
  <c:externalData r:id="rId2">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title>
      <c:layout>
        <c:manualLayout>
          <c:xMode val="edge"/>
          <c:yMode val="edge"/>
          <c:x val="0.49452554744525545"/>
          <c:y val="2.3437719140069327E-2"/>
        </c:manualLayout>
      </c:layout>
      <c:overlay val="0"/>
      <c:spPr>
        <a:noFill/>
        <a:ln w="25329">
          <a:noFill/>
        </a:ln>
      </c:spPr>
    </c:title>
    <c:autoTitleDeleted val="0"/>
    <c:view3D>
      <c:rotX val="30"/>
      <c:rotY val="0"/>
      <c:rAngAx val="0"/>
    </c:view3D>
    <c:floor>
      <c:thickness val="0"/>
    </c:floor>
    <c:sideWall>
      <c:thickness val="0"/>
    </c:sideWall>
    <c:backWall>
      <c:thickness val="0"/>
    </c:backWall>
    <c:plotArea>
      <c:layout>
        <c:manualLayout>
          <c:layoutTarget val="inner"/>
          <c:xMode val="edge"/>
          <c:yMode val="edge"/>
          <c:x val="9.2802976074271723E-2"/>
          <c:y val="8.2259442146003059E-2"/>
          <c:w val="0.90719702392572832"/>
          <c:h val="0.58864050891943587"/>
        </c:manualLayout>
      </c:layout>
      <c:pie3DChart>
        <c:varyColors val="1"/>
        <c:ser>
          <c:idx val="0"/>
          <c:order val="0"/>
          <c:tx>
            <c:strRef>
              <c:f>Лист1!$B$1</c:f>
              <c:strCache>
                <c:ptCount val="1"/>
                <c:pt idx="0">
                  <c:v>  </c:v>
                </c:pt>
              </c:strCache>
            </c:strRef>
          </c:tx>
          <c:explosion val="25"/>
          <c:dPt>
            <c:idx val="0"/>
            <c:bubble3D val="0"/>
          </c:dPt>
          <c:dPt>
            <c:idx val="1"/>
            <c:bubble3D val="0"/>
          </c:dPt>
          <c:dPt>
            <c:idx val="2"/>
            <c:bubble3D val="0"/>
          </c:dPt>
          <c:dPt>
            <c:idx val="3"/>
            <c:bubble3D val="0"/>
          </c:dPt>
          <c:dLbls>
            <c:spPr>
              <a:noFill/>
              <a:ln w="25329">
                <a:noFill/>
                <a:miter/>
              </a:ln>
            </c:spPr>
            <c:showLegendKey val="0"/>
            <c:showVal val="0"/>
            <c:showCatName val="0"/>
            <c:showSerName val="0"/>
            <c:showPercent val="1"/>
            <c:showBubbleSize val="0"/>
            <c:showLeaderLines val="0"/>
            <c:extLst>
              <c:ext xmlns:c15="http://schemas.microsoft.com/office/drawing/2012/chart" uri="{CE6537A1-D6FC-4f65-9D91-7224C49458BB}"/>
            </c:extLst>
          </c:dLbls>
          <c:cat>
            <c:strRef>
              <c:f>Лист1!$A$2:$A$5</c:f>
              <c:strCache>
                <c:ptCount val="4"/>
                <c:pt idx="0">
                  <c:v>400-800 рублей</c:v>
                </c:pt>
                <c:pt idx="1">
                  <c:v>900-1200 рублей</c:v>
                </c:pt>
                <c:pt idx="2">
                  <c:v>1300-1500 рублей</c:v>
                </c:pt>
                <c:pt idx="3">
                  <c:v>Более 1500 рублей</c:v>
                </c:pt>
              </c:strCache>
            </c:strRef>
          </c:cat>
          <c:val>
            <c:numRef>
              <c:f>Лист1!$B$2:$B$5</c:f>
              <c:numCache>
                <c:formatCode>General</c:formatCode>
                <c:ptCount val="4"/>
                <c:pt idx="0">
                  <c:v>45</c:v>
                </c:pt>
                <c:pt idx="1">
                  <c:v>43</c:v>
                </c:pt>
                <c:pt idx="2">
                  <c:v>9</c:v>
                </c:pt>
                <c:pt idx="3">
                  <c:v>5</c:v>
                </c:pt>
              </c:numCache>
            </c:numRef>
          </c:val>
        </c:ser>
        <c:dLbls>
          <c:showLegendKey val="0"/>
          <c:showVal val="0"/>
          <c:showCatName val="0"/>
          <c:showSerName val="0"/>
          <c:showPercent val="0"/>
          <c:showBubbleSize val="0"/>
          <c:showLeaderLines val="0"/>
        </c:dLbls>
      </c:pie3DChart>
      <c:spPr>
        <a:noFill/>
        <a:ln w="25391">
          <a:noFill/>
        </a:ln>
      </c:spPr>
    </c:plotArea>
    <c:legend>
      <c:legendPos val="r"/>
      <c:layout>
        <c:manualLayout>
          <c:xMode val="edge"/>
          <c:yMode val="edge"/>
          <c:x val="0.20255474452554745"/>
          <c:y val="0.59374967442046844"/>
          <c:w val="0.59306569343065696"/>
          <c:h val="0.40625032557953156"/>
        </c:manualLayout>
      </c:layout>
      <c:overlay val="0"/>
    </c:legend>
    <c:plotVisOnly val="1"/>
    <c:dispBlanksAs val="zero"/>
    <c:showDLblsOverMax val="0"/>
  </c:chart>
  <c:spPr>
    <a:ln>
      <a:noFill/>
    </a:ln>
  </c:spPr>
  <c:externalData r:id="rId2">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title>
      <c:layout>
        <c:manualLayout>
          <c:xMode val="edge"/>
          <c:yMode val="edge"/>
          <c:x val="0.49187944610371981"/>
          <c:y val="2.0408317223820079E-2"/>
        </c:manualLayout>
      </c:layout>
      <c:overlay val="0"/>
      <c:spPr>
        <a:noFill/>
        <a:ln w="25358">
          <a:noFill/>
        </a:ln>
      </c:spPr>
    </c:title>
    <c:autoTitleDeleted val="0"/>
    <c:plotArea>
      <c:layout>
        <c:manualLayout>
          <c:layoutTarget val="inner"/>
          <c:xMode val="edge"/>
          <c:yMode val="edge"/>
          <c:x val="6.938641705931349E-2"/>
          <c:y val="0.10043088363954498"/>
          <c:w val="0.90116244505581333"/>
          <c:h val="0.5296716758158978"/>
        </c:manualLayout>
      </c:layout>
      <c:barChart>
        <c:barDir val="col"/>
        <c:grouping val="clustered"/>
        <c:varyColors val="0"/>
        <c:ser>
          <c:idx val="0"/>
          <c:order val="0"/>
          <c:tx>
            <c:strRef>
              <c:f>Лист1!$B$1</c:f>
              <c:strCache>
                <c:ptCount val="1"/>
                <c:pt idx="0">
                  <c:v>  </c:v>
                </c:pt>
              </c:strCache>
            </c:strRef>
          </c:tx>
          <c:invertIfNegative val="0"/>
          <c:cat>
            <c:strRef>
              <c:f>Лист1!$A$2:$A$6</c:f>
              <c:strCache>
                <c:ptCount val="5"/>
                <c:pt idx="0">
                  <c:v>Vl.ru</c:v>
                </c:pt>
                <c:pt idx="1">
                  <c:v>Сайты турфирм</c:v>
                </c:pt>
                <c:pt idx="2">
                  <c:v>Буклеты и листовки</c:v>
                </c:pt>
                <c:pt idx="3">
                  <c:v>От друзей и родных</c:v>
                </c:pt>
                <c:pt idx="4">
                  <c:v>Реклама в газетах и журналах</c:v>
                </c:pt>
              </c:strCache>
            </c:strRef>
          </c:cat>
          <c:val>
            <c:numRef>
              <c:f>Лист1!$B$2:$B$6</c:f>
              <c:numCache>
                <c:formatCode>General</c:formatCode>
                <c:ptCount val="5"/>
                <c:pt idx="0">
                  <c:v>65</c:v>
                </c:pt>
                <c:pt idx="1">
                  <c:v>24</c:v>
                </c:pt>
                <c:pt idx="2">
                  <c:v>15</c:v>
                </c:pt>
                <c:pt idx="3">
                  <c:v>28</c:v>
                </c:pt>
                <c:pt idx="4">
                  <c:v>2</c:v>
                </c:pt>
              </c:numCache>
            </c:numRef>
          </c:val>
        </c:ser>
        <c:dLbls>
          <c:showLegendKey val="0"/>
          <c:showVal val="0"/>
          <c:showCatName val="0"/>
          <c:showSerName val="0"/>
          <c:showPercent val="0"/>
          <c:showBubbleSize val="0"/>
        </c:dLbls>
        <c:gapWidth val="150"/>
        <c:axId val="244893552"/>
        <c:axId val="244894112"/>
      </c:barChart>
      <c:catAx>
        <c:axId val="244893552"/>
        <c:scaling>
          <c:orientation val="minMax"/>
        </c:scaling>
        <c:delete val="0"/>
        <c:axPos val="b"/>
        <c:numFmt formatCode="General" sourceLinked="1"/>
        <c:majorTickMark val="out"/>
        <c:minorTickMark val="none"/>
        <c:tickLblPos val="nextTo"/>
        <c:crossAx val="244894112"/>
        <c:crosses val="autoZero"/>
        <c:auto val="1"/>
        <c:lblAlgn val="ctr"/>
        <c:lblOffset val="100"/>
        <c:noMultiLvlLbl val="0"/>
      </c:catAx>
      <c:valAx>
        <c:axId val="244894112"/>
        <c:scaling>
          <c:orientation val="minMax"/>
        </c:scaling>
        <c:delete val="0"/>
        <c:axPos val="l"/>
        <c:majorGridlines/>
        <c:numFmt formatCode="General" sourceLinked="1"/>
        <c:majorTickMark val="out"/>
        <c:minorTickMark val="none"/>
        <c:tickLblPos val="nextTo"/>
        <c:crossAx val="244893552"/>
        <c:crosses val="autoZero"/>
        <c:crossBetween val="between"/>
      </c:valAx>
    </c:plotArea>
    <c:plotVisOnly val="1"/>
    <c:dispBlanksAs val="gap"/>
    <c:showDLblsOverMax val="0"/>
  </c:chart>
  <c:spPr>
    <a:ln>
      <a:noFill/>
    </a:ln>
  </c:spPr>
  <c:externalData r:id="rId2">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title>
      <c:layout>
        <c:manualLayout>
          <c:xMode val="edge"/>
          <c:yMode val="edge"/>
          <c:x val="0.49213484981044031"/>
          <c:y val="2.2472007512822363E-2"/>
        </c:manualLayout>
      </c:layout>
      <c:overlay val="0"/>
      <c:spPr>
        <a:noFill/>
        <a:ln w="25395">
          <a:noFill/>
        </a:ln>
      </c:spPr>
    </c:title>
    <c:autoTitleDeleted val="0"/>
    <c:view3D>
      <c:rotX val="15"/>
      <c:rotY val="0"/>
      <c:rAngAx val="0"/>
    </c:view3D>
    <c:floor>
      <c:thickness val="0"/>
    </c:floor>
    <c:sideWall>
      <c:thickness val="0"/>
    </c:sideWall>
    <c:backWall>
      <c:thickness val="0"/>
    </c:backWall>
    <c:plotArea>
      <c:layout>
        <c:manualLayout>
          <c:layoutTarget val="inner"/>
          <c:xMode val="edge"/>
          <c:yMode val="edge"/>
          <c:x val="0.31910112359550563"/>
          <c:y val="0.19101123595505617"/>
          <c:w val="0.34606741573033706"/>
          <c:h val="0.6853932584269663"/>
        </c:manualLayout>
      </c:layout>
      <c:pie3DChart>
        <c:varyColors val="1"/>
        <c:ser>
          <c:idx val="0"/>
          <c:order val="0"/>
          <c:tx>
            <c:strRef>
              <c:f>Лист1!$B$1</c:f>
              <c:strCache>
                <c:ptCount val="1"/>
                <c:pt idx="0">
                  <c:v>  </c:v>
                </c:pt>
              </c:strCache>
            </c:strRef>
          </c:tx>
          <c:explosion val="25"/>
          <c:dPt>
            <c:idx val="0"/>
            <c:bubble3D val="0"/>
          </c:dPt>
          <c:dPt>
            <c:idx val="1"/>
            <c:bubble3D val="0"/>
          </c:dPt>
          <c:dPt>
            <c:idx val="2"/>
            <c:bubble3D val="0"/>
          </c:dPt>
          <c:dPt>
            <c:idx val="3"/>
            <c:bubble3D val="0"/>
          </c:dPt>
          <c:dLbls>
            <c:spPr>
              <a:noFill/>
              <a:ln w="25395">
                <a:noFill/>
              </a:ln>
            </c:spPr>
            <c:showLegendKey val="0"/>
            <c:showVal val="0"/>
            <c:showCatName val="0"/>
            <c:showSerName val="0"/>
            <c:showPercent val="1"/>
            <c:showBubbleSize val="0"/>
            <c:showLeaderLines val="0"/>
            <c:extLst>
              <c:ext xmlns:c15="http://schemas.microsoft.com/office/drawing/2012/chart" uri="{CE6537A1-D6FC-4f65-9D91-7224C49458BB}"/>
            </c:extLst>
          </c:dLbls>
          <c:cat>
            <c:strRef>
              <c:f>Лист1!$A$2:$A$5</c:f>
              <c:strCache>
                <c:ptCount val="4"/>
                <c:pt idx="0">
                  <c:v>Несколько раз в год</c:v>
                </c:pt>
                <c:pt idx="1">
                  <c:v>Около раза в год</c:v>
                </c:pt>
                <c:pt idx="2">
                  <c:v>Реже</c:v>
                </c:pt>
                <c:pt idx="3">
                  <c:v>Не посещаю</c:v>
                </c:pt>
              </c:strCache>
            </c:strRef>
          </c:cat>
          <c:val>
            <c:numRef>
              <c:f>Лист1!$B$2:$B$5</c:f>
              <c:numCache>
                <c:formatCode>General</c:formatCode>
                <c:ptCount val="4"/>
                <c:pt idx="0">
                  <c:v>5</c:v>
                </c:pt>
                <c:pt idx="1">
                  <c:v>19</c:v>
                </c:pt>
                <c:pt idx="2">
                  <c:v>26</c:v>
                </c:pt>
                <c:pt idx="3">
                  <c:v>45</c:v>
                </c:pt>
              </c:numCache>
            </c:numRef>
          </c:val>
        </c:ser>
        <c:dLbls>
          <c:showLegendKey val="0"/>
          <c:showVal val="0"/>
          <c:showCatName val="0"/>
          <c:showSerName val="0"/>
          <c:showPercent val="0"/>
          <c:showBubbleSize val="0"/>
          <c:showLeaderLines val="0"/>
        </c:dLbls>
      </c:pie3DChart>
      <c:spPr>
        <a:noFill/>
        <a:ln w="25389">
          <a:noFill/>
        </a:ln>
      </c:spPr>
    </c:plotArea>
    <c:legend>
      <c:legendPos val="r"/>
      <c:layout>
        <c:manualLayout>
          <c:xMode val="edge"/>
          <c:yMode val="edge"/>
          <c:x val="4.2696529600466611E-2"/>
          <c:y val="0.82022490307977569"/>
          <c:w val="0.91460670749489636"/>
          <c:h val="0.17977509692022431"/>
        </c:manualLayout>
      </c:layout>
      <c:overlay val="0"/>
    </c:legend>
    <c:plotVisOnly val="1"/>
    <c:dispBlanksAs val="zero"/>
    <c:showDLblsOverMax val="0"/>
  </c:chart>
  <c:spPr>
    <a:ln>
      <a:noFill/>
    </a:ln>
  </c:spPr>
  <c:externalData r:id="rId2">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5.2953123850172923E-2"/>
          <c:y val="1.1217892635215472E-2"/>
          <c:w val="0.51577108936149341"/>
          <c:h val="0.94337618054153483"/>
        </c:manualLayout>
      </c:layout>
      <c:pieChart>
        <c:varyColors val="1"/>
        <c:ser>
          <c:idx val="0"/>
          <c:order val="0"/>
          <c:tx>
            <c:strRef>
              <c:f>Лист1!$B$1</c:f>
              <c:strCache>
                <c:ptCount val="1"/>
                <c:pt idx="0">
                  <c:v>Заболевания</c:v>
                </c:pt>
              </c:strCache>
            </c:strRef>
          </c:tx>
          <c:dPt>
            <c:idx val="0"/>
            <c:bubble3D val="0"/>
            <c:spPr>
              <a:solidFill>
                <a:schemeClr val="accent3">
                  <a:tint val="46000"/>
                </a:schemeClr>
              </a:solidFill>
              <a:ln w="19010">
                <a:solidFill>
                  <a:schemeClr val="lt1"/>
                </a:solidFill>
              </a:ln>
            </c:spPr>
          </c:dPt>
          <c:dPt>
            <c:idx val="1"/>
            <c:bubble3D val="0"/>
            <c:spPr>
              <a:solidFill>
                <a:schemeClr val="accent3">
                  <a:tint val="62000"/>
                </a:schemeClr>
              </a:solidFill>
              <a:ln w="19010">
                <a:solidFill>
                  <a:schemeClr val="lt1"/>
                </a:solidFill>
              </a:ln>
            </c:spPr>
          </c:dPt>
          <c:dPt>
            <c:idx val="2"/>
            <c:bubble3D val="0"/>
            <c:spPr>
              <a:solidFill>
                <a:schemeClr val="accent3">
                  <a:tint val="77000"/>
                </a:schemeClr>
              </a:solidFill>
              <a:ln w="19010">
                <a:solidFill>
                  <a:schemeClr val="lt1"/>
                </a:solidFill>
              </a:ln>
            </c:spPr>
          </c:dPt>
          <c:dPt>
            <c:idx val="3"/>
            <c:bubble3D val="0"/>
            <c:spPr>
              <a:solidFill>
                <a:schemeClr val="accent3">
                  <a:tint val="93000"/>
                </a:schemeClr>
              </a:solidFill>
              <a:ln w="19010">
                <a:solidFill>
                  <a:schemeClr val="lt1"/>
                </a:solidFill>
              </a:ln>
            </c:spPr>
          </c:dPt>
          <c:dPt>
            <c:idx val="4"/>
            <c:bubble3D val="0"/>
            <c:spPr>
              <a:solidFill>
                <a:schemeClr val="accent3">
                  <a:shade val="92000"/>
                </a:schemeClr>
              </a:solidFill>
              <a:ln w="19010">
                <a:solidFill>
                  <a:schemeClr val="lt1"/>
                </a:solidFill>
              </a:ln>
            </c:spPr>
          </c:dPt>
          <c:dPt>
            <c:idx val="5"/>
            <c:bubble3D val="0"/>
            <c:spPr>
              <a:solidFill>
                <a:schemeClr val="accent3">
                  <a:shade val="76000"/>
                </a:schemeClr>
              </a:solidFill>
              <a:ln w="19010">
                <a:solidFill>
                  <a:schemeClr val="lt1"/>
                </a:solidFill>
              </a:ln>
            </c:spPr>
          </c:dPt>
          <c:dPt>
            <c:idx val="6"/>
            <c:bubble3D val="0"/>
            <c:spPr>
              <a:solidFill>
                <a:schemeClr val="accent3">
                  <a:shade val="61000"/>
                </a:schemeClr>
              </a:solidFill>
              <a:ln w="19010">
                <a:solidFill>
                  <a:schemeClr val="lt1"/>
                </a:solidFill>
              </a:ln>
            </c:spPr>
          </c:dPt>
          <c:dPt>
            <c:idx val="7"/>
            <c:bubble3D val="0"/>
            <c:spPr>
              <a:solidFill>
                <a:schemeClr val="accent3">
                  <a:shade val="45000"/>
                </a:schemeClr>
              </a:solidFill>
              <a:ln w="19010">
                <a:solidFill>
                  <a:schemeClr val="lt1"/>
                </a:solidFill>
              </a:ln>
            </c:spPr>
          </c:dPt>
          <c:dLbls>
            <c:dLbl>
              <c:idx val="1"/>
              <c:layout>
                <c:manualLayout>
                  <c:x val="-0.19003115264797513"/>
                  <c:y val="-4.4688067837674136E-2"/>
                </c:manualLayout>
              </c:layout>
              <c:dLblPos val="bestFit"/>
              <c:showLegendKey val="0"/>
              <c:showVal val="0"/>
              <c:showCatName val="0"/>
              <c:showSerName val="0"/>
              <c:showPercent val="1"/>
              <c:showBubbleSize val="0"/>
              <c:extLst>
                <c:ext xmlns:c15="http://schemas.microsoft.com/office/drawing/2012/chart" uri="{CE6537A1-D6FC-4f65-9D91-7224C49458BB}"/>
              </c:extLst>
            </c:dLbl>
            <c:dLbl>
              <c:idx val="4"/>
              <c:layout>
                <c:manualLayout>
                  <c:x val="1.7544801627388844E-2"/>
                  <c:y val="-5.8913789622451043E-2"/>
                </c:manualLayout>
              </c:layout>
              <c:dLblPos val="bestFit"/>
              <c:showLegendKey val="0"/>
              <c:showVal val="0"/>
              <c:showCatName val="0"/>
              <c:showSerName val="0"/>
              <c:showPercent val="1"/>
              <c:showBubbleSize val="0"/>
              <c:extLst>
                <c:ext xmlns:c15="http://schemas.microsoft.com/office/drawing/2012/chart" uri="{CE6537A1-D6FC-4f65-9D91-7224C49458BB}"/>
              </c:extLst>
            </c:dLbl>
            <c:spPr>
              <a:noFill/>
              <a:ln>
                <a:noFill/>
              </a:ln>
            </c:spPr>
            <c:txPr>
              <a:bodyPr rot="0" spcFirstLastPara="1" vertOverflow="ellipsis" vert="horz" wrap="square" lIns="38100" tIns="19050" rIns="38100" bIns="19050" anchor="ctr" anchorCtr="1">
                <a:spAutoFit/>
              </a:bodyPr>
              <a:lstStyle/>
              <a:p>
                <a:pPr>
                  <a:defRPr sz="900" b="0" i="0" u="none" strike="noStrike">
                    <a:solidFill>
                      <a:schemeClr val="tx1">
                        <a:lumMod val="75000"/>
                        <a:lumOff val="25000"/>
                      </a:schemeClr>
                    </a:solidFill>
                    <a:latin typeface="+mn-lt"/>
                    <a:ea typeface="+mn-ea"/>
                    <a:cs typeface="+mn-cs"/>
                  </a:defRPr>
                </a:pPr>
                <a:endParaRPr lang="ru-RU"/>
              </a:p>
            </c:txPr>
            <c:showLegendKey val="0"/>
            <c:showVal val="0"/>
            <c:showCatName val="0"/>
            <c:showSerName val="0"/>
            <c:showPercent val="1"/>
            <c:showBubbleSize val="0"/>
            <c:showLeaderLines val="1"/>
            <c:leaderLines>
              <c:spPr>
                <a:ln w="9505" cap="flat" cmpd="sng" algn="ctr">
                  <a:solidFill>
                    <a:schemeClr val="tx1">
                      <a:lumMod val="35000"/>
                      <a:lumOff val="65000"/>
                    </a:schemeClr>
                  </a:solidFill>
                  <a:round/>
                </a:ln>
              </c:spPr>
            </c:leaderLines>
            <c:extLst>
              <c:ext xmlns:c15="http://schemas.microsoft.com/office/drawing/2012/chart" uri="{CE6537A1-D6FC-4f65-9D91-7224C49458BB}"/>
            </c:extLst>
          </c:dLbls>
          <c:cat>
            <c:strRef>
              <c:f>Лист1!$A$2:$A$9</c:f>
              <c:strCache>
                <c:ptCount val="8"/>
                <c:pt idx="0">
                  <c:v>болезни нервной системы</c:v>
                </c:pt>
                <c:pt idx="1">
                  <c:v>болезни системы кровобращения</c:v>
                </c:pt>
                <c:pt idx="2">
                  <c:v>болезни органов дыхания</c:v>
                </c:pt>
                <c:pt idx="3">
                  <c:v>болезни органов пищеварения</c:v>
                </c:pt>
                <c:pt idx="4">
                  <c:v>болезни кожи</c:v>
                </c:pt>
                <c:pt idx="5">
                  <c:v>болезни костно-мыщечной системы и соединительной ткани </c:v>
                </c:pt>
                <c:pt idx="6">
                  <c:v>болезни мочеполовой системы</c:v>
                </c:pt>
                <c:pt idx="7">
                  <c:v>травмы и некоторые др. воздействия внешних причин</c:v>
                </c:pt>
              </c:strCache>
            </c:strRef>
          </c:cat>
          <c:val>
            <c:numRef>
              <c:f>Лист1!$B$2:$B$9</c:f>
              <c:numCache>
                <c:formatCode>General</c:formatCode>
                <c:ptCount val="8"/>
                <c:pt idx="0">
                  <c:v>7</c:v>
                </c:pt>
                <c:pt idx="1">
                  <c:v>5</c:v>
                </c:pt>
                <c:pt idx="2">
                  <c:v>2</c:v>
                </c:pt>
                <c:pt idx="3">
                  <c:v>4</c:v>
                </c:pt>
                <c:pt idx="4">
                  <c:v>1</c:v>
                </c:pt>
                <c:pt idx="5">
                  <c:v>7</c:v>
                </c:pt>
                <c:pt idx="6">
                  <c:v>7</c:v>
                </c:pt>
                <c:pt idx="7">
                  <c:v>2</c:v>
                </c:pt>
              </c:numCache>
            </c:numRef>
          </c:val>
        </c:ser>
        <c:dLbls>
          <c:showLegendKey val="0"/>
          <c:showVal val="0"/>
          <c:showCatName val="0"/>
          <c:showSerName val="0"/>
          <c:showPercent val="0"/>
          <c:showBubbleSize val="0"/>
          <c:showLeaderLines val="1"/>
        </c:dLbls>
        <c:firstSliceAng val="0"/>
      </c:pieChart>
      <c:spPr>
        <a:noFill/>
        <a:ln w="25347">
          <a:noFill/>
        </a:ln>
      </c:spPr>
    </c:plotArea>
    <c:legend>
      <c:legendPos val="r"/>
      <c:layout>
        <c:manualLayout>
          <c:xMode val="edge"/>
          <c:yMode val="edge"/>
          <c:x val="0.52176975194737507"/>
          <c:y val="8.5427473224614688E-3"/>
          <c:w val="0.45953863995980826"/>
          <c:h val="0.99145725267753848"/>
        </c:manualLayout>
      </c:layout>
      <c:overlay val="0"/>
      <c:spPr>
        <a:noFill/>
        <a:ln>
          <a:noFill/>
        </a:ln>
      </c:spPr>
      <c:txPr>
        <a:bodyPr rot="0" spcFirstLastPara="1" vertOverflow="ellipsis" vert="horz" wrap="square" anchor="ctr" anchorCtr="1"/>
        <a:lstStyle/>
        <a:p>
          <a:pPr>
            <a:defRPr sz="900" b="0" i="0" u="none" strike="noStrike">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a:noFill/>
    </a:ln>
  </c:spPr>
  <c:txPr>
    <a:bodyPr/>
    <a:lstStyle/>
    <a:p>
      <a:pPr>
        <a:defRPr/>
      </a:pPr>
      <a:endParaRPr lang="ru-RU"/>
    </a:p>
  </c:txPr>
  <c:externalData r:id="rId2">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2143113223831443E-2"/>
          <c:y val="5.1994125734283213E-2"/>
          <c:w val="0.8923939195100612"/>
          <c:h val="0.7786176727909031"/>
        </c:manualLayout>
      </c:layout>
      <c:barChart>
        <c:barDir val="col"/>
        <c:grouping val="clustered"/>
        <c:varyColors val="0"/>
        <c:ser>
          <c:idx val="0"/>
          <c:order val="0"/>
          <c:tx>
            <c:strRef>
              <c:f>Лист1!$B$1</c:f>
              <c:strCache>
                <c:ptCount val="1"/>
                <c:pt idx="0">
                  <c:v>Столбец1</c:v>
                </c:pt>
              </c:strCache>
            </c:strRef>
          </c:tx>
          <c:invertIfNegative val="0"/>
          <c:cat>
            <c:strRef>
              <c:f>Лист1!$A$2:$A$8</c:f>
              <c:strCache>
                <c:ptCount val="7"/>
                <c:pt idx="0">
                  <c:v>Котельная</c:v>
                </c:pt>
                <c:pt idx="1">
                  <c:v>ГТУ</c:v>
                </c:pt>
                <c:pt idx="2">
                  <c:v>Аварийная ДЭС</c:v>
                </c:pt>
                <c:pt idx="3">
                  <c:v>Емкость для топлива</c:v>
                </c:pt>
                <c:pt idx="4">
                  <c:v>Насосная станция</c:v>
                </c:pt>
                <c:pt idx="5">
                  <c:v>Очистные сооружения </c:v>
                </c:pt>
                <c:pt idx="6">
                  <c:v>ДВС</c:v>
                </c:pt>
              </c:strCache>
            </c:strRef>
          </c:cat>
          <c:val>
            <c:numRef>
              <c:f>Лист1!$B$2:$B$8</c:f>
              <c:numCache>
                <c:formatCode>General</c:formatCode>
                <c:ptCount val="7"/>
                <c:pt idx="0">
                  <c:v>116.62</c:v>
                </c:pt>
                <c:pt idx="1">
                  <c:v>32.42</c:v>
                </c:pt>
                <c:pt idx="2">
                  <c:v>22.33</c:v>
                </c:pt>
                <c:pt idx="3">
                  <c:v>3.71</c:v>
                </c:pt>
                <c:pt idx="4">
                  <c:v>6.02</c:v>
                </c:pt>
                <c:pt idx="5">
                  <c:v>26.78</c:v>
                </c:pt>
                <c:pt idx="6">
                  <c:v>6.94</c:v>
                </c:pt>
              </c:numCache>
            </c:numRef>
          </c:val>
        </c:ser>
        <c:dLbls>
          <c:showLegendKey val="0"/>
          <c:showVal val="0"/>
          <c:showCatName val="0"/>
          <c:showSerName val="0"/>
          <c:showPercent val="0"/>
          <c:showBubbleSize val="0"/>
        </c:dLbls>
        <c:gapWidth val="150"/>
        <c:axId val="244899712"/>
        <c:axId val="244900272"/>
      </c:barChart>
      <c:catAx>
        <c:axId val="244899712"/>
        <c:scaling>
          <c:orientation val="minMax"/>
        </c:scaling>
        <c:delete val="0"/>
        <c:axPos val="b"/>
        <c:numFmt formatCode="General" sourceLinked="1"/>
        <c:majorTickMark val="out"/>
        <c:minorTickMark val="none"/>
        <c:tickLblPos val="nextTo"/>
        <c:crossAx val="244900272"/>
        <c:crosses val="autoZero"/>
        <c:auto val="1"/>
        <c:lblAlgn val="ctr"/>
        <c:lblOffset val="100"/>
        <c:noMultiLvlLbl val="0"/>
      </c:catAx>
      <c:valAx>
        <c:axId val="244900272"/>
        <c:scaling>
          <c:orientation val="minMax"/>
        </c:scaling>
        <c:delete val="0"/>
        <c:axPos val="l"/>
        <c:majorGridlines/>
        <c:numFmt formatCode="General" sourceLinked="1"/>
        <c:majorTickMark val="out"/>
        <c:minorTickMark val="none"/>
        <c:tickLblPos val="nextTo"/>
        <c:crossAx val="244899712"/>
        <c:crosses val="autoZero"/>
        <c:crossBetween val="between"/>
      </c:valAx>
    </c:plotArea>
    <c:plotVisOnly val="1"/>
    <c:dispBlanksAs val="gap"/>
    <c:showDLblsOverMax val="0"/>
  </c:chart>
  <c:externalData r:id="rId2">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Ряд 1</c:v>
                </c:pt>
              </c:strCache>
            </c:strRef>
          </c:tx>
          <c:invertIfNegative val="0"/>
          <c:cat>
            <c:strRef>
              <c:f>Лист1!$A$2:$A$6</c:f>
              <c:strCache>
                <c:ptCount val="5"/>
                <c:pt idx="0">
                  <c:v>1 класс</c:v>
                </c:pt>
                <c:pt idx="1">
                  <c:v>2 класс</c:v>
                </c:pt>
                <c:pt idx="2">
                  <c:v>3 класс</c:v>
                </c:pt>
                <c:pt idx="3">
                  <c:v>4 класс</c:v>
                </c:pt>
                <c:pt idx="4">
                  <c:v>ОБУВ</c:v>
                </c:pt>
              </c:strCache>
            </c:strRef>
          </c:cat>
          <c:val>
            <c:numRef>
              <c:f>Лист1!$B$2:$B$6</c:f>
              <c:numCache>
                <c:formatCode>General</c:formatCode>
                <c:ptCount val="5"/>
                <c:pt idx="0">
                  <c:v>3.9999999999999998E-6</c:v>
                </c:pt>
                <c:pt idx="1">
                  <c:v>1.1892E-2</c:v>
                </c:pt>
                <c:pt idx="2">
                  <c:v>65.29083</c:v>
                </c:pt>
                <c:pt idx="3">
                  <c:v>138.71593799999999</c:v>
                </c:pt>
                <c:pt idx="4">
                  <c:v>10.294782</c:v>
                </c:pt>
              </c:numCache>
            </c:numRef>
          </c:val>
        </c:ser>
        <c:dLbls>
          <c:showLegendKey val="0"/>
          <c:showVal val="0"/>
          <c:showCatName val="0"/>
          <c:showSerName val="0"/>
          <c:showPercent val="0"/>
          <c:showBubbleSize val="0"/>
        </c:dLbls>
        <c:gapWidth val="150"/>
        <c:shape val="box"/>
        <c:axId val="244902512"/>
        <c:axId val="244903072"/>
        <c:axId val="0"/>
      </c:bar3DChart>
      <c:catAx>
        <c:axId val="244902512"/>
        <c:scaling>
          <c:orientation val="minMax"/>
        </c:scaling>
        <c:delete val="0"/>
        <c:axPos val="b"/>
        <c:numFmt formatCode="General" sourceLinked="1"/>
        <c:majorTickMark val="out"/>
        <c:minorTickMark val="none"/>
        <c:tickLblPos val="nextTo"/>
        <c:crossAx val="244903072"/>
        <c:crosses val="autoZero"/>
        <c:auto val="1"/>
        <c:lblAlgn val="ctr"/>
        <c:lblOffset val="100"/>
        <c:noMultiLvlLbl val="0"/>
      </c:catAx>
      <c:valAx>
        <c:axId val="244903072"/>
        <c:scaling>
          <c:orientation val="minMax"/>
        </c:scaling>
        <c:delete val="0"/>
        <c:axPos val="l"/>
        <c:majorGridlines/>
        <c:numFmt formatCode="General" sourceLinked="1"/>
        <c:majorTickMark val="out"/>
        <c:minorTickMark val="none"/>
        <c:tickLblPos val="nextTo"/>
        <c:crossAx val="244902512"/>
        <c:crosses val="autoZero"/>
        <c:crossBetween val="between"/>
      </c:valAx>
      <c:spPr>
        <a:noFill/>
        <a:ln w="25399">
          <a:noFill/>
        </a:ln>
      </c:spPr>
    </c:plotArea>
    <c:plotVisOnly val="1"/>
    <c:dispBlanksAs val="gap"/>
    <c:showDLblsOverMax val="0"/>
  </c:chart>
  <c:externalData r:id="rId2">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spPr>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w="19050">
              <a:solidFill>
                <a:schemeClr val="accent1"/>
              </a:solidFill>
            </a:ln>
          </c:spPr>
          <c:invertIfNegative val="0"/>
          <c:dPt>
            <c:idx val="0"/>
            <c:invertIfNegative val="0"/>
            <c:bubble3D val="0"/>
            <c:spPr>
              <a:solidFill>
                <a:schemeClr val="bg1">
                  <a:lumMod val="65000"/>
                </a:schemeClr>
              </a:solidFill>
              <a:ln w="19050">
                <a:noFill/>
              </a:ln>
            </c:spPr>
          </c:dPt>
          <c:dPt>
            <c:idx val="1"/>
            <c:invertIfNegative val="0"/>
            <c:bubble3D val="0"/>
            <c:spPr>
              <a:solidFill>
                <a:schemeClr val="bg1">
                  <a:lumMod val="65000"/>
                </a:schemeClr>
              </a:solidFill>
              <a:ln w="19050">
                <a:noFill/>
              </a:ln>
            </c:spPr>
          </c:dPt>
          <c:dPt>
            <c:idx val="2"/>
            <c:invertIfNegative val="0"/>
            <c:bubble3D val="0"/>
            <c:spPr>
              <a:solidFill>
                <a:schemeClr val="bg1">
                  <a:lumMod val="65000"/>
                </a:schemeClr>
              </a:solidFill>
              <a:ln w="19050">
                <a:noFill/>
                <a:round/>
              </a:ln>
            </c:spPr>
          </c:dPt>
          <c:dLbls>
            <c:spPr>
              <a:noFill/>
              <a:ln>
                <a:noFill/>
              </a:ln>
            </c:spPr>
            <c:txPr>
              <a:bodyPr/>
              <a:lstStyle/>
              <a:p>
                <a:pPr>
                  <a:defRPr sz="1800" b="1"/>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'АГ источники графики'!$D$134:$D$136</c:f>
              <c:strCache>
                <c:ptCount val="3"/>
                <c:pt idx="0">
                  <c:v>Котельная</c:v>
                </c:pt>
                <c:pt idx="1">
                  <c:v>Сборка обуви</c:v>
                </c:pt>
                <c:pt idx="2">
                  <c:v>Мебельный цех</c:v>
                </c:pt>
              </c:strCache>
            </c:strRef>
          </c:cat>
          <c:val>
            <c:numRef>
              <c:f>'АГ источники графики'!$F$134:$F$136</c:f>
              <c:numCache>
                <c:formatCode>0.000000</c:formatCode>
                <c:ptCount val="3"/>
                <c:pt idx="0">
                  <c:v>9.4091910000000034</c:v>
                </c:pt>
                <c:pt idx="1">
                  <c:v>3.9472579999999997</c:v>
                </c:pt>
                <c:pt idx="2">
                  <c:v>0.62047099999999999</c:v>
                </c:pt>
              </c:numCache>
            </c:numRef>
          </c:val>
        </c:ser>
        <c:dLbls>
          <c:showLegendKey val="0"/>
          <c:showVal val="0"/>
          <c:showCatName val="0"/>
          <c:showSerName val="0"/>
          <c:showPercent val="0"/>
          <c:showBubbleSize val="0"/>
        </c:dLbls>
        <c:gapWidth val="150"/>
        <c:axId val="244905312"/>
        <c:axId val="244905872"/>
      </c:barChart>
      <c:catAx>
        <c:axId val="244905312"/>
        <c:scaling>
          <c:orientation val="minMax"/>
        </c:scaling>
        <c:delete val="0"/>
        <c:axPos val="b"/>
        <c:numFmt formatCode="General" sourceLinked="0"/>
        <c:majorTickMark val="out"/>
        <c:minorTickMark val="none"/>
        <c:tickLblPos val="nextTo"/>
        <c:crossAx val="244905872"/>
        <c:crosses val="autoZero"/>
        <c:auto val="1"/>
        <c:lblAlgn val="ctr"/>
        <c:lblOffset val="100"/>
        <c:noMultiLvlLbl val="0"/>
      </c:catAx>
      <c:valAx>
        <c:axId val="244905872"/>
        <c:scaling>
          <c:orientation val="minMax"/>
        </c:scaling>
        <c:delete val="0"/>
        <c:axPos val="l"/>
        <c:majorGridlines/>
        <c:numFmt formatCode="0.00" sourceLinked="0"/>
        <c:majorTickMark val="out"/>
        <c:minorTickMark val="none"/>
        <c:tickLblPos val="nextTo"/>
        <c:crossAx val="244905312"/>
        <c:crosses val="autoZero"/>
        <c:crossBetween val="between"/>
      </c:valAx>
    </c:plotArea>
    <c:plotVisOnly val="1"/>
    <c:dispBlanksAs val="gap"/>
    <c:showDLblsOverMax val="0"/>
  </c:chart>
  <c:spPr>
    <a:ln>
      <a:noFill/>
    </a:ln>
  </c:spPr>
  <c:externalData r:id="rId2">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spPr>
            <a:solidFill>
              <a:schemeClr val="bg1">
                <a:lumMod val="75000"/>
              </a:schemeClr>
            </a:solidFill>
            <a:ln w="19050">
              <a:noFill/>
            </a:ln>
          </c:spPr>
          <c:invertIfNegative val="0"/>
          <c:dLbls>
            <c:spPr>
              <a:noFill/>
              <a:ln>
                <a:noFill/>
              </a:ln>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'Классы опасности'!$G$104:$G$108</c:f>
              <c:strCache>
                <c:ptCount val="5"/>
                <c:pt idx="0">
                  <c:v>1 класс</c:v>
                </c:pt>
                <c:pt idx="1">
                  <c:v>2 класс</c:v>
                </c:pt>
                <c:pt idx="2">
                  <c:v>3 класс</c:v>
                </c:pt>
                <c:pt idx="3">
                  <c:v>4 класс</c:v>
                </c:pt>
                <c:pt idx="4">
                  <c:v>ОБУВ</c:v>
                </c:pt>
              </c:strCache>
            </c:strRef>
          </c:cat>
          <c:val>
            <c:numRef>
              <c:f>'Классы опасности'!$H$104:$H$108</c:f>
              <c:numCache>
                <c:formatCode>0.000000</c:formatCode>
                <c:ptCount val="5"/>
                <c:pt idx="0">
                  <c:v>0.27112000000000008</c:v>
                </c:pt>
                <c:pt idx="1">
                  <c:v>0.15097000000000024</c:v>
                </c:pt>
                <c:pt idx="2">
                  <c:v>4.3380650000000003</c:v>
                </c:pt>
                <c:pt idx="3">
                  <c:v>8.8879440000000027</c:v>
                </c:pt>
                <c:pt idx="4">
                  <c:v>0.32854000000000128</c:v>
                </c:pt>
              </c:numCache>
            </c:numRef>
          </c:val>
        </c:ser>
        <c:dLbls>
          <c:showLegendKey val="0"/>
          <c:showVal val="0"/>
          <c:showCatName val="0"/>
          <c:showSerName val="0"/>
          <c:showPercent val="0"/>
          <c:showBubbleSize val="0"/>
        </c:dLbls>
        <c:gapWidth val="150"/>
        <c:shape val="box"/>
        <c:axId val="244908112"/>
        <c:axId val="244908672"/>
        <c:axId val="0"/>
      </c:bar3DChart>
      <c:catAx>
        <c:axId val="244908112"/>
        <c:scaling>
          <c:orientation val="minMax"/>
        </c:scaling>
        <c:delete val="0"/>
        <c:axPos val="b"/>
        <c:numFmt formatCode="General" sourceLinked="0"/>
        <c:majorTickMark val="out"/>
        <c:minorTickMark val="none"/>
        <c:tickLblPos val="nextTo"/>
        <c:crossAx val="244908672"/>
        <c:crosses val="autoZero"/>
        <c:auto val="1"/>
        <c:lblAlgn val="ctr"/>
        <c:lblOffset val="100"/>
        <c:noMultiLvlLbl val="0"/>
      </c:catAx>
      <c:valAx>
        <c:axId val="244908672"/>
        <c:scaling>
          <c:orientation val="minMax"/>
        </c:scaling>
        <c:delete val="0"/>
        <c:axPos val="l"/>
        <c:majorGridlines/>
        <c:numFmt formatCode="0.00" sourceLinked="0"/>
        <c:majorTickMark val="out"/>
        <c:minorTickMark val="none"/>
        <c:tickLblPos val="nextTo"/>
        <c:crossAx val="244908112"/>
        <c:crosses val="autoZero"/>
        <c:crossBetween val="between"/>
      </c:valAx>
    </c:plotArea>
    <c:plotVisOnly val="1"/>
    <c:dispBlanksAs val="gap"/>
    <c:showDLblsOverMax val="0"/>
  </c:chart>
  <c:spPr>
    <a:solidFill>
      <a:schemeClr val="bg1"/>
    </a:solidFill>
    <a:ln>
      <a:noFill/>
    </a:ln>
  </c:spPr>
  <c:txPr>
    <a:bodyPr/>
    <a:lstStyle/>
    <a:p>
      <a:pPr>
        <a:defRPr>
          <a:solidFill>
            <a:schemeClr val="tx1"/>
          </a:solidFill>
        </a:defRPr>
      </a:pPr>
      <a:endParaRPr lang="ru-RU"/>
    </a:p>
  </c:txPr>
  <c:externalData r:id="rId2">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c:date1904 val="0"/>
  <c:lang val="ru-RU"/>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0"/>
      <c:rotY val="0"/>
      <c:rAngAx val="1"/>
    </c:view3D>
    <c:floor>
      <c:thickness val="0"/>
    </c:floor>
    <c:sideWall>
      <c:thickness val="0"/>
    </c:sideWall>
    <c:backWall>
      <c:thickness val="0"/>
    </c:backWall>
    <c:plotArea>
      <c:layout/>
      <c:bar3DChart>
        <c:barDir val="col"/>
        <c:grouping val="stacked"/>
        <c:varyColors val="1"/>
        <c:ser>
          <c:idx val="0"/>
          <c:order val="0"/>
          <c:invertIfNegative val="1"/>
          <c:dLbls>
            <c:dLbl>
              <c:idx val="0"/>
              <c:layout>
                <c:manualLayout>
                  <c:x val="1.3888888888888923E-2"/>
                  <c:y val="-6.9444444444444559E-2"/>
                </c:manualLayout>
              </c:layout>
              <c:showLegendKey val="1"/>
              <c:showVal val="1"/>
              <c:showCatName val="1"/>
              <c:showSerName val="1"/>
              <c:showPercent val="1"/>
              <c:showBubbleSize val="1"/>
              <c:extLst>
                <c:ext xmlns:c15="http://schemas.microsoft.com/office/drawing/2012/chart" uri="{CE6537A1-D6FC-4f65-9D91-7224C49458BB}">
                  <c15:layout/>
                </c:ext>
              </c:extLst>
            </c:dLbl>
            <c:dLbl>
              <c:idx val="1"/>
              <c:layout>
                <c:manualLayout>
                  <c:x val="1.1111111111111129E-2"/>
                  <c:y val="-6.9444444444444572E-2"/>
                </c:manualLayout>
              </c:layout>
              <c:showLegendKey val="1"/>
              <c:showVal val="1"/>
              <c:showCatName val="1"/>
              <c:showSerName val="1"/>
              <c:showPercent val="1"/>
              <c:showBubbleSize val="1"/>
              <c:extLst>
                <c:ext xmlns:c15="http://schemas.microsoft.com/office/drawing/2012/chart" uri="{CE6537A1-D6FC-4f65-9D91-7224C49458BB}">
                  <c15:layout/>
                </c:ext>
              </c:extLst>
            </c:dLbl>
            <c:dLbl>
              <c:idx val="2"/>
              <c:layout>
                <c:manualLayout>
                  <c:x val="5.5555555555555558E-3"/>
                  <c:y val="-6.9444444444444559E-2"/>
                </c:manualLayout>
              </c:layout>
              <c:showLegendKey val="1"/>
              <c:showVal val="1"/>
              <c:showCatName val="1"/>
              <c:showSerName val="1"/>
              <c:showPercent val="1"/>
              <c:showBubbleSize val="1"/>
              <c:extLst>
                <c:ext xmlns:c15="http://schemas.microsoft.com/office/drawing/2012/chart" uri="{CE6537A1-D6FC-4f65-9D91-7224C49458BB}">
                  <c15:layout/>
                </c:ext>
              </c:extLst>
            </c:dLbl>
            <c:dLbl>
              <c:idx val="3"/>
              <c:layout>
                <c:manualLayout>
                  <c:x val="1.3888888888888923E-2"/>
                  <c:y val="-0.3611111111111111"/>
                </c:manualLayout>
              </c:layout>
              <c:showLegendKey val="1"/>
              <c:showVal val="1"/>
              <c:showCatName val="1"/>
              <c:showSerName val="1"/>
              <c:showPercent val="1"/>
              <c:showBubbleSize val="1"/>
              <c:extLst>
                <c:ext xmlns:c15="http://schemas.microsoft.com/office/drawing/2012/chart" uri="{CE6537A1-D6FC-4f65-9D91-7224C49458BB}">
                  <c15:layout/>
                </c:ext>
              </c:extLst>
            </c:dLbl>
            <c:dLbl>
              <c:idx val="4"/>
              <c:layout>
                <c:manualLayout>
                  <c:x val="1.1111111111111028E-2"/>
                  <c:y val="-0.41666666666666724"/>
                </c:manualLayout>
              </c:layout>
              <c:showLegendKey val="1"/>
              <c:showVal val="1"/>
              <c:showCatName val="1"/>
              <c:showSerName val="1"/>
              <c:showPercent val="1"/>
              <c:showBubbleSize val="1"/>
              <c:extLst>
                <c:ext xmlns:c15="http://schemas.microsoft.com/office/drawing/2012/chart" uri="{CE6537A1-D6FC-4f65-9D91-7224C49458BB}">
                  <c15:layout/>
                </c:ext>
              </c:extLst>
            </c:dLbl>
            <c:spPr>
              <a:noFill/>
              <a:ln>
                <a:noFill/>
              </a:ln>
            </c:sp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cat>
            <c:strRef>
              <c:f>Плата!$B$3:$B$7</c:f>
              <c:strCache>
                <c:ptCount val="5"/>
                <c:pt idx="0">
                  <c:v>1 класс</c:v>
                </c:pt>
                <c:pt idx="1">
                  <c:v>2 класс</c:v>
                </c:pt>
                <c:pt idx="2">
                  <c:v>3 класс</c:v>
                </c:pt>
                <c:pt idx="3">
                  <c:v>4 класс</c:v>
                </c:pt>
                <c:pt idx="4">
                  <c:v>5 класс</c:v>
                </c:pt>
              </c:strCache>
            </c:strRef>
          </c:cat>
          <c:val>
            <c:numRef>
              <c:f>Плата!$G$3:$G$7</c:f>
              <c:numCache>
                <c:formatCode>0.00</c:formatCode>
                <c:ptCount val="5"/>
                <c:pt idx="0">
                  <c:v>1.0073558566948363E-2</c:v>
                </c:pt>
                <c:pt idx="1">
                  <c:v>7.6462492471255673E-3</c:v>
                </c:pt>
                <c:pt idx="2">
                  <c:v>0.27961284011547421</c:v>
                </c:pt>
                <c:pt idx="3">
                  <c:v>45.447656333900248</c:v>
                </c:pt>
                <c:pt idx="4">
                  <c:v>54.255011018170237</c:v>
                </c:pt>
              </c:numCache>
            </c:numRef>
          </c:val>
        </c:ser>
        <c:dLbls>
          <c:showLegendKey val="0"/>
          <c:showVal val="0"/>
          <c:showCatName val="0"/>
          <c:showSerName val="0"/>
          <c:showPercent val="0"/>
          <c:showBubbleSize val="0"/>
        </c:dLbls>
        <c:gapWidth val="150"/>
        <c:shape val="cylinder"/>
        <c:axId val="344920624"/>
        <c:axId val="344921184"/>
        <c:axId val="0"/>
      </c:bar3DChart>
      <c:catAx>
        <c:axId val="344920624"/>
        <c:scaling>
          <c:orientation val="minMax"/>
        </c:scaling>
        <c:delete val="1"/>
        <c:axPos val="b"/>
        <c:numFmt formatCode="General" sourceLinked="0"/>
        <c:majorTickMark val="cross"/>
        <c:minorTickMark val="cross"/>
        <c:tickLblPos val="nextTo"/>
        <c:crossAx val="344921184"/>
        <c:crosses val="autoZero"/>
        <c:auto val="1"/>
        <c:lblAlgn val="ctr"/>
        <c:lblOffset val="100"/>
        <c:noMultiLvlLbl val="1"/>
      </c:catAx>
      <c:valAx>
        <c:axId val="344921184"/>
        <c:scaling>
          <c:orientation val="minMax"/>
        </c:scaling>
        <c:delete val="1"/>
        <c:axPos val="l"/>
        <c:majorGridlines/>
        <c:numFmt formatCode="0.00" sourceLinked="1"/>
        <c:majorTickMark val="cross"/>
        <c:minorTickMark val="cross"/>
        <c:tickLblPos val="nextTo"/>
        <c:crossAx val="344920624"/>
        <c:crosses val="autoZero"/>
        <c:crossBetween val="between"/>
      </c:valAx>
    </c:plotArea>
    <c:plotVisOnly val="1"/>
    <c:dispBlanksAs val="zero"/>
    <c:showDLblsOverMax val="1"/>
  </c:chart>
  <c:externalData r:id="rId1">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c:date1904 val="0"/>
  <c:lang val="ru-RU"/>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1"/>
        <c:ser>
          <c:idx val="0"/>
          <c:order val="0"/>
          <c:marker>
            <c:symbol val="none"/>
          </c:marker>
          <c:dLbls>
            <c:spPr>
              <a:noFill/>
              <a:ln>
                <a:noFill/>
              </a:ln>
            </c:spPr>
            <c:dLblPos val="b"/>
            <c:showLegendKey val="1"/>
            <c:showVal val="1"/>
            <c:showCatName val="1"/>
            <c:showSerName val="1"/>
            <c:showPercent val="1"/>
            <c:showBubbleSize val="1"/>
            <c:showLeaderLines val="0"/>
            <c:extLst>
              <c:ext xmlns:c15="http://schemas.microsoft.com/office/drawing/2012/chart" uri="{CE6537A1-D6FC-4f65-9D91-7224C49458BB}">
                <c15:layout/>
                <c15:showLeaderLines val="0"/>
              </c:ext>
            </c:extLst>
          </c:dLbls>
          <c:cat>
            <c:strRef>
              <c:f>Лист1!$A$2:$A$6</c:f>
              <c:strCache>
                <c:ptCount val="5"/>
                <c:pt idx="0">
                  <c:v>2013 год</c:v>
                </c:pt>
                <c:pt idx="1">
                  <c:v>2014 год</c:v>
                </c:pt>
                <c:pt idx="2">
                  <c:v>2015 год</c:v>
                </c:pt>
                <c:pt idx="3">
                  <c:v>2016 год</c:v>
                </c:pt>
                <c:pt idx="4">
                  <c:v>2017 год</c:v>
                </c:pt>
              </c:strCache>
            </c:strRef>
          </c:cat>
          <c:val>
            <c:numRef>
              <c:f>Лист1!$B$2:$B$6</c:f>
              <c:numCache>
                <c:formatCode>General</c:formatCode>
                <c:ptCount val="5"/>
                <c:pt idx="0">
                  <c:v>913</c:v>
                </c:pt>
                <c:pt idx="1">
                  <c:v>1112</c:v>
                </c:pt>
                <c:pt idx="2">
                  <c:v>1233</c:v>
                </c:pt>
                <c:pt idx="3">
                  <c:v>1324</c:v>
                </c:pt>
                <c:pt idx="4">
                  <c:v>1473</c:v>
                </c:pt>
              </c:numCache>
            </c:numRef>
          </c:val>
          <c:smooth val="1"/>
        </c:ser>
        <c:dLbls>
          <c:showLegendKey val="1"/>
          <c:showVal val="1"/>
          <c:showCatName val="1"/>
          <c:showSerName val="1"/>
          <c:showPercent val="1"/>
          <c:showBubbleSize val="1"/>
        </c:dLbls>
        <c:smooth val="0"/>
        <c:axId val="344923424"/>
        <c:axId val="344923984"/>
      </c:lineChart>
      <c:catAx>
        <c:axId val="344923424"/>
        <c:scaling>
          <c:orientation val="minMax"/>
        </c:scaling>
        <c:delete val="1"/>
        <c:axPos val="b"/>
        <c:numFmt formatCode="General" sourceLinked="0"/>
        <c:majorTickMark val="cross"/>
        <c:minorTickMark val="cross"/>
        <c:tickLblPos val="nextTo"/>
        <c:crossAx val="344923984"/>
        <c:crosses val="autoZero"/>
        <c:auto val="1"/>
        <c:lblAlgn val="ctr"/>
        <c:lblOffset val="100"/>
        <c:noMultiLvlLbl val="1"/>
      </c:catAx>
      <c:valAx>
        <c:axId val="344923984"/>
        <c:scaling>
          <c:orientation val="minMax"/>
          <c:min val="600"/>
        </c:scaling>
        <c:delete val="1"/>
        <c:axPos val="l"/>
        <c:majorGridlines/>
        <c:title>
          <c:tx>
            <c:rich>
              <a:bodyPr rot="0" vert="horz"/>
              <a:lstStyle/>
              <a:p>
                <a:pPr>
                  <a:defRPr/>
                </a:pPr>
                <a:r>
                  <a:rPr lang="ru-RU"/>
                  <a:t>чел/год</a:t>
                </a:r>
              </a:p>
            </c:rich>
          </c:tx>
          <c:layout/>
          <c:overlay val="1"/>
        </c:title>
        <c:numFmt formatCode="General" sourceLinked="1"/>
        <c:majorTickMark val="cross"/>
        <c:minorTickMark val="cross"/>
        <c:tickLblPos val="nextTo"/>
        <c:crossAx val="344923424"/>
        <c:crosses val="autoZero"/>
        <c:crossBetween val="between"/>
      </c:valAx>
    </c:plotArea>
    <c:plotVisOnly val="1"/>
    <c:dispBlanksAs val="zero"/>
    <c:showDLblsOverMax val="1"/>
  </c:chart>
  <c:externalData r:id="rId1">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0"/>
    <c:view3D>
      <c:rotX val="15"/>
      <c:hPercent val="100"/>
      <c:rotY val="20"/>
      <c:depthPercent val="100"/>
      <c:rAngAx val="1"/>
    </c:view3D>
    <c:floor>
      <c:thickness val="0"/>
      <c:spPr>
        <a:noFill/>
        <a:ln w="6350">
          <a:noFill/>
        </a:ln>
      </c:spPr>
    </c:floor>
    <c:sideWall>
      <c:thickness val="0"/>
      <c:spPr>
        <a:noFill/>
        <a:ln w="25400">
          <a:noFill/>
        </a:ln>
      </c:spPr>
    </c:sideWall>
    <c:backWall>
      <c:thickness val="0"/>
      <c:spPr>
        <a:noFill/>
        <a:ln w="25400">
          <a:noFill/>
        </a:ln>
      </c:spPr>
    </c:backWall>
    <c:plotArea>
      <c:layout>
        <c:manualLayout>
          <c:layoutTarget val="inner"/>
          <c:xMode val="edge"/>
          <c:yMode val="edge"/>
          <c:x val="7.5949367088607597E-2"/>
          <c:y val="5.9382422802850401E-2"/>
          <c:w val="0.70162748643761319"/>
          <c:h val="0.80997624703087912"/>
        </c:manualLayout>
      </c:layout>
      <c:bar3DChart>
        <c:barDir val="col"/>
        <c:grouping val="clustered"/>
        <c:varyColors val="0"/>
        <c:ser>
          <c:idx val="0"/>
          <c:order val="0"/>
          <c:tx>
            <c:strRef>
              <c:f>Sheet1!$A$2</c:f>
              <c:strCache>
                <c:ptCount val="1"/>
                <c:pt idx="0">
                  <c:v>Россия</c:v>
                </c:pt>
              </c:strCache>
            </c:strRef>
          </c:tx>
          <c:spPr>
            <a:gradFill>
              <a:gsLst>
                <a:gs pos="0">
                  <a:schemeClr val="dk1">
                    <a:tint val="88500"/>
                    <a:satMod val="103000"/>
                    <a:lumMod val="102000"/>
                    <a:tint val="94000"/>
                  </a:schemeClr>
                </a:gs>
                <a:gs pos="50000">
                  <a:schemeClr val="dk1">
                    <a:tint val="88500"/>
                    <a:satMod val="110000"/>
                    <a:lumMod val="100000"/>
                    <a:shade val="100000"/>
                  </a:schemeClr>
                </a:gs>
                <a:gs pos="100000">
                  <a:schemeClr val="dk1">
                    <a:tint val="88500"/>
                    <a:lumMod val="99000"/>
                    <a:satMod val="120000"/>
                    <a:shade val="78000"/>
                  </a:schemeClr>
                </a:gs>
              </a:gsLst>
              <a:lin ang="5400000" scaled="0"/>
            </a:gradFill>
            <a:ln>
              <a:noFill/>
            </a:ln>
          </c:spPr>
          <c:invertIfNegative val="0"/>
          <c:dLbls>
            <c:spPr>
              <a:noFill/>
              <a:ln w="25173">
                <a:noFill/>
              </a:ln>
            </c:spPr>
            <c:txPr>
              <a:bodyPr rot="0" spcFirstLastPara="1" vertOverflow="ellipsis" vert="horz" wrap="square" lIns="38100" tIns="19050" rIns="38100" bIns="19050" anchor="ctr" anchorCtr="1">
                <a:spAutoFit/>
              </a:bodyPr>
              <a:lstStyle/>
              <a:p>
                <a:pPr>
                  <a:defRPr sz="900" b="1" i="0" u="none" strike="noStrike">
                    <a:solidFill>
                      <a:schemeClr val="tx1"/>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Sheet1!$B$1:$D$1</c:f>
              <c:numCache>
                <c:formatCode>General</c:formatCode>
                <c:ptCount val="3"/>
                <c:pt idx="0">
                  <c:v>2015</c:v>
                </c:pt>
                <c:pt idx="1">
                  <c:v>2016</c:v>
                </c:pt>
                <c:pt idx="2">
                  <c:v>2017</c:v>
                </c:pt>
              </c:numCache>
            </c:numRef>
          </c:cat>
          <c:val>
            <c:numRef>
              <c:f>Sheet1!$B$2:$D$2</c:f>
              <c:numCache>
                <c:formatCode>General</c:formatCode>
                <c:ptCount val="3"/>
                <c:pt idx="0">
                  <c:v>15</c:v>
                </c:pt>
                <c:pt idx="1">
                  <c:v>32</c:v>
                </c:pt>
                <c:pt idx="2">
                  <c:v>45</c:v>
                </c:pt>
              </c:numCache>
            </c:numRef>
          </c:val>
        </c:ser>
        <c:ser>
          <c:idx val="1"/>
          <c:order val="1"/>
          <c:tx>
            <c:strRef>
              <c:f>Sheet1!$A$3</c:f>
              <c:strCache>
                <c:ptCount val="1"/>
                <c:pt idx="0">
                  <c:v>Украина</c:v>
                </c:pt>
              </c:strCache>
            </c:strRef>
          </c:tx>
          <c:spPr>
            <a:gradFill>
              <a:gsLst>
                <a:gs pos="0">
                  <a:schemeClr val="dk1">
                    <a:tint val="55000"/>
                    <a:satMod val="103000"/>
                    <a:lumMod val="102000"/>
                    <a:tint val="94000"/>
                  </a:schemeClr>
                </a:gs>
                <a:gs pos="50000">
                  <a:schemeClr val="dk1">
                    <a:tint val="55000"/>
                    <a:satMod val="110000"/>
                    <a:lumMod val="100000"/>
                    <a:shade val="100000"/>
                  </a:schemeClr>
                </a:gs>
                <a:gs pos="100000">
                  <a:schemeClr val="dk1">
                    <a:tint val="55000"/>
                    <a:lumMod val="99000"/>
                    <a:satMod val="120000"/>
                    <a:shade val="78000"/>
                  </a:schemeClr>
                </a:gs>
              </a:gsLst>
              <a:lin ang="5400000" scaled="0"/>
            </a:gradFill>
            <a:ln>
              <a:noFill/>
            </a:ln>
          </c:spPr>
          <c:invertIfNegative val="0"/>
          <c:dLbls>
            <c:spPr>
              <a:noFill/>
              <a:ln w="25173">
                <a:noFill/>
              </a:ln>
            </c:spPr>
            <c:txPr>
              <a:bodyPr rot="0" spcFirstLastPara="1" vertOverflow="ellipsis" vert="horz" wrap="square" lIns="38100" tIns="19050" rIns="38100" bIns="19050" anchor="ctr" anchorCtr="1">
                <a:spAutoFit/>
              </a:bodyPr>
              <a:lstStyle/>
              <a:p>
                <a:pPr>
                  <a:defRPr sz="900" b="0" i="0" u="none" strike="noStrike">
                    <a:solidFill>
                      <a:schemeClr val="tx1"/>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Sheet1!$B$1:$D$1</c:f>
              <c:numCache>
                <c:formatCode>General</c:formatCode>
                <c:ptCount val="3"/>
                <c:pt idx="0">
                  <c:v>2015</c:v>
                </c:pt>
                <c:pt idx="1">
                  <c:v>2016</c:v>
                </c:pt>
                <c:pt idx="2">
                  <c:v>2017</c:v>
                </c:pt>
              </c:numCache>
            </c:numRef>
          </c:cat>
          <c:val>
            <c:numRef>
              <c:f>Sheet1!$B$3:$D$3</c:f>
              <c:numCache>
                <c:formatCode>General</c:formatCode>
                <c:ptCount val="3"/>
                <c:pt idx="0">
                  <c:v>0</c:v>
                </c:pt>
                <c:pt idx="1">
                  <c:v>2</c:v>
                </c:pt>
                <c:pt idx="2">
                  <c:v>3</c:v>
                </c:pt>
              </c:numCache>
            </c:numRef>
          </c:val>
        </c:ser>
        <c:ser>
          <c:idx val="2"/>
          <c:order val="2"/>
          <c:tx>
            <c:strRef>
              <c:f>Sheet1!$A$4</c:f>
              <c:strCache>
                <c:ptCount val="1"/>
                <c:pt idx="0">
                  <c:v>Италия</c:v>
                </c:pt>
              </c:strCache>
            </c:strRef>
          </c:tx>
          <c:spPr>
            <a:gradFill>
              <a:gsLst>
                <a:gs pos="0">
                  <a:schemeClr val="dk1">
                    <a:tint val="75000"/>
                    <a:satMod val="103000"/>
                    <a:lumMod val="102000"/>
                    <a:tint val="94000"/>
                  </a:schemeClr>
                </a:gs>
                <a:gs pos="50000">
                  <a:schemeClr val="dk1">
                    <a:tint val="75000"/>
                    <a:satMod val="110000"/>
                    <a:lumMod val="100000"/>
                    <a:shade val="100000"/>
                  </a:schemeClr>
                </a:gs>
                <a:gs pos="100000">
                  <a:schemeClr val="dk1">
                    <a:tint val="75000"/>
                    <a:lumMod val="99000"/>
                    <a:satMod val="120000"/>
                    <a:shade val="78000"/>
                  </a:schemeClr>
                </a:gs>
              </a:gsLst>
              <a:lin ang="5400000" scaled="0"/>
            </a:gradFill>
            <a:ln>
              <a:noFill/>
            </a:ln>
          </c:spPr>
          <c:invertIfNegative val="0"/>
          <c:dLbls>
            <c:spPr>
              <a:noFill/>
              <a:ln w="25173">
                <a:noFill/>
              </a:ln>
            </c:spPr>
            <c:txPr>
              <a:bodyPr rot="0" spcFirstLastPara="1" vertOverflow="ellipsis" vert="horz" wrap="square" lIns="38100" tIns="19050" rIns="38100" bIns="19050" anchor="ctr" anchorCtr="1">
                <a:spAutoFit/>
              </a:bodyPr>
              <a:lstStyle/>
              <a:p>
                <a:pPr>
                  <a:defRPr sz="900" b="0" i="0" u="none" strike="noStrike">
                    <a:solidFill>
                      <a:schemeClr val="tx1"/>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Sheet1!$B$1:$D$1</c:f>
              <c:numCache>
                <c:formatCode>General</c:formatCode>
                <c:ptCount val="3"/>
                <c:pt idx="0">
                  <c:v>2015</c:v>
                </c:pt>
                <c:pt idx="1">
                  <c:v>2016</c:v>
                </c:pt>
                <c:pt idx="2">
                  <c:v>2017</c:v>
                </c:pt>
              </c:numCache>
            </c:numRef>
          </c:cat>
          <c:val>
            <c:numRef>
              <c:f>Sheet1!$B$4:$D$4</c:f>
              <c:numCache>
                <c:formatCode>General</c:formatCode>
                <c:ptCount val="3"/>
                <c:pt idx="0">
                  <c:v>7</c:v>
                </c:pt>
                <c:pt idx="1">
                  <c:v>1</c:v>
                </c:pt>
                <c:pt idx="2">
                  <c:v>6</c:v>
                </c:pt>
              </c:numCache>
            </c:numRef>
          </c:val>
        </c:ser>
        <c:dLbls>
          <c:showLegendKey val="0"/>
          <c:showVal val="1"/>
          <c:showCatName val="0"/>
          <c:showSerName val="0"/>
          <c:showPercent val="0"/>
          <c:showBubbleSize val="0"/>
        </c:dLbls>
        <c:gapWidth val="150"/>
        <c:shape val="box"/>
        <c:axId val="344927904"/>
        <c:axId val="344928464"/>
        <c:axId val="0"/>
      </c:bar3DChart>
      <c:catAx>
        <c:axId val="344927904"/>
        <c:scaling>
          <c:orientation val="minMax"/>
        </c:scaling>
        <c:delete val="0"/>
        <c:axPos val="b"/>
        <c:numFmt formatCode="General" sourceLinked="1"/>
        <c:majorTickMark val="none"/>
        <c:minorTickMark val="none"/>
        <c:tickLblPos val="low"/>
        <c:spPr>
          <a:noFill/>
          <a:ln w="9440" cap="flat" cmpd="sng" algn="ctr">
            <a:solidFill>
              <a:schemeClr val="tx2">
                <a:lumMod val="15000"/>
                <a:lumOff val="85000"/>
              </a:schemeClr>
            </a:solidFill>
            <a:round/>
          </a:ln>
        </c:spPr>
        <c:txPr>
          <a:bodyPr rot="0" spcFirstLastPara="1" vertOverflow="ellipsis" wrap="square" anchor="ctr" anchorCtr="1"/>
          <a:lstStyle/>
          <a:p>
            <a:pPr>
              <a:defRPr sz="1200" b="1" i="0" u="none" strike="noStrike">
                <a:solidFill>
                  <a:schemeClr val="tx1"/>
                </a:solidFill>
                <a:latin typeface="Times New Roman"/>
                <a:ea typeface="+mn-ea"/>
                <a:cs typeface="Times New Roman"/>
              </a:defRPr>
            </a:pPr>
            <a:endParaRPr lang="ru-RU"/>
          </a:p>
        </c:txPr>
        <c:crossAx val="344928464"/>
        <c:crosses val="autoZero"/>
        <c:auto val="1"/>
        <c:lblAlgn val="ctr"/>
        <c:lblOffset val="100"/>
        <c:tickLblSkip val="1"/>
        <c:tickMarkSkip val="1"/>
        <c:noMultiLvlLbl val="0"/>
      </c:catAx>
      <c:valAx>
        <c:axId val="344928464"/>
        <c:scaling>
          <c:orientation val="minMax"/>
        </c:scaling>
        <c:delete val="0"/>
        <c:axPos val="l"/>
        <c:majorGridlines>
          <c:spPr>
            <a:ln w="9440" cap="flat" cmpd="sng" algn="ctr">
              <a:solidFill>
                <a:schemeClr val="tx2">
                  <a:lumMod val="15000"/>
                  <a:lumOff val="85000"/>
                </a:schemeClr>
              </a:solidFill>
              <a:round/>
            </a:ln>
          </c:spPr>
        </c:majorGridlines>
        <c:numFmt formatCode="General" sourceLinked="1"/>
        <c:majorTickMark val="none"/>
        <c:minorTickMark val="none"/>
        <c:tickLblPos val="nextTo"/>
        <c:spPr>
          <a:ln w="6293">
            <a:noFill/>
          </a:ln>
        </c:spPr>
        <c:txPr>
          <a:bodyPr rot="0" spcFirstLastPara="1" vertOverflow="ellipsis" wrap="square" anchor="ctr" anchorCtr="1"/>
          <a:lstStyle/>
          <a:p>
            <a:pPr>
              <a:defRPr sz="900" b="0" i="0" u="none" strike="noStrike">
                <a:solidFill>
                  <a:schemeClr val="tx1"/>
                </a:solidFill>
                <a:latin typeface="+mn-lt"/>
                <a:ea typeface="+mn-ea"/>
                <a:cs typeface="+mn-cs"/>
              </a:defRPr>
            </a:pPr>
            <a:endParaRPr lang="ru-RU"/>
          </a:p>
        </c:txPr>
        <c:crossAx val="344927904"/>
        <c:crosses val="autoZero"/>
        <c:crossBetween val="between"/>
      </c:valAx>
      <c:spPr>
        <a:noFill/>
        <a:ln w="25173">
          <a:noFill/>
        </a:ln>
      </c:spPr>
    </c:plotArea>
    <c:legend>
      <c:legendPos val="b"/>
      <c:layout>
        <c:manualLayout>
          <c:xMode val="edge"/>
          <c:yMode val="edge"/>
          <c:x val="0.72378639842794523"/>
          <c:y val="0.16136824360369587"/>
          <c:w val="0.27586566077146113"/>
          <c:h val="0.57162580287220199"/>
        </c:manualLayout>
      </c:layout>
      <c:overlay val="0"/>
      <c:spPr>
        <a:noFill/>
        <a:ln w="25173">
          <a:noFill/>
        </a:ln>
      </c:spPr>
      <c:txPr>
        <a:bodyPr rot="0" spcFirstLastPara="1" vertOverflow="ellipsis" vert="horz" wrap="square" anchor="ctr" anchorCtr="1"/>
        <a:lstStyle/>
        <a:p>
          <a:pPr>
            <a:defRPr sz="1200" b="1" i="0" u="none" strike="noStrike">
              <a:solidFill>
                <a:schemeClr val="tx1"/>
              </a:solidFill>
              <a:latin typeface="Times New Roman"/>
              <a:ea typeface="+mn-ea"/>
              <a:cs typeface="Times New Roman"/>
            </a:defRPr>
          </a:pPr>
          <a:endParaRPr lang="ru-RU"/>
        </a:p>
      </c:txPr>
    </c:legend>
    <c:plotVisOnly val="1"/>
    <c:dispBlanksAs val="gap"/>
    <c:showDLblsOverMax val="0"/>
  </c:chart>
  <c:spPr>
    <a:solidFill>
      <a:schemeClr val="bg1"/>
    </a:solidFill>
    <a:ln w="9440" cap="flat" cmpd="sng" algn="ctr">
      <a:solidFill>
        <a:schemeClr val="tx2">
          <a:lumMod val="15000"/>
          <a:lumOff val="85000"/>
        </a:schemeClr>
      </a:solidFill>
      <a:round/>
    </a:ln>
  </c:spPr>
  <c:txPr>
    <a:bodyPr/>
    <a:lstStyle/>
    <a:p>
      <a:pPr>
        <a:defRPr/>
      </a:pPr>
      <a:endParaRPr lang="ru-RU"/>
    </a:p>
  </c:txPr>
  <c:externalData r:id="rId2">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F5EC-4EF3-AD0F-DB9336517CEF}"/>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F5EC-4EF3-AD0F-DB9336517CEF}"/>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F5EC-4EF3-AD0F-DB9336517CEF}"/>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F5EC-4EF3-AD0F-DB9336517CEF}"/>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F5EC-4EF3-AD0F-DB9336517CEF}"/>
              </c:ext>
            </c:extLst>
          </c:dPt>
          <c:dPt>
            <c:idx val="5"/>
            <c:bubble3D val="0"/>
            <c:spPr>
              <a:solidFill>
                <a:schemeClr val="accent6"/>
              </a:solidFill>
              <a:ln w="19050">
                <a:solidFill>
                  <a:schemeClr val="lt1"/>
                </a:solidFill>
              </a:ln>
              <a:effectLst/>
            </c:spPr>
            <c:extLst xmlns:c16r2="http://schemas.microsoft.com/office/drawing/2015/06/chart">
              <c:ext xmlns:c16="http://schemas.microsoft.com/office/drawing/2014/chart" uri="{C3380CC4-5D6E-409C-BE32-E72D297353CC}">
                <c16:uniqueId val="{0000000B-F5EC-4EF3-AD0F-DB9336517CEF}"/>
              </c:ext>
            </c:extLst>
          </c:dPt>
          <c:dLbls>
            <c:dLbl>
              <c:idx val="0"/>
              <c:layout>
                <c:manualLayout>
                  <c:x val="4.2790944235418842E-2"/>
                  <c:y val="-0.18717519685039369"/>
                </c:manualLayout>
              </c:layout>
              <c:tx>
                <c:rich>
                  <a:bodyPr rot="0" spcFirstLastPara="1" vertOverflow="ellipsis" vert="horz" wrap="square" lIns="38100" tIns="19050" rIns="38100" bIns="19050" anchor="ctr" anchorCtr="1">
                    <a:noAutofit/>
                  </a:bodyPr>
                  <a:lstStyle/>
                  <a:p>
                    <a:pPr>
                      <a:defRPr sz="1200" b="0" i="0" u="none" strike="noStrike" kern="1200" baseline="0">
                        <a:solidFill>
                          <a:schemeClr val="tx1">
                            <a:lumMod val="75000"/>
                            <a:lumOff val="25000"/>
                          </a:schemeClr>
                        </a:solidFill>
                        <a:latin typeface="+mn-lt"/>
                        <a:ea typeface="+mn-ea"/>
                        <a:cs typeface="+mn-cs"/>
                      </a:defRPr>
                    </a:pPr>
                    <a:fld id="{C67F84AC-DB8F-413E-B82F-3D6D234D2BEE}" type="CATEGORYNAME">
                      <a:rPr lang="ru-RU">
                        <a:solidFill>
                          <a:sysClr val="windowText" lastClr="000000"/>
                        </a:solidFill>
                        <a:latin typeface="Times New Roman" panose="02020603050405020304" pitchFamily="18" charset="0"/>
                        <a:cs typeface="Times New Roman" panose="02020603050405020304" pitchFamily="18" charset="0"/>
                      </a:rPr>
                      <a:pPr>
                        <a:defRPr sz="1200" b="0" i="0" u="none" strike="noStrike" kern="1200" baseline="0">
                          <a:solidFill>
                            <a:schemeClr val="tx1">
                              <a:lumMod val="75000"/>
                              <a:lumOff val="25000"/>
                            </a:schemeClr>
                          </a:solidFill>
                          <a:latin typeface="+mn-lt"/>
                          <a:ea typeface="+mn-ea"/>
                          <a:cs typeface="+mn-cs"/>
                        </a:defRPr>
                      </a:pPr>
                      <a:t>[ИМЯ КАТЕГОРИИ]</a:t>
                    </a:fld>
                    <a:r>
                      <a:rPr lang="ru-RU" baseline="0"/>
                      <a:t>; </a:t>
                    </a:r>
                    <a:fld id="{4C2E3505-CA84-4A08-B811-120ADC4FB76B}" type="PERCENTAGE">
                      <a:rPr lang="ru-RU" baseline="0">
                        <a:solidFill>
                          <a:sysClr val="windowText" lastClr="000000"/>
                        </a:solidFill>
                      </a:rPr>
                      <a:pPr>
                        <a:defRPr sz="1200" b="0" i="0" u="none" strike="noStrike" kern="1200" baseline="0">
                          <a:solidFill>
                            <a:schemeClr val="tx1">
                              <a:lumMod val="75000"/>
                              <a:lumOff val="25000"/>
                            </a:schemeClr>
                          </a:solidFill>
                          <a:latin typeface="+mn-lt"/>
                          <a:ea typeface="+mn-ea"/>
                          <a:cs typeface="+mn-cs"/>
                        </a:defRPr>
                      </a:pPr>
                      <a:t>[ПРОЦЕНТ]</a:t>
                    </a:fld>
                    <a:endParaRPr lang="ru-RU" baseline="0"/>
                  </a:p>
                </c:rich>
              </c:tx>
              <c:spPr>
                <a:noFill/>
                <a:ln>
                  <a:noFill/>
                </a:ln>
                <a:effectLst/>
              </c:spPr>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1-F5EC-4EF3-AD0F-DB9336517CEF}"/>
                </c:ext>
                <c:ext xmlns:c15="http://schemas.microsoft.com/office/drawing/2012/chart" uri="{CE6537A1-D6FC-4f65-9D91-7224C49458BB}">
                  <c15:layout>
                    <c:manualLayout>
                      <c:w val="0.24408328269311164"/>
                      <c:h val="0.16412037037037036"/>
                    </c:manualLayout>
                  </c15:layout>
                  <c15:dlblFieldTable/>
                  <c15:showDataLabelsRange val="0"/>
                </c:ext>
              </c:extLst>
            </c:dLbl>
            <c:dLbl>
              <c:idx val="1"/>
              <c:layout>
                <c:manualLayout>
                  <c:x val="-0.11868568153118794"/>
                  <c:y val="-2.0990449110528022E-2"/>
                </c:manualLayout>
              </c:layout>
              <c:tx>
                <c:rich>
                  <a:bodyPr/>
                  <a:lstStyle/>
                  <a:p>
                    <a:fld id="{E0A781BE-19F9-4ABA-A2D2-89501042934B}" type="CATEGORYNAME">
                      <a:rPr lang="ru-RU">
                        <a:solidFill>
                          <a:sysClr val="windowText" lastClr="000000"/>
                        </a:solidFill>
                        <a:latin typeface="Times New Roman" panose="02020603050405020304" pitchFamily="18" charset="0"/>
                        <a:cs typeface="Times New Roman" panose="02020603050405020304" pitchFamily="18" charset="0"/>
                      </a:rPr>
                      <a:pPr/>
                      <a:t>[ИМЯ КАТЕГОРИИ]</a:t>
                    </a:fld>
                    <a:r>
                      <a:rPr lang="ru-RU" baseline="0"/>
                      <a:t>; </a:t>
                    </a:r>
                    <a:fld id="{0000DC88-C8EF-44A1-B0F5-C5813DF0A0E2}" type="PERCENTAGE">
                      <a:rPr lang="ru-RU" baseline="0">
                        <a:solidFill>
                          <a:sysClr val="windowText" lastClr="000000"/>
                        </a:solidFill>
                      </a:rPr>
                      <a:pPr/>
                      <a:t>[ПРОЦЕНТ]</a:t>
                    </a:fld>
                    <a:endParaRPr lang="ru-RU" baseline="0"/>
                  </a:p>
                </c:rich>
              </c:tx>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3-F5EC-4EF3-AD0F-DB9336517CEF}"/>
                </c:ext>
                <c:ext xmlns:c15="http://schemas.microsoft.com/office/drawing/2012/chart" uri="{CE6537A1-D6FC-4f65-9D91-7224C49458BB}">
                  <c15:layout>
                    <c:manualLayout>
                      <c:w val="0.28955656405018332"/>
                      <c:h val="0.14560185185185184"/>
                    </c:manualLayout>
                  </c15:layout>
                  <c15:dlblFieldTable/>
                  <c15:showDataLabelsRange val="0"/>
                </c:ext>
              </c:extLst>
            </c:dLbl>
            <c:dLbl>
              <c:idx val="2"/>
              <c:layout>
                <c:manualLayout>
                  <c:x val="-8.9333660878597065E-2"/>
                  <c:y val="-5.7355278506853395E-2"/>
                </c:manualLayout>
              </c:layout>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5-F5EC-4EF3-AD0F-DB9336517CEF}"/>
                </c:ext>
                <c:ext xmlns:c15="http://schemas.microsoft.com/office/drawing/2012/chart" uri="{CE6537A1-D6FC-4f65-9D91-7224C49458BB}"/>
              </c:extLst>
            </c:dLbl>
            <c:dLbl>
              <c:idx val="3"/>
              <c:layout>
                <c:manualLayout>
                  <c:x val="-0.10232445082295748"/>
                  <c:y val="2.2801472732575094E-2"/>
                </c:manualLayout>
              </c:layout>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7-F5EC-4EF3-AD0F-DB9336517CEF}"/>
                </c:ext>
                <c:ext xmlns:c15="http://schemas.microsoft.com/office/drawing/2012/chart" uri="{CE6537A1-D6FC-4f65-9D91-7224C49458BB}"/>
              </c:extLst>
            </c:dLbl>
            <c:dLbl>
              <c:idx val="4"/>
              <c:layout>
                <c:manualLayout>
                  <c:x val="-0.13104465390102102"/>
                  <c:y val="-5.931758530183727E-2"/>
                </c:manualLayout>
              </c:layout>
              <c:tx>
                <c:rich>
                  <a:bodyPr/>
                  <a:lstStyle/>
                  <a:p>
                    <a:fld id="{3AE35B94-1B85-482E-A0C7-728023E4CEE5}" type="CATEGORYNAME">
                      <a:rPr lang="ru-RU">
                        <a:solidFill>
                          <a:sysClr val="windowText" lastClr="000000"/>
                        </a:solidFill>
                        <a:latin typeface="Times New Roman" panose="02020603050405020304" pitchFamily="18" charset="0"/>
                        <a:cs typeface="Times New Roman" panose="02020603050405020304" pitchFamily="18" charset="0"/>
                      </a:rPr>
                      <a:pPr/>
                      <a:t>[ИМЯ КАТЕГОРИИ]</a:t>
                    </a:fld>
                    <a:r>
                      <a:rPr lang="ru-RU" baseline="0"/>
                      <a:t>; </a:t>
                    </a:r>
                    <a:fld id="{17E9D905-F197-4521-9229-DDD3852F661B}" type="PERCENTAGE">
                      <a:rPr lang="ru-RU" baseline="0">
                        <a:solidFill>
                          <a:sysClr val="windowText" lastClr="000000"/>
                        </a:solidFill>
                      </a:rPr>
                      <a:pPr/>
                      <a:t>[ПРОЦЕНТ]</a:t>
                    </a:fld>
                    <a:endParaRPr lang="ru-RU" baseline="0"/>
                  </a:p>
                </c:rich>
              </c:tx>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9-F5EC-4EF3-AD0F-DB9336517CEF}"/>
                </c:ext>
                <c:ext xmlns:c15="http://schemas.microsoft.com/office/drawing/2012/chart" uri="{CE6537A1-D6FC-4f65-9D91-7224C49458BB}">
                  <c15:dlblFieldTable/>
                  <c15:showDataLabelsRange val="0"/>
                </c:ext>
              </c:extLst>
            </c:dLbl>
            <c:dLbl>
              <c:idx val="5"/>
              <c:layout>
                <c:manualLayout>
                  <c:x val="3.5116903490511962E-2"/>
                  <c:y val="-3.2143482064741907E-2"/>
                </c:manualLayout>
              </c:layout>
              <c:tx>
                <c:rich>
                  <a:bodyPr/>
                  <a:lstStyle/>
                  <a:p>
                    <a:fld id="{332AF484-749D-4A2B-8C95-CE22FB5DF895}" type="CATEGORYNAME">
                      <a:rPr lang="ru-RU">
                        <a:solidFill>
                          <a:sysClr val="windowText" lastClr="000000"/>
                        </a:solidFill>
                        <a:latin typeface="Times New Roman" panose="02020603050405020304" pitchFamily="18" charset="0"/>
                        <a:cs typeface="Times New Roman" panose="02020603050405020304" pitchFamily="18" charset="0"/>
                      </a:rPr>
                      <a:pPr/>
                      <a:t>[ИМЯ КАТЕГОРИИ]</a:t>
                    </a:fld>
                    <a:r>
                      <a:rPr lang="ru-RU" baseline="0"/>
                      <a:t>; </a:t>
                    </a:r>
                    <a:fld id="{F0057C49-4E01-46C0-AECE-915549BA20EF}" type="PERCENTAGE">
                      <a:rPr lang="ru-RU" baseline="0">
                        <a:solidFill>
                          <a:sysClr val="windowText" lastClr="000000"/>
                        </a:solidFill>
                      </a:rPr>
                      <a:pPr/>
                      <a:t>[ПРОЦЕНТ]</a:t>
                    </a:fld>
                    <a:endParaRPr lang="ru-RU" baseline="0"/>
                  </a:p>
                </c:rich>
              </c:tx>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B-F5EC-4EF3-AD0F-DB9336517CEF}"/>
                </c:ext>
                <c:ext xmlns:c15="http://schemas.microsoft.com/office/drawing/2012/chart" uri="{CE6537A1-D6FC-4f65-9D91-7224C49458BB}">
                  <c15:dlblFieldTable/>
                  <c15:showDataLabelsRange val="0"/>
                </c:ext>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ru-RU"/>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Лист1!$A$1:$A$6</c:f>
              <c:strCache>
                <c:ptCount val="6"/>
                <c:pt idx="0">
                  <c:v>простой(офисный)</c:v>
                </c:pt>
                <c:pt idx="1">
                  <c:v>производственный</c:v>
                </c:pt>
                <c:pt idx="2">
                  <c:v>творческий</c:v>
                </c:pt>
                <c:pt idx="3">
                  <c:v>ремесленный</c:v>
                </c:pt>
                <c:pt idx="4">
                  <c:v>для детей</c:v>
                </c:pt>
                <c:pt idx="5">
                  <c:v>антикафе</c:v>
                </c:pt>
              </c:strCache>
            </c:strRef>
          </c:cat>
          <c:val>
            <c:numRef>
              <c:f>Лист1!$B$1:$B$6</c:f>
              <c:numCache>
                <c:formatCode>General</c:formatCode>
                <c:ptCount val="6"/>
                <c:pt idx="0">
                  <c:v>348</c:v>
                </c:pt>
                <c:pt idx="1">
                  <c:v>45</c:v>
                </c:pt>
                <c:pt idx="2">
                  <c:v>139</c:v>
                </c:pt>
                <c:pt idx="3">
                  <c:v>60</c:v>
                </c:pt>
                <c:pt idx="4">
                  <c:v>21</c:v>
                </c:pt>
                <c:pt idx="5">
                  <c:v>82</c:v>
                </c:pt>
              </c:numCache>
            </c:numRef>
          </c:val>
          <c:extLst xmlns:c16r2="http://schemas.microsoft.com/office/drawing/2015/06/chart">
            <c:ext xmlns:c16="http://schemas.microsoft.com/office/drawing/2014/chart" uri="{C3380CC4-5D6E-409C-BE32-E72D297353CC}">
              <c16:uniqueId val="{0000000C-F5EC-4EF3-AD0F-DB9336517CEF}"/>
            </c:ext>
          </c:extLst>
        </c:ser>
        <c:dLbls>
          <c:dLblPos val="bestFit"/>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bg1"/>
      </a:solidFill>
      <a:round/>
    </a:ln>
    <a:effectLst/>
  </c:spPr>
  <c:txPr>
    <a:bodyPr/>
    <a:lstStyle/>
    <a:p>
      <a:pPr>
        <a:defRPr/>
      </a:pPr>
      <a:endParaRPr lang="ru-RU"/>
    </a:p>
  </c:txPr>
  <c:externalData r:id="rId2">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barChart>
        <c:barDir val="col"/>
        <c:grouping val="clustered"/>
        <c:varyColors val="0"/>
        <c:ser>
          <c:idx val="0"/>
          <c:order val="0"/>
          <c:tx>
            <c:strRef>
              <c:f>Лист1!$B$1</c:f>
              <c:strCache>
                <c:ptCount val="1"/>
                <c:pt idx="0">
                  <c:v>Ряд 1</c:v>
                </c:pt>
              </c:strCache>
            </c:strRef>
          </c:tx>
          <c:spPr>
            <a:solidFill>
              <a:schemeClr val="dk1">
                <a:tint val="885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Лист1!$A$2:$A$8</c:f>
              <c:strCache>
                <c:ptCount val="7"/>
                <c:pt idx="0">
                  <c:v>2010 г.</c:v>
                </c:pt>
                <c:pt idx="1">
                  <c:v>2011 г.</c:v>
                </c:pt>
                <c:pt idx="2">
                  <c:v>2012 г.</c:v>
                </c:pt>
                <c:pt idx="3">
                  <c:v>2013 г.</c:v>
                </c:pt>
                <c:pt idx="4">
                  <c:v>2014 г.</c:v>
                </c:pt>
                <c:pt idx="5">
                  <c:v>2015 г.</c:v>
                </c:pt>
                <c:pt idx="6">
                  <c:v>2016 г.</c:v>
                </c:pt>
              </c:strCache>
            </c:strRef>
          </c:cat>
          <c:val>
            <c:numRef>
              <c:f>Лист1!$B$2:$B$8</c:f>
              <c:numCache>
                <c:formatCode>General</c:formatCode>
                <c:ptCount val="7"/>
                <c:pt idx="0">
                  <c:v>18408</c:v>
                </c:pt>
                <c:pt idx="1">
                  <c:v>13035</c:v>
                </c:pt>
                <c:pt idx="2">
                  <c:v>22767</c:v>
                </c:pt>
                <c:pt idx="3">
                  <c:v>33181</c:v>
                </c:pt>
                <c:pt idx="4">
                  <c:v>98112</c:v>
                </c:pt>
                <c:pt idx="5">
                  <c:v>86173</c:v>
                </c:pt>
                <c:pt idx="6">
                  <c:v>84631</c:v>
                </c:pt>
              </c:numCache>
            </c:numRef>
          </c:val>
        </c:ser>
        <c:dLbls>
          <c:showLegendKey val="0"/>
          <c:showVal val="0"/>
          <c:showCatName val="0"/>
          <c:showSerName val="0"/>
          <c:showPercent val="0"/>
          <c:showBubbleSize val="0"/>
        </c:dLbls>
        <c:gapWidth val="219"/>
        <c:overlap val="-27"/>
        <c:axId val="344932944"/>
        <c:axId val="344933504"/>
      </c:barChart>
      <c:catAx>
        <c:axId val="3449329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344933504"/>
        <c:crosses val="autoZero"/>
        <c:auto val="1"/>
        <c:lblAlgn val="ctr"/>
        <c:lblOffset val="100"/>
        <c:noMultiLvlLbl val="0"/>
      </c:catAx>
      <c:valAx>
        <c:axId val="34493350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344932944"/>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barChart>
        <c:barDir val="col"/>
        <c:grouping val="clustered"/>
        <c:varyColors val="0"/>
        <c:ser>
          <c:idx val="0"/>
          <c:order val="0"/>
          <c:tx>
            <c:strRef>
              <c:f>Лист1!$B$1</c:f>
              <c:strCache>
                <c:ptCount val="1"/>
                <c:pt idx="0">
                  <c:v>Ряд 1</c:v>
                </c:pt>
              </c:strCache>
            </c:strRef>
          </c:tx>
          <c:spPr>
            <a:solidFill>
              <a:schemeClr val="dk1">
                <a:tint val="885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Лист1!$A$2:$A$9</c:f>
              <c:strCache>
                <c:ptCount val="8"/>
                <c:pt idx="0">
                  <c:v>2010 г.</c:v>
                </c:pt>
                <c:pt idx="1">
                  <c:v>2011 г.</c:v>
                </c:pt>
                <c:pt idx="2">
                  <c:v>2012 г.</c:v>
                </c:pt>
                <c:pt idx="3">
                  <c:v>2013 г.</c:v>
                </c:pt>
                <c:pt idx="4">
                  <c:v>2014 г.</c:v>
                </c:pt>
                <c:pt idx="5">
                  <c:v>2015 г.</c:v>
                </c:pt>
                <c:pt idx="6">
                  <c:v>2016 г.</c:v>
                </c:pt>
                <c:pt idx="7">
                  <c:v>2017 г. </c:v>
                </c:pt>
              </c:strCache>
            </c:strRef>
          </c:cat>
          <c:val>
            <c:numRef>
              <c:f>Лист1!$B$2:$B$9</c:f>
              <c:numCache>
                <c:formatCode>General</c:formatCode>
                <c:ptCount val="8"/>
                <c:pt idx="0">
                  <c:v>2108</c:v>
                </c:pt>
                <c:pt idx="1">
                  <c:v>3188</c:v>
                </c:pt>
                <c:pt idx="2">
                  <c:v>3804</c:v>
                </c:pt>
                <c:pt idx="3">
                  <c:v>3873</c:v>
                </c:pt>
                <c:pt idx="4">
                  <c:v>3413</c:v>
                </c:pt>
                <c:pt idx="5">
                  <c:v>9548</c:v>
                </c:pt>
                <c:pt idx="6">
                  <c:v>8742</c:v>
                </c:pt>
                <c:pt idx="7">
                  <c:v>10752.66</c:v>
                </c:pt>
              </c:numCache>
            </c:numRef>
          </c:val>
        </c:ser>
        <c:dLbls>
          <c:showLegendKey val="0"/>
          <c:showVal val="0"/>
          <c:showCatName val="0"/>
          <c:showSerName val="0"/>
          <c:showPercent val="0"/>
          <c:showBubbleSize val="0"/>
        </c:dLbls>
        <c:gapWidth val="219"/>
        <c:overlap val="-27"/>
        <c:axId val="344935744"/>
        <c:axId val="238803200"/>
      </c:barChart>
      <c:catAx>
        <c:axId val="3449357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238803200"/>
        <c:crosses val="autoZero"/>
        <c:auto val="1"/>
        <c:lblAlgn val="ctr"/>
        <c:lblOffset val="100"/>
        <c:noMultiLvlLbl val="0"/>
      </c:catAx>
      <c:valAx>
        <c:axId val="238803200"/>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344935744"/>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pieChart>
        <c:varyColors val="1"/>
        <c:ser>
          <c:idx val="0"/>
          <c:order val="0"/>
          <c:tx>
            <c:strRef>
              <c:f>Лист1!$B$1</c:f>
              <c:strCache>
                <c:ptCount val="1"/>
                <c:pt idx="0">
                  <c:v>Продажи</c:v>
                </c:pt>
              </c:strCache>
            </c:strRef>
          </c:tx>
          <c:dPt>
            <c:idx val="0"/>
            <c:bubble3D val="0"/>
            <c:spPr>
              <a:solidFill>
                <a:schemeClr val="accent3">
                  <a:shade val="53000"/>
                </a:schemeClr>
              </a:solidFill>
              <a:ln w="19050">
                <a:solidFill>
                  <a:schemeClr val="lt1"/>
                </a:solidFill>
              </a:ln>
              <a:effectLst/>
            </c:spPr>
          </c:dPt>
          <c:dPt>
            <c:idx val="1"/>
            <c:bubble3D val="0"/>
            <c:spPr>
              <a:solidFill>
                <a:schemeClr val="accent3">
                  <a:shade val="76000"/>
                </a:schemeClr>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3">
                  <a:tint val="77000"/>
                </a:schemeClr>
              </a:solidFill>
              <a:ln w="19050">
                <a:solidFill>
                  <a:schemeClr val="lt1"/>
                </a:solidFill>
              </a:ln>
              <a:effectLst/>
            </c:spPr>
          </c:dPt>
          <c:dPt>
            <c:idx val="4"/>
            <c:bubble3D val="0"/>
            <c:spPr>
              <a:solidFill>
                <a:schemeClr val="accent3">
                  <a:tint val="54000"/>
                </a:schemeClr>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Лист1!$A$2:$A$6</c:f>
              <c:strCache>
                <c:ptCount val="5"/>
                <c:pt idx="0">
                  <c:v>до 25 лет</c:v>
                </c:pt>
                <c:pt idx="1">
                  <c:v>26-35 лет</c:v>
                </c:pt>
                <c:pt idx="2">
                  <c:v>36-45 лет</c:v>
                </c:pt>
                <c:pt idx="3">
                  <c:v>46-55 лет</c:v>
                </c:pt>
                <c:pt idx="4">
                  <c:v>старше 56 лет</c:v>
                </c:pt>
              </c:strCache>
            </c:strRef>
          </c:cat>
          <c:val>
            <c:numRef>
              <c:f>Лист1!$B$2:$B$6</c:f>
              <c:numCache>
                <c:formatCode>General</c:formatCode>
                <c:ptCount val="5"/>
                <c:pt idx="0">
                  <c:v>8</c:v>
                </c:pt>
                <c:pt idx="1">
                  <c:v>11</c:v>
                </c:pt>
                <c:pt idx="2">
                  <c:v>14</c:v>
                </c:pt>
                <c:pt idx="3">
                  <c:v>18</c:v>
                </c:pt>
                <c:pt idx="4">
                  <c:v>29</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noFill/>
      <a:round/>
    </a:ln>
    <a:effectLst/>
  </c:spPr>
  <c:txPr>
    <a:bodyPr/>
    <a:lstStyle/>
    <a:p>
      <a:pPr>
        <a:defRPr sz="1000">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pieChart>
        <c:varyColors val="1"/>
        <c:ser>
          <c:idx val="0"/>
          <c:order val="0"/>
          <c:tx>
            <c:strRef>
              <c:f>Лист1!$B$1</c:f>
              <c:strCache>
                <c:ptCount val="1"/>
                <c:pt idx="0">
                  <c:v>Продажи</c:v>
                </c:pt>
              </c:strCache>
            </c:strRef>
          </c:tx>
          <c:dPt>
            <c:idx val="0"/>
            <c:bubble3D val="0"/>
            <c:spPr>
              <a:solidFill>
                <a:schemeClr val="accent3">
                  <a:shade val="58000"/>
                </a:schemeClr>
              </a:solidFill>
              <a:ln w="19050">
                <a:solidFill>
                  <a:schemeClr val="lt1"/>
                </a:solidFill>
              </a:ln>
              <a:effectLst/>
            </c:spPr>
          </c:dPt>
          <c:dPt>
            <c:idx val="1"/>
            <c:bubble3D val="0"/>
            <c:spPr>
              <a:solidFill>
                <a:schemeClr val="accent3">
                  <a:shade val="86000"/>
                </a:schemeClr>
              </a:solidFill>
              <a:ln w="19050">
                <a:solidFill>
                  <a:schemeClr val="lt1"/>
                </a:solidFill>
              </a:ln>
              <a:effectLst/>
            </c:spPr>
          </c:dPt>
          <c:dPt>
            <c:idx val="2"/>
            <c:bubble3D val="0"/>
            <c:spPr>
              <a:solidFill>
                <a:schemeClr val="accent3">
                  <a:tint val="86000"/>
                </a:schemeClr>
              </a:solidFill>
              <a:ln w="19050">
                <a:solidFill>
                  <a:schemeClr val="lt1"/>
                </a:solidFill>
              </a:ln>
              <a:effectLst/>
            </c:spPr>
          </c:dPt>
          <c:dPt>
            <c:idx val="3"/>
            <c:bubble3D val="0"/>
            <c:spPr>
              <a:solidFill>
                <a:schemeClr val="accent3">
                  <a:tint val="58000"/>
                </a:schemeClr>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4"/>
                <c:pt idx="0">
                  <c:v>зима</c:v>
                </c:pt>
                <c:pt idx="1">
                  <c:v>весна</c:v>
                </c:pt>
                <c:pt idx="2">
                  <c:v>лето</c:v>
                </c:pt>
                <c:pt idx="3">
                  <c:v>осень</c:v>
                </c:pt>
              </c:strCache>
            </c:strRef>
          </c:cat>
          <c:val>
            <c:numRef>
              <c:f>Лист1!$B$2:$B$5</c:f>
              <c:numCache>
                <c:formatCode>General</c:formatCode>
                <c:ptCount val="4"/>
                <c:pt idx="0">
                  <c:v>5</c:v>
                </c:pt>
                <c:pt idx="1">
                  <c:v>15</c:v>
                </c:pt>
                <c:pt idx="2">
                  <c:v>10</c:v>
                </c:pt>
                <c:pt idx="3">
                  <c:v>32</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noFill/>
      <a:round/>
    </a:ln>
    <a:effectLst/>
  </c:spPr>
  <c:txPr>
    <a:bodyPr/>
    <a:lstStyle/>
    <a:p>
      <a:pPr>
        <a:defRPr sz="1000">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pieChart>
        <c:varyColors val="1"/>
        <c:ser>
          <c:idx val="0"/>
          <c:order val="0"/>
          <c:tx>
            <c:strRef>
              <c:f>Лист1!$B$1</c:f>
              <c:strCache>
                <c:ptCount val="1"/>
                <c:pt idx="0">
                  <c:v>Продажи</c:v>
                </c:pt>
              </c:strCache>
            </c:strRef>
          </c:tx>
          <c:dPt>
            <c:idx val="0"/>
            <c:bubble3D val="0"/>
            <c:spPr>
              <a:solidFill>
                <a:schemeClr val="accent3">
                  <a:shade val="65000"/>
                </a:schemeClr>
              </a:solidFill>
              <a:ln w="19050">
                <a:solidFill>
                  <a:schemeClr val="lt1"/>
                </a:solidFill>
              </a:ln>
              <a:effectLst/>
            </c:spPr>
          </c:dPt>
          <c:dPt>
            <c:idx val="1"/>
            <c:bubble3D val="0"/>
            <c:spPr>
              <a:solidFill>
                <a:schemeClr val="accent3"/>
              </a:solidFill>
              <a:ln w="19050">
                <a:solidFill>
                  <a:schemeClr val="lt1"/>
                </a:solidFill>
              </a:ln>
              <a:effectLst/>
            </c:spPr>
          </c:dPt>
          <c:dPt>
            <c:idx val="2"/>
            <c:bubble3D val="0"/>
            <c:spPr>
              <a:solidFill>
                <a:schemeClr val="accent3">
                  <a:tint val="65000"/>
                </a:schemeClr>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3 звезды</c:v>
                </c:pt>
                <c:pt idx="1">
                  <c:v>4 звезды</c:v>
                </c:pt>
                <c:pt idx="2">
                  <c:v>5 звезд</c:v>
                </c:pt>
              </c:strCache>
            </c:strRef>
          </c:cat>
          <c:val>
            <c:numRef>
              <c:f>Лист1!$B$2:$B$4</c:f>
              <c:numCache>
                <c:formatCode>General</c:formatCode>
                <c:ptCount val="3"/>
                <c:pt idx="0">
                  <c:v>44</c:v>
                </c:pt>
                <c:pt idx="1">
                  <c:v>11</c:v>
                </c:pt>
                <c:pt idx="2">
                  <c:v>7</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noFill/>
      <a:round/>
    </a:ln>
    <a:effectLst/>
  </c:spPr>
  <c:txPr>
    <a:bodyPr/>
    <a:lstStyle/>
    <a:p>
      <a:pPr>
        <a:defRPr sz="1000">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pieChart>
        <c:varyColors val="1"/>
        <c:ser>
          <c:idx val="0"/>
          <c:order val="0"/>
          <c:tx>
            <c:strRef>
              <c:f>Лист1!$B$1</c:f>
              <c:strCache>
                <c:ptCount val="1"/>
                <c:pt idx="0">
                  <c:v>Продажи</c:v>
                </c:pt>
              </c:strCache>
            </c:strRef>
          </c:tx>
          <c:dPt>
            <c:idx val="0"/>
            <c:bubble3D val="0"/>
            <c:spPr>
              <a:solidFill>
                <a:schemeClr val="accent3">
                  <a:shade val="58000"/>
                </a:schemeClr>
              </a:solidFill>
              <a:ln w="19050">
                <a:solidFill>
                  <a:schemeClr val="lt1"/>
                </a:solidFill>
              </a:ln>
              <a:effectLst/>
            </c:spPr>
          </c:dPt>
          <c:dPt>
            <c:idx val="1"/>
            <c:bubble3D val="0"/>
            <c:spPr>
              <a:solidFill>
                <a:schemeClr val="accent3">
                  <a:shade val="86000"/>
                </a:schemeClr>
              </a:solidFill>
              <a:ln w="19050">
                <a:solidFill>
                  <a:schemeClr val="lt1"/>
                </a:solidFill>
              </a:ln>
              <a:effectLst/>
            </c:spPr>
          </c:dPt>
          <c:dPt>
            <c:idx val="2"/>
            <c:bubble3D val="0"/>
            <c:spPr>
              <a:solidFill>
                <a:schemeClr val="accent3">
                  <a:tint val="86000"/>
                </a:schemeClr>
              </a:solidFill>
              <a:ln w="19050">
                <a:solidFill>
                  <a:schemeClr val="lt1"/>
                </a:solidFill>
              </a:ln>
              <a:effectLst/>
            </c:spPr>
          </c:dPt>
          <c:dPt>
            <c:idx val="3"/>
            <c:bubble3D val="0"/>
            <c:spPr>
              <a:solidFill>
                <a:schemeClr val="accent3">
                  <a:tint val="58000"/>
                </a:schemeClr>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4"/>
                <c:pt idx="0">
                  <c:v>до 50 долл. США</c:v>
                </c:pt>
                <c:pt idx="1">
                  <c:v>51-70 долл. США</c:v>
                </c:pt>
                <c:pt idx="2">
                  <c:v>71-100 долл. США</c:v>
                </c:pt>
                <c:pt idx="3">
                  <c:v>более 101 долл. США</c:v>
                </c:pt>
              </c:strCache>
            </c:strRef>
          </c:cat>
          <c:val>
            <c:numRef>
              <c:f>Лист1!$B$2:$B$5</c:f>
              <c:numCache>
                <c:formatCode>General</c:formatCode>
                <c:ptCount val="4"/>
                <c:pt idx="0">
                  <c:v>28</c:v>
                </c:pt>
                <c:pt idx="1">
                  <c:v>14</c:v>
                </c:pt>
                <c:pt idx="2">
                  <c:v>8</c:v>
                </c:pt>
                <c:pt idx="3">
                  <c:v>12</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noFill/>
      <a:round/>
    </a:ln>
    <a:effectLst/>
  </c:spPr>
  <c:txPr>
    <a:bodyPr/>
    <a:lstStyle/>
    <a:p>
      <a:pPr>
        <a:defRPr sz="1000">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4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57" b="0" i="0" u="none" strike="noStrike" kern="1200" spc="0" baseline="0">
                <a:solidFill>
                  <a:schemeClr val="tx1">
                    <a:lumMod val="65000"/>
                    <a:lumOff val="35000"/>
                  </a:schemeClr>
                </a:solidFill>
                <a:latin typeface="+mn-lt"/>
                <a:ea typeface="+mn-ea"/>
                <a:cs typeface="+mn-cs"/>
              </a:defRPr>
            </a:pPr>
            <a:r>
              <a:rPr lang="ru-RU" sz="1199" dirty="0" smtClean="0"/>
              <a:t>Число въездных туристских поездок иностранных граждан в Россию (тыс.)</a:t>
            </a:r>
          </a:p>
        </c:rich>
      </c:tx>
      <c:overlay val="0"/>
      <c:spPr>
        <a:noFill/>
        <a:ln w="25405">
          <a:noFill/>
        </a:ln>
      </c:spPr>
    </c:title>
    <c:autoTitleDeleted val="0"/>
    <c:plotArea>
      <c:layout/>
      <c:barChart>
        <c:barDir val="col"/>
        <c:grouping val="clustered"/>
        <c:varyColors val="0"/>
        <c:ser>
          <c:idx val="0"/>
          <c:order val="0"/>
          <c:tx>
            <c:strRef>
              <c:f>Лист1!$B$1</c:f>
              <c:strCache>
                <c:ptCount val="1"/>
                <c:pt idx="0">
                  <c:v>1</c:v>
                </c:pt>
              </c:strCache>
            </c:strRef>
          </c:tx>
          <c:spPr>
            <a:solidFill>
              <a:schemeClr val="accent3">
                <a:shade val="58000"/>
              </a:schemeClr>
            </a:solidFill>
            <a:ln>
              <a:noFill/>
            </a:ln>
            <a:effectLst/>
          </c:spPr>
          <c:invertIfNegative val="0"/>
          <c:dLbls>
            <c:spPr>
              <a:noFill/>
              <a:ln w="25405">
                <a:noFill/>
              </a:ln>
            </c:spPr>
            <c:txPr>
              <a:bodyPr rot="0" spcFirstLastPara="1" vertOverflow="ellipsis" vert="horz" wrap="square" lIns="38100" tIns="19050" rIns="38100" bIns="19050" anchor="ctr" anchorCtr="1">
                <a:spAutoFit/>
              </a:bodyPr>
              <a:lstStyle/>
              <a:p>
                <a:pPr>
                  <a:defRPr sz="1194"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Лист1!$A$2:$A$5</c:f>
              <c:numCache>
                <c:formatCode>General</c:formatCode>
                <c:ptCount val="4"/>
                <c:pt idx="0">
                  <c:v>2014</c:v>
                </c:pt>
                <c:pt idx="1">
                  <c:v>2015</c:v>
                </c:pt>
                <c:pt idx="2">
                  <c:v>2016</c:v>
                </c:pt>
                <c:pt idx="3">
                  <c:v>2017</c:v>
                </c:pt>
              </c:numCache>
            </c:numRef>
          </c:cat>
          <c:val>
            <c:numRef>
              <c:f>Лист1!$B$2:$B$5</c:f>
              <c:numCache>
                <c:formatCode>General</c:formatCode>
                <c:ptCount val="4"/>
                <c:pt idx="0" formatCode="#,##0">
                  <c:v>25438</c:v>
                </c:pt>
              </c:numCache>
            </c:numRef>
          </c:val>
        </c:ser>
        <c:ser>
          <c:idx val="1"/>
          <c:order val="1"/>
          <c:tx>
            <c:strRef>
              <c:f>Лист1!$C$1</c:f>
              <c:strCache>
                <c:ptCount val="1"/>
                <c:pt idx="0">
                  <c:v>Ряд 2</c:v>
                </c:pt>
              </c:strCache>
            </c:strRef>
          </c:tx>
          <c:spPr>
            <a:solidFill>
              <a:schemeClr val="accent3">
                <a:shade val="86000"/>
              </a:schemeClr>
            </a:solidFill>
            <a:ln>
              <a:noFill/>
            </a:ln>
            <a:effectLst/>
          </c:spPr>
          <c:invertIfNegative val="0"/>
          <c:dLbls>
            <c:spPr>
              <a:noFill/>
              <a:ln w="25405">
                <a:noFill/>
              </a:ln>
            </c:spPr>
            <c:txPr>
              <a:bodyPr rot="0" spcFirstLastPara="1" vertOverflow="ellipsis" vert="horz" wrap="square" lIns="38100" tIns="19050" rIns="38100" bIns="19050" anchor="ctr" anchorCtr="1">
                <a:spAutoFit/>
              </a:bodyPr>
              <a:lstStyle/>
              <a:p>
                <a:pPr>
                  <a:defRPr sz="1194"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Лист1!$A$2:$A$5</c:f>
              <c:numCache>
                <c:formatCode>General</c:formatCode>
                <c:ptCount val="4"/>
                <c:pt idx="0">
                  <c:v>2014</c:v>
                </c:pt>
                <c:pt idx="1">
                  <c:v>2015</c:v>
                </c:pt>
                <c:pt idx="2">
                  <c:v>2016</c:v>
                </c:pt>
                <c:pt idx="3">
                  <c:v>2017</c:v>
                </c:pt>
              </c:numCache>
            </c:numRef>
          </c:cat>
          <c:val>
            <c:numRef>
              <c:f>Лист1!$C$2:$C$5</c:f>
              <c:numCache>
                <c:formatCode>#,##0</c:formatCode>
                <c:ptCount val="4"/>
                <c:pt idx="1">
                  <c:v>26852</c:v>
                </c:pt>
              </c:numCache>
            </c:numRef>
          </c:val>
        </c:ser>
        <c:ser>
          <c:idx val="2"/>
          <c:order val="2"/>
          <c:tx>
            <c:strRef>
              <c:f>Лист1!$D$1</c:f>
              <c:strCache>
                <c:ptCount val="1"/>
                <c:pt idx="0">
                  <c:v>Ряд 3</c:v>
                </c:pt>
              </c:strCache>
            </c:strRef>
          </c:tx>
          <c:spPr>
            <a:solidFill>
              <a:schemeClr val="accent3">
                <a:tint val="86000"/>
              </a:schemeClr>
            </a:solidFill>
            <a:ln>
              <a:noFill/>
            </a:ln>
            <a:effectLst/>
          </c:spPr>
          <c:invertIfNegative val="0"/>
          <c:dLbls>
            <c:spPr>
              <a:noFill/>
              <a:ln w="25405">
                <a:noFill/>
              </a:ln>
            </c:spPr>
            <c:txPr>
              <a:bodyPr rot="0" spcFirstLastPara="1" vertOverflow="ellipsis" vert="horz" wrap="square" lIns="38100" tIns="19050" rIns="38100" bIns="19050" anchor="ctr" anchorCtr="1">
                <a:spAutoFit/>
              </a:bodyPr>
              <a:lstStyle/>
              <a:p>
                <a:pPr>
                  <a:defRPr sz="1194"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Лист1!$A$2:$A$5</c:f>
              <c:numCache>
                <c:formatCode>General</c:formatCode>
                <c:ptCount val="4"/>
                <c:pt idx="0">
                  <c:v>2014</c:v>
                </c:pt>
                <c:pt idx="1">
                  <c:v>2015</c:v>
                </c:pt>
                <c:pt idx="2">
                  <c:v>2016</c:v>
                </c:pt>
                <c:pt idx="3">
                  <c:v>2017</c:v>
                </c:pt>
              </c:numCache>
            </c:numRef>
          </c:cat>
          <c:val>
            <c:numRef>
              <c:f>Лист1!$D$2:$D$5</c:f>
              <c:numCache>
                <c:formatCode>General</c:formatCode>
                <c:ptCount val="4"/>
                <c:pt idx="2">
                  <c:v>24571</c:v>
                </c:pt>
              </c:numCache>
            </c:numRef>
          </c:val>
        </c:ser>
        <c:ser>
          <c:idx val="3"/>
          <c:order val="3"/>
          <c:tx>
            <c:strRef>
              <c:f>Лист1!$E$1</c:f>
              <c:strCache>
                <c:ptCount val="1"/>
                <c:pt idx="0">
                  <c:v>Ряд 4</c:v>
                </c:pt>
              </c:strCache>
            </c:strRef>
          </c:tx>
          <c:spPr>
            <a:solidFill>
              <a:schemeClr val="accent3">
                <a:tint val="58000"/>
              </a:schemeClr>
            </a:solidFill>
            <a:ln>
              <a:noFill/>
            </a:ln>
            <a:effectLst/>
          </c:spPr>
          <c:invertIfNegative val="0"/>
          <c:dLbls>
            <c:spPr>
              <a:noFill/>
              <a:ln w="25405">
                <a:noFill/>
              </a:ln>
            </c:spPr>
            <c:txPr>
              <a:bodyPr rot="0" spcFirstLastPara="1" vertOverflow="ellipsis" vert="horz" wrap="square" lIns="38100" tIns="19050" rIns="38100" bIns="19050" anchor="ctr" anchorCtr="1">
                <a:spAutoFit/>
              </a:bodyPr>
              <a:lstStyle/>
              <a:p>
                <a:pPr>
                  <a:defRPr sz="1194"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Лист1!$A$2:$A$5</c:f>
              <c:numCache>
                <c:formatCode>General</c:formatCode>
                <c:ptCount val="4"/>
                <c:pt idx="0">
                  <c:v>2014</c:v>
                </c:pt>
                <c:pt idx="1">
                  <c:v>2015</c:v>
                </c:pt>
                <c:pt idx="2">
                  <c:v>2016</c:v>
                </c:pt>
                <c:pt idx="3">
                  <c:v>2017</c:v>
                </c:pt>
              </c:numCache>
            </c:numRef>
          </c:cat>
          <c:val>
            <c:numRef>
              <c:f>Лист1!$E$2:$E$5</c:f>
              <c:numCache>
                <c:formatCode>General</c:formatCode>
                <c:ptCount val="4"/>
                <c:pt idx="3">
                  <c:v>24390</c:v>
                </c:pt>
              </c:numCache>
            </c:numRef>
          </c:val>
        </c:ser>
        <c:dLbls>
          <c:showLegendKey val="0"/>
          <c:showVal val="0"/>
          <c:showCatName val="0"/>
          <c:showSerName val="0"/>
          <c:showPercent val="0"/>
          <c:showBubbleSize val="0"/>
        </c:dLbls>
        <c:gapWidth val="150"/>
        <c:axId val="238814960"/>
        <c:axId val="238815520"/>
      </c:barChart>
      <c:catAx>
        <c:axId val="238814960"/>
        <c:scaling>
          <c:orientation val="minMax"/>
        </c:scaling>
        <c:delete val="0"/>
        <c:axPos val="b"/>
        <c:title>
          <c:tx>
            <c:rich>
              <a:bodyPr/>
              <a:lstStyle/>
              <a:p>
                <a:pPr>
                  <a:defRPr sz="995" b="1" i="0" u="none" strike="noStrike" baseline="0">
                    <a:solidFill>
                      <a:srgbClr val="000000"/>
                    </a:solidFill>
                    <a:latin typeface="Calibri"/>
                    <a:ea typeface="Calibri"/>
                    <a:cs typeface="Calibri"/>
                  </a:defRPr>
                </a:pPr>
                <a:r>
                  <a:rPr lang="ru-RU"/>
                  <a:t>год</a:t>
                </a:r>
              </a:p>
            </c:rich>
          </c:tx>
          <c:overlay val="0"/>
          <c:spPr>
            <a:noFill/>
            <a:ln w="25405">
              <a:noFill/>
            </a:ln>
          </c:spPr>
        </c:title>
        <c:numFmt formatCode="General" sourceLinked="1"/>
        <c:majorTickMark val="none"/>
        <c:minorTickMark val="none"/>
        <c:tickLblPos val="nextTo"/>
        <c:spPr>
          <a:noFill/>
          <a:ln w="9503"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sz="1194" b="0" i="0" u="none" strike="noStrike" kern="1200" baseline="0">
                <a:solidFill>
                  <a:schemeClr val="tx1">
                    <a:lumMod val="65000"/>
                    <a:lumOff val="35000"/>
                  </a:schemeClr>
                </a:solidFill>
                <a:latin typeface="+mn-lt"/>
                <a:ea typeface="+mn-ea"/>
                <a:cs typeface="+mn-cs"/>
              </a:defRPr>
            </a:pPr>
            <a:endParaRPr lang="ru-RU"/>
          </a:p>
        </c:txPr>
        <c:crossAx val="238815520"/>
        <c:crosses val="autoZero"/>
        <c:auto val="1"/>
        <c:lblAlgn val="ctr"/>
        <c:lblOffset val="100"/>
        <c:noMultiLvlLbl val="0"/>
      </c:catAx>
      <c:valAx>
        <c:axId val="238815520"/>
        <c:scaling>
          <c:orientation val="minMax"/>
        </c:scaling>
        <c:delete val="0"/>
        <c:axPos val="l"/>
        <c:majorGridlines>
          <c:spPr>
            <a:ln w="9503" cap="flat" cmpd="sng" algn="ctr">
              <a:solidFill>
                <a:schemeClr val="tx1">
                  <a:lumMod val="15000"/>
                  <a:lumOff val="85000"/>
                </a:schemeClr>
              </a:solidFill>
              <a:prstDash val="solid"/>
              <a:round/>
            </a:ln>
            <a:effectLst/>
          </c:spPr>
        </c:majorGridlines>
        <c:title>
          <c:tx>
            <c:rich>
              <a:bodyPr/>
              <a:lstStyle/>
              <a:p>
                <a:pPr>
                  <a:defRPr sz="995" b="1" i="0" u="none" strike="noStrike" baseline="0">
                    <a:solidFill>
                      <a:srgbClr val="000000"/>
                    </a:solidFill>
                    <a:latin typeface="Calibri"/>
                    <a:ea typeface="Calibri"/>
                    <a:cs typeface="Calibri"/>
                  </a:defRPr>
                </a:pPr>
                <a:r>
                  <a:rPr lang="ru-RU"/>
                  <a:t>число</a:t>
                </a:r>
              </a:p>
            </c:rich>
          </c:tx>
          <c:overlay val="0"/>
          <c:spPr>
            <a:noFill/>
            <a:ln w="25405">
              <a:noFill/>
            </a:ln>
          </c:spPr>
        </c:title>
        <c:numFmt formatCode="#,##0" sourceLinked="1"/>
        <c:majorTickMark val="none"/>
        <c:minorTickMark val="none"/>
        <c:tickLblPos val="nextTo"/>
        <c:spPr>
          <a:ln w="6351">
            <a:noFill/>
          </a:ln>
        </c:spPr>
        <c:txPr>
          <a:bodyPr rot="-60000000" spcFirstLastPara="1" vertOverflow="ellipsis" vert="horz" wrap="square" anchor="ctr" anchorCtr="1"/>
          <a:lstStyle/>
          <a:p>
            <a:pPr>
              <a:defRPr sz="1194" b="0" i="0" u="none" strike="noStrike" kern="1200" baseline="0">
                <a:solidFill>
                  <a:schemeClr val="tx1">
                    <a:lumMod val="65000"/>
                    <a:lumOff val="35000"/>
                  </a:schemeClr>
                </a:solidFill>
                <a:latin typeface="+mn-lt"/>
                <a:ea typeface="+mn-ea"/>
                <a:cs typeface="+mn-cs"/>
              </a:defRPr>
            </a:pPr>
            <a:endParaRPr lang="ru-RU"/>
          </a:p>
        </c:txPr>
        <c:crossAx val="238814960"/>
        <c:crosses val="autoZero"/>
        <c:crossBetween val="between"/>
      </c:valAx>
      <c:spPr>
        <a:noFill/>
        <a:ln w="25405">
          <a:noFill/>
        </a:ln>
      </c:spPr>
    </c:plotArea>
    <c:plotVisOnly val="1"/>
    <c:dispBlanksAs val="gap"/>
    <c:showDLblsOverMax val="0"/>
  </c:chart>
  <c:spPr>
    <a:solidFill>
      <a:schemeClr val="bg1"/>
    </a:solidFill>
    <a:ln w="9503" cap="flat" cmpd="sng" algn="ctr">
      <a:solidFill>
        <a:schemeClr val="tx1">
          <a:lumMod val="15000"/>
          <a:lumOff val="85000"/>
        </a:schemeClr>
      </a:solidFill>
      <a:prstDash val="solid"/>
      <a:round/>
    </a:ln>
    <a:effectLst/>
  </c:spPr>
  <c:txPr>
    <a:bodyPr/>
    <a:lstStyle/>
    <a:p>
      <a:pPr>
        <a:defRPr/>
      </a:pPr>
      <a:endParaRPr lang="ru-RU"/>
    </a:p>
  </c:txPr>
  <c:externalData r:id="rId2">
    <c:autoUpdate val="0"/>
  </c:externalData>
</c:chartSpace>
</file>

<file path=word/charts/chart4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44" b="0" i="0" u="none" strike="noStrike" kern="1200" spc="0" baseline="0">
                <a:solidFill>
                  <a:schemeClr val="tx1">
                    <a:lumMod val="65000"/>
                    <a:lumOff val="35000"/>
                  </a:schemeClr>
                </a:solidFill>
                <a:latin typeface="+mn-lt"/>
                <a:ea typeface="+mn-ea"/>
                <a:cs typeface="+mn-cs"/>
              </a:defRPr>
            </a:pPr>
            <a:r>
              <a:rPr lang="ru-RU" sz="1196" dirty="0" smtClean="0"/>
              <a:t>Число въездных туристских поездок иностранных граждан в Россию из</a:t>
            </a:r>
            <a:r>
              <a:rPr lang="ru-RU" sz="1196" baseline="0" dirty="0" smtClean="0"/>
              <a:t> КНР</a:t>
            </a:r>
            <a:endParaRPr lang="ru-RU" sz="1200" dirty="0" smtClean="0"/>
          </a:p>
          <a:p>
            <a:pPr>
              <a:defRPr sz="1844" b="0" i="0" u="none" strike="noStrike" kern="1200" spc="0" baseline="0">
                <a:solidFill>
                  <a:schemeClr val="tx1">
                    <a:lumMod val="65000"/>
                    <a:lumOff val="35000"/>
                  </a:schemeClr>
                </a:solidFill>
                <a:latin typeface="+mn-lt"/>
                <a:ea typeface="+mn-ea"/>
                <a:cs typeface="+mn-cs"/>
              </a:defRPr>
            </a:pPr>
            <a:r>
              <a:rPr lang="ru-RU" sz="1196" dirty="0" smtClean="0"/>
              <a:t>(тыс.)</a:t>
            </a:r>
          </a:p>
        </c:rich>
      </c:tx>
      <c:overlay val="0"/>
      <c:spPr>
        <a:noFill/>
        <a:ln w="25337">
          <a:noFill/>
        </a:ln>
      </c:spPr>
    </c:title>
    <c:autoTitleDeleted val="0"/>
    <c:plotArea>
      <c:layout/>
      <c:barChart>
        <c:barDir val="col"/>
        <c:grouping val="clustered"/>
        <c:varyColors val="0"/>
        <c:ser>
          <c:idx val="0"/>
          <c:order val="0"/>
          <c:tx>
            <c:strRef>
              <c:f>Лист1!$B$1</c:f>
              <c:strCache>
                <c:ptCount val="1"/>
                <c:pt idx="0">
                  <c:v>1</c:v>
                </c:pt>
              </c:strCache>
            </c:strRef>
          </c:tx>
          <c:spPr>
            <a:solidFill>
              <a:schemeClr val="accent3">
                <a:shade val="53000"/>
              </a:schemeClr>
            </a:solidFill>
            <a:ln>
              <a:noFill/>
            </a:ln>
            <a:effectLst/>
          </c:spPr>
          <c:invertIfNegative val="0"/>
          <c:dLbls>
            <c:spPr>
              <a:noFill/>
              <a:ln w="25337">
                <a:noFill/>
              </a:ln>
            </c:spPr>
            <c:txPr>
              <a:bodyPr rot="0" spcFirstLastPara="1" vertOverflow="ellipsis" vert="horz" wrap="square" lIns="38100" tIns="19050" rIns="38100" bIns="19050" anchor="ctr" anchorCtr="1">
                <a:spAutoFit/>
              </a:bodyPr>
              <a:lstStyle/>
              <a:p>
                <a:pPr>
                  <a:defRPr sz="1191"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Лист1!$A$2:$A$5</c:f>
              <c:numCache>
                <c:formatCode>General</c:formatCode>
                <c:ptCount val="4"/>
                <c:pt idx="0">
                  <c:v>2014</c:v>
                </c:pt>
                <c:pt idx="1">
                  <c:v>2015</c:v>
                </c:pt>
                <c:pt idx="2">
                  <c:v>2016</c:v>
                </c:pt>
                <c:pt idx="3">
                  <c:v>2017</c:v>
                </c:pt>
              </c:numCache>
            </c:numRef>
          </c:cat>
          <c:val>
            <c:numRef>
              <c:f>Лист1!$B$2:$B$5</c:f>
              <c:numCache>
                <c:formatCode>General</c:formatCode>
                <c:ptCount val="4"/>
              </c:numCache>
            </c:numRef>
          </c:val>
        </c:ser>
        <c:ser>
          <c:idx val="1"/>
          <c:order val="1"/>
          <c:tx>
            <c:strRef>
              <c:f>Лист1!$C$1</c:f>
              <c:strCache>
                <c:ptCount val="1"/>
                <c:pt idx="0">
                  <c:v>Ряд 2</c:v>
                </c:pt>
              </c:strCache>
            </c:strRef>
          </c:tx>
          <c:spPr>
            <a:solidFill>
              <a:schemeClr val="accent3">
                <a:shade val="76000"/>
              </a:schemeClr>
            </a:solidFill>
            <a:ln>
              <a:noFill/>
            </a:ln>
            <a:effectLst/>
          </c:spPr>
          <c:invertIfNegative val="0"/>
          <c:dLbls>
            <c:spPr>
              <a:noFill/>
              <a:ln w="25337">
                <a:noFill/>
              </a:ln>
            </c:spPr>
            <c:txPr>
              <a:bodyPr rot="0" spcFirstLastPara="1" vertOverflow="ellipsis" vert="horz" wrap="square" lIns="38100" tIns="19050" rIns="38100" bIns="19050" anchor="ctr" anchorCtr="1">
                <a:spAutoFit/>
              </a:bodyPr>
              <a:lstStyle/>
              <a:p>
                <a:pPr>
                  <a:defRPr sz="1191"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Лист1!$A$2:$A$5</c:f>
              <c:numCache>
                <c:formatCode>General</c:formatCode>
                <c:ptCount val="4"/>
                <c:pt idx="0">
                  <c:v>2014</c:v>
                </c:pt>
                <c:pt idx="1">
                  <c:v>2015</c:v>
                </c:pt>
                <c:pt idx="2">
                  <c:v>2016</c:v>
                </c:pt>
                <c:pt idx="3">
                  <c:v>2017</c:v>
                </c:pt>
              </c:numCache>
            </c:numRef>
          </c:cat>
          <c:val>
            <c:numRef>
              <c:f>Лист1!$C$2:$C$5</c:f>
              <c:numCache>
                <c:formatCode>General</c:formatCode>
                <c:ptCount val="4"/>
                <c:pt idx="0">
                  <c:v>874</c:v>
                </c:pt>
              </c:numCache>
            </c:numRef>
          </c:val>
        </c:ser>
        <c:ser>
          <c:idx val="2"/>
          <c:order val="2"/>
          <c:tx>
            <c:strRef>
              <c:f>Лист1!$D$1</c:f>
              <c:strCache>
                <c:ptCount val="1"/>
                <c:pt idx="0">
                  <c:v>Ряд 3</c:v>
                </c:pt>
              </c:strCache>
            </c:strRef>
          </c:tx>
          <c:spPr>
            <a:solidFill>
              <a:srgbClr val="A5A5A5"/>
            </a:solidFill>
            <a:ln w="25337">
              <a:noFill/>
            </a:ln>
          </c:spPr>
          <c:invertIfNegative val="0"/>
          <c:dLbls>
            <c:spPr>
              <a:noFill/>
              <a:ln w="25337">
                <a:noFill/>
              </a:ln>
            </c:spPr>
            <c:txPr>
              <a:bodyPr rot="0" spcFirstLastPara="1" vertOverflow="ellipsis" vert="horz" wrap="square" lIns="38100" tIns="19050" rIns="38100" bIns="19050" anchor="ctr" anchorCtr="1">
                <a:spAutoFit/>
              </a:bodyPr>
              <a:lstStyle/>
              <a:p>
                <a:pPr>
                  <a:defRPr sz="1191"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Лист1!$A$2:$A$5</c:f>
              <c:numCache>
                <c:formatCode>General</c:formatCode>
                <c:ptCount val="4"/>
                <c:pt idx="0">
                  <c:v>2014</c:v>
                </c:pt>
                <c:pt idx="1">
                  <c:v>2015</c:v>
                </c:pt>
                <c:pt idx="2">
                  <c:v>2016</c:v>
                </c:pt>
                <c:pt idx="3">
                  <c:v>2017</c:v>
                </c:pt>
              </c:numCache>
            </c:numRef>
          </c:cat>
          <c:val>
            <c:numRef>
              <c:f>Лист1!$D$2:$D$5</c:f>
              <c:numCache>
                <c:formatCode>#,##0</c:formatCode>
                <c:ptCount val="4"/>
                <c:pt idx="1">
                  <c:v>1122</c:v>
                </c:pt>
              </c:numCache>
            </c:numRef>
          </c:val>
        </c:ser>
        <c:ser>
          <c:idx val="3"/>
          <c:order val="3"/>
          <c:tx>
            <c:strRef>
              <c:f>Лист1!$E$1</c:f>
              <c:strCache>
                <c:ptCount val="1"/>
                <c:pt idx="0">
                  <c:v>Ряд 4</c:v>
                </c:pt>
              </c:strCache>
            </c:strRef>
          </c:tx>
          <c:spPr>
            <a:solidFill>
              <a:schemeClr val="accent3">
                <a:tint val="77000"/>
              </a:schemeClr>
            </a:solidFill>
            <a:ln>
              <a:noFill/>
            </a:ln>
            <a:effectLst/>
          </c:spPr>
          <c:invertIfNegative val="0"/>
          <c:dLbls>
            <c:spPr>
              <a:noFill/>
              <a:ln w="25337">
                <a:noFill/>
              </a:ln>
            </c:spPr>
            <c:txPr>
              <a:bodyPr rot="0" spcFirstLastPara="1" vertOverflow="ellipsis" vert="horz" wrap="square" lIns="38100" tIns="19050" rIns="38100" bIns="19050" anchor="ctr" anchorCtr="1">
                <a:spAutoFit/>
              </a:bodyPr>
              <a:lstStyle/>
              <a:p>
                <a:pPr>
                  <a:defRPr sz="1191"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Лист1!$A$2:$A$5</c:f>
              <c:numCache>
                <c:formatCode>General</c:formatCode>
                <c:ptCount val="4"/>
                <c:pt idx="0">
                  <c:v>2014</c:v>
                </c:pt>
                <c:pt idx="1">
                  <c:v>2015</c:v>
                </c:pt>
                <c:pt idx="2">
                  <c:v>2016</c:v>
                </c:pt>
                <c:pt idx="3">
                  <c:v>2017</c:v>
                </c:pt>
              </c:numCache>
            </c:numRef>
          </c:cat>
          <c:val>
            <c:numRef>
              <c:f>Лист1!$E$2:$E$5</c:f>
              <c:numCache>
                <c:formatCode>General</c:formatCode>
                <c:ptCount val="4"/>
                <c:pt idx="2">
                  <c:v>1288.72</c:v>
                </c:pt>
              </c:numCache>
            </c:numRef>
          </c:val>
        </c:ser>
        <c:ser>
          <c:idx val="4"/>
          <c:order val="4"/>
          <c:tx>
            <c:strRef>
              <c:f>Лист1!$F$1</c:f>
              <c:strCache>
                <c:ptCount val="1"/>
                <c:pt idx="0">
                  <c:v>Ряд 5</c:v>
                </c:pt>
              </c:strCache>
            </c:strRef>
          </c:tx>
          <c:spPr>
            <a:solidFill>
              <a:schemeClr val="accent3">
                <a:tint val="54000"/>
              </a:schemeClr>
            </a:solidFill>
            <a:ln>
              <a:noFill/>
            </a:ln>
            <a:effectLst/>
          </c:spPr>
          <c:invertIfNegative val="0"/>
          <c:dLbls>
            <c:spPr>
              <a:noFill/>
              <a:ln w="25337">
                <a:noFill/>
              </a:ln>
            </c:spPr>
            <c:txPr>
              <a:bodyPr rot="0" spcFirstLastPara="1" vertOverflow="ellipsis" vert="horz" wrap="square" lIns="38100" tIns="19050" rIns="38100" bIns="19050" anchor="ctr" anchorCtr="1">
                <a:spAutoFit/>
              </a:bodyPr>
              <a:lstStyle/>
              <a:p>
                <a:pPr>
                  <a:defRPr sz="1191"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Лист1!$A$2:$A$5</c:f>
              <c:numCache>
                <c:formatCode>General</c:formatCode>
                <c:ptCount val="4"/>
                <c:pt idx="0">
                  <c:v>2014</c:v>
                </c:pt>
                <c:pt idx="1">
                  <c:v>2015</c:v>
                </c:pt>
                <c:pt idx="2">
                  <c:v>2016</c:v>
                </c:pt>
                <c:pt idx="3">
                  <c:v>2017</c:v>
                </c:pt>
              </c:numCache>
            </c:numRef>
          </c:cat>
          <c:val>
            <c:numRef>
              <c:f>Лист1!$F$2:$F$5</c:f>
              <c:numCache>
                <c:formatCode>General</c:formatCode>
                <c:ptCount val="4"/>
                <c:pt idx="3">
                  <c:v>1478</c:v>
                </c:pt>
              </c:numCache>
            </c:numRef>
          </c:val>
        </c:ser>
        <c:dLbls>
          <c:showLegendKey val="0"/>
          <c:showVal val="0"/>
          <c:showCatName val="0"/>
          <c:showSerName val="0"/>
          <c:showPercent val="0"/>
          <c:showBubbleSize val="0"/>
        </c:dLbls>
        <c:gapWidth val="150"/>
        <c:axId val="349810464"/>
        <c:axId val="349811024"/>
      </c:barChart>
      <c:catAx>
        <c:axId val="349810464"/>
        <c:scaling>
          <c:orientation val="minMax"/>
        </c:scaling>
        <c:delete val="0"/>
        <c:axPos val="b"/>
        <c:title>
          <c:tx>
            <c:rich>
              <a:bodyPr/>
              <a:lstStyle/>
              <a:p>
                <a:pPr>
                  <a:defRPr sz="998" b="1" i="0" u="none" strike="noStrike" baseline="0">
                    <a:solidFill>
                      <a:srgbClr val="000000"/>
                    </a:solidFill>
                    <a:latin typeface="Calibri"/>
                    <a:ea typeface="Calibri"/>
                    <a:cs typeface="Calibri"/>
                  </a:defRPr>
                </a:pPr>
                <a:r>
                  <a:rPr lang="ru-RU"/>
                  <a:t>год</a:t>
                </a:r>
              </a:p>
            </c:rich>
          </c:tx>
          <c:overlay val="0"/>
          <c:spPr>
            <a:noFill/>
            <a:ln w="25337">
              <a:noFill/>
            </a:ln>
          </c:spPr>
        </c:title>
        <c:numFmt formatCode="General" sourceLinked="1"/>
        <c:majorTickMark val="none"/>
        <c:minorTickMark val="none"/>
        <c:tickLblPos val="nextTo"/>
        <c:spPr>
          <a:noFill/>
          <a:ln w="9484"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sz="1191" b="0" i="0" u="none" strike="noStrike" kern="1200" baseline="0">
                <a:solidFill>
                  <a:schemeClr val="tx1">
                    <a:lumMod val="65000"/>
                    <a:lumOff val="35000"/>
                  </a:schemeClr>
                </a:solidFill>
                <a:latin typeface="+mn-lt"/>
                <a:ea typeface="+mn-ea"/>
                <a:cs typeface="+mn-cs"/>
              </a:defRPr>
            </a:pPr>
            <a:endParaRPr lang="ru-RU"/>
          </a:p>
        </c:txPr>
        <c:crossAx val="349811024"/>
        <c:crosses val="autoZero"/>
        <c:auto val="1"/>
        <c:lblAlgn val="ctr"/>
        <c:lblOffset val="100"/>
        <c:noMultiLvlLbl val="0"/>
      </c:catAx>
      <c:valAx>
        <c:axId val="349811024"/>
        <c:scaling>
          <c:orientation val="minMax"/>
        </c:scaling>
        <c:delete val="0"/>
        <c:axPos val="l"/>
        <c:majorGridlines>
          <c:spPr>
            <a:ln w="9484" cap="flat" cmpd="sng" algn="ctr">
              <a:solidFill>
                <a:schemeClr val="tx1">
                  <a:lumMod val="15000"/>
                  <a:lumOff val="85000"/>
                </a:schemeClr>
              </a:solidFill>
              <a:prstDash val="solid"/>
              <a:round/>
            </a:ln>
            <a:effectLst/>
          </c:spPr>
        </c:majorGridlines>
        <c:title>
          <c:tx>
            <c:rich>
              <a:bodyPr/>
              <a:lstStyle/>
              <a:p>
                <a:pPr>
                  <a:defRPr sz="998" b="1" i="0" u="none" strike="noStrike" baseline="0">
                    <a:solidFill>
                      <a:srgbClr val="000000"/>
                    </a:solidFill>
                    <a:latin typeface="Calibri"/>
                    <a:ea typeface="Calibri"/>
                    <a:cs typeface="Calibri"/>
                  </a:defRPr>
                </a:pPr>
                <a:r>
                  <a:rPr lang="ru-RU"/>
                  <a:t>число</a:t>
                </a:r>
              </a:p>
            </c:rich>
          </c:tx>
          <c:overlay val="0"/>
          <c:spPr>
            <a:noFill/>
            <a:ln w="25337">
              <a:noFill/>
            </a:ln>
          </c:spPr>
        </c:title>
        <c:numFmt formatCode="General" sourceLinked="1"/>
        <c:majorTickMark val="none"/>
        <c:minorTickMark val="none"/>
        <c:tickLblPos val="nextTo"/>
        <c:spPr>
          <a:ln w="6334">
            <a:noFill/>
          </a:ln>
        </c:spPr>
        <c:txPr>
          <a:bodyPr rot="-60000000" spcFirstLastPara="1" vertOverflow="ellipsis" vert="horz" wrap="square" anchor="ctr" anchorCtr="1"/>
          <a:lstStyle/>
          <a:p>
            <a:pPr>
              <a:defRPr sz="1191" b="0" i="0" u="none" strike="noStrike" kern="1200" baseline="0">
                <a:solidFill>
                  <a:schemeClr val="tx1">
                    <a:lumMod val="65000"/>
                    <a:lumOff val="35000"/>
                  </a:schemeClr>
                </a:solidFill>
                <a:latin typeface="+mn-lt"/>
                <a:ea typeface="+mn-ea"/>
                <a:cs typeface="+mn-cs"/>
              </a:defRPr>
            </a:pPr>
            <a:endParaRPr lang="ru-RU"/>
          </a:p>
        </c:txPr>
        <c:crossAx val="349810464"/>
        <c:crosses val="autoZero"/>
        <c:crossBetween val="between"/>
      </c:valAx>
      <c:spPr>
        <a:noFill/>
        <a:ln w="25337">
          <a:noFill/>
        </a:ln>
      </c:spPr>
    </c:plotArea>
    <c:plotVisOnly val="1"/>
    <c:dispBlanksAs val="gap"/>
    <c:showDLblsOverMax val="0"/>
  </c:chart>
  <c:spPr>
    <a:solidFill>
      <a:schemeClr val="bg1"/>
    </a:solidFill>
    <a:ln w="9484" cap="flat" cmpd="sng" algn="ctr">
      <a:solidFill>
        <a:schemeClr val="tx1">
          <a:lumMod val="15000"/>
          <a:lumOff val="85000"/>
        </a:schemeClr>
      </a:solidFill>
      <a:prstDash val="solid"/>
      <a:round/>
    </a:ln>
    <a:effectLst/>
  </c:spPr>
  <c:txPr>
    <a:bodyPr/>
    <a:lstStyle/>
    <a:p>
      <a:pPr>
        <a:defRPr/>
      </a:pPr>
      <a:endParaRPr lang="ru-RU"/>
    </a:p>
  </c:txPr>
  <c:externalData r:id="rId2">
    <c:autoUpdate val="0"/>
  </c:externalData>
</c:chartSpace>
</file>

<file path=word/charts/chart4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Лист1!$A$22:$A$27</c:f>
              <c:strCache>
                <c:ptCount val="6"/>
                <c:pt idx="0">
                  <c:v>Обслуживание </c:v>
                </c:pt>
                <c:pt idx="1">
                  <c:v>Наличие китайской кухни</c:v>
                </c:pt>
                <c:pt idx="2">
                  <c:v>Разнообразие меню </c:v>
                </c:pt>
                <c:pt idx="3">
                  <c:v>Цена блюд </c:v>
                </c:pt>
                <c:pt idx="4">
                  <c:v>Персонал, говорящий на китайском</c:v>
                </c:pt>
                <c:pt idx="5">
                  <c:v>Развлекательные программы </c:v>
                </c:pt>
              </c:strCache>
            </c:strRef>
          </c:cat>
          <c:val>
            <c:numRef>
              <c:f>Лист1!$B$22:$B$27</c:f>
              <c:numCache>
                <c:formatCode>General</c:formatCode>
                <c:ptCount val="6"/>
                <c:pt idx="0">
                  <c:v>74</c:v>
                </c:pt>
                <c:pt idx="1">
                  <c:v>60</c:v>
                </c:pt>
                <c:pt idx="2">
                  <c:v>55</c:v>
                </c:pt>
                <c:pt idx="3">
                  <c:v>51</c:v>
                </c:pt>
                <c:pt idx="4">
                  <c:v>42</c:v>
                </c:pt>
                <c:pt idx="5">
                  <c:v>35</c:v>
                </c:pt>
              </c:numCache>
            </c:numRef>
          </c:val>
        </c:ser>
        <c:dLbls>
          <c:showLegendKey val="0"/>
          <c:showVal val="0"/>
          <c:showCatName val="0"/>
          <c:showSerName val="0"/>
          <c:showPercent val="0"/>
          <c:showBubbleSize val="0"/>
        </c:dLbls>
        <c:gapWidth val="150"/>
        <c:axId val="349813264"/>
        <c:axId val="349813824"/>
      </c:barChart>
      <c:catAx>
        <c:axId val="349813264"/>
        <c:scaling>
          <c:orientation val="minMax"/>
        </c:scaling>
        <c:delete val="0"/>
        <c:axPos val="b"/>
        <c:title>
          <c:tx>
            <c:rich>
              <a:bodyPr/>
              <a:lstStyle/>
              <a:p>
                <a:pPr>
                  <a:defRPr/>
                </a:pPr>
                <a:r>
                  <a:rPr lang="ru-RU"/>
                  <a:t>Факторы</a:t>
                </a:r>
              </a:p>
            </c:rich>
          </c:tx>
          <c:overlay val="0"/>
        </c:title>
        <c:numFmt formatCode="General" sourceLinked="0"/>
        <c:majorTickMark val="out"/>
        <c:minorTickMark val="none"/>
        <c:tickLblPos val="nextTo"/>
        <c:txPr>
          <a:bodyPr/>
          <a:lstStyle/>
          <a:p>
            <a:pPr>
              <a:defRPr sz="700" baseline="0"/>
            </a:pPr>
            <a:endParaRPr lang="ru-RU"/>
          </a:p>
        </c:txPr>
        <c:crossAx val="349813824"/>
        <c:crosses val="autoZero"/>
        <c:auto val="1"/>
        <c:lblAlgn val="ctr"/>
        <c:lblOffset val="100"/>
        <c:noMultiLvlLbl val="0"/>
      </c:catAx>
      <c:valAx>
        <c:axId val="349813824"/>
        <c:scaling>
          <c:orientation val="minMax"/>
        </c:scaling>
        <c:delete val="0"/>
        <c:axPos val="l"/>
        <c:majorGridlines/>
        <c:title>
          <c:tx>
            <c:rich>
              <a:bodyPr/>
              <a:lstStyle/>
              <a:p>
                <a:pPr>
                  <a:defRPr/>
                </a:pPr>
                <a:r>
                  <a:rPr lang="ru-RU"/>
                  <a:t>число</a:t>
                </a:r>
              </a:p>
            </c:rich>
          </c:tx>
          <c:overlay val="0"/>
        </c:title>
        <c:numFmt formatCode="General" sourceLinked="1"/>
        <c:majorTickMark val="out"/>
        <c:minorTickMark val="none"/>
        <c:tickLblPos val="nextTo"/>
        <c:crossAx val="349813264"/>
        <c:crosses val="autoZero"/>
        <c:crossBetween val="between"/>
      </c:valAx>
    </c:plotArea>
    <c:plotVisOnly val="1"/>
    <c:dispBlanksAs val="gap"/>
    <c:showDLblsOverMax val="0"/>
  </c:chart>
  <c:externalData r:id="rId2">
    <c:autoUpdate val="0"/>
  </c:externalData>
</c:chartSpace>
</file>

<file path=word/charts/chart4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33945166229221346"/>
          <c:y val="8.1374671916010513E-2"/>
          <c:w val="0.49331911636045495"/>
          <c:h val="0.82219852726742493"/>
        </c:manualLayout>
      </c:layout>
      <c:pieChart>
        <c:varyColors val="1"/>
        <c:ser>
          <c:idx val="0"/>
          <c:order val="0"/>
          <c:dPt>
            <c:idx val="0"/>
            <c:bubble3D val="0"/>
            <c:spPr>
              <a:solidFill>
                <a:schemeClr val="accent3">
                  <a:shade val="53000"/>
                </a:schemeClr>
              </a:solidFill>
              <a:ln w="6350" cap="flat" cmpd="sng" algn="ctr">
                <a:solidFill>
                  <a:schemeClr val="lt1"/>
                </a:solidFill>
                <a:prstDash val="solid"/>
                <a:round/>
              </a:ln>
              <a:effectLst/>
            </c:spPr>
          </c:dPt>
          <c:dPt>
            <c:idx val="1"/>
            <c:bubble3D val="0"/>
            <c:spPr>
              <a:solidFill>
                <a:schemeClr val="accent3">
                  <a:shade val="76000"/>
                </a:schemeClr>
              </a:solidFill>
              <a:ln w="6350" cap="flat" cmpd="sng" algn="ctr">
                <a:solidFill>
                  <a:schemeClr val="lt1"/>
                </a:solidFill>
                <a:prstDash val="solid"/>
                <a:round/>
              </a:ln>
              <a:effectLst/>
            </c:spPr>
          </c:dPt>
          <c:dPt>
            <c:idx val="2"/>
            <c:bubble3D val="0"/>
            <c:spPr>
              <a:solidFill>
                <a:schemeClr val="accent3"/>
              </a:solidFill>
              <a:ln w="6350" cap="flat" cmpd="sng" algn="ctr">
                <a:solidFill>
                  <a:schemeClr val="lt1"/>
                </a:solidFill>
                <a:prstDash val="solid"/>
                <a:round/>
              </a:ln>
              <a:effectLst/>
            </c:spPr>
          </c:dPt>
          <c:dPt>
            <c:idx val="3"/>
            <c:bubble3D val="0"/>
            <c:spPr>
              <a:solidFill>
                <a:schemeClr val="accent3">
                  <a:tint val="77000"/>
                </a:schemeClr>
              </a:solidFill>
              <a:ln w="6350" cap="flat" cmpd="sng" algn="ctr">
                <a:solidFill>
                  <a:schemeClr val="lt1"/>
                </a:solidFill>
                <a:prstDash val="solid"/>
                <a:round/>
              </a:ln>
              <a:effectLst/>
            </c:spPr>
          </c:dPt>
          <c:dPt>
            <c:idx val="4"/>
            <c:bubble3D val="0"/>
            <c:spPr>
              <a:solidFill>
                <a:schemeClr val="accent3">
                  <a:tint val="54000"/>
                </a:schemeClr>
              </a:solidFill>
              <a:ln w="6350" cap="flat" cmpd="sng" algn="ctr">
                <a:solidFill>
                  <a:schemeClr val="lt1"/>
                </a:solidFill>
                <a:prstDash val="solid"/>
                <a:round/>
              </a:ln>
              <a:effectLst/>
            </c:spPr>
          </c:dPt>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ru-RU"/>
              </a:p>
            </c:txPr>
            <c:showLegendKey val="0"/>
            <c:showVal val="0"/>
            <c:showCatName val="0"/>
            <c:showSerName val="0"/>
            <c:showPercent val="1"/>
            <c:showBubbleSize val="0"/>
            <c:showLeaderLines val="1"/>
            <c:leaderLines>
              <c:spPr>
                <a:ln w="6350" cap="flat" cmpd="sng" algn="ctr">
                  <a:solidFill>
                    <a:schemeClr val="tx1"/>
                  </a:solidFill>
                  <a:prstDash val="solid"/>
                  <a:round/>
                </a:ln>
                <a:effectLst/>
              </c:spPr>
            </c:leaderLines>
            <c:extLst>
              <c:ext xmlns:c15="http://schemas.microsoft.com/office/drawing/2012/chart" uri="{CE6537A1-D6FC-4f65-9D91-7224C49458BB}"/>
            </c:extLst>
          </c:dLbls>
          <c:cat>
            <c:strRef>
              <c:f>Лист1!$A$15:$A$19</c:f>
              <c:strCache>
                <c:ptCount val="5"/>
                <c:pt idx="0">
                  <c:v>Вполне удовлетворен</c:v>
                </c:pt>
                <c:pt idx="1">
                  <c:v>Удовлетворен </c:v>
                </c:pt>
                <c:pt idx="2">
                  <c:v>Не вполне удовлетворен</c:v>
                </c:pt>
                <c:pt idx="3">
                  <c:v>Не удовлетворен</c:v>
                </c:pt>
                <c:pt idx="4">
                  <c:v>Крайне не удовлетворен</c:v>
                </c:pt>
              </c:strCache>
            </c:strRef>
          </c:cat>
          <c:val>
            <c:numRef>
              <c:f>Лист1!$B$15:$B$19</c:f>
              <c:numCache>
                <c:formatCode>General</c:formatCode>
                <c:ptCount val="5"/>
                <c:pt idx="0">
                  <c:v>5</c:v>
                </c:pt>
                <c:pt idx="1">
                  <c:v>14</c:v>
                </c:pt>
                <c:pt idx="2">
                  <c:v>5</c:v>
                </c:pt>
                <c:pt idx="3">
                  <c:v>3</c:v>
                </c:pt>
                <c:pt idx="4">
                  <c:v>1</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t"/>
      <c:layout>
        <c:manualLayout>
          <c:xMode val="edge"/>
          <c:yMode val="edge"/>
          <c:x val="5.5555555555555558E-3"/>
          <c:y val="9.7222222222222224E-2"/>
          <c:w val="0.30091382327209099"/>
          <c:h val="0.80439231554389035"/>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ru-RU"/>
        </a:p>
      </c:txPr>
    </c:legend>
    <c:plotVisOnly val="1"/>
    <c:dispBlanksAs val="gap"/>
    <c:showDLblsOverMax val="0"/>
  </c:chart>
  <c:spPr>
    <a:solidFill>
      <a:schemeClr val="bg1"/>
    </a:solidFill>
    <a:ln w="6350" cap="flat" cmpd="sng" algn="ctr">
      <a:solidFill>
        <a:schemeClr val="tx1">
          <a:tint val="75000"/>
        </a:schemeClr>
      </a:solidFill>
      <a:prstDash val="solid"/>
      <a:round/>
    </a:ln>
    <a:effectLst/>
  </c:spPr>
  <c:txPr>
    <a:bodyPr/>
    <a:lstStyle/>
    <a:p>
      <a:pPr>
        <a:defRPr/>
      </a:pPr>
      <a:endParaRPr lang="ru-RU"/>
    </a:p>
  </c:txPr>
  <c:externalData r:id="rId2">
    <c:autoUpdate val="0"/>
  </c:externalData>
</c:chartSpace>
</file>

<file path=word/charts/chart5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Лист1!$B$1</c:f>
              <c:strCache>
                <c:ptCount val="1"/>
                <c:pt idx="0">
                  <c:v>min</c:v>
                </c:pt>
              </c:strCache>
            </c:strRef>
          </c:tx>
          <c:invertIfNegative val="0"/>
          <c:dLbls>
            <c:spPr>
              <a:noFill/>
              <a:ln w="25396">
                <a:noFill/>
              </a:ln>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пр-т Красного знамени, 35</c:v>
                </c:pt>
                <c:pt idx="1">
                  <c:v>пр-т Красного знамени, 31ст2</c:v>
                </c:pt>
                <c:pt idx="2">
                  <c:v>пр-т Красного знамени, 23</c:v>
                </c:pt>
              </c:strCache>
            </c:strRef>
          </c:cat>
          <c:val>
            <c:numRef>
              <c:f>Лист1!$B$2:$B$4</c:f>
              <c:numCache>
                <c:formatCode>General</c:formatCode>
                <c:ptCount val="3"/>
                <c:pt idx="0">
                  <c:v>59</c:v>
                </c:pt>
                <c:pt idx="1">
                  <c:v>59</c:v>
                </c:pt>
                <c:pt idx="2">
                  <c:v>60</c:v>
                </c:pt>
              </c:numCache>
            </c:numRef>
          </c:val>
        </c:ser>
        <c:ser>
          <c:idx val="1"/>
          <c:order val="1"/>
          <c:tx>
            <c:strRef>
              <c:f>Лист1!$C$1</c:f>
              <c:strCache>
                <c:ptCount val="1"/>
                <c:pt idx="0">
                  <c:v>max</c:v>
                </c:pt>
              </c:strCache>
            </c:strRef>
          </c:tx>
          <c:invertIfNegative val="0"/>
          <c:dLbls>
            <c:spPr>
              <a:noFill/>
              <a:ln w="25396">
                <a:noFill/>
              </a:ln>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пр-т Красного знамени, 35</c:v>
                </c:pt>
                <c:pt idx="1">
                  <c:v>пр-т Красного знамени, 31ст2</c:v>
                </c:pt>
                <c:pt idx="2">
                  <c:v>пр-т Красного знамени, 23</c:v>
                </c:pt>
              </c:strCache>
            </c:strRef>
          </c:cat>
          <c:val>
            <c:numRef>
              <c:f>Лист1!$C$2:$C$4</c:f>
              <c:numCache>
                <c:formatCode>General</c:formatCode>
                <c:ptCount val="3"/>
                <c:pt idx="0">
                  <c:v>76</c:v>
                </c:pt>
                <c:pt idx="1">
                  <c:v>74</c:v>
                </c:pt>
                <c:pt idx="2">
                  <c:v>78</c:v>
                </c:pt>
              </c:numCache>
            </c:numRef>
          </c:val>
        </c:ser>
        <c:dLbls>
          <c:showLegendKey val="0"/>
          <c:showVal val="0"/>
          <c:showCatName val="0"/>
          <c:showSerName val="0"/>
          <c:showPercent val="0"/>
          <c:showBubbleSize val="0"/>
        </c:dLbls>
        <c:gapWidth val="150"/>
        <c:axId val="349818864"/>
        <c:axId val="349819424"/>
      </c:barChart>
      <c:catAx>
        <c:axId val="349818864"/>
        <c:scaling>
          <c:orientation val="minMax"/>
        </c:scaling>
        <c:delete val="0"/>
        <c:axPos val="b"/>
        <c:title>
          <c:tx>
            <c:rich>
              <a:bodyPr/>
              <a:lstStyle/>
              <a:p>
                <a:pPr algn="just">
                  <a:defRPr sz="1000" b="1" i="0" u="none" strike="noStrike" baseline="0">
                    <a:solidFill>
                      <a:srgbClr val="000000"/>
                    </a:solidFill>
                    <a:latin typeface="Times New Roman"/>
                    <a:ea typeface="Times New Roman"/>
                    <a:cs typeface="Times New Roman"/>
                  </a:defRPr>
                </a:pPr>
                <a:r>
                  <a:rPr lang="ru-RU"/>
                  <a:t>Точки измерений </a:t>
                </a:r>
              </a:p>
            </c:rich>
          </c:tx>
          <c:layout>
            <c:manualLayout>
              <c:xMode val="edge"/>
              <c:yMode val="edge"/>
              <c:x val="0.4080675797878206"/>
              <c:y val="0.85937301543600753"/>
            </c:manualLayout>
          </c:layout>
          <c:overlay val="0"/>
        </c:title>
        <c:numFmt formatCode="General" sourceLinked="0"/>
        <c:majorTickMark val="out"/>
        <c:minorTickMark val="none"/>
        <c:tickLblPos val="nextTo"/>
        <c:txPr>
          <a:bodyPr/>
          <a:lstStyle/>
          <a:p>
            <a:pPr>
              <a:defRPr sz="800">
                <a:latin typeface="Times New Roman" pitchFamily="18" charset="0"/>
                <a:cs typeface="Times New Roman" pitchFamily="18" charset="0"/>
              </a:defRPr>
            </a:pPr>
            <a:endParaRPr lang="ru-RU"/>
          </a:p>
        </c:txPr>
        <c:crossAx val="349819424"/>
        <c:crosses val="autoZero"/>
        <c:auto val="1"/>
        <c:lblAlgn val="ctr"/>
        <c:lblOffset val="100"/>
        <c:noMultiLvlLbl val="0"/>
      </c:catAx>
      <c:valAx>
        <c:axId val="349819424"/>
        <c:scaling>
          <c:orientation val="minMax"/>
        </c:scaling>
        <c:delete val="0"/>
        <c:axPos val="l"/>
        <c:majorGridlines/>
        <c:title>
          <c:tx>
            <c:rich>
              <a:bodyPr rot="0" vert="horz"/>
              <a:lstStyle/>
              <a:p>
                <a:pPr algn="ctr">
                  <a:defRPr sz="1000" b="1" i="0" u="none" strike="noStrike" baseline="0">
                    <a:solidFill>
                      <a:srgbClr val="000000"/>
                    </a:solidFill>
                    <a:latin typeface="Times New Roman"/>
                    <a:ea typeface="Times New Roman"/>
                    <a:cs typeface="Times New Roman"/>
                  </a:defRPr>
                </a:pPr>
                <a:r>
                  <a:rPr lang="ru-RU"/>
                  <a:t>Дб</a:t>
                </a:r>
              </a:p>
            </c:rich>
          </c:tx>
          <c:overlay val="0"/>
        </c:title>
        <c:numFmt formatCode="General" sourceLinked="1"/>
        <c:majorTickMark val="out"/>
        <c:minorTickMark val="none"/>
        <c:tickLblPos val="nextTo"/>
        <c:crossAx val="349818864"/>
        <c:crosses val="autoZero"/>
        <c:crossBetween val="between"/>
      </c:valAx>
    </c:plotArea>
    <c:legend>
      <c:legendPos val="r"/>
      <c:legendEntry>
        <c:idx val="0"/>
        <c:txPr>
          <a:bodyPr/>
          <a:lstStyle/>
          <a:p>
            <a:pPr>
              <a:defRPr>
                <a:latin typeface="Times New Roman" pitchFamily="18" charset="0"/>
                <a:cs typeface="Times New Roman" pitchFamily="18" charset="0"/>
              </a:defRPr>
            </a:pPr>
            <a:endParaRPr lang="ru-RU"/>
          </a:p>
        </c:txPr>
      </c:legendEntry>
      <c:legendEntry>
        <c:idx val="1"/>
        <c:txPr>
          <a:bodyPr/>
          <a:lstStyle/>
          <a:p>
            <a:pPr>
              <a:defRPr>
                <a:latin typeface="Times New Roman" pitchFamily="18" charset="0"/>
                <a:cs typeface="Times New Roman" pitchFamily="18" charset="0"/>
              </a:defRPr>
            </a:pPr>
            <a:endParaRPr lang="ru-RU"/>
          </a:p>
        </c:txPr>
      </c:legendEntry>
      <c:overlay val="0"/>
      <c:txPr>
        <a:bodyPr/>
        <a:lstStyle/>
        <a:p>
          <a:pPr>
            <a:defRPr>
              <a:latin typeface="Times New Roman" pitchFamily="18" charset="0"/>
              <a:cs typeface="Times New Roman" pitchFamily="18" charset="0"/>
            </a:defRPr>
          </a:pPr>
          <a:endParaRPr lang="ru-RU"/>
        </a:p>
      </c:txPr>
    </c:legend>
    <c:plotVisOnly val="1"/>
    <c:dispBlanksAs val="gap"/>
    <c:showDLblsOverMax val="0"/>
  </c:chart>
  <c:spPr>
    <a:ln>
      <a:noFill/>
    </a:ln>
  </c:spPr>
  <c:externalData r:id="rId2">
    <c:autoUpdate val="0"/>
  </c:externalData>
</c:chartSpace>
</file>

<file path=word/charts/chart5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6495717864260376"/>
          <c:y val="2.8577129078377412E-2"/>
          <c:w val="0.67654327410395165"/>
          <c:h val="0.728338134562448"/>
        </c:manualLayout>
      </c:layout>
      <c:barChart>
        <c:barDir val="col"/>
        <c:grouping val="clustered"/>
        <c:varyColors val="0"/>
        <c:ser>
          <c:idx val="0"/>
          <c:order val="0"/>
          <c:tx>
            <c:strRef>
              <c:f>Лист1!$B$1</c:f>
              <c:strCache>
                <c:ptCount val="1"/>
                <c:pt idx="0">
                  <c:v>min</c:v>
                </c:pt>
              </c:strCache>
            </c:strRef>
          </c:tx>
          <c:invertIfNegative val="0"/>
          <c:dLbls>
            <c:spPr>
              <a:noFill/>
              <a:ln w="24840">
                <a:noFill/>
              </a:ln>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пр-т Красного знамени, 35</c:v>
                </c:pt>
                <c:pt idx="1">
                  <c:v>пр-т Красного знамени, 31ст2</c:v>
                </c:pt>
                <c:pt idx="2">
                  <c:v>пр-т Красного знамени, 23</c:v>
                </c:pt>
              </c:strCache>
            </c:strRef>
          </c:cat>
          <c:val>
            <c:numRef>
              <c:f>Лист1!$B$2:$B$4</c:f>
              <c:numCache>
                <c:formatCode>General</c:formatCode>
                <c:ptCount val="3"/>
                <c:pt idx="0">
                  <c:v>71</c:v>
                </c:pt>
                <c:pt idx="1">
                  <c:v>72</c:v>
                </c:pt>
                <c:pt idx="2">
                  <c:v>74</c:v>
                </c:pt>
              </c:numCache>
            </c:numRef>
          </c:val>
        </c:ser>
        <c:ser>
          <c:idx val="1"/>
          <c:order val="1"/>
          <c:tx>
            <c:strRef>
              <c:f>Лист1!$C$1</c:f>
              <c:strCache>
                <c:ptCount val="1"/>
                <c:pt idx="0">
                  <c:v>max</c:v>
                </c:pt>
              </c:strCache>
            </c:strRef>
          </c:tx>
          <c:invertIfNegative val="0"/>
          <c:dLbls>
            <c:spPr>
              <a:noFill/>
              <a:ln w="24840">
                <a:noFill/>
              </a:ln>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пр-т Красного знамени, 35</c:v>
                </c:pt>
                <c:pt idx="1">
                  <c:v>пр-т Красного знамени, 31ст2</c:v>
                </c:pt>
                <c:pt idx="2">
                  <c:v>пр-т Красного знамени, 23</c:v>
                </c:pt>
              </c:strCache>
            </c:strRef>
          </c:cat>
          <c:val>
            <c:numRef>
              <c:f>Лист1!$C$2:$C$4</c:f>
              <c:numCache>
                <c:formatCode>General</c:formatCode>
                <c:ptCount val="3"/>
                <c:pt idx="0">
                  <c:v>93</c:v>
                </c:pt>
                <c:pt idx="1">
                  <c:v>91</c:v>
                </c:pt>
                <c:pt idx="2">
                  <c:v>95</c:v>
                </c:pt>
              </c:numCache>
            </c:numRef>
          </c:val>
        </c:ser>
        <c:dLbls>
          <c:showLegendKey val="0"/>
          <c:showVal val="0"/>
          <c:showCatName val="0"/>
          <c:showSerName val="0"/>
          <c:showPercent val="0"/>
          <c:showBubbleSize val="0"/>
        </c:dLbls>
        <c:gapWidth val="150"/>
        <c:axId val="349822224"/>
        <c:axId val="349822784"/>
      </c:barChart>
      <c:catAx>
        <c:axId val="349822224"/>
        <c:scaling>
          <c:orientation val="minMax"/>
        </c:scaling>
        <c:delete val="0"/>
        <c:axPos val="b"/>
        <c:title>
          <c:tx>
            <c:rich>
              <a:bodyPr/>
              <a:lstStyle/>
              <a:p>
                <a:pPr>
                  <a:defRPr sz="970" b="1" i="0" u="none" strike="noStrike" baseline="0">
                    <a:solidFill>
                      <a:srgbClr val="000000"/>
                    </a:solidFill>
                    <a:latin typeface="Times New Roman"/>
                    <a:ea typeface="Times New Roman"/>
                    <a:cs typeface="Times New Roman"/>
                  </a:defRPr>
                </a:pPr>
                <a:r>
                  <a:rPr lang="ru-RU"/>
                  <a:t>Точки измерений</a:t>
                </a:r>
              </a:p>
            </c:rich>
          </c:tx>
          <c:overlay val="0"/>
        </c:title>
        <c:numFmt formatCode="General" sourceLinked="0"/>
        <c:majorTickMark val="out"/>
        <c:minorTickMark val="none"/>
        <c:tickLblPos val="nextTo"/>
        <c:txPr>
          <a:bodyPr/>
          <a:lstStyle/>
          <a:p>
            <a:pPr>
              <a:defRPr sz="782" baseline="0">
                <a:latin typeface="Times New Roman" pitchFamily="18" charset="0"/>
              </a:defRPr>
            </a:pPr>
            <a:endParaRPr lang="ru-RU"/>
          </a:p>
        </c:txPr>
        <c:crossAx val="349822784"/>
        <c:crosses val="autoZero"/>
        <c:auto val="1"/>
        <c:lblAlgn val="ctr"/>
        <c:lblOffset val="100"/>
        <c:noMultiLvlLbl val="0"/>
      </c:catAx>
      <c:valAx>
        <c:axId val="349822784"/>
        <c:scaling>
          <c:orientation val="minMax"/>
        </c:scaling>
        <c:delete val="0"/>
        <c:axPos val="l"/>
        <c:majorGridlines/>
        <c:title>
          <c:tx>
            <c:rich>
              <a:bodyPr rot="0" vert="horz"/>
              <a:lstStyle/>
              <a:p>
                <a:pPr algn="ctr">
                  <a:defRPr sz="970" b="1" i="0" u="none" strike="noStrike" baseline="0">
                    <a:solidFill>
                      <a:srgbClr val="000000"/>
                    </a:solidFill>
                    <a:latin typeface="Times New Roman"/>
                    <a:ea typeface="Times New Roman"/>
                    <a:cs typeface="Times New Roman"/>
                  </a:defRPr>
                </a:pPr>
                <a:r>
                  <a:rPr lang="ru-RU"/>
                  <a:t>Дб</a:t>
                </a:r>
              </a:p>
            </c:rich>
          </c:tx>
          <c:overlay val="0"/>
        </c:title>
        <c:numFmt formatCode="General" sourceLinked="1"/>
        <c:majorTickMark val="out"/>
        <c:minorTickMark val="none"/>
        <c:tickLblPos val="nextTo"/>
        <c:crossAx val="349822224"/>
        <c:crosses val="autoZero"/>
        <c:crossBetween val="between"/>
      </c:valAx>
    </c:plotArea>
    <c:legend>
      <c:legendPos val="r"/>
      <c:overlay val="0"/>
      <c:txPr>
        <a:bodyPr/>
        <a:lstStyle/>
        <a:p>
          <a:pPr>
            <a:defRPr>
              <a:latin typeface="Times New Roman" pitchFamily="18" charset="0"/>
              <a:cs typeface="Times New Roman" pitchFamily="18" charset="0"/>
            </a:defRPr>
          </a:pPr>
          <a:endParaRPr lang="ru-RU"/>
        </a:p>
      </c:txPr>
    </c:legend>
    <c:plotVisOnly val="1"/>
    <c:dispBlanksAs val="gap"/>
    <c:showDLblsOverMax val="0"/>
  </c:chart>
  <c:spPr>
    <a:ln>
      <a:noFill/>
    </a:ln>
  </c:sp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6.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7.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8.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9.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0.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4.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5.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6.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7.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8.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9.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0.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4.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5.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6.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7.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8.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9.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0.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2</TotalTime>
  <Pages>329</Pages>
  <Words>228703</Words>
  <Characters>1303612</Characters>
  <Application>Microsoft Office Word</Application>
  <DocSecurity>0</DocSecurity>
  <Lines>10863</Lines>
  <Paragraphs>3058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1529257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Потанина Ольга</dc:creator>
  <cp:lastModifiedBy>Потанина Ольга</cp:lastModifiedBy>
  <cp:revision>4</cp:revision>
  <dcterms:created xsi:type="dcterms:W3CDTF">2018-11-14T05:44:00Z</dcterms:created>
  <dcterms:modified xsi:type="dcterms:W3CDTF">2018-11-14T06:35:00Z</dcterms:modified>
</cp:coreProperties>
</file>